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C1" w:rsidRDefault="0001619E" w:rsidP="00DD09C1">
      <w:pPr>
        <w:pStyle w:val="text0"/>
      </w:pPr>
      <w:r>
        <w:rPr>
          <w:noProof/>
          <w:lang w:eastAsia="en-AU"/>
        </w:rPr>
        <w:drawing>
          <wp:anchor distT="0" distB="0" distL="114300" distR="114300" simplePos="0" relativeHeight="251648512" behindDoc="0" locked="0" layoutInCell="1" allowOverlap="1">
            <wp:simplePos x="0" y="0"/>
            <wp:positionH relativeFrom="margin">
              <wp:posOffset>2971800</wp:posOffset>
            </wp:positionH>
            <wp:positionV relativeFrom="margin">
              <wp:posOffset>442595</wp:posOffset>
            </wp:positionV>
            <wp:extent cx="2590800" cy="633095"/>
            <wp:effectExtent l="19050" t="0" r="0" b="0"/>
            <wp:wrapTopAndBottom/>
            <wp:docPr id="3753" name="Picture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7" cstate="print"/>
                    <a:srcRect/>
                    <a:stretch>
                      <a:fillRect/>
                    </a:stretch>
                  </pic:blipFill>
                  <pic:spPr bwMode="auto">
                    <a:xfrm>
                      <a:off x="0" y="0"/>
                      <a:ext cx="2590800" cy="633095"/>
                    </a:xfrm>
                    <a:prstGeom prst="rect">
                      <a:avLst/>
                    </a:prstGeom>
                    <a:noFill/>
                  </pic:spPr>
                </pic:pic>
              </a:graphicData>
            </a:graphic>
          </wp:anchor>
        </w:drawing>
      </w:r>
    </w:p>
    <w:p w:rsidR="00DD09C1" w:rsidRPr="00423072" w:rsidRDefault="00DD09C1" w:rsidP="00DD09C1">
      <w:pPr>
        <w:pStyle w:val="Heading1"/>
        <w:spacing w:before="2880"/>
        <w:ind w:right="-369"/>
      </w:pPr>
      <w:bookmarkStart w:id="0" w:name="_Toc139109052"/>
      <w:r>
        <w:t xml:space="preserve">Where </w:t>
      </w:r>
      <w:proofErr w:type="spellStart"/>
      <w:r>
        <w:t>tradies</w:t>
      </w:r>
      <w:proofErr w:type="spellEnd"/>
      <w:r>
        <w:t xml:space="preserve"> work</w:t>
      </w:r>
      <w:proofErr w:type="gramStart"/>
      <w:r>
        <w:t>:</w:t>
      </w:r>
      <w:proofErr w:type="gramEnd"/>
      <w:r>
        <w:br/>
        <w:t xml:space="preserve">A regional analysis of the </w:t>
      </w:r>
      <w:r>
        <w:br/>
        <w:t>labour market</w:t>
      </w:r>
      <w:bookmarkEnd w:id="0"/>
      <w:r>
        <w:t xml:space="preserve"> for tradespeople</w:t>
      </w:r>
    </w:p>
    <w:p w:rsidR="00DD09C1" w:rsidRDefault="00DD09C1" w:rsidP="00DD09C1">
      <w:pPr>
        <w:pStyle w:val="Heading2"/>
        <w:spacing w:before="720" w:line="480" w:lineRule="exact"/>
        <w:ind w:right="-369"/>
        <w:jc w:val="right"/>
      </w:pPr>
      <w:bookmarkStart w:id="1" w:name="_Toc139109053"/>
      <w:r w:rsidRPr="00776B0F">
        <w:t>Phil Lewis</w:t>
      </w:r>
      <w:r>
        <w:br/>
      </w:r>
      <w:r w:rsidRPr="00776B0F">
        <w:t>Michael Corliss</w:t>
      </w:r>
      <w:bookmarkEnd w:id="1"/>
    </w:p>
    <w:p w:rsidR="00DD09C1" w:rsidRPr="00F137FE" w:rsidRDefault="00DD09C1" w:rsidP="00DD09C1">
      <w:pPr>
        <w:pStyle w:val="Heading2"/>
        <w:spacing w:before="160"/>
        <w:ind w:right="-369"/>
        <w:jc w:val="right"/>
      </w:pPr>
      <w:bookmarkStart w:id="2" w:name="_Toc139109054"/>
      <w:r w:rsidRPr="00833DE1">
        <w:rPr>
          <w:smallCaps/>
          <w:sz w:val="32"/>
        </w:rPr>
        <w:t xml:space="preserve">Centre for Labour Market Research, </w:t>
      </w:r>
      <w:r>
        <w:rPr>
          <w:smallCaps/>
          <w:sz w:val="32"/>
        </w:rPr>
        <w:br/>
      </w:r>
      <w:r w:rsidRPr="00833DE1">
        <w:rPr>
          <w:smallCaps/>
          <w:sz w:val="32"/>
        </w:rPr>
        <w:t>University of Canberra</w:t>
      </w:r>
      <w:bookmarkEnd w:id="2"/>
    </w:p>
    <w:p w:rsidR="00DD09C1" w:rsidRPr="002B087C" w:rsidRDefault="00DD09C1" w:rsidP="00DD09C1">
      <w:pPr>
        <w:pStyle w:val="Imprint"/>
        <w:spacing w:before="360"/>
        <w:ind w:right="-369"/>
        <w:jc w:val="right"/>
        <w:rPr>
          <w:color w:val="FF0000"/>
          <w:sz w:val="28"/>
        </w:rPr>
      </w:pPr>
      <w:r w:rsidRPr="002B087C">
        <w:rPr>
          <w:color w:val="FF0000"/>
          <w:sz w:val="28"/>
        </w:rPr>
        <w:t>PLEASE PRINT IN COLOUR FOR CLARITY</w:t>
      </w:r>
    </w:p>
    <w:p w:rsidR="00DD09C1" w:rsidRDefault="00DD09C1" w:rsidP="00DD09C1">
      <w:pPr>
        <w:pStyle w:val="Imprint"/>
        <w:ind w:left="3402" w:right="-369"/>
        <w:jc w:val="right"/>
      </w:pPr>
    </w:p>
    <w:p w:rsidR="00DD09C1" w:rsidRPr="00F644A9" w:rsidRDefault="0001619E" w:rsidP="00DD09C1">
      <w:pPr>
        <w:pStyle w:val="Imprint"/>
        <w:ind w:left="3402" w:right="-369"/>
        <w:jc w:val="right"/>
      </w:pPr>
      <w:r>
        <w:rPr>
          <w:noProof/>
          <w:lang w:eastAsia="en-AU"/>
        </w:rPr>
        <w:drawing>
          <wp:anchor distT="0" distB="0" distL="114300" distR="114300" simplePos="0" relativeHeight="251649536" behindDoc="0" locked="0" layoutInCell="1" allowOverlap="1">
            <wp:simplePos x="0" y="0"/>
            <wp:positionH relativeFrom="column">
              <wp:posOffset>3300730</wp:posOffset>
            </wp:positionH>
            <wp:positionV relativeFrom="paragraph">
              <wp:posOffset>172720</wp:posOffset>
            </wp:positionV>
            <wp:extent cx="2262505" cy="1315085"/>
            <wp:effectExtent l="19050" t="0" r="4445" b="0"/>
            <wp:wrapTopAndBottom/>
            <wp:docPr id="3754" name="Picture 16" descr="NEW-DEEWR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DEEWR_Stacked_black"/>
                    <pic:cNvPicPr>
                      <a:picLocks noChangeAspect="1" noChangeArrowheads="1"/>
                    </pic:cNvPicPr>
                  </pic:nvPicPr>
                  <pic:blipFill>
                    <a:blip r:embed="rId8" cstate="print"/>
                    <a:srcRect/>
                    <a:stretch>
                      <a:fillRect/>
                    </a:stretch>
                  </pic:blipFill>
                  <pic:spPr bwMode="auto">
                    <a:xfrm>
                      <a:off x="0" y="0"/>
                      <a:ext cx="2262505" cy="1315085"/>
                    </a:xfrm>
                    <a:prstGeom prst="rect">
                      <a:avLst/>
                    </a:prstGeom>
                    <a:noFill/>
                    <a:ln w="9525">
                      <a:noFill/>
                      <a:miter lim="800000"/>
                      <a:headEnd/>
                      <a:tailEnd/>
                    </a:ln>
                  </pic:spPr>
                </pic:pic>
              </a:graphicData>
            </a:graphic>
          </wp:anchor>
        </w:drawing>
      </w:r>
      <w:r w:rsidR="00DD09C1" w:rsidRPr="00F644A9">
        <w:t xml:space="preserve">The views and opinions expressed in this document are those of the author/project team and do not necessarily reflect the views of the Australian Government, state and territory governments or NCVER. </w:t>
      </w:r>
      <w:r w:rsidR="00DD09C1" w:rsidRPr="00F644A9">
        <w:br/>
        <w:t>Any interpretation of data is the responsibility of the author/project team.</w:t>
      </w:r>
    </w:p>
    <w:p w:rsidR="00DD09C1" w:rsidRPr="00F644A9" w:rsidRDefault="00DD09C1" w:rsidP="00DD09C1">
      <w:pPr>
        <w:pStyle w:val="Heading3"/>
      </w:pPr>
      <w:r w:rsidRPr="00F644A9">
        <w:br w:type="page"/>
      </w:r>
      <w:bookmarkStart w:id="3" w:name="_Toc243384407"/>
      <w:r w:rsidRPr="00F644A9">
        <w:lastRenderedPageBreak/>
        <w:t>Publisher</w:t>
      </w:r>
      <w:r>
        <w:t>’</w:t>
      </w:r>
      <w:r w:rsidRPr="00F644A9">
        <w:t>s note</w:t>
      </w:r>
      <w:bookmarkEnd w:id="3"/>
    </w:p>
    <w:p w:rsidR="00DD09C1" w:rsidRPr="00F644A9" w:rsidRDefault="00DD09C1" w:rsidP="00DD09C1">
      <w:pPr>
        <w:pStyle w:val="Imprint"/>
        <w:spacing w:before="120" w:line="220" w:lineRule="atLeast"/>
        <w:ind w:right="1701"/>
      </w:pPr>
      <w:r w:rsidRPr="00F644A9">
        <w:t xml:space="preserve">To find other material of interest, search VOCED (the UNESCO/NCVER international database </w:t>
      </w:r>
      <w:r w:rsidRPr="00634542">
        <w:t>&lt;</w:t>
      </w:r>
      <w:hyperlink r:id="rId9" w:history="1">
        <w:r w:rsidRPr="00634542">
          <w:t>http://www.voced.edu.au</w:t>
        </w:r>
      </w:hyperlink>
      <w:r w:rsidRPr="00F644A9">
        <w:t xml:space="preserve">&gt;) using the following keywords: </w:t>
      </w:r>
      <w:r>
        <w:t>industry; labour market; migration; regional; skilled migration; skill shortage; supply and demand.</w:t>
      </w:r>
    </w:p>
    <w:p w:rsidR="00DD09C1" w:rsidRPr="00D329BF" w:rsidRDefault="00DD09C1" w:rsidP="00DD09C1">
      <w:pPr>
        <w:pStyle w:val="Imprint"/>
        <w:tabs>
          <w:tab w:val="left" w:pos="284"/>
        </w:tabs>
        <w:spacing w:before="3200"/>
        <w:ind w:right="1843"/>
        <w:rPr>
          <w:b/>
        </w:rPr>
      </w:pPr>
      <w:r w:rsidRPr="00D329BF">
        <w:rPr>
          <w:b/>
        </w:rPr>
        <w:t xml:space="preserve">© Commonwealth of Australia, </w:t>
      </w:r>
      <w:r>
        <w:rPr>
          <w:b/>
        </w:rPr>
        <w:t>2010</w:t>
      </w:r>
    </w:p>
    <w:p w:rsidR="00DD09C1" w:rsidRDefault="00DD09C1" w:rsidP="00DD09C1">
      <w:pPr>
        <w:pStyle w:val="Imprint"/>
        <w:ind w:right="1841"/>
      </w:pPr>
      <w:r w:rsidRPr="00F1415B">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F705FF">
        <w:rPr>
          <w:i/>
        </w:rPr>
        <w:t>Copyright Act 1968</w:t>
      </w:r>
      <w:r w:rsidRPr="00F1415B">
        <w:t>, no part of this publication may be reproduced by any process without written permission. Requests should be made to NCVER.</w:t>
      </w:r>
    </w:p>
    <w:p w:rsidR="00DD09C1" w:rsidRDefault="00DD09C1" w:rsidP="00DD09C1">
      <w:pPr>
        <w:pStyle w:val="Imprint"/>
        <w:ind w:right="1700"/>
      </w:pPr>
      <w:r w:rsidRPr="00F1415B">
        <w:t xml:space="preserve">The NVETRE program is based upon priorities approved by ministers with responsibility for vocational education and training (VET). This research aims to improve policy and practice in the VET sector. </w:t>
      </w:r>
      <w:proofErr w:type="gramStart"/>
      <w:r w:rsidRPr="00F1415B">
        <w:t>For further information about the program go to the NCVER website &lt;</w:t>
      </w:r>
      <w:hyperlink r:id="rId10" w:history="1">
        <w:r w:rsidRPr="00F1415B">
          <w:t>http://www.ncver.edu.au</w:t>
        </w:r>
      </w:hyperlink>
      <w:r w:rsidRPr="00F1415B">
        <w:t>&gt;.</w:t>
      </w:r>
      <w:proofErr w:type="gramEnd"/>
      <w:r w:rsidRPr="00F1415B">
        <w:t xml:space="preserve"> The author/project team was funded to undertake this research via a grant under the NVETRE program. These grants are awarded to organisations through a competitive process, in which NCVER does not participate. </w:t>
      </w:r>
    </w:p>
    <w:p w:rsidR="00DD09C1" w:rsidRDefault="00DD09C1" w:rsidP="00DD09C1">
      <w:pPr>
        <w:pStyle w:val="Imprint"/>
        <w:ind w:right="1558"/>
      </w:pPr>
      <w:r w:rsidRPr="00F1415B">
        <w:t>The views and opinions expressed in this document are those of the author/project team and do not necessarily reflect the views of the Australian Government, state and territory governments or NCVER.</w:t>
      </w:r>
    </w:p>
    <w:p w:rsidR="00DD09C1" w:rsidRDefault="00DD09C1" w:rsidP="00DD09C1">
      <w:pPr>
        <w:pStyle w:val="Imprint"/>
        <w:tabs>
          <w:tab w:val="left" w:pos="709"/>
          <w:tab w:val="left" w:pos="1985"/>
        </w:tabs>
      </w:pPr>
      <w:r>
        <w:t xml:space="preserve">ISBN </w:t>
      </w:r>
      <w:r>
        <w:tab/>
        <w:t>978 1 921809 00 2</w:t>
      </w:r>
      <w:r>
        <w:tab/>
        <w:t>web edition</w:t>
      </w:r>
    </w:p>
    <w:p w:rsidR="00DD09C1" w:rsidRDefault="00DD09C1" w:rsidP="00DD09C1">
      <w:pPr>
        <w:pStyle w:val="Imprint"/>
        <w:tabs>
          <w:tab w:val="left" w:pos="709"/>
          <w:tab w:val="left" w:pos="1985"/>
        </w:tabs>
        <w:spacing w:before="0"/>
      </w:pPr>
      <w:r>
        <w:tab/>
      </w:r>
      <w:r w:rsidRPr="00877B81">
        <w:t>978 1 921</w:t>
      </w:r>
      <w:r>
        <w:t>809</w:t>
      </w:r>
      <w:r w:rsidRPr="00877B81">
        <w:t xml:space="preserve"> </w:t>
      </w:r>
      <w:r>
        <w:t>02 6</w:t>
      </w:r>
      <w:r>
        <w:tab/>
        <w:t>print edition</w:t>
      </w:r>
    </w:p>
    <w:p w:rsidR="00DD09C1" w:rsidRDefault="00DD09C1" w:rsidP="00DD09C1">
      <w:pPr>
        <w:pStyle w:val="Imprint"/>
        <w:tabs>
          <w:tab w:val="left" w:pos="709"/>
        </w:tabs>
      </w:pPr>
      <w:r>
        <w:t>TD/TNC</w:t>
      </w:r>
      <w:r>
        <w:tab/>
        <w:t>100.19</w:t>
      </w:r>
    </w:p>
    <w:p w:rsidR="00DD09C1" w:rsidRDefault="00DD09C1" w:rsidP="00DD09C1">
      <w:pPr>
        <w:pStyle w:val="Imprint"/>
      </w:pPr>
      <w:r>
        <w:t>Published by NCVER</w:t>
      </w:r>
      <w:r>
        <w:br/>
        <w:t>ABN 87 007 967 311</w:t>
      </w:r>
    </w:p>
    <w:p w:rsidR="00DD09C1" w:rsidRDefault="00DD09C1" w:rsidP="00DD09C1">
      <w:pPr>
        <w:pStyle w:val="Imprint"/>
      </w:pPr>
      <w:r>
        <w:t>Level 11, 33 King William Street, Adelaide SA 5000</w:t>
      </w:r>
      <w:r>
        <w:br/>
        <w:t>PO Box 8288 Station Arcade, Adelaide SA 5000, Australia</w:t>
      </w:r>
    </w:p>
    <w:p w:rsidR="00DD09C1" w:rsidRDefault="00DD09C1" w:rsidP="00DD09C1">
      <w:pPr>
        <w:pStyle w:val="Imprint"/>
      </w:pPr>
      <w:proofErr w:type="gramStart"/>
      <w:r>
        <w:t>ph</w:t>
      </w:r>
      <w:proofErr w:type="gramEnd"/>
      <w:r>
        <w:t xml:space="preserve"> +61 8 8230 8400 fax +61 8 8212 3436</w:t>
      </w:r>
      <w:r>
        <w:br/>
        <w:t>email ncver@ncver.edu.au</w:t>
      </w:r>
      <w:r>
        <w:br/>
        <w:t>&lt;http://www.ncver.edu.au&gt;</w:t>
      </w:r>
      <w:r>
        <w:br/>
        <w:t>&lt;http://www.ncver.edu.au/publications/2273.html&gt;</w:t>
      </w:r>
    </w:p>
    <w:p w:rsidR="00DD09C1" w:rsidRPr="005C2FCF" w:rsidRDefault="00DD09C1" w:rsidP="00DD09C1">
      <w:pPr>
        <w:pStyle w:val="Heading1"/>
        <w:pBdr>
          <w:bottom w:val="none" w:sz="0" w:space="0" w:color="auto"/>
        </w:pBdr>
        <w:jc w:val="left"/>
        <w:rPr>
          <w:color w:val="000000"/>
        </w:rPr>
      </w:pPr>
      <w:r>
        <w:br w:type="page"/>
      </w:r>
      <w:bookmarkStart w:id="4" w:name="_Toc495748330"/>
      <w:bookmarkStart w:id="5" w:name="_Toc495810630"/>
      <w:bookmarkStart w:id="6" w:name="_Toc6031787"/>
      <w:bookmarkStart w:id="7" w:name="_Toc6031844"/>
      <w:r w:rsidRPr="005C2FCF">
        <w:rPr>
          <w:color w:val="000000"/>
          <w:sz w:val="16"/>
        </w:rPr>
        <w:lastRenderedPageBreak/>
        <w:br/>
      </w:r>
      <w:bookmarkStart w:id="8" w:name="_Toc73766312"/>
      <w:bookmarkStart w:id="9" w:name="_Toc77937774"/>
      <w:bookmarkStart w:id="10" w:name="_Toc80174750"/>
      <w:bookmarkStart w:id="11" w:name="_Toc81560506"/>
      <w:bookmarkStart w:id="12" w:name="_Toc82071799"/>
      <w:bookmarkStart w:id="13" w:name="_Toc82151754"/>
      <w:bookmarkStart w:id="14" w:name="_Toc82498260"/>
      <w:bookmarkStart w:id="15" w:name="_Toc86829097"/>
      <w:bookmarkStart w:id="16" w:name="_Toc89226248"/>
      <w:bookmarkStart w:id="17" w:name="_Toc89240893"/>
      <w:bookmarkStart w:id="18" w:name="_Toc98394875"/>
      <w:bookmarkStart w:id="19" w:name="_Toc101511315"/>
      <w:bookmarkStart w:id="20" w:name="_Toc101512250"/>
      <w:bookmarkStart w:id="21" w:name="_Toc248850412"/>
      <w:bookmarkStart w:id="22" w:name="_Toc248850469"/>
      <w:bookmarkStart w:id="23" w:name="_Toc130268981"/>
      <w:bookmarkStart w:id="24" w:name="_Toc132354195"/>
      <w:bookmarkStart w:id="25" w:name="_Toc139109055"/>
      <w:r w:rsidRPr="005C2FCF">
        <w:rPr>
          <w:color w:val="000000"/>
        </w:rPr>
        <w:t>About the research</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D09C1" w:rsidRPr="005C2FCF" w:rsidRDefault="00631943" w:rsidP="00DD09C1">
      <w:pPr>
        <w:pStyle w:val="Heading2"/>
        <w:spacing w:before="720" w:line="340" w:lineRule="exact"/>
        <w:rPr>
          <w:i/>
          <w:color w:val="000000"/>
          <w:sz w:val="32"/>
          <w:szCs w:val="22"/>
        </w:rPr>
      </w:pPr>
      <w:bookmarkStart w:id="26" w:name="_Toc80174751"/>
      <w:bookmarkStart w:id="27" w:name="_Toc98394876"/>
      <w:bookmarkStart w:id="28" w:name="_Toc101511316"/>
      <w:bookmarkStart w:id="29" w:name="_Toc101512251"/>
      <w:bookmarkStart w:id="30" w:name="_Toc130268982"/>
      <w:bookmarkStart w:id="31" w:name="_Toc132354196"/>
      <w:bookmarkStart w:id="32" w:name="_Toc139109056"/>
      <w:r w:rsidRPr="00631943">
        <w:rPr>
          <w:i/>
          <w:color w:val="000000"/>
          <w:sz w:val="32"/>
          <w:szCs w:val="24"/>
        </w:rPr>
        <w:pict>
          <v:group id="_x0000_s4779" style="position:absolute;margin-left:-1.75pt;margin-top:-38.6pt;width:450pt;height:684pt;z-index:-251665920" coordorigin="1341,1621" coordsize="9000,13680">
            <v:line id="_x0000_s4780" style="position:absolute" from="10341,1621" to="10341,15301"/>
            <v:line id="_x0000_s4781"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82" type="#_x0000_t75" style="position:absolute;left:6456;top:1621;width:3885;height:870">
              <v:imagedata r:id="rId11" o:title="ncver right tab_mono"/>
            </v:shape>
          </v:group>
        </w:pict>
      </w:r>
      <w:bookmarkEnd w:id="26"/>
      <w:bookmarkEnd w:id="27"/>
      <w:bookmarkEnd w:id="28"/>
      <w:bookmarkEnd w:id="29"/>
      <w:bookmarkEnd w:id="30"/>
      <w:bookmarkEnd w:id="31"/>
      <w:r w:rsidR="00DD09C1">
        <w:rPr>
          <w:i/>
          <w:color w:val="000000"/>
          <w:sz w:val="32"/>
        </w:rPr>
        <w:t xml:space="preserve">Where </w:t>
      </w:r>
      <w:proofErr w:type="spellStart"/>
      <w:r w:rsidR="00DD09C1">
        <w:rPr>
          <w:i/>
          <w:color w:val="000000"/>
          <w:sz w:val="32"/>
        </w:rPr>
        <w:t>tradies</w:t>
      </w:r>
      <w:proofErr w:type="spellEnd"/>
      <w:r w:rsidR="00DD09C1">
        <w:rPr>
          <w:i/>
          <w:color w:val="000000"/>
          <w:sz w:val="32"/>
        </w:rPr>
        <w:t xml:space="preserve"> work: A regional analysis of the labour market</w:t>
      </w:r>
      <w:bookmarkEnd w:id="32"/>
      <w:r w:rsidR="00DD09C1">
        <w:rPr>
          <w:i/>
          <w:color w:val="000000"/>
          <w:sz w:val="32"/>
        </w:rPr>
        <w:t xml:space="preserve"> </w:t>
      </w:r>
      <w:r w:rsidR="00DD09C1">
        <w:rPr>
          <w:i/>
          <w:color w:val="000000"/>
          <w:sz w:val="32"/>
        </w:rPr>
        <w:br/>
        <w:t>for tradespeople</w:t>
      </w:r>
    </w:p>
    <w:p w:rsidR="00DD09C1" w:rsidRPr="00C27A8E" w:rsidRDefault="00DD09C1" w:rsidP="00DD09C1">
      <w:pPr>
        <w:pStyle w:val="Heading2"/>
        <w:spacing w:before="160"/>
        <w:ind w:right="-369"/>
        <w:rPr>
          <w:sz w:val="28"/>
          <w:szCs w:val="28"/>
        </w:rPr>
      </w:pPr>
      <w:bookmarkStart w:id="33" w:name="_Toc132354197"/>
      <w:bookmarkStart w:id="34" w:name="_Toc139109057"/>
      <w:r>
        <w:rPr>
          <w:color w:val="000000"/>
          <w:sz w:val="28"/>
        </w:rPr>
        <w:t xml:space="preserve">Phil Lewis and Michael Corliss, </w:t>
      </w:r>
      <w:r>
        <w:rPr>
          <w:sz w:val="28"/>
        </w:rPr>
        <w:t>Centre for Labour Market</w:t>
      </w:r>
      <w:r w:rsidRPr="00E4523C">
        <w:rPr>
          <w:sz w:val="28"/>
        </w:rPr>
        <w:t xml:space="preserve"> Research</w:t>
      </w:r>
      <w:bookmarkEnd w:id="33"/>
      <w:r>
        <w:rPr>
          <w:sz w:val="28"/>
        </w:rPr>
        <w:t>, University of Canberra</w:t>
      </w:r>
      <w:bookmarkEnd w:id="34"/>
    </w:p>
    <w:p w:rsidR="00DD09C1" w:rsidRDefault="00DD09C1" w:rsidP="00DD09C1">
      <w:pPr>
        <w:pStyle w:val="text0"/>
        <w:spacing w:before="440"/>
      </w:pPr>
      <w:r>
        <w:t>Before the global financial crisis there was much discussion about skills shortages in Australia. The economy was nearing full employment and skills shortages were perceived as constraining growth.</w:t>
      </w:r>
    </w:p>
    <w:p w:rsidR="00DD09C1" w:rsidRDefault="00DD09C1" w:rsidP="00DD09C1">
      <w:pPr>
        <w:pStyle w:val="text0"/>
      </w:pPr>
      <w:r>
        <w:t>As the Australian economy recovers from the economic downturn, attention once again turns to avoiding or addressing skills shortages—as illustrated by the current inquiry into the applicability of government employment policies in addressing the skills shortages in regional Australia currently being conducted by the House of Representatives Standing Committee on Employment and Workplace Relations.</w:t>
      </w:r>
    </w:p>
    <w:p w:rsidR="00DD09C1" w:rsidRDefault="00DD09C1" w:rsidP="00DD09C1">
      <w:pPr>
        <w:pStyle w:val="text0"/>
      </w:pPr>
      <w:r>
        <w:t xml:space="preserve">It is therefore timely to look at how the labour market has responded to changes in the supply and demand of tradespersons through the varying economic conditions of the past 20 years. </w:t>
      </w:r>
    </w:p>
    <w:p w:rsidR="00DD09C1" w:rsidRDefault="00DD09C1" w:rsidP="00DD09C1">
      <w:pPr>
        <w:pStyle w:val="Heading2"/>
      </w:pPr>
      <w:bookmarkStart w:id="35" w:name="_Toc139109058"/>
      <w:r>
        <w:t xml:space="preserve">Key </w:t>
      </w:r>
      <w:r w:rsidRPr="00043D14">
        <w:t>messages</w:t>
      </w:r>
      <w:bookmarkEnd w:id="35"/>
    </w:p>
    <w:p w:rsidR="00DD09C1" w:rsidRDefault="00DD09C1" w:rsidP="00DD09C1">
      <w:pPr>
        <w:pStyle w:val="Dotpoint1"/>
      </w:pPr>
      <w:r>
        <w:t xml:space="preserve">The major factors affecting demand for tradespersons are the business cycle, population movements and structural changes in the Australian economy. </w:t>
      </w:r>
    </w:p>
    <w:p w:rsidR="00DD09C1" w:rsidRDefault="00DD09C1" w:rsidP="00DD09C1">
      <w:pPr>
        <w:pStyle w:val="Dotpoint1"/>
      </w:pPr>
      <w:r>
        <w:t>The analysis showed that the labour market for tradespersons is largely efficient. Migration—both from overseas and internal—and changes in earnings appear to have been important ways of adjusting supply and demand.</w:t>
      </w:r>
    </w:p>
    <w:p w:rsidR="00DD09C1" w:rsidRDefault="00DD09C1" w:rsidP="00DD09C1">
      <w:pPr>
        <w:pStyle w:val="Dotpoint1"/>
      </w:pPr>
      <w:r>
        <w:t>Migration from overseas played an important role in the economic development of urban Western Australia and in the mining boom in remote Western Australia. In terms of regional movement, capital cities continue to attract tradespersons from rural and regional areas.</w:t>
      </w:r>
    </w:p>
    <w:p w:rsidR="00DD09C1" w:rsidRDefault="00DD09C1" w:rsidP="00DD09C1">
      <w:pPr>
        <w:pStyle w:val="Dotpoint1"/>
      </w:pPr>
      <w:r>
        <w:t xml:space="preserve">There is considerable variation in median earnings within and between different trades and regions. While the </w:t>
      </w:r>
      <w:r w:rsidRPr="00EB0F1D">
        <w:t xml:space="preserve">relative earnings </w:t>
      </w:r>
      <w:r>
        <w:t>of the lowest-paid tradespersons</w:t>
      </w:r>
      <w:r w:rsidRPr="00EB0F1D">
        <w:t xml:space="preserve"> have fallen over time</w:t>
      </w:r>
      <w:r>
        <w:t>, the earnings of the highest-paid have grown</w:t>
      </w:r>
      <w:r w:rsidRPr="00EB0F1D">
        <w:t xml:space="preserve">. </w:t>
      </w:r>
      <w:r>
        <w:t>This difference between the lowest- and highest-earning tradespersons is most extreme in r</w:t>
      </w:r>
      <w:r w:rsidRPr="00AF371B">
        <w:t xml:space="preserve">emote regions. </w:t>
      </w:r>
    </w:p>
    <w:p w:rsidR="00DD09C1" w:rsidRDefault="00DD09C1" w:rsidP="00DD09C1">
      <w:pPr>
        <w:pStyle w:val="text0"/>
      </w:pPr>
    </w:p>
    <w:p w:rsidR="00DD09C1" w:rsidRPr="0091762F" w:rsidRDefault="00DD09C1" w:rsidP="00DD09C1">
      <w:pPr>
        <w:pStyle w:val="text0"/>
      </w:pPr>
      <w:r w:rsidRPr="0091762F">
        <w:t xml:space="preserve">Tom </w:t>
      </w:r>
      <w:proofErr w:type="spellStart"/>
      <w:r w:rsidRPr="0091762F">
        <w:t>Karmel</w:t>
      </w:r>
      <w:proofErr w:type="spellEnd"/>
      <w:r>
        <w:br/>
        <w:t>Managing Director, NCVER</w:t>
      </w:r>
    </w:p>
    <w:p w:rsidR="00DD09C1" w:rsidRDefault="00DD09C1" w:rsidP="00DD09C1">
      <w:pPr>
        <w:pStyle w:val="text0"/>
        <w:rPr>
          <w:b/>
        </w:rPr>
        <w:sectPr w:rsidR="00DD09C1">
          <w:pgSz w:w="11907" w:h="16840" w:code="9"/>
          <w:pgMar w:top="1418" w:right="1985" w:bottom="567" w:left="1418" w:header="720" w:footer="720" w:gutter="0"/>
          <w:cols w:space="720" w:equalWidth="0">
            <w:col w:w="8121"/>
          </w:cols>
        </w:sectPr>
      </w:pPr>
      <w:r>
        <w:rPr>
          <w:b/>
        </w:rPr>
        <w:br w:type="page"/>
      </w:r>
    </w:p>
    <w:p w:rsidR="00DD09C1" w:rsidRPr="00FA4E2D" w:rsidRDefault="00DD09C1" w:rsidP="00DD09C1">
      <w:pPr>
        <w:pStyle w:val="Heading1"/>
        <w:spacing w:before="560"/>
      </w:pPr>
      <w:bookmarkStart w:id="36" w:name="_Toc47346280"/>
      <w:bookmarkStart w:id="37" w:name="_Toc47951941"/>
      <w:bookmarkStart w:id="38" w:name="_Toc107393567"/>
      <w:r>
        <w:lastRenderedPageBreak/>
        <w:br/>
      </w:r>
      <w:bookmarkStart w:id="39" w:name="_Toc139109059"/>
      <w:r>
        <w:t>Contents</w:t>
      </w:r>
      <w:bookmarkEnd w:id="4"/>
      <w:bookmarkEnd w:id="5"/>
      <w:bookmarkEnd w:id="6"/>
      <w:bookmarkEnd w:id="7"/>
      <w:bookmarkEnd w:id="36"/>
      <w:bookmarkEnd w:id="37"/>
      <w:bookmarkEnd w:id="38"/>
      <w:bookmarkEnd w:id="39"/>
    </w:p>
    <w:p w:rsidR="00DD09C1" w:rsidRDefault="00631943" w:rsidP="00DD09C1">
      <w:pPr>
        <w:pStyle w:val="TOC1"/>
        <w:spacing w:before="440"/>
        <w:rPr>
          <w:rFonts w:asciiTheme="minorHAnsi" w:eastAsiaTheme="minorEastAsia" w:hAnsiTheme="minorHAnsi" w:cstheme="minorBidi"/>
          <w:noProof/>
          <w:sz w:val="24"/>
          <w:szCs w:val="24"/>
          <w:lang w:val="en-US"/>
        </w:rPr>
      </w:pPr>
      <w:r w:rsidRPr="00631943">
        <w:rPr>
          <w:rFonts w:ascii="Avant Garde" w:hAnsi="Avant Garde"/>
        </w:rPr>
        <w:fldChar w:fldCharType="begin"/>
      </w:r>
      <w:r w:rsidR="00DD09C1">
        <w:rPr>
          <w:rFonts w:ascii="Avant Garde" w:hAnsi="Avant Garde"/>
        </w:rPr>
        <w:instrText xml:space="preserve"> TOC \o "1-2" </w:instrText>
      </w:r>
      <w:r w:rsidRPr="00631943">
        <w:rPr>
          <w:rFonts w:ascii="Avant Garde" w:hAnsi="Avant Garde"/>
        </w:rPr>
        <w:fldChar w:fldCharType="separate"/>
      </w:r>
      <w:r w:rsidR="00DD09C1">
        <w:rPr>
          <w:noProof/>
        </w:rPr>
        <w:t>Tables and figures</w:t>
      </w:r>
      <w:r w:rsidR="00DD09C1">
        <w:rPr>
          <w:noProof/>
        </w:rPr>
        <w:tab/>
      </w:r>
      <w:r>
        <w:rPr>
          <w:noProof/>
        </w:rPr>
        <w:fldChar w:fldCharType="begin"/>
      </w:r>
      <w:r w:rsidR="00DD09C1">
        <w:rPr>
          <w:noProof/>
        </w:rPr>
        <w:instrText xml:space="preserve"> PAGEREF _Toc139109060 \h </w:instrText>
      </w:r>
      <w:r>
        <w:rPr>
          <w:noProof/>
        </w:rPr>
      </w:r>
      <w:r>
        <w:rPr>
          <w:noProof/>
        </w:rPr>
        <w:fldChar w:fldCharType="separate"/>
      </w:r>
      <w:r w:rsidR="000D09B7">
        <w:rPr>
          <w:noProof/>
        </w:rPr>
        <w:t>5</w:t>
      </w:r>
      <w:r>
        <w:rPr>
          <w:noProof/>
        </w:rPr>
        <w:fldChar w:fldCharType="end"/>
      </w:r>
    </w:p>
    <w:p w:rsidR="00DD09C1" w:rsidRDefault="00DD09C1">
      <w:pPr>
        <w:pStyle w:val="TOC1"/>
        <w:rPr>
          <w:rFonts w:asciiTheme="minorHAnsi" w:eastAsiaTheme="minorEastAsia" w:hAnsiTheme="minorHAnsi" w:cstheme="minorBidi"/>
          <w:noProof/>
          <w:sz w:val="24"/>
          <w:szCs w:val="24"/>
          <w:lang w:val="en-US"/>
        </w:rPr>
      </w:pPr>
      <w:r>
        <w:rPr>
          <w:noProof/>
        </w:rPr>
        <w:t>Executive summary</w:t>
      </w:r>
      <w:r>
        <w:rPr>
          <w:noProof/>
        </w:rPr>
        <w:tab/>
      </w:r>
      <w:r w:rsidR="00631943">
        <w:rPr>
          <w:noProof/>
        </w:rPr>
        <w:fldChar w:fldCharType="begin"/>
      </w:r>
      <w:r>
        <w:rPr>
          <w:noProof/>
        </w:rPr>
        <w:instrText xml:space="preserve"> PAGEREF _Toc139109061 \h </w:instrText>
      </w:r>
      <w:r w:rsidR="00631943">
        <w:rPr>
          <w:noProof/>
        </w:rPr>
      </w:r>
      <w:r w:rsidR="00631943">
        <w:rPr>
          <w:noProof/>
        </w:rPr>
        <w:fldChar w:fldCharType="separate"/>
      </w:r>
      <w:r w:rsidR="000D09B7">
        <w:rPr>
          <w:noProof/>
        </w:rPr>
        <w:t>7</w:t>
      </w:r>
      <w:r w:rsidR="00631943">
        <w:rPr>
          <w:noProof/>
        </w:rPr>
        <w:fldChar w:fldCharType="end"/>
      </w:r>
    </w:p>
    <w:p w:rsidR="00DD09C1" w:rsidRDefault="00DD09C1">
      <w:pPr>
        <w:pStyle w:val="TOC1"/>
        <w:rPr>
          <w:rFonts w:asciiTheme="minorHAnsi" w:eastAsiaTheme="minorEastAsia" w:hAnsiTheme="minorHAnsi" w:cstheme="minorBidi"/>
          <w:noProof/>
          <w:sz w:val="24"/>
          <w:szCs w:val="24"/>
          <w:lang w:val="en-US"/>
        </w:rPr>
      </w:pPr>
      <w:r>
        <w:rPr>
          <w:noProof/>
        </w:rPr>
        <w:t>A regional analysis of the labour market for tradespersons</w:t>
      </w:r>
      <w:r>
        <w:rPr>
          <w:noProof/>
        </w:rPr>
        <w:tab/>
      </w:r>
      <w:r w:rsidR="00631943">
        <w:rPr>
          <w:noProof/>
        </w:rPr>
        <w:fldChar w:fldCharType="begin"/>
      </w:r>
      <w:r>
        <w:rPr>
          <w:noProof/>
        </w:rPr>
        <w:instrText xml:space="preserve"> PAGEREF _Toc139109062 \h </w:instrText>
      </w:r>
      <w:r w:rsidR="00631943">
        <w:rPr>
          <w:noProof/>
        </w:rPr>
      </w:r>
      <w:r w:rsidR="00631943">
        <w:rPr>
          <w:noProof/>
        </w:rPr>
        <w:fldChar w:fldCharType="separate"/>
      </w:r>
      <w:r w:rsidR="000D09B7">
        <w:rPr>
          <w:noProof/>
        </w:rPr>
        <w:t>9</w:t>
      </w:r>
      <w:r w:rsidR="00631943">
        <w:rPr>
          <w:noProof/>
        </w:rPr>
        <w:fldChar w:fldCharType="end"/>
      </w:r>
    </w:p>
    <w:p w:rsidR="00DD09C1" w:rsidRDefault="00DD09C1">
      <w:pPr>
        <w:pStyle w:val="TOC2"/>
        <w:rPr>
          <w:rFonts w:asciiTheme="minorHAnsi" w:eastAsiaTheme="minorEastAsia" w:hAnsiTheme="minorHAnsi" w:cstheme="minorBidi"/>
          <w:noProof/>
          <w:sz w:val="24"/>
          <w:szCs w:val="24"/>
          <w:lang w:val="en-US"/>
        </w:rPr>
      </w:pPr>
      <w:r>
        <w:rPr>
          <w:noProof/>
        </w:rPr>
        <w:t>Background</w:t>
      </w:r>
      <w:r>
        <w:rPr>
          <w:noProof/>
        </w:rPr>
        <w:tab/>
      </w:r>
      <w:r w:rsidR="00631943">
        <w:rPr>
          <w:noProof/>
        </w:rPr>
        <w:fldChar w:fldCharType="begin"/>
      </w:r>
      <w:r>
        <w:rPr>
          <w:noProof/>
        </w:rPr>
        <w:instrText xml:space="preserve"> PAGEREF _Toc139109063 \h </w:instrText>
      </w:r>
      <w:r w:rsidR="00631943">
        <w:rPr>
          <w:noProof/>
        </w:rPr>
      </w:r>
      <w:r w:rsidR="00631943">
        <w:rPr>
          <w:noProof/>
        </w:rPr>
        <w:fldChar w:fldCharType="separate"/>
      </w:r>
      <w:r w:rsidR="000D09B7">
        <w:rPr>
          <w:noProof/>
        </w:rPr>
        <w:t>9</w:t>
      </w:r>
      <w:r w:rsidR="00631943">
        <w:rPr>
          <w:noProof/>
        </w:rPr>
        <w:fldChar w:fldCharType="end"/>
      </w:r>
    </w:p>
    <w:p w:rsidR="00DD09C1" w:rsidRDefault="00DD09C1">
      <w:pPr>
        <w:pStyle w:val="TOC2"/>
        <w:rPr>
          <w:rFonts w:asciiTheme="minorHAnsi" w:eastAsiaTheme="minorEastAsia" w:hAnsiTheme="minorHAnsi" w:cstheme="minorBidi"/>
          <w:noProof/>
          <w:sz w:val="24"/>
          <w:szCs w:val="24"/>
          <w:lang w:val="en-US"/>
        </w:rPr>
      </w:pPr>
      <w:r>
        <w:rPr>
          <w:noProof/>
        </w:rPr>
        <w:t>Profile of tradespersons</w:t>
      </w:r>
      <w:r>
        <w:rPr>
          <w:noProof/>
        </w:rPr>
        <w:tab/>
      </w:r>
      <w:r w:rsidR="00631943">
        <w:rPr>
          <w:noProof/>
        </w:rPr>
        <w:fldChar w:fldCharType="begin"/>
      </w:r>
      <w:r>
        <w:rPr>
          <w:noProof/>
        </w:rPr>
        <w:instrText xml:space="preserve"> PAGEREF _Toc139109064 \h </w:instrText>
      </w:r>
      <w:r w:rsidR="00631943">
        <w:rPr>
          <w:noProof/>
        </w:rPr>
      </w:r>
      <w:r w:rsidR="00631943">
        <w:rPr>
          <w:noProof/>
        </w:rPr>
        <w:fldChar w:fldCharType="separate"/>
      </w:r>
      <w:r w:rsidR="000D09B7">
        <w:rPr>
          <w:noProof/>
        </w:rPr>
        <w:t>10</w:t>
      </w:r>
      <w:r w:rsidR="00631943">
        <w:rPr>
          <w:noProof/>
        </w:rPr>
        <w:fldChar w:fldCharType="end"/>
      </w:r>
    </w:p>
    <w:p w:rsidR="00DD09C1" w:rsidRDefault="00DD09C1">
      <w:pPr>
        <w:pStyle w:val="TOC2"/>
        <w:rPr>
          <w:rFonts w:asciiTheme="minorHAnsi" w:eastAsiaTheme="minorEastAsia" w:hAnsiTheme="minorHAnsi" w:cstheme="minorBidi"/>
          <w:noProof/>
          <w:sz w:val="24"/>
          <w:szCs w:val="24"/>
          <w:lang w:val="en-US"/>
        </w:rPr>
      </w:pPr>
      <w:r w:rsidRPr="00DA702F">
        <w:rPr>
          <w:noProof/>
          <w:lang w:val="en-US"/>
        </w:rPr>
        <w:t>Major changes in tradespersons</w:t>
      </w:r>
      <w:r>
        <w:rPr>
          <w:noProof/>
          <w:lang w:val="en-US"/>
        </w:rPr>
        <w:t>’</w:t>
      </w:r>
      <w:r w:rsidRPr="00DA702F">
        <w:rPr>
          <w:noProof/>
          <w:lang w:val="en-US"/>
        </w:rPr>
        <w:t xml:space="preserve"> employment</w:t>
      </w:r>
      <w:r>
        <w:rPr>
          <w:noProof/>
        </w:rPr>
        <w:tab/>
      </w:r>
      <w:r w:rsidR="00631943">
        <w:rPr>
          <w:noProof/>
        </w:rPr>
        <w:fldChar w:fldCharType="begin"/>
      </w:r>
      <w:r>
        <w:rPr>
          <w:noProof/>
        </w:rPr>
        <w:instrText xml:space="preserve"> PAGEREF _Toc139109065 \h </w:instrText>
      </w:r>
      <w:r w:rsidR="00631943">
        <w:rPr>
          <w:noProof/>
        </w:rPr>
      </w:r>
      <w:r w:rsidR="00631943">
        <w:rPr>
          <w:noProof/>
        </w:rPr>
        <w:fldChar w:fldCharType="separate"/>
      </w:r>
      <w:r w:rsidR="000D09B7">
        <w:rPr>
          <w:noProof/>
        </w:rPr>
        <w:t>15</w:t>
      </w:r>
      <w:r w:rsidR="00631943">
        <w:rPr>
          <w:noProof/>
        </w:rPr>
        <w:fldChar w:fldCharType="end"/>
      </w:r>
    </w:p>
    <w:p w:rsidR="00DD09C1" w:rsidRDefault="00DD09C1">
      <w:pPr>
        <w:pStyle w:val="TOC2"/>
        <w:rPr>
          <w:rFonts w:asciiTheme="minorHAnsi" w:eastAsiaTheme="minorEastAsia" w:hAnsiTheme="minorHAnsi" w:cstheme="minorBidi"/>
          <w:noProof/>
          <w:sz w:val="24"/>
          <w:szCs w:val="24"/>
          <w:lang w:val="en-US"/>
        </w:rPr>
      </w:pPr>
      <w:r>
        <w:rPr>
          <w:noProof/>
        </w:rPr>
        <w:t>Adjustment</w:t>
      </w:r>
      <w:r w:rsidRPr="00DA702F">
        <w:rPr>
          <w:noProof/>
          <w:lang w:val="en-US"/>
        </w:rPr>
        <w:t xml:space="preserve"> in the tradespersons</w:t>
      </w:r>
      <w:r>
        <w:rPr>
          <w:noProof/>
          <w:lang w:val="en-US"/>
        </w:rPr>
        <w:t>’</w:t>
      </w:r>
      <w:r w:rsidRPr="00DA702F">
        <w:rPr>
          <w:noProof/>
          <w:lang w:val="en-US"/>
        </w:rPr>
        <w:t xml:space="preserve"> labour market</w:t>
      </w:r>
      <w:r>
        <w:rPr>
          <w:noProof/>
        </w:rPr>
        <w:tab/>
      </w:r>
      <w:r w:rsidR="00631943">
        <w:rPr>
          <w:noProof/>
        </w:rPr>
        <w:fldChar w:fldCharType="begin"/>
      </w:r>
      <w:r>
        <w:rPr>
          <w:noProof/>
        </w:rPr>
        <w:instrText xml:space="preserve"> PAGEREF _Toc139109066 \h </w:instrText>
      </w:r>
      <w:r w:rsidR="00631943">
        <w:rPr>
          <w:noProof/>
        </w:rPr>
      </w:r>
      <w:r w:rsidR="00631943">
        <w:rPr>
          <w:noProof/>
        </w:rPr>
        <w:fldChar w:fldCharType="separate"/>
      </w:r>
      <w:r w:rsidR="000D09B7">
        <w:rPr>
          <w:noProof/>
        </w:rPr>
        <w:t>21</w:t>
      </w:r>
      <w:r w:rsidR="00631943">
        <w:rPr>
          <w:noProof/>
        </w:rPr>
        <w:fldChar w:fldCharType="end"/>
      </w:r>
    </w:p>
    <w:p w:rsidR="00DD09C1" w:rsidRDefault="00DD09C1">
      <w:pPr>
        <w:pStyle w:val="TOC1"/>
        <w:rPr>
          <w:rFonts w:asciiTheme="minorHAnsi" w:eastAsiaTheme="minorEastAsia" w:hAnsiTheme="minorHAnsi" w:cstheme="minorBidi"/>
          <w:noProof/>
          <w:sz w:val="24"/>
          <w:szCs w:val="24"/>
          <w:lang w:val="en-US"/>
        </w:rPr>
      </w:pPr>
      <w:r>
        <w:rPr>
          <w:noProof/>
        </w:rPr>
        <w:t>Conclusion</w:t>
      </w:r>
      <w:r>
        <w:rPr>
          <w:noProof/>
        </w:rPr>
        <w:tab/>
      </w:r>
      <w:r w:rsidR="00631943">
        <w:rPr>
          <w:noProof/>
        </w:rPr>
        <w:fldChar w:fldCharType="begin"/>
      </w:r>
      <w:r>
        <w:rPr>
          <w:noProof/>
        </w:rPr>
        <w:instrText xml:space="preserve"> PAGEREF _Toc139109067 \h </w:instrText>
      </w:r>
      <w:r w:rsidR="00631943">
        <w:rPr>
          <w:noProof/>
        </w:rPr>
      </w:r>
      <w:r w:rsidR="00631943">
        <w:rPr>
          <w:noProof/>
        </w:rPr>
        <w:fldChar w:fldCharType="separate"/>
      </w:r>
      <w:r w:rsidR="000D09B7">
        <w:rPr>
          <w:noProof/>
        </w:rPr>
        <w:t>36</w:t>
      </w:r>
      <w:r w:rsidR="00631943">
        <w:rPr>
          <w:noProof/>
        </w:rPr>
        <w:fldChar w:fldCharType="end"/>
      </w:r>
    </w:p>
    <w:p w:rsidR="00DD09C1" w:rsidRDefault="00DD09C1">
      <w:pPr>
        <w:pStyle w:val="TOC1"/>
        <w:rPr>
          <w:rFonts w:asciiTheme="minorHAnsi" w:eastAsiaTheme="minorEastAsia" w:hAnsiTheme="minorHAnsi" w:cstheme="minorBidi"/>
          <w:noProof/>
          <w:sz w:val="24"/>
          <w:szCs w:val="24"/>
          <w:lang w:val="en-US"/>
        </w:rPr>
      </w:pPr>
      <w:r>
        <w:rPr>
          <w:noProof/>
        </w:rPr>
        <w:t>References</w:t>
      </w:r>
      <w:r>
        <w:rPr>
          <w:noProof/>
        </w:rPr>
        <w:tab/>
      </w:r>
      <w:r w:rsidR="00631943">
        <w:rPr>
          <w:noProof/>
        </w:rPr>
        <w:fldChar w:fldCharType="begin"/>
      </w:r>
      <w:r>
        <w:rPr>
          <w:noProof/>
        </w:rPr>
        <w:instrText xml:space="preserve"> PAGEREF _Toc139109068 \h </w:instrText>
      </w:r>
      <w:r w:rsidR="00631943">
        <w:rPr>
          <w:noProof/>
        </w:rPr>
      </w:r>
      <w:r w:rsidR="00631943">
        <w:rPr>
          <w:noProof/>
        </w:rPr>
        <w:fldChar w:fldCharType="separate"/>
      </w:r>
      <w:r w:rsidR="000D09B7">
        <w:rPr>
          <w:noProof/>
        </w:rPr>
        <w:t>38</w:t>
      </w:r>
      <w:r w:rsidR="00631943">
        <w:rPr>
          <w:noProof/>
        </w:rPr>
        <w:fldChar w:fldCharType="end"/>
      </w:r>
    </w:p>
    <w:p w:rsidR="00DD09C1" w:rsidRDefault="00631943">
      <w:pPr>
        <w:pStyle w:val="TOC1"/>
      </w:pPr>
      <w:r>
        <w:fldChar w:fldCharType="end"/>
      </w:r>
    </w:p>
    <w:p w:rsidR="00DD09C1" w:rsidRDefault="00DD09C1" w:rsidP="00DD09C1">
      <w:pPr>
        <w:pStyle w:val="Heading1"/>
      </w:pPr>
      <w:r>
        <w:br w:type="page"/>
      </w:r>
      <w:bookmarkStart w:id="40" w:name="_Toc457122463"/>
      <w:r>
        <w:lastRenderedPageBreak/>
        <w:br/>
      </w:r>
      <w:r>
        <w:br/>
      </w:r>
      <w:bookmarkStart w:id="41" w:name="_Toc139109060"/>
      <w:r>
        <w:t>Tables and figures</w:t>
      </w:r>
      <w:bookmarkEnd w:id="41"/>
    </w:p>
    <w:p w:rsidR="00DD09C1" w:rsidRDefault="00631943" w:rsidP="00DD09C1">
      <w:pPr>
        <w:pStyle w:val="Heading3"/>
        <w:spacing w:before="440"/>
        <w:ind w:left="2268"/>
        <w:rPr>
          <w:noProof/>
          <w:lang w:val="en-US"/>
        </w:rPr>
      </w:pPr>
      <w:r>
        <w:fldChar w:fldCharType="begin"/>
      </w:r>
      <w:r w:rsidR="00DD09C1">
        <w:instrText xml:space="preserve"> TOC \f F \t "tabletitle" \c </w:instrText>
      </w:r>
      <w:r>
        <w:fldChar w:fldCharType="separate"/>
      </w:r>
      <w:r w:rsidR="00DD09C1" w:rsidRPr="00FE4930">
        <w:rPr>
          <w:noProof/>
          <w:lang w:val="en-US"/>
        </w:rPr>
        <w:t>Table</w:t>
      </w:r>
      <w:r w:rsidR="00DD09C1">
        <w:rPr>
          <w:noProof/>
          <w:lang w:val="en-US"/>
        </w:rPr>
        <w:t>s</w:t>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1</w:t>
      </w:r>
      <w:r>
        <w:rPr>
          <w:rFonts w:asciiTheme="minorHAnsi" w:eastAsiaTheme="minorEastAsia" w:hAnsiTheme="minorHAnsi" w:cstheme="minorBidi"/>
          <w:noProof/>
          <w:sz w:val="24"/>
          <w:szCs w:val="24"/>
          <w:lang w:val="en-US"/>
        </w:rPr>
        <w:tab/>
      </w:r>
      <w:r>
        <w:rPr>
          <w:noProof/>
        </w:rPr>
        <w:t>Distribution</w:t>
      </w:r>
      <w:r w:rsidRPr="00FE4930">
        <w:rPr>
          <w:noProof/>
          <w:lang w:val="en-US"/>
        </w:rPr>
        <w:t xml:space="preserve"> of tradespersons by industry of employment, 2006</w:t>
      </w:r>
      <w:r>
        <w:rPr>
          <w:noProof/>
        </w:rPr>
        <w:tab/>
      </w:r>
      <w:r w:rsidR="00631943">
        <w:rPr>
          <w:noProof/>
        </w:rPr>
        <w:fldChar w:fldCharType="begin"/>
      </w:r>
      <w:r>
        <w:rPr>
          <w:noProof/>
        </w:rPr>
        <w:instrText xml:space="preserve"> PAGEREF _Toc139109088 \h </w:instrText>
      </w:r>
      <w:r w:rsidR="00631943">
        <w:rPr>
          <w:noProof/>
        </w:rPr>
      </w:r>
      <w:r w:rsidR="00631943">
        <w:rPr>
          <w:noProof/>
        </w:rPr>
        <w:fldChar w:fldCharType="separate"/>
      </w:r>
      <w:r w:rsidR="000D09B7">
        <w:rPr>
          <w:noProof/>
        </w:rPr>
        <w:t>13</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2</w:t>
      </w:r>
      <w:r>
        <w:rPr>
          <w:rFonts w:asciiTheme="minorHAnsi" w:eastAsiaTheme="minorEastAsia" w:hAnsiTheme="minorHAnsi" w:cstheme="minorBidi"/>
          <w:noProof/>
          <w:sz w:val="24"/>
          <w:szCs w:val="24"/>
          <w:lang w:val="en-US"/>
        </w:rPr>
        <w:tab/>
      </w:r>
      <w:r>
        <w:rPr>
          <w:noProof/>
        </w:rPr>
        <w:t>Distribution</w:t>
      </w:r>
      <w:r w:rsidRPr="00FE4930">
        <w:rPr>
          <w:noProof/>
          <w:lang w:val="en-US"/>
        </w:rPr>
        <w:t xml:space="preserve"> of tradesperson</w:t>
      </w:r>
      <w:r>
        <w:rPr>
          <w:noProof/>
          <w:lang w:val="en-US"/>
        </w:rPr>
        <w:t>s</w:t>
      </w:r>
      <w:r w:rsidRPr="00FE4930">
        <w:rPr>
          <w:noProof/>
          <w:lang w:val="en-US"/>
        </w:rPr>
        <w:t xml:space="preserve"> by sub-group, over time</w:t>
      </w:r>
      <w:r>
        <w:rPr>
          <w:noProof/>
        </w:rPr>
        <w:tab/>
      </w:r>
      <w:r w:rsidR="00631943">
        <w:rPr>
          <w:noProof/>
        </w:rPr>
        <w:fldChar w:fldCharType="begin"/>
      </w:r>
      <w:r>
        <w:rPr>
          <w:noProof/>
        </w:rPr>
        <w:instrText xml:space="preserve"> PAGEREF _Toc139109089 \h </w:instrText>
      </w:r>
      <w:r w:rsidR="00631943">
        <w:rPr>
          <w:noProof/>
        </w:rPr>
      </w:r>
      <w:r w:rsidR="00631943">
        <w:rPr>
          <w:noProof/>
        </w:rPr>
        <w:fldChar w:fldCharType="separate"/>
      </w:r>
      <w:r w:rsidR="000D09B7">
        <w:rPr>
          <w:noProof/>
        </w:rPr>
        <w:t>17</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 xml:space="preserve">Percentage change in all persons employed by industry, state </w:t>
      </w:r>
      <w:r>
        <w:rPr>
          <w:noProof/>
        </w:rPr>
        <w:br/>
        <w:t>and region, 1996–2006</w:t>
      </w:r>
      <w:r>
        <w:rPr>
          <w:noProof/>
        </w:rPr>
        <w:tab/>
      </w:r>
      <w:r w:rsidR="00631943">
        <w:rPr>
          <w:noProof/>
        </w:rPr>
        <w:fldChar w:fldCharType="begin"/>
      </w:r>
      <w:r>
        <w:rPr>
          <w:noProof/>
        </w:rPr>
        <w:instrText xml:space="preserve"> PAGEREF _Toc139109090 \h </w:instrText>
      </w:r>
      <w:r w:rsidR="00631943">
        <w:rPr>
          <w:noProof/>
        </w:rPr>
      </w:r>
      <w:r w:rsidR="00631943">
        <w:rPr>
          <w:noProof/>
        </w:rPr>
        <w:fldChar w:fldCharType="separate"/>
      </w:r>
      <w:r w:rsidR="000D09B7">
        <w:rPr>
          <w:noProof/>
        </w:rPr>
        <w:t>21</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4</w:t>
      </w:r>
      <w:r>
        <w:rPr>
          <w:rFonts w:asciiTheme="minorHAnsi" w:eastAsiaTheme="minorEastAsia" w:hAnsiTheme="minorHAnsi" w:cstheme="minorBidi"/>
          <w:noProof/>
          <w:sz w:val="24"/>
          <w:szCs w:val="24"/>
          <w:lang w:val="en-US"/>
        </w:rPr>
        <w:tab/>
      </w:r>
      <w:r w:rsidRPr="00FE4930">
        <w:rPr>
          <w:noProof/>
          <w:lang w:val="en-US"/>
        </w:rPr>
        <w:t>Expected and actual growth of tradespersons, 2001–06</w:t>
      </w:r>
      <w:r>
        <w:rPr>
          <w:noProof/>
        </w:rPr>
        <w:tab/>
      </w:r>
      <w:r w:rsidR="00631943">
        <w:rPr>
          <w:noProof/>
        </w:rPr>
        <w:fldChar w:fldCharType="begin"/>
      </w:r>
      <w:r>
        <w:rPr>
          <w:noProof/>
        </w:rPr>
        <w:instrText xml:space="preserve"> PAGEREF _Toc139109091 \h </w:instrText>
      </w:r>
      <w:r w:rsidR="00631943">
        <w:rPr>
          <w:noProof/>
        </w:rPr>
      </w:r>
      <w:r w:rsidR="00631943">
        <w:rPr>
          <w:noProof/>
        </w:rPr>
        <w:fldChar w:fldCharType="separate"/>
      </w:r>
      <w:r w:rsidR="000D09B7">
        <w:rPr>
          <w:noProof/>
        </w:rPr>
        <w:t>23</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5</w:t>
      </w:r>
      <w:r>
        <w:rPr>
          <w:rFonts w:asciiTheme="minorHAnsi" w:eastAsiaTheme="minorEastAsia" w:hAnsiTheme="minorHAnsi" w:cstheme="minorBidi"/>
          <w:noProof/>
          <w:sz w:val="24"/>
          <w:szCs w:val="24"/>
          <w:lang w:val="en-US"/>
        </w:rPr>
        <w:tab/>
      </w:r>
      <w:r w:rsidRPr="00FE4930">
        <w:rPr>
          <w:noProof/>
          <w:lang w:val="en-US"/>
        </w:rPr>
        <w:t>Full-</w:t>
      </w:r>
      <w:r>
        <w:rPr>
          <w:noProof/>
        </w:rPr>
        <w:t>time</w:t>
      </w:r>
      <w:r w:rsidRPr="00FE4930">
        <w:rPr>
          <w:noProof/>
          <w:lang w:val="en-US"/>
        </w:rPr>
        <w:t xml:space="preserve"> earnings of tradespersons as a percentage of the </w:t>
      </w:r>
      <w:r>
        <w:rPr>
          <w:noProof/>
          <w:lang w:val="en-US"/>
        </w:rPr>
        <w:br/>
      </w:r>
      <w:r w:rsidRPr="00FE4930">
        <w:rPr>
          <w:noProof/>
          <w:lang w:val="en-US"/>
        </w:rPr>
        <w:t>median income of all workers by region, 1996 and 2006</w:t>
      </w:r>
      <w:r>
        <w:rPr>
          <w:noProof/>
        </w:rPr>
        <w:tab/>
      </w:r>
      <w:r w:rsidR="00631943">
        <w:rPr>
          <w:noProof/>
        </w:rPr>
        <w:fldChar w:fldCharType="begin"/>
      </w:r>
      <w:r>
        <w:rPr>
          <w:noProof/>
        </w:rPr>
        <w:instrText xml:space="preserve"> PAGEREF _Toc139109092 \h </w:instrText>
      </w:r>
      <w:r w:rsidR="00631943">
        <w:rPr>
          <w:noProof/>
        </w:rPr>
      </w:r>
      <w:r w:rsidR="00631943">
        <w:rPr>
          <w:noProof/>
        </w:rPr>
        <w:fldChar w:fldCharType="separate"/>
      </w:r>
      <w:r w:rsidR="000D09B7">
        <w:rPr>
          <w:noProof/>
        </w:rPr>
        <w:t>25</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6</w:t>
      </w:r>
      <w:r>
        <w:rPr>
          <w:rFonts w:asciiTheme="minorHAnsi" w:eastAsiaTheme="minorEastAsia" w:hAnsiTheme="minorHAnsi" w:cstheme="minorBidi"/>
          <w:noProof/>
          <w:sz w:val="24"/>
          <w:szCs w:val="24"/>
          <w:lang w:val="en-US"/>
        </w:rPr>
        <w:tab/>
      </w:r>
      <w:r w:rsidRPr="00FE4930">
        <w:rPr>
          <w:noProof/>
          <w:lang w:val="en-US"/>
        </w:rPr>
        <w:t xml:space="preserve">Full-time earnings as a percentage of the national median </w:t>
      </w:r>
      <w:r>
        <w:rPr>
          <w:noProof/>
          <w:lang w:val="en-US"/>
        </w:rPr>
        <w:br/>
      </w:r>
      <w:r w:rsidRPr="00FE4930">
        <w:rPr>
          <w:noProof/>
          <w:lang w:val="en-US"/>
        </w:rPr>
        <w:t>income by state</w:t>
      </w:r>
      <w:r>
        <w:rPr>
          <w:noProof/>
        </w:rPr>
        <w:tab/>
      </w:r>
      <w:r w:rsidR="00631943">
        <w:rPr>
          <w:noProof/>
        </w:rPr>
        <w:fldChar w:fldCharType="begin"/>
      </w:r>
      <w:r>
        <w:rPr>
          <w:noProof/>
        </w:rPr>
        <w:instrText xml:space="preserve"> PAGEREF _Toc139109093 \h </w:instrText>
      </w:r>
      <w:r w:rsidR="00631943">
        <w:rPr>
          <w:noProof/>
        </w:rPr>
      </w:r>
      <w:r w:rsidR="00631943">
        <w:rPr>
          <w:noProof/>
        </w:rPr>
        <w:fldChar w:fldCharType="separate"/>
      </w:r>
      <w:r w:rsidR="000D09B7">
        <w:rPr>
          <w:noProof/>
        </w:rPr>
        <w:t>26</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7</w:t>
      </w:r>
      <w:r>
        <w:rPr>
          <w:rFonts w:asciiTheme="minorHAnsi" w:eastAsiaTheme="minorEastAsia" w:hAnsiTheme="minorHAnsi" w:cstheme="minorBidi"/>
          <w:noProof/>
          <w:sz w:val="24"/>
          <w:szCs w:val="24"/>
          <w:lang w:val="en-US"/>
        </w:rPr>
        <w:tab/>
      </w:r>
      <w:r w:rsidRPr="00FE4930">
        <w:rPr>
          <w:noProof/>
          <w:lang w:val="en-US"/>
        </w:rPr>
        <w:t>Full-time tradespersons</w:t>
      </w:r>
      <w:r>
        <w:rPr>
          <w:noProof/>
          <w:lang w:val="en-US"/>
        </w:rPr>
        <w:t>’</w:t>
      </w:r>
      <w:r w:rsidRPr="00FE4930">
        <w:rPr>
          <w:noProof/>
          <w:lang w:val="en-US"/>
        </w:rPr>
        <w:t xml:space="preserve"> earnings as a percentage of all other workers</w:t>
      </w:r>
      <w:r>
        <w:rPr>
          <w:noProof/>
        </w:rPr>
        <w:tab/>
      </w:r>
      <w:r w:rsidR="00631943">
        <w:rPr>
          <w:noProof/>
        </w:rPr>
        <w:fldChar w:fldCharType="begin"/>
      </w:r>
      <w:r>
        <w:rPr>
          <w:noProof/>
        </w:rPr>
        <w:instrText xml:space="preserve"> PAGEREF _Toc139109094 \h </w:instrText>
      </w:r>
      <w:r w:rsidR="00631943">
        <w:rPr>
          <w:noProof/>
        </w:rPr>
      </w:r>
      <w:r w:rsidR="00631943">
        <w:rPr>
          <w:noProof/>
        </w:rPr>
        <w:fldChar w:fldCharType="separate"/>
      </w:r>
      <w:r w:rsidR="000D09B7">
        <w:rPr>
          <w:noProof/>
        </w:rPr>
        <w:t>27</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Pr>
          <w:noProof/>
        </w:rPr>
        <w:t>8</w:t>
      </w:r>
      <w:r>
        <w:rPr>
          <w:rFonts w:asciiTheme="minorHAnsi" w:eastAsiaTheme="minorEastAsia" w:hAnsiTheme="minorHAnsi" w:cstheme="minorBidi"/>
          <w:noProof/>
          <w:sz w:val="24"/>
          <w:szCs w:val="24"/>
          <w:lang w:val="en-US"/>
        </w:rPr>
        <w:tab/>
      </w:r>
      <w:r>
        <w:rPr>
          <w:noProof/>
        </w:rPr>
        <w:t xml:space="preserve">Total tradespersons’ percentiles share of the median income </w:t>
      </w:r>
      <w:r>
        <w:rPr>
          <w:noProof/>
        </w:rPr>
        <w:br/>
        <w:t>by region</w:t>
      </w:r>
      <w:r>
        <w:rPr>
          <w:noProof/>
        </w:rPr>
        <w:tab/>
      </w:r>
      <w:r w:rsidR="00631943">
        <w:rPr>
          <w:noProof/>
        </w:rPr>
        <w:fldChar w:fldCharType="begin"/>
      </w:r>
      <w:r>
        <w:rPr>
          <w:noProof/>
        </w:rPr>
        <w:instrText xml:space="preserve"> PAGEREF _Toc139109095 \h </w:instrText>
      </w:r>
      <w:r w:rsidR="00631943">
        <w:rPr>
          <w:noProof/>
        </w:rPr>
      </w:r>
      <w:r w:rsidR="00631943">
        <w:rPr>
          <w:noProof/>
        </w:rPr>
        <w:fldChar w:fldCharType="separate"/>
      </w:r>
      <w:r w:rsidR="000D09B7">
        <w:rPr>
          <w:noProof/>
        </w:rPr>
        <w:t>30</w:t>
      </w:r>
      <w:r w:rsidR="00631943">
        <w:rPr>
          <w:noProof/>
        </w:rPr>
        <w:fldChar w:fldCharType="end"/>
      </w:r>
    </w:p>
    <w:p w:rsidR="00DD09C1" w:rsidRDefault="00DD09C1">
      <w:pPr>
        <w:pStyle w:val="TableofFigures"/>
        <w:tabs>
          <w:tab w:val="left" w:pos="3145"/>
        </w:tabs>
        <w:rPr>
          <w:rFonts w:asciiTheme="minorHAnsi" w:eastAsiaTheme="minorEastAsia" w:hAnsiTheme="minorHAnsi" w:cstheme="minorBidi"/>
          <w:noProof/>
          <w:sz w:val="24"/>
          <w:szCs w:val="24"/>
          <w:lang w:val="en-US"/>
        </w:rPr>
      </w:pPr>
      <w:r w:rsidRPr="00FE4930">
        <w:rPr>
          <w:noProof/>
          <w:lang w:val="en-US"/>
        </w:rPr>
        <w:t>9</w:t>
      </w:r>
      <w:r>
        <w:rPr>
          <w:rFonts w:asciiTheme="minorHAnsi" w:eastAsiaTheme="minorEastAsia" w:hAnsiTheme="minorHAnsi" w:cstheme="minorBidi"/>
          <w:noProof/>
          <w:sz w:val="24"/>
          <w:szCs w:val="24"/>
          <w:lang w:val="en-US"/>
        </w:rPr>
        <w:tab/>
      </w:r>
      <w:r w:rsidRPr="00FE4930">
        <w:rPr>
          <w:noProof/>
          <w:lang w:val="en-US"/>
        </w:rPr>
        <w:t>Total tradespersons</w:t>
      </w:r>
      <w:r>
        <w:rPr>
          <w:noProof/>
          <w:lang w:val="en-US"/>
        </w:rPr>
        <w:t>’</w:t>
      </w:r>
      <w:r w:rsidRPr="00FE4930">
        <w:rPr>
          <w:noProof/>
          <w:lang w:val="en-US"/>
        </w:rPr>
        <w:t xml:space="preserve"> percentiles share of the median income </w:t>
      </w:r>
      <w:r>
        <w:rPr>
          <w:noProof/>
          <w:lang w:val="en-US"/>
        </w:rPr>
        <w:br/>
      </w:r>
      <w:r w:rsidRPr="00FE4930">
        <w:rPr>
          <w:noProof/>
          <w:lang w:val="en-US"/>
        </w:rPr>
        <w:t>by state and territory</w:t>
      </w:r>
      <w:r>
        <w:rPr>
          <w:noProof/>
        </w:rPr>
        <w:tab/>
      </w:r>
      <w:r w:rsidR="00631943">
        <w:rPr>
          <w:noProof/>
        </w:rPr>
        <w:fldChar w:fldCharType="begin"/>
      </w:r>
      <w:r>
        <w:rPr>
          <w:noProof/>
        </w:rPr>
        <w:instrText xml:space="preserve"> PAGEREF _Toc139109096 \h </w:instrText>
      </w:r>
      <w:r w:rsidR="00631943">
        <w:rPr>
          <w:noProof/>
        </w:rPr>
      </w:r>
      <w:r w:rsidR="00631943">
        <w:rPr>
          <w:noProof/>
        </w:rPr>
        <w:fldChar w:fldCharType="separate"/>
      </w:r>
      <w:r w:rsidR="000D09B7">
        <w:rPr>
          <w:noProof/>
        </w:rPr>
        <w:t>30</w:t>
      </w:r>
      <w:r w:rsidR="00631943">
        <w:rPr>
          <w:noProof/>
        </w:rPr>
        <w:fldChar w:fldCharType="end"/>
      </w:r>
    </w:p>
    <w:p w:rsidR="00DD09C1" w:rsidRDefault="00DD09C1">
      <w:pPr>
        <w:pStyle w:val="TableofFigures"/>
        <w:tabs>
          <w:tab w:val="left" w:pos="3248"/>
        </w:tabs>
        <w:rPr>
          <w:rFonts w:asciiTheme="minorHAnsi" w:eastAsiaTheme="minorEastAsia" w:hAnsiTheme="minorHAnsi" w:cstheme="minorBidi"/>
          <w:noProof/>
          <w:sz w:val="24"/>
          <w:szCs w:val="24"/>
          <w:lang w:val="en-US"/>
        </w:rPr>
      </w:pPr>
      <w:r w:rsidRPr="00FE4930">
        <w:rPr>
          <w:noProof/>
          <w:lang w:val="en-US"/>
        </w:rPr>
        <w:t>10</w:t>
      </w:r>
      <w:r>
        <w:rPr>
          <w:rFonts w:asciiTheme="minorHAnsi" w:eastAsiaTheme="minorEastAsia" w:hAnsiTheme="minorHAnsi" w:cstheme="minorBidi"/>
          <w:noProof/>
          <w:sz w:val="24"/>
          <w:szCs w:val="24"/>
          <w:lang w:val="en-US"/>
        </w:rPr>
        <w:tab/>
      </w:r>
      <w:r w:rsidRPr="00FE4930">
        <w:rPr>
          <w:noProof/>
          <w:lang w:val="en-US"/>
        </w:rPr>
        <w:t xml:space="preserve">Workers in Australia who were overseas five years previously </w:t>
      </w:r>
      <w:r>
        <w:rPr>
          <w:noProof/>
          <w:lang w:val="en-US"/>
        </w:rPr>
        <w:br/>
      </w:r>
      <w:r w:rsidRPr="00FE4930">
        <w:rPr>
          <w:noProof/>
          <w:lang w:val="en-US"/>
        </w:rPr>
        <w:t>as a percentage of all workers</w:t>
      </w:r>
      <w:r>
        <w:rPr>
          <w:noProof/>
        </w:rPr>
        <w:tab/>
      </w:r>
      <w:r w:rsidR="00631943">
        <w:rPr>
          <w:noProof/>
        </w:rPr>
        <w:fldChar w:fldCharType="begin"/>
      </w:r>
      <w:r>
        <w:rPr>
          <w:noProof/>
        </w:rPr>
        <w:instrText xml:space="preserve"> PAGEREF _Toc139109097 \h </w:instrText>
      </w:r>
      <w:r w:rsidR="00631943">
        <w:rPr>
          <w:noProof/>
        </w:rPr>
      </w:r>
      <w:r w:rsidR="00631943">
        <w:rPr>
          <w:noProof/>
        </w:rPr>
        <w:fldChar w:fldCharType="separate"/>
      </w:r>
      <w:r w:rsidR="000D09B7">
        <w:rPr>
          <w:noProof/>
        </w:rPr>
        <w:t>31</w:t>
      </w:r>
      <w:r w:rsidR="00631943">
        <w:rPr>
          <w:noProof/>
        </w:rPr>
        <w:fldChar w:fldCharType="end"/>
      </w:r>
    </w:p>
    <w:p w:rsidR="00DD09C1" w:rsidRDefault="00DD09C1">
      <w:pPr>
        <w:pStyle w:val="TableofFigures"/>
        <w:tabs>
          <w:tab w:val="left" w:pos="3248"/>
        </w:tabs>
        <w:rPr>
          <w:rFonts w:asciiTheme="minorHAnsi" w:eastAsiaTheme="minorEastAsia" w:hAnsiTheme="minorHAnsi" w:cstheme="minorBidi"/>
          <w:noProof/>
          <w:sz w:val="24"/>
          <w:szCs w:val="24"/>
          <w:lang w:val="en-US"/>
        </w:rPr>
      </w:pPr>
      <w:r w:rsidRPr="00FE4930">
        <w:rPr>
          <w:noProof/>
          <w:lang w:val="en-US"/>
        </w:rPr>
        <w:t>11</w:t>
      </w:r>
      <w:r>
        <w:rPr>
          <w:rFonts w:asciiTheme="minorHAnsi" w:eastAsiaTheme="minorEastAsia" w:hAnsiTheme="minorHAnsi" w:cstheme="minorBidi"/>
          <w:noProof/>
          <w:sz w:val="24"/>
          <w:szCs w:val="24"/>
          <w:lang w:val="en-US"/>
        </w:rPr>
        <w:tab/>
      </w:r>
      <w:r w:rsidRPr="00FE4930">
        <w:rPr>
          <w:noProof/>
          <w:lang w:val="en-US"/>
        </w:rPr>
        <w:t xml:space="preserve">Recently </w:t>
      </w:r>
      <w:r>
        <w:rPr>
          <w:noProof/>
        </w:rPr>
        <w:t>arrived</w:t>
      </w:r>
      <w:r w:rsidRPr="00FE4930">
        <w:rPr>
          <w:noProof/>
          <w:lang w:val="en-US"/>
        </w:rPr>
        <w:t xml:space="preserve"> tradespersons as a percentage of all </w:t>
      </w:r>
      <w:r>
        <w:rPr>
          <w:noProof/>
          <w:lang w:val="en-US"/>
        </w:rPr>
        <w:br/>
      </w:r>
      <w:r w:rsidRPr="00FE4930">
        <w:rPr>
          <w:noProof/>
          <w:lang w:val="en-US"/>
        </w:rPr>
        <w:t>tradespersons by type, region and state, 2001 and 2006</w:t>
      </w:r>
      <w:r>
        <w:rPr>
          <w:noProof/>
        </w:rPr>
        <w:tab/>
      </w:r>
      <w:r w:rsidR="00631943">
        <w:rPr>
          <w:noProof/>
        </w:rPr>
        <w:fldChar w:fldCharType="begin"/>
      </w:r>
      <w:r>
        <w:rPr>
          <w:noProof/>
        </w:rPr>
        <w:instrText xml:space="preserve"> PAGEREF _Toc139109098 \h </w:instrText>
      </w:r>
      <w:r w:rsidR="00631943">
        <w:rPr>
          <w:noProof/>
        </w:rPr>
      </w:r>
      <w:r w:rsidR="00631943">
        <w:rPr>
          <w:noProof/>
        </w:rPr>
        <w:fldChar w:fldCharType="separate"/>
      </w:r>
      <w:r w:rsidR="000D09B7">
        <w:rPr>
          <w:noProof/>
        </w:rPr>
        <w:t>32</w:t>
      </w:r>
      <w:r w:rsidR="00631943">
        <w:rPr>
          <w:noProof/>
        </w:rPr>
        <w:fldChar w:fldCharType="end"/>
      </w:r>
    </w:p>
    <w:p w:rsidR="00DD09C1" w:rsidRDefault="00DD09C1">
      <w:pPr>
        <w:pStyle w:val="TableofFigures"/>
        <w:tabs>
          <w:tab w:val="left" w:pos="3248"/>
        </w:tabs>
        <w:rPr>
          <w:rFonts w:asciiTheme="minorHAnsi" w:eastAsiaTheme="minorEastAsia" w:hAnsiTheme="minorHAnsi" w:cstheme="minorBidi"/>
          <w:noProof/>
          <w:sz w:val="24"/>
          <w:szCs w:val="24"/>
          <w:lang w:val="en-US"/>
        </w:rPr>
      </w:pPr>
      <w:r w:rsidRPr="00FE4930">
        <w:rPr>
          <w:noProof/>
          <w:lang w:val="en-US"/>
        </w:rPr>
        <w:t>12</w:t>
      </w:r>
      <w:r>
        <w:rPr>
          <w:rFonts w:asciiTheme="minorHAnsi" w:eastAsiaTheme="minorEastAsia" w:hAnsiTheme="minorHAnsi" w:cstheme="minorBidi"/>
          <w:noProof/>
          <w:sz w:val="24"/>
          <w:szCs w:val="24"/>
          <w:lang w:val="en-US"/>
        </w:rPr>
        <w:tab/>
      </w:r>
      <w:r w:rsidRPr="00FE4930">
        <w:rPr>
          <w:noProof/>
          <w:lang w:val="en-US"/>
        </w:rPr>
        <w:t xml:space="preserve">Recently arrived workers from overseas as a percentage of </w:t>
      </w:r>
      <w:r>
        <w:rPr>
          <w:noProof/>
          <w:lang w:val="en-US"/>
        </w:rPr>
        <w:br/>
      </w:r>
      <w:r w:rsidRPr="00FE4930">
        <w:rPr>
          <w:noProof/>
          <w:lang w:val="en-US"/>
        </w:rPr>
        <w:t>the total, Western Australia</w:t>
      </w:r>
      <w:r>
        <w:rPr>
          <w:noProof/>
        </w:rPr>
        <w:tab/>
      </w:r>
      <w:r w:rsidR="00631943">
        <w:rPr>
          <w:noProof/>
        </w:rPr>
        <w:fldChar w:fldCharType="begin"/>
      </w:r>
      <w:r>
        <w:rPr>
          <w:noProof/>
        </w:rPr>
        <w:instrText xml:space="preserve"> PAGEREF _Toc139109099 \h </w:instrText>
      </w:r>
      <w:r w:rsidR="00631943">
        <w:rPr>
          <w:noProof/>
        </w:rPr>
      </w:r>
      <w:r w:rsidR="00631943">
        <w:rPr>
          <w:noProof/>
        </w:rPr>
        <w:fldChar w:fldCharType="separate"/>
      </w:r>
      <w:r w:rsidR="000D09B7">
        <w:rPr>
          <w:noProof/>
        </w:rPr>
        <w:t>33</w:t>
      </w:r>
      <w:r w:rsidR="00631943">
        <w:rPr>
          <w:noProof/>
        </w:rPr>
        <w:fldChar w:fldCharType="end"/>
      </w:r>
    </w:p>
    <w:p w:rsidR="00DD09C1" w:rsidRDefault="00DD09C1">
      <w:pPr>
        <w:pStyle w:val="TableofFigures"/>
        <w:tabs>
          <w:tab w:val="left" w:pos="3248"/>
        </w:tabs>
        <w:rPr>
          <w:rFonts w:asciiTheme="minorHAnsi" w:eastAsiaTheme="minorEastAsia" w:hAnsiTheme="minorHAnsi" w:cstheme="minorBidi"/>
          <w:noProof/>
          <w:sz w:val="24"/>
          <w:szCs w:val="24"/>
          <w:lang w:val="en-US"/>
        </w:rPr>
      </w:pPr>
      <w:r w:rsidRPr="00FE4930">
        <w:rPr>
          <w:noProof/>
          <w:lang w:val="en-US"/>
        </w:rPr>
        <w:t>13</w:t>
      </w:r>
      <w:r>
        <w:rPr>
          <w:rFonts w:asciiTheme="minorHAnsi" w:eastAsiaTheme="minorEastAsia" w:hAnsiTheme="minorHAnsi" w:cstheme="minorBidi"/>
          <w:noProof/>
          <w:sz w:val="24"/>
          <w:szCs w:val="24"/>
          <w:lang w:val="en-US"/>
        </w:rPr>
        <w:tab/>
      </w:r>
      <w:r w:rsidRPr="00FE4930">
        <w:rPr>
          <w:noProof/>
          <w:lang w:val="en-US"/>
        </w:rPr>
        <w:t xml:space="preserve">Place of work by place of usual residence, percentage of the </w:t>
      </w:r>
      <w:r>
        <w:rPr>
          <w:noProof/>
          <w:lang w:val="en-US"/>
        </w:rPr>
        <w:br/>
      </w:r>
      <w:r w:rsidRPr="00FE4930">
        <w:rPr>
          <w:noProof/>
          <w:lang w:val="en-US"/>
        </w:rPr>
        <w:t>total tradespersons</w:t>
      </w:r>
      <w:r>
        <w:rPr>
          <w:noProof/>
          <w:lang w:val="en-US"/>
        </w:rPr>
        <w:t>’</w:t>
      </w:r>
      <w:r w:rsidRPr="00FE4930">
        <w:rPr>
          <w:noProof/>
          <w:lang w:val="en-US"/>
        </w:rPr>
        <w:t xml:space="preserve"> workforce, 2006</w:t>
      </w:r>
      <w:r>
        <w:rPr>
          <w:noProof/>
        </w:rPr>
        <w:tab/>
      </w:r>
      <w:r w:rsidR="00631943">
        <w:rPr>
          <w:noProof/>
        </w:rPr>
        <w:fldChar w:fldCharType="begin"/>
      </w:r>
      <w:r>
        <w:rPr>
          <w:noProof/>
        </w:rPr>
        <w:instrText xml:space="preserve"> PAGEREF _Toc139109100 \h </w:instrText>
      </w:r>
      <w:r w:rsidR="00631943">
        <w:rPr>
          <w:noProof/>
        </w:rPr>
      </w:r>
      <w:r w:rsidR="00631943">
        <w:rPr>
          <w:noProof/>
        </w:rPr>
        <w:fldChar w:fldCharType="separate"/>
      </w:r>
      <w:r w:rsidR="000D09B7">
        <w:rPr>
          <w:noProof/>
        </w:rPr>
        <w:t>34</w:t>
      </w:r>
      <w:r w:rsidR="00631943">
        <w:rPr>
          <w:noProof/>
        </w:rPr>
        <w:fldChar w:fldCharType="end"/>
      </w:r>
    </w:p>
    <w:p w:rsidR="00DD09C1" w:rsidRDefault="00DD09C1">
      <w:pPr>
        <w:pStyle w:val="TableofFigures"/>
        <w:tabs>
          <w:tab w:val="left" w:pos="3248"/>
        </w:tabs>
        <w:rPr>
          <w:rFonts w:asciiTheme="minorHAnsi" w:eastAsiaTheme="minorEastAsia" w:hAnsiTheme="minorHAnsi" w:cstheme="minorBidi"/>
          <w:noProof/>
          <w:sz w:val="24"/>
          <w:szCs w:val="24"/>
          <w:lang w:val="en-US"/>
        </w:rPr>
      </w:pPr>
      <w:r w:rsidRPr="00FE4930">
        <w:rPr>
          <w:noProof/>
          <w:lang w:val="en-US"/>
        </w:rPr>
        <w:t>14</w:t>
      </w:r>
      <w:r>
        <w:rPr>
          <w:rFonts w:asciiTheme="minorHAnsi" w:eastAsiaTheme="minorEastAsia" w:hAnsiTheme="minorHAnsi" w:cstheme="minorBidi"/>
          <w:noProof/>
          <w:sz w:val="24"/>
          <w:szCs w:val="24"/>
          <w:lang w:val="en-US"/>
        </w:rPr>
        <w:tab/>
      </w:r>
      <w:r w:rsidRPr="00FE4930">
        <w:rPr>
          <w:noProof/>
          <w:lang w:val="en-US"/>
        </w:rPr>
        <w:t xml:space="preserve">Place of </w:t>
      </w:r>
      <w:r>
        <w:rPr>
          <w:noProof/>
        </w:rPr>
        <w:t>work</w:t>
      </w:r>
      <w:r w:rsidRPr="00FE4930">
        <w:rPr>
          <w:noProof/>
          <w:lang w:val="en-US"/>
        </w:rPr>
        <w:t xml:space="preserve"> by place of usual residence, percentage of the </w:t>
      </w:r>
      <w:r>
        <w:rPr>
          <w:noProof/>
          <w:lang w:val="en-US"/>
        </w:rPr>
        <w:br/>
      </w:r>
      <w:r w:rsidRPr="00FE4930">
        <w:rPr>
          <w:noProof/>
          <w:lang w:val="en-US"/>
        </w:rPr>
        <w:t>total tradespersons</w:t>
      </w:r>
      <w:r>
        <w:rPr>
          <w:noProof/>
          <w:lang w:val="en-US"/>
        </w:rPr>
        <w:t>’</w:t>
      </w:r>
      <w:r w:rsidRPr="00FE4930">
        <w:rPr>
          <w:noProof/>
          <w:lang w:val="en-US"/>
        </w:rPr>
        <w:t xml:space="preserve"> workforce, Western Australia</w:t>
      </w:r>
      <w:r>
        <w:rPr>
          <w:noProof/>
        </w:rPr>
        <w:tab/>
      </w:r>
      <w:r w:rsidR="00631943">
        <w:rPr>
          <w:noProof/>
        </w:rPr>
        <w:fldChar w:fldCharType="begin"/>
      </w:r>
      <w:r>
        <w:rPr>
          <w:noProof/>
        </w:rPr>
        <w:instrText xml:space="preserve"> PAGEREF _Toc139109101 \h </w:instrText>
      </w:r>
      <w:r w:rsidR="00631943">
        <w:rPr>
          <w:noProof/>
        </w:rPr>
      </w:r>
      <w:r w:rsidR="00631943">
        <w:rPr>
          <w:noProof/>
        </w:rPr>
        <w:fldChar w:fldCharType="separate"/>
      </w:r>
      <w:r w:rsidR="000D09B7">
        <w:rPr>
          <w:noProof/>
        </w:rPr>
        <w:t>35</w:t>
      </w:r>
      <w:r w:rsidR="00631943">
        <w:rPr>
          <w:noProof/>
        </w:rPr>
        <w:fldChar w:fldCharType="end"/>
      </w:r>
    </w:p>
    <w:p w:rsidR="00DD09C1" w:rsidRDefault="00631943" w:rsidP="00DD09C1">
      <w:pPr>
        <w:pStyle w:val="Heading3"/>
        <w:ind w:left="2268"/>
        <w:rPr>
          <w:noProof/>
        </w:rPr>
      </w:pPr>
      <w:r>
        <w:fldChar w:fldCharType="end"/>
      </w:r>
      <w:r w:rsidRPr="00631943">
        <w:fldChar w:fldCharType="begin"/>
      </w:r>
      <w:r w:rsidR="00DD09C1">
        <w:instrText xml:space="preserve"> TOC \t "Figuretitle" \c </w:instrText>
      </w:r>
      <w:r w:rsidRPr="00631943">
        <w:fldChar w:fldCharType="separate"/>
      </w:r>
      <w:r w:rsidR="00DD09C1">
        <w:rPr>
          <w:noProof/>
        </w:rPr>
        <w:t>Figures</w:t>
      </w:r>
    </w:p>
    <w:p w:rsidR="00DD09C1" w:rsidRPr="00B565DD" w:rsidRDefault="00DD09C1" w:rsidP="00DD09C1">
      <w:pPr>
        <w:pStyle w:val="TableofFigures"/>
        <w:rPr>
          <w:noProof/>
        </w:rPr>
      </w:pPr>
      <w:r>
        <w:rPr>
          <w:noProof/>
        </w:rPr>
        <w:t>1</w:t>
      </w:r>
      <w:r>
        <w:rPr>
          <w:rFonts w:asciiTheme="minorHAnsi" w:eastAsiaTheme="minorEastAsia" w:hAnsiTheme="minorHAnsi" w:cstheme="minorBidi"/>
          <w:noProof/>
          <w:sz w:val="24"/>
          <w:szCs w:val="24"/>
          <w:lang w:val="en-US"/>
        </w:rPr>
        <w:tab/>
      </w:r>
      <w:r>
        <w:rPr>
          <w:noProof/>
        </w:rPr>
        <w:t>Distribution of tradespersons by age, 2006, %</w:t>
      </w:r>
      <w:r>
        <w:rPr>
          <w:noProof/>
        </w:rPr>
        <w:tab/>
      </w:r>
      <w:r w:rsidR="00631943">
        <w:rPr>
          <w:noProof/>
        </w:rPr>
        <w:fldChar w:fldCharType="begin"/>
      </w:r>
      <w:r>
        <w:rPr>
          <w:noProof/>
        </w:rPr>
        <w:instrText xml:space="preserve"> PAGEREF _Toc139109110 \h </w:instrText>
      </w:r>
      <w:r w:rsidR="00631943">
        <w:rPr>
          <w:noProof/>
        </w:rPr>
      </w:r>
      <w:r w:rsidR="00631943">
        <w:rPr>
          <w:noProof/>
        </w:rPr>
        <w:fldChar w:fldCharType="separate"/>
      </w:r>
      <w:r w:rsidR="000D09B7">
        <w:rPr>
          <w:noProof/>
        </w:rPr>
        <w:t>11</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2</w:t>
      </w:r>
      <w:r>
        <w:rPr>
          <w:rFonts w:asciiTheme="minorHAnsi" w:eastAsiaTheme="minorEastAsia" w:hAnsiTheme="minorHAnsi" w:cstheme="minorBidi"/>
          <w:noProof/>
          <w:sz w:val="24"/>
          <w:szCs w:val="24"/>
          <w:lang w:val="en-US"/>
        </w:rPr>
        <w:tab/>
      </w:r>
      <w:r>
        <w:rPr>
          <w:noProof/>
        </w:rPr>
        <w:t>Percentage of tradespersons’ workforce qualified, 2006</w:t>
      </w:r>
      <w:r>
        <w:rPr>
          <w:noProof/>
        </w:rPr>
        <w:tab/>
      </w:r>
      <w:r w:rsidR="00631943">
        <w:rPr>
          <w:noProof/>
        </w:rPr>
        <w:fldChar w:fldCharType="begin"/>
      </w:r>
      <w:r>
        <w:rPr>
          <w:noProof/>
        </w:rPr>
        <w:instrText xml:space="preserve"> PAGEREF _Toc139109111 \h </w:instrText>
      </w:r>
      <w:r w:rsidR="00631943">
        <w:rPr>
          <w:noProof/>
        </w:rPr>
      </w:r>
      <w:r w:rsidR="00631943">
        <w:rPr>
          <w:noProof/>
        </w:rPr>
        <w:fldChar w:fldCharType="separate"/>
      </w:r>
      <w:r w:rsidR="000D09B7">
        <w:rPr>
          <w:noProof/>
        </w:rPr>
        <w:t>12</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3</w:t>
      </w:r>
      <w:r>
        <w:rPr>
          <w:rFonts w:asciiTheme="minorHAnsi" w:eastAsiaTheme="minorEastAsia" w:hAnsiTheme="minorHAnsi" w:cstheme="minorBidi"/>
          <w:noProof/>
          <w:sz w:val="24"/>
          <w:szCs w:val="24"/>
          <w:lang w:val="en-US"/>
        </w:rPr>
        <w:tab/>
      </w:r>
      <w:r>
        <w:rPr>
          <w:noProof/>
        </w:rPr>
        <w:t>Distribution of tradespersons by sub-group, %</w:t>
      </w:r>
      <w:r>
        <w:rPr>
          <w:noProof/>
        </w:rPr>
        <w:tab/>
      </w:r>
      <w:r w:rsidR="00631943">
        <w:rPr>
          <w:noProof/>
        </w:rPr>
        <w:fldChar w:fldCharType="begin"/>
      </w:r>
      <w:r>
        <w:rPr>
          <w:noProof/>
        </w:rPr>
        <w:instrText xml:space="preserve"> PAGEREF _Toc139109112 \h </w:instrText>
      </w:r>
      <w:r w:rsidR="00631943">
        <w:rPr>
          <w:noProof/>
        </w:rPr>
      </w:r>
      <w:r w:rsidR="00631943">
        <w:rPr>
          <w:noProof/>
        </w:rPr>
        <w:fldChar w:fldCharType="separate"/>
      </w:r>
      <w:r w:rsidR="000D09B7">
        <w:rPr>
          <w:noProof/>
        </w:rPr>
        <w:t>12</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4</w:t>
      </w:r>
      <w:r>
        <w:rPr>
          <w:rFonts w:asciiTheme="minorHAnsi" w:eastAsiaTheme="minorEastAsia" w:hAnsiTheme="minorHAnsi" w:cstheme="minorBidi"/>
          <w:noProof/>
          <w:sz w:val="24"/>
          <w:szCs w:val="24"/>
          <w:lang w:val="en-US"/>
        </w:rPr>
        <w:tab/>
      </w:r>
      <w:r>
        <w:rPr>
          <w:noProof/>
        </w:rPr>
        <w:t>Weekly median income by occupation, 2006, $</w:t>
      </w:r>
      <w:r>
        <w:rPr>
          <w:noProof/>
        </w:rPr>
        <w:tab/>
      </w:r>
      <w:r w:rsidR="00631943">
        <w:rPr>
          <w:noProof/>
        </w:rPr>
        <w:fldChar w:fldCharType="begin"/>
      </w:r>
      <w:r>
        <w:rPr>
          <w:noProof/>
        </w:rPr>
        <w:instrText xml:space="preserve"> PAGEREF _Toc139109113 \h </w:instrText>
      </w:r>
      <w:r w:rsidR="00631943">
        <w:rPr>
          <w:noProof/>
        </w:rPr>
      </w:r>
      <w:r w:rsidR="00631943">
        <w:rPr>
          <w:noProof/>
        </w:rPr>
        <w:fldChar w:fldCharType="separate"/>
      </w:r>
      <w:r w:rsidR="000D09B7">
        <w:rPr>
          <w:noProof/>
        </w:rPr>
        <w:t>13</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5</w:t>
      </w:r>
      <w:r>
        <w:rPr>
          <w:rFonts w:asciiTheme="minorHAnsi" w:eastAsiaTheme="minorEastAsia" w:hAnsiTheme="minorHAnsi" w:cstheme="minorBidi"/>
          <w:noProof/>
          <w:sz w:val="24"/>
          <w:szCs w:val="24"/>
          <w:lang w:val="en-US"/>
        </w:rPr>
        <w:tab/>
      </w:r>
      <w:r>
        <w:rPr>
          <w:noProof/>
        </w:rPr>
        <w:t>Distribution of tradespersons by state, 2006, %</w:t>
      </w:r>
      <w:r>
        <w:rPr>
          <w:noProof/>
        </w:rPr>
        <w:tab/>
      </w:r>
      <w:r w:rsidR="00631943">
        <w:rPr>
          <w:noProof/>
        </w:rPr>
        <w:fldChar w:fldCharType="begin"/>
      </w:r>
      <w:r>
        <w:rPr>
          <w:noProof/>
        </w:rPr>
        <w:instrText xml:space="preserve"> PAGEREF _Toc139109114 \h </w:instrText>
      </w:r>
      <w:r w:rsidR="00631943">
        <w:rPr>
          <w:noProof/>
        </w:rPr>
      </w:r>
      <w:r w:rsidR="00631943">
        <w:rPr>
          <w:noProof/>
        </w:rPr>
        <w:fldChar w:fldCharType="separate"/>
      </w:r>
      <w:r w:rsidR="000D09B7">
        <w:rPr>
          <w:noProof/>
        </w:rPr>
        <w:t>14</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6</w:t>
      </w:r>
      <w:r>
        <w:rPr>
          <w:rFonts w:asciiTheme="minorHAnsi" w:eastAsiaTheme="minorEastAsia" w:hAnsiTheme="minorHAnsi" w:cstheme="minorBidi"/>
          <w:noProof/>
          <w:sz w:val="24"/>
          <w:szCs w:val="24"/>
          <w:lang w:val="en-US"/>
        </w:rPr>
        <w:tab/>
      </w:r>
      <w:r>
        <w:rPr>
          <w:noProof/>
        </w:rPr>
        <w:t>Distribution of tradespersons by region, 2006, %</w:t>
      </w:r>
      <w:r>
        <w:rPr>
          <w:noProof/>
        </w:rPr>
        <w:tab/>
      </w:r>
      <w:r w:rsidR="00631943">
        <w:rPr>
          <w:noProof/>
        </w:rPr>
        <w:fldChar w:fldCharType="begin"/>
      </w:r>
      <w:r>
        <w:rPr>
          <w:noProof/>
        </w:rPr>
        <w:instrText xml:space="preserve"> PAGEREF _Toc139109115 \h </w:instrText>
      </w:r>
      <w:r w:rsidR="00631943">
        <w:rPr>
          <w:noProof/>
        </w:rPr>
      </w:r>
      <w:r w:rsidR="00631943">
        <w:rPr>
          <w:noProof/>
        </w:rPr>
        <w:fldChar w:fldCharType="separate"/>
      </w:r>
      <w:r w:rsidR="000D09B7">
        <w:rPr>
          <w:noProof/>
        </w:rPr>
        <w:t>15</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Pr>
          <w:noProof/>
        </w:rPr>
        <w:br w:type="page"/>
      </w:r>
      <w:r>
        <w:rPr>
          <w:noProof/>
        </w:rPr>
        <w:lastRenderedPageBreak/>
        <w:t>7</w:t>
      </w:r>
      <w:r>
        <w:rPr>
          <w:rFonts w:asciiTheme="minorHAnsi" w:eastAsiaTheme="minorEastAsia" w:hAnsiTheme="minorHAnsi" w:cstheme="minorBidi"/>
          <w:noProof/>
          <w:sz w:val="24"/>
          <w:szCs w:val="24"/>
          <w:lang w:val="en-US"/>
        </w:rPr>
        <w:tab/>
      </w:r>
      <w:r>
        <w:rPr>
          <w:noProof/>
        </w:rPr>
        <w:t>Distribution of tradespersons by age, 1991–2006, %</w:t>
      </w:r>
      <w:r>
        <w:rPr>
          <w:noProof/>
        </w:rPr>
        <w:tab/>
      </w:r>
      <w:r w:rsidR="00631943">
        <w:rPr>
          <w:noProof/>
        </w:rPr>
        <w:fldChar w:fldCharType="begin"/>
      </w:r>
      <w:r>
        <w:rPr>
          <w:noProof/>
        </w:rPr>
        <w:instrText xml:space="preserve"> PAGEREF _Toc139109116 \h </w:instrText>
      </w:r>
      <w:r w:rsidR="00631943">
        <w:rPr>
          <w:noProof/>
        </w:rPr>
      </w:r>
      <w:r w:rsidR="00631943">
        <w:rPr>
          <w:noProof/>
        </w:rPr>
        <w:fldChar w:fldCharType="separate"/>
      </w:r>
      <w:r w:rsidR="000D09B7">
        <w:rPr>
          <w:noProof/>
        </w:rPr>
        <w:t>15</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Pr>
          <w:noProof/>
        </w:rPr>
        <w:t>8</w:t>
      </w:r>
      <w:r>
        <w:rPr>
          <w:rFonts w:asciiTheme="minorHAnsi" w:eastAsiaTheme="minorEastAsia" w:hAnsiTheme="minorHAnsi" w:cstheme="minorBidi"/>
          <w:noProof/>
          <w:sz w:val="24"/>
          <w:szCs w:val="24"/>
          <w:lang w:val="en-US"/>
        </w:rPr>
        <w:tab/>
      </w:r>
      <w:r>
        <w:rPr>
          <w:noProof/>
        </w:rPr>
        <w:t>Tradespersons’ workforce qualified, %</w:t>
      </w:r>
      <w:r>
        <w:rPr>
          <w:noProof/>
        </w:rPr>
        <w:tab/>
      </w:r>
      <w:r w:rsidR="00631943">
        <w:rPr>
          <w:noProof/>
        </w:rPr>
        <w:fldChar w:fldCharType="begin"/>
      </w:r>
      <w:r>
        <w:rPr>
          <w:noProof/>
        </w:rPr>
        <w:instrText xml:space="preserve"> PAGEREF _Toc139109117 \h </w:instrText>
      </w:r>
      <w:r w:rsidR="00631943">
        <w:rPr>
          <w:noProof/>
        </w:rPr>
      </w:r>
      <w:r w:rsidR="00631943">
        <w:rPr>
          <w:noProof/>
        </w:rPr>
        <w:fldChar w:fldCharType="separate"/>
      </w:r>
      <w:r w:rsidR="000D09B7">
        <w:rPr>
          <w:noProof/>
        </w:rPr>
        <w:t>16</w:t>
      </w:r>
      <w:r w:rsidR="00631943">
        <w:rPr>
          <w:noProof/>
        </w:rPr>
        <w:fldChar w:fldCharType="end"/>
      </w:r>
    </w:p>
    <w:p w:rsidR="00DD09C1" w:rsidRDefault="00DD09C1">
      <w:pPr>
        <w:pStyle w:val="TableofFigures"/>
        <w:tabs>
          <w:tab w:val="left" w:pos="3212"/>
        </w:tabs>
        <w:rPr>
          <w:rFonts w:asciiTheme="minorHAnsi" w:eastAsiaTheme="minorEastAsia" w:hAnsiTheme="minorHAnsi" w:cstheme="minorBidi"/>
          <w:noProof/>
          <w:sz w:val="24"/>
          <w:szCs w:val="24"/>
          <w:lang w:val="en-US"/>
        </w:rPr>
      </w:pPr>
      <w:r w:rsidRPr="004E2FF6">
        <w:rPr>
          <w:noProof/>
          <w:lang w:val="en-US"/>
        </w:rPr>
        <w:t>9</w:t>
      </w:r>
      <w:r>
        <w:rPr>
          <w:rFonts w:asciiTheme="minorHAnsi" w:eastAsiaTheme="minorEastAsia" w:hAnsiTheme="minorHAnsi" w:cstheme="minorBidi"/>
          <w:noProof/>
          <w:sz w:val="24"/>
          <w:szCs w:val="24"/>
          <w:lang w:val="en-US"/>
        </w:rPr>
        <w:tab/>
      </w:r>
      <w:r w:rsidRPr="004E2FF6">
        <w:rPr>
          <w:noProof/>
          <w:lang w:val="en-US"/>
        </w:rPr>
        <w:t>Tradespersons as a percentage of the workforce by industry</w:t>
      </w:r>
      <w:r>
        <w:rPr>
          <w:noProof/>
        </w:rPr>
        <w:tab/>
      </w:r>
      <w:r w:rsidR="00631943">
        <w:rPr>
          <w:noProof/>
        </w:rPr>
        <w:fldChar w:fldCharType="begin"/>
      </w:r>
      <w:r>
        <w:rPr>
          <w:noProof/>
        </w:rPr>
        <w:instrText xml:space="preserve"> PAGEREF _Toc139109118 \h </w:instrText>
      </w:r>
      <w:r w:rsidR="00631943">
        <w:rPr>
          <w:noProof/>
        </w:rPr>
      </w:r>
      <w:r w:rsidR="00631943">
        <w:rPr>
          <w:noProof/>
        </w:rPr>
        <w:fldChar w:fldCharType="separate"/>
      </w:r>
      <w:r w:rsidR="000D09B7">
        <w:rPr>
          <w:noProof/>
        </w:rPr>
        <w:t>18</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10</w:t>
      </w:r>
      <w:r>
        <w:rPr>
          <w:rFonts w:asciiTheme="minorHAnsi" w:eastAsiaTheme="minorEastAsia" w:hAnsiTheme="minorHAnsi" w:cstheme="minorBidi"/>
          <w:noProof/>
          <w:sz w:val="24"/>
          <w:szCs w:val="24"/>
          <w:lang w:val="en-US"/>
        </w:rPr>
        <w:tab/>
      </w:r>
      <w:r>
        <w:rPr>
          <w:noProof/>
        </w:rPr>
        <w:t>Percentage of all tradespersons employed by industry, %</w:t>
      </w:r>
      <w:r>
        <w:rPr>
          <w:noProof/>
        </w:rPr>
        <w:tab/>
      </w:r>
      <w:r w:rsidR="00631943">
        <w:rPr>
          <w:noProof/>
        </w:rPr>
        <w:fldChar w:fldCharType="begin"/>
      </w:r>
      <w:r>
        <w:rPr>
          <w:noProof/>
        </w:rPr>
        <w:instrText xml:space="preserve"> PAGEREF _Toc139109119 \h </w:instrText>
      </w:r>
      <w:r w:rsidR="00631943">
        <w:rPr>
          <w:noProof/>
        </w:rPr>
      </w:r>
      <w:r w:rsidR="00631943">
        <w:rPr>
          <w:noProof/>
        </w:rPr>
        <w:fldChar w:fldCharType="separate"/>
      </w:r>
      <w:r w:rsidR="000D09B7">
        <w:rPr>
          <w:noProof/>
        </w:rPr>
        <w:t>18</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11</w:t>
      </w:r>
      <w:r>
        <w:rPr>
          <w:rFonts w:asciiTheme="minorHAnsi" w:eastAsiaTheme="minorEastAsia" w:hAnsiTheme="minorHAnsi" w:cstheme="minorBidi"/>
          <w:noProof/>
          <w:sz w:val="24"/>
          <w:szCs w:val="24"/>
          <w:lang w:val="en-US"/>
        </w:rPr>
        <w:tab/>
      </w:r>
      <w:r w:rsidRPr="004E2FF6">
        <w:rPr>
          <w:noProof/>
          <w:lang w:val="en-US"/>
        </w:rPr>
        <w:t>Median earnings relative to all employed, %</w:t>
      </w:r>
      <w:r>
        <w:rPr>
          <w:noProof/>
        </w:rPr>
        <w:tab/>
      </w:r>
      <w:r w:rsidR="00631943">
        <w:rPr>
          <w:noProof/>
        </w:rPr>
        <w:fldChar w:fldCharType="begin"/>
      </w:r>
      <w:r>
        <w:rPr>
          <w:noProof/>
        </w:rPr>
        <w:instrText xml:space="preserve"> PAGEREF _Toc139109120 \h </w:instrText>
      </w:r>
      <w:r w:rsidR="00631943">
        <w:rPr>
          <w:noProof/>
        </w:rPr>
      </w:r>
      <w:r w:rsidR="00631943">
        <w:rPr>
          <w:noProof/>
        </w:rPr>
        <w:fldChar w:fldCharType="separate"/>
      </w:r>
      <w:r w:rsidR="000D09B7">
        <w:rPr>
          <w:noProof/>
        </w:rPr>
        <w:t>19</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12</w:t>
      </w:r>
      <w:r>
        <w:rPr>
          <w:rFonts w:asciiTheme="minorHAnsi" w:eastAsiaTheme="minorEastAsia" w:hAnsiTheme="minorHAnsi" w:cstheme="minorBidi"/>
          <w:noProof/>
          <w:sz w:val="24"/>
          <w:szCs w:val="24"/>
          <w:lang w:val="en-US"/>
        </w:rPr>
        <w:tab/>
      </w:r>
      <w:r>
        <w:rPr>
          <w:noProof/>
        </w:rPr>
        <w:t>Tradespersons by state, %</w:t>
      </w:r>
      <w:r>
        <w:rPr>
          <w:noProof/>
        </w:rPr>
        <w:tab/>
      </w:r>
      <w:r w:rsidR="00631943">
        <w:rPr>
          <w:noProof/>
        </w:rPr>
        <w:fldChar w:fldCharType="begin"/>
      </w:r>
      <w:r>
        <w:rPr>
          <w:noProof/>
        </w:rPr>
        <w:instrText xml:space="preserve"> PAGEREF _Toc139109121 \h </w:instrText>
      </w:r>
      <w:r w:rsidR="00631943">
        <w:rPr>
          <w:noProof/>
        </w:rPr>
      </w:r>
      <w:r w:rsidR="00631943">
        <w:rPr>
          <w:noProof/>
        </w:rPr>
        <w:fldChar w:fldCharType="separate"/>
      </w:r>
      <w:r w:rsidR="000D09B7">
        <w:rPr>
          <w:noProof/>
        </w:rPr>
        <w:t>20</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13</w:t>
      </w:r>
      <w:r>
        <w:rPr>
          <w:rFonts w:asciiTheme="minorHAnsi" w:eastAsiaTheme="minorEastAsia" w:hAnsiTheme="minorHAnsi" w:cstheme="minorBidi"/>
          <w:noProof/>
          <w:sz w:val="24"/>
          <w:szCs w:val="24"/>
          <w:lang w:val="en-US"/>
        </w:rPr>
        <w:tab/>
      </w:r>
      <w:r w:rsidRPr="004E2FF6">
        <w:rPr>
          <w:noProof/>
          <w:lang w:val="en-US"/>
        </w:rPr>
        <w:t>Tradespersons by region, %</w:t>
      </w:r>
      <w:r>
        <w:rPr>
          <w:noProof/>
        </w:rPr>
        <w:tab/>
      </w:r>
      <w:r w:rsidR="00631943">
        <w:rPr>
          <w:noProof/>
        </w:rPr>
        <w:fldChar w:fldCharType="begin"/>
      </w:r>
      <w:r>
        <w:rPr>
          <w:noProof/>
        </w:rPr>
        <w:instrText xml:space="preserve"> PAGEREF _Toc139109122 \h </w:instrText>
      </w:r>
      <w:r w:rsidR="00631943">
        <w:rPr>
          <w:noProof/>
        </w:rPr>
      </w:r>
      <w:r w:rsidR="00631943">
        <w:rPr>
          <w:noProof/>
        </w:rPr>
        <w:fldChar w:fldCharType="separate"/>
      </w:r>
      <w:r w:rsidR="000D09B7">
        <w:rPr>
          <w:noProof/>
        </w:rPr>
        <w:t>21</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Pr>
          <w:noProof/>
        </w:rPr>
        <w:t>14</w:t>
      </w:r>
      <w:r>
        <w:rPr>
          <w:rFonts w:asciiTheme="minorHAnsi" w:eastAsiaTheme="minorEastAsia" w:hAnsiTheme="minorHAnsi" w:cstheme="minorBidi"/>
          <w:noProof/>
          <w:sz w:val="24"/>
          <w:szCs w:val="24"/>
          <w:lang w:val="en-US"/>
        </w:rPr>
        <w:tab/>
      </w:r>
      <w:r>
        <w:rPr>
          <w:noProof/>
        </w:rPr>
        <w:t>Demand and supply of tradespersons, 2006</w:t>
      </w:r>
      <w:r>
        <w:rPr>
          <w:noProof/>
        </w:rPr>
        <w:tab/>
      </w:r>
      <w:r w:rsidR="00631943">
        <w:rPr>
          <w:noProof/>
        </w:rPr>
        <w:fldChar w:fldCharType="begin"/>
      </w:r>
      <w:r>
        <w:rPr>
          <w:noProof/>
        </w:rPr>
        <w:instrText xml:space="preserve"> PAGEREF _Toc139109123 \h </w:instrText>
      </w:r>
      <w:r w:rsidR="00631943">
        <w:rPr>
          <w:noProof/>
        </w:rPr>
      </w:r>
      <w:r w:rsidR="00631943">
        <w:rPr>
          <w:noProof/>
        </w:rPr>
        <w:fldChar w:fldCharType="separate"/>
      </w:r>
      <w:r w:rsidR="000D09B7">
        <w:rPr>
          <w:noProof/>
        </w:rPr>
        <w:t>24</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15</w:t>
      </w:r>
      <w:r>
        <w:rPr>
          <w:rFonts w:asciiTheme="minorHAnsi" w:eastAsiaTheme="minorEastAsia" w:hAnsiTheme="minorHAnsi" w:cstheme="minorBidi"/>
          <w:noProof/>
          <w:sz w:val="24"/>
          <w:szCs w:val="24"/>
          <w:lang w:val="en-US"/>
        </w:rPr>
        <w:tab/>
      </w:r>
      <w:r w:rsidRPr="004E2FF6">
        <w:rPr>
          <w:noProof/>
          <w:lang w:val="en-US"/>
        </w:rPr>
        <w:t>Trade occupations ratio of 20th percentile to median weekly earnings, 1991–2006</w:t>
      </w:r>
      <w:r>
        <w:rPr>
          <w:noProof/>
        </w:rPr>
        <w:tab/>
      </w:r>
      <w:r w:rsidR="00631943">
        <w:rPr>
          <w:noProof/>
        </w:rPr>
        <w:fldChar w:fldCharType="begin"/>
      </w:r>
      <w:r>
        <w:rPr>
          <w:noProof/>
        </w:rPr>
        <w:instrText xml:space="preserve"> PAGEREF _Toc139109124 \h </w:instrText>
      </w:r>
      <w:r w:rsidR="00631943">
        <w:rPr>
          <w:noProof/>
        </w:rPr>
      </w:r>
      <w:r w:rsidR="00631943">
        <w:rPr>
          <w:noProof/>
        </w:rPr>
        <w:fldChar w:fldCharType="separate"/>
      </w:r>
      <w:r w:rsidR="000D09B7">
        <w:rPr>
          <w:noProof/>
        </w:rPr>
        <w:t>29</w:t>
      </w:r>
      <w:r w:rsidR="00631943">
        <w:rPr>
          <w:noProof/>
        </w:rPr>
        <w:fldChar w:fldCharType="end"/>
      </w:r>
    </w:p>
    <w:p w:rsidR="00DD09C1" w:rsidRDefault="00DD09C1">
      <w:pPr>
        <w:pStyle w:val="TableofFigures"/>
        <w:tabs>
          <w:tab w:val="left" w:pos="3315"/>
        </w:tabs>
        <w:rPr>
          <w:rFonts w:asciiTheme="minorHAnsi" w:eastAsiaTheme="minorEastAsia" w:hAnsiTheme="minorHAnsi" w:cstheme="minorBidi"/>
          <w:noProof/>
          <w:sz w:val="24"/>
          <w:szCs w:val="24"/>
          <w:lang w:val="en-US"/>
        </w:rPr>
      </w:pPr>
      <w:r w:rsidRPr="004E2FF6">
        <w:rPr>
          <w:noProof/>
          <w:lang w:val="en-US"/>
        </w:rPr>
        <w:t>16</w:t>
      </w:r>
      <w:r>
        <w:rPr>
          <w:rFonts w:asciiTheme="minorHAnsi" w:eastAsiaTheme="minorEastAsia" w:hAnsiTheme="minorHAnsi" w:cstheme="minorBidi"/>
          <w:noProof/>
          <w:sz w:val="24"/>
          <w:szCs w:val="24"/>
          <w:lang w:val="en-US"/>
        </w:rPr>
        <w:tab/>
      </w:r>
      <w:r w:rsidRPr="004E2FF6">
        <w:rPr>
          <w:noProof/>
          <w:lang w:val="en-US"/>
        </w:rPr>
        <w:t xml:space="preserve">Trade occupations ratio </w:t>
      </w:r>
      <w:r>
        <w:rPr>
          <w:noProof/>
        </w:rPr>
        <w:t>of</w:t>
      </w:r>
      <w:r w:rsidRPr="004E2FF6">
        <w:rPr>
          <w:noProof/>
          <w:lang w:val="en-US"/>
        </w:rPr>
        <w:t xml:space="preserve"> 80th percentile to median weekly earnings, 1991–2006</w:t>
      </w:r>
      <w:r>
        <w:rPr>
          <w:noProof/>
        </w:rPr>
        <w:tab/>
      </w:r>
      <w:r w:rsidR="00631943">
        <w:rPr>
          <w:noProof/>
        </w:rPr>
        <w:fldChar w:fldCharType="begin"/>
      </w:r>
      <w:r>
        <w:rPr>
          <w:noProof/>
        </w:rPr>
        <w:instrText xml:space="preserve"> PAGEREF _Toc139109125 \h </w:instrText>
      </w:r>
      <w:r w:rsidR="00631943">
        <w:rPr>
          <w:noProof/>
        </w:rPr>
      </w:r>
      <w:r w:rsidR="00631943">
        <w:rPr>
          <w:noProof/>
        </w:rPr>
        <w:fldChar w:fldCharType="separate"/>
      </w:r>
      <w:r w:rsidR="000D09B7">
        <w:rPr>
          <w:noProof/>
        </w:rPr>
        <w:t>29</w:t>
      </w:r>
      <w:r w:rsidR="00631943">
        <w:rPr>
          <w:noProof/>
        </w:rPr>
        <w:fldChar w:fldCharType="end"/>
      </w:r>
    </w:p>
    <w:p w:rsidR="00DD09C1" w:rsidRDefault="00631943" w:rsidP="00DD09C1">
      <w:r>
        <w:fldChar w:fldCharType="end"/>
      </w:r>
      <w:bookmarkEnd w:id="40"/>
    </w:p>
    <w:p w:rsidR="00DD09C1" w:rsidRPr="00CA5827" w:rsidRDefault="00DD09C1" w:rsidP="00DD09C1">
      <w:pPr>
        <w:pStyle w:val="Heading1"/>
      </w:pPr>
      <w:r>
        <w:br w:type="page"/>
      </w:r>
      <w:r>
        <w:lastRenderedPageBreak/>
        <w:br/>
      </w:r>
      <w:r>
        <w:br/>
      </w:r>
      <w:bookmarkStart w:id="42" w:name="_Toc139109061"/>
      <w:r>
        <w:t>Executive s</w:t>
      </w:r>
      <w:r w:rsidRPr="00CA5827">
        <w:t>ummary</w:t>
      </w:r>
      <w:bookmarkEnd w:id="42"/>
    </w:p>
    <w:p w:rsidR="00DD09C1" w:rsidRDefault="00DD09C1" w:rsidP="00DD09C1">
      <w:pPr>
        <w:pStyle w:val="text0"/>
        <w:spacing w:before="440"/>
        <w:ind w:right="274"/>
      </w:pPr>
      <w:r w:rsidRPr="00E77F10">
        <w:t>The economic boom</w:t>
      </w:r>
      <w:r>
        <w:t xml:space="preserve"> of the late 1990s and early 2000s</w:t>
      </w:r>
      <w:r w:rsidRPr="00E77F10">
        <w:t xml:space="preserve"> </w:t>
      </w:r>
      <w:r>
        <w:t>focused</w:t>
      </w:r>
      <w:r w:rsidRPr="00E77F10">
        <w:t xml:space="preserve"> attention on skill</w:t>
      </w:r>
      <w:r>
        <w:t>s</w:t>
      </w:r>
      <w:r w:rsidRPr="00E77F10">
        <w:t xml:space="preserve"> shortages in Australia</w:t>
      </w:r>
      <w:r>
        <w:t xml:space="preserve"> </w:t>
      </w:r>
      <w:r w:rsidRPr="00E77F10">
        <w:t xml:space="preserve">and their role in </w:t>
      </w:r>
      <w:r>
        <w:t>preventing</w:t>
      </w:r>
      <w:r w:rsidRPr="00E77F10">
        <w:t xml:space="preserve"> the economy from reaching its full potential. This </w:t>
      </w:r>
      <w:r>
        <w:t>report</w:t>
      </w:r>
      <w:r w:rsidRPr="00E77F10">
        <w:t xml:space="preserve"> </w:t>
      </w:r>
      <w:r>
        <w:t>looks at</w:t>
      </w:r>
      <w:r w:rsidRPr="00E77F10">
        <w:t xml:space="preserve"> the extent to which the supply of tradespersons has adjusted to changed economic conditions. </w:t>
      </w:r>
    </w:p>
    <w:p w:rsidR="00DD09C1" w:rsidRDefault="00DD09C1" w:rsidP="00DD09C1">
      <w:pPr>
        <w:pStyle w:val="text0"/>
      </w:pPr>
      <w:r w:rsidRPr="00E77F10">
        <w:t>While there is much anecdotal evidence on the regional dimension of skill shortages</w:t>
      </w:r>
      <w:r>
        <w:t>,</w:t>
      </w:r>
      <w:r w:rsidRPr="00E77F10">
        <w:t xml:space="preserve"> this has mainly </w:t>
      </w:r>
      <w:r>
        <w:t>concentrated</w:t>
      </w:r>
      <w:r w:rsidRPr="00E77F10">
        <w:t xml:space="preserve"> on flows of labour into the resource-rich states of Western Australia and Queensland</w:t>
      </w:r>
      <w:r>
        <w:t>. T</w:t>
      </w:r>
      <w:r w:rsidRPr="00E77F10">
        <w:t xml:space="preserve">here </w:t>
      </w:r>
      <w:r>
        <w:t>ha</w:t>
      </w:r>
      <w:r w:rsidRPr="00E77F10">
        <w:t xml:space="preserve">s </w:t>
      </w:r>
      <w:r>
        <w:t xml:space="preserve">been </w:t>
      </w:r>
      <w:r w:rsidRPr="00E77F10">
        <w:t xml:space="preserve">no comprehensive analysis of the regional distribution of skilled labour, such as tradespersons, or the extent of population movement of </w:t>
      </w:r>
      <w:r>
        <w:t>skilled labour</w:t>
      </w:r>
      <w:r w:rsidRPr="00E77F10">
        <w:t xml:space="preserve"> between regions</w:t>
      </w:r>
      <w:r>
        <w:t xml:space="preserve"> during Australia’s recent boom</w:t>
      </w:r>
      <w:r w:rsidRPr="00E77F10">
        <w:t xml:space="preserve">. </w:t>
      </w:r>
    </w:p>
    <w:p w:rsidR="00DD09C1" w:rsidRDefault="00DD09C1" w:rsidP="00DD09C1">
      <w:pPr>
        <w:pStyle w:val="text0"/>
      </w:pPr>
      <w:r>
        <w:t xml:space="preserve">This report investigates demand, supply and adjustment in the labour market for tradespersons—individuals </w:t>
      </w:r>
      <w:r w:rsidRPr="00E77F10">
        <w:t>working in occupations defined within the Australia</w:t>
      </w:r>
      <w:r>
        <w:t>n</w:t>
      </w:r>
      <w:r w:rsidRPr="00E77F10">
        <w:t xml:space="preserve"> and New Zealand Standard Classification of Occupations </w:t>
      </w:r>
      <w:r>
        <w:t xml:space="preserve">(ANZSCO) </w:t>
      </w:r>
      <w:r w:rsidRPr="00E77F10">
        <w:t>Major Gro</w:t>
      </w:r>
      <w:r>
        <w:t>up 4 and within the various sub-</w:t>
      </w:r>
      <w:r w:rsidRPr="00E77F10">
        <w:t>groups.</w:t>
      </w:r>
      <w:r>
        <w:t xml:space="preserve"> Data from the</w:t>
      </w:r>
      <w:r w:rsidRPr="00E77F10">
        <w:t xml:space="preserve"> </w:t>
      </w:r>
      <w:r>
        <w:t xml:space="preserve">Australian Bureau of Statistics (ABS) </w:t>
      </w:r>
      <w:r w:rsidRPr="00E77F10">
        <w:t>Censuses of Population and Housing</w:t>
      </w:r>
      <w:r>
        <w:t xml:space="preserve"> </w:t>
      </w:r>
      <w:r w:rsidRPr="00E77F10">
        <w:t xml:space="preserve">provide </w:t>
      </w:r>
      <w:r>
        <w:t>insights into</w:t>
      </w:r>
      <w:r w:rsidRPr="00E77F10">
        <w:t xml:space="preserve"> different stages of the business cycle</w:t>
      </w:r>
      <w:r>
        <w:t>,</w:t>
      </w:r>
      <w:r w:rsidRPr="00E77F10">
        <w:t xml:space="preserve"> from the middle of a recession</w:t>
      </w:r>
      <w:r>
        <w:t xml:space="preserve"> in 1991,</w:t>
      </w:r>
      <w:r w:rsidRPr="00E77F10">
        <w:t xml:space="preserve"> </w:t>
      </w:r>
      <w:r>
        <w:t>to</w:t>
      </w:r>
      <w:r w:rsidRPr="00E77F10">
        <w:t xml:space="preserve"> the recovery</w:t>
      </w:r>
      <w:r>
        <w:t xml:space="preserve"> in 1996,</w:t>
      </w:r>
      <w:r w:rsidRPr="00E77F10">
        <w:t xml:space="preserve"> the boom</w:t>
      </w:r>
      <w:r>
        <w:t xml:space="preserve"> in 2001, to the subsequent</w:t>
      </w:r>
      <w:r w:rsidRPr="00E77F10">
        <w:t xml:space="preserve"> severe skill</w:t>
      </w:r>
      <w:r>
        <w:t>s</w:t>
      </w:r>
      <w:r w:rsidRPr="00E77F10">
        <w:t xml:space="preserve"> shortages</w:t>
      </w:r>
      <w:r>
        <w:t xml:space="preserve"> evident in 2006</w:t>
      </w:r>
      <w:r w:rsidRPr="00E77F10">
        <w:t>.</w:t>
      </w:r>
    </w:p>
    <w:p w:rsidR="00DD09C1" w:rsidRDefault="00DD09C1" w:rsidP="00DD09C1">
      <w:pPr>
        <w:pStyle w:val="text0"/>
      </w:pPr>
      <w:r>
        <w:t>A profile of tradespersons shows that in 2006 the majority are male, work in capital cities and are employed in construction, manufacturing and retail trade. An analysis of tradespersons between 1991 and 2006 indicates the cohort is ageing faster than the general population</w:t>
      </w:r>
      <w:r w:rsidRPr="00EB0F1D">
        <w:t>. During this time</w:t>
      </w:r>
      <w:r>
        <w:t>,</w:t>
      </w:r>
      <w:r w:rsidRPr="00EB0F1D">
        <w:t xml:space="preserve"> the median age for all tradespersons has progressively increased from 33 years in 1991 to 37 years in 2006. </w:t>
      </w:r>
      <w:r>
        <w:t>The ageing of the population of tradespersons could have implications for their supply, unless there are adjustments to the market,</w:t>
      </w:r>
      <w:r w:rsidRPr="00DC6A15">
        <w:t xml:space="preserve"> </w:t>
      </w:r>
      <w:r>
        <w:t>such as increases in skilled migration.</w:t>
      </w:r>
    </w:p>
    <w:p w:rsidR="00DD09C1" w:rsidRDefault="00DD09C1" w:rsidP="00DD09C1">
      <w:pPr>
        <w:pStyle w:val="text0"/>
        <w:rPr>
          <w:lang w:val="en-US"/>
        </w:rPr>
      </w:pPr>
      <w:r w:rsidRPr="00ED125E">
        <w:rPr>
          <w:lang w:val="en-US"/>
        </w:rPr>
        <w:t>The major factors determining the demand for tradespersons appear to be the business cycle, population movements and structural change</w:t>
      </w:r>
      <w:r>
        <w:rPr>
          <w:lang w:val="en-US"/>
        </w:rPr>
        <w:t>s</w:t>
      </w:r>
      <w:r w:rsidRPr="00ED125E">
        <w:rPr>
          <w:lang w:val="en-US"/>
        </w:rPr>
        <w:t xml:space="preserve"> in the Australian economy. The recent prolonged economic boom was marked by significant growth in </w:t>
      </w:r>
      <w:r>
        <w:rPr>
          <w:lang w:val="en-US"/>
        </w:rPr>
        <w:t>the c</w:t>
      </w:r>
      <w:r w:rsidRPr="00ED125E">
        <w:rPr>
          <w:lang w:val="en-US"/>
        </w:rPr>
        <w:t xml:space="preserve">onstruction and </w:t>
      </w:r>
      <w:r>
        <w:rPr>
          <w:lang w:val="en-US"/>
        </w:rPr>
        <w:t>m</w:t>
      </w:r>
      <w:r w:rsidRPr="00ED125E">
        <w:rPr>
          <w:lang w:val="en-US"/>
        </w:rPr>
        <w:t>ining</w:t>
      </w:r>
      <w:r>
        <w:rPr>
          <w:lang w:val="en-US"/>
        </w:rPr>
        <w:t xml:space="preserve"> sectors </w:t>
      </w:r>
      <w:r w:rsidRPr="00ED125E">
        <w:rPr>
          <w:lang w:val="en-US"/>
        </w:rPr>
        <w:t xml:space="preserve">and </w:t>
      </w:r>
      <w:r>
        <w:rPr>
          <w:lang w:val="en-US"/>
        </w:rPr>
        <w:t xml:space="preserve">the </w:t>
      </w:r>
      <w:r w:rsidRPr="00ED125E">
        <w:rPr>
          <w:lang w:val="en-US"/>
        </w:rPr>
        <w:t xml:space="preserve">relative decline in </w:t>
      </w:r>
      <w:r>
        <w:rPr>
          <w:lang w:val="en-US"/>
        </w:rPr>
        <w:t>m</w:t>
      </w:r>
      <w:r w:rsidRPr="00ED125E">
        <w:rPr>
          <w:lang w:val="en-US"/>
        </w:rPr>
        <w:t>anufacturing employment</w:t>
      </w:r>
      <w:r>
        <w:rPr>
          <w:lang w:val="en-US"/>
        </w:rPr>
        <w:t xml:space="preserve">. These changes were </w:t>
      </w:r>
      <w:r w:rsidRPr="00ED125E">
        <w:rPr>
          <w:lang w:val="en-US"/>
        </w:rPr>
        <w:t>mirrored by the changing pattern of demand for tradespersons. Construction experienced noticeable excess demand for tradespersons</w:t>
      </w:r>
      <w:r>
        <w:rPr>
          <w:lang w:val="en-US"/>
        </w:rPr>
        <w:t>,</w:t>
      </w:r>
      <w:r w:rsidRPr="00ED125E">
        <w:rPr>
          <w:lang w:val="en-US"/>
        </w:rPr>
        <w:t xml:space="preserve"> </w:t>
      </w:r>
      <w:r>
        <w:rPr>
          <w:lang w:val="en-US"/>
        </w:rPr>
        <w:t>and</w:t>
      </w:r>
      <w:r w:rsidRPr="00ED125E">
        <w:rPr>
          <w:lang w:val="en-US"/>
        </w:rPr>
        <w:t xml:space="preserve"> </w:t>
      </w:r>
      <w:r>
        <w:rPr>
          <w:lang w:val="en-US"/>
        </w:rPr>
        <w:t>m</w:t>
      </w:r>
      <w:r w:rsidRPr="00ED125E">
        <w:rPr>
          <w:lang w:val="en-US"/>
        </w:rPr>
        <w:t>ining actually employed more tradespersons than would have been expected</w:t>
      </w:r>
      <w:r>
        <w:rPr>
          <w:lang w:val="en-US"/>
        </w:rPr>
        <w:t>,</w:t>
      </w:r>
      <w:r w:rsidRPr="00ED125E">
        <w:rPr>
          <w:lang w:val="en-US"/>
        </w:rPr>
        <w:t xml:space="preserve"> given their normal skill mix. </w:t>
      </w:r>
    </w:p>
    <w:p w:rsidR="00DD09C1" w:rsidRDefault="00DD09C1" w:rsidP="00DD09C1">
      <w:pPr>
        <w:pStyle w:val="text0"/>
      </w:pPr>
      <w:r>
        <w:t>With the possible exception of manufacturing and retail trade, t</w:t>
      </w:r>
      <w:r w:rsidRPr="00AF371B">
        <w:t xml:space="preserve">echnological change has not significantly </w:t>
      </w:r>
      <w:r>
        <w:t>altered</w:t>
      </w:r>
      <w:r w:rsidRPr="00AF371B">
        <w:t xml:space="preserve"> the employment mix </w:t>
      </w:r>
      <w:r>
        <w:t>vis-à-vis</w:t>
      </w:r>
      <w:r w:rsidRPr="00AF371B">
        <w:t xml:space="preserve"> tradespersons. </w:t>
      </w:r>
      <w:r>
        <w:t>S</w:t>
      </w:r>
      <w:r w:rsidRPr="00AF371B">
        <w:t>tructural change, arising from changes in relative demand for different goods and services</w:t>
      </w:r>
      <w:r>
        <w:t>,</w:t>
      </w:r>
      <w:r w:rsidRPr="00AF371B">
        <w:t xml:space="preserve"> has been the dominant factor </w:t>
      </w:r>
      <w:r>
        <w:t>driving changes in</w:t>
      </w:r>
      <w:r w:rsidRPr="00AF371B">
        <w:t xml:space="preserve"> </w:t>
      </w:r>
      <w:r>
        <w:t xml:space="preserve">relative </w:t>
      </w:r>
      <w:r w:rsidRPr="00AF371B">
        <w:t xml:space="preserve">demand for tradespersons. </w:t>
      </w:r>
    </w:p>
    <w:p w:rsidR="00DD09C1" w:rsidRPr="00AF371B" w:rsidRDefault="00DD09C1" w:rsidP="00DD09C1">
      <w:pPr>
        <w:pStyle w:val="text0"/>
      </w:pPr>
      <w:r>
        <w:t>W</w:t>
      </w:r>
      <w:r w:rsidRPr="00AF371B">
        <w:t xml:space="preserve">hen skilled labour </w:t>
      </w:r>
      <w:r>
        <w:t>i</w:t>
      </w:r>
      <w:r w:rsidRPr="00AF371B">
        <w:t>s in short supply</w:t>
      </w:r>
      <w:r>
        <w:t xml:space="preserve">, one option for </w:t>
      </w:r>
      <w:r w:rsidRPr="00AF371B">
        <w:t xml:space="preserve">firms </w:t>
      </w:r>
      <w:r>
        <w:t xml:space="preserve">is </w:t>
      </w:r>
      <w:r w:rsidRPr="00AF371B">
        <w:t xml:space="preserve">to use unqualified labour </w:t>
      </w:r>
      <w:r>
        <w:t xml:space="preserve">as a </w:t>
      </w:r>
      <w:r w:rsidRPr="00AF371B">
        <w:t>substit</w:t>
      </w:r>
      <w:r>
        <w:t>ute for qualified tradespersons; the research demonstrated a significant rise in the number of unqualified tradespersons in some industries during the economic boom.</w:t>
      </w:r>
    </w:p>
    <w:p w:rsidR="00DD09C1" w:rsidRDefault="00DD09C1" w:rsidP="00DD09C1">
      <w:pPr>
        <w:pStyle w:val="text0"/>
      </w:pPr>
      <w:r>
        <w:t>Adjustment in the labour market in response to supply and demand takes the form of quantity (employment) and price (wages) movements. This research finds evidence of both forms of adjustment for tradespersons.</w:t>
      </w:r>
    </w:p>
    <w:p w:rsidR="00DD09C1" w:rsidRDefault="00DD09C1" w:rsidP="00DD09C1">
      <w:pPr>
        <w:pStyle w:val="text0"/>
      </w:pPr>
      <w:r>
        <w:lastRenderedPageBreak/>
        <w:t>Migration of skilled labour from overseas is one form of quantity adjustment and t</w:t>
      </w:r>
      <w:r w:rsidRPr="00AF371B">
        <w:t xml:space="preserve">he </w:t>
      </w:r>
      <w:r>
        <w:t>relocation</w:t>
      </w:r>
      <w:r w:rsidRPr="00AF371B">
        <w:t xml:space="preserve"> of tradespersons from overseas </w:t>
      </w:r>
      <w:r>
        <w:t>has been</w:t>
      </w:r>
      <w:r w:rsidRPr="00AF371B">
        <w:t xml:space="preserve"> a </w:t>
      </w:r>
      <w:r>
        <w:t>significant</w:t>
      </w:r>
      <w:r w:rsidRPr="00AF371B">
        <w:t xml:space="preserve"> part of efficient adjustment in the labour market</w:t>
      </w:r>
      <w:r>
        <w:t>. M</w:t>
      </w:r>
      <w:r w:rsidRPr="00AF371B">
        <w:t xml:space="preserve">igrants played a </w:t>
      </w:r>
      <w:r>
        <w:t>particularly</w:t>
      </w:r>
      <w:r w:rsidRPr="00AF371B">
        <w:t xml:space="preserve"> important role in the economic development of urban Western Australia and </w:t>
      </w:r>
      <w:r>
        <w:t xml:space="preserve">also </w:t>
      </w:r>
      <w:r w:rsidRPr="00AF371B">
        <w:t xml:space="preserve">in the mining boom in remote Western Australia. </w:t>
      </w:r>
    </w:p>
    <w:p w:rsidR="00DD09C1" w:rsidRPr="00AF371B" w:rsidRDefault="00DD09C1" w:rsidP="00DD09C1">
      <w:pPr>
        <w:pStyle w:val="text0"/>
      </w:pPr>
      <w:r>
        <w:t xml:space="preserve">There was also regional movement in tradespersons. </w:t>
      </w:r>
      <w:r w:rsidRPr="00AF371B">
        <w:t xml:space="preserve">Capital cities </w:t>
      </w:r>
      <w:r>
        <w:t>continue to be</w:t>
      </w:r>
      <w:r w:rsidRPr="00AF371B">
        <w:t xml:space="preserve"> an important source of demand for tradespersons living </w:t>
      </w:r>
      <w:r>
        <w:t xml:space="preserve">in rural and regional areas. </w:t>
      </w:r>
      <w:r w:rsidRPr="00AF371B">
        <w:t xml:space="preserve">Given the mobility of skilled labour, both internally and from overseas, there </w:t>
      </w:r>
      <w:r>
        <w:t xml:space="preserve">appears to be </w:t>
      </w:r>
      <w:r w:rsidRPr="00AF371B">
        <w:t xml:space="preserve">no apparent need to locate training </w:t>
      </w:r>
      <w:r>
        <w:t>in</w:t>
      </w:r>
      <w:r w:rsidRPr="00CE52D1">
        <w:t xml:space="preserve"> regions</w:t>
      </w:r>
      <w:r>
        <w:t xml:space="preserve"> where a specific demand occurs</w:t>
      </w:r>
      <w:r w:rsidRPr="00AF371B">
        <w:t>.</w:t>
      </w:r>
    </w:p>
    <w:p w:rsidR="00DD09C1" w:rsidRDefault="00DD09C1" w:rsidP="00DD09C1">
      <w:pPr>
        <w:pStyle w:val="text0"/>
      </w:pPr>
      <w:r w:rsidRPr="00AF371B">
        <w:t>Earnings appear to have played a very important function in adjusting supply and demand for tradespersons over the business cycle and in period</w:t>
      </w:r>
      <w:r>
        <w:t>s</w:t>
      </w:r>
      <w:r w:rsidRPr="00AF371B">
        <w:t xml:space="preserve"> of structural change. This is particularly the case for </w:t>
      </w:r>
      <w:r>
        <w:t>W</w:t>
      </w:r>
      <w:r w:rsidRPr="00AF371B">
        <w:t>estern Australia</w:t>
      </w:r>
      <w:r>
        <w:t>,</w:t>
      </w:r>
      <w:r w:rsidRPr="00AF371B">
        <w:t xml:space="preserve"> with its large population growth and booming mining sector. </w:t>
      </w:r>
    </w:p>
    <w:p w:rsidR="00DD09C1" w:rsidRPr="00AF371B" w:rsidRDefault="00DD09C1" w:rsidP="00DD09C1">
      <w:pPr>
        <w:pStyle w:val="text0"/>
      </w:pPr>
      <w:r w:rsidRPr="00AF371B">
        <w:t xml:space="preserve">Rises in wages </w:t>
      </w:r>
      <w:r>
        <w:t>in</w:t>
      </w:r>
      <w:r w:rsidRPr="00AF371B">
        <w:t xml:space="preserve"> </w:t>
      </w:r>
      <w:r>
        <w:t xml:space="preserve">specific skills-intensive </w:t>
      </w:r>
      <w:r w:rsidRPr="00AF371B">
        <w:t xml:space="preserve">occupations act as signals </w:t>
      </w:r>
      <w:r>
        <w:t xml:space="preserve">for investment </w:t>
      </w:r>
      <w:r w:rsidRPr="00AF371B">
        <w:t xml:space="preserve">in education </w:t>
      </w:r>
      <w:r>
        <w:t>for</w:t>
      </w:r>
      <w:r w:rsidRPr="00AF371B">
        <w:t xml:space="preserve"> </w:t>
      </w:r>
      <w:r>
        <w:t>the acquisition of</w:t>
      </w:r>
      <w:r w:rsidRPr="00AF371B">
        <w:t xml:space="preserve"> these skills. </w:t>
      </w:r>
      <w:r>
        <w:t xml:space="preserve">Although median earnings in many trades are not high compared with other occupations, there is considerable variation within and between different trades and regions. The </w:t>
      </w:r>
      <w:r w:rsidRPr="00EB0F1D">
        <w:t xml:space="preserve">relative earnings </w:t>
      </w:r>
      <w:r>
        <w:t>of the lowest-paid tradespersons</w:t>
      </w:r>
      <w:r w:rsidRPr="00EB0F1D">
        <w:t xml:space="preserve"> have consistently fallen over time.</w:t>
      </w:r>
      <w:r>
        <w:t xml:space="preserve"> However</w:t>
      </w:r>
      <w:r w:rsidRPr="00EB0F1D">
        <w:t xml:space="preserve">, the labour market is increasingly providing better rewards for the best tradespersons. </w:t>
      </w:r>
      <w:r w:rsidRPr="00AF371B">
        <w:t>Remote regions are the worst and best places to be for tradespersons</w:t>
      </w:r>
      <w:r>
        <w:t>,</w:t>
      </w:r>
      <w:r w:rsidRPr="00AF371B">
        <w:t xml:space="preserve"> depending on which earnings group </w:t>
      </w:r>
      <w:r>
        <w:t>they</w:t>
      </w:r>
      <w:r w:rsidRPr="00AF371B">
        <w:t xml:space="preserve"> belong to. </w:t>
      </w:r>
    </w:p>
    <w:p w:rsidR="00DD09C1" w:rsidRDefault="00DD09C1" w:rsidP="00DD09C1">
      <w:pPr>
        <w:pStyle w:val="text0"/>
      </w:pPr>
      <w:r w:rsidRPr="00AF371B">
        <w:t>A large number of fully qualified tradespersons are lowly paid and this could explain the low percentage of people fully qualified. This suggests that</w:t>
      </w:r>
      <w:r>
        <w:t>,</w:t>
      </w:r>
      <w:r w:rsidRPr="00AF371B">
        <w:t xml:space="preserve"> </w:t>
      </w:r>
      <w:r>
        <w:t xml:space="preserve">to justify undertaking trades training, </w:t>
      </w:r>
      <w:r w:rsidRPr="00AF371B">
        <w:t xml:space="preserve">much shorter periods of </w:t>
      </w:r>
      <w:r>
        <w:t>training</w:t>
      </w:r>
      <w:r w:rsidRPr="00AF371B">
        <w:t xml:space="preserve"> would be required to raise the rate of return</w:t>
      </w:r>
      <w:r>
        <w:t xml:space="preserve"> on a qualification. </w:t>
      </w:r>
    </w:p>
    <w:p w:rsidR="00DD09C1" w:rsidRDefault="00DD09C1" w:rsidP="00DD09C1">
      <w:pPr>
        <w:pStyle w:val="text0"/>
      </w:pPr>
      <w:r>
        <w:t xml:space="preserve">The report concludes that there was no overall severe shortage of tradespersons during the economic boom, although there was significant excess demand in some local labour markets and excess supply in some others. The quantity and price adjustments, discussed above, worked in response to changes in supply and demand for tradespersons. </w:t>
      </w:r>
    </w:p>
    <w:p w:rsidR="00DD09C1" w:rsidRPr="00F87D54" w:rsidRDefault="00DD09C1" w:rsidP="00DD09C1">
      <w:pPr>
        <w:pStyle w:val="Heading1"/>
      </w:pPr>
      <w:r w:rsidRPr="00AF371B">
        <w:br w:type="page"/>
      </w:r>
      <w:r>
        <w:lastRenderedPageBreak/>
        <w:br/>
      </w:r>
      <w:bookmarkStart w:id="43" w:name="_Toc139109062"/>
      <w:r>
        <w:t>A r</w:t>
      </w:r>
      <w:r w:rsidRPr="00F87D54">
        <w:t xml:space="preserve">egional </w:t>
      </w:r>
      <w:r>
        <w:t>analysis of the labour market for tradespersons</w:t>
      </w:r>
      <w:bookmarkEnd w:id="43"/>
    </w:p>
    <w:p w:rsidR="00DD09C1" w:rsidRPr="00484999" w:rsidRDefault="00DD09C1" w:rsidP="00DD09C1">
      <w:pPr>
        <w:pStyle w:val="Heading2"/>
      </w:pPr>
      <w:bookmarkStart w:id="44" w:name="_Toc139109063"/>
      <w:r w:rsidRPr="00637D55">
        <w:t>Background</w:t>
      </w:r>
      <w:bookmarkEnd w:id="44"/>
    </w:p>
    <w:p w:rsidR="00DD09C1" w:rsidRDefault="00DD09C1" w:rsidP="00DD09C1">
      <w:pPr>
        <w:pStyle w:val="text0"/>
      </w:pPr>
      <w:r w:rsidRPr="00465137">
        <w:t>The Australian economy has undergone significant structural change over the past three decades</w:t>
      </w:r>
      <w:r>
        <w:t>.</w:t>
      </w:r>
      <w:r w:rsidRPr="00465137">
        <w:t xml:space="preserve"> </w:t>
      </w:r>
      <w:r>
        <w:t xml:space="preserve">Successive </w:t>
      </w:r>
      <w:proofErr w:type="spellStart"/>
      <w:r>
        <w:t>Labor</w:t>
      </w:r>
      <w:proofErr w:type="spellEnd"/>
      <w:r>
        <w:t xml:space="preserve"> and Coalition governments have continued the microeconomic reform policies which began in the 1980s, including reducing in the rate of tariffs on imported goods, labour market reform, deregulation of the financial sector, the reform or privatisation of public monopolies, a reduction in the anti-competitive behaviour of firms, and working with the states and territories to enhance competition. Significant change in demand for goods and services, both domestically and overseas, has had important effects on the industry mix of the Australian economy. Firms have </w:t>
      </w:r>
      <w:r w:rsidRPr="00465137">
        <w:t>become increasingly i</w:t>
      </w:r>
      <w:r>
        <w:t>nvolved in the global economy, while embracing</w:t>
      </w:r>
      <w:r w:rsidRPr="00465137">
        <w:t xml:space="preserve"> new technologies</w:t>
      </w:r>
      <w:r>
        <w:t xml:space="preserve"> and management practices (Lewis et al. 2006).</w:t>
      </w:r>
      <w:r w:rsidRPr="00465137">
        <w:t xml:space="preserve"> </w:t>
      </w:r>
    </w:p>
    <w:p w:rsidR="00DD09C1" w:rsidRDefault="00DD09C1" w:rsidP="00DD09C1">
      <w:pPr>
        <w:pStyle w:val="text0"/>
      </w:pPr>
      <w:r w:rsidRPr="00465137">
        <w:t xml:space="preserve">There have been significant </w:t>
      </w:r>
      <w:r>
        <w:t xml:space="preserve">associated </w:t>
      </w:r>
      <w:r w:rsidRPr="00465137">
        <w:t xml:space="preserve">changes in labour demand. </w:t>
      </w:r>
      <w:r>
        <w:t>F</w:t>
      </w:r>
      <w:r w:rsidRPr="00465137">
        <w:t xml:space="preserve">ull-time </w:t>
      </w:r>
      <w:r>
        <w:t>jobs</w:t>
      </w:r>
      <w:r w:rsidRPr="00465137">
        <w:t xml:space="preserve">, particularly </w:t>
      </w:r>
      <w:r>
        <w:t xml:space="preserve">for </w:t>
      </w:r>
      <w:r w:rsidRPr="00465137">
        <w:t>males, ha</w:t>
      </w:r>
      <w:r>
        <w:t>ve</w:t>
      </w:r>
      <w:r w:rsidRPr="00465137">
        <w:t xml:space="preserve"> not kept pace with </w:t>
      </w:r>
      <w:r>
        <w:t>supply</w:t>
      </w:r>
      <w:r w:rsidRPr="00465137">
        <w:t xml:space="preserve">. The growth in part-time work has been an important source of jobs growth. There has been a substitution of females, particularly part-time females, for full-time males. Another major feature of the changing Australian labour market is growth in casual employment. The growth of casual work was an important phenomenon in the 1980s and 1990s, but since 2000 the </w:t>
      </w:r>
      <w:r>
        <w:t>percentage</w:t>
      </w:r>
      <w:r w:rsidRPr="00465137">
        <w:t xml:space="preserve"> of the workforce that is casual has reached a plateau of ab</w:t>
      </w:r>
      <w:r>
        <w:t xml:space="preserve">out 27% </w:t>
      </w:r>
      <w:r w:rsidRPr="00465137">
        <w:t xml:space="preserve">(Lewis </w:t>
      </w:r>
      <w:r>
        <w:t>2008a</w:t>
      </w:r>
      <w:r w:rsidRPr="00465137">
        <w:t xml:space="preserve">). </w:t>
      </w:r>
    </w:p>
    <w:p w:rsidR="00DD09C1" w:rsidRDefault="00DD09C1" w:rsidP="00DD09C1">
      <w:pPr>
        <w:pStyle w:val="text0"/>
      </w:pPr>
      <w:r w:rsidRPr="00465137">
        <w:t>Much of the changing composition of employment can be attributed to chang</w:t>
      </w:r>
      <w:r>
        <w:t>es in the</w:t>
      </w:r>
      <w:r w:rsidRPr="00465137">
        <w:t xml:space="preserve"> industry mix. In 1975</w:t>
      </w:r>
      <w:r>
        <w:t>,</w:t>
      </w:r>
      <w:r w:rsidRPr="00465137">
        <w:t xml:space="preserve"> serv</w:t>
      </w:r>
      <w:r>
        <w:t xml:space="preserve">ices accounted for just over 50% </w:t>
      </w:r>
      <w:r w:rsidRPr="00465137">
        <w:t>of all jobs, but by 2007 the servi</w:t>
      </w:r>
      <w:r>
        <w:t xml:space="preserve">ce sector accounted for over 70% </w:t>
      </w:r>
      <w:r w:rsidRPr="00465137">
        <w:t>of all jobs (ABS 2007). By contrast, manufacturing’s share of total employment almost halved over the same period</w:t>
      </w:r>
      <w:r>
        <w:t>,</w:t>
      </w:r>
      <w:r w:rsidRPr="00465137">
        <w:t xml:space="preserve"> to about 11</w:t>
      </w:r>
      <w:r>
        <w:t>%</w:t>
      </w:r>
      <w:r w:rsidRPr="00465137">
        <w:t xml:space="preserve"> in 2007. There were similar reductions in the relative shares of jobs in the ‘industrial’ services such as electricity, gas and water. </w:t>
      </w:r>
      <w:r>
        <w:t>In relation to</w:t>
      </w:r>
      <w:r w:rsidRPr="00465137">
        <w:t xml:space="preserve"> the change in distribution of jobs by occupation</w:t>
      </w:r>
      <w:r>
        <w:t>,</w:t>
      </w:r>
      <w:r w:rsidRPr="00465137">
        <w:t xml:space="preserve"> the picture that emerges</w:t>
      </w:r>
      <w:r>
        <w:t>,</w:t>
      </w:r>
      <w:r w:rsidRPr="00465137">
        <w:t xml:space="preserve"> when combined with the industry distribution</w:t>
      </w:r>
      <w:r>
        <w:t>,</w:t>
      </w:r>
      <w:r w:rsidRPr="00465137">
        <w:t xml:space="preserve"> is that a ‘typical’ Australian worker today is a ‘white collar’ employee in the service sector (Lewis et al</w:t>
      </w:r>
      <w:r>
        <w:t>.</w:t>
      </w:r>
      <w:r w:rsidRPr="00465137">
        <w:t xml:space="preserve"> 2006</w:t>
      </w:r>
      <w:r>
        <w:t>; Keating 2006).</w:t>
      </w:r>
    </w:p>
    <w:p w:rsidR="00DD09C1" w:rsidRPr="00F137FE" w:rsidRDefault="00DD09C1" w:rsidP="00DD09C1">
      <w:pPr>
        <w:pStyle w:val="text0"/>
        <w:ind w:right="132"/>
        <w:rPr>
          <w:lang w:val="en-US"/>
        </w:rPr>
      </w:pPr>
      <w:r w:rsidRPr="00F137FE">
        <w:t>Changes in industry composition</w:t>
      </w:r>
      <w:r>
        <w:t xml:space="preserve"> and consumer demand </w:t>
      </w:r>
      <w:r w:rsidRPr="00F137FE">
        <w:t xml:space="preserve">have combined with technological change to systematically </w:t>
      </w:r>
      <w:r>
        <w:t>modify</w:t>
      </w:r>
      <w:r w:rsidRPr="00F137FE">
        <w:t xml:space="preserve"> the demand for skills (Kelly &amp; Lewis 2003, 2006). </w:t>
      </w:r>
      <w:r>
        <w:t>These changes have</w:t>
      </w:r>
      <w:r w:rsidRPr="00F137FE">
        <w:t xml:space="preserve"> allowed for, or even driven, a restructuring of occupations within</w:t>
      </w:r>
      <w:r>
        <w:t xml:space="preserve"> many</w:t>
      </w:r>
      <w:r w:rsidRPr="00F137FE">
        <w:t xml:space="preserve"> industries. </w:t>
      </w:r>
      <w:r>
        <w:t>T</w:t>
      </w:r>
      <w:r w:rsidRPr="00F137FE">
        <w:t xml:space="preserve">he demand for labour </w:t>
      </w:r>
      <w:r>
        <w:t xml:space="preserve">has </w:t>
      </w:r>
      <w:r w:rsidRPr="00F137FE">
        <w:t xml:space="preserve">significantly changed </w:t>
      </w:r>
      <w:r>
        <w:t>in relation</w:t>
      </w:r>
      <w:r w:rsidRPr="00F137FE">
        <w:t xml:space="preserve"> to part-time empl</w:t>
      </w:r>
      <w:r>
        <w:t>oyment, gender and skills. Less-</w:t>
      </w:r>
      <w:r w:rsidRPr="00F137FE">
        <w:t>skilled workers are more vulnerable, as are younger and older workers. More generic and general skills rather than firm-specific skills are required. There is also evidence of growing wage dispersion (Lewis</w:t>
      </w:r>
      <w:r w:rsidRPr="00465137">
        <w:t xml:space="preserve"> et al</w:t>
      </w:r>
      <w:r>
        <w:t>.</w:t>
      </w:r>
      <w:r w:rsidRPr="00465137">
        <w:t xml:space="preserve"> 2006). The overall outcome</w:t>
      </w:r>
      <w:r>
        <w:t xml:space="preserve">, as evidenced by an unprecedented period of 17 years of economic growth, </w:t>
      </w:r>
      <w:r w:rsidRPr="00465137">
        <w:t>is a more highly skilled workforce and a more efficient economy</w:t>
      </w:r>
      <w:r>
        <w:t xml:space="preserve"> (Lewis &amp; Kelly 2006)</w:t>
      </w:r>
      <w:r w:rsidRPr="00465137">
        <w:t>.</w:t>
      </w:r>
    </w:p>
    <w:p w:rsidR="00DD09C1" w:rsidRDefault="00DD09C1" w:rsidP="00DD09C1">
      <w:pPr>
        <w:pStyle w:val="text0"/>
      </w:pPr>
      <w:r>
        <w:t>An examination of</w:t>
      </w:r>
      <w:r w:rsidRPr="00465137">
        <w:t xml:space="preserve"> the labour market during </w:t>
      </w:r>
      <w:r>
        <w:t>the</w:t>
      </w:r>
      <w:r w:rsidRPr="00465137">
        <w:t xml:space="preserve"> years</w:t>
      </w:r>
      <w:r>
        <w:t xml:space="preserve"> up to the ‘global financial crisis’ shows that</w:t>
      </w:r>
      <w:r w:rsidRPr="00465137">
        <w:t xml:space="preserve"> one of the biggest issues facing the Australian economy was </w:t>
      </w:r>
      <w:r>
        <w:t xml:space="preserve">perceived </w:t>
      </w:r>
      <w:r w:rsidRPr="00465137">
        <w:rPr>
          <w:i/>
        </w:rPr>
        <w:t>shortages</w:t>
      </w:r>
      <w:r w:rsidRPr="00465137">
        <w:t xml:space="preserve"> of labour.</w:t>
      </w:r>
      <w:r>
        <w:t xml:space="preserve"> This was reflected in the lowest unemployment rate in three decades and record net migration.</w:t>
      </w:r>
      <w:r w:rsidRPr="00465137">
        <w:t xml:space="preserve"> </w:t>
      </w:r>
      <w:r>
        <w:t>Although the concept of a ‘shortage’ has been used rather loosely (Richardson 2007), s</w:t>
      </w:r>
      <w:r w:rsidRPr="00465137">
        <w:t xml:space="preserve">hortages </w:t>
      </w:r>
      <w:r>
        <w:t>were reported</w:t>
      </w:r>
      <w:r w:rsidRPr="00465137">
        <w:t xml:space="preserve"> in both the private and public sectors, ranging from skilled to unskilled labour. </w:t>
      </w:r>
      <w:r>
        <w:t>Occupations</w:t>
      </w:r>
      <w:r w:rsidRPr="00465137">
        <w:t xml:space="preserve"> affected </w:t>
      </w:r>
      <w:r w:rsidRPr="00465137">
        <w:lastRenderedPageBreak/>
        <w:t>included medical practitioners, nurses, schoolteachers, pilots, economists, trades</w:t>
      </w:r>
      <w:r>
        <w:t>persons</w:t>
      </w:r>
      <w:r w:rsidRPr="00465137">
        <w:t xml:space="preserve"> and engineers</w:t>
      </w:r>
      <w:r>
        <w:t>,</w:t>
      </w:r>
      <w:r w:rsidRPr="00465137">
        <w:t xml:space="preserve"> through to agricultural workers and shop assistants</w:t>
      </w:r>
      <w:r>
        <w:t xml:space="preserve"> (Costello 2005). As an economy nears full </w:t>
      </w:r>
      <w:r w:rsidRPr="00465137">
        <w:t xml:space="preserve">employment, bottlenecks in certain parts of the economy are </w:t>
      </w:r>
      <w:r>
        <w:t xml:space="preserve">to be </w:t>
      </w:r>
      <w:r w:rsidRPr="00465137">
        <w:t xml:space="preserve">expected, as economic growth and structural change </w:t>
      </w:r>
      <w:r>
        <w:t>are</w:t>
      </w:r>
      <w:r w:rsidRPr="00465137">
        <w:t xml:space="preserve"> not evenly spread throughout the economy and some industries </w:t>
      </w:r>
      <w:r>
        <w:t>can adjust more rapidly than others.</w:t>
      </w:r>
    </w:p>
    <w:p w:rsidR="00DD09C1" w:rsidRPr="00465137" w:rsidRDefault="00DD09C1" w:rsidP="00DD09C1">
      <w:pPr>
        <w:pStyle w:val="text0"/>
      </w:pPr>
      <w:r w:rsidRPr="00465137">
        <w:t>One attempt to alleviate this was to increase the intake of migrants and temporary residents. In 2006 the net inflow of new migrants was 134</w:t>
      </w:r>
      <w:r>
        <w:t xml:space="preserve"> </w:t>
      </w:r>
      <w:r w:rsidRPr="00465137">
        <w:t>600, up 23</w:t>
      </w:r>
      <w:r>
        <w:t>%</w:t>
      </w:r>
      <w:r w:rsidRPr="00465137">
        <w:t xml:space="preserve"> from 2003</w:t>
      </w:r>
      <w:r>
        <w:t>. This rose further in 2007 to a net inflow of 177 600—accounting for 56% of Australian population growth—and</w:t>
      </w:r>
      <w:r w:rsidRPr="00465137">
        <w:t xml:space="preserve"> a net addition of over 200</w:t>
      </w:r>
      <w:r>
        <w:t xml:space="preserve"> </w:t>
      </w:r>
      <w:r w:rsidRPr="00465137">
        <w:t>000 long-stay arrivals over departures</w:t>
      </w:r>
      <w:r>
        <w:t xml:space="preserve"> per year</w:t>
      </w:r>
      <w:r w:rsidRPr="00465137">
        <w:t xml:space="preserve"> (ABS 200</w:t>
      </w:r>
      <w:r>
        <w:t>8</w:t>
      </w:r>
      <w:r w:rsidRPr="00465137">
        <w:t>).</w:t>
      </w:r>
      <w:r>
        <w:t xml:space="preserve"> Of the total permanent migration to Australia, more than 45% were skilled settler arrivals.</w:t>
      </w:r>
    </w:p>
    <w:p w:rsidR="00DD09C1" w:rsidRDefault="00DD09C1" w:rsidP="00DD09C1">
      <w:pPr>
        <w:pStyle w:val="text0"/>
      </w:pPr>
      <w:r w:rsidRPr="00465137">
        <w:t xml:space="preserve">The economic boom concentrated attention on </w:t>
      </w:r>
      <w:r>
        <w:t xml:space="preserve">perceived </w:t>
      </w:r>
      <w:r w:rsidRPr="00465137">
        <w:t>skill shortages in Australia and their role in</w:t>
      </w:r>
      <w:r>
        <w:t xml:space="preserve"> both constraining economic growth and fuelling inflation. </w:t>
      </w:r>
      <w:r w:rsidRPr="00465137">
        <w:t xml:space="preserve">This </w:t>
      </w:r>
      <w:r>
        <w:t>report</w:t>
      </w:r>
      <w:r w:rsidRPr="00465137">
        <w:t xml:space="preserve"> concentrates on the extent to which the supply of tradespersons has adjusted to changed economic conditions. While there is much anecdotal evidence on the regional dimension of skill shortages</w:t>
      </w:r>
      <w:r>
        <w:t>,</w:t>
      </w:r>
      <w:r w:rsidRPr="00465137">
        <w:t xml:space="preserve"> this has mainly focused on flows of labour into the resource-rich states of Western Australia and Queensland. There is, however, no comprehensive analysis of the extent of the distribution of skilled labour, such as tradespersons, or the extent of population movement of </w:t>
      </w:r>
      <w:r>
        <w:t>skilled labour</w:t>
      </w:r>
      <w:r w:rsidRPr="00465137">
        <w:t xml:space="preserve"> between regions</w:t>
      </w:r>
      <w:r>
        <w:t xml:space="preserve"> during a prolonged period of </w:t>
      </w:r>
      <w:r w:rsidRPr="00465137">
        <w:t xml:space="preserve">significant economic growth. </w:t>
      </w:r>
    </w:p>
    <w:p w:rsidR="00DD09C1" w:rsidRDefault="00DD09C1" w:rsidP="00DD09C1">
      <w:pPr>
        <w:pStyle w:val="text0"/>
      </w:pPr>
      <w:r w:rsidRPr="00465137">
        <w:t xml:space="preserve">The Censuses </w:t>
      </w:r>
      <w:r>
        <w:t xml:space="preserve">of </w:t>
      </w:r>
      <w:r w:rsidRPr="00465137">
        <w:t xml:space="preserve">Population </w:t>
      </w:r>
      <w:r>
        <w:t xml:space="preserve">and Housing </w:t>
      </w:r>
      <w:r w:rsidRPr="00465137">
        <w:t>provide unique data covering different stages of the business cycle</w:t>
      </w:r>
      <w:r>
        <w:t>,</w:t>
      </w:r>
      <w:r w:rsidRPr="00465137">
        <w:t xml:space="preserve"> from the middle of a recession</w:t>
      </w:r>
      <w:r>
        <w:t xml:space="preserve"> in 1991,</w:t>
      </w:r>
      <w:r w:rsidRPr="00465137">
        <w:t xml:space="preserve"> </w:t>
      </w:r>
      <w:r>
        <w:t>to</w:t>
      </w:r>
      <w:r w:rsidRPr="00465137">
        <w:t xml:space="preserve"> the recovery</w:t>
      </w:r>
      <w:r>
        <w:t xml:space="preserve"> in 1996, </w:t>
      </w:r>
      <w:r w:rsidRPr="00465137">
        <w:t>the boom</w:t>
      </w:r>
      <w:r>
        <w:t xml:space="preserve"> in 2001,</w:t>
      </w:r>
      <w:r w:rsidRPr="00465137">
        <w:t xml:space="preserve"> and </w:t>
      </w:r>
      <w:r>
        <w:t>subsequent</w:t>
      </w:r>
      <w:r w:rsidRPr="00465137">
        <w:t xml:space="preserve"> </w:t>
      </w:r>
      <w:r>
        <w:t xml:space="preserve">labour </w:t>
      </w:r>
      <w:r w:rsidRPr="00465137">
        <w:t>shortages</w:t>
      </w:r>
      <w:r>
        <w:t xml:space="preserve"> in 2006</w:t>
      </w:r>
      <w:r w:rsidRPr="00465137">
        <w:t>. Th</w:t>
      </w:r>
      <w:r>
        <w:t>is</w:t>
      </w:r>
      <w:r w:rsidRPr="00465137">
        <w:t xml:space="preserve"> </w:t>
      </w:r>
      <w:r>
        <w:t>report, which</w:t>
      </w:r>
      <w:r w:rsidRPr="00465137">
        <w:t xml:space="preserve"> use</w:t>
      </w:r>
      <w:r>
        <w:t>s</w:t>
      </w:r>
      <w:r w:rsidRPr="00465137">
        <w:t xml:space="preserve"> data from these four periods to exam</w:t>
      </w:r>
      <w:r>
        <w:t>ine</w:t>
      </w:r>
      <w:r w:rsidRPr="00465137">
        <w:t xml:space="preserve"> issues of di</w:t>
      </w:r>
      <w:r>
        <w:t>spersion of skilled labour,</w:t>
      </w:r>
      <w:r w:rsidRPr="00465137">
        <w:t xml:space="preserve"> not only </w:t>
      </w:r>
      <w:r>
        <w:t>offers</w:t>
      </w:r>
      <w:r w:rsidRPr="00465137">
        <w:t xml:space="preserve"> important factual information on the </w:t>
      </w:r>
      <w:r>
        <w:t>d</w:t>
      </w:r>
      <w:r w:rsidRPr="00465137">
        <w:t>imensions of skill shortages</w:t>
      </w:r>
      <w:r>
        <w:t>,</w:t>
      </w:r>
      <w:r w:rsidRPr="00465137">
        <w:t xml:space="preserve"> but also </w:t>
      </w:r>
      <w:r>
        <w:t xml:space="preserve">provides </w:t>
      </w:r>
      <w:r w:rsidRPr="00465137">
        <w:t>the</w:t>
      </w:r>
      <w:r>
        <w:t xml:space="preserve"> basis for more informed policy-</w:t>
      </w:r>
      <w:r w:rsidRPr="00465137">
        <w:t xml:space="preserve">making with respect to migration, education and training. </w:t>
      </w:r>
    </w:p>
    <w:p w:rsidR="00DD09C1" w:rsidRPr="00484999" w:rsidRDefault="00DD09C1" w:rsidP="00DD09C1">
      <w:pPr>
        <w:pStyle w:val="Heading2"/>
      </w:pPr>
      <w:bookmarkStart w:id="45" w:name="_Toc139109064"/>
      <w:r w:rsidRPr="00637D55">
        <w:t>Profile</w:t>
      </w:r>
      <w:r>
        <w:t xml:space="preserve"> of t</w:t>
      </w:r>
      <w:r w:rsidRPr="00484999">
        <w:t>radespersons</w:t>
      </w:r>
      <w:bookmarkEnd w:id="45"/>
      <w:r w:rsidRPr="00484999">
        <w:t xml:space="preserve"> </w:t>
      </w:r>
    </w:p>
    <w:p w:rsidR="00DD09C1" w:rsidRDefault="00DD09C1" w:rsidP="00DD09C1">
      <w:pPr>
        <w:pStyle w:val="text0"/>
      </w:pPr>
      <w:r w:rsidRPr="00F137FE">
        <w:t>The focus of this paper is people working as tradespersons</w:t>
      </w:r>
      <w:r>
        <w:t>,</w:t>
      </w:r>
      <w:r w:rsidRPr="00F137FE">
        <w:t xml:space="preserve"> which may well differ from those qualified as tradespe</w:t>
      </w:r>
      <w:r>
        <w:t>rsons. In this paper the term ‘tradesperson’</w:t>
      </w:r>
      <w:r w:rsidRPr="00F137FE">
        <w:t xml:space="preserve"> relates to someone working in a trade occupation.</w:t>
      </w:r>
      <w:r>
        <w:t xml:space="preserve"> </w:t>
      </w:r>
      <w:r w:rsidRPr="00F137FE">
        <w:t>The main sources of data are the Censuses of Population and Housing for 1991, 1996, 2001 and 2006.</w:t>
      </w:r>
    </w:p>
    <w:p w:rsidR="00DD09C1" w:rsidRPr="00F137FE" w:rsidRDefault="00DD09C1" w:rsidP="00DD09C1">
      <w:pPr>
        <w:pStyle w:val="Text"/>
      </w:pPr>
      <w:r>
        <w:t>Here t</w:t>
      </w:r>
      <w:r w:rsidRPr="00F137FE">
        <w:t>radespersons are defined as those working in occupations defined within the Australia and New Zealand Standard Classification of Occupations (ANZ</w:t>
      </w:r>
      <w:r>
        <w:t>S</w:t>
      </w:r>
      <w:r w:rsidRPr="00F137FE">
        <w:t>CO 2006) Major Group 4 Tradespersons and related workers</w:t>
      </w:r>
      <w:r>
        <w:t>,</w:t>
      </w:r>
      <w:r w:rsidRPr="00F137FE">
        <w:t xml:space="preserve"> </w:t>
      </w:r>
      <w:r>
        <w:t>and within this the sub-</w:t>
      </w:r>
      <w:r w:rsidRPr="00F137FE">
        <w:t xml:space="preserve">groups: </w:t>
      </w:r>
    </w:p>
    <w:p w:rsidR="00DD09C1" w:rsidRPr="00465137" w:rsidRDefault="00DD09C1" w:rsidP="00DD09C1">
      <w:pPr>
        <w:pStyle w:val="text-lessbefore"/>
      </w:pPr>
      <w:r w:rsidRPr="00465137">
        <w:t>41 Mechanical and fabrication engineering tradespersons</w:t>
      </w:r>
    </w:p>
    <w:p w:rsidR="00DD09C1" w:rsidRPr="00465137" w:rsidRDefault="00DD09C1" w:rsidP="00DD09C1">
      <w:pPr>
        <w:pStyle w:val="text-lessbefore"/>
      </w:pPr>
      <w:r w:rsidRPr="00465137">
        <w:t>42 Automotive tradespersons</w:t>
      </w:r>
    </w:p>
    <w:p w:rsidR="00DD09C1" w:rsidRPr="00465137" w:rsidRDefault="00DD09C1" w:rsidP="00DD09C1">
      <w:pPr>
        <w:pStyle w:val="text-lessbefore"/>
      </w:pPr>
      <w:r w:rsidRPr="00465137">
        <w:t>43 Electrical and electronics tradespersons</w:t>
      </w:r>
    </w:p>
    <w:p w:rsidR="00DD09C1" w:rsidRPr="00465137" w:rsidRDefault="00DD09C1" w:rsidP="00DD09C1">
      <w:pPr>
        <w:pStyle w:val="text-lessbefore"/>
      </w:pPr>
      <w:r w:rsidRPr="00465137">
        <w:t>44 Construction tradespersons</w:t>
      </w:r>
    </w:p>
    <w:p w:rsidR="00DD09C1" w:rsidRPr="00465137" w:rsidRDefault="00DD09C1" w:rsidP="00DD09C1">
      <w:pPr>
        <w:pStyle w:val="text-lessbefore"/>
      </w:pPr>
      <w:r w:rsidRPr="00465137">
        <w:t>45 Food tradespersons</w:t>
      </w:r>
    </w:p>
    <w:p w:rsidR="00DD09C1" w:rsidRPr="00465137" w:rsidRDefault="00DD09C1" w:rsidP="00DD09C1">
      <w:pPr>
        <w:pStyle w:val="text-lessbefore"/>
      </w:pPr>
      <w:r w:rsidRPr="00465137">
        <w:t>46 Skilled agricultural and horticultural workers</w:t>
      </w:r>
    </w:p>
    <w:p w:rsidR="00DD09C1" w:rsidRPr="00465137" w:rsidRDefault="00DD09C1" w:rsidP="00DD09C1">
      <w:pPr>
        <w:pStyle w:val="text-lessbefore"/>
      </w:pPr>
      <w:r w:rsidRPr="00465137">
        <w:t>49 Other tradespersons and related workers</w:t>
      </w:r>
      <w:r>
        <w:t>.</w:t>
      </w:r>
    </w:p>
    <w:p w:rsidR="00DD09C1" w:rsidRPr="00465137" w:rsidRDefault="00DD09C1" w:rsidP="00DD09C1">
      <w:pPr>
        <w:pStyle w:val="text0"/>
        <w:rPr>
          <w:lang w:val="en-US"/>
        </w:rPr>
      </w:pPr>
      <w:r>
        <w:t>Individuals</w:t>
      </w:r>
      <w:r w:rsidRPr="00465137">
        <w:t xml:space="preserve"> qualified as a tradesperson are defined to be those who </w:t>
      </w:r>
      <w:r w:rsidRPr="00465137">
        <w:rPr>
          <w:lang w:val="en-US"/>
        </w:rPr>
        <w:t xml:space="preserve">have a level of skill commensurate with an Australian </w:t>
      </w:r>
      <w:r>
        <w:rPr>
          <w:lang w:val="en-US"/>
        </w:rPr>
        <w:t>Qualifications Framework (AQF) c</w:t>
      </w:r>
      <w:r w:rsidRPr="00465137">
        <w:rPr>
          <w:lang w:val="en-US"/>
        </w:rPr>
        <w:t>ertificate III or higher qualification (</w:t>
      </w:r>
      <w:r>
        <w:rPr>
          <w:lang w:val="en-US"/>
        </w:rPr>
        <w:t>AQF 2009</w:t>
      </w:r>
      <w:r w:rsidRPr="00465137">
        <w:rPr>
          <w:lang w:val="en-US"/>
        </w:rPr>
        <w:t>).</w:t>
      </w:r>
      <w:r>
        <w:rPr>
          <w:lang w:val="en-US"/>
        </w:rPr>
        <w:t xml:space="preserve"> The analysis begins with a profile of the national market for tradespersons before turning to regional breakdowns.</w:t>
      </w:r>
    </w:p>
    <w:p w:rsidR="00DD09C1" w:rsidRPr="00F137FE" w:rsidRDefault="00DD09C1" w:rsidP="00DD09C1">
      <w:pPr>
        <w:pStyle w:val="Heading3"/>
        <w:rPr>
          <w:lang w:val="en-US"/>
        </w:rPr>
      </w:pPr>
      <w:r>
        <w:rPr>
          <w:lang w:val="en-US"/>
        </w:rPr>
        <w:br w:type="page"/>
      </w:r>
      <w:r w:rsidRPr="00F137FE">
        <w:rPr>
          <w:lang w:val="en-US"/>
        </w:rPr>
        <w:lastRenderedPageBreak/>
        <w:t>Demographics</w:t>
      </w:r>
    </w:p>
    <w:p w:rsidR="00DD09C1" w:rsidRPr="00F137FE" w:rsidRDefault="00DD09C1" w:rsidP="00DD09C1">
      <w:pPr>
        <w:pStyle w:val="text-lessbefore"/>
        <w:rPr>
          <w:lang w:val="en-US"/>
        </w:rPr>
      </w:pPr>
      <w:r w:rsidRPr="00F137FE">
        <w:rPr>
          <w:lang w:val="en-US"/>
        </w:rPr>
        <w:t>Approximately 89</w:t>
      </w:r>
      <w:r>
        <w:rPr>
          <w:lang w:val="en-US"/>
        </w:rPr>
        <w:t>%</w:t>
      </w:r>
      <w:r w:rsidRPr="00F137FE">
        <w:rPr>
          <w:lang w:val="en-US"/>
        </w:rPr>
        <w:t xml:space="preserve"> of all tradespersons are male.</w:t>
      </w:r>
      <w:r>
        <w:rPr>
          <w:lang w:val="en-US"/>
        </w:rPr>
        <w:t xml:space="preserve"> </w:t>
      </w:r>
      <w:r w:rsidRPr="00F137FE">
        <w:rPr>
          <w:lang w:val="en-US"/>
        </w:rPr>
        <w:t xml:space="preserve">The majority of women tradespersons are employed in either </w:t>
      </w:r>
      <w:r>
        <w:rPr>
          <w:lang w:val="en-US"/>
        </w:rPr>
        <w:t>the o</w:t>
      </w:r>
      <w:r w:rsidRPr="00F137FE">
        <w:rPr>
          <w:lang w:val="en-US"/>
        </w:rPr>
        <w:t xml:space="preserve">ther </w:t>
      </w:r>
      <w:r>
        <w:rPr>
          <w:lang w:val="en-US"/>
        </w:rPr>
        <w:t xml:space="preserve">tradespersons sub-group (which includes hairdressers) or food sub-group. It is estimated that women account for </w:t>
      </w:r>
      <w:r w:rsidRPr="00F137FE">
        <w:rPr>
          <w:lang w:val="en-US"/>
        </w:rPr>
        <w:t>around 35</w:t>
      </w:r>
      <w:r>
        <w:rPr>
          <w:lang w:val="en-US"/>
        </w:rPr>
        <w:t>%</w:t>
      </w:r>
      <w:r w:rsidRPr="00F137FE">
        <w:rPr>
          <w:lang w:val="en-US"/>
        </w:rPr>
        <w:t xml:space="preserve"> of the tradespersons for </w:t>
      </w:r>
      <w:r>
        <w:rPr>
          <w:lang w:val="en-US"/>
        </w:rPr>
        <w:t xml:space="preserve">each sub-group </w:t>
      </w:r>
      <w:r w:rsidRPr="00F137FE">
        <w:rPr>
          <w:lang w:val="en-US"/>
        </w:rPr>
        <w:t>(Lewis 2008b).</w:t>
      </w:r>
      <w:r>
        <w:rPr>
          <w:lang w:val="en-US"/>
        </w:rPr>
        <w:t xml:space="preserve"> </w:t>
      </w:r>
      <w:r w:rsidRPr="00F137FE">
        <w:rPr>
          <w:lang w:val="en-US"/>
        </w:rPr>
        <w:t>Women are also represented</w:t>
      </w:r>
      <w:r>
        <w:rPr>
          <w:lang w:val="en-US"/>
        </w:rPr>
        <w:t xml:space="preserve"> in the skilled a</w:t>
      </w:r>
      <w:r w:rsidRPr="00F137FE">
        <w:rPr>
          <w:lang w:val="en-US"/>
        </w:rPr>
        <w:t>gricultur</w:t>
      </w:r>
      <w:r>
        <w:rPr>
          <w:lang w:val="en-US"/>
        </w:rPr>
        <w:t>al and horticultural sub-group</w:t>
      </w:r>
      <w:r w:rsidRPr="00F137FE">
        <w:rPr>
          <w:lang w:val="en-US"/>
        </w:rPr>
        <w:t xml:space="preserve"> </w:t>
      </w:r>
      <w:r>
        <w:rPr>
          <w:lang w:val="en-US"/>
        </w:rPr>
        <w:t>sector,</w:t>
      </w:r>
      <w:r w:rsidRPr="00F137FE">
        <w:rPr>
          <w:lang w:val="en-US"/>
        </w:rPr>
        <w:t xml:space="preserve"> account</w:t>
      </w:r>
      <w:r>
        <w:rPr>
          <w:lang w:val="en-US"/>
        </w:rPr>
        <w:t>ing</w:t>
      </w:r>
      <w:r w:rsidRPr="00F137FE">
        <w:rPr>
          <w:lang w:val="en-US"/>
        </w:rPr>
        <w:t xml:space="preserve"> for 13</w:t>
      </w:r>
      <w:r>
        <w:rPr>
          <w:lang w:val="en-US"/>
        </w:rPr>
        <w:t>%</w:t>
      </w:r>
      <w:r w:rsidRPr="00F137FE">
        <w:rPr>
          <w:lang w:val="en-US"/>
        </w:rPr>
        <w:t xml:space="preserve"> of the tradesperson workforce. </w:t>
      </w:r>
      <w:r>
        <w:rPr>
          <w:lang w:val="en-US"/>
        </w:rPr>
        <w:t>In the c</w:t>
      </w:r>
      <w:r w:rsidRPr="00F137FE">
        <w:rPr>
          <w:lang w:val="en-US"/>
        </w:rPr>
        <w:t xml:space="preserve">onstruction, </w:t>
      </w:r>
      <w:r>
        <w:rPr>
          <w:lang w:val="en-US"/>
        </w:rPr>
        <w:t>a</w:t>
      </w:r>
      <w:r w:rsidRPr="00F137FE">
        <w:rPr>
          <w:lang w:val="en-US"/>
        </w:rPr>
        <w:t xml:space="preserve">utomotive, </w:t>
      </w:r>
      <w:r>
        <w:rPr>
          <w:lang w:val="en-US"/>
        </w:rPr>
        <w:t>m</w:t>
      </w:r>
      <w:r w:rsidRPr="00F137FE">
        <w:rPr>
          <w:lang w:val="en-US"/>
        </w:rPr>
        <w:t xml:space="preserve">echanical, and </w:t>
      </w:r>
      <w:r>
        <w:rPr>
          <w:lang w:val="en-US"/>
        </w:rPr>
        <w:t>e</w:t>
      </w:r>
      <w:r w:rsidRPr="00F137FE">
        <w:rPr>
          <w:lang w:val="en-US"/>
        </w:rPr>
        <w:t>lectrical</w:t>
      </w:r>
      <w:r>
        <w:rPr>
          <w:lang w:val="en-US"/>
        </w:rPr>
        <w:t xml:space="preserve"> categories,</w:t>
      </w:r>
      <w:r w:rsidRPr="00F137FE">
        <w:rPr>
          <w:lang w:val="en-US"/>
        </w:rPr>
        <w:t xml:space="preserve"> women represent </w:t>
      </w:r>
      <w:r>
        <w:rPr>
          <w:lang w:val="en-US"/>
        </w:rPr>
        <w:t>1–</w:t>
      </w:r>
      <w:r w:rsidRPr="00F137FE">
        <w:rPr>
          <w:lang w:val="en-US"/>
        </w:rPr>
        <w:t>2</w:t>
      </w:r>
      <w:r>
        <w:rPr>
          <w:lang w:val="en-US"/>
        </w:rPr>
        <w:t>%</w:t>
      </w:r>
      <w:r w:rsidRPr="00F137FE">
        <w:rPr>
          <w:lang w:val="en-US"/>
        </w:rPr>
        <w:t xml:space="preserve"> of the tradespersons employed. </w:t>
      </w:r>
    </w:p>
    <w:p w:rsidR="00DD09C1" w:rsidRPr="00890BF0" w:rsidRDefault="0001619E" w:rsidP="00DD09C1">
      <w:pPr>
        <w:pStyle w:val="Figuretitle"/>
        <w:rPr>
          <w:lang w:val="en-US"/>
        </w:rPr>
      </w:pPr>
      <w:bookmarkStart w:id="46" w:name="_Toc241393326"/>
      <w:bookmarkStart w:id="47" w:name="_Toc139109110"/>
      <w:r>
        <w:rPr>
          <w:noProof/>
          <w:lang w:eastAsia="en-AU"/>
        </w:rPr>
        <w:drawing>
          <wp:anchor distT="0" distB="0" distL="114300" distR="114300" simplePos="0" relativeHeight="251652608" behindDoc="0" locked="0" layoutInCell="1" allowOverlap="1">
            <wp:simplePos x="0" y="0"/>
            <wp:positionH relativeFrom="column">
              <wp:posOffset>3810</wp:posOffset>
            </wp:positionH>
            <wp:positionV relativeFrom="paragraph">
              <wp:posOffset>438150</wp:posOffset>
            </wp:positionV>
            <wp:extent cx="4123690" cy="2196465"/>
            <wp:effectExtent l="19050" t="0" r="0" b="0"/>
            <wp:wrapTopAndBottom/>
            <wp:docPr id="3772" name="Picture 3772" descr="fig1-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descr="fig1-age"/>
                    <pic:cNvPicPr>
                      <a:picLocks noChangeAspect="1" noChangeArrowheads="1"/>
                    </pic:cNvPicPr>
                  </pic:nvPicPr>
                  <pic:blipFill>
                    <a:blip r:embed="rId12" cstate="print"/>
                    <a:srcRect/>
                    <a:stretch>
                      <a:fillRect/>
                    </a:stretch>
                  </pic:blipFill>
                  <pic:spPr bwMode="auto">
                    <a:xfrm>
                      <a:off x="0" y="0"/>
                      <a:ext cx="4123690" cy="2196465"/>
                    </a:xfrm>
                    <a:prstGeom prst="rect">
                      <a:avLst/>
                    </a:prstGeom>
                    <a:noFill/>
                    <a:ln w="9525">
                      <a:noFill/>
                      <a:miter lim="800000"/>
                      <a:headEnd/>
                      <a:tailEnd/>
                    </a:ln>
                  </pic:spPr>
                </pic:pic>
              </a:graphicData>
            </a:graphic>
          </wp:anchor>
        </w:drawing>
      </w:r>
      <w:r w:rsidR="00DD09C1" w:rsidRPr="00637D55">
        <w:t>Figure 1</w:t>
      </w:r>
      <w:r w:rsidR="00DD09C1" w:rsidRPr="00637D55">
        <w:tab/>
        <w:t>Distribution of tradespersons by age, 2006</w:t>
      </w:r>
      <w:bookmarkEnd w:id="46"/>
      <w:bookmarkEnd w:id="47"/>
      <w:r w:rsidR="00DD09C1">
        <w:t>, %</w:t>
      </w:r>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2006 (unpublished). </w:t>
      </w:r>
    </w:p>
    <w:p w:rsidR="00DD09C1" w:rsidRPr="000A4AE6" w:rsidRDefault="00DD09C1" w:rsidP="00DD09C1">
      <w:pPr>
        <w:pStyle w:val="text-moreb4"/>
      </w:pPr>
      <w:r w:rsidRPr="000A4AE6">
        <w:t xml:space="preserve">The median age </w:t>
      </w:r>
      <w:r w:rsidRPr="00F137FE">
        <w:rPr>
          <w:rStyle w:val="TextChar"/>
        </w:rPr>
        <w:t>of all tradespersons in Australia is 37 years</w:t>
      </w:r>
      <w:r>
        <w:rPr>
          <w:rStyle w:val="TextChar"/>
        </w:rPr>
        <w:t>,</w:t>
      </w:r>
      <w:r w:rsidRPr="00F137FE">
        <w:rPr>
          <w:rStyle w:val="TextChar"/>
        </w:rPr>
        <w:t xml:space="preserve"> with 70</w:t>
      </w:r>
      <w:r>
        <w:rPr>
          <w:rStyle w:val="TextChar"/>
        </w:rPr>
        <w:t>%</w:t>
      </w:r>
      <w:r w:rsidRPr="00F137FE">
        <w:rPr>
          <w:rStyle w:val="TextChar"/>
        </w:rPr>
        <w:t xml:space="preserve"> of all tradespersons between the ages 20 and 49 years.</w:t>
      </w:r>
      <w:r>
        <w:rPr>
          <w:rStyle w:val="TextChar"/>
        </w:rPr>
        <w:t xml:space="preserve"> The age group 20–</w:t>
      </w:r>
      <w:r w:rsidRPr="00F137FE">
        <w:rPr>
          <w:rStyle w:val="TextChar"/>
        </w:rPr>
        <w:t>24 years is</w:t>
      </w:r>
      <w:r>
        <w:rPr>
          <w:lang w:val="en-US"/>
        </w:rPr>
        <w:t xml:space="preserve"> </w:t>
      </w:r>
      <w:r w:rsidRPr="000A4AE6">
        <w:t xml:space="preserve">the </w:t>
      </w:r>
      <w:r>
        <w:t>largest</w:t>
      </w:r>
      <w:r w:rsidRPr="000A4AE6">
        <w:t xml:space="preserve"> group</w:t>
      </w:r>
      <w:r>
        <w:t>,</w:t>
      </w:r>
      <w:r w:rsidRPr="000A4AE6">
        <w:t xml:space="preserve"> at</w:t>
      </w:r>
      <w:r>
        <w:rPr>
          <w:lang w:val="en-US"/>
        </w:rPr>
        <w:t xml:space="preserve"> </w:t>
      </w:r>
      <w:r w:rsidRPr="000A4AE6">
        <w:t>just over 13</w:t>
      </w:r>
      <w:r>
        <w:t>%</w:t>
      </w:r>
      <w:r w:rsidRPr="000A4AE6">
        <w:t xml:space="preserve"> of the total number of tradespersons.</w:t>
      </w:r>
      <w:r>
        <w:t xml:space="preserve"> From the age group 45–</w:t>
      </w:r>
      <w:r w:rsidRPr="000A4AE6">
        <w:t>49 years and on</w:t>
      </w:r>
      <w:r>
        <w:t>,</w:t>
      </w:r>
      <w:r w:rsidRPr="000A4AE6">
        <w:t xml:space="preserve"> we see a continuous decline of those age groups represented in the tradespersons workforce.</w:t>
      </w:r>
    </w:p>
    <w:p w:rsidR="00DD09C1" w:rsidRPr="00F137FE" w:rsidRDefault="00DD09C1" w:rsidP="00DD09C1">
      <w:pPr>
        <w:pStyle w:val="Heading3"/>
        <w:rPr>
          <w:lang w:val="en-US"/>
        </w:rPr>
      </w:pPr>
      <w:r w:rsidRPr="00F137FE">
        <w:rPr>
          <w:lang w:val="en-US"/>
        </w:rPr>
        <w:t>Qualifications</w:t>
      </w:r>
    </w:p>
    <w:p w:rsidR="00DD09C1" w:rsidRPr="000A4AE6" w:rsidRDefault="00DD09C1" w:rsidP="00DD09C1">
      <w:pPr>
        <w:pStyle w:val="text-lessbefore"/>
      </w:pPr>
      <w:r>
        <w:t xml:space="preserve">In 2006 there were 1 102 </w:t>
      </w:r>
      <w:r w:rsidRPr="000A4AE6">
        <w:t>541 people employed as tradespersons, or 11.5</w:t>
      </w:r>
      <w:r>
        <w:t>%</w:t>
      </w:r>
      <w:r w:rsidRPr="000A4AE6">
        <w:t xml:space="preserve"> of the employed population. Of those employed as tradespersons</w:t>
      </w:r>
      <w:r>
        <w:t>,</w:t>
      </w:r>
      <w:r w:rsidRPr="000A4AE6">
        <w:t xml:space="preserve"> </w:t>
      </w:r>
      <w:r>
        <w:t xml:space="preserve">only </w:t>
      </w:r>
      <w:r w:rsidRPr="000A4AE6">
        <w:t>62</w:t>
      </w:r>
      <w:r>
        <w:t>%</w:t>
      </w:r>
      <w:r w:rsidRPr="000A4AE6">
        <w:t xml:space="preserve"> were qualified as a tradesperson.</w:t>
      </w:r>
      <w:r>
        <w:t xml:space="preserve"> </w:t>
      </w:r>
      <w:r w:rsidRPr="000A4AE6">
        <w:t xml:space="preserve">The most likely tradespersons to be qualified are the </w:t>
      </w:r>
      <w:r>
        <w:t>a</w:t>
      </w:r>
      <w:r w:rsidRPr="000A4AE6">
        <w:t xml:space="preserve">utomotive tradespersons and the </w:t>
      </w:r>
      <w:r>
        <w:t>m</w:t>
      </w:r>
      <w:r w:rsidRPr="000A4AE6">
        <w:t xml:space="preserve">echanical and </w:t>
      </w:r>
      <w:r>
        <w:t>f</w:t>
      </w:r>
      <w:r w:rsidRPr="000A4AE6">
        <w:t xml:space="preserve">abrication </w:t>
      </w:r>
      <w:r>
        <w:t>e</w:t>
      </w:r>
      <w:r w:rsidRPr="000A4AE6">
        <w:t>ngineering tradespersons</w:t>
      </w:r>
      <w:r>
        <w:t>,</w:t>
      </w:r>
      <w:r w:rsidRPr="000A4AE6">
        <w:t xml:space="preserve"> with over 72</w:t>
      </w:r>
      <w:r>
        <w:t>%</w:t>
      </w:r>
      <w:r w:rsidRPr="000A4AE6">
        <w:t xml:space="preserve"> of those employed as tradespersons being qualified.</w:t>
      </w:r>
      <w:r>
        <w:t xml:space="preserve"> </w:t>
      </w:r>
      <w:r w:rsidRPr="000A4AE6">
        <w:t>These two sub</w:t>
      </w:r>
      <w:r>
        <w:t>-</w:t>
      </w:r>
      <w:r w:rsidRPr="000A4AE6">
        <w:t xml:space="preserve">groups are closely followed by </w:t>
      </w:r>
      <w:r>
        <w:t>e</w:t>
      </w:r>
      <w:r w:rsidRPr="000A4AE6">
        <w:t xml:space="preserve">lectrical and </w:t>
      </w:r>
      <w:r>
        <w:t>e</w:t>
      </w:r>
      <w:r w:rsidRPr="000A4AE6">
        <w:t>lectronic tradespersons</w:t>
      </w:r>
      <w:r>
        <w:t>,</w:t>
      </w:r>
      <w:r w:rsidRPr="000A4AE6">
        <w:t xml:space="preserve"> of which 70</w:t>
      </w:r>
      <w:r>
        <w:t>%</w:t>
      </w:r>
      <w:r w:rsidRPr="000A4AE6">
        <w:t xml:space="preserve"> are qualified.</w:t>
      </w:r>
      <w:r>
        <w:t xml:space="preserve"> </w:t>
      </w:r>
      <w:r w:rsidRPr="000A4AE6">
        <w:t xml:space="preserve">The two lowest percentages of those persons working and not qualified are </w:t>
      </w:r>
      <w:r>
        <w:t>f</w:t>
      </w:r>
      <w:r w:rsidRPr="000A4AE6">
        <w:t xml:space="preserve">ood tradespersons, with </w:t>
      </w:r>
      <w:r>
        <w:t>fewer</w:t>
      </w:r>
      <w:r w:rsidRPr="000A4AE6">
        <w:t xml:space="preserve"> than 39</w:t>
      </w:r>
      <w:r>
        <w:t>%</w:t>
      </w:r>
      <w:r w:rsidRPr="000A4AE6">
        <w:t xml:space="preserve"> qualified, and </w:t>
      </w:r>
      <w:r>
        <w:t>s</w:t>
      </w:r>
      <w:r w:rsidRPr="000A4AE6">
        <w:t xml:space="preserve">killed </w:t>
      </w:r>
      <w:r>
        <w:t>a</w:t>
      </w:r>
      <w:r w:rsidRPr="000A4AE6">
        <w:t xml:space="preserve">griculture </w:t>
      </w:r>
      <w:r>
        <w:t>and h</w:t>
      </w:r>
      <w:r w:rsidRPr="000A4AE6">
        <w:t>orticultural workers</w:t>
      </w:r>
      <w:r>
        <w:t>, of whom</w:t>
      </w:r>
      <w:r w:rsidRPr="000A4AE6">
        <w:t xml:space="preserve"> only 43</w:t>
      </w:r>
      <w:r>
        <w:t>%</w:t>
      </w:r>
      <w:r w:rsidRPr="000A4AE6">
        <w:t xml:space="preserve"> </w:t>
      </w:r>
      <w:r>
        <w:t xml:space="preserve">are </w:t>
      </w:r>
      <w:r w:rsidRPr="000A4AE6">
        <w:t>qualified.</w:t>
      </w:r>
    </w:p>
    <w:p w:rsidR="00DD09C1" w:rsidRPr="00F137FE" w:rsidRDefault="00DD09C1" w:rsidP="00DD09C1">
      <w:pPr>
        <w:rPr>
          <w:rStyle w:val="TextChar"/>
        </w:rPr>
      </w:pPr>
    </w:p>
    <w:p w:rsidR="00DD09C1" w:rsidRPr="00460036" w:rsidRDefault="00DD09C1" w:rsidP="000D09B7">
      <w:pPr>
        <w:pStyle w:val="Figuretitle"/>
        <w:spacing w:before="0"/>
      </w:pPr>
      <w:bookmarkStart w:id="48" w:name="_Toc241393327"/>
      <w:r>
        <w:rPr>
          <w:lang w:val="en-US"/>
        </w:rPr>
        <w:br w:type="page"/>
      </w:r>
      <w:bookmarkStart w:id="49" w:name="_Toc139109111"/>
      <w:r>
        <w:rPr>
          <w:lang w:val="en-US"/>
        </w:rPr>
        <w:lastRenderedPageBreak/>
        <w:t>Figure 2</w:t>
      </w:r>
      <w:r>
        <w:rPr>
          <w:lang w:val="en-US"/>
        </w:rPr>
        <w:tab/>
      </w:r>
      <w:r>
        <w:t>Percentage</w:t>
      </w:r>
      <w:r w:rsidRPr="00460036">
        <w:t xml:space="preserve"> of tradesperson</w:t>
      </w:r>
      <w:r>
        <w:t>s’</w:t>
      </w:r>
      <w:r w:rsidRPr="00460036">
        <w:t xml:space="preserve"> workforce qualified, 2006</w:t>
      </w:r>
      <w:bookmarkEnd w:id="48"/>
      <w:bookmarkEnd w:id="49"/>
    </w:p>
    <w:p w:rsidR="000D09B7" w:rsidRDefault="000D09B7" w:rsidP="00DD09C1">
      <w:pPr>
        <w:pStyle w:val="Source"/>
        <w:spacing w:before="160"/>
        <w:rPr>
          <w:lang w:val="en-US"/>
        </w:rPr>
      </w:pPr>
    </w:p>
    <w:p w:rsidR="00DD09C1" w:rsidRDefault="000D09B7" w:rsidP="000D09B7">
      <w:pPr>
        <w:pStyle w:val="Source"/>
        <w:spacing w:before="0"/>
        <w:rPr>
          <w:lang w:val="en-US"/>
        </w:rPr>
      </w:pPr>
      <w:r>
        <w:rPr>
          <w:noProof/>
          <w:lang w:eastAsia="en-AU"/>
        </w:rPr>
        <w:drawing>
          <wp:anchor distT="0" distB="0" distL="114300" distR="114300" simplePos="0" relativeHeight="251653632" behindDoc="0" locked="0" layoutInCell="1" allowOverlap="1">
            <wp:simplePos x="0" y="0"/>
            <wp:positionH relativeFrom="column">
              <wp:posOffset>-6985</wp:posOffset>
            </wp:positionH>
            <wp:positionV relativeFrom="paragraph">
              <wp:posOffset>-84455</wp:posOffset>
            </wp:positionV>
            <wp:extent cx="4461510" cy="2301240"/>
            <wp:effectExtent l="19050" t="0" r="0" b="0"/>
            <wp:wrapTopAndBottom/>
            <wp:docPr id="3773" name="Picture 3773" descr="fig2-qua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descr="fig2-qualified"/>
                    <pic:cNvPicPr>
                      <a:picLocks noChangeAspect="1" noChangeArrowheads="1"/>
                    </pic:cNvPicPr>
                  </pic:nvPicPr>
                  <pic:blipFill>
                    <a:blip r:embed="rId13" cstate="print"/>
                    <a:srcRect/>
                    <a:stretch>
                      <a:fillRect/>
                    </a:stretch>
                  </pic:blipFill>
                  <pic:spPr bwMode="auto">
                    <a:xfrm>
                      <a:off x="0" y="0"/>
                      <a:ext cx="4461510" cy="2301240"/>
                    </a:xfrm>
                    <a:prstGeom prst="rect">
                      <a:avLst/>
                    </a:prstGeom>
                    <a:noFill/>
                    <a:ln w="9525">
                      <a:noFill/>
                      <a:miter lim="800000"/>
                      <a:headEnd/>
                      <a:tailEnd/>
                    </a:ln>
                  </pic:spPr>
                </pic:pic>
              </a:graphicData>
            </a:graphic>
          </wp:anchor>
        </w:drawing>
      </w:r>
      <w:r w:rsidR="00DD09C1" w:rsidRPr="00465137">
        <w:rPr>
          <w:lang w:val="en-US"/>
        </w:rPr>
        <w:t>Source:</w:t>
      </w:r>
      <w:r w:rsidR="00DD09C1">
        <w:rPr>
          <w:lang w:val="en-US"/>
        </w:rPr>
        <w:tab/>
        <w:t xml:space="preserve">Based on Census of Population and Housing 2006 (unpublished). </w:t>
      </w:r>
    </w:p>
    <w:p w:rsidR="00DD09C1" w:rsidRPr="00F137FE" w:rsidRDefault="00DD09C1" w:rsidP="00DD09C1">
      <w:pPr>
        <w:pStyle w:val="Heading3"/>
        <w:rPr>
          <w:lang w:val="en-US"/>
        </w:rPr>
      </w:pPr>
      <w:r w:rsidRPr="00F137FE">
        <w:rPr>
          <w:lang w:val="en-US"/>
        </w:rPr>
        <w:t xml:space="preserve">Occupation </w:t>
      </w:r>
    </w:p>
    <w:p w:rsidR="00DD09C1" w:rsidRDefault="00DD09C1" w:rsidP="00DD09C1">
      <w:pPr>
        <w:pStyle w:val="text-lessbefore"/>
        <w:rPr>
          <w:lang w:val="en-US"/>
        </w:rPr>
      </w:pPr>
      <w:r w:rsidRPr="00465137">
        <w:rPr>
          <w:lang w:val="en-US"/>
        </w:rPr>
        <w:t xml:space="preserve">Figure </w:t>
      </w:r>
      <w:r>
        <w:rPr>
          <w:lang w:val="en-US"/>
        </w:rPr>
        <w:t>3</w:t>
      </w:r>
      <w:r w:rsidRPr="00465137">
        <w:rPr>
          <w:lang w:val="en-US"/>
        </w:rPr>
        <w:t xml:space="preserve"> shows the distribution of the different sub</w:t>
      </w:r>
      <w:r>
        <w:rPr>
          <w:lang w:val="en-US"/>
        </w:rPr>
        <w:t>-</w:t>
      </w:r>
      <w:r w:rsidRPr="00465137">
        <w:rPr>
          <w:lang w:val="en-US"/>
        </w:rPr>
        <w:t>groups of tradespersons. The largest sub</w:t>
      </w:r>
      <w:r>
        <w:rPr>
          <w:lang w:val="en-US"/>
        </w:rPr>
        <w:t>-</w:t>
      </w:r>
      <w:r w:rsidRPr="00465137">
        <w:rPr>
          <w:lang w:val="en-US"/>
        </w:rPr>
        <w:t xml:space="preserve">group is </w:t>
      </w:r>
      <w:r>
        <w:rPr>
          <w:lang w:val="en-US"/>
        </w:rPr>
        <w:t>c</w:t>
      </w:r>
      <w:r w:rsidRPr="00465137">
        <w:rPr>
          <w:lang w:val="en-US"/>
        </w:rPr>
        <w:t>onstruction</w:t>
      </w:r>
      <w:r>
        <w:rPr>
          <w:lang w:val="en-US"/>
        </w:rPr>
        <w:t>,</w:t>
      </w:r>
      <w:r w:rsidRPr="00465137">
        <w:rPr>
          <w:lang w:val="en-US"/>
        </w:rPr>
        <w:t xml:space="preserve"> which </w:t>
      </w:r>
      <w:r>
        <w:rPr>
          <w:lang w:val="en-US"/>
        </w:rPr>
        <w:t>constitutes</w:t>
      </w:r>
      <w:r w:rsidRPr="00465137">
        <w:rPr>
          <w:lang w:val="en-US"/>
        </w:rPr>
        <w:t xml:space="preserve"> 25</w:t>
      </w:r>
      <w:r>
        <w:rPr>
          <w:lang w:val="en-US"/>
        </w:rPr>
        <w:t>%</w:t>
      </w:r>
      <w:r w:rsidRPr="00465137">
        <w:rPr>
          <w:lang w:val="en-US"/>
        </w:rPr>
        <w:t xml:space="preserve"> of total trades</w:t>
      </w:r>
      <w:r>
        <w:rPr>
          <w:lang w:val="en-US"/>
        </w:rPr>
        <w:t>persons,</w:t>
      </w:r>
      <w:r w:rsidRPr="00465137">
        <w:rPr>
          <w:lang w:val="en-US"/>
        </w:rPr>
        <w:t xml:space="preserve"> followed by </w:t>
      </w:r>
      <w:r>
        <w:rPr>
          <w:lang w:val="en-US"/>
        </w:rPr>
        <w:t>o</w:t>
      </w:r>
      <w:r w:rsidRPr="00465137">
        <w:rPr>
          <w:lang w:val="en-US"/>
        </w:rPr>
        <w:t xml:space="preserve">ther </w:t>
      </w:r>
      <w:r>
        <w:rPr>
          <w:lang w:val="en-US"/>
        </w:rPr>
        <w:t>t</w:t>
      </w:r>
      <w:r w:rsidRPr="00465137">
        <w:rPr>
          <w:lang w:val="en-US"/>
        </w:rPr>
        <w:t xml:space="preserve">radespersons and </w:t>
      </w:r>
      <w:r>
        <w:rPr>
          <w:lang w:val="en-US"/>
        </w:rPr>
        <w:t>r</w:t>
      </w:r>
      <w:r w:rsidRPr="00465137">
        <w:rPr>
          <w:lang w:val="en-US"/>
        </w:rPr>
        <w:t xml:space="preserve">elated </w:t>
      </w:r>
      <w:r>
        <w:rPr>
          <w:lang w:val="en-US"/>
        </w:rPr>
        <w:t>w</w:t>
      </w:r>
      <w:r w:rsidRPr="00465137">
        <w:rPr>
          <w:lang w:val="en-US"/>
        </w:rPr>
        <w:t>orkers</w:t>
      </w:r>
      <w:r>
        <w:rPr>
          <w:lang w:val="en-US"/>
        </w:rPr>
        <w:t>, which includes hairdressers, printing tradespersons</w:t>
      </w:r>
      <w:r w:rsidRPr="00465137">
        <w:rPr>
          <w:lang w:val="en-US"/>
        </w:rPr>
        <w:t xml:space="preserve"> </w:t>
      </w:r>
      <w:r>
        <w:rPr>
          <w:lang w:val="en-US"/>
        </w:rPr>
        <w:t xml:space="preserve">and textile tradespersons, </w:t>
      </w:r>
      <w:r w:rsidRPr="00465137">
        <w:rPr>
          <w:lang w:val="en-US"/>
        </w:rPr>
        <w:t>accounting for 17.3</w:t>
      </w:r>
      <w:r>
        <w:rPr>
          <w:lang w:val="en-US"/>
        </w:rPr>
        <w:t>%</w:t>
      </w:r>
      <w:r w:rsidRPr="00465137">
        <w:rPr>
          <w:lang w:val="en-US"/>
        </w:rPr>
        <w:t>.</w:t>
      </w:r>
      <w:r>
        <w:rPr>
          <w:lang w:val="en-US"/>
        </w:rPr>
        <w:t xml:space="preserve"> </w:t>
      </w:r>
      <w:r w:rsidRPr="00465137">
        <w:rPr>
          <w:lang w:val="en-US"/>
        </w:rPr>
        <w:t xml:space="preserve">The other two main groups are </w:t>
      </w:r>
      <w:r>
        <w:rPr>
          <w:lang w:val="en-US"/>
        </w:rPr>
        <w:t>m</w:t>
      </w:r>
      <w:r w:rsidRPr="00465137">
        <w:rPr>
          <w:lang w:val="en-US"/>
        </w:rPr>
        <w:t xml:space="preserve">echanical and </w:t>
      </w:r>
      <w:r>
        <w:rPr>
          <w:lang w:val="en-US"/>
        </w:rPr>
        <w:t>f</w:t>
      </w:r>
      <w:r w:rsidRPr="00465137">
        <w:rPr>
          <w:lang w:val="en-US"/>
        </w:rPr>
        <w:t xml:space="preserve">abrication engineering and </w:t>
      </w:r>
      <w:r>
        <w:rPr>
          <w:lang w:val="en-US"/>
        </w:rPr>
        <w:t>e</w:t>
      </w:r>
      <w:r w:rsidRPr="00465137">
        <w:rPr>
          <w:lang w:val="en-US"/>
        </w:rPr>
        <w:t xml:space="preserve">lectrical and </w:t>
      </w:r>
      <w:r>
        <w:rPr>
          <w:lang w:val="en-US"/>
        </w:rPr>
        <w:t>e</w:t>
      </w:r>
      <w:r w:rsidRPr="00465137">
        <w:rPr>
          <w:lang w:val="en-US"/>
        </w:rPr>
        <w:t>lectronics</w:t>
      </w:r>
      <w:r>
        <w:rPr>
          <w:lang w:val="en-US"/>
        </w:rPr>
        <w:t>,</w:t>
      </w:r>
      <w:r w:rsidRPr="00465137">
        <w:rPr>
          <w:lang w:val="en-US"/>
        </w:rPr>
        <w:t xml:space="preserve"> accounting for 16</w:t>
      </w:r>
      <w:r>
        <w:rPr>
          <w:lang w:val="en-US"/>
        </w:rPr>
        <w:t xml:space="preserve">% </w:t>
      </w:r>
      <w:r w:rsidRPr="00465137">
        <w:rPr>
          <w:lang w:val="en-US"/>
        </w:rPr>
        <w:t>and 15</w:t>
      </w:r>
      <w:r>
        <w:rPr>
          <w:lang w:val="en-US"/>
        </w:rPr>
        <w:t xml:space="preserve">%, </w:t>
      </w:r>
      <w:r w:rsidRPr="00465137">
        <w:rPr>
          <w:lang w:val="en-US"/>
        </w:rPr>
        <w:t>respectively.</w:t>
      </w:r>
      <w:r>
        <w:rPr>
          <w:lang w:val="en-US"/>
        </w:rPr>
        <w:t xml:space="preserve"> </w:t>
      </w:r>
      <w:r w:rsidRPr="00465137">
        <w:rPr>
          <w:lang w:val="en-US"/>
        </w:rPr>
        <w:t xml:space="preserve">The </w:t>
      </w:r>
      <w:r>
        <w:rPr>
          <w:lang w:val="en-US"/>
        </w:rPr>
        <w:t>a</w:t>
      </w:r>
      <w:r w:rsidRPr="00465137">
        <w:rPr>
          <w:lang w:val="en-US"/>
        </w:rPr>
        <w:t xml:space="preserve">utomotive </w:t>
      </w:r>
      <w:r>
        <w:rPr>
          <w:lang w:val="en-US"/>
        </w:rPr>
        <w:t>sub-group</w:t>
      </w:r>
      <w:r w:rsidRPr="00465137">
        <w:rPr>
          <w:lang w:val="en-US"/>
        </w:rPr>
        <w:t xml:space="preserve"> </w:t>
      </w:r>
      <w:r>
        <w:rPr>
          <w:lang w:val="en-US"/>
        </w:rPr>
        <w:t xml:space="preserve">accounts for </w:t>
      </w:r>
      <w:r w:rsidRPr="00465137">
        <w:rPr>
          <w:lang w:val="en-US"/>
        </w:rPr>
        <w:t>11</w:t>
      </w:r>
      <w:r>
        <w:rPr>
          <w:lang w:val="en-US"/>
        </w:rPr>
        <w:t>%</w:t>
      </w:r>
      <w:r w:rsidRPr="00465137">
        <w:rPr>
          <w:lang w:val="en-US"/>
        </w:rPr>
        <w:t xml:space="preserve"> of all tradespersons in Australia, while the </w:t>
      </w:r>
      <w:r>
        <w:rPr>
          <w:lang w:val="en-US"/>
        </w:rPr>
        <w:t>f</w:t>
      </w:r>
      <w:r w:rsidRPr="00465137">
        <w:rPr>
          <w:lang w:val="en-US"/>
        </w:rPr>
        <w:t xml:space="preserve">ood </w:t>
      </w:r>
      <w:r>
        <w:rPr>
          <w:lang w:val="en-US"/>
        </w:rPr>
        <w:t>sub-group</w:t>
      </w:r>
      <w:r w:rsidRPr="00465137">
        <w:rPr>
          <w:lang w:val="en-US"/>
        </w:rPr>
        <w:t xml:space="preserve"> accounts for only 8</w:t>
      </w:r>
      <w:r>
        <w:rPr>
          <w:lang w:val="en-US"/>
        </w:rPr>
        <w:t>%</w:t>
      </w:r>
      <w:r w:rsidRPr="00465137">
        <w:rPr>
          <w:lang w:val="en-US"/>
        </w:rPr>
        <w:t>.</w:t>
      </w:r>
      <w:r>
        <w:rPr>
          <w:lang w:val="en-US"/>
        </w:rPr>
        <w:t xml:space="preserve"> </w:t>
      </w:r>
      <w:r w:rsidRPr="00465137">
        <w:rPr>
          <w:lang w:val="en-US"/>
        </w:rPr>
        <w:t>The smallest</w:t>
      </w:r>
      <w:r>
        <w:rPr>
          <w:lang w:val="en-US"/>
        </w:rPr>
        <w:t xml:space="preserve"> occupational sub-</w:t>
      </w:r>
      <w:r w:rsidRPr="00465137">
        <w:rPr>
          <w:lang w:val="en-US"/>
        </w:rPr>
        <w:t xml:space="preserve">group of tradespersons is skilled </w:t>
      </w:r>
      <w:r>
        <w:rPr>
          <w:lang w:val="en-US"/>
        </w:rPr>
        <w:t>a</w:t>
      </w:r>
      <w:r w:rsidRPr="00465137">
        <w:rPr>
          <w:lang w:val="en-US"/>
        </w:rPr>
        <w:t xml:space="preserve">gricultural and </w:t>
      </w:r>
      <w:r>
        <w:rPr>
          <w:lang w:val="en-US"/>
        </w:rPr>
        <w:t>h</w:t>
      </w:r>
      <w:r w:rsidRPr="00465137">
        <w:rPr>
          <w:lang w:val="en-US"/>
        </w:rPr>
        <w:t xml:space="preserve">orticultural </w:t>
      </w:r>
      <w:r>
        <w:rPr>
          <w:lang w:val="en-US"/>
        </w:rPr>
        <w:t>w</w:t>
      </w:r>
      <w:r w:rsidRPr="00465137">
        <w:rPr>
          <w:lang w:val="en-US"/>
        </w:rPr>
        <w:t>orkers</w:t>
      </w:r>
      <w:r>
        <w:rPr>
          <w:lang w:val="en-US"/>
        </w:rPr>
        <w:t>,</w:t>
      </w:r>
      <w:r w:rsidRPr="00465137">
        <w:rPr>
          <w:lang w:val="en-US"/>
        </w:rPr>
        <w:t xml:space="preserve"> which </w:t>
      </w:r>
      <w:r>
        <w:rPr>
          <w:lang w:val="en-US"/>
        </w:rPr>
        <w:t xml:space="preserve">accounts for </w:t>
      </w:r>
      <w:r w:rsidRPr="00465137">
        <w:rPr>
          <w:lang w:val="en-US"/>
        </w:rPr>
        <w:t xml:space="preserve">only </w:t>
      </w:r>
      <w:r>
        <w:rPr>
          <w:lang w:val="en-US"/>
        </w:rPr>
        <w:t>7% of all tradespersons</w:t>
      </w:r>
      <w:r w:rsidRPr="00465137">
        <w:rPr>
          <w:lang w:val="en-US"/>
        </w:rPr>
        <w:t xml:space="preserve">. </w:t>
      </w:r>
    </w:p>
    <w:p w:rsidR="00DD09C1" w:rsidRPr="00465137" w:rsidRDefault="0001619E" w:rsidP="00DD09C1">
      <w:pPr>
        <w:pStyle w:val="Figuretitle"/>
        <w:rPr>
          <w:lang w:val="en-US"/>
        </w:rPr>
      </w:pPr>
      <w:bookmarkStart w:id="50" w:name="_Toc241393328"/>
      <w:bookmarkStart w:id="51" w:name="_Toc139109112"/>
      <w:r>
        <w:rPr>
          <w:noProof/>
          <w:lang w:eastAsia="en-AU"/>
        </w:rPr>
        <w:drawing>
          <wp:anchor distT="0" distB="0" distL="114300" distR="114300" simplePos="0" relativeHeight="251654656" behindDoc="0" locked="0" layoutInCell="1" allowOverlap="1">
            <wp:simplePos x="0" y="0"/>
            <wp:positionH relativeFrom="column">
              <wp:posOffset>-3810</wp:posOffset>
            </wp:positionH>
            <wp:positionV relativeFrom="paragraph">
              <wp:posOffset>474980</wp:posOffset>
            </wp:positionV>
            <wp:extent cx="4455160" cy="2312670"/>
            <wp:effectExtent l="19050" t="0" r="2540" b="0"/>
            <wp:wrapTopAndBottom/>
            <wp:docPr id="3774" name="Picture 3774" descr="fig3-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descr="fig3-subgroup"/>
                    <pic:cNvPicPr>
                      <a:picLocks noChangeAspect="1" noChangeArrowheads="1"/>
                    </pic:cNvPicPr>
                  </pic:nvPicPr>
                  <pic:blipFill>
                    <a:blip r:embed="rId14" cstate="print"/>
                    <a:srcRect/>
                    <a:stretch>
                      <a:fillRect/>
                    </a:stretch>
                  </pic:blipFill>
                  <pic:spPr bwMode="auto">
                    <a:xfrm>
                      <a:off x="0" y="0"/>
                      <a:ext cx="4455160" cy="2312670"/>
                    </a:xfrm>
                    <a:prstGeom prst="rect">
                      <a:avLst/>
                    </a:prstGeom>
                    <a:noFill/>
                    <a:ln w="9525">
                      <a:noFill/>
                      <a:miter lim="800000"/>
                      <a:headEnd/>
                      <a:tailEnd/>
                    </a:ln>
                  </pic:spPr>
                </pic:pic>
              </a:graphicData>
            </a:graphic>
          </wp:anchor>
        </w:drawing>
      </w:r>
      <w:r w:rsidR="00DD09C1">
        <w:rPr>
          <w:lang w:val="en-US"/>
        </w:rPr>
        <w:t>Figure 3</w:t>
      </w:r>
      <w:r w:rsidR="00DD09C1">
        <w:rPr>
          <w:lang w:val="en-US"/>
        </w:rPr>
        <w:tab/>
      </w:r>
      <w:r w:rsidR="00DD09C1" w:rsidRPr="00E640D0">
        <w:t xml:space="preserve">Distribution of </w:t>
      </w:r>
      <w:r w:rsidR="00DD09C1">
        <w:t>tradespersons by sub-</w:t>
      </w:r>
      <w:r w:rsidR="00DD09C1" w:rsidRPr="00E640D0">
        <w:t>group,</w:t>
      </w:r>
      <w:r w:rsidR="00DD09C1">
        <w:t xml:space="preserve"> %</w:t>
      </w:r>
      <w:bookmarkEnd w:id="50"/>
      <w:bookmarkEnd w:id="51"/>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2006 (unpublished). </w:t>
      </w:r>
    </w:p>
    <w:p w:rsidR="00DD09C1" w:rsidRPr="00F137FE" w:rsidRDefault="00DD09C1" w:rsidP="00DD09C1">
      <w:pPr>
        <w:pStyle w:val="Heading3"/>
        <w:spacing w:before="360"/>
        <w:rPr>
          <w:lang w:val="en-US"/>
        </w:rPr>
      </w:pPr>
      <w:r w:rsidRPr="00F137FE">
        <w:rPr>
          <w:lang w:val="en-US"/>
        </w:rPr>
        <w:t>Earnings</w:t>
      </w:r>
    </w:p>
    <w:p w:rsidR="00DD09C1" w:rsidRDefault="00DD09C1" w:rsidP="00DD09C1">
      <w:pPr>
        <w:pStyle w:val="text-lessbefore"/>
        <w:rPr>
          <w:lang w:val="en-US"/>
        </w:rPr>
      </w:pPr>
      <w:r>
        <w:rPr>
          <w:lang w:val="en-US"/>
        </w:rPr>
        <w:t>In 2006, the two best-</w:t>
      </w:r>
      <w:r w:rsidRPr="00465137">
        <w:rPr>
          <w:lang w:val="en-US"/>
        </w:rPr>
        <w:t>paid tradesperson sub</w:t>
      </w:r>
      <w:r>
        <w:rPr>
          <w:lang w:val="en-US"/>
        </w:rPr>
        <w:t>-</w:t>
      </w:r>
      <w:r w:rsidRPr="00465137">
        <w:rPr>
          <w:lang w:val="en-US"/>
        </w:rPr>
        <w:t xml:space="preserve">groups were </w:t>
      </w:r>
      <w:r>
        <w:rPr>
          <w:lang w:val="en-US"/>
        </w:rPr>
        <w:t>m</w:t>
      </w:r>
      <w:r w:rsidRPr="00465137">
        <w:rPr>
          <w:lang w:val="en-US"/>
        </w:rPr>
        <w:t xml:space="preserve">echanical and </w:t>
      </w:r>
      <w:r>
        <w:rPr>
          <w:lang w:val="en-US"/>
        </w:rPr>
        <w:t>f</w:t>
      </w:r>
      <w:r w:rsidRPr="00465137">
        <w:rPr>
          <w:lang w:val="en-US"/>
        </w:rPr>
        <w:t xml:space="preserve">abrication </w:t>
      </w:r>
      <w:r>
        <w:rPr>
          <w:lang w:val="en-US"/>
        </w:rPr>
        <w:t>e</w:t>
      </w:r>
      <w:r w:rsidRPr="00465137">
        <w:rPr>
          <w:lang w:val="en-US"/>
        </w:rPr>
        <w:t xml:space="preserve">ngineering and </w:t>
      </w:r>
      <w:r>
        <w:rPr>
          <w:lang w:val="en-US"/>
        </w:rPr>
        <w:t>e</w:t>
      </w:r>
      <w:r w:rsidRPr="00465137">
        <w:rPr>
          <w:lang w:val="en-US"/>
        </w:rPr>
        <w:t xml:space="preserve">lectrical and </w:t>
      </w:r>
      <w:r>
        <w:rPr>
          <w:lang w:val="en-US"/>
        </w:rPr>
        <w:t>e</w:t>
      </w:r>
      <w:r w:rsidRPr="00465137">
        <w:rPr>
          <w:lang w:val="en-US"/>
        </w:rPr>
        <w:t>lectronics, which were paid a weekly median income of $908 and $903</w:t>
      </w:r>
      <w:r>
        <w:rPr>
          <w:lang w:val="en-US"/>
        </w:rPr>
        <w:t>,</w:t>
      </w:r>
      <w:r w:rsidRPr="00465137">
        <w:rPr>
          <w:lang w:val="en-US"/>
        </w:rPr>
        <w:t xml:space="preserve"> respectively.</w:t>
      </w:r>
      <w:r>
        <w:rPr>
          <w:lang w:val="en-US"/>
        </w:rPr>
        <w:t xml:space="preserve"> </w:t>
      </w:r>
      <w:r w:rsidRPr="00465137">
        <w:rPr>
          <w:lang w:val="en-US"/>
        </w:rPr>
        <w:t>T</w:t>
      </w:r>
      <w:r>
        <w:rPr>
          <w:lang w:val="en-US"/>
        </w:rPr>
        <w:t>he only other tradespersons sub-</w:t>
      </w:r>
      <w:r w:rsidRPr="00465137">
        <w:rPr>
          <w:lang w:val="en-US"/>
        </w:rPr>
        <w:t>group to be paid more than the weekly median income for all employed persons</w:t>
      </w:r>
      <w:r>
        <w:rPr>
          <w:lang w:val="en-US"/>
        </w:rPr>
        <w:t xml:space="preserve"> ($728) was construction tradespersons, who</w:t>
      </w:r>
      <w:r w:rsidRPr="00465137">
        <w:rPr>
          <w:lang w:val="en-US"/>
        </w:rPr>
        <w:t xml:space="preserve"> earned a median income of $784 weekly.</w:t>
      </w:r>
      <w:r>
        <w:rPr>
          <w:lang w:val="en-US"/>
        </w:rPr>
        <w:t xml:space="preserve"> All other sub-</w:t>
      </w:r>
      <w:r w:rsidRPr="00465137">
        <w:rPr>
          <w:lang w:val="en-US"/>
        </w:rPr>
        <w:t xml:space="preserve">groups </w:t>
      </w:r>
      <w:r>
        <w:rPr>
          <w:lang w:val="en-US"/>
        </w:rPr>
        <w:t xml:space="preserve">of tradespersons </w:t>
      </w:r>
      <w:r w:rsidRPr="00465137">
        <w:rPr>
          <w:lang w:val="en-US"/>
        </w:rPr>
        <w:t>earned less than the median income</w:t>
      </w:r>
      <w:r>
        <w:rPr>
          <w:lang w:val="en-US"/>
        </w:rPr>
        <w:t xml:space="preserve"> </w:t>
      </w:r>
    </w:p>
    <w:p w:rsidR="00DD09C1" w:rsidRDefault="00DD09C1" w:rsidP="00DD09C1">
      <w:pPr>
        <w:pStyle w:val="text-lessbefore"/>
        <w:rPr>
          <w:lang w:val="en-US"/>
        </w:rPr>
      </w:pPr>
      <w:r>
        <w:rPr>
          <w:lang w:val="en-US"/>
        </w:rPr>
        <w:br w:type="page"/>
      </w:r>
      <w:proofErr w:type="gramStart"/>
      <w:r>
        <w:rPr>
          <w:lang w:val="en-US"/>
        </w:rPr>
        <w:lastRenderedPageBreak/>
        <w:t>for</w:t>
      </w:r>
      <w:proofErr w:type="gramEnd"/>
      <w:r>
        <w:rPr>
          <w:lang w:val="en-US"/>
        </w:rPr>
        <w:t xml:space="preserve"> all workers: a</w:t>
      </w:r>
      <w:r w:rsidRPr="00465137">
        <w:rPr>
          <w:lang w:val="en-US"/>
        </w:rPr>
        <w:t xml:space="preserve">utomotive $677; </w:t>
      </w:r>
      <w:r>
        <w:rPr>
          <w:lang w:val="en-US"/>
        </w:rPr>
        <w:t>o</w:t>
      </w:r>
      <w:r w:rsidRPr="00465137">
        <w:rPr>
          <w:lang w:val="en-US"/>
        </w:rPr>
        <w:t xml:space="preserve">ther </w:t>
      </w:r>
      <w:r>
        <w:rPr>
          <w:lang w:val="en-US"/>
        </w:rPr>
        <w:t>t</w:t>
      </w:r>
      <w:r w:rsidRPr="00465137">
        <w:rPr>
          <w:lang w:val="en-US"/>
        </w:rPr>
        <w:t>radespersons</w:t>
      </w:r>
      <w:r>
        <w:rPr>
          <w:lang w:val="en-US"/>
        </w:rPr>
        <w:t xml:space="preserve"> </w:t>
      </w:r>
      <w:r w:rsidRPr="00465137">
        <w:rPr>
          <w:lang w:val="en-US"/>
        </w:rPr>
        <w:t xml:space="preserve">$640; </w:t>
      </w:r>
      <w:r>
        <w:rPr>
          <w:lang w:val="en-US"/>
        </w:rPr>
        <w:t>a</w:t>
      </w:r>
      <w:r w:rsidRPr="00465137">
        <w:rPr>
          <w:lang w:val="en-US"/>
        </w:rPr>
        <w:t xml:space="preserve">gricultural and </w:t>
      </w:r>
      <w:r>
        <w:rPr>
          <w:lang w:val="en-US"/>
        </w:rPr>
        <w:t>h</w:t>
      </w:r>
      <w:r w:rsidRPr="00465137">
        <w:rPr>
          <w:lang w:val="en-US"/>
        </w:rPr>
        <w:t xml:space="preserve">orticultural workers $588; and lastly, </w:t>
      </w:r>
      <w:r>
        <w:rPr>
          <w:lang w:val="en-US"/>
        </w:rPr>
        <w:t>f</w:t>
      </w:r>
      <w:r w:rsidRPr="00465137">
        <w:rPr>
          <w:lang w:val="en-US"/>
        </w:rPr>
        <w:t>ood tradespersons</w:t>
      </w:r>
      <w:r>
        <w:rPr>
          <w:lang w:val="en-US"/>
        </w:rPr>
        <w:t>,</w:t>
      </w:r>
      <w:r w:rsidRPr="00465137">
        <w:rPr>
          <w:lang w:val="en-US"/>
        </w:rPr>
        <w:t xml:space="preserve"> earning $516 weekly</w:t>
      </w:r>
      <w:r>
        <w:rPr>
          <w:lang w:val="en-US"/>
        </w:rPr>
        <w:t>—</w:t>
      </w:r>
      <w:r w:rsidRPr="00465137">
        <w:rPr>
          <w:lang w:val="en-US"/>
        </w:rPr>
        <w:t>$213 less than the national median wage</w:t>
      </w:r>
      <w:r>
        <w:rPr>
          <w:lang w:val="en-US"/>
        </w:rPr>
        <w:t xml:space="preserve"> in 2006</w:t>
      </w:r>
      <w:r w:rsidRPr="00465137">
        <w:rPr>
          <w:lang w:val="en-US"/>
        </w:rPr>
        <w:t>.</w:t>
      </w:r>
      <w:r>
        <w:rPr>
          <w:lang w:val="en-US"/>
        </w:rPr>
        <w:t xml:space="preserve"> For many people, being a tradesperson is not necessarily a very lucrative occupation.</w:t>
      </w:r>
    </w:p>
    <w:p w:rsidR="00DD09C1" w:rsidRPr="00465137" w:rsidRDefault="0001619E" w:rsidP="00DD09C1">
      <w:pPr>
        <w:pStyle w:val="Figuretitle"/>
        <w:rPr>
          <w:lang w:val="en-US"/>
        </w:rPr>
      </w:pPr>
      <w:bookmarkStart w:id="52" w:name="_Toc241393329"/>
      <w:bookmarkStart w:id="53" w:name="_Toc139109113"/>
      <w:r>
        <w:rPr>
          <w:noProof/>
          <w:lang w:eastAsia="en-AU"/>
        </w:rPr>
        <w:drawing>
          <wp:anchor distT="0" distB="0" distL="114300" distR="114300" simplePos="0" relativeHeight="251655680" behindDoc="0" locked="0" layoutInCell="1" allowOverlap="1">
            <wp:simplePos x="0" y="0"/>
            <wp:positionH relativeFrom="column">
              <wp:posOffset>3810</wp:posOffset>
            </wp:positionH>
            <wp:positionV relativeFrom="paragraph">
              <wp:posOffset>487680</wp:posOffset>
            </wp:positionV>
            <wp:extent cx="4509135" cy="2294890"/>
            <wp:effectExtent l="19050" t="0" r="5715" b="0"/>
            <wp:wrapTopAndBottom/>
            <wp:docPr id="3775" name="Picture 3775" descr="fig4-incomeXoccu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descr="fig4-incomeXoccupation"/>
                    <pic:cNvPicPr>
                      <a:picLocks noChangeAspect="1" noChangeArrowheads="1"/>
                    </pic:cNvPicPr>
                  </pic:nvPicPr>
                  <pic:blipFill>
                    <a:blip r:embed="rId15" cstate="print"/>
                    <a:srcRect/>
                    <a:stretch>
                      <a:fillRect/>
                    </a:stretch>
                  </pic:blipFill>
                  <pic:spPr bwMode="auto">
                    <a:xfrm>
                      <a:off x="0" y="0"/>
                      <a:ext cx="4509135" cy="2294890"/>
                    </a:xfrm>
                    <a:prstGeom prst="rect">
                      <a:avLst/>
                    </a:prstGeom>
                    <a:noFill/>
                    <a:ln w="9525">
                      <a:noFill/>
                      <a:miter lim="800000"/>
                      <a:headEnd/>
                      <a:tailEnd/>
                    </a:ln>
                  </pic:spPr>
                </pic:pic>
              </a:graphicData>
            </a:graphic>
          </wp:anchor>
        </w:drawing>
      </w:r>
      <w:r w:rsidR="00DD09C1">
        <w:rPr>
          <w:lang w:val="en-US"/>
        </w:rPr>
        <w:t>Figure 4</w:t>
      </w:r>
      <w:r w:rsidR="00DD09C1">
        <w:rPr>
          <w:lang w:val="en-US"/>
        </w:rPr>
        <w:tab/>
      </w:r>
      <w:r w:rsidR="00DD09C1" w:rsidRPr="00E640D0">
        <w:t xml:space="preserve">Weekly median </w:t>
      </w:r>
      <w:proofErr w:type="gramStart"/>
      <w:r w:rsidR="00DD09C1" w:rsidRPr="00E640D0">
        <w:t>income</w:t>
      </w:r>
      <w:proofErr w:type="gramEnd"/>
      <w:r w:rsidR="00DD09C1" w:rsidRPr="00E640D0">
        <w:t xml:space="preserve"> by occupation, 2006</w:t>
      </w:r>
      <w:bookmarkEnd w:id="52"/>
      <w:bookmarkEnd w:id="53"/>
      <w:r w:rsidR="00DD09C1">
        <w:t>, $</w:t>
      </w:r>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2006 (unpublished). </w:t>
      </w:r>
    </w:p>
    <w:p w:rsidR="00DD09C1" w:rsidRPr="00F137FE" w:rsidRDefault="00DD09C1" w:rsidP="00DD09C1">
      <w:pPr>
        <w:pStyle w:val="Heading3"/>
        <w:rPr>
          <w:lang w:val="en-US"/>
        </w:rPr>
      </w:pPr>
      <w:r w:rsidRPr="00F137FE">
        <w:rPr>
          <w:lang w:val="en-US"/>
        </w:rPr>
        <w:t>Industry</w:t>
      </w:r>
    </w:p>
    <w:p w:rsidR="00DD09C1" w:rsidRDefault="00DD09C1" w:rsidP="00DD09C1">
      <w:pPr>
        <w:pStyle w:val="text-lessbefore"/>
        <w:ind w:right="-151"/>
        <w:rPr>
          <w:lang w:val="en-US"/>
        </w:rPr>
      </w:pPr>
      <w:r>
        <w:rPr>
          <w:lang w:val="en-US"/>
        </w:rPr>
        <w:t xml:space="preserve">Only a few industries are large employers of tradespersons. In 2006, the most significant employer of tradespersons was the construction industry, employing 330 000 tradespersons or nearly 30% of all tradespersons. The manufacturing industry is the second largest employer of tradespersons, employing 242 384 tradespersons or 22% of the total. The retail industry employs just </w:t>
      </w:r>
      <w:proofErr w:type="gramStart"/>
      <w:r>
        <w:rPr>
          <w:lang w:val="en-US"/>
        </w:rPr>
        <w:t>under</w:t>
      </w:r>
      <w:proofErr w:type="gramEnd"/>
      <w:r>
        <w:rPr>
          <w:lang w:val="en-US"/>
        </w:rPr>
        <w:t xml:space="preserve"> 14% of the total number of tradespersons, and personal and other services industries employs around 7%.</w:t>
      </w:r>
    </w:p>
    <w:p w:rsidR="00DD09C1" w:rsidRPr="00E640D0" w:rsidRDefault="00DD09C1" w:rsidP="00DD09C1">
      <w:pPr>
        <w:pStyle w:val="tabletitle"/>
        <w:rPr>
          <w:lang w:val="en-US"/>
        </w:rPr>
      </w:pPr>
      <w:bookmarkStart w:id="54" w:name="_Toc241393307"/>
      <w:bookmarkStart w:id="55" w:name="_Toc139109088"/>
      <w:r>
        <w:rPr>
          <w:lang w:val="en-US"/>
        </w:rPr>
        <w:t>Table 1</w:t>
      </w:r>
      <w:r>
        <w:rPr>
          <w:lang w:val="en-US"/>
        </w:rPr>
        <w:tab/>
      </w:r>
      <w:r w:rsidRPr="00483130">
        <w:t>Distribution</w:t>
      </w:r>
      <w:r w:rsidRPr="00E640D0">
        <w:rPr>
          <w:lang w:val="en-US"/>
        </w:rPr>
        <w:t xml:space="preserve"> of tradespersons by industry of employment, 2006</w:t>
      </w:r>
      <w:bookmarkEnd w:id="54"/>
      <w:bookmarkEnd w:id="55"/>
      <w:r>
        <w:rPr>
          <w:lang w:val="en-US"/>
        </w:rPr>
        <w:t xml:space="preserve"> </w:t>
      </w:r>
    </w:p>
    <w:tbl>
      <w:tblPr>
        <w:tblW w:w="6096" w:type="dxa"/>
        <w:tblInd w:w="108" w:type="dxa"/>
        <w:tblLayout w:type="fixed"/>
        <w:tblLook w:val="0000"/>
      </w:tblPr>
      <w:tblGrid>
        <w:gridCol w:w="3544"/>
        <w:gridCol w:w="1276"/>
        <w:gridCol w:w="1276"/>
      </w:tblGrid>
      <w:tr w:rsidR="00DD09C1" w:rsidRPr="00E640D0">
        <w:trPr>
          <w:trHeight w:val="264"/>
        </w:trPr>
        <w:tc>
          <w:tcPr>
            <w:tcW w:w="3544" w:type="dxa"/>
            <w:tcBorders>
              <w:top w:val="single" w:sz="4" w:space="0" w:color="auto"/>
              <w:left w:val="nil"/>
              <w:bottom w:val="single" w:sz="4" w:space="0" w:color="auto"/>
              <w:right w:val="nil"/>
            </w:tcBorders>
            <w:shd w:val="clear" w:color="auto" w:fill="auto"/>
            <w:noWrap/>
            <w:vAlign w:val="bottom"/>
          </w:tcPr>
          <w:p w:rsidR="00DD09C1" w:rsidRPr="00025773" w:rsidRDefault="00DD09C1" w:rsidP="00DD09C1">
            <w:pPr>
              <w:pStyle w:val="Tablehead1"/>
            </w:pPr>
          </w:p>
        </w:tc>
        <w:tc>
          <w:tcPr>
            <w:tcW w:w="1276" w:type="dxa"/>
            <w:tcBorders>
              <w:top w:val="single" w:sz="4" w:space="0" w:color="auto"/>
              <w:left w:val="nil"/>
              <w:bottom w:val="single" w:sz="4" w:space="0" w:color="auto"/>
              <w:right w:val="nil"/>
            </w:tcBorders>
            <w:shd w:val="clear" w:color="auto" w:fill="auto"/>
            <w:noWrap/>
            <w:vAlign w:val="bottom"/>
          </w:tcPr>
          <w:p w:rsidR="00DD09C1" w:rsidRPr="00025773" w:rsidRDefault="00DD09C1" w:rsidP="00DD09C1">
            <w:pPr>
              <w:pStyle w:val="Tablehead1"/>
              <w:jc w:val="center"/>
            </w:pPr>
            <w:r w:rsidRPr="00025773">
              <w:t>Number</w:t>
            </w:r>
          </w:p>
        </w:tc>
        <w:tc>
          <w:tcPr>
            <w:tcW w:w="1276" w:type="dxa"/>
            <w:tcBorders>
              <w:top w:val="single" w:sz="4" w:space="0" w:color="auto"/>
              <w:left w:val="nil"/>
              <w:bottom w:val="single" w:sz="4" w:space="0" w:color="auto"/>
              <w:right w:val="nil"/>
            </w:tcBorders>
            <w:shd w:val="clear" w:color="auto" w:fill="auto"/>
            <w:noWrap/>
            <w:vAlign w:val="bottom"/>
          </w:tcPr>
          <w:p w:rsidR="00DD09C1" w:rsidRPr="00025773" w:rsidRDefault="00DD09C1" w:rsidP="00DD09C1">
            <w:pPr>
              <w:pStyle w:val="Tablehead1"/>
              <w:jc w:val="center"/>
            </w:pPr>
            <w:r w:rsidRPr="00025773">
              <w:t>Per cent</w:t>
            </w:r>
          </w:p>
        </w:tc>
      </w:tr>
      <w:tr w:rsidR="00DD09C1" w:rsidRPr="00E640D0">
        <w:trPr>
          <w:trHeight w:val="264"/>
        </w:trPr>
        <w:tc>
          <w:tcPr>
            <w:tcW w:w="3544" w:type="dxa"/>
            <w:tcBorders>
              <w:top w:val="single" w:sz="4" w:space="0" w:color="auto"/>
              <w:left w:val="nil"/>
              <w:bottom w:val="nil"/>
              <w:right w:val="nil"/>
            </w:tcBorders>
            <w:shd w:val="clear" w:color="auto" w:fill="auto"/>
            <w:noWrap/>
            <w:vAlign w:val="bottom"/>
          </w:tcPr>
          <w:p w:rsidR="00DD09C1" w:rsidRPr="00AF5B54" w:rsidRDefault="00DD09C1" w:rsidP="00DD09C1">
            <w:pPr>
              <w:pStyle w:val="Tabletext"/>
            </w:pPr>
            <w:r>
              <w:t>Finance and i</w:t>
            </w:r>
            <w:r w:rsidRPr="00AF5B54">
              <w:t>nsurance</w:t>
            </w:r>
          </w:p>
        </w:tc>
        <w:tc>
          <w:tcPr>
            <w:tcW w:w="1276" w:type="dxa"/>
            <w:tcBorders>
              <w:top w:val="single" w:sz="4" w:space="0" w:color="auto"/>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w:t>
            </w:r>
            <w:r>
              <w:t xml:space="preserve"> </w:t>
            </w:r>
            <w:r w:rsidRPr="00E640D0">
              <w:t>667</w:t>
            </w:r>
          </w:p>
        </w:tc>
        <w:tc>
          <w:tcPr>
            <w:tcW w:w="1276" w:type="dxa"/>
            <w:tcBorders>
              <w:top w:val="single" w:sz="4" w:space="0" w:color="auto"/>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0.2</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Education</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10</w:t>
            </w:r>
            <w:r>
              <w:t xml:space="preserve"> </w:t>
            </w:r>
            <w:r w:rsidRPr="00E640D0">
              <w:t>215</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0.9</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Not stated</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10</w:t>
            </w:r>
            <w:r>
              <w:t xml:space="preserve"> </w:t>
            </w:r>
            <w:r w:rsidRPr="00E640D0">
              <w:t>616</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1.0</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t>Communication s</w:t>
            </w:r>
            <w:r w:rsidRPr="00AF5B54">
              <w:t>ervices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13</w:t>
            </w:r>
            <w:r>
              <w:t xml:space="preserve"> </w:t>
            </w:r>
            <w:r w:rsidRPr="00E640D0">
              <w:t>608</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1.2</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Agriculture, forestry and fishing</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15</w:t>
            </w:r>
            <w:r>
              <w:t xml:space="preserve"> </w:t>
            </w:r>
            <w:r w:rsidRPr="00E640D0">
              <w:t>245</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1.4</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Electricity, gas and water supply</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17</w:t>
            </w:r>
            <w:r>
              <w:t xml:space="preserve"> </w:t>
            </w:r>
            <w:r w:rsidRPr="00E640D0">
              <w:t>751</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1.6</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rPr>
                <w:lang w:val="fr-FR"/>
              </w:rPr>
            </w:pPr>
            <w:r w:rsidRPr="00AF5B54">
              <w:rPr>
                <w:lang w:val="fr-FR"/>
              </w:rPr>
              <w:t xml:space="preserve">Non-classifiable </w:t>
            </w:r>
            <w:proofErr w:type="spellStart"/>
            <w:r w:rsidRPr="00AF5B54">
              <w:rPr>
                <w:lang w:val="fr-FR"/>
              </w:rPr>
              <w:t>economic</w:t>
            </w:r>
            <w:proofErr w:type="spellEnd"/>
            <w:r w:rsidRPr="00AF5B54">
              <w:rPr>
                <w:lang w:val="fr-FR"/>
              </w:rPr>
              <w:t xml:space="preserve"> </w:t>
            </w:r>
            <w:proofErr w:type="spellStart"/>
            <w:r w:rsidRPr="00AF5B54">
              <w:rPr>
                <w:lang w:val="fr-FR"/>
              </w:rPr>
              <w:t>units</w:t>
            </w:r>
            <w:proofErr w:type="spellEnd"/>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18</w:t>
            </w:r>
            <w:r>
              <w:t xml:space="preserve"> </w:t>
            </w:r>
            <w:r w:rsidRPr="00E640D0">
              <w:t>235</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1.7</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Health and community services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18</w:t>
            </w:r>
            <w:r>
              <w:t xml:space="preserve"> </w:t>
            </w:r>
            <w:r w:rsidRPr="00E640D0">
              <w:t>472</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1.7</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Cultural and recreational services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19</w:t>
            </w:r>
            <w:r>
              <w:t xml:space="preserve"> </w:t>
            </w:r>
            <w:r w:rsidRPr="00E640D0">
              <w:t>446</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1.8</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t>Transport and s</w:t>
            </w:r>
            <w:r w:rsidRPr="00AF5B54">
              <w:t>torage</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19</w:t>
            </w:r>
            <w:r>
              <w:t xml:space="preserve"> </w:t>
            </w:r>
            <w:r w:rsidRPr="00E640D0">
              <w:t>625</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1.8</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Mining</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22</w:t>
            </w:r>
            <w:r>
              <w:t xml:space="preserve"> </w:t>
            </w:r>
            <w:r w:rsidRPr="00E640D0">
              <w:t>384</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2.0</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Government administration and defence</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30</w:t>
            </w:r>
            <w:r>
              <w:t xml:space="preserve"> </w:t>
            </w:r>
            <w:r w:rsidRPr="00E640D0">
              <w:t>592</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2.8</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Accommodation, cafes and restaurants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33</w:t>
            </w:r>
            <w:r>
              <w:t xml:space="preserve"> </w:t>
            </w:r>
            <w:r w:rsidRPr="00E640D0">
              <w:t>468</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3.0</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Property and business services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33</w:t>
            </w:r>
            <w:r>
              <w:t xml:space="preserve"> </w:t>
            </w:r>
            <w:r w:rsidRPr="00E640D0">
              <w:t>815</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3.1</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t>Wholesale t</w:t>
            </w:r>
            <w:r w:rsidRPr="00AF5B54">
              <w:t>rade</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38</w:t>
            </w:r>
            <w:r>
              <w:t xml:space="preserve"> </w:t>
            </w:r>
            <w:r w:rsidRPr="00E640D0">
              <w:t>521</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3.5</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Personal and other services</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74</w:t>
            </w:r>
            <w:r>
              <w:t xml:space="preserve"> </w:t>
            </w:r>
            <w:r w:rsidRPr="00E640D0">
              <w:t>298</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6.7</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t>Retail t</w:t>
            </w:r>
            <w:r w:rsidRPr="00AF5B54">
              <w:t>rade</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152</w:t>
            </w:r>
            <w:r>
              <w:t xml:space="preserve"> </w:t>
            </w:r>
            <w:r w:rsidRPr="00E640D0">
              <w:t>188</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13.8</w:t>
            </w:r>
          </w:p>
        </w:tc>
      </w:tr>
      <w:tr w:rsidR="00DD09C1" w:rsidRPr="00E640D0">
        <w:trPr>
          <w:trHeight w:val="264"/>
        </w:trPr>
        <w:tc>
          <w:tcPr>
            <w:tcW w:w="3544" w:type="dxa"/>
            <w:tcBorders>
              <w:top w:val="nil"/>
              <w:left w:val="nil"/>
              <w:bottom w:val="nil"/>
              <w:right w:val="nil"/>
            </w:tcBorders>
            <w:shd w:val="clear" w:color="auto" w:fill="auto"/>
            <w:noWrap/>
            <w:vAlign w:val="bottom"/>
          </w:tcPr>
          <w:p w:rsidR="00DD09C1" w:rsidRPr="00AF5B54" w:rsidRDefault="00DD09C1" w:rsidP="00DD09C1">
            <w:pPr>
              <w:pStyle w:val="Tabletext"/>
            </w:pPr>
            <w:r w:rsidRPr="00AF5B54">
              <w:t>Manufacturing</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ind w:right="312"/>
              <w:jc w:val="right"/>
            </w:pPr>
            <w:r w:rsidRPr="00E640D0">
              <w:t>242</w:t>
            </w:r>
            <w:r>
              <w:t xml:space="preserve"> </w:t>
            </w:r>
            <w:r w:rsidRPr="00E640D0">
              <w:t>384</w:t>
            </w:r>
          </w:p>
        </w:tc>
        <w:tc>
          <w:tcPr>
            <w:tcW w:w="1276" w:type="dxa"/>
            <w:tcBorders>
              <w:top w:val="nil"/>
              <w:left w:val="nil"/>
              <w:bottom w:val="nil"/>
              <w:right w:val="nil"/>
            </w:tcBorders>
            <w:shd w:val="clear" w:color="auto" w:fill="auto"/>
            <w:noWrap/>
            <w:vAlign w:val="bottom"/>
          </w:tcPr>
          <w:p w:rsidR="00DD09C1" w:rsidRPr="00E640D0" w:rsidRDefault="00DD09C1" w:rsidP="00DD09C1">
            <w:pPr>
              <w:pStyle w:val="Tabletext"/>
              <w:tabs>
                <w:tab w:val="decimal" w:pos="510"/>
              </w:tabs>
            </w:pPr>
            <w:r w:rsidRPr="00E640D0">
              <w:t>22.0</w:t>
            </w:r>
          </w:p>
        </w:tc>
      </w:tr>
      <w:tr w:rsidR="00DD09C1" w:rsidRPr="00E640D0">
        <w:trPr>
          <w:trHeight w:val="264"/>
        </w:trPr>
        <w:tc>
          <w:tcPr>
            <w:tcW w:w="3544" w:type="dxa"/>
            <w:tcBorders>
              <w:top w:val="nil"/>
              <w:left w:val="nil"/>
              <w:right w:val="nil"/>
            </w:tcBorders>
            <w:shd w:val="clear" w:color="auto" w:fill="auto"/>
            <w:noWrap/>
            <w:vAlign w:val="bottom"/>
          </w:tcPr>
          <w:p w:rsidR="00DD09C1" w:rsidRPr="00AF5B54" w:rsidRDefault="00DD09C1" w:rsidP="00DD09C1">
            <w:pPr>
              <w:pStyle w:val="Tabletext"/>
            </w:pPr>
            <w:r w:rsidRPr="00AF5B54">
              <w:t>Construction</w:t>
            </w:r>
          </w:p>
        </w:tc>
        <w:tc>
          <w:tcPr>
            <w:tcW w:w="1276" w:type="dxa"/>
            <w:tcBorders>
              <w:top w:val="nil"/>
              <w:left w:val="nil"/>
              <w:right w:val="nil"/>
            </w:tcBorders>
            <w:shd w:val="clear" w:color="auto" w:fill="auto"/>
            <w:noWrap/>
            <w:vAlign w:val="bottom"/>
          </w:tcPr>
          <w:p w:rsidR="00DD09C1" w:rsidRPr="00E640D0" w:rsidRDefault="00DD09C1" w:rsidP="00DD09C1">
            <w:pPr>
              <w:pStyle w:val="Tabletext"/>
              <w:ind w:right="312"/>
              <w:jc w:val="right"/>
            </w:pPr>
            <w:r w:rsidRPr="00E640D0">
              <w:t>330</w:t>
            </w:r>
            <w:r>
              <w:t xml:space="preserve"> </w:t>
            </w:r>
            <w:r w:rsidRPr="00E640D0">
              <w:t>000</w:t>
            </w:r>
          </w:p>
        </w:tc>
        <w:tc>
          <w:tcPr>
            <w:tcW w:w="1276" w:type="dxa"/>
            <w:tcBorders>
              <w:top w:val="nil"/>
              <w:left w:val="nil"/>
              <w:right w:val="nil"/>
            </w:tcBorders>
            <w:shd w:val="clear" w:color="auto" w:fill="auto"/>
            <w:noWrap/>
            <w:vAlign w:val="bottom"/>
          </w:tcPr>
          <w:p w:rsidR="00DD09C1" w:rsidRPr="00E640D0" w:rsidRDefault="00DD09C1" w:rsidP="00DD09C1">
            <w:pPr>
              <w:pStyle w:val="Tabletext"/>
              <w:tabs>
                <w:tab w:val="decimal" w:pos="510"/>
              </w:tabs>
            </w:pPr>
            <w:r w:rsidRPr="00E640D0">
              <w:t>29.9</w:t>
            </w:r>
          </w:p>
        </w:tc>
      </w:tr>
      <w:tr w:rsidR="00DD09C1" w:rsidRPr="00483130">
        <w:trPr>
          <w:trHeight w:val="264"/>
        </w:trPr>
        <w:tc>
          <w:tcPr>
            <w:tcW w:w="3544" w:type="dxa"/>
            <w:tcBorders>
              <w:top w:val="nil"/>
              <w:left w:val="nil"/>
              <w:bottom w:val="single" w:sz="4" w:space="0" w:color="auto"/>
              <w:right w:val="nil"/>
            </w:tcBorders>
            <w:shd w:val="clear" w:color="auto" w:fill="auto"/>
            <w:noWrap/>
            <w:vAlign w:val="bottom"/>
          </w:tcPr>
          <w:p w:rsidR="00DD09C1" w:rsidRPr="00483130" w:rsidRDefault="00DD09C1" w:rsidP="00DD09C1">
            <w:pPr>
              <w:pStyle w:val="Tabletext"/>
              <w:spacing w:after="40"/>
              <w:rPr>
                <w:b/>
              </w:rPr>
            </w:pPr>
            <w:r w:rsidRPr="00483130">
              <w:rPr>
                <w:b/>
              </w:rPr>
              <w:t>Total employed persons</w:t>
            </w:r>
          </w:p>
        </w:tc>
        <w:tc>
          <w:tcPr>
            <w:tcW w:w="1276" w:type="dxa"/>
            <w:tcBorders>
              <w:top w:val="nil"/>
              <w:left w:val="nil"/>
              <w:bottom w:val="single" w:sz="4" w:space="0" w:color="auto"/>
              <w:right w:val="nil"/>
            </w:tcBorders>
            <w:shd w:val="clear" w:color="auto" w:fill="auto"/>
            <w:noWrap/>
            <w:vAlign w:val="bottom"/>
          </w:tcPr>
          <w:p w:rsidR="00DD09C1" w:rsidRPr="00483130" w:rsidRDefault="00DD09C1" w:rsidP="00DD09C1">
            <w:pPr>
              <w:pStyle w:val="Tabletext"/>
              <w:spacing w:after="40"/>
              <w:ind w:right="312"/>
              <w:jc w:val="right"/>
              <w:rPr>
                <w:b/>
              </w:rPr>
            </w:pPr>
            <w:r w:rsidRPr="00483130">
              <w:rPr>
                <w:b/>
              </w:rPr>
              <w:t>1 102 530</w:t>
            </w:r>
          </w:p>
        </w:tc>
        <w:tc>
          <w:tcPr>
            <w:tcW w:w="1276" w:type="dxa"/>
            <w:tcBorders>
              <w:top w:val="nil"/>
              <w:left w:val="nil"/>
              <w:bottom w:val="single" w:sz="4" w:space="0" w:color="auto"/>
              <w:right w:val="nil"/>
            </w:tcBorders>
            <w:shd w:val="clear" w:color="auto" w:fill="auto"/>
            <w:noWrap/>
            <w:vAlign w:val="bottom"/>
          </w:tcPr>
          <w:p w:rsidR="00DD09C1" w:rsidRPr="00483130" w:rsidRDefault="00DD09C1" w:rsidP="00DD09C1">
            <w:pPr>
              <w:pStyle w:val="Tabletext"/>
              <w:tabs>
                <w:tab w:val="decimal" w:pos="510"/>
              </w:tabs>
              <w:spacing w:after="40"/>
              <w:rPr>
                <w:b/>
              </w:rPr>
            </w:pPr>
            <w:r w:rsidRPr="00483130">
              <w:rPr>
                <w:b/>
              </w:rPr>
              <w:t>100.0</w:t>
            </w:r>
          </w:p>
        </w:tc>
      </w:tr>
    </w:tbl>
    <w:p w:rsidR="00DD09C1" w:rsidRPr="0018060C" w:rsidRDefault="00DD09C1" w:rsidP="00DD09C1">
      <w:pPr>
        <w:pStyle w:val="Source"/>
        <w:rPr>
          <w:lang w:val="en-US"/>
        </w:rPr>
      </w:pPr>
      <w:r w:rsidRPr="00465137">
        <w:rPr>
          <w:lang w:val="en-US"/>
        </w:rPr>
        <w:t>Source:</w:t>
      </w:r>
      <w:r>
        <w:rPr>
          <w:lang w:val="en-US"/>
        </w:rPr>
        <w:tab/>
        <w:t xml:space="preserve">Census of Population and Housing 2006 (unpublished). </w:t>
      </w:r>
    </w:p>
    <w:p w:rsidR="00DD09C1" w:rsidRPr="00F137FE" w:rsidRDefault="00DD09C1" w:rsidP="00DD09C1">
      <w:pPr>
        <w:pStyle w:val="Heading3"/>
        <w:rPr>
          <w:lang w:val="en-US"/>
        </w:rPr>
      </w:pPr>
      <w:r w:rsidRPr="00F137FE">
        <w:rPr>
          <w:lang w:val="en-US"/>
        </w:rPr>
        <w:lastRenderedPageBreak/>
        <w:t>Location</w:t>
      </w:r>
    </w:p>
    <w:p w:rsidR="00DD09C1" w:rsidRDefault="00DD09C1" w:rsidP="00DD09C1">
      <w:pPr>
        <w:pStyle w:val="text-lessbefore"/>
        <w:rPr>
          <w:lang w:val="en-US"/>
        </w:rPr>
      </w:pPr>
      <w:r>
        <w:rPr>
          <w:lang w:val="en-US"/>
        </w:rPr>
        <w:t>Most tradespersons work on the eastern seaboard, with 76% located in</w:t>
      </w:r>
      <w:r w:rsidRPr="00AD5C1D">
        <w:rPr>
          <w:lang w:val="en-US"/>
        </w:rPr>
        <w:t xml:space="preserve"> </w:t>
      </w:r>
      <w:r>
        <w:rPr>
          <w:lang w:val="en-US"/>
        </w:rPr>
        <w:t xml:space="preserve">New South Wales, Victoria and Queensland. New South Wales has the largest share of tradespersons, with more than 30%. The remaining states and territories combined only account for just over 12% of all employed tradespersons. </w:t>
      </w:r>
    </w:p>
    <w:p w:rsidR="00DD09C1" w:rsidRPr="00B2200E" w:rsidRDefault="00DD09C1" w:rsidP="00DD09C1">
      <w:pPr>
        <w:pStyle w:val="Figuretitle"/>
        <w:rPr>
          <w:lang w:val="en-US"/>
        </w:rPr>
      </w:pPr>
      <w:bookmarkStart w:id="56" w:name="_Toc241393330"/>
      <w:bookmarkStart w:id="57" w:name="_Toc139109114"/>
      <w:r w:rsidRPr="00483130">
        <w:t>Figure</w:t>
      </w:r>
      <w:r>
        <w:rPr>
          <w:lang w:val="en-US"/>
        </w:rPr>
        <w:t xml:space="preserve"> 5</w:t>
      </w:r>
      <w:r>
        <w:rPr>
          <w:lang w:val="en-US"/>
        </w:rPr>
        <w:tab/>
      </w:r>
      <w:r w:rsidRPr="00E640D0">
        <w:t>Distribution</w:t>
      </w:r>
      <w:r>
        <w:t xml:space="preserve"> of tradespersons by state, 200</w:t>
      </w:r>
      <w:bookmarkEnd w:id="56"/>
      <w:r>
        <w:t>6</w:t>
      </w:r>
      <w:bookmarkEnd w:id="57"/>
      <w:r>
        <w:t>, %</w:t>
      </w:r>
    </w:p>
    <w:p w:rsidR="00DD09C1" w:rsidRDefault="0001619E" w:rsidP="00DD09C1">
      <w:pPr>
        <w:pStyle w:val="Source"/>
        <w:spacing w:before="160"/>
        <w:rPr>
          <w:lang w:val="en-US"/>
        </w:rPr>
      </w:pPr>
      <w:r>
        <w:rPr>
          <w:noProof/>
          <w:lang w:eastAsia="en-AU"/>
        </w:rPr>
        <w:drawing>
          <wp:anchor distT="0" distB="0" distL="114300" distR="114300" simplePos="0" relativeHeight="251656704" behindDoc="0" locked="0" layoutInCell="1" allowOverlap="1">
            <wp:simplePos x="0" y="0"/>
            <wp:positionH relativeFrom="column">
              <wp:posOffset>-3810</wp:posOffset>
            </wp:positionH>
            <wp:positionV relativeFrom="paragraph">
              <wp:posOffset>26035</wp:posOffset>
            </wp:positionV>
            <wp:extent cx="4123690" cy="2196465"/>
            <wp:effectExtent l="19050" t="0" r="0" b="0"/>
            <wp:wrapTopAndBottom/>
            <wp:docPr id="3776" name="Picture 3776" descr="fog5-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descr="fog5-state"/>
                    <pic:cNvPicPr>
                      <a:picLocks noChangeAspect="1" noChangeArrowheads="1"/>
                    </pic:cNvPicPr>
                  </pic:nvPicPr>
                  <pic:blipFill>
                    <a:blip r:embed="rId16" cstate="print"/>
                    <a:srcRect/>
                    <a:stretch>
                      <a:fillRect/>
                    </a:stretch>
                  </pic:blipFill>
                  <pic:spPr bwMode="auto">
                    <a:xfrm>
                      <a:off x="0" y="0"/>
                      <a:ext cx="4123690" cy="2196465"/>
                    </a:xfrm>
                    <a:prstGeom prst="rect">
                      <a:avLst/>
                    </a:prstGeom>
                    <a:noFill/>
                    <a:ln w="9525">
                      <a:noFill/>
                      <a:miter lim="800000"/>
                      <a:headEnd/>
                      <a:tailEnd/>
                    </a:ln>
                  </pic:spPr>
                </pic:pic>
              </a:graphicData>
            </a:graphic>
          </wp:anchor>
        </w:drawing>
      </w:r>
      <w:r w:rsidR="00DD09C1" w:rsidRPr="00465137">
        <w:rPr>
          <w:lang w:val="en-US"/>
        </w:rPr>
        <w:t>Source:</w:t>
      </w:r>
      <w:r w:rsidR="00DD09C1">
        <w:rPr>
          <w:lang w:val="en-US"/>
        </w:rPr>
        <w:tab/>
        <w:t xml:space="preserve">Based on Census of Population and Housing 2006 (unpublished). </w:t>
      </w:r>
    </w:p>
    <w:p w:rsidR="00DD09C1" w:rsidRDefault="00DD09C1" w:rsidP="00DD09C1">
      <w:pPr>
        <w:pStyle w:val="text-moreb4"/>
      </w:pPr>
      <w:r>
        <w:t xml:space="preserve">Although there are a number of methods of regional classification used in the literature, here the method employed is that developed by the Australian Bureau of Agricultural and Resource Economics (ABARE 2001) and discussed in Garnett and Lewis (2007). </w:t>
      </w:r>
    </w:p>
    <w:p w:rsidR="00DD09C1" w:rsidRDefault="00DD09C1" w:rsidP="00DD09C1">
      <w:pPr>
        <w:pStyle w:val="Dotpoint1"/>
      </w:pPr>
      <w:r w:rsidRPr="0018060C">
        <w:rPr>
          <w:i/>
        </w:rPr>
        <w:t>Capital cities</w:t>
      </w:r>
      <w:r>
        <w:t>: eight capital cities</w:t>
      </w:r>
    </w:p>
    <w:p w:rsidR="00DD09C1" w:rsidRDefault="00DD09C1" w:rsidP="00DD09C1">
      <w:pPr>
        <w:pStyle w:val="Dotpoint1"/>
      </w:pPr>
      <w:r w:rsidRPr="0018060C">
        <w:rPr>
          <w:i/>
        </w:rPr>
        <w:t>Other metropolitan</w:t>
      </w:r>
      <w:r>
        <w:t>: other than in capital cities that contain whole or part of an urban centre with population of 100 000 or more</w:t>
      </w:r>
    </w:p>
    <w:p w:rsidR="00DD09C1" w:rsidRDefault="00DD09C1" w:rsidP="00DD09C1">
      <w:pPr>
        <w:pStyle w:val="Dotpoint1"/>
      </w:pPr>
      <w:r w:rsidRPr="008D1705">
        <w:rPr>
          <w:i/>
        </w:rPr>
        <w:t>Coastal</w:t>
      </w:r>
      <w:r>
        <w:t>: within 80 km of the coastline</w:t>
      </w:r>
    </w:p>
    <w:p w:rsidR="00DD09C1" w:rsidRPr="008B17DF" w:rsidRDefault="00DD09C1" w:rsidP="00DD09C1">
      <w:pPr>
        <w:pStyle w:val="Dotpoint1"/>
      </w:pPr>
      <w:r w:rsidRPr="008D1705">
        <w:rPr>
          <w:i/>
        </w:rPr>
        <w:t>Remote</w:t>
      </w:r>
      <w:r>
        <w:t>: coded by road distance between populations and from the nearest urban centre, according to the A</w:t>
      </w:r>
      <w:r w:rsidRPr="008B17DF">
        <w:rPr>
          <w:rFonts w:cs="Arial"/>
          <w:color w:val="000000"/>
        </w:rPr>
        <w:t xml:space="preserve">ccessibility/Remoteness </w:t>
      </w:r>
      <w:r w:rsidRPr="008B17DF">
        <w:rPr>
          <w:rStyle w:val="Emphasis"/>
          <w:rFonts w:cs="Arial"/>
          <w:b w:val="0"/>
          <w:color w:val="000000"/>
        </w:rPr>
        <w:t>Index</w:t>
      </w:r>
      <w:r w:rsidRPr="008B17DF">
        <w:rPr>
          <w:rFonts w:cs="Arial"/>
          <w:color w:val="000000"/>
        </w:rPr>
        <w:t xml:space="preserve"> for Australia (</w:t>
      </w:r>
      <w:r w:rsidRPr="008B17DF">
        <w:rPr>
          <w:iCs/>
        </w:rPr>
        <w:t>ARIA)</w:t>
      </w:r>
    </w:p>
    <w:p w:rsidR="00DD09C1" w:rsidRDefault="00DD09C1" w:rsidP="00DD09C1">
      <w:pPr>
        <w:pStyle w:val="Dotpoint1"/>
      </w:pPr>
      <w:r w:rsidRPr="008D1705">
        <w:rPr>
          <w:i/>
        </w:rPr>
        <w:t>Inland</w:t>
      </w:r>
      <w:r>
        <w:t xml:space="preserve">: all remaining. </w:t>
      </w:r>
    </w:p>
    <w:p w:rsidR="00DD09C1" w:rsidRPr="0024679F" w:rsidRDefault="00DD09C1" w:rsidP="00DD09C1">
      <w:pPr>
        <w:pStyle w:val="text0"/>
      </w:pPr>
      <w:r w:rsidRPr="0024679F">
        <w:t>Over 61</w:t>
      </w:r>
      <w:r>
        <w:t>%</w:t>
      </w:r>
      <w:r w:rsidRPr="0024679F">
        <w:t xml:space="preserve"> of tradespersons are located in capital cities.</w:t>
      </w:r>
      <w:r>
        <w:t xml:space="preserve"> </w:t>
      </w:r>
      <w:r w:rsidRPr="0024679F">
        <w:t>Another 36</w:t>
      </w:r>
      <w:r>
        <w:t>%</w:t>
      </w:r>
      <w:r w:rsidRPr="0024679F">
        <w:t xml:space="preserve"> of tradespersons are spread fairly evenly over the inland, coastal and other metropolitan regions.</w:t>
      </w:r>
      <w:r>
        <w:t xml:space="preserve"> </w:t>
      </w:r>
      <w:r w:rsidRPr="0024679F">
        <w:t>Remote regions account for only 2.5</w:t>
      </w:r>
      <w:r>
        <w:t>%</w:t>
      </w:r>
      <w:r w:rsidRPr="0024679F">
        <w:t xml:space="preserve"> of the total number of tradespersons.</w:t>
      </w:r>
      <w:r>
        <w:t xml:space="preserve"> </w:t>
      </w:r>
      <w:r w:rsidRPr="0024679F">
        <w:t xml:space="preserve"> </w:t>
      </w:r>
    </w:p>
    <w:p w:rsidR="00DD09C1" w:rsidRDefault="00DD09C1" w:rsidP="00DD09C1">
      <w:pPr>
        <w:pStyle w:val="Figuretitle"/>
        <w:rPr>
          <w:lang w:val="en-US"/>
        </w:rPr>
      </w:pPr>
      <w:bookmarkStart w:id="58" w:name="_Toc241393331"/>
      <w:bookmarkStart w:id="59" w:name="_Toc139109115"/>
      <w:r>
        <w:br w:type="page"/>
      </w:r>
      <w:r w:rsidRPr="00483130">
        <w:lastRenderedPageBreak/>
        <w:t>Figure</w:t>
      </w:r>
      <w:r>
        <w:rPr>
          <w:lang w:val="en-US"/>
        </w:rPr>
        <w:t xml:space="preserve"> 6</w:t>
      </w:r>
      <w:r>
        <w:rPr>
          <w:lang w:val="en-US"/>
        </w:rPr>
        <w:tab/>
      </w:r>
      <w:r w:rsidRPr="00E640D0">
        <w:t>Distribution of tradespersons by region, 2006</w:t>
      </w:r>
      <w:bookmarkEnd w:id="58"/>
      <w:bookmarkEnd w:id="59"/>
      <w:r>
        <w:t>, %</w:t>
      </w:r>
    </w:p>
    <w:p w:rsidR="00DD09C1" w:rsidRDefault="000D09B7" w:rsidP="00DD09C1">
      <w:pPr>
        <w:pStyle w:val="Source"/>
        <w:spacing w:before="160"/>
        <w:rPr>
          <w:lang w:val="en-US"/>
        </w:rPr>
      </w:pPr>
      <w:r>
        <w:rPr>
          <w:noProof/>
          <w:lang w:eastAsia="en-AU"/>
        </w:rPr>
        <w:drawing>
          <wp:anchor distT="0" distB="0" distL="114300" distR="114300" simplePos="0" relativeHeight="251657728" behindDoc="0" locked="0" layoutInCell="1" allowOverlap="1">
            <wp:simplePos x="0" y="0"/>
            <wp:positionH relativeFrom="column">
              <wp:posOffset>2540</wp:posOffset>
            </wp:positionH>
            <wp:positionV relativeFrom="paragraph">
              <wp:posOffset>52705</wp:posOffset>
            </wp:positionV>
            <wp:extent cx="4141470" cy="2194560"/>
            <wp:effectExtent l="19050" t="0" r="0" b="0"/>
            <wp:wrapTopAndBottom/>
            <wp:docPr id="3777" name="Picture 3777" descr="fig6-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descr="fig6-region"/>
                    <pic:cNvPicPr>
                      <a:picLocks noChangeAspect="1" noChangeArrowheads="1"/>
                    </pic:cNvPicPr>
                  </pic:nvPicPr>
                  <pic:blipFill>
                    <a:blip r:embed="rId17" cstate="print"/>
                    <a:srcRect/>
                    <a:stretch>
                      <a:fillRect/>
                    </a:stretch>
                  </pic:blipFill>
                  <pic:spPr bwMode="auto">
                    <a:xfrm>
                      <a:off x="0" y="0"/>
                      <a:ext cx="4141470" cy="2194560"/>
                    </a:xfrm>
                    <a:prstGeom prst="rect">
                      <a:avLst/>
                    </a:prstGeom>
                    <a:noFill/>
                    <a:ln w="9525">
                      <a:noFill/>
                      <a:miter lim="800000"/>
                      <a:headEnd/>
                      <a:tailEnd/>
                    </a:ln>
                  </pic:spPr>
                </pic:pic>
              </a:graphicData>
            </a:graphic>
          </wp:anchor>
        </w:drawing>
      </w:r>
      <w:r w:rsidR="00DD09C1" w:rsidRPr="00465137">
        <w:rPr>
          <w:lang w:val="en-US"/>
        </w:rPr>
        <w:t>Source:</w:t>
      </w:r>
      <w:r w:rsidR="00DD09C1">
        <w:rPr>
          <w:lang w:val="en-US"/>
        </w:rPr>
        <w:tab/>
        <w:t xml:space="preserve">Based on Census of Population and Housing 2006 (unpublished). </w:t>
      </w:r>
    </w:p>
    <w:p w:rsidR="00DD09C1" w:rsidRDefault="00DD09C1" w:rsidP="00DD09C1">
      <w:pPr>
        <w:pStyle w:val="Heading2"/>
        <w:rPr>
          <w:lang w:val="en-US"/>
        </w:rPr>
      </w:pPr>
      <w:bookmarkStart w:id="60" w:name="_Toc139109065"/>
      <w:r w:rsidRPr="00E640D0">
        <w:rPr>
          <w:lang w:val="en-US"/>
        </w:rPr>
        <w:t>Major changes in tradespersons employment</w:t>
      </w:r>
      <w:bookmarkEnd w:id="60"/>
      <w:r w:rsidRPr="00E640D0">
        <w:rPr>
          <w:lang w:val="en-US"/>
        </w:rPr>
        <w:t xml:space="preserve"> </w:t>
      </w:r>
    </w:p>
    <w:p w:rsidR="00DD09C1" w:rsidRPr="006205FE" w:rsidRDefault="00DD09C1" w:rsidP="00DD09C1">
      <w:pPr>
        <w:pStyle w:val="Heading3"/>
        <w:spacing w:before="120"/>
      </w:pPr>
      <w:r w:rsidRPr="006205FE">
        <w:t>Demographics</w:t>
      </w:r>
    </w:p>
    <w:p w:rsidR="00DD09C1" w:rsidRDefault="00DD09C1" w:rsidP="00DD09C1">
      <w:pPr>
        <w:pStyle w:val="text-lessbefore"/>
        <w:rPr>
          <w:lang w:val="en-US"/>
        </w:rPr>
      </w:pPr>
      <w:r>
        <w:rPr>
          <w:lang w:val="en-US"/>
        </w:rPr>
        <w:t>The changing distribution by age over time (figure 7) is interesting because it indicates an ageing tradesperson workforce in Australia between 1991 and 2006. During this time the median age for all tradespersons has progressively increased from 33 years in 1991 to 37 years in 2006. Of particular interest are the m</w:t>
      </w:r>
      <w:r w:rsidRPr="00406787">
        <w:rPr>
          <w:lang w:val="en-US"/>
        </w:rPr>
        <w:t>echanical</w:t>
      </w:r>
      <w:r>
        <w:rPr>
          <w:lang w:val="en-US"/>
        </w:rPr>
        <w:t>, automotive, electrical and electronics, agricultural and horticultural, and other tradespersons subgroups, whose median age has risen faster than that of all occupations. For example, within the electrical and electronics sub-group the median age increased from 32 years in 1991 to 37 years in 2006, while the median age of all other occupations increased from 37 years 1991 to 40 years. This suggests that, not only is the tradespersons workforce ageing, but it is ageing at a faster rate than the rest of the workforce. It is also interesting to note that, while the majority of trade occupations have seen a significant increase in their median age, construction tradespersons have not, with a constant 36-year median age maintained from 1996 to 2006.</w:t>
      </w:r>
    </w:p>
    <w:p w:rsidR="00DD09C1" w:rsidRPr="006440DB" w:rsidRDefault="0001619E" w:rsidP="00DD09C1">
      <w:pPr>
        <w:pStyle w:val="Figuretitle"/>
      </w:pPr>
      <w:bookmarkStart w:id="61" w:name="_Toc241393332"/>
      <w:bookmarkStart w:id="62" w:name="_Toc139109116"/>
      <w:r>
        <w:rPr>
          <w:noProof/>
          <w:lang w:eastAsia="en-AU"/>
        </w:rPr>
        <w:drawing>
          <wp:anchor distT="0" distB="0" distL="114300" distR="114300" simplePos="0" relativeHeight="251658752" behindDoc="0" locked="0" layoutInCell="1" allowOverlap="1">
            <wp:simplePos x="0" y="0"/>
            <wp:positionH relativeFrom="column">
              <wp:posOffset>-5080</wp:posOffset>
            </wp:positionH>
            <wp:positionV relativeFrom="paragraph">
              <wp:posOffset>473075</wp:posOffset>
            </wp:positionV>
            <wp:extent cx="4500245" cy="2339975"/>
            <wp:effectExtent l="19050" t="0" r="0" b="0"/>
            <wp:wrapTopAndBottom/>
            <wp:docPr id="3779" name="Picture 3779" descr="fig7-age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descr="fig7-ageovertime"/>
                    <pic:cNvPicPr>
                      <a:picLocks noChangeAspect="1" noChangeArrowheads="1"/>
                    </pic:cNvPicPr>
                  </pic:nvPicPr>
                  <pic:blipFill>
                    <a:blip r:embed="rId18" cstate="print"/>
                    <a:srcRect/>
                    <a:stretch>
                      <a:fillRect/>
                    </a:stretch>
                  </pic:blipFill>
                  <pic:spPr bwMode="auto">
                    <a:xfrm>
                      <a:off x="0" y="0"/>
                      <a:ext cx="4500245" cy="2339975"/>
                    </a:xfrm>
                    <a:prstGeom prst="rect">
                      <a:avLst/>
                    </a:prstGeom>
                    <a:noFill/>
                    <a:ln w="9525">
                      <a:noFill/>
                      <a:miter lim="800000"/>
                      <a:headEnd/>
                      <a:tailEnd/>
                    </a:ln>
                  </pic:spPr>
                </pic:pic>
              </a:graphicData>
            </a:graphic>
          </wp:anchor>
        </w:drawing>
      </w:r>
      <w:r w:rsidR="00DD09C1" w:rsidRPr="006440DB">
        <w:t>Figure 7</w:t>
      </w:r>
      <w:r w:rsidR="00DD09C1" w:rsidRPr="006440DB">
        <w:tab/>
        <w:t>Distribution of tradespersons by age, 1991–2006</w:t>
      </w:r>
      <w:bookmarkEnd w:id="61"/>
      <w:bookmarkEnd w:id="62"/>
      <w:r w:rsidR="00DD09C1">
        <w:t>, %</w:t>
      </w:r>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DD09C1">
      <w:pPr>
        <w:pStyle w:val="text-moreb4"/>
        <w:ind w:right="132"/>
        <w:rPr>
          <w:lang w:val="en-US"/>
        </w:rPr>
      </w:pPr>
      <w:r>
        <w:rPr>
          <w:lang w:val="en-US"/>
        </w:rPr>
        <w:lastRenderedPageBreak/>
        <w:t xml:space="preserve">Supporting evidence of an ageing tradespersons workforce emerges when looking at the age distribution over time. The steady decline of tradespersons aged between 19 years and 34 years is quite noticeable, as is the significant increase in the percentage of tradespersons aged 40 years and over. In particular, while the age groups 20–24 years and 25–29 years are down 3%, the age group 45–49 is up 3% over the period 1991–2006. There has, however, been a small increase in the proportion of younger tradespersons, 15–24 years old, between 2001 and 2006. This is evidence in support of the success of apprenticeship and trainee training in attracting students, thereby bringing more young people into the trades. For instance, between 2001 and 2006 the number in apprenticeships or trainee trades rose from just under 130 000 to almost 184 000. Growth was particularly strong for construction trades, from about 29 000 in 2001 to almost 50 000 in 2006 (NCVER 2008). </w:t>
      </w:r>
    </w:p>
    <w:p w:rsidR="00DD09C1" w:rsidRDefault="00DD09C1" w:rsidP="00DD09C1">
      <w:pPr>
        <w:pStyle w:val="text0"/>
        <w:ind w:right="274"/>
        <w:rPr>
          <w:lang w:val="en-US"/>
        </w:rPr>
      </w:pPr>
      <w:r>
        <w:rPr>
          <w:lang w:val="en-US"/>
        </w:rPr>
        <w:t xml:space="preserve">The implications of these data are that the supply of tradespersons will decline significantly in the near future, with implications for the ability of the economy to match supply and demand for manual skilled </w:t>
      </w:r>
      <w:proofErr w:type="spellStart"/>
      <w:r>
        <w:rPr>
          <w:lang w:val="en-US"/>
        </w:rPr>
        <w:t>labour</w:t>
      </w:r>
      <w:proofErr w:type="spellEnd"/>
      <w:r>
        <w:rPr>
          <w:lang w:val="en-US"/>
        </w:rPr>
        <w:t xml:space="preserve">, unless there is a significant increase in skilled migration. However, as </w:t>
      </w:r>
      <w:proofErr w:type="spellStart"/>
      <w:r>
        <w:rPr>
          <w:lang w:val="en-US"/>
        </w:rPr>
        <w:t>Karmel</w:t>
      </w:r>
      <w:proofErr w:type="spellEnd"/>
      <w:r>
        <w:rPr>
          <w:lang w:val="en-US"/>
        </w:rPr>
        <w:t xml:space="preserve"> and </w:t>
      </w:r>
      <w:proofErr w:type="spellStart"/>
      <w:r>
        <w:rPr>
          <w:lang w:val="en-US"/>
        </w:rPr>
        <w:t>Ong</w:t>
      </w:r>
      <w:proofErr w:type="spellEnd"/>
      <w:r>
        <w:rPr>
          <w:lang w:val="en-US"/>
        </w:rPr>
        <w:t xml:space="preserve"> (2007) point out, although the ageing of the population will significantly impact on the potential </w:t>
      </w:r>
      <w:proofErr w:type="gramStart"/>
      <w:r>
        <w:rPr>
          <w:lang w:val="en-US"/>
        </w:rPr>
        <w:t>trades</w:t>
      </w:r>
      <w:proofErr w:type="gramEnd"/>
      <w:r>
        <w:rPr>
          <w:lang w:val="en-US"/>
        </w:rPr>
        <w:t xml:space="preserve"> </w:t>
      </w:r>
      <w:proofErr w:type="spellStart"/>
      <w:r>
        <w:rPr>
          <w:lang w:val="en-US"/>
        </w:rPr>
        <w:t>labour</w:t>
      </w:r>
      <w:proofErr w:type="spellEnd"/>
      <w:r>
        <w:rPr>
          <w:lang w:val="en-US"/>
        </w:rPr>
        <w:t xml:space="preserve"> force, shortages will be significantly more severe if trades lose their attractiveness relative to other occupations. This issue is considered further in the section on earnings.</w:t>
      </w:r>
    </w:p>
    <w:p w:rsidR="00DD09C1" w:rsidRPr="006205FE" w:rsidRDefault="00DD09C1" w:rsidP="00DD09C1">
      <w:pPr>
        <w:pStyle w:val="Heading3"/>
        <w:rPr>
          <w:lang w:val="en-US"/>
        </w:rPr>
      </w:pPr>
      <w:r w:rsidRPr="006205FE">
        <w:rPr>
          <w:lang w:val="en-US"/>
        </w:rPr>
        <w:t>Qualifications</w:t>
      </w:r>
    </w:p>
    <w:p w:rsidR="00DD09C1" w:rsidRDefault="00DD09C1" w:rsidP="00DD09C1">
      <w:pPr>
        <w:pStyle w:val="text-lessbefore"/>
        <w:rPr>
          <w:lang w:val="en-US"/>
        </w:rPr>
      </w:pPr>
      <w:r>
        <w:rPr>
          <w:lang w:val="en-US"/>
        </w:rPr>
        <w:t xml:space="preserve">Between 1991 and 2006 there was a significant 8% increase in the percentage of people employed as qualified tradespersons, although it is important to note that most of the increase in the percentage was between 1996 and 2001. This increase takes place in all the individual trade occupations as well. The most significant skilling of trade occupations has come from agriculture and horticultural, electrical and electronics, mechanical and other tradespersons, who have all increased the number qualified faster than total tradespersons or the average during the 1996 to 2001 period.  </w:t>
      </w:r>
    </w:p>
    <w:p w:rsidR="00DD09C1" w:rsidRDefault="00DD09C1" w:rsidP="00DD09C1">
      <w:pPr>
        <w:pStyle w:val="text0"/>
        <w:ind w:right="132"/>
        <w:rPr>
          <w:lang w:val="en-US"/>
        </w:rPr>
      </w:pPr>
      <w:r>
        <w:rPr>
          <w:lang w:val="en-US"/>
        </w:rPr>
        <w:t>Training uptake stagnated in the mechanical and electrical and electronics sub-groups between 2001 and 2006, but improved by 5 and 3% respectively in the agricultural and other tradespersons sub-groups.</w:t>
      </w:r>
    </w:p>
    <w:p w:rsidR="00DD09C1" w:rsidRPr="00A301B2" w:rsidRDefault="0001619E" w:rsidP="00DD09C1">
      <w:pPr>
        <w:pStyle w:val="Figuretitle"/>
        <w:rPr>
          <w:lang w:val="en-US"/>
        </w:rPr>
      </w:pPr>
      <w:bookmarkStart w:id="63" w:name="_Toc241393333"/>
      <w:bookmarkStart w:id="64" w:name="_Toc139109117"/>
      <w:r>
        <w:rPr>
          <w:noProof/>
          <w:lang w:eastAsia="en-AU"/>
        </w:rPr>
        <w:drawing>
          <wp:anchor distT="0" distB="0" distL="114300" distR="114300" simplePos="0" relativeHeight="251659776" behindDoc="0" locked="0" layoutInCell="1" allowOverlap="1">
            <wp:simplePos x="0" y="0"/>
            <wp:positionH relativeFrom="column">
              <wp:posOffset>3810</wp:posOffset>
            </wp:positionH>
            <wp:positionV relativeFrom="paragraph">
              <wp:posOffset>485775</wp:posOffset>
            </wp:positionV>
            <wp:extent cx="4634865" cy="3048000"/>
            <wp:effectExtent l="19050" t="0" r="0" b="0"/>
            <wp:wrapTopAndBottom/>
            <wp:docPr id="3780" name="Picture 3780" descr="fig8-qualified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descr="fig8-qualifiedovertime"/>
                    <pic:cNvPicPr>
                      <a:picLocks noChangeAspect="1" noChangeArrowheads="1"/>
                    </pic:cNvPicPr>
                  </pic:nvPicPr>
                  <pic:blipFill>
                    <a:blip r:embed="rId19" cstate="print"/>
                    <a:srcRect/>
                    <a:stretch>
                      <a:fillRect/>
                    </a:stretch>
                  </pic:blipFill>
                  <pic:spPr bwMode="auto">
                    <a:xfrm>
                      <a:off x="0" y="0"/>
                      <a:ext cx="4634865" cy="3048000"/>
                    </a:xfrm>
                    <a:prstGeom prst="rect">
                      <a:avLst/>
                    </a:prstGeom>
                    <a:noFill/>
                    <a:ln w="9525">
                      <a:noFill/>
                      <a:miter lim="800000"/>
                      <a:headEnd/>
                      <a:tailEnd/>
                    </a:ln>
                  </pic:spPr>
                </pic:pic>
              </a:graphicData>
            </a:graphic>
          </wp:anchor>
        </w:drawing>
      </w:r>
      <w:r w:rsidR="00DD09C1" w:rsidRPr="006440DB">
        <w:t>Figure</w:t>
      </w:r>
      <w:r w:rsidR="00DD09C1" w:rsidRPr="00A301B2">
        <w:t xml:space="preserve"> </w:t>
      </w:r>
      <w:r w:rsidR="00DD09C1">
        <w:t>8</w:t>
      </w:r>
      <w:r w:rsidR="00DD09C1">
        <w:tab/>
      </w:r>
      <w:r w:rsidR="00DD09C1" w:rsidRPr="00A301B2">
        <w:t>Tradespersons</w:t>
      </w:r>
      <w:r w:rsidR="00DD09C1">
        <w:t>’</w:t>
      </w:r>
      <w:r w:rsidR="00DD09C1" w:rsidRPr="00A301B2">
        <w:t xml:space="preserve"> workforce qualified</w:t>
      </w:r>
      <w:r w:rsidR="00DD09C1">
        <w:t>, %</w:t>
      </w:r>
      <w:bookmarkEnd w:id="63"/>
      <w:bookmarkEnd w:id="64"/>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DD09C1">
      <w:pPr>
        <w:pStyle w:val="text-moreb4"/>
        <w:rPr>
          <w:lang w:val="en-US"/>
        </w:rPr>
      </w:pPr>
      <w:r>
        <w:rPr>
          <w:lang w:val="en-US"/>
        </w:rPr>
        <w:lastRenderedPageBreak/>
        <w:t xml:space="preserve">These trends are consistent with growing </w:t>
      </w:r>
      <w:proofErr w:type="spellStart"/>
      <w:r>
        <w:rPr>
          <w:lang w:val="en-US"/>
        </w:rPr>
        <w:t>credentialism</w:t>
      </w:r>
      <w:proofErr w:type="spellEnd"/>
      <w:r>
        <w:rPr>
          <w:lang w:val="en-US"/>
        </w:rPr>
        <w:t xml:space="preserve"> and government regulation in relation to registration. However, the small fall in the percentage qualified among the mechanical, automotive, electrical and electronics and construction trades between 2001and 2006 is consistent with previous research, which suggests that, as skilled </w:t>
      </w:r>
      <w:proofErr w:type="spellStart"/>
      <w:r>
        <w:rPr>
          <w:lang w:val="en-US"/>
        </w:rPr>
        <w:t>labour</w:t>
      </w:r>
      <w:proofErr w:type="spellEnd"/>
      <w:r>
        <w:rPr>
          <w:lang w:val="en-US"/>
        </w:rPr>
        <w:t xml:space="preserve"> becomes in short supply, firms tend to substitute unqualified </w:t>
      </w:r>
      <w:proofErr w:type="spellStart"/>
      <w:r>
        <w:rPr>
          <w:lang w:val="en-US"/>
        </w:rPr>
        <w:t>labour</w:t>
      </w:r>
      <w:proofErr w:type="spellEnd"/>
      <w:r>
        <w:rPr>
          <w:lang w:val="en-US"/>
        </w:rPr>
        <w:t xml:space="preserve"> for qualified tradespersons (see, for instance, Webster et al. 2001). </w:t>
      </w:r>
    </w:p>
    <w:p w:rsidR="00DD09C1" w:rsidRPr="0024679F" w:rsidRDefault="00DD09C1" w:rsidP="00DD09C1">
      <w:pPr>
        <w:pStyle w:val="Heading3"/>
        <w:rPr>
          <w:lang w:val="en-US"/>
        </w:rPr>
      </w:pPr>
      <w:r w:rsidRPr="0024679F">
        <w:rPr>
          <w:lang w:val="en-US"/>
        </w:rPr>
        <w:t>Occupation</w:t>
      </w:r>
    </w:p>
    <w:p w:rsidR="00DD09C1" w:rsidRPr="002F7DBC" w:rsidRDefault="00DD09C1" w:rsidP="00DD09C1">
      <w:pPr>
        <w:pStyle w:val="text-lessbefore"/>
        <w:rPr>
          <w:lang w:val="en-US"/>
        </w:rPr>
      </w:pPr>
      <w:r>
        <w:rPr>
          <w:lang w:val="en-US"/>
        </w:rPr>
        <w:t xml:space="preserve">The number of tradespersons employed grew by 15% in a steady growth pattern between 1991 and 2006, although there were variations between sectors. Employment of tradespersons increased between 2001 and 2006, where the number of tradespersons employed grew by 83 674. This represented a rise of over 8%—but was less than the growth of 13% in the Australian workforce as a whole. Thus tradespersons have fallen as a proportion of the workforce. Not all industries have been affected in the same way. </w:t>
      </w:r>
    </w:p>
    <w:p w:rsidR="00DD09C1" w:rsidRDefault="00DD09C1" w:rsidP="00DD09C1">
      <w:pPr>
        <w:pStyle w:val="tabletitle"/>
        <w:rPr>
          <w:lang w:val="en-US"/>
        </w:rPr>
      </w:pPr>
      <w:bookmarkStart w:id="65" w:name="_Toc241393308"/>
      <w:bookmarkStart w:id="66" w:name="_Toc139109089"/>
      <w:r>
        <w:rPr>
          <w:lang w:val="en-US"/>
        </w:rPr>
        <w:t>Table 2</w:t>
      </w:r>
      <w:r>
        <w:rPr>
          <w:lang w:val="en-US"/>
        </w:rPr>
        <w:tab/>
      </w:r>
      <w:r w:rsidRPr="006440DB">
        <w:t>Distribution</w:t>
      </w:r>
      <w:r>
        <w:rPr>
          <w:lang w:val="en-US"/>
        </w:rPr>
        <w:t xml:space="preserve"> of tradespersons by sub-group, over time</w:t>
      </w:r>
      <w:bookmarkEnd w:id="65"/>
      <w:bookmarkEnd w:id="66"/>
    </w:p>
    <w:tbl>
      <w:tblPr>
        <w:tblW w:w="8505" w:type="dxa"/>
        <w:tblInd w:w="108" w:type="dxa"/>
        <w:tblLayout w:type="fixed"/>
        <w:tblLook w:val="0000"/>
      </w:tblPr>
      <w:tblGrid>
        <w:gridCol w:w="1854"/>
        <w:gridCol w:w="1140"/>
        <w:gridCol w:w="534"/>
        <w:gridCol w:w="1177"/>
        <w:gridCol w:w="542"/>
        <w:gridCol w:w="1069"/>
        <w:gridCol w:w="542"/>
        <w:gridCol w:w="1105"/>
        <w:gridCol w:w="542"/>
      </w:tblGrid>
      <w:tr w:rsidR="00DD09C1" w:rsidRPr="006440DB">
        <w:tc>
          <w:tcPr>
            <w:tcW w:w="1843"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pPr>
          </w:p>
        </w:tc>
        <w:tc>
          <w:tcPr>
            <w:tcW w:w="1134"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r w:rsidRPr="006440DB">
              <w:t>1991</w:t>
            </w:r>
          </w:p>
        </w:tc>
        <w:tc>
          <w:tcPr>
            <w:tcW w:w="531"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p>
        </w:tc>
        <w:tc>
          <w:tcPr>
            <w:tcW w:w="1170"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r w:rsidRPr="006440DB">
              <w:t>1996</w:t>
            </w:r>
          </w:p>
        </w:tc>
        <w:tc>
          <w:tcPr>
            <w:tcW w:w="539"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p>
        </w:tc>
        <w:tc>
          <w:tcPr>
            <w:tcW w:w="1063"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r w:rsidRPr="006440DB">
              <w:t>2001</w:t>
            </w:r>
          </w:p>
        </w:tc>
        <w:tc>
          <w:tcPr>
            <w:tcW w:w="539"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p>
        </w:tc>
        <w:tc>
          <w:tcPr>
            <w:tcW w:w="1099"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r w:rsidRPr="006440DB">
              <w:t>2006</w:t>
            </w:r>
          </w:p>
        </w:tc>
        <w:tc>
          <w:tcPr>
            <w:tcW w:w="539" w:type="dxa"/>
            <w:tcBorders>
              <w:top w:val="single" w:sz="4" w:space="0" w:color="auto"/>
              <w:left w:val="nil"/>
              <w:bottom w:val="nil"/>
              <w:right w:val="nil"/>
            </w:tcBorders>
            <w:shd w:val="clear" w:color="auto" w:fill="auto"/>
            <w:noWrap/>
            <w:vAlign w:val="bottom"/>
          </w:tcPr>
          <w:p w:rsidR="00DD09C1" w:rsidRPr="006440DB" w:rsidRDefault="00DD09C1" w:rsidP="00DD09C1">
            <w:pPr>
              <w:pStyle w:val="Tablehead1"/>
              <w:jc w:val="center"/>
            </w:pPr>
          </w:p>
        </w:tc>
      </w:tr>
      <w:tr w:rsidR="00DD09C1" w:rsidRPr="006440DB">
        <w:tc>
          <w:tcPr>
            <w:tcW w:w="1843"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pPr>
          </w:p>
        </w:tc>
        <w:tc>
          <w:tcPr>
            <w:tcW w:w="1134"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No.</w:t>
            </w:r>
          </w:p>
        </w:tc>
        <w:tc>
          <w:tcPr>
            <w:tcW w:w="531"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w:t>
            </w:r>
          </w:p>
        </w:tc>
        <w:tc>
          <w:tcPr>
            <w:tcW w:w="1170"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No.</w:t>
            </w:r>
          </w:p>
        </w:tc>
        <w:tc>
          <w:tcPr>
            <w:tcW w:w="539"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w:t>
            </w:r>
          </w:p>
        </w:tc>
        <w:tc>
          <w:tcPr>
            <w:tcW w:w="1063"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No.</w:t>
            </w:r>
          </w:p>
        </w:tc>
        <w:tc>
          <w:tcPr>
            <w:tcW w:w="539"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w:t>
            </w:r>
          </w:p>
        </w:tc>
        <w:tc>
          <w:tcPr>
            <w:tcW w:w="1099"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No.</w:t>
            </w:r>
          </w:p>
        </w:tc>
        <w:tc>
          <w:tcPr>
            <w:tcW w:w="539" w:type="dxa"/>
            <w:tcBorders>
              <w:top w:val="nil"/>
              <w:left w:val="nil"/>
              <w:bottom w:val="single" w:sz="4" w:space="0" w:color="auto"/>
              <w:right w:val="nil"/>
            </w:tcBorders>
            <w:shd w:val="clear" w:color="auto" w:fill="auto"/>
            <w:noWrap/>
            <w:vAlign w:val="bottom"/>
          </w:tcPr>
          <w:p w:rsidR="00DD09C1" w:rsidRPr="006440DB" w:rsidRDefault="00DD09C1" w:rsidP="00DD09C1">
            <w:pPr>
              <w:pStyle w:val="Tablehead2"/>
              <w:jc w:val="center"/>
            </w:pPr>
            <w:r w:rsidRPr="006440DB">
              <w:t>%</w:t>
            </w:r>
          </w:p>
        </w:tc>
      </w:tr>
      <w:tr w:rsidR="00DD09C1" w:rsidRPr="009873B8">
        <w:tc>
          <w:tcPr>
            <w:tcW w:w="1843" w:type="dxa"/>
            <w:tcBorders>
              <w:top w:val="single" w:sz="4" w:space="0" w:color="auto"/>
              <w:left w:val="nil"/>
              <w:bottom w:val="nil"/>
              <w:right w:val="nil"/>
            </w:tcBorders>
            <w:shd w:val="clear" w:color="auto" w:fill="auto"/>
            <w:noWrap/>
            <w:vAlign w:val="bottom"/>
          </w:tcPr>
          <w:p w:rsidR="00DD09C1" w:rsidRPr="005722FE" w:rsidRDefault="00DD09C1" w:rsidP="00DD09C1">
            <w:pPr>
              <w:pStyle w:val="Tabletext"/>
            </w:pPr>
            <w:r w:rsidRPr="005722FE">
              <w:t xml:space="preserve">Tradespersons </w:t>
            </w:r>
            <w:proofErr w:type="spellStart"/>
            <w:r w:rsidRPr="005722FE">
              <w:t>nfd</w:t>
            </w:r>
            <w:proofErr w:type="spellEnd"/>
          </w:p>
        </w:tc>
        <w:tc>
          <w:tcPr>
            <w:tcW w:w="1134" w:type="dxa"/>
            <w:tcBorders>
              <w:top w:val="single" w:sz="4" w:space="0" w:color="auto"/>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14</w:t>
            </w:r>
            <w:r>
              <w:t xml:space="preserve"> </w:t>
            </w:r>
            <w:r w:rsidRPr="009873B8">
              <w:t>205</w:t>
            </w:r>
          </w:p>
        </w:tc>
        <w:tc>
          <w:tcPr>
            <w:tcW w:w="531" w:type="dxa"/>
            <w:tcBorders>
              <w:top w:val="single" w:sz="4" w:space="0" w:color="auto"/>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w:t>
            </w:r>
          </w:p>
        </w:tc>
        <w:tc>
          <w:tcPr>
            <w:tcW w:w="1170" w:type="dxa"/>
            <w:tcBorders>
              <w:top w:val="single" w:sz="4" w:space="0" w:color="auto"/>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14</w:t>
            </w:r>
            <w:r>
              <w:t xml:space="preserve"> </w:t>
            </w:r>
            <w:r w:rsidRPr="009873B8">
              <w:t>942</w:t>
            </w:r>
          </w:p>
        </w:tc>
        <w:tc>
          <w:tcPr>
            <w:tcW w:w="539" w:type="dxa"/>
            <w:tcBorders>
              <w:top w:val="single" w:sz="4" w:space="0" w:color="auto"/>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w:t>
            </w:r>
          </w:p>
        </w:tc>
        <w:tc>
          <w:tcPr>
            <w:tcW w:w="1063" w:type="dxa"/>
            <w:tcBorders>
              <w:top w:val="single" w:sz="4" w:space="0" w:color="auto"/>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13</w:t>
            </w:r>
            <w:r>
              <w:t xml:space="preserve"> </w:t>
            </w:r>
            <w:r w:rsidRPr="009873B8">
              <w:t>369</w:t>
            </w:r>
          </w:p>
        </w:tc>
        <w:tc>
          <w:tcPr>
            <w:tcW w:w="539" w:type="dxa"/>
            <w:tcBorders>
              <w:top w:val="single" w:sz="4" w:space="0" w:color="auto"/>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w:t>
            </w:r>
          </w:p>
        </w:tc>
        <w:tc>
          <w:tcPr>
            <w:tcW w:w="1099" w:type="dxa"/>
            <w:tcBorders>
              <w:top w:val="single" w:sz="4" w:space="0" w:color="auto"/>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14</w:t>
            </w:r>
            <w:r>
              <w:t xml:space="preserve"> </w:t>
            </w:r>
            <w:r w:rsidRPr="009873B8">
              <w:t>979</w:t>
            </w:r>
          </w:p>
        </w:tc>
        <w:tc>
          <w:tcPr>
            <w:tcW w:w="539" w:type="dxa"/>
            <w:tcBorders>
              <w:top w:val="single" w:sz="4" w:space="0" w:color="auto"/>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rsidRPr="005722FE">
              <w:t>Mechanical</w:t>
            </w:r>
            <w:r>
              <w:t xml:space="preserve"> </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179</w:t>
            </w:r>
            <w:r>
              <w:t xml:space="preserve"> </w:t>
            </w:r>
            <w:r w:rsidRPr="009873B8">
              <w:t>768</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19</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178</w:t>
            </w:r>
            <w:r>
              <w:t xml:space="preserve"> </w:t>
            </w:r>
            <w:r w:rsidRPr="009873B8">
              <w:t>285</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18</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169</w:t>
            </w:r>
            <w:r>
              <w:t xml:space="preserve"> </w:t>
            </w:r>
            <w:r w:rsidRPr="009873B8">
              <w:t>201</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17</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179</w:t>
            </w:r>
            <w:r>
              <w:t xml:space="preserve"> </w:t>
            </w:r>
            <w:r w:rsidRPr="009873B8">
              <w:t>878</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16</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rsidRPr="005722FE">
              <w:t xml:space="preserve">Automotive </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116</w:t>
            </w:r>
            <w:r>
              <w:t xml:space="preserve"> </w:t>
            </w:r>
            <w:r w:rsidRPr="009873B8">
              <w:t>547</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12</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120</w:t>
            </w:r>
            <w:r>
              <w:t xml:space="preserve"> </w:t>
            </w:r>
            <w:r w:rsidRPr="009873B8">
              <w:t>723</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12</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115</w:t>
            </w:r>
            <w:r>
              <w:t xml:space="preserve"> </w:t>
            </w:r>
            <w:r w:rsidRPr="009873B8">
              <w:t>599</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11</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116</w:t>
            </w:r>
            <w:r>
              <w:t xml:space="preserve"> </w:t>
            </w:r>
            <w:r w:rsidRPr="009873B8">
              <w:t>368</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11</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rsidRPr="005722FE">
              <w:t xml:space="preserve">Electrical </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138</w:t>
            </w:r>
            <w:r>
              <w:t xml:space="preserve"> </w:t>
            </w:r>
            <w:r w:rsidRPr="009873B8">
              <w:t>055</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14</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136</w:t>
            </w:r>
            <w:r>
              <w:t xml:space="preserve"> </w:t>
            </w:r>
            <w:r w:rsidRPr="009873B8">
              <w:t>208</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14</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141</w:t>
            </w:r>
            <w:r>
              <w:t xml:space="preserve"> </w:t>
            </w:r>
            <w:r w:rsidRPr="009873B8">
              <w:t>616</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14</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162</w:t>
            </w:r>
            <w:r>
              <w:t xml:space="preserve"> </w:t>
            </w:r>
            <w:r w:rsidRPr="009873B8">
              <w:t>227</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15</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rsidRPr="005722FE">
              <w:t xml:space="preserve">Construction </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197</w:t>
            </w:r>
            <w:r>
              <w:t xml:space="preserve"> </w:t>
            </w:r>
            <w:r w:rsidRPr="009873B8">
              <w:t>126</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21</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210</w:t>
            </w:r>
            <w:r>
              <w:t xml:space="preserve"> </w:t>
            </w:r>
            <w:r w:rsidRPr="009873B8">
              <w:t>163</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21</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233</w:t>
            </w:r>
            <w:r>
              <w:t xml:space="preserve"> </w:t>
            </w:r>
            <w:r w:rsidRPr="009873B8">
              <w:t>142</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23</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275</w:t>
            </w:r>
            <w:r>
              <w:t xml:space="preserve"> </w:t>
            </w:r>
            <w:r w:rsidRPr="009873B8">
              <w:t>735</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25</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t>Food t</w:t>
            </w:r>
            <w:r w:rsidRPr="005722FE">
              <w:t>radespersons</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102</w:t>
            </w:r>
            <w:r>
              <w:t xml:space="preserve"> </w:t>
            </w:r>
            <w:r w:rsidRPr="009873B8">
              <w:t>474</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11</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83</w:t>
            </w:r>
            <w:r>
              <w:t xml:space="preserve"> </w:t>
            </w:r>
            <w:r w:rsidRPr="009873B8">
              <w:t>226</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8</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85</w:t>
            </w:r>
            <w:r>
              <w:t xml:space="preserve"> </w:t>
            </w:r>
            <w:r w:rsidRPr="009873B8">
              <w:t>037</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8</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90</w:t>
            </w:r>
            <w:r>
              <w:t xml:space="preserve"> </w:t>
            </w:r>
            <w:r w:rsidRPr="009873B8">
              <w:t>334</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8</w:t>
            </w:r>
          </w:p>
        </w:tc>
      </w:tr>
      <w:tr w:rsidR="00DD09C1" w:rsidRPr="009873B8">
        <w:tc>
          <w:tcPr>
            <w:tcW w:w="1843" w:type="dxa"/>
            <w:tcBorders>
              <w:top w:val="nil"/>
              <w:left w:val="nil"/>
              <w:bottom w:val="nil"/>
              <w:right w:val="nil"/>
            </w:tcBorders>
            <w:shd w:val="clear" w:color="auto" w:fill="auto"/>
            <w:noWrap/>
            <w:vAlign w:val="bottom"/>
          </w:tcPr>
          <w:p w:rsidR="00DD09C1" w:rsidRPr="005722FE" w:rsidRDefault="00DD09C1" w:rsidP="00DD09C1">
            <w:pPr>
              <w:pStyle w:val="Tabletext"/>
            </w:pPr>
            <w:r w:rsidRPr="005722FE">
              <w:t>Skill</w:t>
            </w:r>
            <w:r>
              <w:t>ed a</w:t>
            </w:r>
            <w:r w:rsidRPr="005722FE">
              <w:t>gricultural</w:t>
            </w:r>
            <w:r>
              <w:t xml:space="preserve"> </w:t>
            </w:r>
          </w:p>
        </w:tc>
        <w:tc>
          <w:tcPr>
            <w:tcW w:w="1134"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44</w:t>
            </w:r>
            <w:r>
              <w:t xml:space="preserve"> </w:t>
            </w:r>
            <w:r w:rsidRPr="009873B8">
              <w:t>428</w:t>
            </w:r>
          </w:p>
        </w:tc>
        <w:tc>
          <w:tcPr>
            <w:tcW w:w="531"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5</w:t>
            </w:r>
          </w:p>
        </w:tc>
        <w:tc>
          <w:tcPr>
            <w:tcW w:w="1170" w:type="dxa"/>
            <w:tcBorders>
              <w:top w:val="nil"/>
              <w:left w:val="nil"/>
              <w:bottom w:val="nil"/>
              <w:right w:val="nil"/>
            </w:tcBorders>
            <w:shd w:val="clear" w:color="auto" w:fill="auto"/>
            <w:noWrap/>
            <w:vAlign w:val="bottom"/>
          </w:tcPr>
          <w:p w:rsidR="00DD09C1" w:rsidRPr="009873B8" w:rsidRDefault="00DD09C1" w:rsidP="00DD09C1">
            <w:pPr>
              <w:pStyle w:val="Tabletext"/>
              <w:ind w:right="255"/>
              <w:jc w:val="right"/>
            </w:pPr>
            <w:r w:rsidRPr="009873B8">
              <w:t>64</w:t>
            </w:r>
            <w:r>
              <w:t xml:space="preserve"> </w:t>
            </w:r>
            <w:r w:rsidRPr="009873B8">
              <w:t>085</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6</w:t>
            </w:r>
          </w:p>
        </w:tc>
        <w:tc>
          <w:tcPr>
            <w:tcW w:w="1063"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70</w:t>
            </w:r>
            <w:r>
              <w:t xml:space="preserve"> </w:t>
            </w:r>
            <w:r w:rsidRPr="009873B8">
              <w:t>195</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7</w:t>
            </w:r>
          </w:p>
        </w:tc>
        <w:tc>
          <w:tcPr>
            <w:tcW w:w="1099" w:type="dxa"/>
            <w:tcBorders>
              <w:top w:val="nil"/>
              <w:left w:val="nil"/>
              <w:bottom w:val="nil"/>
              <w:right w:val="nil"/>
            </w:tcBorders>
            <w:shd w:val="clear" w:color="auto" w:fill="auto"/>
            <w:noWrap/>
            <w:vAlign w:val="bottom"/>
          </w:tcPr>
          <w:p w:rsidR="00DD09C1" w:rsidRPr="009873B8" w:rsidRDefault="00DD09C1" w:rsidP="00DD09C1">
            <w:pPr>
              <w:pStyle w:val="Tabletext"/>
              <w:ind w:right="113"/>
              <w:jc w:val="right"/>
            </w:pPr>
            <w:r w:rsidRPr="009873B8">
              <w:t>72</w:t>
            </w:r>
            <w:r>
              <w:t xml:space="preserve"> </w:t>
            </w:r>
            <w:r w:rsidRPr="009873B8">
              <w:t>222</w:t>
            </w:r>
          </w:p>
        </w:tc>
        <w:tc>
          <w:tcPr>
            <w:tcW w:w="539" w:type="dxa"/>
            <w:tcBorders>
              <w:top w:val="nil"/>
              <w:left w:val="nil"/>
              <w:bottom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7</w:t>
            </w:r>
          </w:p>
        </w:tc>
      </w:tr>
      <w:tr w:rsidR="00DD09C1" w:rsidRPr="009873B8">
        <w:tc>
          <w:tcPr>
            <w:tcW w:w="1843" w:type="dxa"/>
            <w:tcBorders>
              <w:top w:val="nil"/>
              <w:left w:val="nil"/>
              <w:right w:val="nil"/>
            </w:tcBorders>
            <w:shd w:val="clear" w:color="auto" w:fill="auto"/>
            <w:noWrap/>
            <w:vAlign w:val="bottom"/>
          </w:tcPr>
          <w:p w:rsidR="00DD09C1" w:rsidRPr="005722FE" w:rsidRDefault="00DD09C1" w:rsidP="00DD09C1">
            <w:pPr>
              <w:pStyle w:val="Tabletext"/>
            </w:pPr>
            <w:r>
              <w:t>Other t</w:t>
            </w:r>
            <w:r w:rsidRPr="005722FE">
              <w:t xml:space="preserve">radespersons </w:t>
            </w:r>
          </w:p>
        </w:tc>
        <w:tc>
          <w:tcPr>
            <w:tcW w:w="1134" w:type="dxa"/>
            <w:tcBorders>
              <w:top w:val="nil"/>
              <w:left w:val="nil"/>
              <w:right w:val="nil"/>
            </w:tcBorders>
            <w:shd w:val="clear" w:color="auto" w:fill="auto"/>
            <w:noWrap/>
            <w:vAlign w:val="bottom"/>
          </w:tcPr>
          <w:p w:rsidR="00DD09C1" w:rsidRPr="009873B8" w:rsidRDefault="00DD09C1" w:rsidP="00DD09C1">
            <w:pPr>
              <w:pStyle w:val="Tabletext"/>
              <w:ind w:right="255"/>
              <w:jc w:val="right"/>
            </w:pPr>
            <w:r w:rsidRPr="009873B8">
              <w:t>133</w:t>
            </w:r>
            <w:r>
              <w:t xml:space="preserve"> </w:t>
            </w:r>
            <w:r w:rsidRPr="009873B8">
              <w:t>693</w:t>
            </w:r>
          </w:p>
        </w:tc>
        <w:tc>
          <w:tcPr>
            <w:tcW w:w="531" w:type="dxa"/>
            <w:tcBorders>
              <w:top w:val="nil"/>
              <w:left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14</w:t>
            </w:r>
          </w:p>
        </w:tc>
        <w:tc>
          <w:tcPr>
            <w:tcW w:w="1170" w:type="dxa"/>
            <w:tcBorders>
              <w:top w:val="nil"/>
              <w:left w:val="nil"/>
              <w:right w:val="nil"/>
            </w:tcBorders>
            <w:shd w:val="clear" w:color="auto" w:fill="auto"/>
            <w:noWrap/>
            <w:vAlign w:val="bottom"/>
          </w:tcPr>
          <w:p w:rsidR="00DD09C1" w:rsidRPr="009873B8" w:rsidRDefault="00DD09C1" w:rsidP="00DD09C1">
            <w:pPr>
              <w:pStyle w:val="Tabletext"/>
              <w:ind w:right="255"/>
              <w:jc w:val="right"/>
            </w:pPr>
            <w:r w:rsidRPr="009873B8">
              <w:t>189</w:t>
            </w:r>
            <w:r>
              <w:t xml:space="preserve"> </w:t>
            </w:r>
            <w:r w:rsidRPr="009873B8">
              <w:t>333</w:t>
            </w:r>
          </w:p>
        </w:tc>
        <w:tc>
          <w:tcPr>
            <w:tcW w:w="539" w:type="dxa"/>
            <w:tcBorders>
              <w:top w:val="nil"/>
              <w:left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19</w:t>
            </w:r>
          </w:p>
        </w:tc>
        <w:tc>
          <w:tcPr>
            <w:tcW w:w="1063" w:type="dxa"/>
            <w:tcBorders>
              <w:top w:val="nil"/>
              <w:left w:val="nil"/>
              <w:right w:val="nil"/>
            </w:tcBorders>
            <w:shd w:val="clear" w:color="auto" w:fill="auto"/>
            <w:noWrap/>
            <w:vAlign w:val="bottom"/>
          </w:tcPr>
          <w:p w:rsidR="00DD09C1" w:rsidRPr="009873B8" w:rsidRDefault="00DD09C1" w:rsidP="00DD09C1">
            <w:pPr>
              <w:pStyle w:val="Tabletext"/>
              <w:ind w:right="113"/>
              <w:jc w:val="right"/>
            </w:pPr>
            <w:r w:rsidRPr="009873B8">
              <w:t>190</w:t>
            </w:r>
            <w:r>
              <w:t xml:space="preserve"> </w:t>
            </w:r>
            <w:r w:rsidRPr="009873B8">
              <w:t>708</w:t>
            </w:r>
          </w:p>
        </w:tc>
        <w:tc>
          <w:tcPr>
            <w:tcW w:w="539" w:type="dxa"/>
            <w:tcBorders>
              <w:top w:val="nil"/>
              <w:left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19</w:t>
            </w:r>
          </w:p>
        </w:tc>
        <w:tc>
          <w:tcPr>
            <w:tcW w:w="1099" w:type="dxa"/>
            <w:tcBorders>
              <w:top w:val="nil"/>
              <w:left w:val="nil"/>
              <w:right w:val="nil"/>
            </w:tcBorders>
            <w:shd w:val="clear" w:color="auto" w:fill="auto"/>
            <w:noWrap/>
            <w:vAlign w:val="bottom"/>
          </w:tcPr>
          <w:p w:rsidR="00DD09C1" w:rsidRPr="009873B8" w:rsidRDefault="00DD09C1" w:rsidP="00DD09C1">
            <w:pPr>
              <w:pStyle w:val="Tabletext"/>
              <w:ind w:right="113"/>
              <w:jc w:val="right"/>
            </w:pPr>
            <w:r w:rsidRPr="009873B8">
              <w:t>190</w:t>
            </w:r>
            <w:r>
              <w:t xml:space="preserve"> </w:t>
            </w:r>
            <w:r w:rsidRPr="009873B8">
              <w:t>798</w:t>
            </w:r>
          </w:p>
        </w:tc>
        <w:tc>
          <w:tcPr>
            <w:tcW w:w="539" w:type="dxa"/>
            <w:tcBorders>
              <w:top w:val="nil"/>
              <w:left w:val="nil"/>
              <w:right w:val="nil"/>
            </w:tcBorders>
            <w:shd w:val="clear" w:color="auto" w:fill="auto"/>
            <w:noWrap/>
            <w:tcMar>
              <w:left w:w="0" w:type="dxa"/>
            </w:tcMar>
            <w:vAlign w:val="bottom"/>
          </w:tcPr>
          <w:p w:rsidR="00DD09C1" w:rsidRPr="009873B8" w:rsidRDefault="00DD09C1" w:rsidP="00DD09C1">
            <w:pPr>
              <w:pStyle w:val="Tabletext"/>
              <w:tabs>
                <w:tab w:val="decimal" w:pos="312"/>
              </w:tabs>
            </w:pPr>
            <w:r w:rsidRPr="009873B8">
              <w:t>17</w:t>
            </w:r>
          </w:p>
        </w:tc>
      </w:tr>
      <w:tr w:rsidR="00DD09C1" w:rsidRPr="00B655E4">
        <w:tc>
          <w:tcPr>
            <w:tcW w:w="1843" w:type="dxa"/>
            <w:tcBorders>
              <w:top w:val="nil"/>
              <w:left w:val="nil"/>
              <w:bottom w:val="single" w:sz="4" w:space="0" w:color="auto"/>
              <w:right w:val="nil"/>
            </w:tcBorders>
            <w:shd w:val="clear" w:color="auto" w:fill="auto"/>
            <w:noWrap/>
            <w:vAlign w:val="bottom"/>
          </w:tcPr>
          <w:p w:rsidR="00DD09C1" w:rsidRPr="00B655E4" w:rsidRDefault="00DD09C1" w:rsidP="00DD09C1">
            <w:pPr>
              <w:pStyle w:val="Tabletext"/>
              <w:spacing w:after="40"/>
              <w:rPr>
                <w:b/>
              </w:rPr>
            </w:pPr>
            <w:r w:rsidRPr="00B655E4">
              <w:rPr>
                <w:b/>
              </w:rPr>
              <w:t>Total tradespersons</w:t>
            </w:r>
          </w:p>
        </w:tc>
        <w:tc>
          <w:tcPr>
            <w:tcW w:w="1134" w:type="dxa"/>
            <w:tcBorders>
              <w:top w:val="nil"/>
              <w:left w:val="nil"/>
              <w:bottom w:val="single" w:sz="4" w:space="0" w:color="auto"/>
              <w:right w:val="nil"/>
            </w:tcBorders>
            <w:shd w:val="clear" w:color="auto" w:fill="auto"/>
            <w:noWrap/>
            <w:vAlign w:val="bottom"/>
          </w:tcPr>
          <w:p w:rsidR="00DD09C1" w:rsidRPr="00B655E4" w:rsidRDefault="00DD09C1" w:rsidP="00DD09C1">
            <w:pPr>
              <w:pStyle w:val="Tabletext"/>
              <w:spacing w:after="40"/>
              <w:ind w:right="255"/>
              <w:jc w:val="right"/>
              <w:rPr>
                <w:b/>
              </w:rPr>
            </w:pPr>
            <w:r w:rsidRPr="00B655E4">
              <w:rPr>
                <w:b/>
              </w:rPr>
              <w:t>958</w:t>
            </w:r>
            <w:r>
              <w:rPr>
                <w:b/>
              </w:rPr>
              <w:t xml:space="preserve"> </w:t>
            </w:r>
            <w:r w:rsidRPr="00B655E4">
              <w:rPr>
                <w:b/>
              </w:rPr>
              <w:t>480</w:t>
            </w:r>
          </w:p>
        </w:tc>
        <w:tc>
          <w:tcPr>
            <w:tcW w:w="531" w:type="dxa"/>
            <w:tcBorders>
              <w:top w:val="nil"/>
              <w:left w:val="nil"/>
              <w:bottom w:val="single" w:sz="4" w:space="0" w:color="auto"/>
              <w:right w:val="nil"/>
            </w:tcBorders>
            <w:shd w:val="clear" w:color="auto" w:fill="auto"/>
            <w:noWrap/>
            <w:tcMar>
              <w:left w:w="0" w:type="dxa"/>
            </w:tcMar>
            <w:vAlign w:val="bottom"/>
          </w:tcPr>
          <w:p w:rsidR="00DD09C1" w:rsidRPr="00B655E4" w:rsidRDefault="00DD09C1" w:rsidP="00DD09C1">
            <w:pPr>
              <w:pStyle w:val="Tabletext"/>
              <w:tabs>
                <w:tab w:val="decimal" w:pos="312"/>
              </w:tabs>
              <w:spacing w:after="40"/>
              <w:rPr>
                <w:b/>
              </w:rPr>
            </w:pPr>
            <w:r w:rsidRPr="00B655E4">
              <w:rPr>
                <w:b/>
              </w:rPr>
              <w:t>100</w:t>
            </w:r>
          </w:p>
        </w:tc>
        <w:tc>
          <w:tcPr>
            <w:tcW w:w="1170" w:type="dxa"/>
            <w:tcBorders>
              <w:top w:val="nil"/>
              <w:left w:val="nil"/>
              <w:bottom w:val="single" w:sz="4" w:space="0" w:color="auto"/>
              <w:right w:val="nil"/>
            </w:tcBorders>
            <w:shd w:val="clear" w:color="auto" w:fill="auto"/>
            <w:noWrap/>
            <w:vAlign w:val="bottom"/>
          </w:tcPr>
          <w:p w:rsidR="00DD09C1" w:rsidRPr="00B655E4" w:rsidRDefault="00DD09C1" w:rsidP="00DD09C1">
            <w:pPr>
              <w:pStyle w:val="Tabletext"/>
              <w:spacing w:after="40"/>
              <w:ind w:right="255"/>
              <w:jc w:val="right"/>
              <w:rPr>
                <w:b/>
              </w:rPr>
            </w:pPr>
            <w:r w:rsidRPr="00B655E4">
              <w:rPr>
                <w:b/>
              </w:rPr>
              <w:t>996</w:t>
            </w:r>
            <w:r>
              <w:rPr>
                <w:b/>
              </w:rPr>
              <w:t xml:space="preserve"> </w:t>
            </w:r>
            <w:r w:rsidRPr="00B655E4">
              <w:rPr>
                <w:b/>
              </w:rPr>
              <w:t>965</w:t>
            </w:r>
          </w:p>
        </w:tc>
        <w:tc>
          <w:tcPr>
            <w:tcW w:w="539" w:type="dxa"/>
            <w:tcBorders>
              <w:top w:val="nil"/>
              <w:left w:val="nil"/>
              <w:bottom w:val="single" w:sz="4" w:space="0" w:color="auto"/>
              <w:right w:val="nil"/>
            </w:tcBorders>
            <w:shd w:val="clear" w:color="auto" w:fill="auto"/>
            <w:noWrap/>
            <w:tcMar>
              <w:left w:w="0" w:type="dxa"/>
            </w:tcMar>
            <w:vAlign w:val="bottom"/>
          </w:tcPr>
          <w:p w:rsidR="00DD09C1" w:rsidRPr="00B655E4" w:rsidRDefault="00DD09C1" w:rsidP="00DD09C1">
            <w:pPr>
              <w:pStyle w:val="Tabletext"/>
              <w:tabs>
                <w:tab w:val="decimal" w:pos="312"/>
              </w:tabs>
              <w:spacing w:after="40"/>
              <w:rPr>
                <w:b/>
              </w:rPr>
            </w:pPr>
            <w:r w:rsidRPr="00B655E4">
              <w:rPr>
                <w:b/>
              </w:rPr>
              <w:t>100</w:t>
            </w:r>
          </w:p>
        </w:tc>
        <w:tc>
          <w:tcPr>
            <w:tcW w:w="1063" w:type="dxa"/>
            <w:tcBorders>
              <w:top w:val="nil"/>
              <w:left w:val="nil"/>
              <w:bottom w:val="single" w:sz="4" w:space="0" w:color="auto"/>
              <w:right w:val="nil"/>
            </w:tcBorders>
            <w:shd w:val="clear" w:color="auto" w:fill="auto"/>
            <w:noWrap/>
            <w:vAlign w:val="bottom"/>
          </w:tcPr>
          <w:p w:rsidR="00DD09C1" w:rsidRPr="00B655E4" w:rsidRDefault="00DD09C1" w:rsidP="00DD09C1">
            <w:pPr>
              <w:pStyle w:val="Tabletext"/>
              <w:spacing w:after="40"/>
              <w:ind w:right="113"/>
              <w:jc w:val="right"/>
              <w:rPr>
                <w:b/>
              </w:rPr>
            </w:pPr>
            <w:r w:rsidRPr="00B655E4">
              <w:rPr>
                <w:b/>
              </w:rPr>
              <w:t>1</w:t>
            </w:r>
            <w:r>
              <w:rPr>
                <w:b/>
              </w:rPr>
              <w:t xml:space="preserve"> </w:t>
            </w:r>
            <w:r w:rsidRPr="00B655E4">
              <w:rPr>
                <w:b/>
              </w:rPr>
              <w:t>018</w:t>
            </w:r>
            <w:r>
              <w:rPr>
                <w:b/>
              </w:rPr>
              <w:t xml:space="preserve"> </w:t>
            </w:r>
            <w:r w:rsidRPr="00B655E4">
              <w:rPr>
                <w:b/>
              </w:rPr>
              <w:t>867</w:t>
            </w:r>
          </w:p>
        </w:tc>
        <w:tc>
          <w:tcPr>
            <w:tcW w:w="539" w:type="dxa"/>
            <w:tcBorders>
              <w:top w:val="nil"/>
              <w:left w:val="nil"/>
              <w:bottom w:val="single" w:sz="4" w:space="0" w:color="auto"/>
              <w:right w:val="nil"/>
            </w:tcBorders>
            <w:shd w:val="clear" w:color="auto" w:fill="auto"/>
            <w:noWrap/>
            <w:tcMar>
              <w:left w:w="0" w:type="dxa"/>
            </w:tcMar>
            <w:vAlign w:val="bottom"/>
          </w:tcPr>
          <w:p w:rsidR="00DD09C1" w:rsidRPr="00B655E4" w:rsidRDefault="00DD09C1" w:rsidP="00DD09C1">
            <w:pPr>
              <w:pStyle w:val="Tabletext"/>
              <w:tabs>
                <w:tab w:val="decimal" w:pos="312"/>
              </w:tabs>
              <w:spacing w:after="40"/>
              <w:rPr>
                <w:b/>
              </w:rPr>
            </w:pPr>
            <w:r w:rsidRPr="00B655E4">
              <w:rPr>
                <w:b/>
              </w:rPr>
              <w:t>100</w:t>
            </w:r>
          </w:p>
        </w:tc>
        <w:tc>
          <w:tcPr>
            <w:tcW w:w="1099" w:type="dxa"/>
            <w:tcBorders>
              <w:top w:val="nil"/>
              <w:left w:val="nil"/>
              <w:bottom w:val="single" w:sz="4" w:space="0" w:color="auto"/>
              <w:right w:val="nil"/>
            </w:tcBorders>
            <w:shd w:val="clear" w:color="auto" w:fill="auto"/>
            <w:noWrap/>
            <w:vAlign w:val="bottom"/>
          </w:tcPr>
          <w:p w:rsidR="00DD09C1" w:rsidRPr="00B655E4" w:rsidRDefault="00DD09C1" w:rsidP="00DD09C1">
            <w:pPr>
              <w:pStyle w:val="Tabletext"/>
              <w:spacing w:after="40"/>
              <w:ind w:right="113"/>
              <w:jc w:val="right"/>
              <w:rPr>
                <w:b/>
              </w:rPr>
            </w:pPr>
            <w:r w:rsidRPr="00B655E4">
              <w:rPr>
                <w:b/>
              </w:rPr>
              <w:t>1</w:t>
            </w:r>
            <w:r>
              <w:rPr>
                <w:b/>
              </w:rPr>
              <w:t xml:space="preserve"> </w:t>
            </w:r>
            <w:r w:rsidRPr="00B655E4">
              <w:rPr>
                <w:b/>
              </w:rPr>
              <w:t>102</w:t>
            </w:r>
            <w:r>
              <w:rPr>
                <w:b/>
              </w:rPr>
              <w:t xml:space="preserve"> </w:t>
            </w:r>
            <w:r w:rsidRPr="00B655E4">
              <w:rPr>
                <w:b/>
              </w:rPr>
              <w:t>541</w:t>
            </w:r>
          </w:p>
        </w:tc>
        <w:tc>
          <w:tcPr>
            <w:tcW w:w="539" w:type="dxa"/>
            <w:tcBorders>
              <w:top w:val="nil"/>
              <w:left w:val="nil"/>
              <w:bottom w:val="single" w:sz="4" w:space="0" w:color="auto"/>
              <w:right w:val="nil"/>
            </w:tcBorders>
            <w:shd w:val="clear" w:color="auto" w:fill="auto"/>
            <w:noWrap/>
            <w:tcMar>
              <w:left w:w="0" w:type="dxa"/>
            </w:tcMar>
            <w:vAlign w:val="bottom"/>
          </w:tcPr>
          <w:p w:rsidR="00DD09C1" w:rsidRPr="00B655E4" w:rsidRDefault="00DD09C1" w:rsidP="00DD09C1">
            <w:pPr>
              <w:pStyle w:val="Tabletext"/>
              <w:tabs>
                <w:tab w:val="decimal" w:pos="312"/>
              </w:tabs>
              <w:spacing w:after="40"/>
              <w:rPr>
                <w:b/>
              </w:rPr>
            </w:pPr>
            <w:r w:rsidRPr="00B655E4">
              <w:rPr>
                <w:b/>
              </w:rPr>
              <w:t>100</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Pr="00661F65" w:rsidRDefault="00DD09C1" w:rsidP="00DD09C1">
      <w:pPr>
        <w:pStyle w:val="text-moreb4"/>
        <w:rPr>
          <w:lang w:val="en-US"/>
        </w:rPr>
      </w:pPr>
      <w:r>
        <w:rPr>
          <w:lang w:val="en-US"/>
        </w:rPr>
        <w:t xml:space="preserve">The trade sub-group experiencing the biggest percentage growth was construction, which has the largest percentage of its workforce who </w:t>
      </w:r>
      <w:proofErr w:type="gramStart"/>
      <w:r>
        <w:rPr>
          <w:lang w:val="en-US"/>
        </w:rPr>
        <w:t>are</w:t>
      </w:r>
      <w:proofErr w:type="gramEnd"/>
      <w:r>
        <w:rPr>
          <w:lang w:val="en-US"/>
        </w:rPr>
        <w:t xml:space="preserve"> tradespersons; between 1991 and 2006 it rose by 4% to 25% of all tradespersons. A decline in the number of mechanical, automotive and food tradespersons between 1991 and 2001 is evident, as is the increase by 2006. Food tradespersons suffered a significant loss in employment in the period 1991–96, losing 19 248 jobs, but gained between 1996 and 2006 to maintain their relative share of 8% of the total tradesperson workforce. Tradespersons in the mechanical sub-group, representing 16% of the trade workforce in 2006, suffered a significant drop in numbers between 1991 and 2001, but growth from 2001 to 2006 saw numbers restored to a level almost identical to 1991. The exceptions were the electrical and electronic and construction trades, where employment has grown significantly, concomitant with the growth in the construction sector of the economy.</w:t>
      </w:r>
    </w:p>
    <w:p w:rsidR="00DD09C1" w:rsidRPr="0024679F" w:rsidRDefault="00DD09C1" w:rsidP="00DD09C1">
      <w:pPr>
        <w:pStyle w:val="Heading3"/>
        <w:rPr>
          <w:lang w:val="en-US"/>
        </w:rPr>
      </w:pPr>
      <w:r w:rsidRPr="0024679F">
        <w:rPr>
          <w:lang w:val="en-US"/>
        </w:rPr>
        <w:t>Industry</w:t>
      </w:r>
    </w:p>
    <w:p w:rsidR="00DD09C1" w:rsidRDefault="00DD09C1" w:rsidP="00DD09C1">
      <w:pPr>
        <w:pStyle w:val="text-lessbefore"/>
        <w:rPr>
          <w:lang w:val="en-US"/>
        </w:rPr>
      </w:pPr>
      <w:r w:rsidRPr="0024679F">
        <w:rPr>
          <w:lang w:val="en-US"/>
        </w:rPr>
        <w:t xml:space="preserve">The percentage of workers within an industry employed as tradespersons has seen little dramatic change in the last </w:t>
      </w:r>
      <w:r>
        <w:rPr>
          <w:lang w:val="en-US"/>
        </w:rPr>
        <w:t>15</w:t>
      </w:r>
      <w:r w:rsidRPr="0024679F">
        <w:rPr>
          <w:lang w:val="en-US"/>
        </w:rPr>
        <w:t xml:space="preserve"> years, although a small downward trend is discernible</w:t>
      </w:r>
      <w:r>
        <w:rPr>
          <w:lang w:val="en-US"/>
        </w:rPr>
        <w:t xml:space="preserve">. In 1996, </w:t>
      </w:r>
      <w:r w:rsidRPr="0024679F">
        <w:rPr>
          <w:lang w:val="en-US"/>
        </w:rPr>
        <w:t>49</w:t>
      </w:r>
      <w:r>
        <w:rPr>
          <w:lang w:val="en-US"/>
        </w:rPr>
        <w:t>%</w:t>
      </w:r>
      <w:r w:rsidRPr="0024679F">
        <w:rPr>
          <w:lang w:val="en-US"/>
        </w:rPr>
        <w:t xml:space="preserve"> </w:t>
      </w:r>
      <w:r>
        <w:rPr>
          <w:lang w:val="en-US"/>
        </w:rPr>
        <w:t xml:space="preserve">of persons </w:t>
      </w:r>
      <w:r w:rsidRPr="0024679F">
        <w:rPr>
          <w:lang w:val="en-US"/>
        </w:rPr>
        <w:t xml:space="preserve">employed in the </w:t>
      </w:r>
      <w:r>
        <w:rPr>
          <w:lang w:val="en-US"/>
        </w:rPr>
        <w:t>c</w:t>
      </w:r>
      <w:r w:rsidRPr="0024679F">
        <w:rPr>
          <w:lang w:val="en-US"/>
        </w:rPr>
        <w:t>onstruction industry were tradespersons, falling to just below 47</w:t>
      </w:r>
      <w:r>
        <w:rPr>
          <w:lang w:val="en-US"/>
        </w:rPr>
        <w:t>%</w:t>
      </w:r>
      <w:r w:rsidRPr="0024679F">
        <w:rPr>
          <w:lang w:val="en-US"/>
        </w:rPr>
        <w:t xml:space="preserve"> in 2006</w:t>
      </w:r>
      <w:r>
        <w:rPr>
          <w:lang w:val="en-US"/>
        </w:rPr>
        <w:t>,</w:t>
      </w:r>
      <w:r w:rsidRPr="0024679F">
        <w:rPr>
          <w:lang w:val="en-US"/>
        </w:rPr>
        <w:t xml:space="preserve"> by far the highest concentration of tradespersons of any industry.</w:t>
      </w:r>
      <w:r>
        <w:rPr>
          <w:lang w:val="en-US"/>
        </w:rPr>
        <w:t xml:space="preserve"> Tradespersons account for approximately one-quarter of employees in the</w:t>
      </w:r>
      <w:r w:rsidRPr="0024679F">
        <w:rPr>
          <w:lang w:val="en-US"/>
        </w:rPr>
        <w:t xml:space="preserve"> </w:t>
      </w:r>
      <w:r>
        <w:rPr>
          <w:lang w:val="en-US"/>
        </w:rPr>
        <w:t>m</w:t>
      </w:r>
      <w:r w:rsidRPr="0024679F">
        <w:rPr>
          <w:lang w:val="en-US"/>
        </w:rPr>
        <w:t xml:space="preserve">anufacturing </w:t>
      </w:r>
      <w:r>
        <w:rPr>
          <w:lang w:val="en-US"/>
        </w:rPr>
        <w:t>and</w:t>
      </w:r>
      <w:r w:rsidRPr="0024679F">
        <w:rPr>
          <w:lang w:val="en-US"/>
        </w:rPr>
        <w:t xml:space="preserve"> </w:t>
      </w:r>
      <w:r>
        <w:rPr>
          <w:lang w:val="en-US"/>
        </w:rPr>
        <w:t>e</w:t>
      </w:r>
      <w:r w:rsidRPr="0024679F">
        <w:rPr>
          <w:lang w:val="en-US"/>
        </w:rPr>
        <w:t xml:space="preserve">lectricity, </w:t>
      </w:r>
      <w:r>
        <w:rPr>
          <w:lang w:val="en-US"/>
        </w:rPr>
        <w:t>g</w:t>
      </w:r>
      <w:r w:rsidRPr="0024679F">
        <w:rPr>
          <w:lang w:val="en-US"/>
        </w:rPr>
        <w:t xml:space="preserve">as and </w:t>
      </w:r>
      <w:r>
        <w:rPr>
          <w:lang w:val="en-US"/>
        </w:rPr>
        <w:t>w</w:t>
      </w:r>
      <w:r w:rsidRPr="0024679F">
        <w:rPr>
          <w:lang w:val="en-US"/>
        </w:rPr>
        <w:t>ater supply industr</w:t>
      </w:r>
      <w:r>
        <w:rPr>
          <w:lang w:val="en-US"/>
        </w:rPr>
        <w:t>ies</w:t>
      </w:r>
      <w:r w:rsidRPr="00465137">
        <w:rPr>
          <w:lang w:val="en-US"/>
        </w:rPr>
        <w:t>, with less than 2</w:t>
      </w:r>
      <w:r>
        <w:rPr>
          <w:lang w:val="en-US"/>
        </w:rPr>
        <w:t xml:space="preserve">% </w:t>
      </w:r>
      <w:r w:rsidRPr="00465137">
        <w:rPr>
          <w:lang w:val="en-US"/>
        </w:rPr>
        <w:t>variation over the 15 years.</w:t>
      </w:r>
    </w:p>
    <w:p w:rsidR="00DD09C1" w:rsidRPr="00AA232D" w:rsidRDefault="00DD09C1" w:rsidP="00DD09C1">
      <w:pPr>
        <w:pStyle w:val="Figuretitle"/>
        <w:rPr>
          <w:lang w:val="en-US"/>
        </w:rPr>
      </w:pPr>
      <w:bookmarkStart w:id="67" w:name="_Toc241393334"/>
      <w:bookmarkStart w:id="68" w:name="_Toc139109118"/>
      <w:r>
        <w:rPr>
          <w:lang w:val="en-US"/>
        </w:rPr>
        <w:br w:type="page"/>
      </w:r>
      <w:r w:rsidR="000D09B7">
        <w:rPr>
          <w:noProof/>
          <w:lang w:eastAsia="en-AU"/>
        </w:rPr>
        <w:lastRenderedPageBreak/>
        <w:drawing>
          <wp:anchor distT="0" distB="0" distL="114300" distR="114300" simplePos="0" relativeHeight="251660800" behindDoc="0" locked="0" layoutInCell="1" allowOverlap="1">
            <wp:simplePos x="0" y="0"/>
            <wp:positionH relativeFrom="column">
              <wp:posOffset>8255</wp:posOffset>
            </wp:positionH>
            <wp:positionV relativeFrom="page">
              <wp:posOffset>1325880</wp:posOffset>
            </wp:positionV>
            <wp:extent cx="4141470" cy="2346960"/>
            <wp:effectExtent l="19050" t="0" r="0" b="0"/>
            <wp:wrapTopAndBottom/>
            <wp:docPr id="3781" name="Picture 3781" descr="fig9-industry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descr="fig9-industryovertime"/>
                    <pic:cNvPicPr>
                      <a:picLocks noChangeAspect="1" noChangeArrowheads="1"/>
                    </pic:cNvPicPr>
                  </pic:nvPicPr>
                  <pic:blipFill>
                    <a:blip r:embed="rId20" cstate="print"/>
                    <a:srcRect/>
                    <a:stretch>
                      <a:fillRect/>
                    </a:stretch>
                  </pic:blipFill>
                  <pic:spPr bwMode="auto">
                    <a:xfrm>
                      <a:off x="0" y="0"/>
                      <a:ext cx="4141470" cy="2346960"/>
                    </a:xfrm>
                    <a:prstGeom prst="rect">
                      <a:avLst/>
                    </a:prstGeom>
                    <a:noFill/>
                    <a:ln w="9525">
                      <a:noFill/>
                      <a:miter lim="800000"/>
                      <a:headEnd/>
                      <a:tailEnd/>
                    </a:ln>
                  </pic:spPr>
                </pic:pic>
              </a:graphicData>
            </a:graphic>
          </wp:anchor>
        </w:drawing>
      </w:r>
      <w:r w:rsidRPr="00AA232D">
        <w:rPr>
          <w:lang w:val="en-US"/>
        </w:rPr>
        <w:t>F</w:t>
      </w:r>
      <w:r>
        <w:rPr>
          <w:lang w:val="en-US"/>
        </w:rPr>
        <w:t>igure 9</w:t>
      </w:r>
      <w:r>
        <w:rPr>
          <w:lang w:val="en-US"/>
        </w:rPr>
        <w:tab/>
      </w:r>
      <w:r w:rsidRPr="00AA232D">
        <w:rPr>
          <w:lang w:val="en-US"/>
        </w:rPr>
        <w:t>Tradespersons as a percentage of the workforce by industry</w:t>
      </w:r>
      <w:bookmarkEnd w:id="67"/>
      <w:bookmarkEnd w:id="68"/>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DD09C1">
      <w:pPr>
        <w:pStyle w:val="text-moreb4"/>
        <w:rPr>
          <w:lang w:val="en-US"/>
        </w:rPr>
      </w:pPr>
      <w:r>
        <w:rPr>
          <w:lang w:val="en-US"/>
        </w:rPr>
        <w:t>Personal and other services is the fourth largest industry of employment for tradespersons, and the percentage of those employed who are tradespersons has remained fairly constant at 22–23%. In t</w:t>
      </w:r>
      <w:r w:rsidRPr="00465137">
        <w:rPr>
          <w:lang w:val="en-US"/>
        </w:rPr>
        <w:t xml:space="preserve">he mining industry </w:t>
      </w:r>
      <w:r>
        <w:rPr>
          <w:lang w:val="en-US"/>
        </w:rPr>
        <w:t xml:space="preserve">tradespersons accounted for </w:t>
      </w:r>
      <w:r w:rsidRPr="00465137">
        <w:rPr>
          <w:lang w:val="en-US"/>
        </w:rPr>
        <w:t>21</w:t>
      </w:r>
      <w:r>
        <w:rPr>
          <w:lang w:val="en-US"/>
        </w:rPr>
        <w:t xml:space="preserve">% </w:t>
      </w:r>
      <w:r w:rsidRPr="00465137">
        <w:rPr>
          <w:lang w:val="en-US"/>
        </w:rPr>
        <w:t>of the workforce in 2006</w:t>
      </w:r>
      <w:r>
        <w:rPr>
          <w:lang w:val="en-US"/>
        </w:rPr>
        <w:t>; however, it is important to note that the mining and electricity industries account for a relatively small proportion of the Australian workforce—2% and 1.6%, respectively</w:t>
      </w:r>
      <w:r w:rsidRPr="00465137">
        <w:rPr>
          <w:lang w:val="en-US"/>
        </w:rPr>
        <w:t>.</w:t>
      </w:r>
      <w:r>
        <w:rPr>
          <w:lang w:val="en-US"/>
        </w:rPr>
        <w:t xml:space="preserve"> </w:t>
      </w:r>
      <w:r w:rsidRPr="00465137">
        <w:rPr>
          <w:lang w:val="en-US"/>
        </w:rPr>
        <w:t>For all other industries</w:t>
      </w:r>
      <w:r>
        <w:rPr>
          <w:lang w:val="en-US"/>
        </w:rPr>
        <w:t>,</w:t>
      </w:r>
      <w:r w:rsidRPr="00465137">
        <w:rPr>
          <w:lang w:val="en-US"/>
        </w:rPr>
        <w:t xml:space="preserve"> the concentration of tradespersons is only 7</w:t>
      </w:r>
      <w:r>
        <w:rPr>
          <w:lang w:val="en-US"/>
        </w:rPr>
        <w:t xml:space="preserve">% </w:t>
      </w:r>
      <w:r w:rsidRPr="00465137">
        <w:rPr>
          <w:lang w:val="en-US"/>
        </w:rPr>
        <w:t>and declining.</w:t>
      </w:r>
      <w:r>
        <w:rPr>
          <w:lang w:val="en-US"/>
        </w:rPr>
        <w:t xml:space="preserve"> Of these other industries, retail is the largest employer of tradespersons, but the percentage of tradespersons is relatively low and, therefore, not displayed here. The percentage varied significantly over time, from 14.4% in 1996 to 11.7% in 2006. </w:t>
      </w:r>
    </w:p>
    <w:p w:rsidR="00DD09C1" w:rsidRDefault="00DD09C1" w:rsidP="00DD09C1">
      <w:pPr>
        <w:pStyle w:val="text0"/>
        <w:rPr>
          <w:lang w:val="en-US"/>
        </w:rPr>
      </w:pPr>
      <w:r>
        <w:rPr>
          <w:lang w:val="en-US"/>
        </w:rPr>
        <w:t>Further, changes in the skills mix within industries are generally attributable to technological change (Kelly &amp; Lewis 2006). Therefore the above data suggest that, with the exception of retailing, technological change has had little impact on the skills mix, at least in terms of tradespersons relative to other workers, in industries which are the main employers of tradespersons. Thus skills development will depend largely on growth in total employment in particular industries. This is not to say that the skills required within trade occupations will not also need development as a result of technological change.</w:t>
      </w:r>
    </w:p>
    <w:p w:rsidR="00DD09C1" w:rsidRPr="003F05CB" w:rsidRDefault="000D09B7" w:rsidP="00DD09C1">
      <w:pPr>
        <w:pStyle w:val="Figuretitle"/>
        <w:rPr>
          <w:sz w:val="22"/>
          <w:szCs w:val="22"/>
        </w:rPr>
      </w:pPr>
      <w:bookmarkStart w:id="69" w:name="_Toc241393335"/>
      <w:bookmarkStart w:id="70" w:name="_Toc139109119"/>
      <w:r>
        <w:rPr>
          <w:noProof/>
          <w:lang w:eastAsia="en-AU"/>
        </w:rPr>
        <w:drawing>
          <wp:anchor distT="0" distB="0" distL="114300" distR="114300" simplePos="0" relativeHeight="251661824" behindDoc="0" locked="0" layoutInCell="1" allowOverlap="1">
            <wp:simplePos x="0" y="0"/>
            <wp:positionH relativeFrom="column">
              <wp:posOffset>-6985</wp:posOffset>
            </wp:positionH>
            <wp:positionV relativeFrom="page">
              <wp:posOffset>7086600</wp:posOffset>
            </wp:positionV>
            <wp:extent cx="4141470" cy="2438400"/>
            <wp:effectExtent l="19050" t="0" r="0" b="0"/>
            <wp:wrapTopAndBottom/>
            <wp:docPr id="3782" name="Picture 3782" descr="fig10-industry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descr="fig10-industryovertime"/>
                    <pic:cNvPicPr>
                      <a:picLocks noChangeAspect="1" noChangeArrowheads="1"/>
                    </pic:cNvPicPr>
                  </pic:nvPicPr>
                  <pic:blipFill>
                    <a:blip r:embed="rId21" cstate="print"/>
                    <a:srcRect/>
                    <a:stretch>
                      <a:fillRect/>
                    </a:stretch>
                  </pic:blipFill>
                  <pic:spPr bwMode="auto">
                    <a:xfrm>
                      <a:off x="0" y="0"/>
                      <a:ext cx="4141470" cy="2438400"/>
                    </a:xfrm>
                    <a:prstGeom prst="rect">
                      <a:avLst/>
                    </a:prstGeom>
                    <a:noFill/>
                    <a:ln w="9525">
                      <a:noFill/>
                      <a:miter lim="800000"/>
                      <a:headEnd/>
                      <a:tailEnd/>
                    </a:ln>
                  </pic:spPr>
                </pic:pic>
              </a:graphicData>
            </a:graphic>
          </wp:anchor>
        </w:drawing>
      </w:r>
      <w:r w:rsidR="00DD09C1" w:rsidRPr="00772441">
        <w:t>Figure</w:t>
      </w:r>
      <w:r w:rsidR="00DD09C1">
        <w:rPr>
          <w:lang w:val="en-US"/>
        </w:rPr>
        <w:t xml:space="preserve"> 10</w:t>
      </w:r>
      <w:r w:rsidR="00DD09C1">
        <w:rPr>
          <w:lang w:val="en-US"/>
        </w:rPr>
        <w:tab/>
      </w:r>
      <w:r w:rsidR="00DD09C1" w:rsidRPr="0086564E">
        <w:t xml:space="preserve">Percentage of </w:t>
      </w:r>
      <w:r w:rsidR="00DD09C1">
        <w:t xml:space="preserve">all tradespersons employed by </w:t>
      </w:r>
      <w:r w:rsidR="00DD09C1" w:rsidRPr="0086564E">
        <w:t>industry</w:t>
      </w:r>
      <w:bookmarkEnd w:id="69"/>
      <w:bookmarkEnd w:id="70"/>
      <w:r w:rsidR="00DD09C1">
        <w:t>, %</w:t>
      </w:r>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DD09C1">
      <w:pPr>
        <w:pStyle w:val="text-moreb4"/>
        <w:rPr>
          <w:lang w:val="en-US"/>
        </w:rPr>
      </w:pPr>
      <w:r>
        <w:rPr>
          <w:lang w:val="en-US"/>
        </w:rPr>
        <w:lastRenderedPageBreak/>
        <w:t>On the other hand, t</w:t>
      </w:r>
      <w:r w:rsidRPr="00465137">
        <w:rPr>
          <w:lang w:val="en-US"/>
        </w:rPr>
        <w:t xml:space="preserve">he percentage of all tradespersons employed </w:t>
      </w:r>
      <w:r>
        <w:rPr>
          <w:lang w:val="en-US"/>
        </w:rPr>
        <w:t>in</w:t>
      </w:r>
      <w:r w:rsidRPr="00465137">
        <w:rPr>
          <w:lang w:val="en-US"/>
        </w:rPr>
        <w:t xml:space="preserve"> </w:t>
      </w:r>
      <w:r>
        <w:rPr>
          <w:lang w:val="en-US"/>
        </w:rPr>
        <w:t xml:space="preserve">particular </w:t>
      </w:r>
      <w:r w:rsidRPr="00465137">
        <w:rPr>
          <w:lang w:val="en-US"/>
        </w:rPr>
        <w:t>industr</w:t>
      </w:r>
      <w:r>
        <w:rPr>
          <w:lang w:val="en-US"/>
        </w:rPr>
        <w:t>ies</w:t>
      </w:r>
      <w:r w:rsidRPr="00465137">
        <w:rPr>
          <w:lang w:val="en-US"/>
        </w:rPr>
        <w:t xml:space="preserve"> has seen significant changes over the last decade and a half</w:t>
      </w:r>
      <w:r>
        <w:rPr>
          <w:lang w:val="en-US"/>
        </w:rPr>
        <w:t xml:space="preserve"> as a result of structural change in the economy, with the industry mix changing in response to both domestic and overseas demand (see Kelly &amp; Lewis 2006)</w:t>
      </w:r>
      <w:r w:rsidRPr="00465137">
        <w:rPr>
          <w:lang w:val="en-US"/>
        </w:rPr>
        <w:t>.</w:t>
      </w:r>
      <w:r>
        <w:rPr>
          <w:lang w:val="en-US"/>
        </w:rPr>
        <w:t xml:space="preserve"> </w:t>
      </w:r>
      <w:r w:rsidRPr="00465137">
        <w:rPr>
          <w:lang w:val="en-US"/>
        </w:rPr>
        <w:t xml:space="preserve">The largest shift has been away from all other industries towards the construction industry, </w:t>
      </w:r>
      <w:r>
        <w:rPr>
          <w:lang w:val="en-US"/>
        </w:rPr>
        <w:t xml:space="preserve">moving from employing 21% of tradespersons in 1991 to 30% in 2006. </w:t>
      </w:r>
      <w:r w:rsidRPr="00465137">
        <w:rPr>
          <w:lang w:val="en-US"/>
        </w:rPr>
        <w:t>Another shift has been the decline occurring in the manufacturing industry</w:t>
      </w:r>
      <w:r>
        <w:rPr>
          <w:lang w:val="en-US"/>
        </w:rPr>
        <w:t>,</w:t>
      </w:r>
      <w:r w:rsidRPr="00465137">
        <w:rPr>
          <w:lang w:val="en-US"/>
        </w:rPr>
        <w:t xml:space="preserve"> from 25</w:t>
      </w:r>
      <w:r>
        <w:rPr>
          <w:lang w:val="en-US"/>
        </w:rPr>
        <w:t xml:space="preserve">% </w:t>
      </w:r>
      <w:r w:rsidRPr="00465137">
        <w:rPr>
          <w:lang w:val="en-US"/>
        </w:rPr>
        <w:t>in 1991 to a little under 22</w:t>
      </w:r>
      <w:r>
        <w:rPr>
          <w:lang w:val="en-US"/>
        </w:rPr>
        <w:t xml:space="preserve">% </w:t>
      </w:r>
      <w:r w:rsidRPr="00465137">
        <w:rPr>
          <w:lang w:val="en-US"/>
        </w:rPr>
        <w:t>in 2006.</w:t>
      </w:r>
      <w:r>
        <w:rPr>
          <w:lang w:val="en-US"/>
        </w:rPr>
        <w:t xml:space="preserve"> </w:t>
      </w:r>
      <w:r w:rsidRPr="00465137">
        <w:rPr>
          <w:lang w:val="en-US"/>
        </w:rPr>
        <w:t>The retail industry held steady at approximately 14</w:t>
      </w:r>
      <w:r>
        <w:rPr>
          <w:lang w:val="en-US"/>
        </w:rPr>
        <w:t xml:space="preserve">% </w:t>
      </w:r>
      <w:r w:rsidRPr="00465137">
        <w:rPr>
          <w:lang w:val="en-US"/>
        </w:rPr>
        <w:t>and after a significant decline from 10</w:t>
      </w:r>
      <w:r>
        <w:rPr>
          <w:lang w:val="en-US"/>
        </w:rPr>
        <w:t xml:space="preserve">% </w:t>
      </w:r>
      <w:r w:rsidRPr="00465137">
        <w:rPr>
          <w:lang w:val="en-US"/>
        </w:rPr>
        <w:t>in the personal and other services industry occurring in 1991, the percentage of all tradespersons employed by this industry held steady at around 7</w:t>
      </w:r>
      <w:r>
        <w:rPr>
          <w:lang w:val="en-US"/>
        </w:rPr>
        <w:t>%</w:t>
      </w:r>
      <w:r w:rsidRPr="00465137">
        <w:rPr>
          <w:lang w:val="en-US"/>
        </w:rPr>
        <w:t>.</w:t>
      </w:r>
      <w:r>
        <w:rPr>
          <w:lang w:val="en-US"/>
        </w:rPr>
        <w:t xml:space="preserve"> </w:t>
      </w:r>
    </w:p>
    <w:p w:rsidR="00DD09C1" w:rsidRPr="0086564E" w:rsidRDefault="00DD09C1" w:rsidP="00DD09C1">
      <w:pPr>
        <w:pStyle w:val="text0"/>
        <w:rPr>
          <w:lang w:val="en-US"/>
        </w:rPr>
      </w:pPr>
      <w:r w:rsidRPr="0086564E">
        <w:rPr>
          <w:lang w:val="en-US"/>
        </w:rPr>
        <w:t>The above data suggest that the</w:t>
      </w:r>
      <w:r>
        <w:rPr>
          <w:lang w:val="en-US"/>
        </w:rPr>
        <w:t xml:space="preserve"> changes in skills mix in the economy are largely related to shifts in employment between industries, that is, structural change, and this has significantly reduced the average demand for ‘motor skills’ in the economy (Kelly &amp; Lewis 2006).</w:t>
      </w:r>
    </w:p>
    <w:p w:rsidR="00DD09C1" w:rsidRPr="0024679F" w:rsidRDefault="00DD09C1" w:rsidP="00DD09C1">
      <w:pPr>
        <w:pStyle w:val="Heading3"/>
        <w:rPr>
          <w:lang w:val="en-US"/>
        </w:rPr>
      </w:pPr>
      <w:r w:rsidRPr="0024679F">
        <w:rPr>
          <w:lang w:val="en-US"/>
        </w:rPr>
        <w:t>Earnings</w:t>
      </w:r>
    </w:p>
    <w:p w:rsidR="00DD09C1" w:rsidRPr="0024679F" w:rsidRDefault="0001619E" w:rsidP="00DD09C1">
      <w:pPr>
        <w:pStyle w:val="text-lessbefore"/>
        <w:rPr>
          <w:lang w:val="en-US"/>
        </w:rPr>
      </w:pPr>
      <w:r>
        <w:rPr>
          <w:noProof/>
          <w:lang w:eastAsia="en-AU"/>
        </w:rPr>
        <w:drawing>
          <wp:anchor distT="0" distB="0" distL="114300" distR="114300" simplePos="0" relativeHeight="251662848" behindDoc="0" locked="0" layoutInCell="1" allowOverlap="1">
            <wp:simplePos x="0" y="0"/>
            <wp:positionH relativeFrom="column">
              <wp:posOffset>-3810</wp:posOffset>
            </wp:positionH>
            <wp:positionV relativeFrom="paragraph">
              <wp:posOffset>1033145</wp:posOffset>
            </wp:positionV>
            <wp:extent cx="4572000" cy="3048000"/>
            <wp:effectExtent l="19050" t="0" r="0" b="0"/>
            <wp:wrapTopAndBottom/>
            <wp:docPr id="3783" name="Picture 3783" descr="fig11-earnings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descr="fig11-earningsovertime"/>
                    <pic:cNvPicPr>
                      <a:picLocks noChangeAspect="1" noChangeArrowheads="1"/>
                    </pic:cNvPicPr>
                  </pic:nvPicPr>
                  <pic:blipFill>
                    <a:blip r:embed="rId22" cstate="print"/>
                    <a:srcRect/>
                    <a:stretch>
                      <a:fillRect/>
                    </a:stretch>
                  </pic:blipFill>
                  <pic:spPr bwMode="auto">
                    <a:xfrm>
                      <a:off x="0" y="0"/>
                      <a:ext cx="4572000" cy="3048000"/>
                    </a:xfrm>
                    <a:prstGeom prst="rect">
                      <a:avLst/>
                    </a:prstGeom>
                    <a:noFill/>
                    <a:ln w="9525">
                      <a:noFill/>
                      <a:miter lim="800000"/>
                      <a:headEnd/>
                      <a:tailEnd/>
                    </a:ln>
                  </pic:spPr>
                </pic:pic>
              </a:graphicData>
            </a:graphic>
          </wp:anchor>
        </w:drawing>
      </w:r>
      <w:r w:rsidR="00DD09C1" w:rsidRPr="0024679F">
        <w:rPr>
          <w:lang w:val="en-US"/>
        </w:rPr>
        <w:t>Even with the economic boom</w:t>
      </w:r>
      <w:r w:rsidR="00DD09C1">
        <w:rPr>
          <w:lang w:val="en-US"/>
        </w:rPr>
        <w:t>,</w:t>
      </w:r>
      <w:r w:rsidR="00DD09C1" w:rsidRPr="0024679F">
        <w:rPr>
          <w:lang w:val="en-US"/>
        </w:rPr>
        <w:t xml:space="preserve"> a number of trade occupations have seen little dramatic change in their relative earnings between 1991 and 2006.</w:t>
      </w:r>
      <w:r w:rsidR="00DD09C1">
        <w:rPr>
          <w:lang w:val="en-US"/>
        </w:rPr>
        <w:t xml:space="preserve"> </w:t>
      </w:r>
      <w:r w:rsidR="00DD09C1" w:rsidRPr="0024679F">
        <w:rPr>
          <w:lang w:val="en-US"/>
        </w:rPr>
        <w:t>Th</w:t>
      </w:r>
      <w:r w:rsidR="00DD09C1">
        <w:rPr>
          <w:lang w:val="en-US"/>
        </w:rPr>
        <w:t>is applied to tradespersons in the</w:t>
      </w:r>
      <w:r w:rsidR="00DD09C1" w:rsidRPr="0024679F">
        <w:rPr>
          <w:lang w:val="en-US"/>
        </w:rPr>
        <w:t xml:space="preserve"> </w:t>
      </w:r>
      <w:r w:rsidR="00DD09C1">
        <w:rPr>
          <w:lang w:val="en-US"/>
        </w:rPr>
        <w:t>a</w:t>
      </w:r>
      <w:r w:rsidR="00DD09C1" w:rsidRPr="0024679F">
        <w:rPr>
          <w:lang w:val="en-US"/>
        </w:rPr>
        <w:t xml:space="preserve">griculture, </w:t>
      </w:r>
      <w:r w:rsidR="00DD09C1">
        <w:rPr>
          <w:lang w:val="en-US"/>
        </w:rPr>
        <w:t>c</w:t>
      </w:r>
      <w:r w:rsidR="00DD09C1" w:rsidRPr="0024679F">
        <w:rPr>
          <w:lang w:val="en-US"/>
        </w:rPr>
        <w:t xml:space="preserve">onstruction, </w:t>
      </w:r>
      <w:r w:rsidR="00DD09C1">
        <w:rPr>
          <w:lang w:val="en-US"/>
        </w:rPr>
        <w:t>a</w:t>
      </w:r>
      <w:r w:rsidR="00DD09C1" w:rsidRPr="0024679F">
        <w:rPr>
          <w:lang w:val="en-US"/>
        </w:rPr>
        <w:t xml:space="preserve">utomotive and </w:t>
      </w:r>
      <w:r w:rsidR="00DD09C1">
        <w:rPr>
          <w:lang w:val="en-US"/>
        </w:rPr>
        <w:t>t</w:t>
      </w:r>
      <w:r w:rsidR="00DD09C1" w:rsidRPr="0024679F">
        <w:rPr>
          <w:lang w:val="en-US"/>
        </w:rPr>
        <w:t xml:space="preserve">radespersons </w:t>
      </w:r>
      <w:proofErr w:type="spellStart"/>
      <w:r w:rsidR="00DD09C1" w:rsidRPr="0024679F">
        <w:rPr>
          <w:lang w:val="en-US"/>
        </w:rPr>
        <w:t>nfd</w:t>
      </w:r>
      <w:proofErr w:type="spellEnd"/>
      <w:r w:rsidR="00DD09C1">
        <w:rPr>
          <w:lang w:val="en-US"/>
        </w:rPr>
        <w:t xml:space="preserve"> sub-groups</w:t>
      </w:r>
      <w:r w:rsidR="00DD09C1" w:rsidRPr="0024679F">
        <w:rPr>
          <w:lang w:val="en-US"/>
        </w:rPr>
        <w:t>.</w:t>
      </w:r>
      <w:r w:rsidR="00DD09C1">
        <w:rPr>
          <w:lang w:val="en-US"/>
        </w:rPr>
        <w:t xml:space="preserve"> </w:t>
      </w:r>
    </w:p>
    <w:p w:rsidR="00DD09C1" w:rsidRDefault="00DD09C1" w:rsidP="00DD09C1">
      <w:pPr>
        <w:pStyle w:val="Figuretitle"/>
        <w:rPr>
          <w:lang w:val="en-US"/>
        </w:rPr>
      </w:pPr>
      <w:bookmarkStart w:id="71" w:name="_Toc241393336"/>
      <w:bookmarkStart w:id="72" w:name="_Toc139109120"/>
      <w:r w:rsidRPr="0086564E">
        <w:rPr>
          <w:lang w:val="en-US"/>
        </w:rPr>
        <w:t>Figure 1</w:t>
      </w:r>
      <w:r>
        <w:rPr>
          <w:lang w:val="en-US"/>
        </w:rPr>
        <w:t>1</w:t>
      </w:r>
      <w:r>
        <w:rPr>
          <w:lang w:val="en-US"/>
        </w:rPr>
        <w:tab/>
      </w:r>
      <w:r w:rsidRPr="0086564E">
        <w:rPr>
          <w:lang w:val="en-US"/>
        </w:rPr>
        <w:t xml:space="preserve"> Median earnings relative to all employed,</w:t>
      </w:r>
      <w:r>
        <w:rPr>
          <w:lang w:val="en-US"/>
        </w:rPr>
        <w:t xml:space="preserve"> %</w:t>
      </w:r>
      <w:bookmarkEnd w:id="71"/>
      <w:bookmarkEnd w:id="72"/>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DD09C1">
      <w:pPr>
        <w:pStyle w:val="text-moreb4"/>
        <w:rPr>
          <w:lang w:val="en-US"/>
        </w:rPr>
      </w:pPr>
      <w:r>
        <w:rPr>
          <w:lang w:val="en-US"/>
        </w:rPr>
        <w:t xml:space="preserve">Other trade occupations, for instance, mechanical, electrical and other trades, have all seen significant improvement in their relative earnings over time. While the growth in earnings of 7% took place between 1991 and 2001 for electrical tradespersons, mechanical tradespersons saw steady improvement in their relative earnings over the period 1991–2006, with the bulk of the improvement taking place between 2001 and 2006. Food tradespersons were not only paid well below the median earnings of all employed, their relative earnings have also slipped substantially, to just 71% of the median in 2006, down 12% since 1991.  </w:t>
      </w:r>
    </w:p>
    <w:p w:rsidR="00DD09C1" w:rsidRDefault="00DD09C1" w:rsidP="00DD09C1">
      <w:pPr>
        <w:pStyle w:val="text0"/>
        <w:rPr>
          <w:lang w:val="en-US"/>
        </w:rPr>
      </w:pPr>
      <w:r>
        <w:rPr>
          <w:lang w:val="en-US"/>
        </w:rPr>
        <w:t xml:space="preserve">With respect to trades training, the data suggest the attractiveness of courses for the food sector is very low and has been deteriorating over time. Trade training has become more profitable for mechanical and electrical and electronics trades. Perhaps surprisingly, given the increased demand for construction tradespersons, the attractiveness, from an earnings perspective, has not changed </w:t>
      </w:r>
      <w:r>
        <w:rPr>
          <w:lang w:val="en-US"/>
        </w:rPr>
        <w:lastRenderedPageBreak/>
        <w:t xml:space="preserve">significantly over time, suggesting an increase in supply, or substitution of less-qualified </w:t>
      </w:r>
      <w:proofErr w:type="spellStart"/>
      <w:r>
        <w:rPr>
          <w:lang w:val="en-US"/>
        </w:rPr>
        <w:t>labour</w:t>
      </w:r>
      <w:proofErr w:type="spellEnd"/>
      <w:r>
        <w:rPr>
          <w:lang w:val="en-US"/>
        </w:rPr>
        <w:t xml:space="preserve"> by employers taking pressure off wages to rise.</w:t>
      </w:r>
    </w:p>
    <w:p w:rsidR="00DD09C1" w:rsidRDefault="00DD09C1" w:rsidP="00DD09C1">
      <w:pPr>
        <w:pStyle w:val="text0"/>
        <w:rPr>
          <w:lang w:val="en-US"/>
        </w:rPr>
      </w:pPr>
      <w:r>
        <w:rPr>
          <w:lang w:val="en-US"/>
        </w:rPr>
        <w:t xml:space="preserve">While the above data relate only to median earnings, the distribution of earnings is also an important factor in </w:t>
      </w:r>
      <w:proofErr w:type="spellStart"/>
      <w:r>
        <w:rPr>
          <w:lang w:val="en-US"/>
        </w:rPr>
        <w:t>labour</w:t>
      </w:r>
      <w:proofErr w:type="spellEnd"/>
      <w:r>
        <w:rPr>
          <w:lang w:val="en-US"/>
        </w:rPr>
        <w:t xml:space="preserve"> market adjustment,</w:t>
      </w:r>
      <w:r w:rsidRPr="00591431">
        <w:rPr>
          <w:lang w:val="en-US"/>
        </w:rPr>
        <w:t xml:space="preserve"> </w:t>
      </w:r>
      <w:r>
        <w:rPr>
          <w:lang w:val="en-US"/>
        </w:rPr>
        <w:t>as will be seen later.</w:t>
      </w:r>
    </w:p>
    <w:p w:rsidR="00DD09C1" w:rsidRPr="0024679F" w:rsidRDefault="00DD09C1" w:rsidP="00DD09C1">
      <w:pPr>
        <w:pStyle w:val="Heading3"/>
        <w:rPr>
          <w:lang w:val="en-US"/>
        </w:rPr>
      </w:pPr>
      <w:r w:rsidRPr="0024679F">
        <w:rPr>
          <w:lang w:val="en-US"/>
        </w:rPr>
        <w:t>Location</w:t>
      </w:r>
    </w:p>
    <w:p w:rsidR="00DD09C1" w:rsidRPr="00465137" w:rsidRDefault="00DD09C1" w:rsidP="00DD09C1">
      <w:pPr>
        <w:pStyle w:val="Figuretitle"/>
        <w:rPr>
          <w:lang w:val="en-US"/>
        </w:rPr>
      </w:pPr>
      <w:bookmarkStart w:id="73" w:name="_Toc241393337"/>
      <w:bookmarkStart w:id="74" w:name="_Toc139109121"/>
      <w:r>
        <w:rPr>
          <w:lang w:val="en-US"/>
        </w:rPr>
        <w:t>Figure 12</w:t>
      </w:r>
      <w:r>
        <w:rPr>
          <w:lang w:val="en-US"/>
        </w:rPr>
        <w:tab/>
      </w:r>
      <w:r w:rsidRPr="00523ACE">
        <w:t xml:space="preserve">Tradespersons </w:t>
      </w:r>
      <w:r>
        <w:t>by s</w:t>
      </w:r>
      <w:r w:rsidRPr="00523ACE">
        <w:t>tate</w:t>
      </w:r>
      <w:r>
        <w:t>, %</w:t>
      </w:r>
      <w:bookmarkEnd w:id="73"/>
      <w:bookmarkEnd w:id="74"/>
    </w:p>
    <w:p w:rsidR="00DD09C1" w:rsidRDefault="0001619E" w:rsidP="00DD09C1">
      <w:pPr>
        <w:pStyle w:val="Source"/>
        <w:spacing w:before="160"/>
        <w:rPr>
          <w:lang w:val="en-US"/>
        </w:rPr>
      </w:pPr>
      <w:r>
        <w:rPr>
          <w:noProof/>
          <w:lang w:eastAsia="en-AU"/>
        </w:rPr>
        <w:drawing>
          <wp:anchor distT="0" distB="0" distL="114300" distR="114300" simplePos="0" relativeHeight="251663872" behindDoc="0" locked="0" layoutInCell="1" allowOverlap="1">
            <wp:simplePos x="0" y="0"/>
            <wp:positionH relativeFrom="column">
              <wp:posOffset>3810</wp:posOffset>
            </wp:positionH>
            <wp:positionV relativeFrom="paragraph">
              <wp:posOffset>21590</wp:posOffset>
            </wp:positionV>
            <wp:extent cx="4123690" cy="2339975"/>
            <wp:effectExtent l="19050" t="0" r="0" b="0"/>
            <wp:wrapTopAndBottom/>
            <wp:docPr id="3784" name="Picture 3784" descr="fig12-state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descr="fig12-stateovertime"/>
                    <pic:cNvPicPr>
                      <a:picLocks noChangeAspect="1" noChangeArrowheads="1"/>
                    </pic:cNvPicPr>
                  </pic:nvPicPr>
                  <pic:blipFill>
                    <a:blip r:embed="rId23" cstate="print"/>
                    <a:srcRect/>
                    <a:stretch>
                      <a:fillRect/>
                    </a:stretch>
                  </pic:blipFill>
                  <pic:spPr bwMode="auto">
                    <a:xfrm>
                      <a:off x="0" y="0"/>
                      <a:ext cx="4123690" cy="2339975"/>
                    </a:xfrm>
                    <a:prstGeom prst="rect">
                      <a:avLst/>
                    </a:prstGeom>
                    <a:noFill/>
                    <a:ln w="9525">
                      <a:noFill/>
                      <a:miter lim="800000"/>
                      <a:headEnd/>
                      <a:tailEnd/>
                    </a:ln>
                  </pic:spPr>
                </pic:pic>
              </a:graphicData>
            </a:graphic>
          </wp:anchor>
        </w:drawing>
      </w:r>
      <w:r w:rsidR="00DD09C1" w:rsidRPr="00465137">
        <w:rPr>
          <w:lang w:val="en-US"/>
        </w:rPr>
        <w:t>Source:</w:t>
      </w:r>
      <w:r w:rsidR="00DD09C1">
        <w:rPr>
          <w:lang w:val="en-US"/>
        </w:rPr>
        <w:tab/>
        <w:t xml:space="preserve">Based on Census of Population and Housing 1991, 1996, 2001, 2006 (unpublished). </w:t>
      </w:r>
    </w:p>
    <w:p w:rsidR="00DD09C1" w:rsidRDefault="00DD09C1" w:rsidP="00DD09C1">
      <w:pPr>
        <w:pStyle w:val="text-moreb4"/>
        <w:ind w:right="132"/>
        <w:rPr>
          <w:lang w:val="en-US"/>
        </w:rPr>
      </w:pPr>
      <w:r w:rsidRPr="00465137">
        <w:rPr>
          <w:lang w:val="en-US"/>
        </w:rPr>
        <w:t xml:space="preserve">Figure </w:t>
      </w:r>
      <w:r>
        <w:rPr>
          <w:lang w:val="en-US"/>
        </w:rPr>
        <w:t>12</w:t>
      </w:r>
      <w:r w:rsidRPr="00465137">
        <w:rPr>
          <w:lang w:val="en-US"/>
        </w:rPr>
        <w:t xml:space="preserve"> shows the distribution of tradespersons by </w:t>
      </w:r>
      <w:r>
        <w:rPr>
          <w:lang w:val="en-US"/>
        </w:rPr>
        <w:t>the s</w:t>
      </w:r>
      <w:r w:rsidRPr="00465137">
        <w:rPr>
          <w:lang w:val="en-US"/>
        </w:rPr>
        <w:t>tate</w:t>
      </w:r>
      <w:r>
        <w:rPr>
          <w:lang w:val="en-US"/>
        </w:rPr>
        <w:t>s and territories</w:t>
      </w:r>
      <w:r w:rsidRPr="00465137">
        <w:rPr>
          <w:lang w:val="en-US"/>
        </w:rPr>
        <w:t xml:space="preserve"> over time.</w:t>
      </w:r>
      <w:r>
        <w:rPr>
          <w:lang w:val="en-US"/>
        </w:rPr>
        <w:t xml:space="preserve"> </w:t>
      </w:r>
      <w:r w:rsidRPr="00465137">
        <w:rPr>
          <w:lang w:val="en-US"/>
        </w:rPr>
        <w:t xml:space="preserve">Significant shifts have occurred over </w:t>
      </w:r>
      <w:r>
        <w:rPr>
          <w:lang w:val="en-US"/>
        </w:rPr>
        <w:t xml:space="preserve">the </w:t>
      </w:r>
      <w:r w:rsidRPr="00465137">
        <w:rPr>
          <w:lang w:val="en-US"/>
        </w:rPr>
        <w:t xml:space="preserve">period </w:t>
      </w:r>
      <w:r>
        <w:rPr>
          <w:lang w:val="en-US"/>
        </w:rPr>
        <w:t>1991–</w:t>
      </w:r>
      <w:r w:rsidRPr="00465137">
        <w:rPr>
          <w:lang w:val="en-US"/>
        </w:rPr>
        <w:t>2006</w:t>
      </w:r>
      <w:r>
        <w:rPr>
          <w:lang w:val="en-US"/>
        </w:rPr>
        <w:t xml:space="preserve">. The percentages of tradespersons in </w:t>
      </w:r>
      <w:r w:rsidRPr="00465137">
        <w:rPr>
          <w:lang w:val="en-US"/>
        </w:rPr>
        <w:t xml:space="preserve">New South Wales and South Australia </w:t>
      </w:r>
      <w:r>
        <w:rPr>
          <w:lang w:val="en-US"/>
        </w:rPr>
        <w:t>have fallen, while in</w:t>
      </w:r>
      <w:r w:rsidRPr="00465137">
        <w:rPr>
          <w:lang w:val="en-US"/>
        </w:rPr>
        <w:t xml:space="preserve"> Queensland and Western Australia</w:t>
      </w:r>
      <w:r>
        <w:rPr>
          <w:lang w:val="en-US"/>
        </w:rPr>
        <w:t xml:space="preserve"> the percentages have risen</w:t>
      </w:r>
      <w:r w:rsidRPr="00465137">
        <w:rPr>
          <w:lang w:val="en-US"/>
        </w:rPr>
        <w:t>.</w:t>
      </w:r>
      <w:r>
        <w:rPr>
          <w:lang w:val="en-US"/>
        </w:rPr>
        <w:t xml:space="preserve"> </w:t>
      </w:r>
      <w:r w:rsidRPr="00465137">
        <w:rPr>
          <w:lang w:val="en-US"/>
        </w:rPr>
        <w:t>In 1991 New South Wales had 34</w:t>
      </w:r>
      <w:r>
        <w:rPr>
          <w:lang w:val="en-US"/>
        </w:rPr>
        <w:t xml:space="preserve">% </w:t>
      </w:r>
      <w:r w:rsidRPr="00465137">
        <w:rPr>
          <w:lang w:val="en-US"/>
        </w:rPr>
        <w:t>of all</w:t>
      </w:r>
      <w:r>
        <w:rPr>
          <w:lang w:val="en-US"/>
        </w:rPr>
        <w:t xml:space="preserve"> </w:t>
      </w:r>
      <w:r w:rsidRPr="00465137">
        <w:rPr>
          <w:lang w:val="en-US"/>
        </w:rPr>
        <w:t>tradespersons</w:t>
      </w:r>
      <w:r>
        <w:rPr>
          <w:lang w:val="en-US"/>
        </w:rPr>
        <w:t xml:space="preserve">, declining 4% </w:t>
      </w:r>
      <w:r w:rsidRPr="00465137">
        <w:rPr>
          <w:lang w:val="en-US"/>
        </w:rPr>
        <w:t>to 30</w:t>
      </w:r>
      <w:r>
        <w:rPr>
          <w:lang w:val="en-US"/>
        </w:rPr>
        <w:t>%</w:t>
      </w:r>
      <w:r w:rsidRPr="00465137">
        <w:rPr>
          <w:lang w:val="en-US"/>
        </w:rPr>
        <w:t xml:space="preserve"> in 2006</w:t>
      </w:r>
      <w:r>
        <w:rPr>
          <w:lang w:val="en-US"/>
        </w:rPr>
        <w:t>, while</w:t>
      </w:r>
      <w:r w:rsidRPr="00465137">
        <w:rPr>
          <w:lang w:val="en-US"/>
        </w:rPr>
        <w:t xml:space="preserve"> South Australia</w:t>
      </w:r>
      <w:r>
        <w:rPr>
          <w:lang w:val="en-US"/>
        </w:rPr>
        <w:t>’s share of tradespersons fell</w:t>
      </w:r>
      <w:r w:rsidRPr="00465137">
        <w:rPr>
          <w:lang w:val="en-US"/>
        </w:rPr>
        <w:t xml:space="preserve"> 2</w:t>
      </w:r>
      <w:r>
        <w:rPr>
          <w:lang w:val="en-US"/>
        </w:rPr>
        <w:t>%</w:t>
      </w:r>
      <w:r w:rsidRPr="00465137">
        <w:rPr>
          <w:lang w:val="en-US"/>
        </w:rPr>
        <w:t xml:space="preserve"> to 7</w:t>
      </w:r>
      <w:r>
        <w:rPr>
          <w:lang w:val="en-US"/>
        </w:rPr>
        <w:t>%</w:t>
      </w:r>
      <w:r w:rsidRPr="00465137">
        <w:rPr>
          <w:lang w:val="en-US"/>
        </w:rPr>
        <w:t xml:space="preserve"> in 2006.</w:t>
      </w:r>
      <w:r>
        <w:rPr>
          <w:lang w:val="en-US"/>
        </w:rPr>
        <w:t xml:space="preserve"> </w:t>
      </w:r>
      <w:r w:rsidRPr="00465137">
        <w:rPr>
          <w:lang w:val="en-US"/>
        </w:rPr>
        <w:t>Meanwhile, Queensland has increased its share of tradespersons from 18</w:t>
      </w:r>
      <w:r>
        <w:rPr>
          <w:lang w:val="en-US"/>
        </w:rPr>
        <w:t>%</w:t>
      </w:r>
      <w:r w:rsidRPr="00465137">
        <w:rPr>
          <w:lang w:val="en-US"/>
        </w:rPr>
        <w:t xml:space="preserve"> in 1991 to 22</w:t>
      </w:r>
      <w:r>
        <w:rPr>
          <w:lang w:val="en-US"/>
        </w:rPr>
        <w:t>%</w:t>
      </w:r>
      <w:r w:rsidRPr="00465137">
        <w:rPr>
          <w:lang w:val="en-US"/>
        </w:rPr>
        <w:t xml:space="preserve"> in 2006 and</w:t>
      </w:r>
      <w:r>
        <w:rPr>
          <w:lang w:val="en-US"/>
        </w:rPr>
        <w:t>,</w:t>
      </w:r>
      <w:r w:rsidRPr="00465137">
        <w:rPr>
          <w:lang w:val="en-US"/>
        </w:rPr>
        <w:t xml:space="preserve"> similarly, Western Australia has accounted for a greater number of tradespersons, up 2</w:t>
      </w:r>
      <w:r>
        <w:rPr>
          <w:lang w:val="en-US"/>
        </w:rPr>
        <w:t>%</w:t>
      </w:r>
      <w:r w:rsidRPr="00465137">
        <w:rPr>
          <w:lang w:val="en-US"/>
        </w:rPr>
        <w:t xml:space="preserve"> over the period to 12</w:t>
      </w:r>
      <w:r>
        <w:rPr>
          <w:lang w:val="en-US"/>
        </w:rPr>
        <w:t>% in 2006</w:t>
      </w:r>
      <w:r w:rsidRPr="00465137">
        <w:rPr>
          <w:lang w:val="en-US"/>
        </w:rPr>
        <w:t>.</w:t>
      </w:r>
      <w:r>
        <w:rPr>
          <w:lang w:val="en-US"/>
        </w:rPr>
        <w:t xml:space="preserve">  </w:t>
      </w:r>
    </w:p>
    <w:p w:rsidR="00DD09C1" w:rsidRPr="00465137" w:rsidRDefault="00DD09C1" w:rsidP="00DD09C1">
      <w:pPr>
        <w:pStyle w:val="text0"/>
        <w:rPr>
          <w:lang w:val="en-US"/>
        </w:rPr>
      </w:pPr>
      <w:r>
        <w:rPr>
          <w:lang w:val="en-US"/>
        </w:rPr>
        <w:t xml:space="preserve">These results suggest that there has been significant regional movement of tradespersons in Australia. </w:t>
      </w:r>
      <w:proofErr w:type="gramStart"/>
      <w:r>
        <w:rPr>
          <w:lang w:val="en-US"/>
        </w:rPr>
        <w:t xml:space="preserve">Whether this is due to general population movements in response to greater economic opportunities and lifestyle or due to structural change, such as declining manufacturing, which has particular effects on demand for tradespersons, will be </w:t>
      </w:r>
      <w:proofErr w:type="spellStart"/>
      <w:r>
        <w:rPr>
          <w:lang w:val="en-US"/>
        </w:rPr>
        <w:t>analysed</w:t>
      </w:r>
      <w:proofErr w:type="spellEnd"/>
      <w:r>
        <w:rPr>
          <w:lang w:val="en-US"/>
        </w:rPr>
        <w:t xml:space="preserve"> later in the report.</w:t>
      </w:r>
      <w:proofErr w:type="gramEnd"/>
      <w:r>
        <w:rPr>
          <w:lang w:val="en-US"/>
        </w:rPr>
        <w:t xml:space="preserve"> </w:t>
      </w:r>
    </w:p>
    <w:p w:rsidR="00DD09C1" w:rsidRPr="00465137" w:rsidRDefault="00DD09C1" w:rsidP="00DD09C1">
      <w:pPr>
        <w:pStyle w:val="Figuretitle"/>
        <w:rPr>
          <w:lang w:val="en-US"/>
        </w:rPr>
      </w:pPr>
      <w:bookmarkStart w:id="75" w:name="_Toc241393338"/>
      <w:r>
        <w:rPr>
          <w:lang w:val="en-US"/>
        </w:rPr>
        <w:br w:type="page"/>
      </w:r>
      <w:bookmarkStart w:id="76" w:name="_Toc139109122"/>
      <w:r>
        <w:rPr>
          <w:lang w:val="en-US"/>
        </w:rPr>
        <w:lastRenderedPageBreak/>
        <w:t>Figure 13</w:t>
      </w:r>
      <w:r>
        <w:rPr>
          <w:lang w:val="en-US"/>
        </w:rPr>
        <w:tab/>
        <w:t>Tradespersons by r</w:t>
      </w:r>
      <w:r w:rsidRPr="00AF179D">
        <w:rPr>
          <w:lang w:val="en-US"/>
        </w:rPr>
        <w:t>egion</w:t>
      </w:r>
      <w:r>
        <w:rPr>
          <w:lang w:val="en-US"/>
        </w:rPr>
        <w:t>, %</w:t>
      </w:r>
      <w:bookmarkEnd w:id="75"/>
      <w:bookmarkEnd w:id="76"/>
      <w:r w:rsidRPr="00AF179D">
        <w:rPr>
          <w:lang w:val="en-US"/>
        </w:rPr>
        <w:t xml:space="preserve"> </w:t>
      </w:r>
    </w:p>
    <w:p w:rsidR="00DD09C1" w:rsidRDefault="0001619E" w:rsidP="00DD09C1">
      <w:pPr>
        <w:pStyle w:val="Source"/>
        <w:spacing w:before="160"/>
        <w:rPr>
          <w:lang w:val="en-US"/>
        </w:rPr>
      </w:pPr>
      <w:r>
        <w:rPr>
          <w:noProof/>
          <w:lang w:eastAsia="en-AU"/>
        </w:rPr>
        <w:drawing>
          <wp:anchor distT="0" distB="0" distL="114300" distR="114300" simplePos="0" relativeHeight="251664896" behindDoc="0" locked="0" layoutInCell="1" allowOverlap="1">
            <wp:simplePos x="0" y="0"/>
            <wp:positionH relativeFrom="column">
              <wp:posOffset>-3810</wp:posOffset>
            </wp:positionH>
            <wp:positionV relativeFrom="paragraph">
              <wp:posOffset>22860</wp:posOffset>
            </wp:positionV>
            <wp:extent cx="4141470" cy="2339975"/>
            <wp:effectExtent l="19050" t="0" r="0" b="0"/>
            <wp:wrapTopAndBottom/>
            <wp:docPr id="3785" name="Picture 3785" descr="fig13-regionove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descr="fig13-regionovertime"/>
                    <pic:cNvPicPr>
                      <a:picLocks noChangeAspect="1" noChangeArrowheads="1"/>
                    </pic:cNvPicPr>
                  </pic:nvPicPr>
                  <pic:blipFill>
                    <a:blip r:embed="rId24" cstate="print"/>
                    <a:srcRect/>
                    <a:stretch>
                      <a:fillRect/>
                    </a:stretch>
                  </pic:blipFill>
                  <pic:spPr bwMode="auto">
                    <a:xfrm>
                      <a:off x="0" y="0"/>
                      <a:ext cx="4141470" cy="2339975"/>
                    </a:xfrm>
                    <a:prstGeom prst="rect">
                      <a:avLst/>
                    </a:prstGeom>
                    <a:noFill/>
                    <a:ln w="9525">
                      <a:noFill/>
                      <a:miter lim="800000"/>
                      <a:headEnd/>
                      <a:tailEnd/>
                    </a:ln>
                  </pic:spPr>
                </pic:pic>
              </a:graphicData>
            </a:graphic>
          </wp:anchor>
        </w:drawing>
      </w:r>
      <w:r w:rsidR="00DD09C1" w:rsidRPr="00465137">
        <w:rPr>
          <w:lang w:val="en-US"/>
        </w:rPr>
        <w:t>Source:</w:t>
      </w:r>
      <w:r w:rsidR="00DD09C1">
        <w:rPr>
          <w:lang w:val="en-US"/>
        </w:rPr>
        <w:tab/>
        <w:t xml:space="preserve">Based on Census of Population and Housing 1991, 1996, 2001, 2006 (unpublished). </w:t>
      </w:r>
    </w:p>
    <w:p w:rsidR="00DD09C1" w:rsidRDefault="00DD09C1" w:rsidP="00DD09C1">
      <w:pPr>
        <w:pStyle w:val="text-moreb4"/>
        <w:rPr>
          <w:lang w:val="en-US"/>
        </w:rPr>
      </w:pPr>
      <w:r w:rsidRPr="00465137">
        <w:rPr>
          <w:lang w:val="en-US"/>
        </w:rPr>
        <w:t xml:space="preserve">Figure </w:t>
      </w:r>
      <w:r>
        <w:rPr>
          <w:lang w:val="en-US"/>
        </w:rPr>
        <w:t>13</w:t>
      </w:r>
      <w:r w:rsidRPr="00465137">
        <w:rPr>
          <w:lang w:val="en-US"/>
        </w:rPr>
        <w:t xml:space="preserve"> shows tradespersons distributed by region over time.</w:t>
      </w:r>
      <w:r>
        <w:rPr>
          <w:lang w:val="en-US"/>
        </w:rPr>
        <w:t xml:space="preserve"> The most notable feature is that the largest </w:t>
      </w:r>
      <w:proofErr w:type="gramStart"/>
      <w:r>
        <w:rPr>
          <w:lang w:val="en-US"/>
        </w:rPr>
        <w:t>percentage of tradespersons are</w:t>
      </w:r>
      <w:proofErr w:type="gramEnd"/>
      <w:r>
        <w:rPr>
          <w:lang w:val="en-US"/>
        </w:rPr>
        <w:t xml:space="preserve"> employed in capital cities—over 60%. </w:t>
      </w:r>
      <w:r w:rsidRPr="00465137">
        <w:rPr>
          <w:lang w:val="en-US"/>
        </w:rPr>
        <w:t>Ov</w:t>
      </w:r>
      <w:r>
        <w:rPr>
          <w:lang w:val="en-US"/>
        </w:rPr>
        <w:t>er the period 1991–</w:t>
      </w:r>
      <w:r w:rsidRPr="00465137">
        <w:rPr>
          <w:lang w:val="en-US"/>
        </w:rPr>
        <w:t>2006 little has changed in regard to the distribution of tradespersons by region.</w:t>
      </w:r>
      <w:r>
        <w:rPr>
          <w:lang w:val="en-US"/>
        </w:rPr>
        <w:t xml:space="preserve"> </w:t>
      </w:r>
      <w:r w:rsidRPr="00465137">
        <w:rPr>
          <w:lang w:val="en-US"/>
        </w:rPr>
        <w:t xml:space="preserve">The </w:t>
      </w:r>
      <w:r>
        <w:rPr>
          <w:lang w:val="en-US"/>
        </w:rPr>
        <w:t>largest</w:t>
      </w:r>
      <w:r w:rsidRPr="00465137">
        <w:rPr>
          <w:lang w:val="en-US"/>
        </w:rPr>
        <w:t xml:space="preserve"> of these small changes has been </w:t>
      </w:r>
      <w:r>
        <w:rPr>
          <w:lang w:val="en-US"/>
        </w:rPr>
        <w:t>in</w:t>
      </w:r>
      <w:r w:rsidRPr="00465137">
        <w:rPr>
          <w:lang w:val="en-US"/>
        </w:rPr>
        <w:t xml:space="preserve"> coastal regions</w:t>
      </w:r>
      <w:r>
        <w:rPr>
          <w:lang w:val="en-US"/>
        </w:rPr>
        <w:t>,</w:t>
      </w:r>
      <w:r w:rsidRPr="00465137">
        <w:rPr>
          <w:lang w:val="en-US"/>
        </w:rPr>
        <w:t xml:space="preserve"> down 2</w:t>
      </w:r>
      <w:r>
        <w:rPr>
          <w:lang w:val="en-US"/>
        </w:rPr>
        <w:t xml:space="preserve">% </w:t>
      </w:r>
      <w:r w:rsidRPr="00465137">
        <w:rPr>
          <w:lang w:val="en-US"/>
        </w:rPr>
        <w:t>to 12</w:t>
      </w:r>
      <w:r>
        <w:rPr>
          <w:lang w:val="en-US"/>
        </w:rPr>
        <w:t xml:space="preserve">% </w:t>
      </w:r>
      <w:r w:rsidRPr="00465137">
        <w:rPr>
          <w:lang w:val="en-US"/>
        </w:rPr>
        <w:t>in 2006.</w:t>
      </w:r>
      <w:r>
        <w:rPr>
          <w:lang w:val="en-US"/>
        </w:rPr>
        <w:t xml:space="preserve"> There has been a</w:t>
      </w:r>
      <w:r w:rsidRPr="00465137">
        <w:rPr>
          <w:lang w:val="en-US"/>
        </w:rPr>
        <w:t xml:space="preserve"> shift </w:t>
      </w:r>
      <w:r>
        <w:rPr>
          <w:lang w:val="en-US"/>
        </w:rPr>
        <w:t>in</w:t>
      </w:r>
      <w:r w:rsidRPr="00465137">
        <w:rPr>
          <w:lang w:val="en-US"/>
        </w:rPr>
        <w:t xml:space="preserve"> tradespersons flowing into inland regions</w:t>
      </w:r>
      <w:r>
        <w:rPr>
          <w:lang w:val="en-US"/>
        </w:rPr>
        <w:t>,</w:t>
      </w:r>
      <w:r w:rsidRPr="00465137">
        <w:rPr>
          <w:lang w:val="en-US"/>
        </w:rPr>
        <w:t xml:space="preserve"> up 2</w:t>
      </w:r>
      <w:r>
        <w:rPr>
          <w:lang w:val="en-US"/>
        </w:rPr>
        <w:t>% over the same period</w:t>
      </w:r>
      <w:r w:rsidRPr="00465137">
        <w:rPr>
          <w:lang w:val="en-US"/>
        </w:rPr>
        <w:t xml:space="preserve"> to 14</w:t>
      </w:r>
      <w:r>
        <w:rPr>
          <w:lang w:val="en-US"/>
        </w:rPr>
        <w:t xml:space="preserve">% </w:t>
      </w:r>
      <w:r w:rsidRPr="00465137">
        <w:rPr>
          <w:lang w:val="en-US"/>
        </w:rPr>
        <w:t>in 2006</w:t>
      </w:r>
      <w:r>
        <w:rPr>
          <w:lang w:val="en-US"/>
        </w:rPr>
        <w:t xml:space="preserve">, consistent with the changes in regional employment construction and retail (see table 3).  </w:t>
      </w:r>
    </w:p>
    <w:p w:rsidR="00DD09C1" w:rsidRPr="00AF179D" w:rsidRDefault="00DD09C1" w:rsidP="00DD09C1">
      <w:pPr>
        <w:pStyle w:val="Heading2"/>
        <w:rPr>
          <w:lang w:val="en-US"/>
        </w:rPr>
      </w:pPr>
      <w:bookmarkStart w:id="77" w:name="_Toc139109066"/>
      <w:r w:rsidRPr="00772441">
        <w:t>Adjustment</w:t>
      </w:r>
      <w:r>
        <w:rPr>
          <w:lang w:val="en-US"/>
        </w:rPr>
        <w:t xml:space="preserve"> in the tradespersons’ </w:t>
      </w:r>
      <w:proofErr w:type="spellStart"/>
      <w:r>
        <w:rPr>
          <w:lang w:val="en-US"/>
        </w:rPr>
        <w:t>labour</w:t>
      </w:r>
      <w:proofErr w:type="spellEnd"/>
      <w:r>
        <w:rPr>
          <w:lang w:val="en-US"/>
        </w:rPr>
        <w:t xml:space="preserve"> market</w:t>
      </w:r>
      <w:bookmarkEnd w:id="77"/>
    </w:p>
    <w:p w:rsidR="00DD09C1" w:rsidRDefault="00DD09C1" w:rsidP="00DD09C1">
      <w:pPr>
        <w:pStyle w:val="text0"/>
        <w:rPr>
          <w:lang w:val="en-US"/>
        </w:rPr>
      </w:pPr>
      <w:r w:rsidRPr="00E6078C">
        <w:rPr>
          <w:lang w:val="en-US"/>
        </w:rPr>
        <w:t>In order to examine the extent to which structural change has affected employment of tradespersons</w:t>
      </w:r>
      <w:r>
        <w:rPr>
          <w:lang w:val="en-US"/>
        </w:rPr>
        <w:t>,</w:t>
      </w:r>
      <w:r w:rsidRPr="00E6078C">
        <w:rPr>
          <w:lang w:val="en-US"/>
        </w:rPr>
        <w:t xml:space="preserve"> it is necessary to examine changes in employment of all workers by state, industry and region. These changes have been examined in detail above and are </w:t>
      </w:r>
      <w:proofErr w:type="spellStart"/>
      <w:r w:rsidRPr="00E6078C">
        <w:rPr>
          <w:lang w:val="en-US"/>
        </w:rPr>
        <w:t>summarised</w:t>
      </w:r>
      <w:proofErr w:type="spellEnd"/>
      <w:r w:rsidRPr="00E6078C">
        <w:rPr>
          <w:lang w:val="en-US"/>
        </w:rPr>
        <w:t xml:space="preserve"> </w:t>
      </w:r>
      <w:r>
        <w:rPr>
          <w:lang w:val="en-US"/>
        </w:rPr>
        <w:t>in t</w:t>
      </w:r>
      <w:r w:rsidRPr="00E6078C">
        <w:rPr>
          <w:lang w:val="en-US"/>
        </w:rPr>
        <w:t>able 3.</w:t>
      </w:r>
      <w:r>
        <w:rPr>
          <w:lang w:val="en-US"/>
        </w:rPr>
        <w:t xml:space="preserve"> </w:t>
      </w:r>
    </w:p>
    <w:p w:rsidR="00DD09C1" w:rsidRDefault="00DD09C1" w:rsidP="00DD09C1">
      <w:pPr>
        <w:pStyle w:val="tabletitle"/>
        <w:rPr>
          <w:lang w:val="en-US"/>
        </w:rPr>
      </w:pPr>
      <w:bookmarkStart w:id="78" w:name="_Toc241393309"/>
      <w:bookmarkStart w:id="79" w:name="_Toc139109090"/>
      <w:r w:rsidRPr="00393C5C">
        <w:t>Table</w:t>
      </w:r>
      <w:r>
        <w:t xml:space="preserve"> 3</w:t>
      </w:r>
      <w:r>
        <w:tab/>
      </w:r>
      <w:r w:rsidRPr="00393C5C">
        <w:t xml:space="preserve">Percentage change in </w:t>
      </w:r>
      <w:r>
        <w:t>all</w:t>
      </w:r>
      <w:r w:rsidRPr="00393C5C">
        <w:t xml:space="preserve"> </w:t>
      </w:r>
      <w:r>
        <w:t xml:space="preserve">persons </w:t>
      </w:r>
      <w:r w:rsidRPr="00393C5C">
        <w:t xml:space="preserve">employed by industry, state </w:t>
      </w:r>
      <w:r>
        <w:t>and</w:t>
      </w:r>
      <w:r w:rsidRPr="00393C5C">
        <w:t xml:space="preserve"> region</w:t>
      </w:r>
      <w:r>
        <w:t>, 1996–</w:t>
      </w:r>
      <w:r w:rsidRPr="00393C5C">
        <w:t>2006</w:t>
      </w:r>
      <w:bookmarkEnd w:id="78"/>
      <w:bookmarkEnd w:id="79"/>
    </w:p>
    <w:tbl>
      <w:tblPr>
        <w:tblW w:w="8505" w:type="dxa"/>
        <w:tblInd w:w="96" w:type="dxa"/>
        <w:tblLayout w:type="fixed"/>
        <w:tblLook w:val="0000"/>
      </w:tblPr>
      <w:tblGrid>
        <w:gridCol w:w="1855"/>
        <w:gridCol w:w="1662"/>
        <w:gridCol w:w="1663"/>
        <w:gridCol w:w="1662"/>
        <w:gridCol w:w="1663"/>
      </w:tblGrid>
      <w:tr w:rsidR="00DD09C1" w:rsidRPr="00772441">
        <w:trPr>
          <w:trHeight w:val="264"/>
        </w:trPr>
        <w:tc>
          <w:tcPr>
            <w:tcW w:w="1855" w:type="dxa"/>
            <w:tcBorders>
              <w:top w:val="single" w:sz="4" w:space="0" w:color="auto"/>
              <w:left w:val="nil"/>
              <w:bottom w:val="single" w:sz="4" w:space="0" w:color="auto"/>
              <w:right w:val="nil"/>
            </w:tcBorders>
            <w:shd w:val="clear" w:color="auto" w:fill="auto"/>
            <w:noWrap/>
            <w:vAlign w:val="bottom"/>
          </w:tcPr>
          <w:p w:rsidR="00DD09C1" w:rsidRPr="00772441" w:rsidRDefault="00DD09C1" w:rsidP="00DD09C1">
            <w:pPr>
              <w:pStyle w:val="Tablehead1"/>
            </w:pPr>
          </w:p>
        </w:tc>
        <w:tc>
          <w:tcPr>
            <w:tcW w:w="1662" w:type="dxa"/>
            <w:tcBorders>
              <w:top w:val="single" w:sz="4" w:space="0" w:color="auto"/>
              <w:left w:val="nil"/>
              <w:bottom w:val="single" w:sz="4" w:space="0" w:color="auto"/>
              <w:right w:val="nil"/>
            </w:tcBorders>
            <w:shd w:val="clear" w:color="auto" w:fill="auto"/>
            <w:noWrap/>
            <w:vAlign w:val="bottom"/>
          </w:tcPr>
          <w:p w:rsidR="00DD09C1" w:rsidRPr="00772441" w:rsidRDefault="00DD09C1" w:rsidP="00DD09C1">
            <w:pPr>
              <w:pStyle w:val="Tablehead1"/>
              <w:jc w:val="center"/>
            </w:pPr>
            <w:r w:rsidRPr="00772441">
              <w:t>Manufacturing</w:t>
            </w:r>
          </w:p>
        </w:tc>
        <w:tc>
          <w:tcPr>
            <w:tcW w:w="1663" w:type="dxa"/>
            <w:tcBorders>
              <w:top w:val="single" w:sz="4" w:space="0" w:color="auto"/>
              <w:left w:val="nil"/>
              <w:bottom w:val="single" w:sz="4" w:space="0" w:color="auto"/>
              <w:right w:val="nil"/>
            </w:tcBorders>
            <w:shd w:val="clear" w:color="auto" w:fill="auto"/>
            <w:noWrap/>
            <w:vAlign w:val="bottom"/>
          </w:tcPr>
          <w:p w:rsidR="00DD09C1" w:rsidRPr="00772441" w:rsidRDefault="00DD09C1" w:rsidP="00DD09C1">
            <w:pPr>
              <w:pStyle w:val="Tablehead1"/>
              <w:jc w:val="center"/>
            </w:pPr>
            <w:r w:rsidRPr="00772441">
              <w:t>Mining</w:t>
            </w:r>
          </w:p>
        </w:tc>
        <w:tc>
          <w:tcPr>
            <w:tcW w:w="1662" w:type="dxa"/>
            <w:tcBorders>
              <w:top w:val="single" w:sz="4" w:space="0" w:color="auto"/>
              <w:left w:val="nil"/>
              <w:bottom w:val="single" w:sz="4" w:space="0" w:color="auto"/>
              <w:right w:val="nil"/>
            </w:tcBorders>
            <w:shd w:val="clear" w:color="auto" w:fill="auto"/>
            <w:noWrap/>
            <w:vAlign w:val="bottom"/>
          </w:tcPr>
          <w:p w:rsidR="00DD09C1" w:rsidRPr="00772441" w:rsidRDefault="00DD09C1" w:rsidP="00DD09C1">
            <w:pPr>
              <w:pStyle w:val="Tablehead1"/>
              <w:jc w:val="center"/>
            </w:pPr>
            <w:r w:rsidRPr="00772441">
              <w:t>Construction</w:t>
            </w:r>
          </w:p>
        </w:tc>
        <w:tc>
          <w:tcPr>
            <w:tcW w:w="1663" w:type="dxa"/>
            <w:tcBorders>
              <w:top w:val="single" w:sz="4" w:space="0" w:color="auto"/>
              <w:left w:val="nil"/>
              <w:bottom w:val="single" w:sz="4" w:space="0" w:color="auto"/>
              <w:right w:val="nil"/>
            </w:tcBorders>
            <w:shd w:val="clear" w:color="auto" w:fill="auto"/>
            <w:noWrap/>
            <w:vAlign w:val="bottom"/>
          </w:tcPr>
          <w:p w:rsidR="00DD09C1" w:rsidRPr="00772441" w:rsidRDefault="00DD09C1" w:rsidP="00DD09C1">
            <w:pPr>
              <w:pStyle w:val="Tablehead1"/>
              <w:jc w:val="center"/>
            </w:pPr>
            <w:r w:rsidRPr="00772441">
              <w:t>Retail trade</w:t>
            </w:r>
          </w:p>
        </w:tc>
      </w:tr>
      <w:tr w:rsidR="00DD09C1" w:rsidRPr="00393C5C">
        <w:trPr>
          <w:trHeight w:val="264"/>
        </w:trPr>
        <w:tc>
          <w:tcPr>
            <w:tcW w:w="1855" w:type="dxa"/>
            <w:tcBorders>
              <w:top w:val="single" w:sz="4" w:space="0" w:color="auto"/>
              <w:left w:val="nil"/>
              <w:bottom w:val="nil"/>
              <w:right w:val="nil"/>
            </w:tcBorders>
            <w:shd w:val="clear" w:color="auto" w:fill="auto"/>
            <w:noWrap/>
            <w:vAlign w:val="bottom"/>
          </w:tcPr>
          <w:p w:rsidR="00DD09C1" w:rsidRPr="0006165B" w:rsidRDefault="00DD09C1" w:rsidP="00DD09C1">
            <w:pPr>
              <w:pStyle w:val="Tabletext"/>
            </w:pPr>
            <w:r w:rsidRPr="0006165B">
              <w:t>NSW</w:t>
            </w:r>
          </w:p>
        </w:tc>
        <w:tc>
          <w:tcPr>
            <w:tcW w:w="1662" w:type="dxa"/>
            <w:tcBorders>
              <w:top w:val="single" w:sz="4" w:space="0" w:color="auto"/>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-4.4</w:t>
            </w:r>
          </w:p>
        </w:tc>
        <w:tc>
          <w:tcPr>
            <w:tcW w:w="1663" w:type="dxa"/>
            <w:tcBorders>
              <w:top w:val="single" w:sz="4" w:space="0" w:color="auto"/>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-6.9</w:t>
            </w:r>
          </w:p>
        </w:tc>
        <w:tc>
          <w:tcPr>
            <w:tcW w:w="1662" w:type="dxa"/>
            <w:tcBorders>
              <w:top w:val="single" w:sz="4" w:space="0" w:color="auto"/>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25.7</w:t>
            </w:r>
          </w:p>
        </w:tc>
        <w:tc>
          <w:tcPr>
            <w:tcW w:w="1663" w:type="dxa"/>
            <w:tcBorders>
              <w:top w:val="single" w:sz="4" w:space="0" w:color="auto"/>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17.9</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V</w:t>
            </w:r>
            <w:r>
              <w:t>ic.</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-3.5</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9.6</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41.5</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23.2</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Q</w:t>
            </w:r>
            <w:r>
              <w:t>ld</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23.5</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31.4</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46.9</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29.7</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SA</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1.9</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48.1</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43.6</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24.0</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WA</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18.2</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34.3</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42.7</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24.0</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T</w:t>
            </w:r>
            <w:r>
              <w:t>as.</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-2.4</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t>-</w:t>
            </w:r>
            <w:r w:rsidRPr="00393C5C">
              <w:t>13.9</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22.0</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19.3</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NT</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30.3</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t>-</w:t>
            </w:r>
            <w:r w:rsidRPr="00393C5C">
              <w:t>48.6</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9.1</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13.6</w:t>
            </w:r>
          </w:p>
        </w:tc>
      </w:tr>
      <w:tr w:rsidR="00DD09C1" w:rsidRPr="00393C5C">
        <w:trPr>
          <w:trHeight w:val="264"/>
        </w:trPr>
        <w:tc>
          <w:tcPr>
            <w:tcW w:w="1855" w:type="dxa"/>
            <w:tcBorders>
              <w:top w:val="nil"/>
              <w:left w:val="nil"/>
              <w:bottom w:val="dashed" w:sz="4" w:space="0" w:color="auto"/>
              <w:right w:val="nil"/>
            </w:tcBorders>
            <w:shd w:val="clear" w:color="auto" w:fill="auto"/>
            <w:noWrap/>
            <w:vAlign w:val="bottom"/>
          </w:tcPr>
          <w:p w:rsidR="00DD09C1" w:rsidRPr="0006165B" w:rsidRDefault="00DD09C1" w:rsidP="00DD09C1">
            <w:pPr>
              <w:pStyle w:val="Tabletext"/>
            </w:pPr>
            <w:r w:rsidRPr="0006165B">
              <w:t>ACT</w:t>
            </w:r>
          </w:p>
        </w:tc>
        <w:tc>
          <w:tcPr>
            <w:tcW w:w="1662"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09"/>
              </w:tabs>
            </w:pPr>
            <w:r w:rsidRPr="00393C5C">
              <w:t>7.2</w:t>
            </w:r>
          </w:p>
        </w:tc>
        <w:tc>
          <w:tcPr>
            <w:tcW w:w="1663"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09"/>
              </w:tabs>
            </w:pPr>
            <w:r>
              <w:t>-</w:t>
            </w:r>
            <w:r w:rsidRPr="00393C5C">
              <w:t>13.7</w:t>
            </w:r>
          </w:p>
        </w:tc>
        <w:tc>
          <w:tcPr>
            <w:tcW w:w="1662"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37"/>
              </w:tabs>
            </w:pPr>
            <w:r w:rsidRPr="00393C5C">
              <w:t>30.5</w:t>
            </w:r>
          </w:p>
        </w:tc>
        <w:tc>
          <w:tcPr>
            <w:tcW w:w="1663"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37"/>
              </w:tabs>
            </w:pPr>
            <w:r w:rsidRPr="00393C5C">
              <w:t>12.3</w:t>
            </w:r>
          </w:p>
        </w:tc>
      </w:tr>
      <w:tr w:rsidR="00DD09C1" w:rsidRPr="00393C5C">
        <w:trPr>
          <w:trHeight w:val="264"/>
        </w:trPr>
        <w:tc>
          <w:tcPr>
            <w:tcW w:w="1855" w:type="dxa"/>
            <w:tcBorders>
              <w:top w:val="dashed" w:sz="4" w:space="0" w:color="auto"/>
              <w:left w:val="nil"/>
              <w:bottom w:val="nil"/>
              <w:right w:val="nil"/>
            </w:tcBorders>
            <w:shd w:val="clear" w:color="auto" w:fill="auto"/>
            <w:noWrap/>
            <w:vAlign w:val="bottom"/>
          </w:tcPr>
          <w:p w:rsidR="00DD09C1" w:rsidRPr="0006165B" w:rsidRDefault="00DD09C1" w:rsidP="00DD09C1">
            <w:pPr>
              <w:pStyle w:val="Tabletext"/>
            </w:pPr>
            <w:r>
              <w:t>Capital cities</w:t>
            </w:r>
          </w:p>
        </w:tc>
        <w:tc>
          <w:tcPr>
            <w:tcW w:w="1662"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709"/>
              </w:tabs>
            </w:pPr>
            <w:r>
              <w:t>2.8</w:t>
            </w:r>
          </w:p>
        </w:tc>
        <w:tc>
          <w:tcPr>
            <w:tcW w:w="1663"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709"/>
              </w:tabs>
            </w:pPr>
            <w:r>
              <w:t>47.9</w:t>
            </w:r>
          </w:p>
        </w:tc>
        <w:tc>
          <w:tcPr>
            <w:tcW w:w="1662"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737"/>
              </w:tabs>
            </w:pPr>
            <w:r>
              <w:t>36.4</w:t>
            </w:r>
          </w:p>
        </w:tc>
        <w:tc>
          <w:tcPr>
            <w:tcW w:w="1663"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737"/>
              </w:tabs>
            </w:pPr>
            <w:r>
              <w:t>23.1</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t>Other m</w:t>
            </w:r>
            <w:r w:rsidRPr="0006165B">
              <w:t>etro</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-1.4</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t xml:space="preserve">  </w:t>
            </w:r>
            <w:r w:rsidRPr="00393C5C">
              <w:t>0.4</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32.8</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18.9</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Coastal</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-2.4</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48.5</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41.9</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21.6</w:t>
            </w:r>
          </w:p>
        </w:tc>
      </w:tr>
      <w:tr w:rsidR="00DD09C1" w:rsidRPr="00393C5C">
        <w:trPr>
          <w:trHeight w:val="264"/>
        </w:trPr>
        <w:tc>
          <w:tcPr>
            <w:tcW w:w="1855"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Inland</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14.8</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09"/>
              </w:tabs>
            </w:pPr>
            <w:r w:rsidRPr="00393C5C">
              <w:t>9.4</w:t>
            </w:r>
          </w:p>
        </w:tc>
        <w:tc>
          <w:tcPr>
            <w:tcW w:w="1662"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46.6</w:t>
            </w:r>
          </w:p>
        </w:tc>
        <w:tc>
          <w:tcPr>
            <w:tcW w:w="1663" w:type="dxa"/>
            <w:tcBorders>
              <w:top w:val="nil"/>
              <w:left w:val="nil"/>
              <w:bottom w:val="nil"/>
              <w:right w:val="nil"/>
            </w:tcBorders>
            <w:shd w:val="clear" w:color="auto" w:fill="auto"/>
            <w:noWrap/>
            <w:vAlign w:val="bottom"/>
          </w:tcPr>
          <w:p w:rsidR="00DD09C1" w:rsidRPr="00393C5C" w:rsidRDefault="00DD09C1" w:rsidP="00DD09C1">
            <w:pPr>
              <w:pStyle w:val="Tabletext"/>
              <w:tabs>
                <w:tab w:val="decimal" w:pos="737"/>
              </w:tabs>
            </w:pPr>
            <w:r w:rsidRPr="00393C5C">
              <w:t>26.4</w:t>
            </w:r>
          </w:p>
        </w:tc>
      </w:tr>
      <w:tr w:rsidR="00DD09C1" w:rsidRPr="00393C5C">
        <w:trPr>
          <w:trHeight w:val="264"/>
        </w:trPr>
        <w:tc>
          <w:tcPr>
            <w:tcW w:w="1855" w:type="dxa"/>
            <w:tcBorders>
              <w:top w:val="nil"/>
              <w:left w:val="nil"/>
              <w:bottom w:val="dashed" w:sz="4" w:space="0" w:color="auto"/>
              <w:right w:val="nil"/>
            </w:tcBorders>
            <w:shd w:val="clear" w:color="auto" w:fill="auto"/>
            <w:noWrap/>
            <w:vAlign w:val="bottom"/>
          </w:tcPr>
          <w:p w:rsidR="00DD09C1" w:rsidRPr="0006165B" w:rsidRDefault="00DD09C1" w:rsidP="00DD09C1">
            <w:pPr>
              <w:pStyle w:val="Tabletext"/>
            </w:pPr>
            <w:r w:rsidRPr="0006165B">
              <w:t>Remote</w:t>
            </w:r>
          </w:p>
        </w:tc>
        <w:tc>
          <w:tcPr>
            <w:tcW w:w="1662"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09"/>
              </w:tabs>
            </w:pPr>
            <w:r w:rsidRPr="00393C5C">
              <w:t>19.9</w:t>
            </w:r>
          </w:p>
        </w:tc>
        <w:tc>
          <w:tcPr>
            <w:tcW w:w="1663"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09"/>
              </w:tabs>
            </w:pPr>
            <w:r>
              <w:t>-</w:t>
            </w:r>
            <w:r w:rsidRPr="00393C5C">
              <w:t>10.2</w:t>
            </w:r>
          </w:p>
        </w:tc>
        <w:tc>
          <w:tcPr>
            <w:tcW w:w="1662"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37"/>
              </w:tabs>
            </w:pPr>
            <w:r w:rsidRPr="00393C5C">
              <w:t>12.4</w:t>
            </w:r>
          </w:p>
        </w:tc>
        <w:tc>
          <w:tcPr>
            <w:tcW w:w="1663" w:type="dxa"/>
            <w:tcBorders>
              <w:top w:val="nil"/>
              <w:left w:val="nil"/>
              <w:bottom w:val="dashed" w:sz="4" w:space="0" w:color="auto"/>
              <w:right w:val="nil"/>
            </w:tcBorders>
            <w:shd w:val="clear" w:color="auto" w:fill="auto"/>
            <w:noWrap/>
            <w:vAlign w:val="bottom"/>
          </w:tcPr>
          <w:p w:rsidR="00DD09C1" w:rsidRPr="00393C5C" w:rsidRDefault="00DD09C1" w:rsidP="00DD09C1">
            <w:pPr>
              <w:pStyle w:val="Tabletext"/>
              <w:tabs>
                <w:tab w:val="decimal" w:pos="737"/>
              </w:tabs>
            </w:pPr>
            <w:r w:rsidRPr="00393C5C">
              <w:t>6.6</w:t>
            </w:r>
          </w:p>
        </w:tc>
      </w:tr>
      <w:tr w:rsidR="00DD09C1" w:rsidRPr="00393C5C">
        <w:trPr>
          <w:trHeight w:val="264"/>
        </w:trPr>
        <w:tc>
          <w:tcPr>
            <w:tcW w:w="1855" w:type="dxa"/>
            <w:tcBorders>
              <w:top w:val="dashed" w:sz="4" w:space="0" w:color="auto"/>
              <w:left w:val="nil"/>
              <w:bottom w:val="single" w:sz="4" w:space="0" w:color="auto"/>
              <w:right w:val="nil"/>
            </w:tcBorders>
            <w:shd w:val="clear" w:color="auto" w:fill="auto"/>
            <w:noWrap/>
            <w:vAlign w:val="bottom"/>
          </w:tcPr>
          <w:p w:rsidR="00DD09C1" w:rsidRPr="0006165B" w:rsidRDefault="00DD09C1" w:rsidP="00DD09C1">
            <w:pPr>
              <w:pStyle w:val="Tabletext"/>
              <w:spacing w:after="40"/>
            </w:pPr>
            <w:r w:rsidRPr="0006165B">
              <w:t>Australia</w:t>
            </w:r>
          </w:p>
        </w:tc>
        <w:tc>
          <w:tcPr>
            <w:tcW w:w="1662" w:type="dxa"/>
            <w:tcBorders>
              <w:top w:val="dashed" w:sz="4" w:space="0" w:color="auto"/>
              <w:left w:val="nil"/>
              <w:bottom w:val="single" w:sz="4" w:space="0" w:color="auto"/>
              <w:right w:val="nil"/>
            </w:tcBorders>
            <w:shd w:val="clear" w:color="auto" w:fill="auto"/>
            <w:noWrap/>
            <w:vAlign w:val="bottom"/>
          </w:tcPr>
          <w:p w:rsidR="00DD09C1" w:rsidRPr="00393C5C" w:rsidRDefault="00DD09C1" w:rsidP="00DD09C1">
            <w:pPr>
              <w:pStyle w:val="Tabletext"/>
              <w:tabs>
                <w:tab w:val="decimal" w:pos="709"/>
              </w:tabs>
              <w:spacing w:after="40"/>
            </w:pPr>
            <w:r w:rsidRPr="00393C5C">
              <w:t>3.4</w:t>
            </w:r>
          </w:p>
        </w:tc>
        <w:tc>
          <w:tcPr>
            <w:tcW w:w="1663" w:type="dxa"/>
            <w:tcBorders>
              <w:top w:val="dashed" w:sz="4" w:space="0" w:color="auto"/>
              <w:left w:val="nil"/>
              <w:bottom w:val="single" w:sz="4" w:space="0" w:color="auto"/>
              <w:right w:val="nil"/>
            </w:tcBorders>
            <w:shd w:val="clear" w:color="auto" w:fill="auto"/>
            <w:noWrap/>
            <w:vAlign w:val="bottom"/>
          </w:tcPr>
          <w:p w:rsidR="00DD09C1" w:rsidRPr="00393C5C" w:rsidRDefault="00DD09C1" w:rsidP="00DD09C1">
            <w:pPr>
              <w:pStyle w:val="Tabletext"/>
              <w:tabs>
                <w:tab w:val="decimal" w:pos="709"/>
              </w:tabs>
              <w:spacing w:after="40"/>
            </w:pPr>
            <w:r w:rsidRPr="00393C5C">
              <w:t>20.9</w:t>
            </w:r>
          </w:p>
        </w:tc>
        <w:tc>
          <w:tcPr>
            <w:tcW w:w="1662" w:type="dxa"/>
            <w:tcBorders>
              <w:top w:val="dashed" w:sz="4" w:space="0" w:color="auto"/>
              <w:left w:val="nil"/>
              <w:bottom w:val="single" w:sz="4" w:space="0" w:color="auto"/>
              <w:right w:val="nil"/>
            </w:tcBorders>
            <w:shd w:val="clear" w:color="auto" w:fill="auto"/>
            <w:noWrap/>
            <w:vAlign w:val="bottom"/>
          </w:tcPr>
          <w:p w:rsidR="00DD09C1" w:rsidRPr="00393C5C" w:rsidRDefault="00DD09C1" w:rsidP="00DD09C1">
            <w:pPr>
              <w:pStyle w:val="Tabletext"/>
              <w:tabs>
                <w:tab w:val="decimal" w:pos="737"/>
              </w:tabs>
              <w:spacing w:after="40"/>
            </w:pPr>
            <w:r w:rsidRPr="00393C5C">
              <w:t>37.2</w:t>
            </w:r>
          </w:p>
        </w:tc>
        <w:tc>
          <w:tcPr>
            <w:tcW w:w="1663" w:type="dxa"/>
            <w:tcBorders>
              <w:top w:val="dashed" w:sz="4" w:space="0" w:color="auto"/>
              <w:left w:val="nil"/>
              <w:bottom w:val="single" w:sz="4" w:space="0" w:color="auto"/>
              <w:right w:val="nil"/>
            </w:tcBorders>
            <w:shd w:val="clear" w:color="auto" w:fill="auto"/>
            <w:noWrap/>
            <w:vAlign w:val="bottom"/>
          </w:tcPr>
          <w:p w:rsidR="00DD09C1" w:rsidRPr="00393C5C" w:rsidRDefault="00DD09C1" w:rsidP="00DD09C1">
            <w:pPr>
              <w:pStyle w:val="Tabletext"/>
              <w:tabs>
                <w:tab w:val="decimal" w:pos="737"/>
              </w:tabs>
              <w:spacing w:after="40"/>
            </w:pPr>
            <w:r w:rsidRPr="00393C5C">
              <w:t>22.6</w:t>
            </w:r>
          </w:p>
        </w:tc>
      </w:tr>
    </w:tbl>
    <w:p w:rsidR="00DD09C1" w:rsidRDefault="00DD09C1" w:rsidP="00DD09C1">
      <w:pPr>
        <w:pStyle w:val="Source"/>
        <w:rPr>
          <w:lang w:val="en-US"/>
        </w:rPr>
      </w:pPr>
      <w:r w:rsidRPr="00465137">
        <w:rPr>
          <w:lang w:val="en-US"/>
        </w:rPr>
        <w:t>Source:</w:t>
      </w:r>
      <w:r>
        <w:rPr>
          <w:lang w:val="en-US"/>
        </w:rPr>
        <w:tab/>
        <w:t xml:space="preserve">Census of Population and Housing 1996, 2006 (unpublished). </w:t>
      </w:r>
    </w:p>
    <w:p w:rsidR="00DD09C1" w:rsidRDefault="00DD09C1" w:rsidP="00DD09C1">
      <w:pPr>
        <w:pStyle w:val="text0"/>
        <w:ind w:right="-151"/>
        <w:rPr>
          <w:lang w:val="en-US"/>
        </w:rPr>
      </w:pPr>
      <w:r>
        <w:rPr>
          <w:lang w:val="en-US"/>
        </w:rPr>
        <w:t>From the last</w:t>
      </w:r>
      <w:r w:rsidRPr="000E01D0">
        <w:rPr>
          <w:lang w:val="en-US"/>
        </w:rPr>
        <w:t xml:space="preserve"> </w:t>
      </w:r>
      <w:r w:rsidRPr="00E6078C">
        <w:rPr>
          <w:lang w:val="en-US"/>
        </w:rPr>
        <w:t>row</w:t>
      </w:r>
      <w:r>
        <w:rPr>
          <w:lang w:val="en-US"/>
        </w:rPr>
        <w:t>—Australia—</w:t>
      </w:r>
      <w:r w:rsidRPr="00E6078C">
        <w:rPr>
          <w:lang w:val="en-US"/>
        </w:rPr>
        <w:t>it can be seen that</w:t>
      </w:r>
      <w:r>
        <w:rPr>
          <w:lang w:val="en-US"/>
        </w:rPr>
        <w:t>,</w:t>
      </w:r>
      <w:r w:rsidRPr="00E6078C">
        <w:rPr>
          <w:lang w:val="en-US"/>
        </w:rPr>
        <w:t xml:space="preserve"> during the latest sustained period of economic growth in Australia</w:t>
      </w:r>
      <w:r>
        <w:rPr>
          <w:lang w:val="en-US"/>
        </w:rPr>
        <w:t xml:space="preserve"> between</w:t>
      </w:r>
      <w:r w:rsidRPr="00E6078C">
        <w:rPr>
          <w:lang w:val="en-US"/>
        </w:rPr>
        <w:t xml:space="preserve"> 1996</w:t>
      </w:r>
      <w:r>
        <w:rPr>
          <w:lang w:val="en-US"/>
        </w:rPr>
        <w:t xml:space="preserve"> and </w:t>
      </w:r>
      <w:r w:rsidRPr="00E6078C">
        <w:rPr>
          <w:lang w:val="en-US"/>
        </w:rPr>
        <w:t>2006,</w:t>
      </w:r>
      <w:r>
        <w:rPr>
          <w:lang w:val="en-US"/>
        </w:rPr>
        <w:t xml:space="preserve"> the m</w:t>
      </w:r>
      <w:r w:rsidRPr="00E6078C">
        <w:rPr>
          <w:lang w:val="en-US"/>
        </w:rPr>
        <w:t xml:space="preserve">ining, </w:t>
      </w:r>
      <w:r>
        <w:rPr>
          <w:lang w:val="en-US"/>
        </w:rPr>
        <w:t>c</w:t>
      </w:r>
      <w:r w:rsidRPr="00E6078C">
        <w:rPr>
          <w:lang w:val="en-US"/>
        </w:rPr>
        <w:t xml:space="preserve">onstruction and </w:t>
      </w:r>
      <w:r>
        <w:rPr>
          <w:lang w:val="en-US"/>
        </w:rPr>
        <w:t>r</w:t>
      </w:r>
      <w:r w:rsidRPr="00E6078C">
        <w:rPr>
          <w:lang w:val="en-US"/>
        </w:rPr>
        <w:t>etail</w:t>
      </w:r>
      <w:r>
        <w:rPr>
          <w:lang w:val="en-US"/>
        </w:rPr>
        <w:t xml:space="preserve"> industries delivered</w:t>
      </w:r>
      <w:r w:rsidRPr="00E6078C">
        <w:rPr>
          <w:lang w:val="en-US"/>
        </w:rPr>
        <w:t xml:space="preserve"> a </w:t>
      </w:r>
      <w:r w:rsidRPr="00E6078C">
        <w:rPr>
          <w:lang w:val="en-US"/>
        </w:rPr>
        <w:lastRenderedPageBreak/>
        <w:t>dramatic increase in the number of all persons employed in those industries, increasing by 21</w:t>
      </w:r>
      <w:r>
        <w:rPr>
          <w:lang w:val="en-US"/>
        </w:rPr>
        <w:t>%</w:t>
      </w:r>
      <w:r w:rsidRPr="00E6078C">
        <w:rPr>
          <w:lang w:val="en-US"/>
        </w:rPr>
        <w:t>, 37</w:t>
      </w:r>
      <w:r>
        <w:rPr>
          <w:lang w:val="en-US"/>
        </w:rPr>
        <w:t>%</w:t>
      </w:r>
      <w:r w:rsidRPr="00E6078C">
        <w:rPr>
          <w:lang w:val="en-US"/>
        </w:rPr>
        <w:t xml:space="preserve"> and 23</w:t>
      </w:r>
      <w:r>
        <w:rPr>
          <w:lang w:val="en-US"/>
        </w:rPr>
        <w:t>%,</w:t>
      </w:r>
      <w:r w:rsidRPr="00E6078C">
        <w:rPr>
          <w:lang w:val="en-US"/>
        </w:rPr>
        <w:t xml:space="preserve"> respectively.</w:t>
      </w:r>
      <w:r>
        <w:rPr>
          <w:lang w:val="en-US"/>
        </w:rPr>
        <w:t xml:space="preserve"> </w:t>
      </w:r>
      <w:r w:rsidRPr="00E6078C">
        <w:rPr>
          <w:lang w:val="en-US"/>
        </w:rPr>
        <w:t>Manufacturing</w:t>
      </w:r>
      <w:r>
        <w:rPr>
          <w:lang w:val="en-US"/>
        </w:rPr>
        <w:t>,</w:t>
      </w:r>
      <w:r w:rsidRPr="00E6078C">
        <w:rPr>
          <w:lang w:val="en-US"/>
        </w:rPr>
        <w:t xml:space="preserve"> on the other hand</w:t>
      </w:r>
      <w:r>
        <w:rPr>
          <w:lang w:val="en-US"/>
        </w:rPr>
        <w:t>,</w:t>
      </w:r>
      <w:r w:rsidRPr="00E6078C">
        <w:rPr>
          <w:lang w:val="en-US"/>
        </w:rPr>
        <w:t xml:space="preserve"> saw only a slight increase of 3</w:t>
      </w:r>
      <w:r>
        <w:rPr>
          <w:lang w:val="en-US"/>
        </w:rPr>
        <w:t>%</w:t>
      </w:r>
      <w:r w:rsidRPr="00E6078C">
        <w:rPr>
          <w:lang w:val="en-US"/>
        </w:rPr>
        <w:t>.</w:t>
      </w:r>
      <w:r>
        <w:rPr>
          <w:lang w:val="en-US"/>
        </w:rPr>
        <w:t xml:space="preserve"> </w:t>
      </w:r>
    </w:p>
    <w:p w:rsidR="00DD09C1" w:rsidRDefault="00DD09C1" w:rsidP="00DD09C1">
      <w:pPr>
        <w:pStyle w:val="text0"/>
        <w:rPr>
          <w:lang w:val="en-US"/>
        </w:rPr>
      </w:pPr>
      <w:r>
        <w:rPr>
          <w:lang w:val="en-US"/>
        </w:rPr>
        <w:t xml:space="preserve">Of the growth in employment in the mining industry, Queensland, Western Australia, Northern Territory and South Australia produced the lion’s share of the new mining jobs and increased their percentage of all the mining jobs nationally. Of all the states that lost a percentage share in mining jobs nationally, New South Wales was the most significant, falling by 6.1%. </w:t>
      </w:r>
    </w:p>
    <w:p w:rsidR="00DD09C1" w:rsidRDefault="00DD09C1" w:rsidP="00DD09C1">
      <w:pPr>
        <w:pStyle w:val="text0"/>
        <w:rPr>
          <w:lang w:val="en-US"/>
        </w:rPr>
      </w:pPr>
      <w:r>
        <w:rPr>
          <w:lang w:val="en-US"/>
        </w:rPr>
        <w:t>Regionally the shift in mining jobs has been away from remote, inland and other metropolitan areas towards capital cities and coastal regions. In fact, capital cities increased their share of mining jobs by 8.5% and coastal regions by 4% over the period. Mining employment for capital cities and coastal regions grew by 47.9% and 48.5%, respectively. This is an interesting finding and deserves future research. Among the issues which need to be examined is the extent to which the pattern of jobs in the industry has changed with this regional shift and the implications for skills development.</w:t>
      </w:r>
    </w:p>
    <w:p w:rsidR="00DD09C1" w:rsidRDefault="00DD09C1" w:rsidP="00DD09C1">
      <w:pPr>
        <w:pStyle w:val="text0"/>
        <w:rPr>
          <w:lang w:val="en-US"/>
        </w:rPr>
      </w:pPr>
      <w:r>
        <w:rPr>
          <w:lang w:val="en-US"/>
        </w:rPr>
        <w:t xml:space="preserve">Similarly, employment growth in the retail sector has been </w:t>
      </w:r>
      <w:r w:rsidRPr="00D5661C">
        <w:rPr>
          <w:lang w:val="en-US"/>
        </w:rPr>
        <w:t>considerable</w:t>
      </w:r>
      <w:r>
        <w:rPr>
          <w:lang w:val="en-US"/>
        </w:rPr>
        <w:t xml:space="preserve"> at 22.6% over the period 1996–2006. There has been little dramatic change in either the regional distribution or the states and territories’ distribution in retail employment over the period, although there has been a decline in importance, relative to retailing in other states, in New South Wales, the Australian Capital Territory and the Northern Territory. The most notable change in regional employment has been lower growth in other metropolitan and, particularly, remote areas, compared with inland regions and capital cities. Retail employment in inland regions and capital cities rose by 26.4% and 23.1% respectively between 1996 and 2006—above the national average of 22.6%.</w:t>
      </w:r>
    </w:p>
    <w:p w:rsidR="00DD09C1" w:rsidRDefault="00DD09C1" w:rsidP="00DD09C1">
      <w:pPr>
        <w:pStyle w:val="text0"/>
        <w:rPr>
          <w:lang w:val="en-US"/>
        </w:rPr>
      </w:pPr>
      <w:r>
        <w:rPr>
          <w:lang w:val="en-US"/>
        </w:rPr>
        <w:t xml:space="preserve">The most notable growth in employment was in the number of construction jobs nationally, which was up 37.2% during the period 1996–2006. The construction industry has the greatest percentage of tradespersons of any industry, just below 47% in 2006. Hence nearly half of the growth in construction jobs over the period 1996–2006 has been in the employment of tradespersons. This has drastically increased the demand for qualified tradespersons over the same period. </w:t>
      </w:r>
    </w:p>
    <w:p w:rsidR="00DD09C1" w:rsidRDefault="00DD09C1" w:rsidP="00DD09C1">
      <w:pPr>
        <w:pStyle w:val="text0"/>
        <w:rPr>
          <w:lang w:val="en-US"/>
        </w:rPr>
      </w:pPr>
      <w:r>
        <w:rPr>
          <w:lang w:val="en-US"/>
        </w:rPr>
        <w:t xml:space="preserve">Although demand for construction workers has increased significantly generally, regionally there have been some notable shifts in the distribution of construction employment, with lower increases in capital cities, other metropolitan and, in particular, remote areas. Meanwhile, inland and coastal regions have increased their share of the national total. For the states and territories, the most interesting shift has been a reduction in New South Wales’s share and increasing shares for Queensland and Victoria. </w:t>
      </w:r>
    </w:p>
    <w:p w:rsidR="00DD09C1" w:rsidRDefault="00DD09C1" w:rsidP="00DD09C1">
      <w:pPr>
        <w:pStyle w:val="text0"/>
        <w:rPr>
          <w:lang w:val="en-US"/>
        </w:rPr>
      </w:pPr>
      <w:r>
        <w:rPr>
          <w:lang w:val="en-US"/>
        </w:rPr>
        <w:t>The manufacturing industry, on the other hand, indicates strong evidence of structural change taking place over the period 1996–2006. While the Australian economy as a whole was in a boom and had significant growth in aggregate demand, Australian manufacturing industry only incurred employment growth of 3.4% nationally. New South Wales, Victoria and Tasmania all experienced declines in their shares of the national total of manufacturing employment, while Queensland, the Northern Territory and Western Australia increased their share.</w:t>
      </w:r>
    </w:p>
    <w:p w:rsidR="00DD09C1" w:rsidRDefault="00DD09C1" w:rsidP="00DD09C1">
      <w:pPr>
        <w:pStyle w:val="text0"/>
        <w:rPr>
          <w:lang w:val="en-US"/>
        </w:rPr>
      </w:pPr>
      <w:r>
        <w:rPr>
          <w:lang w:val="en-US"/>
        </w:rPr>
        <w:t>It was pointed out earlier in this report that the percentage of tradespersons in total employment in the main industries that employ tradespersons has changed little over time.</w:t>
      </w:r>
    </w:p>
    <w:p w:rsidR="00DD09C1" w:rsidRDefault="00DD09C1" w:rsidP="00DD09C1">
      <w:pPr>
        <w:pStyle w:val="text0"/>
        <w:rPr>
          <w:lang w:val="en-US"/>
        </w:rPr>
      </w:pPr>
      <w:r>
        <w:rPr>
          <w:lang w:val="en-US"/>
        </w:rPr>
        <w:t xml:space="preserve">This suggests that technological change has not significantly altered the employment mix in relation to tradespersons. The evidence on industries, states and regions indicates that structural change has been the dominant factor determining the demand for tradespersons, arising from changes in relative demand for different goods and services over the business cycle. </w:t>
      </w:r>
    </w:p>
    <w:p w:rsidR="00DD09C1" w:rsidRDefault="00DD09C1" w:rsidP="00DD09C1">
      <w:pPr>
        <w:pStyle w:val="text0"/>
        <w:rPr>
          <w:lang w:val="en-US"/>
        </w:rPr>
      </w:pPr>
      <w:r>
        <w:rPr>
          <w:lang w:val="en-US"/>
        </w:rPr>
        <w:t xml:space="preserve">For instance, most demand for </w:t>
      </w:r>
      <w:proofErr w:type="spellStart"/>
      <w:r>
        <w:rPr>
          <w:lang w:val="en-US"/>
        </w:rPr>
        <w:t>labour</w:t>
      </w:r>
      <w:proofErr w:type="spellEnd"/>
      <w:r>
        <w:rPr>
          <w:lang w:val="en-US"/>
        </w:rPr>
        <w:t xml:space="preserve"> in industries employing tradespersons is in the capital cities, so population movements towards Brisbane and Perth (ABS 2007) can partly explain the relative growth of tradespersons in these cities and the corresponding decline in cities such as Sydney. In addition, the economic boom and resultant structural change in demand have enhanced growth rates for some industries that employ relatively high numbers of tradespersons, such as mining and </w:t>
      </w:r>
      <w:r>
        <w:rPr>
          <w:lang w:val="en-US"/>
        </w:rPr>
        <w:lastRenderedPageBreak/>
        <w:t xml:space="preserve">construction. </w:t>
      </w:r>
      <w:proofErr w:type="gramStart"/>
      <w:r>
        <w:rPr>
          <w:lang w:val="en-US"/>
        </w:rPr>
        <w:t>Other industries which also employ large percentages of tradespersons, such as manufacturing, have been in relative decline.</w:t>
      </w:r>
      <w:proofErr w:type="gramEnd"/>
      <w:r>
        <w:rPr>
          <w:lang w:val="en-US"/>
        </w:rPr>
        <w:t xml:space="preserve"> However, in manufacturing there has been increased employment in Queensland and Western Australia.</w:t>
      </w:r>
    </w:p>
    <w:p w:rsidR="00DD09C1" w:rsidRDefault="00DD09C1" w:rsidP="00DD09C1">
      <w:pPr>
        <w:pStyle w:val="Heading3"/>
        <w:rPr>
          <w:lang w:val="en-US"/>
        </w:rPr>
      </w:pPr>
      <w:r w:rsidRPr="0024679F">
        <w:rPr>
          <w:lang w:val="en-US"/>
        </w:rPr>
        <w:t>Excess demand and supply</w:t>
      </w:r>
    </w:p>
    <w:p w:rsidR="00DD09C1" w:rsidRDefault="00DD09C1" w:rsidP="00DD09C1">
      <w:pPr>
        <w:pStyle w:val="text-lessbefore"/>
        <w:ind w:right="-151"/>
        <w:rPr>
          <w:lang w:val="en-US"/>
        </w:rPr>
      </w:pPr>
      <w:r>
        <w:rPr>
          <w:lang w:val="en-US"/>
        </w:rPr>
        <w:t xml:space="preserve">Since the percentages of tradespersons employed in the personal and other services, mining, manufacturing, electricity, gas and water; and construction industries have remained reasonably constant over </w:t>
      </w:r>
      <w:proofErr w:type="gramStart"/>
      <w:r>
        <w:rPr>
          <w:lang w:val="en-US"/>
        </w:rPr>
        <w:t>time,</w:t>
      </w:r>
      <w:proofErr w:type="gramEnd"/>
      <w:r>
        <w:rPr>
          <w:lang w:val="en-US"/>
        </w:rPr>
        <w:t xml:space="preserve"> we can assume that these proportions are consistent in the long term. By making this assumption, we can then determine the demand for tradespersons within each industry, by assuming a constant input–output technology for demand for tradespersons. Multiplying the growth in jobs from 2001 to 2006 by the percentage of tradespersons employed in each industry provides an estimate of the expected demand for tradespersons in 2006. Table 4 shows the expected growth in employment (demand) and the actual growth (supply) of tradespersons in each industry. Comparing the expected (demand) and actual (supply) employment growth provides a measure of excess demand or supply. </w:t>
      </w:r>
    </w:p>
    <w:p w:rsidR="00DD09C1" w:rsidRPr="00980593" w:rsidRDefault="00DD09C1" w:rsidP="00DD09C1">
      <w:pPr>
        <w:pStyle w:val="tabletitle"/>
      </w:pPr>
      <w:bookmarkStart w:id="80" w:name="_Toc241393310"/>
      <w:bookmarkStart w:id="81" w:name="_Toc139109091"/>
      <w:r>
        <w:rPr>
          <w:lang w:val="en-US"/>
        </w:rPr>
        <w:t>Table 4</w:t>
      </w:r>
      <w:r>
        <w:rPr>
          <w:lang w:val="en-US"/>
        </w:rPr>
        <w:tab/>
      </w:r>
      <w:r w:rsidRPr="0094565B">
        <w:rPr>
          <w:lang w:val="en-US"/>
        </w:rPr>
        <w:t>Expected and actual growth of tradespersons</w:t>
      </w:r>
      <w:r>
        <w:rPr>
          <w:lang w:val="en-US"/>
        </w:rPr>
        <w:t>, 2001–06</w:t>
      </w:r>
      <w:bookmarkEnd w:id="80"/>
      <w:bookmarkEnd w:id="81"/>
    </w:p>
    <w:tbl>
      <w:tblPr>
        <w:tblW w:w="8505" w:type="dxa"/>
        <w:tblInd w:w="108" w:type="dxa"/>
        <w:tblLayout w:type="fixed"/>
        <w:tblLook w:val="0000"/>
      </w:tblPr>
      <w:tblGrid>
        <w:gridCol w:w="1985"/>
        <w:gridCol w:w="1630"/>
        <w:gridCol w:w="1630"/>
        <w:gridCol w:w="1630"/>
        <w:gridCol w:w="1630"/>
      </w:tblGrid>
      <w:tr w:rsidR="00DD09C1" w:rsidRPr="00980593">
        <w:trPr>
          <w:cantSplit/>
        </w:trPr>
        <w:tc>
          <w:tcPr>
            <w:tcW w:w="1985" w:type="dxa"/>
            <w:tcBorders>
              <w:top w:val="single" w:sz="4" w:space="0" w:color="auto"/>
              <w:left w:val="nil"/>
              <w:bottom w:val="single" w:sz="4" w:space="0" w:color="auto"/>
              <w:right w:val="nil"/>
            </w:tcBorders>
            <w:shd w:val="clear" w:color="auto" w:fill="auto"/>
            <w:noWrap/>
          </w:tcPr>
          <w:p w:rsidR="00DD09C1" w:rsidRPr="00980593" w:rsidRDefault="00DD09C1" w:rsidP="00DD09C1">
            <w:pPr>
              <w:pStyle w:val="Tablehead1"/>
            </w:pPr>
          </w:p>
        </w:tc>
        <w:tc>
          <w:tcPr>
            <w:tcW w:w="1630" w:type="dxa"/>
            <w:tcBorders>
              <w:top w:val="single" w:sz="4" w:space="0" w:color="auto"/>
              <w:left w:val="nil"/>
              <w:bottom w:val="single" w:sz="4" w:space="0" w:color="auto"/>
              <w:right w:val="nil"/>
            </w:tcBorders>
            <w:shd w:val="clear" w:color="auto" w:fill="auto"/>
            <w:noWrap/>
          </w:tcPr>
          <w:p w:rsidR="00DD09C1" w:rsidRPr="00980593" w:rsidRDefault="00DD09C1" w:rsidP="00DD09C1">
            <w:pPr>
              <w:pStyle w:val="Tablehead1"/>
              <w:jc w:val="center"/>
            </w:pPr>
            <w:r w:rsidRPr="00980593">
              <w:t>Change in all jobs</w:t>
            </w:r>
            <w:r>
              <w:t xml:space="preserve"> </w:t>
            </w:r>
            <w:r w:rsidRPr="00980593">
              <w:t>2001–06</w:t>
            </w:r>
          </w:p>
        </w:tc>
        <w:tc>
          <w:tcPr>
            <w:tcW w:w="1630" w:type="dxa"/>
            <w:tcBorders>
              <w:top w:val="single" w:sz="4" w:space="0" w:color="auto"/>
              <w:left w:val="nil"/>
              <w:bottom w:val="single" w:sz="4" w:space="0" w:color="auto"/>
              <w:right w:val="nil"/>
            </w:tcBorders>
            <w:shd w:val="clear" w:color="auto" w:fill="auto"/>
            <w:noWrap/>
          </w:tcPr>
          <w:p w:rsidR="00DD09C1" w:rsidRPr="00980593" w:rsidRDefault="00DD09C1" w:rsidP="00DD09C1">
            <w:pPr>
              <w:pStyle w:val="Tablehead1"/>
              <w:jc w:val="center"/>
            </w:pPr>
            <w:r w:rsidRPr="00980593">
              <w:t>Tradespersons</w:t>
            </w:r>
            <w:r w:rsidRPr="00980593">
              <w:br/>
              <w:t>expected</w:t>
            </w:r>
          </w:p>
        </w:tc>
        <w:tc>
          <w:tcPr>
            <w:tcW w:w="1630" w:type="dxa"/>
            <w:tcBorders>
              <w:top w:val="single" w:sz="4" w:space="0" w:color="auto"/>
              <w:left w:val="nil"/>
              <w:bottom w:val="single" w:sz="4" w:space="0" w:color="auto"/>
              <w:right w:val="nil"/>
            </w:tcBorders>
            <w:shd w:val="clear" w:color="auto" w:fill="auto"/>
            <w:noWrap/>
          </w:tcPr>
          <w:p w:rsidR="00DD09C1" w:rsidRPr="00980593" w:rsidRDefault="00DD09C1" w:rsidP="00DD09C1">
            <w:pPr>
              <w:pStyle w:val="Tablehead1"/>
              <w:jc w:val="center"/>
            </w:pPr>
            <w:r w:rsidRPr="00980593">
              <w:t>Jobs</w:t>
            </w:r>
            <w:r w:rsidRPr="00980593">
              <w:br/>
              <w:t>actual</w:t>
            </w:r>
          </w:p>
        </w:tc>
        <w:tc>
          <w:tcPr>
            <w:tcW w:w="1630" w:type="dxa"/>
            <w:tcBorders>
              <w:top w:val="single" w:sz="4" w:space="0" w:color="auto"/>
              <w:left w:val="nil"/>
              <w:bottom w:val="single" w:sz="4" w:space="0" w:color="auto"/>
              <w:right w:val="nil"/>
            </w:tcBorders>
            <w:shd w:val="clear" w:color="auto" w:fill="auto"/>
            <w:noWrap/>
          </w:tcPr>
          <w:p w:rsidR="00DD09C1" w:rsidRPr="00980593" w:rsidRDefault="00DD09C1" w:rsidP="00DD09C1">
            <w:pPr>
              <w:pStyle w:val="Tablehead1"/>
              <w:jc w:val="center"/>
            </w:pPr>
            <w:r w:rsidRPr="00980593">
              <w:t>Difference</w:t>
            </w:r>
          </w:p>
        </w:tc>
      </w:tr>
      <w:tr w:rsidR="00DD09C1" w:rsidRPr="00980593">
        <w:trPr>
          <w:cantSplit/>
        </w:trPr>
        <w:tc>
          <w:tcPr>
            <w:tcW w:w="1985" w:type="dxa"/>
            <w:tcBorders>
              <w:top w:val="single" w:sz="4" w:space="0" w:color="auto"/>
              <w:left w:val="nil"/>
              <w:bottom w:val="nil"/>
              <w:right w:val="nil"/>
            </w:tcBorders>
            <w:shd w:val="clear" w:color="auto" w:fill="auto"/>
            <w:noWrap/>
          </w:tcPr>
          <w:p w:rsidR="00DD09C1" w:rsidRPr="00980593" w:rsidRDefault="00DD09C1" w:rsidP="00DD09C1">
            <w:pPr>
              <w:pStyle w:val="Tabletext"/>
            </w:pPr>
            <w:r w:rsidRPr="00980593">
              <w:t>Mining</w:t>
            </w:r>
          </w:p>
        </w:tc>
        <w:tc>
          <w:tcPr>
            <w:tcW w:w="1630" w:type="dxa"/>
            <w:tcBorders>
              <w:top w:val="single" w:sz="4" w:space="0" w:color="auto"/>
              <w:left w:val="nil"/>
              <w:bottom w:val="nil"/>
              <w:right w:val="nil"/>
            </w:tcBorders>
            <w:shd w:val="clear" w:color="auto" w:fill="auto"/>
            <w:noWrap/>
          </w:tcPr>
          <w:p w:rsidR="00DD09C1" w:rsidRPr="00980593" w:rsidRDefault="00DD09C1" w:rsidP="00DD09C1">
            <w:pPr>
              <w:pStyle w:val="Tabletext"/>
              <w:ind w:right="454"/>
              <w:jc w:val="right"/>
            </w:pPr>
            <w:r w:rsidRPr="00980593">
              <w:t>31</w:t>
            </w:r>
            <w:r>
              <w:t xml:space="preserve"> </w:t>
            </w:r>
            <w:r w:rsidRPr="00980593">
              <w:t>386</w:t>
            </w:r>
          </w:p>
        </w:tc>
        <w:tc>
          <w:tcPr>
            <w:tcW w:w="1630" w:type="dxa"/>
            <w:tcBorders>
              <w:top w:val="single" w:sz="4" w:space="0" w:color="auto"/>
              <w:left w:val="nil"/>
              <w:bottom w:val="nil"/>
              <w:right w:val="nil"/>
            </w:tcBorders>
            <w:shd w:val="clear" w:color="auto" w:fill="auto"/>
            <w:noWrap/>
          </w:tcPr>
          <w:p w:rsidR="00DD09C1" w:rsidRPr="00980593" w:rsidRDefault="00DD09C1" w:rsidP="00DD09C1">
            <w:pPr>
              <w:pStyle w:val="Tabletext"/>
              <w:ind w:right="482"/>
              <w:jc w:val="right"/>
            </w:pPr>
            <w:r w:rsidRPr="00980593">
              <w:t>6</w:t>
            </w:r>
            <w:r>
              <w:t xml:space="preserve"> </w:t>
            </w:r>
            <w:r w:rsidRPr="00980593">
              <w:t>629</w:t>
            </w:r>
          </w:p>
        </w:tc>
        <w:tc>
          <w:tcPr>
            <w:tcW w:w="1630" w:type="dxa"/>
            <w:tcBorders>
              <w:top w:val="single" w:sz="4" w:space="0" w:color="auto"/>
              <w:left w:val="nil"/>
              <w:bottom w:val="nil"/>
              <w:right w:val="nil"/>
            </w:tcBorders>
            <w:shd w:val="clear" w:color="auto" w:fill="auto"/>
            <w:noWrap/>
          </w:tcPr>
          <w:p w:rsidR="00DD09C1" w:rsidRPr="00980593" w:rsidRDefault="00DD09C1" w:rsidP="00DD09C1">
            <w:pPr>
              <w:pStyle w:val="Tabletext"/>
              <w:ind w:right="482"/>
              <w:jc w:val="right"/>
            </w:pPr>
            <w:r w:rsidRPr="00980593">
              <w:t>7</w:t>
            </w:r>
            <w:r>
              <w:t xml:space="preserve"> </w:t>
            </w:r>
            <w:r w:rsidRPr="00980593">
              <w:t>298</w:t>
            </w:r>
          </w:p>
        </w:tc>
        <w:tc>
          <w:tcPr>
            <w:tcW w:w="1630" w:type="dxa"/>
            <w:tcBorders>
              <w:top w:val="single" w:sz="4" w:space="0" w:color="auto"/>
              <w:left w:val="nil"/>
              <w:bottom w:val="nil"/>
              <w:right w:val="nil"/>
            </w:tcBorders>
            <w:shd w:val="clear" w:color="auto" w:fill="auto"/>
            <w:noWrap/>
          </w:tcPr>
          <w:p w:rsidR="00DD09C1" w:rsidRPr="00980593" w:rsidRDefault="00DD09C1" w:rsidP="00DD09C1">
            <w:pPr>
              <w:pStyle w:val="Tabletext"/>
              <w:ind w:right="510"/>
              <w:jc w:val="right"/>
            </w:pPr>
            <w:r>
              <w:t>-</w:t>
            </w:r>
            <w:r w:rsidRPr="00980593">
              <w:t>669</w:t>
            </w:r>
          </w:p>
        </w:tc>
      </w:tr>
      <w:tr w:rsidR="00DD09C1" w:rsidRPr="00980593">
        <w:trPr>
          <w:cantSplit/>
        </w:trPr>
        <w:tc>
          <w:tcPr>
            <w:tcW w:w="1985" w:type="dxa"/>
            <w:tcBorders>
              <w:top w:val="nil"/>
              <w:left w:val="nil"/>
              <w:bottom w:val="nil"/>
              <w:right w:val="nil"/>
            </w:tcBorders>
            <w:shd w:val="clear" w:color="auto" w:fill="auto"/>
            <w:noWrap/>
          </w:tcPr>
          <w:p w:rsidR="00DD09C1" w:rsidRPr="00980593" w:rsidRDefault="00DD09C1" w:rsidP="00DD09C1">
            <w:pPr>
              <w:pStyle w:val="Tabletext"/>
            </w:pPr>
            <w:r w:rsidRPr="00980593">
              <w:t>Manufacturing</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54"/>
              <w:jc w:val="right"/>
            </w:pPr>
            <w:r w:rsidRPr="00980593">
              <w:t>-12</w:t>
            </w:r>
            <w:r>
              <w:t xml:space="preserve"> </w:t>
            </w:r>
            <w:r w:rsidRPr="00980593">
              <w:t>053</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82"/>
              <w:jc w:val="right"/>
            </w:pPr>
            <w:r w:rsidRPr="00980593">
              <w:t>-3</w:t>
            </w:r>
            <w:r>
              <w:t xml:space="preserve"> </w:t>
            </w:r>
            <w:r w:rsidRPr="00980593">
              <w:t>025</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82"/>
              <w:jc w:val="right"/>
            </w:pPr>
            <w:r w:rsidRPr="00980593">
              <w:t>-11</w:t>
            </w:r>
            <w:r>
              <w:t xml:space="preserve"> </w:t>
            </w:r>
            <w:r w:rsidRPr="00980593">
              <w:t>429</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510"/>
              <w:jc w:val="right"/>
            </w:pPr>
            <w:r w:rsidRPr="00980593">
              <w:t>8</w:t>
            </w:r>
            <w:r>
              <w:t xml:space="preserve"> </w:t>
            </w:r>
            <w:r w:rsidRPr="00980593">
              <w:t>404</w:t>
            </w:r>
          </w:p>
        </w:tc>
      </w:tr>
      <w:tr w:rsidR="00DD09C1" w:rsidRPr="00980593">
        <w:trPr>
          <w:cantSplit/>
        </w:trPr>
        <w:tc>
          <w:tcPr>
            <w:tcW w:w="1985" w:type="dxa"/>
            <w:tcBorders>
              <w:top w:val="nil"/>
              <w:left w:val="nil"/>
              <w:bottom w:val="nil"/>
              <w:right w:val="nil"/>
            </w:tcBorders>
            <w:shd w:val="clear" w:color="auto" w:fill="auto"/>
            <w:noWrap/>
          </w:tcPr>
          <w:p w:rsidR="00DD09C1" w:rsidRPr="00980593" w:rsidRDefault="00DD09C1" w:rsidP="00DD09C1">
            <w:pPr>
              <w:pStyle w:val="Tabletext"/>
            </w:pPr>
            <w:r w:rsidRPr="00980593">
              <w:t xml:space="preserve">Electricity etc. </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54"/>
              <w:jc w:val="right"/>
            </w:pPr>
            <w:r w:rsidRPr="00980593">
              <w:t>10</w:t>
            </w:r>
            <w:r>
              <w:t xml:space="preserve"> </w:t>
            </w:r>
            <w:r w:rsidRPr="00980593">
              <w:t>116</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82"/>
              <w:jc w:val="right"/>
            </w:pPr>
            <w:r w:rsidRPr="00980593">
              <w:t>2</w:t>
            </w:r>
            <w:r>
              <w:t xml:space="preserve"> </w:t>
            </w:r>
            <w:r w:rsidRPr="00980593">
              <w:t>591</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482"/>
              <w:jc w:val="right"/>
            </w:pPr>
            <w:r w:rsidRPr="00980593">
              <w:t>2</w:t>
            </w:r>
            <w:r>
              <w:t xml:space="preserve"> </w:t>
            </w:r>
            <w:r w:rsidRPr="00980593">
              <w:t>184</w:t>
            </w:r>
          </w:p>
        </w:tc>
        <w:tc>
          <w:tcPr>
            <w:tcW w:w="1630" w:type="dxa"/>
            <w:tcBorders>
              <w:top w:val="nil"/>
              <w:left w:val="nil"/>
              <w:bottom w:val="nil"/>
              <w:right w:val="nil"/>
            </w:tcBorders>
            <w:shd w:val="clear" w:color="auto" w:fill="auto"/>
            <w:noWrap/>
          </w:tcPr>
          <w:p w:rsidR="00DD09C1" w:rsidRPr="00980593" w:rsidRDefault="00DD09C1" w:rsidP="00DD09C1">
            <w:pPr>
              <w:pStyle w:val="Tabletext"/>
              <w:ind w:right="510"/>
              <w:jc w:val="right"/>
            </w:pPr>
            <w:r w:rsidRPr="00980593">
              <w:t>407</w:t>
            </w:r>
          </w:p>
        </w:tc>
      </w:tr>
      <w:tr w:rsidR="00DD09C1" w:rsidRPr="00980593">
        <w:trPr>
          <w:cantSplit/>
        </w:trPr>
        <w:tc>
          <w:tcPr>
            <w:tcW w:w="1985" w:type="dxa"/>
            <w:tcBorders>
              <w:top w:val="nil"/>
              <w:left w:val="nil"/>
              <w:right w:val="nil"/>
            </w:tcBorders>
            <w:shd w:val="clear" w:color="auto" w:fill="auto"/>
            <w:noWrap/>
          </w:tcPr>
          <w:p w:rsidR="00DD09C1" w:rsidRPr="00980593" w:rsidRDefault="00DD09C1" w:rsidP="00DD09C1">
            <w:pPr>
              <w:pStyle w:val="Tabletext"/>
            </w:pPr>
            <w:r w:rsidRPr="00980593">
              <w:t>Construction</w:t>
            </w:r>
          </w:p>
        </w:tc>
        <w:tc>
          <w:tcPr>
            <w:tcW w:w="1630" w:type="dxa"/>
            <w:tcBorders>
              <w:top w:val="nil"/>
              <w:left w:val="nil"/>
              <w:right w:val="nil"/>
            </w:tcBorders>
            <w:shd w:val="clear" w:color="auto" w:fill="auto"/>
            <w:noWrap/>
          </w:tcPr>
          <w:p w:rsidR="00DD09C1" w:rsidRPr="00980593" w:rsidRDefault="00DD09C1" w:rsidP="00DD09C1">
            <w:pPr>
              <w:pStyle w:val="Tabletext"/>
              <w:ind w:right="454"/>
              <w:jc w:val="right"/>
            </w:pPr>
            <w:r w:rsidRPr="00980593">
              <w:t>146</w:t>
            </w:r>
            <w:r>
              <w:t xml:space="preserve"> </w:t>
            </w:r>
            <w:r w:rsidRPr="00980593">
              <w:t>357</w:t>
            </w:r>
          </w:p>
        </w:tc>
        <w:tc>
          <w:tcPr>
            <w:tcW w:w="1630" w:type="dxa"/>
            <w:tcBorders>
              <w:top w:val="nil"/>
              <w:left w:val="nil"/>
              <w:right w:val="nil"/>
            </w:tcBorders>
            <w:shd w:val="clear" w:color="auto" w:fill="auto"/>
            <w:noWrap/>
          </w:tcPr>
          <w:p w:rsidR="00DD09C1" w:rsidRPr="00980593" w:rsidRDefault="00DD09C1" w:rsidP="00DD09C1">
            <w:pPr>
              <w:pStyle w:val="Tabletext"/>
              <w:ind w:right="482"/>
              <w:jc w:val="right"/>
            </w:pPr>
            <w:r w:rsidRPr="00980593">
              <w:t>70</w:t>
            </w:r>
            <w:r>
              <w:t xml:space="preserve"> </w:t>
            </w:r>
            <w:r w:rsidRPr="00980593">
              <w:t>130</w:t>
            </w:r>
          </w:p>
        </w:tc>
        <w:tc>
          <w:tcPr>
            <w:tcW w:w="1630" w:type="dxa"/>
            <w:tcBorders>
              <w:top w:val="nil"/>
              <w:left w:val="nil"/>
              <w:right w:val="nil"/>
            </w:tcBorders>
            <w:shd w:val="clear" w:color="auto" w:fill="auto"/>
            <w:noWrap/>
          </w:tcPr>
          <w:p w:rsidR="00DD09C1" w:rsidRPr="00980593" w:rsidRDefault="00DD09C1" w:rsidP="00DD09C1">
            <w:pPr>
              <w:pStyle w:val="Tabletext"/>
              <w:ind w:right="482"/>
              <w:jc w:val="right"/>
            </w:pPr>
            <w:r w:rsidRPr="00980593">
              <w:t>60</w:t>
            </w:r>
            <w:r>
              <w:t xml:space="preserve"> </w:t>
            </w:r>
            <w:r w:rsidRPr="00980593">
              <w:t>750</w:t>
            </w:r>
          </w:p>
        </w:tc>
        <w:tc>
          <w:tcPr>
            <w:tcW w:w="1630" w:type="dxa"/>
            <w:tcBorders>
              <w:top w:val="nil"/>
              <w:left w:val="nil"/>
              <w:right w:val="nil"/>
            </w:tcBorders>
            <w:shd w:val="clear" w:color="auto" w:fill="auto"/>
            <w:noWrap/>
          </w:tcPr>
          <w:p w:rsidR="00DD09C1" w:rsidRPr="00980593" w:rsidRDefault="00DD09C1" w:rsidP="00DD09C1">
            <w:pPr>
              <w:pStyle w:val="Tabletext"/>
              <w:ind w:right="510"/>
              <w:jc w:val="right"/>
            </w:pPr>
            <w:r w:rsidRPr="00980593">
              <w:t>9</w:t>
            </w:r>
            <w:r>
              <w:t xml:space="preserve"> </w:t>
            </w:r>
            <w:r w:rsidRPr="00980593">
              <w:t>380</w:t>
            </w:r>
          </w:p>
        </w:tc>
      </w:tr>
      <w:tr w:rsidR="00DD09C1" w:rsidRPr="00980593">
        <w:trPr>
          <w:cantSplit/>
        </w:trPr>
        <w:tc>
          <w:tcPr>
            <w:tcW w:w="1985" w:type="dxa"/>
            <w:tcBorders>
              <w:top w:val="nil"/>
              <w:left w:val="nil"/>
              <w:bottom w:val="single" w:sz="4" w:space="0" w:color="auto"/>
              <w:right w:val="nil"/>
            </w:tcBorders>
            <w:shd w:val="clear" w:color="auto" w:fill="auto"/>
            <w:noWrap/>
          </w:tcPr>
          <w:p w:rsidR="00DD09C1" w:rsidRPr="00980593" w:rsidRDefault="00DD09C1" w:rsidP="00DD09C1">
            <w:pPr>
              <w:pStyle w:val="Tabletext"/>
              <w:spacing w:after="40"/>
            </w:pPr>
            <w:r w:rsidRPr="00980593">
              <w:t xml:space="preserve">Personal &amp; other </w:t>
            </w:r>
          </w:p>
        </w:tc>
        <w:tc>
          <w:tcPr>
            <w:tcW w:w="1630" w:type="dxa"/>
            <w:tcBorders>
              <w:top w:val="nil"/>
              <w:left w:val="nil"/>
              <w:bottom w:val="single" w:sz="4" w:space="0" w:color="auto"/>
              <w:right w:val="nil"/>
            </w:tcBorders>
            <w:shd w:val="clear" w:color="auto" w:fill="auto"/>
            <w:noWrap/>
          </w:tcPr>
          <w:p w:rsidR="00DD09C1" w:rsidRPr="00980593" w:rsidRDefault="00DD09C1" w:rsidP="00DD09C1">
            <w:pPr>
              <w:pStyle w:val="Tabletext"/>
              <w:spacing w:after="40"/>
              <w:ind w:right="454"/>
              <w:jc w:val="right"/>
            </w:pPr>
            <w:r w:rsidRPr="00980593">
              <w:t>23</w:t>
            </w:r>
            <w:r>
              <w:t xml:space="preserve"> </w:t>
            </w:r>
            <w:r w:rsidRPr="00980593">
              <w:t>285</w:t>
            </w:r>
          </w:p>
        </w:tc>
        <w:tc>
          <w:tcPr>
            <w:tcW w:w="1630" w:type="dxa"/>
            <w:tcBorders>
              <w:top w:val="nil"/>
              <w:left w:val="nil"/>
              <w:bottom w:val="single" w:sz="4" w:space="0" w:color="auto"/>
              <w:right w:val="nil"/>
            </w:tcBorders>
            <w:shd w:val="clear" w:color="auto" w:fill="auto"/>
            <w:noWrap/>
          </w:tcPr>
          <w:p w:rsidR="00DD09C1" w:rsidRPr="00980593" w:rsidRDefault="00DD09C1" w:rsidP="00DD09C1">
            <w:pPr>
              <w:pStyle w:val="Tabletext"/>
              <w:spacing w:after="40"/>
              <w:ind w:right="482"/>
              <w:jc w:val="right"/>
            </w:pPr>
            <w:r w:rsidRPr="00980593">
              <w:t>5</w:t>
            </w:r>
            <w:r>
              <w:t xml:space="preserve"> </w:t>
            </w:r>
            <w:r w:rsidRPr="00980593">
              <w:t>402</w:t>
            </w:r>
          </w:p>
        </w:tc>
        <w:tc>
          <w:tcPr>
            <w:tcW w:w="1630" w:type="dxa"/>
            <w:tcBorders>
              <w:top w:val="nil"/>
              <w:left w:val="nil"/>
              <w:bottom w:val="single" w:sz="4" w:space="0" w:color="auto"/>
              <w:right w:val="nil"/>
            </w:tcBorders>
            <w:shd w:val="clear" w:color="auto" w:fill="auto"/>
            <w:noWrap/>
          </w:tcPr>
          <w:p w:rsidR="00DD09C1" w:rsidRPr="00980593" w:rsidRDefault="00DD09C1" w:rsidP="00DD09C1">
            <w:pPr>
              <w:pStyle w:val="Tabletext"/>
              <w:spacing w:after="40"/>
              <w:ind w:right="482"/>
              <w:jc w:val="right"/>
            </w:pPr>
            <w:r w:rsidRPr="00980593">
              <w:t>4</w:t>
            </w:r>
            <w:r>
              <w:t xml:space="preserve"> </w:t>
            </w:r>
            <w:r w:rsidRPr="00980593">
              <w:t>560</w:t>
            </w:r>
          </w:p>
        </w:tc>
        <w:tc>
          <w:tcPr>
            <w:tcW w:w="1630" w:type="dxa"/>
            <w:tcBorders>
              <w:top w:val="nil"/>
              <w:left w:val="nil"/>
              <w:bottom w:val="single" w:sz="4" w:space="0" w:color="auto"/>
              <w:right w:val="nil"/>
            </w:tcBorders>
            <w:shd w:val="clear" w:color="auto" w:fill="auto"/>
            <w:noWrap/>
          </w:tcPr>
          <w:p w:rsidR="00DD09C1" w:rsidRPr="00980593" w:rsidRDefault="00DD09C1" w:rsidP="00DD09C1">
            <w:pPr>
              <w:pStyle w:val="Tabletext"/>
              <w:spacing w:after="40"/>
              <w:ind w:right="510"/>
              <w:jc w:val="right"/>
            </w:pPr>
            <w:r w:rsidRPr="00980593">
              <w:t>842</w:t>
            </w:r>
          </w:p>
        </w:tc>
      </w:tr>
    </w:tbl>
    <w:p w:rsidR="00DD09C1" w:rsidRDefault="00DD09C1" w:rsidP="00DD09C1">
      <w:pPr>
        <w:pStyle w:val="Source"/>
        <w:rPr>
          <w:lang w:val="en-US"/>
        </w:rPr>
      </w:pPr>
      <w:r w:rsidRPr="00465137">
        <w:rPr>
          <w:lang w:val="en-US"/>
        </w:rPr>
        <w:t>Source:</w:t>
      </w:r>
      <w:r>
        <w:rPr>
          <w:lang w:val="en-US"/>
        </w:rPr>
        <w:tab/>
        <w:t xml:space="preserve">Census of Population and Housing 1996, 2006 (unpublished). </w:t>
      </w:r>
    </w:p>
    <w:p w:rsidR="00DD09C1" w:rsidRDefault="00DD09C1" w:rsidP="00DD09C1">
      <w:pPr>
        <w:pStyle w:val="text-moreb4"/>
        <w:rPr>
          <w:b/>
          <w:lang w:val="en-US"/>
        </w:rPr>
      </w:pPr>
      <w:r>
        <w:rPr>
          <w:lang w:val="en-US"/>
        </w:rPr>
        <w:t xml:space="preserve">The most significant shortage of tradespersons is estimated to have been in the construction industry. This industry had strong consistent growth during the boom in the economy and it seems it had some difficulty attracting sufficient tradespersons to the industry. The shortage of tradespersons in this industry is estimated to have been 9380 in 2006, or almost 3% of the total employment of construction tradespersons. This is expected to have represented a relatively modest deskilling of the industry, as skilled </w:t>
      </w:r>
      <w:proofErr w:type="spellStart"/>
      <w:r>
        <w:rPr>
          <w:lang w:val="en-US"/>
        </w:rPr>
        <w:t>labour</w:t>
      </w:r>
      <w:proofErr w:type="spellEnd"/>
      <w:r>
        <w:rPr>
          <w:lang w:val="en-US"/>
        </w:rPr>
        <w:t xml:space="preserve"> was partly substituted by unskilled </w:t>
      </w:r>
      <w:proofErr w:type="spellStart"/>
      <w:r>
        <w:rPr>
          <w:lang w:val="en-US"/>
        </w:rPr>
        <w:t>labour</w:t>
      </w:r>
      <w:proofErr w:type="spellEnd"/>
      <w:r>
        <w:rPr>
          <w:lang w:val="en-US"/>
        </w:rPr>
        <w:t>.</w:t>
      </w:r>
    </w:p>
    <w:p w:rsidR="00DD09C1" w:rsidRDefault="00DD09C1" w:rsidP="00DD09C1">
      <w:pPr>
        <w:pStyle w:val="text0"/>
        <w:rPr>
          <w:lang w:val="en-US"/>
        </w:rPr>
      </w:pPr>
      <w:r>
        <w:rPr>
          <w:lang w:val="en-US"/>
        </w:rPr>
        <w:t xml:space="preserve">The electricity, gas and water industry and the personal services and other industries also suffered relatively minor shortages, about 2% and 1%, respectively, of tradespersons. </w:t>
      </w:r>
    </w:p>
    <w:p w:rsidR="00DD09C1" w:rsidRPr="006D70FF" w:rsidRDefault="00DD09C1" w:rsidP="00DD09C1">
      <w:pPr>
        <w:pStyle w:val="text0"/>
        <w:rPr>
          <w:b/>
          <w:lang w:val="en-US"/>
        </w:rPr>
      </w:pPr>
      <w:r>
        <w:rPr>
          <w:lang w:val="en-US"/>
        </w:rPr>
        <w:t xml:space="preserve">The mining industry, on the other hand, was able to attract more than the number of tradespersons it might be expected to attract on the basis of normal skills mix, about 3% of the tradesperson workforce in mining. It is doubtful whether the technology of mining would have changed over the period up to 2006 such that it would require a greater percentage of skilled workers. The growth in employment of tradespersons therefore implies some tradespersons might have been taking advantage of opportunities available in less-skilled jobs. </w:t>
      </w:r>
    </w:p>
    <w:p w:rsidR="00DD09C1" w:rsidRDefault="00DD09C1" w:rsidP="00DD09C1">
      <w:pPr>
        <w:pStyle w:val="text0"/>
        <w:ind w:right="-293"/>
        <w:rPr>
          <w:lang w:val="en-US"/>
        </w:rPr>
      </w:pPr>
      <w:r>
        <w:rPr>
          <w:lang w:val="en-US"/>
        </w:rPr>
        <w:t>Manufacturing, given its decline in total employment, would have been expected to reduce its employment of tradespersons by about 3000, but it actually reduced its employment by over 11 000, or 4.5% of tradespersons employed in manufacturing. This may have been due to significant technological change, reducing the demand for tradespersons in manufacturing or the inability of manufacturing employers to recruit or retain tradespersons, particularly given growing demand in other industries. In either case there was significant deskilling of the manufacturing workforce.</w:t>
      </w:r>
    </w:p>
    <w:p w:rsidR="00DD09C1" w:rsidRPr="00194DC0" w:rsidRDefault="00DD09C1" w:rsidP="00DD09C1">
      <w:pPr>
        <w:pStyle w:val="text0"/>
        <w:rPr>
          <w:lang w:val="en-US"/>
        </w:rPr>
      </w:pPr>
      <w:r>
        <w:rPr>
          <w:lang w:val="en-US"/>
        </w:rPr>
        <w:t xml:space="preserve">Another way of examining the extent of excess demand and supply is to examine a lower level of aggregation. The statistical local area (SLA) </w:t>
      </w:r>
      <w:r w:rsidRPr="00333703">
        <w:t xml:space="preserve">is a </w:t>
      </w:r>
      <w:r>
        <w:t xml:space="preserve">spatial unit </w:t>
      </w:r>
      <w:r w:rsidRPr="00333703">
        <w:t>used</w:t>
      </w:r>
      <w:r>
        <w:t xml:space="preserve"> by the ABS</w:t>
      </w:r>
      <w:r w:rsidRPr="00333703">
        <w:t xml:space="preserve"> to collect and </w:t>
      </w:r>
      <w:r>
        <w:t xml:space="preserve">analyse </w:t>
      </w:r>
      <w:r w:rsidRPr="00333703">
        <w:t xml:space="preserve">statistics </w:t>
      </w:r>
      <w:r>
        <w:t xml:space="preserve">from </w:t>
      </w:r>
      <w:r w:rsidRPr="00333703">
        <w:t xml:space="preserve">other </w:t>
      </w:r>
      <w:r>
        <w:t xml:space="preserve">sources, as well as </w:t>
      </w:r>
      <w:r w:rsidRPr="00333703">
        <w:t>those collected</w:t>
      </w:r>
      <w:r>
        <w:t xml:space="preserve"> from the censuses. In non-c</w:t>
      </w:r>
      <w:r w:rsidRPr="0084664D">
        <w:t xml:space="preserve">ensus years, the SLA is the smallest unit defined in the </w:t>
      </w:r>
      <w:r>
        <w:t xml:space="preserve">Standard Geographical Classification (ASGC) Section of </w:t>
      </w:r>
      <w:r>
        <w:lastRenderedPageBreak/>
        <w:t xml:space="preserve">State Structure. There are over 1300 SLAs and they </w:t>
      </w:r>
      <w:r w:rsidRPr="0084664D">
        <w:t>c</w:t>
      </w:r>
      <w:r>
        <w:t xml:space="preserve">over the whole of Australia </w:t>
      </w:r>
      <w:r w:rsidRPr="0084664D">
        <w:t>wi</w:t>
      </w:r>
      <w:r>
        <w:t>thout gaps or overlaps. These data can be aggregated to any level, including region, state or Australia as a whole and can be cross-tabulated by variable, state and region. They also allow statistical cross-section modelling, which will be the subject of a forthcoming NCVER paper. People can be enumerated by the SLAs in which they live or where they work. Since the question of relevance here is employment adjustment, the SLA where people work is used as the unit of observation. There are over 800 SLAs defined as places of work compared with the much greater number defined where people live. Demand and supply of tradespersons are calculated in the same way as above.</w:t>
      </w:r>
    </w:p>
    <w:p w:rsidR="00DD09C1" w:rsidRDefault="00631943" w:rsidP="00DD09C1">
      <w:pPr>
        <w:pStyle w:val="Figuretitle"/>
      </w:pPr>
      <w:bookmarkStart w:id="82" w:name="_Toc241393339"/>
      <w:bookmarkStart w:id="83" w:name="_Toc139109123"/>
      <w:r w:rsidRPr="00631943">
        <w:rPr>
          <w:noProof/>
          <w:lang w:val="en-US"/>
        </w:rPr>
        <w:pict>
          <v:group id="_x0000_s4791" style="position:absolute;left:0;text-align:left;margin-left:-11.95pt;margin-top:37.75pt;width:474.75pt;height:266.65pt;z-index:251651584" coordorigin="1746,4437" coordsize="8800,5333" wrapcoords="-36 849 -36 18384 15381 19294 15381 19658 18067 19658 18067 17716 17993 17534 17699 17352 17699 849 -36 849">
            <v:shapetype id="_x0000_t202" coordsize="21600,21600" o:spt="202" path="m,l,21600r21600,l21600,xe">
              <v:stroke joinstyle="miter"/>
              <v:path gradientshapeok="t" o:connecttype="rect"/>
            </v:shapetype>
            <v:shape id="_x0000_s4784" type="#_x0000_t202" style="position:absolute;left:1988;top:4437;width:976;height:667;mso-wrap-edited:f" wrapcoords="0 0 21600 0 21600 21600 0 21600 0 0" o:regroupid="1" filled="f" stroked="f">
              <v:fill o:detectmouseclick="t"/>
              <v:textbox style="mso-next-textbox:#_x0000_s4784" inset="0,0,0,0">
                <w:txbxContent>
                  <w:p w:rsidR="00DD09C1" w:rsidRPr="006B7C2E" w:rsidRDefault="00DD09C1" w:rsidP="00DD09C1">
                    <w:pPr>
                      <w:pStyle w:val="Tablehead1"/>
                      <w:spacing w:before="0"/>
                    </w:pPr>
                    <w:r w:rsidRPr="00192E92">
                      <w:t>Demand</w:t>
                    </w:r>
                  </w:p>
                  <w:p w:rsidR="00DD09C1" w:rsidRDefault="00DD09C1"/>
                </w:txbxContent>
              </v:textbox>
            </v:shape>
            <v:group id="_x0000_s4790" style="position:absolute;left:1746;top:4653;width:8800;height:5117" coordorigin="1746,4653" coordsize="8800,5117" o:regroupid="1">
              <v:shape id="_x0000_s1030" type="#_x0000_t75" style="position:absolute;left:1746;top:4653;width:8800;height:5117;mso-wrap-edited:f" o:preferrelative="f" wrapcoords="0 0 21599 0 21599 21600 0 21600 0 0" o:regroupid="2">
                <v:fill o:detectmouseclick="t"/>
                <v:path o:extrusionok="t" o:connecttype="none"/>
                <o:lock v:ext="edit" text="t"/>
              </v:shape>
              <v:group id="_x0000_s1031" style="position:absolute;left:1746;top:4660;width:7200;height:4320" coordorigin="7,7" coordsize="7200,4320" wrapcoords="-45 0 -45 21450 21600 21450 21600 0 -45 0" o:regroupid="2">
                <v:rect id="_x0000_s1032" style="position:absolute;left:7;top:7;width:7200;height:4320" stroked="f"/>
                <v:rect id="_x0000_s1033" style="position:absolute;left:817;top:232;width:5970;height:3450" stroked="f"/>
                <v:rect id="_x0000_s1034" style="position:absolute;left:817;top:225;width:15;height:3450" fillcolor="#868686" strokecolor="#868686" strokeweight="42e-5mm">
                  <v:stroke joinstyle="bevel"/>
                </v:rect>
                <v:shape id="_x0000_s1035" style="position:absolute;left:750;top:217;width:75;height:3465" coordsize="75,3465" path="m,3450r75,l75,3465r-75,l,3450xm,2880r75,l75,2895r-75,l,2880xm,2310r75,l75,2325r-75,l,2310xm,1725r75,l75,1740r-75,l,1725xm,1155r75,l75,1170r-75,l,1155xm,585r75,l75,600,,600,,585xm,l75,r,15l,15,,xe" fillcolor="#868686" strokecolor="#868686" strokeweight="42e-5mm">
                  <v:stroke joinstyle="bevel"/>
                  <v:path arrowok="t"/>
                  <o:lock v:ext="edit" verticies="t"/>
                </v:shape>
                <v:rect id="_x0000_s1036" style="position:absolute;left:825;top:3667;width:5955;height:15" fillcolor="#868686" strokecolor="#868686" strokeweight="42e-5mm">
                  <v:stroke joinstyle="bevel"/>
                </v:rect>
                <v:shape id="_x0000_s1037" style="position:absolute;left:817;top:3675;width:5970;height:60" coordsize="5970,60" path="m15,r,60l,60,,,15,xm1005,r,60l990,60,990,r15,xm1995,r,60l1980,60r,-60l1995,xm2985,r,60l2970,60r,-60l2985,xm3990,r,60l3975,60r,-60l3990,xm4980,r,60l4965,60r,-60l4980,xm5970,r,60l5955,60r,-60l5970,xe" fillcolor="#868686" strokecolor="#868686" strokeweight="42e-5mm">
                  <v:stroke joinstyle="bevel"/>
                  <v:path arrowok="t"/>
                  <o:lock v:ext="edit" verticies="t"/>
                </v:shape>
                <v:oval id="_x0000_s1038" style="position:absolute;left:2400;top:1965;width:60;height:60" fillcolor="#4f81bd" strokeweight="0"/>
                <v:shape id="_x0000_s1039" style="position:absolute;left:2392;top:19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40" style="position:absolute;left:3465;top:1125;width:60;height:60" fillcolor="#4f81bd" strokeweight="0"/>
                <v:shape id="_x0000_s1041" style="position:absolute;left:3457;top:11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42" style="position:absolute;left:4890;top:1170;width:60;height:60" fillcolor="#4f81bd" strokeweight="0"/>
                <v:shape id="_x0000_s1043" style="position:absolute;left:4882;top:11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44" style="position:absolute;left:1005;top:3450;width:60;height:60" fillcolor="#4f81bd" strokeweight="0"/>
                <v:shape id="_x0000_s1045" style="position:absolute;left:99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46" style="position:absolute;left:1020;top:3540;width:60;height:60" fillcolor="#4f81bd" strokeweight="0"/>
                <v:shape id="_x0000_s1047" style="position:absolute;left:101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48" style="position:absolute;left:1875;top:2790;width:60;height:60" fillcolor="#4f81bd" strokeweight="0"/>
                <v:shape id="_x0000_s1049" style="position:absolute;left:1867;top:27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50" style="position:absolute;left:2415;top:2955;width:60;height:60" fillcolor="#4f81bd" strokeweight="0"/>
                <v:shape id="_x0000_s1051" style="position:absolute;left:2407;top:29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52" style="position:absolute;left:3330;top:2445;width:60;height:60" fillcolor="#4f81bd" strokeweight="0"/>
                <v:shape id="_x0000_s1053" style="position:absolute;left:3322;top:24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54" style="position:absolute;left:1305;top:2985;width:60;height:60" fillcolor="#4f81bd" strokeweight="0"/>
                <v:shape id="_x0000_s1055" style="position:absolute;left:1297;top:29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56" style="position:absolute;left:2265;top:1110;width:60;height:60" fillcolor="#4f81bd" strokeweight="0"/>
                <v:shape id="_x0000_s1057" style="position:absolute;left:2257;top:11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58" style="position:absolute;left:3015;top:2700;width:60;height:60" fillcolor="#4f81bd" strokeweight="0"/>
                <v:shape id="_x0000_s1059" style="position:absolute;left:3007;top:26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60" style="position:absolute;left:2370;top:1365;width:60;height:60" fillcolor="#4f81bd" strokeweight="0"/>
                <v:shape id="_x0000_s1061" style="position:absolute;left:2362;top:13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62" style="position:absolute;left:2760;top:2085;width:60;height:60" fillcolor="#4f81bd" strokeweight="0"/>
                <v:shape id="_x0000_s1063" style="position:absolute;left:2752;top:20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64" style="position:absolute;left:2415;top:2850;width:60;height:60" fillcolor="#4f81bd" strokeweight="0"/>
                <v:shape id="_x0000_s1065" style="position:absolute;left:2407;top:28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66" style="position:absolute;left:2190;top:2505;width:60;height:60" fillcolor="#4f81bd" strokeweight="0"/>
                <v:shape id="_x0000_s1067" style="position:absolute;left:2182;top:24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68" style="position:absolute;left:1995;top:2790;width:60;height:60" fillcolor="#4f81bd" strokeweight="0"/>
                <v:shape id="_x0000_s1069" style="position:absolute;left:1987;top:27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70" style="position:absolute;left:1080;top:3525;width:60;height:60" fillcolor="#4f81bd" strokeweight="0"/>
                <v:shape id="_x0000_s1071" style="position:absolute;left:107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72" style="position:absolute;left:960;top:3315;width:60;height:60" fillcolor="#4f81bd" strokeweight="0"/>
                <v:shape id="_x0000_s1073" style="position:absolute;left:95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74" style="position:absolute;left:1275;top:3405;width:60;height:60" fillcolor="#4f81bd" strokeweight="0"/>
                <v:shape id="_x0000_s1075" style="position:absolute;left:126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76" style="position:absolute;left:1035;top:3015;width:60;height:60" fillcolor="#4f81bd" strokeweight="0"/>
                <v:shape id="_x0000_s1077" style="position:absolute;left:1027;top:30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78" style="position:absolute;left:3015;top:2265;width:60;height:60" fillcolor="#4f81bd" strokeweight="0"/>
                <v:shape id="_x0000_s1079" style="position:absolute;left:3007;top:22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80" style="position:absolute;left:2565;top:2565;width:60;height:60" fillcolor="#4f81bd" strokeweight="0"/>
                <v:shape id="_x0000_s1081" style="position:absolute;left:2557;top:25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82" style="position:absolute;left:1140;top:3360;width:60;height:60" fillcolor="#4f81bd" strokeweight="0"/>
                <v:shape id="_x0000_s1083" style="position:absolute;left:1132;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84" style="position:absolute;left:1155;top:3165;width:60;height:60" fillcolor="#4f81bd" strokeweight="0"/>
                <v:shape id="_x0000_s1085" style="position:absolute;left:1147;top:31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86" style="position:absolute;left:1335;top:3270;width:60;height:60" fillcolor="#4f81bd" strokeweight="0"/>
                <v:shape id="_x0000_s1087" style="position:absolute;left:132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88" style="position:absolute;left:2610;top:2415;width:60;height:60" fillcolor="#4f81bd" strokeweight="0"/>
                <v:shape id="_x0000_s1089" style="position:absolute;left:2602;top:24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90" style="position:absolute;left:1590;top:2820;width:60;height:60" fillcolor="#4f81bd" strokeweight="0"/>
                <v:shape id="_x0000_s1091" style="position:absolute;left:1582;top:28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92" style="position:absolute;left:1800;top:2970;width:60;height:60" fillcolor="#4f81bd" strokeweight="0"/>
                <v:shape id="_x0000_s1093" style="position:absolute;left:1792;top:29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94" style="position:absolute;left:825;top:3630;width:60;height:60" fillcolor="#4f81bd" strokeweight="0"/>
                <v:shape id="_x0000_s1095"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96" style="position:absolute;left:1245;top:3375;width:60;height:60" fillcolor="#4f81bd" strokeweight="0"/>
                <v:shape id="_x0000_s1097" style="position:absolute;left:1237;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098" style="position:absolute;left:855;top:3555;width:60;height:60" fillcolor="#4f81bd" strokeweight="0"/>
                <v:shape id="_x0000_s1099" style="position:absolute;left:84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00" style="position:absolute;left:1680;top:3180;width:60;height:60" fillcolor="#4f81bd" strokeweight="0"/>
                <v:shape id="_x0000_s1101" style="position:absolute;left:1672;top:31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02" style="position:absolute;left:840;top:3540;width:60;height:60" fillcolor="#4f81bd" strokeweight="0"/>
                <v:shape id="_x0000_s1103" style="position:absolute;left:83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04" style="position:absolute;left:930;top:3540;width:60;height:60" fillcolor="#4f81bd" strokeweight="0"/>
                <v:shape id="_x0000_s1105" style="position:absolute;left:92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06" style="position:absolute;left:1395;top:3345;width:60;height:60" fillcolor="#4f81bd" strokeweight="0"/>
                <v:shape id="_x0000_s1107" style="position:absolute;left:1387;top:33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08" style="position:absolute;left:1005;top:3510;width:60;height:60" fillcolor="#4f81bd" strokeweight="0"/>
                <v:shape id="_x0000_s1109" style="position:absolute;left:99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10" style="position:absolute;left:945;top:3495;width:60;height:60" fillcolor="#4f81bd" strokeweight="0"/>
                <v:shape id="_x0000_s1111" style="position:absolute;left:93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12" style="position:absolute;left:915;top:3555;width:60;height:60" fillcolor="#4f81bd" strokeweight="0"/>
                <v:shape id="_x0000_s1113" style="position:absolute;left:90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14" style="position:absolute;left:1365;top:3240;width:60;height:60" fillcolor="#4f81bd" strokeweight="0"/>
                <v:shape id="_x0000_s1115" style="position:absolute;left:1357;top:32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16" style="position:absolute;left:1395;top:3285;width:60;height:60" fillcolor="#4f81bd" strokeweight="0"/>
                <v:shape id="_x0000_s1117" style="position:absolute;left:1387;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18" style="position:absolute;left:2820;top:2430;width:60;height:60" fillcolor="#4f81bd" strokeweight="0"/>
                <v:shape id="_x0000_s1119" style="position:absolute;left:2812;top:24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20" style="position:absolute;left:810;top:3480;width:60;height:60" fillcolor="#4f81bd" strokeweight="0"/>
                <v:shape id="_x0000_s1121" style="position:absolute;left:80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22" style="position:absolute;left:930;top:3540;width:60;height:60" fillcolor="#4f81bd" strokeweight="0"/>
                <v:shape id="_x0000_s1123" style="position:absolute;left:92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24" style="position:absolute;left:1035;top:3480;width:60;height:60" fillcolor="#4f81bd" strokeweight="0"/>
                <v:shape id="_x0000_s1125" style="position:absolute;left:102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26" style="position:absolute;left:1035;top:3450;width:60;height:60" fillcolor="#4f81bd" strokeweight="0"/>
                <v:shape id="_x0000_s1127" style="position:absolute;left:102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28" style="position:absolute;left:900;top:3555;width:60;height:60" fillcolor="#4f81bd" strokeweight="0"/>
                <v:shape id="_x0000_s1129"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30" style="position:absolute;left:930;top:3555;width:60;height:60" fillcolor="#4f81bd" strokeweight="0"/>
                <v:shape id="_x0000_s1131" style="position:absolute;left:92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32" style="position:absolute;left:975;top:3495;width:60;height:60" fillcolor="#4f81bd" strokeweight="0"/>
                <v:shape id="_x0000_s1133" style="position:absolute;left:96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34" style="position:absolute;left:915;top:3570;width:60;height:60" fillcolor="#4f81bd" strokeweight="0"/>
                <v:shape id="_x0000_s1135" style="position:absolute;left:90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36" style="position:absolute;left:900;top:3570;width:60;height:60" fillcolor="#4f81bd" strokeweight="0"/>
                <v:shape id="_x0000_s1137" style="position:absolute;left:89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38" style="position:absolute;left:825;top:3615;width:60;height:60" fillcolor="#4f81bd" strokeweight="0"/>
                <v:shape id="_x0000_s1139"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40" style="position:absolute;left:1185;top:3420;width:60;height:60" fillcolor="#4f81bd" strokeweight="0"/>
                <v:shape id="_x0000_s1141" style="position:absolute;left:117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42" style="position:absolute;left:1065;top:3465;width:60;height:60" fillcolor="#4f81bd" strokeweight="0"/>
                <v:shape id="_x0000_s1143" style="position:absolute;left:105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44" style="position:absolute;left:1335;top:3270;width:60;height:60" fillcolor="#4f81bd" strokeweight="0"/>
                <v:shape id="_x0000_s1145" style="position:absolute;left:132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46" style="position:absolute;left:1200;top:3390;width:60;height:60" fillcolor="#4f81bd" strokeweight="0"/>
                <v:shape id="_x0000_s1147" style="position:absolute;left:119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48" style="position:absolute;left:1020;top:3495;width:60;height:60" fillcolor="#4f81bd" strokeweight="0"/>
                <v:shape id="_x0000_s1149" style="position:absolute;left:101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50" style="position:absolute;left:1440;top:3225;width:60;height:60" fillcolor="#4f81bd" strokeweight="0"/>
                <v:shape id="_x0000_s1151" style="position:absolute;left:1432;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52" style="position:absolute;left:900;top:3555;width:60;height:60" fillcolor="#4f81bd" strokeweight="0"/>
                <v:shape id="_x0000_s1153"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54" style="position:absolute;left:870;top:3570;width:60;height:60" fillcolor="#4f81bd" strokeweight="0"/>
                <v:shape id="_x0000_s1155" style="position:absolute;left:86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56" style="position:absolute;left:915;top:3570;width:60;height:60" fillcolor="#4f81bd" strokeweight="0"/>
                <v:shape id="_x0000_s1157" style="position:absolute;left:90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58" style="position:absolute;left:1440;top:3255;width:60;height:60" fillcolor="#4f81bd" strokeweight="0"/>
                <v:shape id="_x0000_s1159" style="position:absolute;left:1432;top:32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60" style="position:absolute;left:2055;top:2760;width:60;height:60" fillcolor="#4f81bd" strokeweight="0"/>
                <v:shape id="_x0000_s1161" style="position:absolute;left:2047;top:27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62" style="position:absolute;left:2040;top:2670;width:60;height:60" fillcolor="#4f81bd" strokeweight="0"/>
                <v:shape id="_x0000_s1163" style="position:absolute;left:2032;top:26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64" style="position:absolute;left:885;top:3585;width:60;height:60" fillcolor="#4f81bd" strokeweight="0"/>
                <v:shape id="_x0000_s1165" style="position:absolute;left:87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66" style="position:absolute;left:1245;top:2850;width:60;height:60" fillcolor="#4f81bd" strokeweight="0"/>
                <v:shape id="_x0000_s1167" style="position:absolute;left:1237;top:28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68" style="position:absolute;left:1170;top:3015;width:60;height:60" fillcolor="#4f81bd" strokeweight="0"/>
                <v:shape id="_x0000_s1169" style="position:absolute;left:1162;top:30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70" style="position:absolute;left:4650;top:1260;width:60;height:60" fillcolor="#4f81bd" strokeweight="0"/>
                <v:shape id="_x0000_s1171" style="position:absolute;left:4642;top:12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72" style="position:absolute;left:900;top:3555;width:60;height:60" fillcolor="#4f81bd" strokeweight="0"/>
                <v:shape id="_x0000_s1173"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74" style="position:absolute;left:1125;top:3435;width:60;height:60" fillcolor="#4f81bd" strokeweight="0"/>
                <v:shape id="_x0000_s1175" style="position:absolute;left:1117;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76" style="position:absolute;left:975;top:3525;width:60;height:60" fillcolor="#4f81bd" strokeweight="0"/>
                <v:shape id="_x0000_s1177" style="position:absolute;left:96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78" style="position:absolute;left:960;top:3495;width:60;height:60" fillcolor="#4f81bd" strokeweight="0"/>
                <v:shape id="_x0000_s1179" style="position:absolute;left:95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80" style="position:absolute;left:855;top:3585;width:60;height:60" fillcolor="#4f81bd" strokeweight="0"/>
                <v:shape id="_x0000_s1181"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82" style="position:absolute;left:1005;top:3480;width:60;height:60" fillcolor="#4f81bd" strokeweight="0"/>
                <v:shape id="_x0000_s1183" style="position:absolute;left:99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84" style="position:absolute;left:1020;top:3480;width:60;height:60" fillcolor="#4f81bd" strokeweight="0"/>
                <v:shape id="_x0000_s1185" style="position:absolute;left:101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86" style="position:absolute;left:885;top:3465;width:60;height:60" fillcolor="#4f81bd" strokeweight="0"/>
                <v:shape id="_x0000_s1187" style="position:absolute;left:87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88" style="position:absolute;left:885;top:3570;width:60;height:60" fillcolor="#4f81bd" strokeweight="0"/>
                <v:shape id="_x0000_s1189" style="position:absolute;left:87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90" style="position:absolute;left:2040;top:2850;width:60;height:60" fillcolor="#4f81bd" strokeweight="0"/>
                <v:shape id="_x0000_s1191" style="position:absolute;left:2032;top:28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92" style="position:absolute;left:975;top:3525;width:60;height:60" fillcolor="#4f81bd" strokeweight="0"/>
                <v:shape id="_x0000_s1193" style="position:absolute;left:96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94" style="position:absolute;left:1350;top:3330;width:60;height:60" fillcolor="#4f81bd" strokeweight="0"/>
                <v:shape id="_x0000_s1195" style="position:absolute;left:1342;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96" style="position:absolute;left:900;top:3570;width:60;height:60" fillcolor="#4f81bd" strokeweight="0"/>
                <v:shape id="_x0000_s1197" style="position:absolute;left:89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198" style="position:absolute;left:3315;top:2055;width:60;height:60" fillcolor="#4f81bd" strokeweight="0"/>
                <v:shape id="_x0000_s1199" style="position:absolute;left:3307;top:20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00" style="position:absolute;left:945;top:3555;width:60;height:60" fillcolor="#4f81bd" strokeweight="0"/>
                <v:shape id="_x0000_s1201" style="position:absolute;left:93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02" style="position:absolute;left:825;top:3630;width:60;height:60" fillcolor="#4f81bd" strokeweight="0"/>
                <v:shape id="_x0000_s1203"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04" style="position:absolute;left:1125;top:3405;width:60;height:60" fillcolor="#4f81bd" strokeweight="0"/>
                <v:shape id="_x0000_s1205" style="position:absolute;left:111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06" style="position:absolute;left:1215;top:3405;width:60;height:60" fillcolor="#4f81bd" strokeweight="0"/>
                <v:shape id="_x0000_s1207" style="position:absolute;left:120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08" style="position:absolute;left:840;top:3615;width:60;height:60" fillcolor="#4f81bd" strokeweight="0"/>
                <v:shape id="_x0000_s1209"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10" style="position:absolute;left:1065;top:3450;width:60;height:60" fillcolor="#4f81bd" strokeweight="0"/>
                <v:shape id="_x0000_s1211" style="position:absolute;left:105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12" style="position:absolute;left:975;top:3555;width:60;height:60" fillcolor="#4f81bd" strokeweight="0"/>
                <v:shape id="_x0000_s1213" style="position:absolute;left:96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14" style="position:absolute;left:870;top:3585;width:60;height:60" fillcolor="#4f81bd" strokeweight="0"/>
                <v:shape id="_x0000_s1215"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16" style="position:absolute;left:1035;top:3465;width:60;height:60" fillcolor="#4f81bd" strokeweight="0"/>
                <v:shape id="_x0000_s1217" style="position:absolute;left:102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18" style="position:absolute;left:1665;top:3120;width:60;height:60" fillcolor="#4f81bd" strokeweight="0"/>
                <v:shape id="_x0000_s1219" style="position:absolute;left:1657;top:31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20" style="position:absolute;left:855;top:3600;width:60;height:60" fillcolor="#4f81bd" strokeweight="0"/>
                <v:shape id="_x0000_s1221" style="position:absolute;left:84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22" style="position:absolute;left:810;top:3615;width:60;height:60" fillcolor="#4f81bd" strokeweight="0"/>
                <v:shape id="_x0000_s1223" style="position:absolute;left:80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24" style="position:absolute;left:810;top:3645;width:60;height:60" fillcolor="#4f81bd" strokeweight="0"/>
                <v:shape id="_x0000_s1225"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26" style="position:absolute;left:1815;top:2655;width:60;height:60" fillcolor="#4f81bd" strokeweight="0"/>
                <v:shape id="_x0000_s1227" style="position:absolute;left:1807;top:26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28" style="position:absolute;left:3945;top:1485;width:60;height:60" fillcolor="#4f81bd" strokeweight="0"/>
                <v:shape id="_x0000_s1229" style="position:absolute;left:3937;top:14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30" style="position:absolute;left:2685;top:3225;width:60;height:60" fillcolor="#4f81bd" strokeweight="0"/>
                <v:shape id="_x0000_s1231" style="position:absolute;left:2677;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group id="_x0000_s1232" style="position:absolute;left:2541;top:6400;width:2656;height:1951" coordorigin="802,1747" coordsize="2656,1951" wrapcoords="8908 0 8786 498 10006 1993 10983 2658 20745 5316 6223 5815 6101 6812 10983 7975 11105 10467 4393 10633 3416 12129 3538 12793 5125 13292 2318 14455 1464 14953 3294 15950 1708 16781 488 17944 488 18609 -122 20935 -122 21433 854 21433 1220 21267 6955 19938 7077 18775 5979 18443 8908 16781 8908 15950 11349 14455 11715 13956 11471 13292 15742 12960 15620 11630 5003 10633 13667 9969 13667 9138 10983 7975 15742 7809 21722 6480 21844 4652 10861 2326 9518 0 8908 0" o:regroupid="2">
                <v:oval id="_x0000_s1233" style="position:absolute;left:1350;top:3225;width:60;height:60" fillcolor="#4f81bd" strokeweight="0"/>
                <v:shape id="_x0000_s1234" style="position:absolute;left:1342;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35" style="position:absolute;left:1290;top:3330;width:60;height:60" fillcolor="#4f81bd" strokeweight="0"/>
                <v:shape id="_x0000_s1236" style="position:absolute;left:1282;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37" style="position:absolute;left:1905;top:1755;width:60;height:60" fillcolor="#4f81bd" strokeweight="0"/>
                <v:shape id="_x0000_s1238" style="position:absolute;left:1897;top:17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39" style="position:absolute;left:1590;top:2295;width:60;height:60" fillcolor="#4f81bd" strokeweight="0"/>
                <v:shape id="_x0000_s1240" style="position:absolute;left:1582;top:22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41" style="position:absolute;left:930;top:3555;width:60;height:60" fillcolor="#4f81bd" strokeweight="0"/>
                <v:shape id="_x0000_s1242" style="position:absolute;left:92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43" style="position:absolute;left:1215;top:3120;width:60;height:60" fillcolor="#4f81bd" strokeweight="0"/>
                <v:shape id="_x0000_s1244" style="position:absolute;left:1207;top:31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45" style="position:absolute;left:1185;top:3330;width:60;height:60" fillcolor="#4f81bd" strokeweight="0"/>
                <v:shape id="_x0000_s1246" style="position:absolute;left:1177;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47" style="position:absolute;left:1500;top:3285;width:60;height:60" fillcolor="#4f81bd" strokeweight="0"/>
                <v:shape id="_x0000_s1248" style="position:absolute;left:1492;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49" style="position:absolute;left:975;top:3420;width:60;height:60" fillcolor="#4f81bd" strokeweight="0"/>
                <v:shape id="_x0000_s1250" style="position:absolute;left:96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51" style="position:absolute;left:945;top:3555;width:60;height:60" fillcolor="#4f81bd" strokeweight="0"/>
                <v:shape id="_x0000_s1252" style="position:absolute;left:93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53" style="position:absolute;left:900;top:3375;width:60;height:60" fillcolor="#4f81bd" strokeweight="0"/>
                <v:shape id="_x0000_s1254" style="position:absolute;left:89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55" style="position:absolute;left:960;top:3315;width:60;height:60" fillcolor="#4f81bd" strokeweight="0"/>
                <v:shape id="_x0000_s1256" style="position:absolute;left:95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57" style="position:absolute;left:1575;top:3480;width:60;height:60" fillcolor="#4f81bd" strokeweight="0"/>
                <v:shape id="_x0000_s1258" style="position:absolute;left:156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59" style="position:absolute;left:2400;top:2580;width:60;height:60" fillcolor="#4f81bd" strokeweight="0"/>
                <v:shape id="_x0000_s1260" style="position:absolute;left:2392;top:25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61" style="position:absolute;left:1200;top:3390;width:60;height:60" fillcolor="#4f81bd" strokeweight="0"/>
                <v:shape id="_x0000_s1262" style="position:absolute;left:119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63" style="position:absolute;left:1275;top:3420;width:60;height:60" fillcolor="#4f81bd" strokeweight="0"/>
                <v:shape id="_x0000_s1264" style="position:absolute;left:126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65" style="position:absolute;left:855;top:3585;width:60;height:60" fillcolor="#4f81bd" strokeweight="0"/>
                <v:shape id="_x0000_s1266"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67" style="position:absolute;left:840;top:3570;width:60;height:60" fillcolor="#4f81bd" strokeweight="0"/>
                <v:shape id="_x0000_s1268" style="position:absolute;left:83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69" style="position:absolute;left:1215;top:3315;width:60;height:60" fillcolor="#4f81bd" strokeweight="0"/>
                <v:shape id="_x0000_s1270" style="position:absolute;left:1207;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71" style="position:absolute;left:900;top:3525;width:60;height:60" fillcolor="#4f81bd" strokeweight="0"/>
                <v:shape id="_x0000_s1272" style="position:absolute;left:89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73" style="position:absolute;left:870;top:3555;width:60;height:60" fillcolor="#4f81bd" strokeweight="0"/>
                <v:shape id="_x0000_s1274" style="position:absolute;left:86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75" style="position:absolute;left:1590;top:3210;width:60;height:60" fillcolor="#4f81bd" strokeweight="0"/>
                <v:shape id="_x0000_s1276" style="position:absolute;left:1582;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77" style="position:absolute;left:1425;top:3300;width:60;height:60" fillcolor="#4f81bd" strokeweight="0"/>
                <v:shape id="_x0000_s1278" style="position:absolute;left:1417;top:32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79" style="position:absolute;left:885;top:3585;width:60;height:60" fillcolor="#4f81bd" strokeweight="0"/>
                <v:shape id="_x0000_s1280" style="position:absolute;left:87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81" style="position:absolute;left:990;top:3480;width:60;height:60" fillcolor="#4f81bd" strokeweight="0"/>
                <v:shape id="_x0000_s1282" style="position:absolute;left:98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83" style="position:absolute;left:2745;top:2370;width:60;height:60" fillcolor="#4f81bd" strokeweight="0"/>
                <v:shape id="_x0000_s1284" style="position:absolute;left:2737;top:23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85" style="position:absolute;left:2640;top:2835;width:60;height:60" fillcolor="#4f81bd" strokeweight="0"/>
                <v:shape id="_x0000_s1286" style="position:absolute;left:2632;top:28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87" style="position:absolute;left:810;top:3630;width:60;height:60" fillcolor="#4f81bd" strokeweight="0"/>
                <v:shape id="_x0000_s1288"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89" style="position:absolute;left:1545;top:2925;width:60;height:60" fillcolor="#4f81bd" strokeweight="0"/>
                <v:shape id="_x0000_s1290" style="position:absolute;left:1537;top:29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91" style="position:absolute;left:1035;top:3435;width:60;height:60" fillcolor="#4f81bd" strokeweight="0"/>
                <v:shape id="_x0000_s1292" style="position:absolute;left:1027;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93" style="position:absolute;left:930;top:3465;width:60;height:60" fillcolor="#4f81bd" strokeweight="0"/>
                <v:shape id="_x0000_s1294" style="position:absolute;left:92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95" style="position:absolute;left:1245;top:2835;width:60;height:60" fillcolor="#4f81bd" strokeweight="0"/>
                <v:shape id="_x0000_s1296" style="position:absolute;left:1237;top:28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97" style="position:absolute;left:945;top:3510;width:60;height:60" fillcolor="#4f81bd" strokeweight="0"/>
                <v:shape id="_x0000_s1298" style="position:absolute;left:93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299" style="position:absolute;left:870;top:3495;width:60;height:60" fillcolor="#4f81bd" strokeweight="0"/>
                <v:shape id="_x0000_s1300" style="position:absolute;left:86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01" style="position:absolute;left:1245;top:3315;width:60;height:60" fillcolor="#4f81bd" strokeweight="0"/>
                <v:shape id="_x0000_s1302" style="position:absolute;left:1237;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03" style="position:absolute;left:870;top:3540;width:60;height:60" fillcolor="#4f81bd" strokeweight="0"/>
                <v:shape id="_x0000_s1304" style="position:absolute;left:86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05" style="position:absolute;left:1620;top:3225;width:60;height:60" fillcolor="#4f81bd" strokeweight="0"/>
                <v:shape id="_x0000_s1306" style="position:absolute;left:1612;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07" style="position:absolute;left:870;top:3450;width:60;height:60" fillcolor="#4f81bd" strokeweight="0"/>
                <v:shape id="_x0000_s1308" style="position:absolute;left:862;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09" style="position:absolute;left:915;top:3555;width:60;height:60" fillcolor="#4f81bd" strokeweight="0"/>
                <v:shape id="_x0000_s1310" style="position:absolute;left:90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11" style="position:absolute;left:1215;top:3360;width:60;height:60" fillcolor="#4f81bd" strokeweight="0"/>
                <v:shape id="_x0000_s1312" style="position:absolute;left:1207;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13" style="position:absolute;left:930;top:3540;width:60;height:60" fillcolor="#4f81bd" strokeweight="0"/>
                <v:shape id="_x0000_s1314" style="position:absolute;left:92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15" style="position:absolute;left:1005;top:3495;width:60;height:60" fillcolor="#4f81bd" strokeweight="0"/>
                <v:shape id="_x0000_s1316" style="position:absolute;left:99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17" style="position:absolute;left:840;top:3615;width:60;height:60" fillcolor="#4f81bd" strokeweight="0"/>
                <v:shape id="_x0000_s1318"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19" style="position:absolute;left:990;top:3495;width:60;height:60" fillcolor="#4f81bd" strokeweight="0"/>
                <v:shape id="_x0000_s1320" style="position:absolute;left:98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21" style="position:absolute;left:2760;top:2310;width:60;height:60" fillcolor="#4f81bd" strokeweight="0"/>
                <v:shape id="_x0000_s1322" style="position:absolute;left:2752;top:23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23" style="position:absolute;left:870;top:3585;width:60;height:60" fillcolor="#4f81bd" strokeweight="0"/>
                <v:shape id="_x0000_s1324"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25" style="position:absolute;left:960;top:3555;width:60;height:60" fillcolor="#4f81bd" strokeweight="0"/>
                <v:shape id="_x0000_s1326" style="position:absolute;left:95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27" style="position:absolute;left:915;top:3585;width:60;height:60" fillcolor="#4f81bd" strokeweight="0"/>
                <v:shape id="_x0000_s1328" style="position:absolute;left:90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29" style="position:absolute;left:1200;top:3390;width:60;height:60" fillcolor="#4f81bd" strokeweight="0"/>
                <v:shape id="_x0000_s1330" style="position:absolute;left:119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31" style="position:absolute;left:1440;top:3330;width:60;height:60" fillcolor="#4f81bd" strokeweight="0"/>
                <v:shape id="_x0000_s1332" style="position:absolute;left:1432;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33" style="position:absolute;left:915;top:3585;width:60;height:60" fillcolor="#4f81bd" strokeweight="0"/>
                <v:shape id="_x0000_s1334" style="position:absolute;left:90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35" style="position:absolute;left:945;top:3465;width:60;height:60" fillcolor="#4f81bd" strokeweight="0"/>
                <v:shape id="_x0000_s1336" style="position:absolute;left:93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37" style="position:absolute;left:2160;top:2970;width:60;height:60" fillcolor="#4f81bd" strokeweight="0"/>
                <v:shape id="_x0000_s1338" style="position:absolute;left:2152;top:29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39" style="position:absolute;left:1065;top:3405;width:60;height:60" fillcolor="#4f81bd" strokeweight="0"/>
                <v:shape id="_x0000_s1340" style="position:absolute;left:105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41" style="position:absolute;left:1620;top:2985;width:60;height:60" fillcolor="#4f81bd" strokeweight="0"/>
                <v:shape id="_x0000_s1342" style="position:absolute;left:1612;top:29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43" style="position:absolute;left:1605;top:3270;width:60;height:60" fillcolor="#4f81bd" strokeweight="0"/>
                <v:shape id="_x0000_s1344" style="position:absolute;left:159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45" style="position:absolute;left:1320;top:3210;width:60;height:60" fillcolor="#4f81bd" strokeweight="0"/>
                <v:shape id="_x0000_s1346" style="position:absolute;left:1312;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47" style="position:absolute;left:1005;top:3510;width:60;height:60" fillcolor="#4f81bd" strokeweight="0"/>
                <v:shape id="_x0000_s1348" style="position:absolute;left:99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49" style="position:absolute;left:1275;top:3390;width:60;height:60" fillcolor="#4f81bd" strokeweight="0"/>
                <v:shape id="_x0000_s1350" style="position:absolute;left:1267;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51" style="position:absolute;left:900;top:3510;width:60;height:60" fillcolor="#4f81bd" strokeweight="0"/>
                <v:shape id="_x0000_s1352" style="position:absolute;left:89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53" style="position:absolute;left:1080;top:3375;width:60;height:60" fillcolor="#4f81bd" strokeweight="0"/>
                <v:shape id="_x0000_s1354" style="position:absolute;left:107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55" style="position:absolute;left:885;top:3600;width:60;height:60" fillcolor="#4f81bd" strokeweight="0"/>
                <v:shape id="_x0000_s1356"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57" style="position:absolute;left:915;top:3540;width:60;height:60" fillcolor="#4f81bd" strokeweight="0"/>
                <v:shape id="_x0000_s1358" style="position:absolute;left:90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59" style="position:absolute;left:1215;top:3465;width:60;height:60" fillcolor="#4f81bd" strokeweight="0"/>
                <v:shape id="_x0000_s1360" style="position:absolute;left:120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61" style="position:absolute;left:990;top:3405;width:60;height:60" fillcolor="#4f81bd" strokeweight="0"/>
                <v:shape id="_x0000_s1362" style="position:absolute;left:982;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63" style="position:absolute;left:1200;top:3315;width:60;height:60" fillcolor="#4f81bd" strokeweight="0"/>
                <v:shape id="_x0000_s1364" style="position:absolute;left:119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65" style="position:absolute;left:1020;top:3105;width:60;height:60" fillcolor="#4f81bd" strokeweight="0"/>
                <v:shape id="_x0000_s1366" style="position:absolute;left:1012;top:30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67" style="position:absolute;left:1440;top:2880;width:60;height:60" fillcolor="#4f81bd" strokeweight="0"/>
                <v:shape id="_x0000_s1368" style="position:absolute;left:1432;top:28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69" style="position:absolute;left:3240;top:2280;width:60;height:60" fillcolor="#4f81bd" strokeweight="0"/>
                <v:shape id="_x0000_s1370" style="position:absolute;left:3232;top:22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71" style="position:absolute;left:1605;top:3285;width:60;height:60" fillcolor="#4f81bd" strokeweight="0"/>
                <v:shape id="_x0000_s1372" style="position:absolute;left:1597;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73" style="position:absolute;left:1290;top:3270;width:60;height:60" fillcolor="#4f81bd" strokeweight="0"/>
                <v:shape id="_x0000_s1374" style="position:absolute;left:1282;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75" style="position:absolute;left:1035;top:3405;width:60;height:60" fillcolor="#4f81bd" strokeweight="0"/>
                <v:shape id="_x0000_s1376" style="position:absolute;left:102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77" style="position:absolute;left:900;top:3570;width:60;height:60" fillcolor="#4f81bd" strokeweight="0"/>
                <v:shape id="_x0000_s1378" style="position:absolute;left:89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79" style="position:absolute;left:870;top:3540;width:60;height:60" fillcolor="#4f81bd" strokeweight="0"/>
                <v:shape id="_x0000_s1380" style="position:absolute;left:86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81" style="position:absolute;left:1110;top:3435;width:60;height:60" fillcolor="#4f81bd" strokeweight="0"/>
                <v:shape id="_x0000_s1382" style="position:absolute;left:110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83" style="position:absolute;left:1110;top:3330;width:60;height:60" fillcolor="#4f81bd" strokeweight="0"/>
                <v:shape id="_x0000_s1384" style="position:absolute;left:1102;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85" style="position:absolute;left:1635;top:3120;width:60;height:60" fillcolor="#4f81bd" strokeweight="0"/>
                <v:shape id="_x0000_s1386" style="position:absolute;left:1627;top:31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87" style="position:absolute;left:1110;top:3360;width:60;height:60" fillcolor="#4f81bd" strokeweight="0"/>
                <v:shape id="_x0000_s1388" style="position:absolute;left:1102;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89" style="position:absolute;left:1410;top:3195;width:60;height:60" fillcolor="#4f81bd" strokeweight="0"/>
                <v:shape id="_x0000_s1390" style="position:absolute;left:1402;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91" style="position:absolute;left:1350;top:2715;width:60;height:60" fillcolor="#4f81bd" strokeweight="0"/>
                <v:shape id="_x0000_s1392" style="position:absolute;left:1342;top:27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93" style="position:absolute;left:1080;top:3480;width:60;height:60" fillcolor="#4f81bd" strokeweight="0"/>
                <v:shape id="_x0000_s1394" style="position:absolute;left:107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95" style="position:absolute;left:960;top:3375;width:60;height:60" fillcolor="#4f81bd" strokeweight="0"/>
                <v:shape id="_x0000_s1396" style="position:absolute;left:95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97" style="position:absolute;left:1065;top:3285;width:60;height:60" fillcolor="#4f81bd" strokeweight="0"/>
                <v:shape id="_x0000_s1398" style="position:absolute;left:1057;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399" style="position:absolute;left:855;top:3570;width:60;height:60" fillcolor="#4f81bd" strokeweight="0"/>
                <v:shape id="_x0000_s1400" style="position:absolute;left:84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01" style="position:absolute;left:3390;top:2175;width:60;height:60" fillcolor="#4f81bd" strokeweight="0"/>
                <v:shape id="_x0000_s1402" style="position:absolute;left:3382;top:21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03" style="position:absolute;left:960;top:3540;width:60;height:60" fillcolor="#4f81bd" strokeweight="0"/>
                <v:shape id="_x0000_s1404" style="position:absolute;left:95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05" style="position:absolute;left:1815;top:3135;width:60;height:60" fillcolor="#4f81bd" strokeweight="0"/>
                <v:shape id="_x0000_s1406" style="position:absolute;left:1807;top:31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07" style="position:absolute;left:855;top:3495;width:60;height:60" fillcolor="#4f81bd" strokeweight="0"/>
                <v:shape id="_x0000_s1408" style="position:absolute;left:84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09" style="position:absolute;left:930;top:3465;width:60;height:60" fillcolor="#4f81bd" strokeweight="0"/>
                <v:shape id="_x0000_s1410" style="position:absolute;left:92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11" style="position:absolute;left:1110;top:3315;width:60;height:60" fillcolor="#4f81bd" strokeweight="0"/>
                <v:shape id="_x0000_s1412" style="position:absolute;left:110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13" style="position:absolute;left:1020;top:3525;width:60;height:60" fillcolor="#4f81bd" strokeweight="0"/>
                <v:shape id="_x0000_s1414" style="position:absolute;left:101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15" style="position:absolute;left:900;top:3555;width:60;height:60" fillcolor="#4f81bd" strokeweight="0"/>
                <v:shape id="_x0000_s1416"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17" style="position:absolute;left:2040;top:2955;width:60;height:60" fillcolor="#4f81bd" strokeweight="0"/>
                <v:shape id="_x0000_s1418" style="position:absolute;left:2032;top:29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19" style="position:absolute;left:1020;top:3480;width:60;height:60" fillcolor="#4f81bd" strokeweight="0"/>
                <v:shape id="_x0000_s1420" style="position:absolute;left:101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21" style="position:absolute;left:900;top:3480;width:60;height:60" fillcolor="#4f81bd" strokeweight="0"/>
                <v:shape id="_x0000_s1422" style="position:absolute;left:89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23" style="position:absolute;left:870;top:3585;width:60;height:60" fillcolor="#4f81bd" strokeweight="0"/>
                <v:shape id="_x0000_s1424"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25" style="position:absolute;left:975;top:3510;width:60;height:60" fillcolor="#4f81bd" strokeweight="0"/>
                <v:shape id="_x0000_s1426" style="position:absolute;left:96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27" style="position:absolute;left:1035;top:3465;width:60;height:60" fillcolor="#4f81bd" strokeweight="0"/>
                <v:shape id="_x0000_s1428" style="position:absolute;left:102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29" style="position:absolute;left:1125;top:3255;width:60;height:60" fillcolor="#4f81bd" strokeweight="0"/>
                <v:shape id="_x0000_s1430" style="position:absolute;left:1117;top:32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31" style="position:absolute;left:1170;top:3510;width:60;height:60" fillcolor="#4f81bd" strokeweight="0"/>
                <v:shape id="_x0000_s1432" style="position:absolute;left:116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group id="_x0000_s1433" style="position:absolute;left:2526;top:5395;width:5611;height:2971" coordorigin="787,742" coordsize="5611,2971" wrapcoords="21253 0 13456 1418 10857 1745 10857 5236 15420 6981 10915 8618 10395 10472 1559 10690 1559 11563 6468 12218 1617 13745 1559 14400 4562 15600 3060 15709 1328 16363 1443 17454 693 17672 577 18327 924 19200 346 19418 0 20072 -57 21490 577 21490 635 21490 981 20945 2136 20836 3407 19745 3407 19200 5602 18981 5602 17672 3811 17454 7277 16690 7912 16363 7796 15709 5775 13963 10106 12436 10164 12109 10915 10472 10857 8727 12128 8618 15882 7418 15882 6981 15824 6763 10857 5236 10857 1745 19405 981 21715 654 21600 0 21253 0" o:regroupid="2">
                <v:oval id="_x0000_s1434" style="position:absolute;left:1680;top:3135;width:60;height:60" fillcolor="#4f81bd" strokeweight="0"/>
                <v:shape id="_x0000_s1435" style="position:absolute;left:1672;top:31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36" style="position:absolute;left:930;top:3435;width:60;height:60" fillcolor="#4f81bd" strokeweight="0"/>
                <v:shape id="_x0000_s1437" style="position:absolute;left:92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38" style="position:absolute;left:1530;top:2940;width:60;height:60" fillcolor="#4f81bd" strokeweight="0"/>
                <v:shape id="_x0000_s1439" style="position:absolute;left:1522;top:29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40" style="position:absolute;left:2745;top:2925;width:60;height:60" fillcolor="#4f81bd" strokeweight="0"/>
                <v:shape id="_x0000_s1441" style="position:absolute;left:2737;top:29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42" style="position:absolute;left:2340;top:2520;width:60;height:60" fillcolor="#4f81bd" strokeweight="0"/>
                <v:shape id="_x0000_s1443" style="position:absolute;left:2332;top:25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44" style="position:absolute;left:825;top:3540;width:60;height:60" fillcolor="#4f81bd" strokeweight="0"/>
                <v:shape id="_x0000_s1445" style="position:absolute;left:81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46" style="position:absolute;left:855;top:3570;width:60;height:60" fillcolor="#4f81bd" strokeweight="0"/>
                <v:shape id="_x0000_s1447" style="position:absolute;left:84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48" style="position:absolute;left:2190;top:2625;width:60;height:60" fillcolor="#4f81bd" strokeweight="0"/>
                <v:shape id="_x0000_s1449" style="position:absolute;left:2182;top:26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50" style="position:absolute;left:795;top:3645;width:60;height:60" fillcolor="#4f81bd" strokeweight="0"/>
                <v:shape id="_x0000_s1451"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52" style="position:absolute;left:1125;top:3360;width:60;height:60" fillcolor="#4f81bd" strokeweight="0"/>
                <v:shape id="_x0000_s1453" style="position:absolute;left:1117;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54" style="position:absolute;left:1530;top:3090;width:60;height:60" fillcolor="#4f81bd" strokeweight="0"/>
                <v:shape id="_x0000_s1455" style="position:absolute;left:1522;top:30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56" style="position:absolute;left:1395;top:3270;width:60;height:60" fillcolor="#4f81bd" strokeweight="0"/>
                <v:shape id="_x0000_s1457" style="position:absolute;left:138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58" style="position:absolute;left:945;top:3525;width:60;height:60" fillcolor="#4f81bd" strokeweight="0"/>
                <v:shape id="_x0000_s1459" style="position:absolute;left:93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60" style="position:absolute;left:1050;top:3390;width:60;height:60" fillcolor="#4f81bd" strokeweight="0"/>
                <v:shape id="_x0000_s1461" style="position:absolute;left:104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62" style="position:absolute;left:795;top:3645;width:60;height:60" fillcolor="#4f81bd" strokeweight="0"/>
                <v:shape id="_x0000_s1463"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64" style="position:absolute;left:1005;top:3540;width:60;height:60" fillcolor="#4f81bd" strokeweight="0"/>
                <v:shape id="_x0000_s1465" style="position:absolute;left:99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66" style="position:absolute;left:3315;top:2385;width:60;height:60" fillcolor="#4f81bd" strokeweight="0"/>
                <v:shape id="_x0000_s1467" style="position:absolute;left:3307;top:23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68" style="position:absolute;left:975;top:3300;width:60;height:60" fillcolor="#4f81bd" strokeweight="0"/>
                <v:shape id="_x0000_s1469" style="position:absolute;left:967;top:32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70" style="position:absolute;left:2505;top:2415;width:60;height:60" fillcolor="#4f81bd" strokeweight="0"/>
                <v:shape id="_x0000_s1471" style="position:absolute;left:2497;top:24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72" style="position:absolute;left:840;top:3630;width:60;height:60" fillcolor="#4f81bd" strokeweight="0"/>
                <v:shape id="_x0000_s1473" style="position:absolute;left:83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74" style="position:absolute;left:975;top:3195;width:60;height:60" fillcolor="#4f81bd" strokeweight="0"/>
                <v:shape id="_x0000_s1475" style="position:absolute;left:967;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76" style="position:absolute;left:1170;top:3075;width:60;height:60" fillcolor="#4f81bd" strokeweight="0"/>
                <v:shape id="_x0000_s1477" style="position:absolute;left:1162;top:30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78" style="position:absolute;left:1995;top:3195;width:60;height:60" fillcolor="#4f81bd" strokeweight="0"/>
                <v:shape id="_x0000_s1479" style="position:absolute;left:1987;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80" style="position:absolute;left:840;top:3630;width:60;height:60" fillcolor="#4f81bd" strokeweight="0"/>
                <v:shape id="_x0000_s1481" style="position:absolute;left:83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82" style="position:absolute;left:885;top:3585;width:60;height:60" fillcolor="#4f81bd" strokeweight="0"/>
                <v:shape id="_x0000_s1483" style="position:absolute;left:87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84" style="position:absolute;left:870;top:3510;width:60;height:60" fillcolor="#4f81bd" strokeweight="0"/>
                <v:shape id="_x0000_s1485" style="position:absolute;left:86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86" style="position:absolute;left:975;top:3525;width:60;height:60" fillcolor="#4f81bd" strokeweight="0"/>
                <v:shape id="_x0000_s1487" style="position:absolute;left:96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88" style="position:absolute;left:855;top:3585;width:60;height:60" fillcolor="#4f81bd" strokeweight="0"/>
                <v:shape id="_x0000_s1489"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90" style="position:absolute;left:1395;top:3225;width:60;height:60" fillcolor="#4f81bd" strokeweight="0"/>
                <v:shape id="_x0000_s1491" style="position:absolute;left:1387;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92" style="position:absolute;left:885;top:3570;width:60;height:60" fillcolor="#4f81bd" strokeweight="0"/>
                <v:shape id="_x0000_s1493" style="position:absolute;left:87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94" style="position:absolute;left:2250;top:2865;width:60;height:60" fillcolor="#4f81bd" strokeweight="0"/>
                <v:shape id="_x0000_s1495" style="position:absolute;left:2242;top:28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96" style="position:absolute;left:960;top:3510;width:60;height:60" fillcolor="#4f81bd" strokeweight="0"/>
                <v:shape id="_x0000_s1497" style="position:absolute;left:95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498" style="position:absolute;left:885;top:3600;width:60;height:60" fillcolor="#4f81bd" strokeweight="0"/>
                <v:shape id="_x0000_s1499"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00" style="position:absolute;left:855;top:3600;width:60;height:60" fillcolor="#4f81bd" strokeweight="0"/>
                <v:shape id="_x0000_s1501" style="position:absolute;left:84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02" style="position:absolute;left:960;top:3540;width:60;height:60" fillcolor="#4f81bd" strokeweight="0"/>
                <v:shape id="_x0000_s1503" style="position:absolute;left:95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04" style="position:absolute;left:1215;top:3435;width:60;height:60" fillcolor="#4f81bd" strokeweight="0"/>
                <v:shape id="_x0000_s1505" style="position:absolute;left:1207;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06" style="position:absolute;left:810;top:3630;width:60;height:60" fillcolor="#4f81bd" strokeweight="0"/>
                <v:shape id="_x0000_s1507"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08" style="position:absolute;left:855;top:3570;width:60;height:60" fillcolor="#4f81bd" strokeweight="0"/>
                <v:shape id="_x0000_s1509" style="position:absolute;left:84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10" style="position:absolute;left:885;top:3570;width:60;height:60" fillcolor="#4f81bd" strokeweight="0"/>
                <v:shape id="_x0000_s1511" style="position:absolute;left:87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12" style="position:absolute;left:825;top:3540;width:60;height:60" fillcolor="#4f81bd" strokeweight="0"/>
                <v:shape id="_x0000_s1513" style="position:absolute;left:81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14" style="position:absolute;left:840;top:3495;width:60;height:60" fillcolor="#4f81bd" strokeweight="0"/>
                <v:shape id="_x0000_s1515" style="position:absolute;left:83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16" style="position:absolute;left:1035;top:3315;width:60;height:60" fillcolor="#4f81bd" strokeweight="0"/>
                <v:shape id="_x0000_s1517" style="position:absolute;left:1027;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18" style="position:absolute;left:1230;top:2655;width:60;height:60" fillcolor="#4f81bd" strokeweight="0"/>
                <v:shape id="_x0000_s1519" style="position:absolute;left:1222;top:26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20" style="position:absolute;left:840;top:3465;width:60;height:60" fillcolor="#4f81bd" strokeweight="0"/>
                <v:shape id="_x0000_s1521" style="position:absolute;left:83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22" style="position:absolute;left:2610;top:2505;width:60;height:60" fillcolor="#4f81bd" strokeweight="0"/>
                <v:shape id="_x0000_s1523" style="position:absolute;left:2602;top:24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24" style="position:absolute;left:1050;top:3285;width:60;height:60" fillcolor="#4f81bd" strokeweight="0"/>
                <v:shape id="_x0000_s1525" style="position:absolute;left:1042;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26" style="position:absolute;left:2055;top:3225;width:60;height:60" fillcolor="#4f81bd" strokeweight="0"/>
                <v:shape id="_x0000_s1527" style="position:absolute;left:2047;top:32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28" style="position:absolute;left:1215;top:2250;width:60;height:60" fillcolor="#4f81bd" strokeweight="0"/>
                <v:shape id="_x0000_s1529" style="position:absolute;left:1207;top:22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30" style="position:absolute;left:2160;top:3270;width:60;height:60" fillcolor="#4f81bd" strokeweight="0"/>
                <v:shape id="_x0000_s1531" style="position:absolute;left:2152;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32" style="position:absolute;left:855;top:3645;width:60;height:60" fillcolor="#4f81bd" strokeweight="0"/>
                <v:shape id="_x0000_s1533" style="position:absolute;left:84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34" style="position:absolute;left:1335;top:3435;width:60;height:60" fillcolor="#4f81bd" strokeweight="0"/>
                <v:shape id="_x0000_s1535" style="position:absolute;left:1327;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36" style="position:absolute;left:855;top:3585;width:60;height:60" fillcolor="#4f81bd" strokeweight="0"/>
                <v:shape id="_x0000_s1537"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38" style="position:absolute;left:870;top:3555;width:60;height:60" fillcolor="#4f81bd" strokeweight="0"/>
                <v:shape id="_x0000_s1539" style="position:absolute;left:86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40" style="position:absolute;left:1590;top:3315;width:60;height:60" fillcolor="#4f81bd" strokeweight="0"/>
                <v:shape id="_x0000_s1541" style="position:absolute;left:158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42" style="position:absolute;left:1125;top:3480;width:60;height:60" fillcolor="#4f81bd" strokeweight="0"/>
                <v:shape id="_x0000_s1543" style="position:absolute;left:111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44" style="position:absolute;left:885;top:3600;width:60;height:60" fillcolor="#4f81bd" strokeweight="0"/>
                <v:shape id="_x0000_s1545"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46" style="position:absolute;left:1590;top:3390;width:60;height:60" fillcolor="#4f81bd" strokeweight="0"/>
                <v:shape id="_x0000_s1547" style="position:absolute;left:158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48" style="position:absolute;left:990;top:3420;width:60;height:60" fillcolor="#4f81bd" strokeweight="0"/>
                <v:shape id="_x0000_s1549" style="position:absolute;left:982;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50" style="position:absolute;left:900;top:3585;width:60;height:60" fillcolor="#4f81bd" strokeweight="0"/>
                <v:shape id="_x0000_s1551" style="position:absolute;left:89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52" style="position:absolute;left:1020;top:3495;width:60;height:60" fillcolor="#4f81bd" strokeweight="0"/>
                <v:shape id="_x0000_s1553" style="position:absolute;left:101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54" style="position:absolute;left:960;top:3510;width:60;height:60" fillcolor="#4f81bd" strokeweight="0"/>
                <v:shape id="_x0000_s1555" style="position:absolute;left:95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56" style="position:absolute;left:1185;top:3375;width:60;height:60" fillcolor="#4f81bd" strokeweight="0"/>
                <v:shape id="_x0000_s1557" style="position:absolute;left:1177;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58" style="position:absolute;left:870;top:3600;width:60;height:60" fillcolor="#4f81bd" strokeweight="0"/>
                <v:shape id="_x0000_s1559" style="position:absolute;left:86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60" style="position:absolute;left:900;top:3525;width:60;height:60" fillcolor="#4f81bd" strokeweight="0"/>
                <v:shape id="_x0000_s1561" style="position:absolute;left:89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62" style="position:absolute;left:1530;top:3345;width:60;height:60" fillcolor="#4f81bd" strokeweight="0"/>
                <v:shape id="_x0000_s1563" style="position:absolute;left:1522;top:33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64" style="position:absolute;left:900;top:3525;width:60;height:60" fillcolor="#4f81bd" strokeweight="0"/>
                <v:shape id="_x0000_s1565" style="position:absolute;left:89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66" style="position:absolute;left:870;top:3585;width:60;height:60" fillcolor="#4f81bd" strokeweight="0"/>
                <v:shape id="_x0000_s1567"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68" style="position:absolute;left:825;top:3525;width:60;height:60" fillcolor="#4f81bd" strokeweight="0"/>
                <v:shape id="_x0000_s1569" style="position:absolute;left:81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70" style="position:absolute;left:1005;top:3510;width:60;height:60" fillcolor="#4f81bd" strokeweight="0"/>
                <v:shape id="_x0000_s1571" style="position:absolute;left:99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72" style="position:absolute;left:825;top:3630;width:60;height:60" fillcolor="#4f81bd" strokeweight="0"/>
                <v:shape id="_x0000_s1573"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74" style="position:absolute;left:840;top:3615;width:60;height:60" fillcolor="#4f81bd" strokeweight="0"/>
                <v:shape id="_x0000_s1575"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76" style="position:absolute;left:870;top:3615;width:60;height:60" fillcolor="#4f81bd" strokeweight="0"/>
                <v:shape id="_x0000_s1577" style="position:absolute;left:86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78" style="position:absolute;left:990;top:3510;width:60;height:60" fillcolor="#4f81bd" strokeweight="0"/>
                <v:shape id="_x0000_s1579" style="position:absolute;left:98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80" style="position:absolute;left:855;top:3615;width:60;height:60" fillcolor="#4f81bd" strokeweight="0"/>
                <v:shape id="_x0000_s1581" style="position:absolute;left:84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82" style="position:absolute;left:915;top:3615;width:60;height:60" fillcolor="#4f81bd" strokeweight="0"/>
                <v:shape id="_x0000_s1583" style="position:absolute;left:90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84" style="position:absolute;left:1230;top:3420;width:60;height:60" fillcolor="#4f81bd" strokeweight="0"/>
                <v:shape id="_x0000_s1585" style="position:absolute;left:1222;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86" style="position:absolute;left:825;top:3615;width:60;height:60" fillcolor="#4f81bd" strokeweight="0"/>
                <v:shape id="_x0000_s1587"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88" style="position:absolute;left:1050;top:3420;width:60;height:60" fillcolor="#4f81bd" strokeweight="0"/>
                <v:shape id="_x0000_s1589" style="position:absolute;left:1042;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90" style="position:absolute;left:4830;top:1695;width:60;height:60" fillcolor="#4f81bd" strokeweight="0"/>
                <v:shape id="_x0000_s1591" style="position:absolute;left:4822;top:16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92" style="position:absolute;left:1425;top:3120;width:60;height:60" fillcolor="#4f81bd" strokeweight="0"/>
                <v:shape id="_x0000_s1593" style="position:absolute;left:1417;top:31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94" style="position:absolute;left:3525;top:2145;width:60;height:60" fillcolor="#4f81bd" strokeweight="0"/>
                <v:shape id="_x0000_s1595" style="position:absolute;left:3517;top:21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96" style="position:absolute;left:1920;top:3045;width:60;height:60" fillcolor="#4f81bd" strokeweight="0"/>
                <v:shape id="_x0000_s1597" style="position:absolute;left:1912;top:30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598" style="position:absolute;left:945;top:3585;width:60;height:60" fillcolor="#4f81bd" strokeweight="0"/>
                <v:shape id="_x0000_s1599" style="position:absolute;left:93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00" style="position:absolute;left:1110;top:3540;width:60;height:60" fillcolor="#4f81bd" strokeweight="0"/>
                <v:shape id="_x0000_s1601" style="position:absolute;left:110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02" style="position:absolute;left:1440;top:3255;width:60;height:60" fillcolor="#4f81bd" strokeweight="0"/>
                <v:shape id="_x0000_s1603" style="position:absolute;left:1432;top:32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04" style="position:absolute;left:1980;top:3060;width:60;height:60" fillcolor="#4f81bd" strokeweight="0"/>
                <v:shape id="_x0000_s1605" style="position:absolute;left:1972;top:30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06" style="position:absolute;left:870;top:3495;width:60;height:60" fillcolor="#4f81bd" strokeweight="0"/>
                <v:shape id="_x0000_s1607" style="position:absolute;left:86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08" style="position:absolute;left:825;top:3630;width:60;height:60" fillcolor="#4f81bd" strokeweight="0"/>
                <v:shape id="_x0000_s1609"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10" style="position:absolute;left:825;top:3600;width:60;height:60" fillcolor="#4f81bd" strokeweight="0"/>
                <v:shape id="_x0000_s1611" style="position:absolute;left:81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12" style="position:absolute;left:1425;top:3360;width:60;height:60" fillcolor="#4f81bd" strokeweight="0"/>
                <v:shape id="_x0000_s1613" style="position:absolute;left:1417;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14" style="position:absolute;left:810;top:3630;width:60;height:60" fillcolor="#4f81bd" strokeweight="0"/>
                <v:shape id="_x0000_s1615"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16" style="position:absolute;left:885;top:3600;width:60;height:60" fillcolor="#4f81bd" strokeweight="0"/>
                <v:shape id="_x0000_s1617"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18" style="position:absolute;left:825;top:3645;width:60;height:60" fillcolor="#4f81bd" strokeweight="0"/>
                <v:shape id="_x0000_s1619" style="position:absolute;left:81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20" style="position:absolute;left:855;top:3600;width:60;height:60" fillcolor="#4f81bd" strokeweight="0"/>
                <v:shape id="_x0000_s1621" style="position:absolute;left:84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22" style="position:absolute;left:810;top:3630;width:60;height:60" fillcolor="#4f81bd" strokeweight="0"/>
                <v:shape id="_x0000_s1623"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24" style="position:absolute;left:795;top:3645;width:60;height:60" fillcolor="#4f81bd" strokeweight="0"/>
                <v:shape id="_x0000_s1625"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26" style="position:absolute;left:1020;top:3495;width:60;height:60" fillcolor="#4f81bd" strokeweight="0"/>
                <v:shape id="_x0000_s1627" style="position:absolute;left:101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28" style="position:absolute;left:810;top:3630;width:60;height:60" fillcolor="#4f81bd" strokeweight="0"/>
                <v:shape id="_x0000_s1629"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30" style="position:absolute;left:855;top:3600;width:60;height:60" fillcolor="#4f81bd" strokeweight="0"/>
                <v:shape id="_x0000_s1631" style="position:absolute;left:84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32" style="position:absolute;left:6330;top:750;width:60;height:60" fillcolor="#4f81bd" strokeweight="0"/>
                <v:shape id="_x0000_s1633" style="position:absolute;left:6322;top:7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group id="_x0000_s1634" style="position:absolute;left:2526;top:7000;width:3061;height:1366" coordorigin="787,2347" coordsize="3061,1366" wrapcoords="4870 0 1905 0 2011 3560 4552 4035 2117 5221 2329 7595 1905 11393 635 11868 423 12580 635 15191 0 18989 -105 21362 952 21362 4447 21125 4552 19463 15564 18514 15564 16615 5823 15191 6458 14953 9211 12105 9211 11393 9952 9257 9529 8070 2858 7595 21705 5696 21705 4035 9529 3085 5400 0 4870 0" o:regroupid="2">
                <v:oval id="_x0000_s1635" style="position:absolute;left:2100;top:2910;width:60;height:60" fillcolor="#4f81bd" strokeweight="0"/>
                <v:shape id="_x0000_s1636" style="position:absolute;left:2092;top:29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37" style="position:absolute;left:1515;top:3285;width:60;height:60" fillcolor="#4f81bd" strokeweight="0"/>
                <v:shape id="_x0000_s1638" style="position:absolute;left:1507;top:32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39" style="position:absolute;left:1500;top:3195;width:60;height:60" fillcolor="#4f81bd" strokeweight="0"/>
                <v:shape id="_x0000_s1640" style="position:absolute;left:1492;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41" style="position:absolute;left:1005;top:3270;width:60;height:60" fillcolor="#4f81bd" strokeweight="0"/>
                <v:shape id="_x0000_s1642" style="position:absolute;left:99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43" style="position:absolute;left:915;top:3540;width:60;height:60" fillcolor="#4f81bd" strokeweight="0"/>
                <v:shape id="_x0000_s1644" style="position:absolute;left:90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45" style="position:absolute;left:1335;top:3420;width:60;height:60" fillcolor="#4f81bd" strokeweight="0"/>
                <v:shape id="_x0000_s1646" style="position:absolute;left:132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47" style="position:absolute;left:1335;top:3270;width:60;height:60" fillcolor="#4f81bd" strokeweight="0"/>
                <v:shape id="_x0000_s1648" style="position:absolute;left:132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49" style="position:absolute;left:1905;top:2865;width:60;height:60" fillcolor="#4f81bd" strokeweight="0"/>
                <v:shape id="_x0000_s1650" style="position:absolute;left:1897;top:28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51" style="position:absolute;left:1125;top:3420;width:60;height:60" fillcolor="#4f81bd" strokeweight="0"/>
                <v:shape id="_x0000_s1652" style="position:absolute;left:111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53" style="position:absolute;left:1335;top:3600;width:60;height:60" fillcolor="#4f81bd" strokeweight="0"/>
                <v:shape id="_x0000_s1654" style="position:absolute;left:132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55" style="position:absolute;left:885;top:3330;width:60;height:60" fillcolor="#4f81bd" strokeweight="0"/>
                <v:shape id="_x0000_s1656" style="position:absolute;left:877;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57" style="position:absolute;left:1110;top:3510;width:60;height:60" fillcolor="#4f81bd" strokeweight="0"/>
                <v:shape id="_x0000_s1658" style="position:absolute;left:110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59" style="position:absolute;left:930;top:3255;width:60;height:60" fillcolor="#4f81bd" strokeweight="0"/>
                <v:shape id="_x0000_s1660" style="position:absolute;left:922;top:32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61" style="position:absolute;left:2910;top:3435;width:60;height:60" fillcolor="#4f81bd" strokeweight="0"/>
                <v:shape id="_x0000_s1662" style="position:absolute;left:290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63" style="position:absolute;left:825;top:3525;width:60;height:60" fillcolor="#4f81bd" strokeweight="0"/>
                <v:shape id="_x0000_s1664" style="position:absolute;left:81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65" style="position:absolute;left:885;top:3390;width:60;height:60" fillcolor="#4f81bd" strokeweight="0"/>
                <v:shape id="_x0000_s1666" style="position:absolute;left:877;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67" style="position:absolute;left:975;top:3480;width:60;height:60" fillcolor="#4f81bd" strokeweight="0"/>
                <v:shape id="_x0000_s1668" style="position:absolute;left:96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69" style="position:absolute;left:960;top:3540;width:60;height:60" fillcolor="#4f81bd" strokeweight="0"/>
                <v:shape id="_x0000_s1670" style="position:absolute;left:95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71" style="position:absolute;left:915;top:3570;width:60;height:60" fillcolor="#4f81bd" strokeweight="0"/>
                <v:shape id="_x0000_s1672" style="position:absolute;left:90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73" style="position:absolute;left:1650;top:3375;width:60;height:60" fillcolor="#4f81bd" strokeweight="0"/>
                <v:shape id="_x0000_s1674" style="position:absolute;left:164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75" style="position:absolute;left:855;top:3555;width:60;height:60" fillcolor="#4f81bd" strokeweight="0"/>
                <v:shape id="_x0000_s1676" style="position:absolute;left:84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77" style="position:absolute;left:1995;top:3060;width:60;height:60" fillcolor="#4f81bd" strokeweight="0"/>
                <v:shape id="_x0000_s1678" style="position:absolute;left:1987;top:30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79" style="position:absolute;left:915;top:3540;width:60;height:60" fillcolor="#4f81bd" strokeweight="0"/>
                <v:shape id="_x0000_s1680" style="position:absolute;left:90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81" style="position:absolute;left:945;top:3495;width:60;height:60" fillcolor="#4f81bd" strokeweight="0"/>
                <v:shape id="_x0000_s1682" style="position:absolute;left:93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83" style="position:absolute;left:795;top:3630;width:60;height:60" fillcolor="#4f81bd" strokeweight="0"/>
                <v:shape id="_x0000_s1684"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85" style="position:absolute;left:870;top:3525;width:60;height:60" fillcolor="#4f81bd" strokeweight="0"/>
                <v:shape id="_x0000_s1686" style="position:absolute;left:86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87" style="position:absolute;left:930;top:3435;width:60;height:60" fillcolor="#4f81bd" strokeweight="0"/>
                <v:shape id="_x0000_s1688" style="position:absolute;left:92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89" style="position:absolute;left:840;top:3555;width:60;height:60" fillcolor="#4f81bd" strokeweight="0"/>
                <v:shape id="_x0000_s1690" style="position:absolute;left:83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91" style="position:absolute;left:885;top:3555;width:60;height:60" fillcolor="#4f81bd" strokeweight="0"/>
                <v:shape id="_x0000_s1692" style="position:absolute;left:87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93" style="position:absolute;left:1170;top:3540;width:60;height:60" fillcolor="#4f81bd" strokeweight="0"/>
                <v:shape id="_x0000_s1694" style="position:absolute;left:116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95" style="position:absolute;left:1065;top:3615;width:60;height:60" fillcolor="#4f81bd" strokeweight="0"/>
                <v:shape id="_x0000_s1696" style="position:absolute;left:105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97" style="position:absolute;left:855;top:3465;width:60;height:60" fillcolor="#4f81bd" strokeweight="0"/>
                <v:shape id="_x0000_s1698" style="position:absolute;left:84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699" style="position:absolute;left:1020;top:3495;width:60;height:60" fillcolor="#4f81bd" strokeweight="0"/>
                <v:shape id="_x0000_s1700" style="position:absolute;left:101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01" style="position:absolute;left:960;top:3390;width:60;height:60" fillcolor="#4f81bd" strokeweight="0"/>
                <v:shape id="_x0000_s1702" style="position:absolute;left:95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03" style="position:absolute;left:870;top:3135;width:60;height:60" fillcolor="#4f81bd" strokeweight="0"/>
                <v:shape id="_x0000_s1704" style="position:absolute;left:862;top:31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05" style="position:absolute;left:1215;top:2490;width:60;height:60" fillcolor="#4f81bd" strokeweight="0"/>
                <v:shape id="_x0000_s1706" style="position:absolute;left:1207;top:24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07" style="position:absolute;left:1080;top:2370;width:60;height:60" fillcolor="#4f81bd" strokeweight="0"/>
                <v:shape id="_x0000_s1708" style="position:absolute;left:1072;top:23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09" style="position:absolute;left:1620;top:3135;width:60;height:60" fillcolor="#4f81bd" strokeweight="0"/>
                <v:shape id="_x0000_s1710" style="position:absolute;left:1612;top:31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11" style="position:absolute;left:1170;top:3435;width:60;height:60" fillcolor="#4f81bd" strokeweight="0"/>
                <v:shape id="_x0000_s1712" style="position:absolute;left:116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13" style="position:absolute;left:915;top:3555;width:60;height:60" fillcolor="#4f81bd" strokeweight="0"/>
                <v:shape id="_x0000_s1714" style="position:absolute;left:90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15" style="position:absolute;left:1380;top:2625;width:60;height:60" fillcolor="#4f81bd" strokeweight="0"/>
                <v:shape id="_x0000_s1716" style="position:absolute;left:1372;top:26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17" style="position:absolute;left:840;top:3540;width:60;height:60" fillcolor="#4f81bd" strokeweight="0"/>
                <v:shape id="_x0000_s1718" style="position:absolute;left:83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19" style="position:absolute;left:1125;top:2760;width:60;height:60" fillcolor="#4f81bd" strokeweight="0"/>
                <v:shape id="_x0000_s1720" style="position:absolute;left:1117;top:27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21" style="position:absolute;left:3780;top:2625;width:60;height:60" fillcolor="#4f81bd" strokeweight="0"/>
                <v:shape id="_x0000_s1722" style="position:absolute;left:3772;top:26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23" style="position:absolute;left:2160;top:3420;width:60;height:60" fillcolor="#4f81bd" strokeweight="0"/>
                <v:shape id="_x0000_s1724" style="position:absolute;left:2152;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25" style="position:absolute;left:1410;top:3210;width:60;height:60" fillcolor="#4f81bd" strokeweight="0"/>
                <v:shape id="_x0000_s1726" style="position:absolute;left:1402;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27" style="position:absolute;left:1230;top:3000;width:60;height:60" fillcolor="#4f81bd" strokeweight="0"/>
                <v:shape id="_x0000_s1728" style="position:absolute;left:1222;top:29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29" style="position:absolute;left:1485;top:2355;width:60;height:60" fillcolor="#4f81bd" strokeweight="0"/>
                <v:shape id="_x0000_s1730" style="position:absolute;left:1477;top:23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31" style="position:absolute;left:1065;top:3090;width:60;height:60" fillcolor="#4f81bd" strokeweight="0"/>
                <v:shape id="_x0000_s1732" style="position:absolute;left:1057;top:30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33" style="position:absolute;left:1335;top:3315;width:60;height:60" fillcolor="#4f81bd" strokeweight="0"/>
                <v:shape id="_x0000_s1734" style="position:absolute;left:1327;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35" style="position:absolute;left:810;top:3645;width:60;height:60" fillcolor="#4f81bd" strokeweight="0"/>
                <v:shape id="_x0000_s1736"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37" style="position:absolute;left:930;top:3495;width:60;height:60" fillcolor="#4f81bd" strokeweight="0"/>
                <v:shape id="_x0000_s1738" style="position:absolute;left:92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39" style="position:absolute;left:1230;top:3375;width:60;height:60" fillcolor="#4f81bd" strokeweight="0"/>
                <v:shape id="_x0000_s1740" style="position:absolute;left:122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41" style="position:absolute;left:795;top:3645;width:60;height:60" fillcolor="#4f81bd" strokeweight="0"/>
                <v:shape id="_x0000_s1742"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43" style="position:absolute;left:1455;top:3195;width:60;height:60" fillcolor="#4f81bd" strokeweight="0"/>
                <v:shape id="_x0000_s1744" style="position:absolute;left:1447;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45" style="position:absolute;left:990;top:3480;width:60;height:60" fillcolor="#4f81bd" strokeweight="0"/>
                <v:shape id="_x0000_s1746" style="position:absolute;left:98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47" style="position:absolute;left:825;top:3615;width:60;height:60" fillcolor="#4f81bd" strokeweight="0"/>
                <v:shape id="_x0000_s1748"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49" style="position:absolute;left:960;top:3600;width:60;height:60" fillcolor="#4f81bd" strokeweight="0"/>
                <v:shape id="_x0000_s1750" style="position:absolute;left:95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51" style="position:absolute;left:1770;top:3105;width:60;height:60" fillcolor="#4f81bd" strokeweight="0"/>
                <v:shape id="_x0000_s1752" style="position:absolute;left:1762;top:30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53" style="position:absolute;left:1410;top:3210;width:60;height:60" fillcolor="#4f81bd" strokeweight="0"/>
                <v:shape id="_x0000_s1754" style="position:absolute;left:1402;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55" style="position:absolute;left:900;top:3435;width:60;height:60" fillcolor="#4f81bd" strokeweight="0"/>
                <v:shape id="_x0000_s1756" style="position:absolute;left:89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57" style="position:absolute;left:960;top:3495;width:60;height:60" fillcolor="#4f81bd" strokeweight="0"/>
                <v:shape id="_x0000_s1758" style="position:absolute;left:95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59" style="position:absolute;left:915;top:3540;width:60;height:60" fillcolor="#4f81bd" strokeweight="0"/>
                <v:shape id="_x0000_s1760" style="position:absolute;left:90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61" style="position:absolute;left:1245;top:3375;width:60;height:60" fillcolor="#4f81bd" strokeweight="0"/>
                <v:shape id="_x0000_s1762" style="position:absolute;left:1237;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63" style="position:absolute;left:885;top:3615;width:60;height:60" fillcolor="#4f81bd" strokeweight="0"/>
                <v:shape id="_x0000_s1764" style="position:absolute;left:87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65" style="position:absolute;left:990;top:3585;width:60;height:60" fillcolor="#4f81bd" strokeweight="0"/>
                <v:shape id="_x0000_s1766" style="position:absolute;left:98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67" style="position:absolute;left:825;top:3630;width:60;height:60" fillcolor="#4f81bd" strokeweight="0"/>
                <v:shape id="_x0000_s1768"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69" style="position:absolute;left:2490;top:2625;width:60;height:60" fillcolor="#4f81bd" strokeweight="0"/>
                <v:shape id="_x0000_s1770" style="position:absolute;left:2482;top:26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71" style="position:absolute;left:840;top:3645;width:60;height:60" fillcolor="#4f81bd" strokeweight="0"/>
                <v:shape id="_x0000_s1772" style="position:absolute;left:83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73" style="position:absolute;left:810;top:3630;width:60;height:60" fillcolor="#4f81bd" strokeweight="0"/>
                <v:shape id="_x0000_s1774"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75" style="position:absolute;left:1410;top:3390;width:60;height:60" fillcolor="#4f81bd" strokeweight="0"/>
                <v:shape id="_x0000_s1776" style="position:absolute;left:1402;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77" style="position:absolute;left:1035;top:3420;width:60;height:60" fillcolor="#4f81bd" strokeweight="0"/>
                <v:shape id="_x0000_s1778" style="position:absolute;left:102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79" style="position:absolute;left:915;top:3330;width:60;height:60" fillcolor="#4f81bd" strokeweight="0"/>
                <v:shape id="_x0000_s1780" style="position:absolute;left:907;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81" style="position:absolute;left:945;top:3510;width:60;height:60" fillcolor="#4f81bd" strokeweight="0"/>
                <v:shape id="_x0000_s1782" style="position:absolute;left:93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83" style="position:absolute;left:975;top:3405;width:60;height:60" fillcolor="#4f81bd" strokeweight="0"/>
                <v:shape id="_x0000_s1784" style="position:absolute;left:96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85" style="position:absolute;left:1230;top:3315;width:60;height:60" fillcolor="#4f81bd" strokeweight="0"/>
                <v:shape id="_x0000_s1786" style="position:absolute;left:1222;top:33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87" style="position:absolute;left:1500;top:2940;width:60;height:60" fillcolor="#4f81bd" strokeweight="0"/>
                <v:shape id="_x0000_s1788" style="position:absolute;left:1492;top:29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89" style="position:absolute;left:975;top:3405;width:60;height:60" fillcolor="#4f81bd" strokeweight="0"/>
                <v:shape id="_x0000_s1790" style="position:absolute;left:96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91" style="position:absolute;left:1185;top:3210;width:60;height:60" fillcolor="#4f81bd" strokeweight="0"/>
                <v:shape id="_x0000_s1792" style="position:absolute;left:1177;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93" style="position:absolute;left:1110;top:3360;width:60;height:60" fillcolor="#4f81bd" strokeweight="0"/>
                <v:shape id="_x0000_s1794" style="position:absolute;left:1102;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95" style="position:absolute;left:930;top:3555;width:60;height:60" fillcolor="#4f81bd" strokeweight="0"/>
                <v:shape id="_x0000_s1796" style="position:absolute;left:92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97" style="position:absolute;left:840;top:3615;width:60;height:60" fillcolor="#4f81bd" strokeweight="0"/>
                <v:shape id="_x0000_s1798"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799" style="position:absolute;left:1260;top:3345;width:60;height:60" fillcolor="#4f81bd" strokeweight="0"/>
                <v:shape id="_x0000_s1800" style="position:absolute;left:1252;top:33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01" style="position:absolute;left:1005;top:3480;width:60;height:60" fillcolor="#4f81bd" strokeweight="0"/>
                <v:shape id="_x0000_s1802" style="position:absolute;left:99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03" style="position:absolute;left:945;top:3555;width:60;height:60" fillcolor="#4f81bd" strokeweight="0"/>
                <v:shape id="_x0000_s1804" style="position:absolute;left:93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05" style="position:absolute;left:1185;top:3420;width:60;height:60" fillcolor="#4f81bd" strokeweight="0"/>
                <v:shape id="_x0000_s1806" style="position:absolute;left:117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07" style="position:absolute;left:960;top:3540;width:60;height:60" fillcolor="#4f81bd" strokeweight="0"/>
                <v:shape id="_x0000_s1808" style="position:absolute;left:95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09" style="position:absolute;left:1020;top:3495;width:60;height:60" fillcolor="#4f81bd" strokeweight="0"/>
                <v:shape id="_x0000_s1810" style="position:absolute;left:101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11" style="position:absolute;left:900;top:3555;width:60;height:60" fillcolor="#4f81bd" strokeweight="0"/>
                <v:shape id="_x0000_s1812"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13" style="position:absolute;left:1200;top:3435;width:60;height:60" fillcolor="#4f81bd" strokeweight="0"/>
                <v:shape id="_x0000_s1814" style="position:absolute;left:119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15" style="position:absolute;left:1065;top:3480;width:60;height:60" fillcolor="#4f81bd" strokeweight="0"/>
                <v:shape id="_x0000_s1816" style="position:absolute;left:105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17" style="position:absolute;left:960;top:3555;width:60;height:60" fillcolor="#4f81bd" strokeweight="0"/>
                <v:shape id="_x0000_s1818" style="position:absolute;left:95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19" style="position:absolute;left:1050;top:3420;width:60;height:60" fillcolor="#4f81bd" strokeweight="0"/>
                <v:shape id="_x0000_s1820" style="position:absolute;left:1042;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21" style="position:absolute;left:840;top:3600;width:60;height:60" fillcolor="#4f81bd" strokeweight="0"/>
                <v:shape id="_x0000_s1822"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23" style="position:absolute;left:1080;top:3465;width:60;height:60" fillcolor="#4f81bd" strokeweight="0"/>
                <v:shape id="_x0000_s1824" style="position:absolute;left:107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25" style="position:absolute;left:825;top:3630;width:60;height:60" fillcolor="#4f81bd" strokeweight="0"/>
                <v:shape id="_x0000_s1826"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27" style="position:absolute;left:1725;top:3075;width:60;height:60" fillcolor="#4f81bd" strokeweight="0"/>
                <v:shape id="_x0000_s1828" style="position:absolute;left:1717;top:30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29" style="position:absolute;left:870;top:3570;width:60;height:60" fillcolor="#4f81bd" strokeweight="0"/>
                <v:shape id="_x0000_s1830" style="position:absolute;left:86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31" style="position:absolute;left:975;top:3510;width:60;height:60" fillcolor="#4f81bd" strokeweight="0"/>
                <v:shape id="_x0000_s1832" style="position:absolute;left:96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33" style="position:absolute;left:1245;top:3375;width:60;height:60" fillcolor="#4f81bd" strokeweight="0"/>
                <v:shape id="_x0000_s1834" style="position:absolute;left:1237;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group id="_x0000_s1835" style="position:absolute;left:2526;top:6265;width:2671;height:2101" coordorigin="787,1612" coordsize="2671,2101" wrapcoords="15896 0 12134 2005 10921 2468 10921 4937 3155 4937 3155 5862 10921 7405 11042 9720 9222 10337 9343 11108 10921 12342 3033 13422 485 13885 606 16508 1577 17125 4368 17280 849 18051 242 18360 485 19748 -121 20828 -121 21445 1092 21445 1577 21445 4125 20057 4125 19748 8858 17588 8858 17280 9343 16200 1334 14811 7159 14657 10557 13885 10921 12342 13712 11571 12984 10954 10921 9874 21721 8948 21721 7868 10800 7251 10921 2468 14804 1542 16746 771 16624 0 15896 0" o:regroupid="2">
                <v:oval id="_x0000_s1836" style="position:absolute;left:840;top:3615;width:60;height:60" fillcolor="#4f81bd" strokeweight="0"/>
                <v:shape id="_x0000_s1837"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38" style="position:absolute;left:1245;top:3405;width:60;height:60" fillcolor="#4f81bd" strokeweight="0"/>
                <v:shape id="_x0000_s1839" style="position:absolute;left:123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40" style="position:absolute;left:1005;top:3420;width:60;height:60" fillcolor="#4f81bd" strokeweight="0"/>
                <v:shape id="_x0000_s1841" style="position:absolute;left:997;top:34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42" style="position:absolute;left:2400;top:2730;width:60;height:60" fillcolor="#4f81bd" strokeweight="0"/>
                <v:shape id="_x0000_s1843" style="position:absolute;left:2392;top:27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44" style="position:absolute;left:930;top:3585;width:60;height:60" fillcolor="#4f81bd" strokeweight="0"/>
                <v:shape id="_x0000_s1845" style="position:absolute;left:92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46" style="position:absolute;left:1230;top:3360;width:60;height:60" fillcolor="#4f81bd" strokeweight="0"/>
                <v:shape id="_x0000_s1847" style="position:absolute;left:1222;top:33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48" style="position:absolute;left:885;top:3585;width:60;height:60" fillcolor="#4f81bd" strokeweight="0"/>
                <v:shape id="_x0000_s1849" style="position:absolute;left:87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50" style="position:absolute;left:825;top:3615;width:60;height:60" fillcolor="#4f81bd" strokeweight="0"/>
                <v:shape id="_x0000_s1851"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52" style="position:absolute;left:870;top:3600;width:60;height:60" fillcolor="#4f81bd" strokeweight="0"/>
                <v:shape id="_x0000_s1853" style="position:absolute;left:86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54" style="position:absolute;left:915;top:3510;width:60;height:60" fillcolor="#4f81bd" strokeweight="0"/>
                <v:shape id="_x0000_s1855" style="position:absolute;left:90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56" style="position:absolute;left:1530;top:3180;width:60;height:60" fillcolor="#4f81bd" strokeweight="0"/>
                <v:shape id="_x0000_s1857" style="position:absolute;left:1522;top:31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58" style="position:absolute;left:855;top:3585;width:60;height:60" fillcolor="#4f81bd" strokeweight="0"/>
                <v:shape id="_x0000_s1859"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60" style="position:absolute;left:915;top:3555;width:60;height:60" fillcolor="#4f81bd" strokeweight="0"/>
                <v:shape id="_x0000_s1861" style="position:absolute;left:90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62" style="position:absolute;left:900;top:3570;width:60;height:60" fillcolor="#4f81bd" strokeweight="0"/>
                <v:shape id="_x0000_s1863" style="position:absolute;left:89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64" style="position:absolute;left:795;top:3630;width:60;height:60" fillcolor="#4f81bd" strokeweight="0"/>
                <v:shape id="_x0000_s1865"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66" style="position:absolute;left:1965;top:2895;width:60;height:60" fillcolor="#4f81bd" strokeweight="0"/>
                <v:shape id="_x0000_s1867" style="position:absolute;left:1957;top:28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68" style="position:absolute;left:840;top:3645;width:60;height:60" fillcolor="#4f81bd" strokeweight="0"/>
                <v:shape id="_x0000_s1869" style="position:absolute;left:83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70" style="position:absolute;left:945;top:3525;width:60;height:60" fillcolor="#4f81bd" strokeweight="0"/>
                <v:shape id="_x0000_s1871" style="position:absolute;left:93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72" style="position:absolute;left:825;top:3630;width:60;height:60" fillcolor="#4f81bd" strokeweight="0"/>
                <v:shape id="_x0000_s1873"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74" style="position:absolute;left:840;top:3615;width:60;height:60" fillcolor="#4f81bd" strokeweight="0"/>
                <v:shape id="_x0000_s1875"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76" style="position:absolute;left:795;top:3630;width:60;height:60" fillcolor="#4f81bd" strokeweight="0"/>
                <v:shape id="_x0000_s1877"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78" style="position:absolute;left:825;top:3600;width:60;height:60" fillcolor="#4f81bd" strokeweight="0"/>
                <v:shape id="_x0000_s1879" style="position:absolute;left:81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80" style="position:absolute;left:870;top:3570;width:60;height:60" fillcolor="#4f81bd" strokeweight="0"/>
                <v:shape id="_x0000_s1881" style="position:absolute;left:86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82" style="position:absolute;left:1470;top:3195;width:60;height:60" fillcolor="#4f81bd" strokeweight="0"/>
                <v:shape id="_x0000_s1883" style="position:absolute;left:1462;top:31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84" style="position:absolute;left:915;top:3600;width:60;height:60" fillcolor="#4f81bd" strokeweight="0"/>
                <v:shape id="_x0000_s1885" style="position:absolute;left:90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86" style="position:absolute;left:855;top:3585;width:60;height:60" fillcolor="#4f81bd" strokeweight="0"/>
                <v:shape id="_x0000_s1887"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88" style="position:absolute;left:960;top:3510;width:60;height:60" fillcolor="#4f81bd" strokeweight="0"/>
                <v:shape id="_x0000_s1889" style="position:absolute;left:95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90" style="position:absolute;left:1890;top:2910;width:60;height:60" fillcolor="#4f81bd" strokeweight="0"/>
                <v:shape id="_x0000_s1891" style="position:absolute;left:1882;top:29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92" style="position:absolute;left:2775;top:1620;width:60;height:60" fillcolor="#4f81bd" strokeweight="0"/>
                <v:shape id="_x0000_s1893" style="position:absolute;left:2767;top:16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94" style="position:absolute;left:1755;top:3270;width:60;height:60" fillcolor="#4f81bd" strokeweight="0"/>
                <v:shape id="_x0000_s1895" style="position:absolute;left:1747;top:32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96" style="position:absolute;left:3390;top:2400;width:60;height:60" fillcolor="#4f81bd" strokeweight="0"/>
                <v:shape id="_x0000_s1897" style="position:absolute;left:3382;top:23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898" style="position:absolute;left:885;top:2985;width:60;height:60" fillcolor="#4f81bd" strokeweight="0"/>
                <v:shape id="_x0000_s1899" style="position:absolute;left:877;top:29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00" style="position:absolute;left:900;top:3165;width:60;height:60" fillcolor="#4f81bd" strokeweight="0"/>
                <v:shape id="_x0000_s1901" style="position:absolute;left:892;top:31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02" style="position:absolute;left:1065;top:3165;width:60;height:60" fillcolor="#4f81bd" strokeweight="0"/>
                <v:shape id="_x0000_s1903" style="position:absolute;left:1057;top:31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04" style="position:absolute;left:900;top:3600;width:60;height:60" fillcolor="#4f81bd" strokeweight="0"/>
                <v:shape id="_x0000_s1905" style="position:absolute;left:89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06" style="position:absolute;left:1005;top:3510;width:60;height:60" fillcolor="#4f81bd" strokeweight="0"/>
                <v:shape id="_x0000_s1907" style="position:absolute;left:99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08" style="position:absolute;left:1800;top:3240;width:60;height:60" fillcolor="#4f81bd" strokeweight="0"/>
                <v:shape id="_x0000_s1909" style="position:absolute;left:1792;top:32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10" style="position:absolute;left:930;top:3570;width:60;height:60" fillcolor="#4f81bd" strokeweight="0"/>
                <v:shape id="_x0000_s1911" style="position:absolute;left:92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12" style="position:absolute;left:960;top:3540;width:60;height:60" fillcolor="#4f81bd" strokeweight="0"/>
                <v:shape id="_x0000_s1913" style="position:absolute;left:95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14" style="position:absolute;left:1245;top:3390;width:60;height:60" fillcolor="#4f81bd" strokeweight="0"/>
                <v:shape id="_x0000_s1915" style="position:absolute;left:1237;top:33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16" style="position:absolute;left:1200;top:3510;width:60;height:60" fillcolor="#4f81bd" strokeweight="0"/>
                <v:shape id="_x0000_s1917" style="position:absolute;left:119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18" style="position:absolute;left:1350;top:3240;width:60;height:60" fillcolor="#4f81bd" strokeweight="0"/>
                <v:shape id="_x0000_s1919" style="position:absolute;left:1342;top:32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20" style="position:absolute;left:1965;top:2625;width:60;height:60" fillcolor="#4f81bd" strokeweight="0"/>
                <v:shape id="_x0000_s1921" style="position:absolute;left:1957;top:26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22" style="position:absolute;left:840;top:3615;width:60;height:60" fillcolor="#4f81bd" strokeweight="0"/>
                <v:shape id="_x0000_s1923"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24" style="position:absolute;left:975;top:3525;width:60;height:60" fillcolor="#4f81bd" strokeweight="0"/>
                <v:shape id="_x0000_s1925" style="position:absolute;left:96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26" style="position:absolute;left:1170;top:3405;width:60;height:60" fillcolor="#4f81bd" strokeweight="0"/>
                <v:shape id="_x0000_s1927" style="position:absolute;left:1162;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28" style="position:absolute;left:825;top:3615;width:60;height:60" fillcolor="#4f81bd" strokeweight="0"/>
                <v:shape id="_x0000_s1929"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30" style="position:absolute;left:795;top:3645;width:60;height:60" fillcolor="#4f81bd" strokeweight="0"/>
                <v:shape id="_x0000_s1931"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32" style="position:absolute;left:840;top:3615;width:60;height:60" fillcolor="#4f81bd" strokeweight="0"/>
                <v:shape id="_x0000_s1933"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34" style="position:absolute;left:825;top:3630;width:60;height:60" fillcolor="#4f81bd" strokeweight="0"/>
                <v:shape id="_x0000_s1935"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36" style="position:absolute;left:1050;top:3510;width:60;height:60" fillcolor="#4f81bd" strokeweight="0"/>
                <v:shape id="_x0000_s1937" style="position:absolute;left:1042;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38" style="position:absolute;left:810;top:3630;width:60;height:60" fillcolor="#4f81bd" strokeweight="0"/>
                <v:shape id="_x0000_s1939"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40" style="position:absolute;left:870;top:3600;width:60;height:60" fillcolor="#4f81bd" strokeweight="0"/>
                <v:shape id="_x0000_s1941" style="position:absolute;left:86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42" style="position:absolute;left:795;top:3630;width:60;height:60" fillcolor="#4f81bd" strokeweight="0"/>
                <v:shape id="_x0000_s1943"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44" style="position:absolute;left:1845;top:3210;width:60;height:60" fillcolor="#4f81bd" strokeweight="0"/>
                <v:shape id="_x0000_s1945" style="position:absolute;left:1837;top:32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46" style="position:absolute;left:1200;top:2115;width:60;height:60" fillcolor="#4f81bd" strokeweight="0"/>
                <v:shape id="_x0000_s1947" style="position:absolute;left:1192;top:21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48" style="position:absolute;left:840;top:3630;width:60;height:60" fillcolor="#4f81bd" strokeweight="0"/>
                <v:shape id="_x0000_s1949" style="position:absolute;left:83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50" style="position:absolute;left:945;top:3540;width:60;height:60" fillcolor="#4f81bd" strokeweight="0"/>
                <v:shape id="_x0000_s1951" style="position:absolute;left:93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52" style="position:absolute;left:990;top:3540;width:60;height:60" fillcolor="#4f81bd" strokeweight="0"/>
                <v:shape id="_x0000_s1953" style="position:absolute;left:98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54" style="position:absolute;left:810;top:3630;width:60;height:60" fillcolor="#4f81bd" strokeweight="0"/>
                <v:shape id="_x0000_s1955"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56" style="position:absolute;left:825;top:3645;width:60;height:60" fillcolor="#4f81bd" strokeweight="0"/>
                <v:shape id="_x0000_s1957" style="position:absolute;left:81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58" style="position:absolute;left:1035;top:3495;width:60;height:60" fillcolor="#4f81bd" strokeweight="0"/>
                <v:shape id="_x0000_s1959" style="position:absolute;left:102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60" style="position:absolute;left:810;top:3615;width:60;height:60" fillcolor="#4f81bd" strokeweight="0"/>
                <v:shape id="_x0000_s1961" style="position:absolute;left:80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62" style="position:absolute;left:825;top:3630;width:60;height:60" fillcolor="#4f81bd" strokeweight="0"/>
                <v:shape id="_x0000_s1963"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64" style="position:absolute;left:870;top:3600;width:60;height:60" fillcolor="#4f81bd" strokeweight="0"/>
                <v:shape id="_x0000_s1965" style="position:absolute;left:86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66" style="position:absolute;left:795;top:3630;width:60;height:60" fillcolor="#4f81bd" strokeweight="0"/>
                <v:shape id="_x0000_s1967"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68" style="position:absolute;left:825;top:3630;width:60;height:60" fillcolor="#4f81bd" strokeweight="0"/>
                <v:shape id="_x0000_s1969"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70" style="position:absolute;left:810;top:3630;width:60;height:60" fillcolor="#4f81bd" strokeweight="0"/>
                <v:shape id="_x0000_s1971"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72" style="position:absolute;left:825;top:3630;width:60;height:60" fillcolor="#4f81bd" strokeweight="0"/>
                <v:shape id="_x0000_s1973"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74" style="position:absolute;left:840;top:3600;width:60;height:60" fillcolor="#4f81bd" strokeweight="0"/>
                <v:shape id="_x0000_s1975"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76" style="position:absolute;left:870;top:3600;width:60;height:60" fillcolor="#4f81bd" strokeweight="0"/>
                <v:shape id="_x0000_s1977" style="position:absolute;left:86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78" style="position:absolute;left:825;top:3630;width:60;height:60" fillcolor="#4f81bd" strokeweight="0"/>
                <v:shape id="_x0000_s1979"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80" style="position:absolute;left:885;top:3600;width:60;height:60" fillcolor="#4f81bd" strokeweight="0"/>
                <v:shape id="_x0000_s1981"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82" style="position:absolute;left:945;top:3540;width:60;height:60" fillcolor="#4f81bd" strokeweight="0"/>
                <v:shape id="_x0000_s1983" style="position:absolute;left:93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84" style="position:absolute;left:930;top:3525;width:60;height:60" fillcolor="#4f81bd" strokeweight="0"/>
                <v:shape id="_x0000_s1985" style="position:absolute;left:92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86" style="position:absolute;left:930;top:3540;width:60;height:60" fillcolor="#4f81bd" strokeweight="0"/>
                <v:shape id="_x0000_s1987" style="position:absolute;left:92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88" style="position:absolute;left:810;top:3615;width:60;height:60" fillcolor="#4f81bd" strokeweight="0"/>
                <v:shape id="_x0000_s1989" style="position:absolute;left:80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90" style="position:absolute;left:840;top:3600;width:60;height:60" fillcolor="#4f81bd" strokeweight="0"/>
                <v:shape id="_x0000_s1991"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92" style="position:absolute;left:855;top:3615;width:60;height:60" fillcolor="#4f81bd" strokeweight="0"/>
                <v:shape id="_x0000_s1993" style="position:absolute;left:84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94" style="position:absolute;left:825;top:3630;width:60;height:60" fillcolor="#4f81bd" strokeweight="0"/>
                <v:shape id="_x0000_s1995"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96" style="position:absolute;left:825;top:3615;width:60;height:60" fillcolor="#4f81bd" strokeweight="0"/>
                <v:shape id="_x0000_s1997"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1998" style="position:absolute;left:810;top:3645;width:60;height:60" fillcolor="#4f81bd" strokeweight="0"/>
                <v:shape id="_x0000_s1999"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00" style="position:absolute;left:1170;top:3465;width:60;height:60" fillcolor="#4f81bd" strokeweight="0"/>
                <v:shape id="_x0000_s2001" style="position:absolute;left:116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02" style="position:absolute;left:855;top:3405;width:60;height:60" fillcolor="#4f81bd" strokeweight="0"/>
                <v:shape id="_x0000_s2003" style="position:absolute;left:84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04" style="position:absolute;left:810;top:3630;width:60;height:60" fillcolor="#4f81bd" strokeweight="0"/>
                <v:shape id="_x0000_s2005"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06" style="position:absolute;left:810;top:3645;width:60;height:60" fillcolor="#4f81bd" strokeweight="0"/>
                <v:shape id="_x0000_s2007"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08" style="position:absolute;left:870;top:3480;width:60;height:60" fillcolor="#4f81bd" strokeweight="0"/>
                <v:shape id="_x0000_s2009" style="position:absolute;left:862;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10" style="position:absolute;left:885;top:3600;width:60;height:60" fillcolor="#4f81bd" strokeweight="0"/>
                <v:shape id="_x0000_s2011"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12" style="position:absolute;left:810;top:3630;width:60;height:60" fillcolor="#4f81bd" strokeweight="0"/>
                <v:shape id="_x0000_s2013"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14" style="position:absolute;left:885;top:3540;width:60;height:60" fillcolor="#4f81bd" strokeweight="0"/>
                <v:shape id="_x0000_s2015" style="position:absolute;left:87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16" style="position:absolute;left:825;top:3630;width:60;height:60" fillcolor="#4f81bd" strokeweight="0"/>
                <v:shape id="_x0000_s2017"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18" style="position:absolute;left:840;top:3615;width:60;height:60" fillcolor="#4f81bd" strokeweight="0"/>
                <v:shape id="_x0000_s2019"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20" style="position:absolute;left:975;top:3525;width:60;height:60" fillcolor="#4f81bd" strokeweight="0"/>
                <v:shape id="_x0000_s2021" style="position:absolute;left:96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22" style="position:absolute;left:810;top:3615;width:60;height:60" fillcolor="#4f81bd" strokeweight="0"/>
                <v:shape id="_x0000_s2023" style="position:absolute;left:80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24" style="position:absolute;left:810;top:3630;width:60;height:60" fillcolor="#4f81bd" strokeweight="0"/>
                <v:shape id="_x0000_s2025"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26" style="position:absolute;left:840;top:3615;width:60;height:60" fillcolor="#4f81bd" strokeweight="0"/>
                <v:shape id="_x0000_s2027" style="position:absolute;left:83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28" style="position:absolute;left:795;top:3645;width:60;height:60" fillcolor="#4f81bd" strokeweight="0"/>
                <v:shape id="_x0000_s2029"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30" style="position:absolute;left:810;top:3645;width:60;height:60" fillcolor="#4f81bd" strokeweight="0"/>
                <v:shape id="_x0000_s2031"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32" style="position:absolute;left:795;top:3645;width:60;height:60" fillcolor="#4f81bd" strokeweight="0"/>
                <v:shape id="_x0000_s2033"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34" style="position:absolute;left:960;top:3570;width:60;height:60" fillcolor="#4f81bd" strokeweight="0"/>
                <v:shape id="_x0000_s2035" style="position:absolute;left:95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group id="_x0000_s2036" style="position:absolute;left:2526;top:6580;width:3211;height:1786" coordorigin="787,1927" coordsize="3211,1786" wrapcoords="20994 0 13424 2359 10900 2904 11001 8531 3532 9983 9891 11616 3936 12705 2422 13250 4239 14521 908 14702 403 15065 504 17425 -100 20147 -100 21418 3633 21418 3734 20692 5450 19966 5551 17606 5955 17243 10497 15247 10497 14521 10900 8712 13020 7805 13020 6897 10900 5808 15342 4900 15342 3630 10900 2904 19177 1633 21801 907 21600 0 20994 0" o:regroupid="2">
                <v:oval id="_x0000_s2037" style="position:absolute;left:2985;top:2250;width:60;height:60" fillcolor="#4f81bd" strokeweight="0"/>
                <v:shape id="_x0000_s2038" style="position:absolute;left:2977;top:22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39" style="position:absolute;left:1155;top:3435;width:60;height:60" fillcolor="#4f81bd" strokeweight="0"/>
                <v:shape id="_x0000_s2040" style="position:absolute;left:1147;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41" style="position:absolute;left:870;top:3645;width:60;height:60" fillcolor="#4f81bd" strokeweight="0"/>
                <v:shape id="_x0000_s2042" style="position:absolute;left:86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43" style="position:absolute;left:1005;top:3495;width:60;height:60" fillcolor="#4f81bd" strokeweight="0"/>
                <v:shape id="_x0000_s2044" style="position:absolute;left:99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45" style="position:absolute;left:1365;top:3450;width:60;height:60" fillcolor="#4f81bd" strokeweight="0"/>
                <v:shape id="_x0000_s2046" style="position:absolute;left:135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47" style="position:absolute;left:810;top:3645;width:60;height:60" fillcolor="#4f81bd" strokeweight="0"/>
                <v:shape id="_x0000_s2048"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49" style="position:absolute;left:795;top:3645;width:60;height:60" fillcolor="#4f81bd" strokeweight="0"/>
                <v:shape id="_x0000_s2050"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51" style="position:absolute;left:915;top:3570;width:60;height:60" fillcolor="#4f81bd" strokeweight="0"/>
                <v:shape id="_x0000_s2052" style="position:absolute;left:90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53" style="position:absolute;left:1500;top:3240;width:60;height:60" fillcolor="#4f81bd" strokeweight="0"/>
                <v:shape id="_x0000_s2054" style="position:absolute;left:1492;top:32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55" style="position:absolute;left:1170;top:3525;width:60;height:60" fillcolor="#4f81bd" strokeweight="0"/>
                <v:shape id="_x0000_s2056" style="position:absolute;left:116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57" style="position:absolute;left:2145;top:3030;width:60;height:60" fillcolor="#4f81bd" strokeweight="0"/>
                <v:shape id="_x0000_s2058" style="position:absolute;left:2137;top:30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59" style="position:absolute;left:1125;top:2790;width:60;height:60" fillcolor="#4f81bd" strokeweight="0"/>
                <v:shape id="_x0000_s2060" style="position:absolute;left:1117;top:278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61" style="position:absolute;left:1050;top:3450;width:60;height:60" fillcolor="#4f81bd" strokeweight="0"/>
                <v:shape id="_x0000_s2062" style="position:absolute;left:1042;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63" style="position:absolute;left:990;top:3495;width:60;height:60" fillcolor="#4f81bd" strokeweight="0"/>
                <v:shape id="_x0000_s2064" style="position:absolute;left:982;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65" style="position:absolute;left:840;top:3600;width:60;height:60" fillcolor="#4f81bd" strokeweight="0"/>
                <v:shape id="_x0000_s2066"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67" style="position:absolute;left:795;top:3645;width:60;height:60" fillcolor="#4f81bd" strokeweight="0"/>
                <v:shape id="_x0000_s2068" style="position:absolute;left:78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69" style="position:absolute;left:810;top:3630;width:60;height:60" fillcolor="#4f81bd" strokeweight="0"/>
                <v:shape id="_x0000_s2070"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71" style="position:absolute;left:975;top:3570;width:60;height:60" fillcolor="#4f81bd" strokeweight="0"/>
                <v:shape id="_x0000_s2072" style="position:absolute;left:96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73" style="position:absolute;left:870;top:3615;width:60;height:60" fillcolor="#4f81bd" strokeweight="0"/>
                <v:shape id="_x0000_s2074" style="position:absolute;left:86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75" style="position:absolute;left:810;top:3645;width:60;height:60" fillcolor="#4f81bd" strokeweight="0"/>
                <v:shape id="_x0000_s2076"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77" style="position:absolute;left:1170;top:3435;width:60;height:60" fillcolor="#4f81bd" strokeweight="0"/>
                <v:shape id="_x0000_s2078" style="position:absolute;left:116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79" style="position:absolute;left:885;top:3615;width:60;height:60" fillcolor="#4f81bd" strokeweight="0"/>
                <v:shape id="_x0000_s2080" style="position:absolute;left:87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81" style="position:absolute;left:885;top:3600;width:60;height:60" fillcolor="#4f81bd" strokeweight="0"/>
                <v:shape id="_x0000_s2082"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83" style="position:absolute;left:810;top:3630;width:60;height:60" fillcolor="#4f81bd" strokeweight="0"/>
                <v:shape id="_x0000_s2084"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85" style="position:absolute;left:810;top:3615;width:60;height:60" fillcolor="#4f81bd" strokeweight="0"/>
                <v:shape id="_x0000_s2086" style="position:absolute;left:80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87" style="position:absolute;left:825;top:3615;width:60;height:60" fillcolor="#4f81bd" strokeweight="0"/>
                <v:shape id="_x0000_s2088"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89" style="position:absolute;left:960;top:3525;width:60;height:60" fillcolor="#4f81bd" strokeweight="0"/>
                <v:shape id="_x0000_s2090" style="position:absolute;left:95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91" style="position:absolute;left:810;top:3645;width:60;height:60" fillcolor="#4f81bd" strokeweight="0"/>
                <v:shape id="_x0000_s2092" style="position:absolute;left:802;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93" style="position:absolute;left:825;top:3495;width:60;height:60" fillcolor="#4f81bd" strokeweight="0"/>
                <v:shape id="_x0000_s2094" style="position:absolute;left:81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95" style="position:absolute;left:840;top:3630;width:60;height:60" fillcolor="#4f81bd" strokeweight="0"/>
                <v:shape id="_x0000_s2096" style="position:absolute;left:83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97" style="position:absolute;left:900;top:3555;width:60;height:60" fillcolor="#4f81bd" strokeweight="0"/>
                <v:shape id="_x0000_s2098" style="position:absolute;left:892;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099" style="position:absolute;left:795;top:3630;width:60;height:60" fillcolor="#4f81bd" strokeweight="0"/>
                <v:shape id="_x0000_s2100"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01" style="position:absolute;left:825;top:3630;width:60;height:60" fillcolor="#4f81bd" strokeweight="0"/>
                <v:shape id="_x0000_s2102" style="position:absolute;left:81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03" style="position:absolute;left:1815;top:3000;width:60;height:60" fillcolor="#4f81bd" strokeweight="0"/>
                <v:shape id="_x0000_s2104" style="position:absolute;left:1807;top:29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05" style="position:absolute;left:1755;top:3105;width:60;height:60" fillcolor="#4f81bd" strokeweight="0"/>
                <v:shape id="_x0000_s2106" style="position:absolute;left:1747;top:30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07" style="position:absolute;left:1935;top:3060;width:60;height:60" fillcolor="#4f81bd" strokeweight="0"/>
                <v:shape id="_x0000_s2108" style="position:absolute;left:1927;top:305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09" style="position:absolute;left:2640;top:2505;width:60;height:60" fillcolor="#4f81bd" strokeweight="0"/>
                <v:shape id="_x0000_s2110" style="position:absolute;left:2632;top:24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11" style="position:absolute;left:870;top:3615;width:60;height:60" fillcolor="#4f81bd" strokeweight="0"/>
                <v:shape id="_x0000_s2112" style="position:absolute;left:862;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13" style="position:absolute;left:1290;top:3330;width:60;height:60" fillcolor="#4f81bd" strokeweight="0"/>
                <v:shape id="_x0000_s2114" style="position:absolute;left:1282;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15" style="position:absolute;left:1485;top:3045;width:60;height:60" fillcolor="#4f81bd" strokeweight="0"/>
                <v:shape id="_x0000_s2116" style="position:absolute;left:1477;top:30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17" style="position:absolute;left:1230;top:3435;width:60;height:60" fillcolor="#4f81bd" strokeweight="0"/>
                <v:shape id="_x0000_s2118" style="position:absolute;left:1222;top:34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19" style="position:absolute;left:1020;top:3570;width:60;height:60" fillcolor="#4f81bd" strokeweight="0"/>
                <v:shape id="_x0000_s2120" style="position:absolute;left:101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21" style="position:absolute;left:870;top:3585;width:60;height:60" fillcolor="#4f81bd" strokeweight="0"/>
                <v:shape id="_x0000_s2122"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23" style="position:absolute;left:825;top:3540;width:60;height:60" fillcolor="#4f81bd" strokeweight="0"/>
                <v:shape id="_x0000_s2124" style="position:absolute;left:81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25" style="position:absolute;left:945;top:3555;width:60;height:60" fillcolor="#4f81bd" strokeweight="0"/>
                <v:shape id="_x0000_s2126" style="position:absolute;left:93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27" style="position:absolute;left:1185;top:3300;width:60;height:60" fillcolor="#4f81bd" strokeweight="0"/>
                <v:shape id="_x0000_s2128" style="position:absolute;left:1177;top:32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29" style="position:absolute;left:855;top:3585;width:60;height:60" fillcolor="#4f81bd" strokeweight="0"/>
                <v:shape id="_x0000_s2130"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31" style="position:absolute;left:810;top:3630;width:60;height:60" fillcolor="#4f81bd" strokeweight="0"/>
                <v:shape id="_x0000_s2132"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33" style="position:absolute;left:900;top:3465;width:60;height:60" fillcolor="#4f81bd" strokeweight="0"/>
                <v:shape id="_x0000_s2134" style="position:absolute;left:892;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35" style="position:absolute;left:840;top:3600;width:60;height:60" fillcolor="#4f81bd" strokeweight="0"/>
                <v:shape id="_x0000_s2136"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37" style="position:absolute;left:1245;top:3480;width:60;height:60" fillcolor="#4f81bd" strokeweight="0"/>
                <v:shape id="_x0000_s2138" style="position:absolute;left:123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39" style="position:absolute;left:1245;top:3645;width:60;height:60" fillcolor="#4f81bd" strokeweight="0"/>
                <v:shape id="_x0000_s2140" style="position:absolute;left:1237;top:36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41" style="position:absolute;left:3930;top:1935;width:60;height:60" fillcolor="#4f81bd" strokeweight="0"/>
                <v:shape id="_x0000_s2142" style="position:absolute;left:3922;top:192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43" style="position:absolute;left:990;top:2805;width:60;height:60" fillcolor="#4f81bd" strokeweight="0"/>
                <v:shape id="_x0000_s2144" style="position:absolute;left:982;top:27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45" style="position:absolute;left:1080;top:3375;width:60;height:60" fillcolor="#4f81bd" strokeweight="0"/>
                <v:shape id="_x0000_s2146" style="position:absolute;left:1072;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47" style="position:absolute;left:1185;top:3045;width:60;height:60" fillcolor="#4f81bd" strokeweight="0"/>
                <v:shape id="_x0000_s2148" style="position:absolute;left:1177;top:30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49" style="position:absolute;left:795;top:3615;width:60;height:60" fillcolor="#4f81bd" strokeweight="0"/>
                <v:shape id="_x0000_s2150" style="position:absolute;left:78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51" style="position:absolute;left:825;top:3540;width:60;height:60" fillcolor="#4f81bd" strokeweight="0"/>
                <v:shape id="_x0000_s2152" style="position:absolute;left:817;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53" style="position:absolute;left:1125;top:3405;width:60;height:60" fillcolor="#4f81bd" strokeweight="0"/>
                <v:shape id="_x0000_s2154" style="position:absolute;left:111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55" style="position:absolute;left:1005;top:3465;width:60;height:60" fillcolor="#4f81bd" strokeweight="0"/>
                <v:shape id="_x0000_s2156" style="position:absolute;left:997;top:34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57" style="position:absolute;left:825;top:3570;width:60;height:60" fillcolor="#4f81bd" strokeweight="0"/>
                <v:shape id="_x0000_s2158" style="position:absolute;left:81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59" style="position:absolute;left:960;top:3525;width:60;height:60" fillcolor="#4f81bd" strokeweight="0"/>
                <v:shape id="_x0000_s2160" style="position:absolute;left:95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61" style="position:absolute;left:1035;top:3495;width:60;height:60" fillcolor="#4f81bd" strokeweight="0"/>
                <v:shape id="_x0000_s2162" style="position:absolute;left:102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63" style="position:absolute;left:825;top:3615;width:60;height:60" fillcolor="#4f81bd" strokeweight="0"/>
                <v:shape id="_x0000_s2164"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65" style="position:absolute;left:2250;top:3120;width:60;height:60" fillcolor="#4f81bd" strokeweight="0"/>
                <v:shape id="_x0000_s2166" style="position:absolute;left:2242;top:311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67" style="position:absolute;left:1425;top:3150;width:60;height:60" fillcolor="#4f81bd" strokeweight="0"/>
                <v:shape id="_x0000_s2168" style="position:absolute;left:1417;top:31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69" style="position:absolute;left:2295;top:2865;width:60;height:60" fillcolor="#4f81bd" strokeweight="0"/>
                <v:shape id="_x0000_s2170" style="position:absolute;left:2287;top:285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71" style="position:absolute;left:1110;top:3345;width:60;height:60" fillcolor="#4f81bd" strokeweight="0"/>
                <v:shape id="_x0000_s2172" style="position:absolute;left:1102;top:333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73" style="position:absolute;left:1215;top:3330;width:60;height:60" fillcolor="#4f81bd" strokeweight="0"/>
                <v:shape id="_x0000_s2174" style="position:absolute;left:1207;top:33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75" style="position:absolute;left:825;top:3570;width:60;height:60" fillcolor="#4f81bd" strokeweight="0"/>
                <v:shape id="_x0000_s2176" style="position:absolute;left:81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77" style="position:absolute;left:825;top:3555;width:60;height:60" fillcolor="#4f81bd" strokeweight="0"/>
                <v:shape id="_x0000_s2178" style="position:absolute;left:817;top:354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79" style="position:absolute;left:1155;top:3450;width:60;height:60" fillcolor="#4f81bd" strokeweight="0"/>
                <v:shape id="_x0000_s2180" style="position:absolute;left:114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81" style="position:absolute;left:945;top:3480;width:60;height:60" fillcolor="#4f81bd" strokeweight="0"/>
                <v:shape id="_x0000_s2182" style="position:absolute;left:937;top:34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83" style="position:absolute;left:870;top:3585;width:60;height:60" fillcolor="#4f81bd" strokeweight="0"/>
                <v:shape id="_x0000_s2184"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85" style="position:absolute;left:795;top:3630;width:60;height:60" fillcolor="#4f81bd" strokeweight="0"/>
                <v:shape id="_x0000_s2186"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87" style="position:absolute;left:870;top:3570;width:60;height:60" fillcolor="#4f81bd" strokeweight="0"/>
                <v:shape id="_x0000_s2188" style="position:absolute;left:862;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89" style="position:absolute;left:1155;top:3450;width:60;height:60" fillcolor="#4f81bd" strokeweight="0"/>
                <v:shape id="_x0000_s2190" style="position:absolute;left:1147;top:344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91" style="position:absolute;left:825;top:3600;width:60;height:60" fillcolor="#4f81bd" strokeweight="0"/>
                <v:shape id="_x0000_s2192" style="position:absolute;left:81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93" style="position:absolute;left:825;top:3615;width:60;height:60" fillcolor="#4f81bd" strokeweight="0"/>
                <v:shape id="_x0000_s2194"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95" style="position:absolute;left:810;top:3630;width:60;height:60" fillcolor="#4f81bd" strokeweight="0"/>
                <v:shape id="_x0000_s2196" style="position:absolute;left:802;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97" style="position:absolute;left:825;top:3615;width:60;height:60" fillcolor="#4f81bd" strokeweight="0"/>
                <v:shape id="_x0000_s2198"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199" style="position:absolute;left:870;top:3585;width:60;height:60" fillcolor="#4f81bd" strokeweight="0"/>
                <v:shape id="_x0000_s2200" style="position:absolute;left:86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01" style="position:absolute;left:825;top:3615;width:60;height:60" fillcolor="#4f81bd" strokeweight="0"/>
                <v:shape id="_x0000_s2202" style="position:absolute;left:817;top:360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03" style="position:absolute;left:825;top:3570;width:60;height:60" fillcolor="#4f81bd" strokeweight="0"/>
                <v:shape id="_x0000_s2204" style="position:absolute;left:81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05" style="position:absolute;left:1515;top:3495;width:60;height:60" fillcolor="#4f81bd" strokeweight="0"/>
                <v:shape id="_x0000_s2206" style="position:absolute;left:1507;top:348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07" style="position:absolute;left:885;top:3570;width:60;height:60" fillcolor="#4f81bd" strokeweight="0"/>
                <v:shape id="_x0000_s2208" style="position:absolute;left:87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09" style="position:absolute;left:975;top:3510;width:60;height:60" fillcolor="#4f81bd" strokeweight="0"/>
                <v:shape id="_x0000_s2210" style="position:absolute;left:967;top:350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11" style="position:absolute;left:840;top:3600;width:60;height:60" fillcolor="#4f81bd" strokeweight="0"/>
                <v:shape id="_x0000_s2212" style="position:absolute;left:832;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13" style="position:absolute;left:1380;top:3300;width:60;height:60" fillcolor="#4f81bd" strokeweight="0"/>
                <v:shape id="_x0000_s2214" style="position:absolute;left:1372;top:32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15" style="position:absolute;left:840;top:3525;width:60;height:60" fillcolor="#4f81bd" strokeweight="0"/>
                <v:shape id="_x0000_s2216" style="position:absolute;left:832;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17" style="position:absolute;left:855;top:3585;width:60;height:60" fillcolor="#4f81bd" strokeweight="0"/>
                <v:shape id="_x0000_s2218" style="position:absolute;left:847;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19" style="position:absolute;left:915;top:3570;width:60;height:60" fillcolor="#4f81bd" strokeweight="0"/>
                <v:shape id="_x0000_s2220" style="position:absolute;left:907;top:356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21" style="position:absolute;left:795;top:3630;width:60;height:60" fillcolor="#4f81bd" strokeweight="0"/>
                <v:shape id="_x0000_s2222" style="position:absolute;left:787;top:362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23" style="position:absolute;left:1455;top:3405;width:60;height:60" fillcolor="#4f81bd" strokeweight="0"/>
                <v:shape id="_x0000_s2224" style="position:absolute;left:1447;top:339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25" style="position:absolute;left:885;top:3600;width:60;height:60" fillcolor="#4f81bd" strokeweight="0"/>
                <v:shape id="_x0000_s2226" style="position:absolute;left:877;top:359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27" style="position:absolute;left:885;top:3180;width:60;height:60" fillcolor="#4f81bd" strokeweight="0"/>
                <v:shape id="_x0000_s2228" style="position:absolute;left:877;top:317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29" style="position:absolute;left:885;top:3375;width:60;height:60" fillcolor="#4f81bd" strokeweight="0"/>
                <v:shape id="_x0000_s2230" style="position:absolute;left:877;top:336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31" style="position:absolute;left:990;top:3585;width:60;height:60" fillcolor="#4f81bd" strokeweight="0"/>
                <v:shape id="_x0000_s2232" style="position:absolute;left:982;top:357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33" style="position:absolute;left:885;top:3525;width:60;height:60" fillcolor="#4f81bd" strokeweight="0"/>
                <v:shape id="_x0000_s2234" style="position:absolute;left:877;top:3517;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35" style="position:absolute;left:810;top:3540;width:60;height:60" fillcolor="#4f81bd" strokeweight="0"/>
                <v:shape id="_x0000_s2236" style="position:absolute;left:802;top:3532;width:76;height:76" coordsize="81,81"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group>
              <v:oval id="_x0000_s2237" style="position:absolute;left:2564;top:8298;width:60;height:60;mso-wrap-edited:f" wrapcoords="-5400 -5400 -5400 16200 27000 16200 27000 10800 21600 -5400 -5400 -5400" o:regroupid="2" fillcolor="#4f81bd" strokeweight="0"/>
              <v:shape id="_x0000_s2238" style="position:absolute;left:2556;top:8290;width:76;height:76;mso-wrap-edited:f" coordsize="81,81" wrapcoords="0 0 -16 48 -16 64 97 64 97 32 81 0 0 0" o:regroupid="2"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39" style="position:absolute;left:2579;top:8283;width:60;height:60;mso-wrap-edited:f" wrapcoords="-5400 -5400 -5400 16200 27000 16200 27000 10800 21600 -5400 -5400 -5400" o:regroupid="2" fillcolor="#4f81bd" strokeweight="0"/>
              <v:shape id="_x0000_s2240" style="position:absolute;left:2571;top:8275;width:76;height:76;mso-wrap-edited:f" coordsize="81,81" wrapcoords="0 0 -16 48 -16 64 97 64 97 32 81 0 0 0" o:regroupid="2"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41" style="position:absolute;left:2654;top:8238;width:60;height:60;mso-wrap-edited:f" wrapcoords="-5400 -5400 -5400 16200 27000 16200 27000 10800 21600 -5400 -5400 -5400" o:regroupid="2" fillcolor="#4f81bd" strokeweight="0"/>
              <v:shape id="_x0000_s2242" style="position:absolute;left:2646;top:8230;width:76;height:76;mso-wrap-edited:f" coordsize="81,81" wrapcoords="0 0 -16 48 -16 64 97 64 97 32 81 0 0 0" o:regroupid="2"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oval id="_x0000_s2243" style="position:absolute;left:2564;top:8268;width:60;height:60;mso-wrap-edited:f" wrapcoords="-5400 -5400 -5400 16200 27000 16200 27000 10800 21600 -5400 -5400 -5400" o:regroupid="2" fillcolor="#4f81bd" strokeweight="0"/>
              <v:shape id="_x0000_s2244" style="position:absolute;left:2556;top:8260;width:76;height:76;mso-wrap-edited:f" coordsize="81,81" wrapcoords="0 0 -16 48 -16 64 97 64 97 32 81 0 0 0" o:regroupid="2" path="m80,37hdc81,39,81,41,80,43hal71,66hdc70,68,68,70,66,71hal43,80hdc41,81,39,81,37,80hal15,71hdc14,70,12,69,11,67hal1,44hdc,42,,39,1,37hal11,15hdc12,13,13,12,15,11hal37,1hdc39,,42,,44,1hal67,11hdc69,12,70,14,71,15hal80,37hdxm56,21hal60,26,37,16r7,l22,26r4,-4l16,44r,-7l26,60,21,56r22,9l38,65,61,56r-5,5l65,38r,5l56,21hdxe" fillcolor="#4a7ebb" strokecolor="#4a7ebb" strokeweight="42e-5mm">
                <v:stroke joinstyle="bevel"/>
                <v:path arrowok="t"/>
                <o:lock v:ext="edit" verticies="t"/>
              </v:shape>
              <v:shape id="_x0000_s2245" style="position:absolute;left:2556;top:5110;width:5552;height:3167;mso-wrap-edited:f" coordsize="5923,3379" wrapcoords="5858 0 16 3330 -16 3362 96 3362 5138 496 5955 16 5955 0 5858 0" o:regroupid="2" path="m6,3363l5910,3hdc5913,,5918,2,5920,6v3,3,1,8,-3,10hal13,3376hdc10,3379,5,3377,3,3373v-3,-3,-1,-8,3,-10haxe" fillcolor="black" strokeweight="42e-5mm">
                <v:stroke joinstyle="bevel"/>
                <v:path arrowok="t"/>
              </v:shape>
              <v:rect id="_x0000_s2246" style="position:absolute;left:6492;top:7033;width:1394;height:264;mso-wrap-style:none;mso-wrap-edited:f" wrapcoords="0 0 21600 0 21600 21600 0 21600 0 0" o:regroupid="2" filled="f" stroked="f">
                <v:textbox style="mso-next-textbox:#_x0000_s2246;mso-fit-shape-to-text:t" inset="0,0,0,0">
                  <w:txbxContent>
                    <w:p w:rsidR="00DD09C1" w:rsidRDefault="00DD09C1" w:rsidP="00DD09C1">
                      <w:pPr>
                        <w:pStyle w:val="Tabletext"/>
                      </w:pPr>
                      <w:r>
                        <w:rPr>
                          <w:lang w:val="en-US"/>
                        </w:rPr>
                        <w:t>y = 0.9799x + 111.04</w:t>
                      </w:r>
                    </w:p>
                  </w:txbxContent>
                </v:textbox>
              </v:rect>
              <v:rect id="_x0000_s2247" style="position:absolute;left:6867;top:7273;width:779;height:264;mso-wrap-style:none;mso-wrap-edited:f" wrapcoords="0 0 21600 0 21600 21600 0 21600 0 0" o:regroupid="2" filled="f" stroked="f">
                <v:textbox style="mso-next-textbox:#_x0000_s2247;mso-fit-shape-to-text:t" inset="0,0,0,0">
                  <w:txbxContent>
                    <w:p w:rsidR="00DD09C1" w:rsidRDefault="00DD09C1" w:rsidP="00DD09C1">
                      <w:pPr>
                        <w:pStyle w:val="Tabletext"/>
                      </w:pPr>
                      <w:r>
                        <w:rPr>
                          <w:lang w:val="en-US"/>
                        </w:rPr>
                        <w:t>R² = 0.7418</w:t>
                      </w:r>
                    </w:p>
                  </w:txbxContent>
                </v:textbox>
              </v:rect>
              <v:rect id="_x0000_s2248" style="position:absolute;left:2269;top:8220;width:79;height:269;mso-wrap-style:none;mso-wrap-edited:f" wrapcoords="0 0 21600 0 21600 21600 0 21600 0 0" o:regroupid="2" filled="f" stroked="f">
                <v:textbox style="mso-next-textbox:#_x0000_s2248;mso-fit-shape-to-text:t" inset="0,0,0,0">
                  <w:txbxContent>
                    <w:p w:rsidR="00DD09C1" w:rsidRDefault="00DD09C1" w:rsidP="00DD09C1">
                      <w:pPr>
                        <w:pStyle w:val="Tabletext"/>
                      </w:pPr>
                      <w:r>
                        <w:rPr>
                          <w:lang w:val="en-US"/>
                        </w:rPr>
                        <w:t>0</w:t>
                      </w:r>
                    </w:p>
                  </w:txbxContent>
                </v:textbox>
              </v:rect>
              <v:rect id="_x0000_s2249" style="position:absolute;left:1967;top:7646;width:330;height:264;mso-wrap-style:none;mso-wrap-edited:f" wrapcoords="0 0 21600 0 21600 21600 0 21600 0 0" o:regroupid="2" filled="f" stroked="f">
                <v:textbox style="mso-next-textbox:#_x0000_s2249;mso-fit-shape-to-text:t" inset="0,0,0,0">
                  <w:txbxContent>
                    <w:p w:rsidR="00DD09C1" w:rsidRDefault="00DD09C1" w:rsidP="00DD09C1">
                      <w:pPr>
                        <w:pStyle w:val="Tabletext"/>
                      </w:pPr>
                      <w:r>
                        <w:rPr>
                          <w:lang w:val="en-US"/>
                        </w:rPr>
                        <w:t>1000</w:t>
                      </w:r>
                    </w:p>
                  </w:txbxContent>
                </v:textbox>
              </v:rect>
              <v:rect id="_x0000_s2250" style="position:absolute;left:1967;top:7071;width:330;height:264;mso-wrap-style:none;mso-wrap-edited:f" wrapcoords="0 0 21600 0 21600 21600 0 21600 0 0" o:regroupid="2" filled="f" stroked="f">
                <v:textbox style="mso-next-textbox:#_x0000_s2250;mso-fit-shape-to-text:t" inset="0,0,0,0">
                  <w:txbxContent>
                    <w:p w:rsidR="00DD09C1" w:rsidRDefault="00DD09C1" w:rsidP="00DD09C1">
                      <w:pPr>
                        <w:pStyle w:val="Tabletext"/>
                      </w:pPr>
                      <w:r>
                        <w:rPr>
                          <w:lang w:val="en-US"/>
                        </w:rPr>
                        <w:t>2000</w:t>
                      </w:r>
                    </w:p>
                  </w:txbxContent>
                </v:textbox>
              </v:rect>
              <v:rect id="_x0000_s2251" style="position:absolute;left:1967;top:6496;width:330;height:264;mso-wrap-style:none;mso-wrap-edited:f" wrapcoords="0 0 21600 0 21600 21600 0 21600 0 0" o:regroupid="2" filled="f" stroked="f">
                <v:textbox style="mso-next-textbox:#_x0000_s2251;mso-fit-shape-to-text:t" inset="0,0,0,0">
                  <w:txbxContent>
                    <w:p w:rsidR="00DD09C1" w:rsidRDefault="00DD09C1" w:rsidP="00DD09C1">
                      <w:pPr>
                        <w:pStyle w:val="Tabletext"/>
                      </w:pPr>
                      <w:r>
                        <w:rPr>
                          <w:lang w:val="en-US"/>
                        </w:rPr>
                        <w:t>3000</w:t>
                      </w:r>
                    </w:p>
                  </w:txbxContent>
                </v:textbox>
              </v:rect>
              <v:rect id="_x0000_s2252" style="position:absolute;left:1967;top:5921;width:330;height:264;mso-wrap-style:none;mso-wrap-edited:f" wrapcoords="0 0 21600 0 21600 21600 0 21600 0 0" o:regroupid="2" filled="f" stroked="f">
                <v:textbox style="mso-next-textbox:#_x0000_s2252;mso-fit-shape-to-text:t" inset="0,0,0,0">
                  <w:txbxContent>
                    <w:p w:rsidR="00DD09C1" w:rsidRDefault="00DD09C1" w:rsidP="00DD09C1">
                      <w:pPr>
                        <w:pStyle w:val="Tabletext"/>
                      </w:pPr>
                      <w:r>
                        <w:rPr>
                          <w:lang w:val="en-US"/>
                        </w:rPr>
                        <w:t>4000</w:t>
                      </w:r>
                    </w:p>
                  </w:txbxContent>
                </v:textbox>
              </v:rect>
              <v:rect id="_x0000_s2253" style="position:absolute;left:1967;top:5347;width:330;height:264;mso-wrap-style:none;mso-wrap-edited:f" wrapcoords="0 0 21600 0 21600 21600 0 21600 0 0" o:regroupid="2" filled="f" stroked="f">
                <v:textbox style="mso-next-textbox:#_x0000_s2253;mso-fit-shape-to-text:t" inset="0,0,0,0">
                  <w:txbxContent>
                    <w:p w:rsidR="00DD09C1" w:rsidRDefault="00DD09C1" w:rsidP="00DD09C1">
                      <w:pPr>
                        <w:pStyle w:val="Tabletext"/>
                      </w:pPr>
                      <w:r>
                        <w:rPr>
                          <w:lang w:val="en-US"/>
                        </w:rPr>
                        <w:t>5000</w:t>
                      </w:r>
                    </w:p>
                  </w:txbxContent>
                </v:textbox>
              </v:rect>
              <v:rect id="_x0000_s2254" style="position:absolute;left:1967;top:4772;width:330;height:264;mso-wrap-style:none;mso-wrap-edited:f" wrapcoords="0 0 21600 0 21600 21600 0 21600 0 0" o:regroupid="2" filled="f" stroked="f">
                <v:textbox style="mso-next-textbox:#_x0000_s2254;mso-fit-shape-to-text:t" inset="0,0,0,0">
                  <w:txbxContent>
                    <w:p w:rsidR="00DD09C1" w:rsidRDefault="00DD09C1" w:rsidP="00DD09C1">
                      <w:pPr>
                        <w:pStyle w:val="Tabletext"/>
                      </w:pPr>
                      <w:r>
                        <w:rPr>
                          <w:lang w:val="en-US"/>
                        </w:rPr>
                        <w:t>6000</w:t>
                      </w:r>
                    </w:p>
                  </w:txbxContent>
                </v:textbox>
              </v:rect>
              <v:rect id="_x0000_s2255" style="position:absolute;left:2505;top:8539;width:80;height:269;mso-wrap-style:none;mso-wrap-edited:f" wrapcoords="0 0 21600 0 21600 21600 0 21600 0 0" o:regroupid="2" filled="f" stroked="f">
                <v:textbox style="mso-next-textbox:#_x0000_s2255;mso-fit-shape-to-text:t" inset="0,0,0,0">
                  <w:txbxContent>
                    <w:p w:rsidR="00DD09C1" w:rsidRDefault="00DD09C1" w:rsidP="00DD09C1">
                      <w:pPr>
                        <w:pStyle w:val="Tabletext"/>
                      </w:pPr>
                      <w:r>
                        <w:rPr>
                          <w:lang w:val="en-US"/>
                        </w:rPr>
                        <w:t>0</w:t>
                      </w:r>
                    </w:p>
                  </w:txbxContent>
                </v:textbox>
              </v:rect>
              <v:rect id="_x0000_s2256" style="position:absolute;left:3349;top:8539;width:330;height:264;mso-wrap-style:none;mso-wrap-edited:f" wrapcoords="0 0 21600 0 21600 21600 0 21600 0 0" o:regroupid="2" filled="f" stroked="f">
                <v:textbox style="mso-next-textbox:#_x0000_s2256;mso-fit-shape-to-text:t" inset="0,0,0,0">
                  <w:txbxContent>
                    <w:p w:rsidR="00DD09C1" w:rsidRDefault="00DD09C1" w:rsidP="00DD09C1">
                      <w:pPr>
                        <w:pStyle w:val="Tabletext"/>
                      </w:pPr>
                      <w:r>
                        <w:rPr>
                          <w:lang w:val="en-US"/>
                        </w:rPr>
                        <w:t>1000</w:t>
                      </w:r>
                    </w:p>
                  </w:txbxContent>
                </v:textbox>
              </v:rect>
              <v:rect id="_x0000_s2257" style="position:absolute;left:4344;top:8539;width:330;height:264;mso-wrap-style:none;mso-wrap-edited:f" wrapcoords="0 0 21600 0 21600 21600 0 21600 0 0" o:regroupid="2" filled="f" stroked="f">
                <v:textbox style="mso-next-textbox:#_x0000_s2257;mso-fit-shape-to-text:t" inset="0,0,0,0">
                  <w:txbxContent>
                    <w:p w:rsidR="00DD09C1" w:rsidRDefault="00DD09C1" w:rsidP="00DD09C1">
                      <w:pPr>
                        <w:pStyle w:val="Tabletext"/>
                      </w:pPr>
                      <w:r>
                        <w:rPr>
                          <w:lang w:val="en-US"/>
                        </w:rPr>
                        <w:t>2000</w:t>
                      </w:r>
                    </w:p>
                  </w:txbxContent>
                </v:textbox>
              </v:rect>
              <v:rect id="_x0000_s2258" style="position:absolute;left:5338;top:8539;width:330;height:264;mso-wrap-style:none;mso-wrap-edited:f" wrapcoords="0 0 21600 0 21600 21600 0 21600 0 0" o:regroupid="2" filled="f" stroked="f">
                <v:textbox style="mso-next-textbox:#_x0000_s2258;mso-fit-shape-to-text:t" inset="0,0,0,0">
                  <w:txbxContent>
                    <w:p w:rsidR="00DD09C1" w:rsidRDefault="00DD09C1" w:rsidP="00DD09C1">
                      <w:pPr>
                        <w:pStyle w:val="Tabletext"/>
                      </w:pPr>
                      <w:r>
                        <w:rPr>
                          <w:lang w:val="en-US"/>
                        </w:rPr>
                        <w:t>3000</w:t>
                      </w:r>
                    </w:p>
                  </w:txbxContent>
                </v:textbox>
              </v:rect>
              <v:rect id="_x0000_s2259" style="position:absolute;left:6332;top:8539;width:330;height:264;mso-wrap-style:none;mso-wrap-edited:f" wrapcoords="0 0 21600 0 21600 21600 0 21600 0 0" o:regroupid="2" filled="f" stroked="f">
                <v:textbox style="mso-next-textbox:#_x0000_s2259;mso-fit-shape-to-text:t" inset="0,0,0,0">
                  <w:txbxContent>
                    <w:p w:rsidR="00DD09C1" w:rsidRDefault="00DD09C1" w:rsidP="00DD09C1">
                      <w:pPr>
                        <w:pStyle w:val="Tabletext"/>
                      </w:pPr>
                      <w:r>
                        <w:rPr>
                          <w:lang w:val="en-US"/>
                        </w:rPr>
                        <w:t>4000</w:t>
                      </w:r>
                    </w:p>
                  </w:txbxContent>
                </v:textbox>
              </v:rect>
              <v:rect id="_x0000_s2260" style="position:absolute;left:7327;top:8539;width:330;height:264;mso-wrap-style:none;mso-wrap-edited:f" wrapcoords="0 0 21600 0 21600 21600 0 21600 0 0" o:regroupid="2" filled="f" stroked="f">
                <v:textbox style="mso-next-textbox:#_x0000_s2260;mso-fit-shape-to-text:t" inset="0,0,0,0">
                  <w:txbxContent>
                    <w:p w:rsidR="00DD09C1" w:rsidRDefault="00DD09C1" w:rsidP="00DD09C1">
                      <w:pPr>
                        <w:pStyle w:val="Tabletext"/>
                      </w:pPr>
                      <w:r>
                        <w:rPr>
                          <w:lang w:val="en-US"/>
                        </w:rPr>
                        <w:t>5000</w:t>
                      </w:r>
                    </w:p>
                  </w:txbxContent>
                </v:textbox>
              </v:rect>
              <v:rect id="_x0000_s2261" style="position:absolute;left:8321;top:8539;width:330;height:264;mso-wrap-style:none;mso-wrap-edited:f" wrapcoords="0 0 21600 0 21600 21600 0 21600 0 0" o:regroupid="2" filled="f" stroked="f">
                <v:textbox style="mso-next-textbox:#_x0000_s2261;mso-fit-shape-to-text:t" inset="0,0,0,0">
                  <w:txbxContent>
                    <w:p w:rsidR="00DD09C1" w:rsidRDefault="00DD09C1" w:rsidP="00DD09C1">
                      <w:pPr>
                        <w:pStyle w:val="Tabletext"/>
                      </w:pPr>
                      <w:r>
                        <w:rPr>
                          <w:lang w:val="en-US"/>
                        </w:rPr>
                        <w:t>6000</w:t>
                      </w:r>
                    </w:p>
                  </w:txbxContent>
                </v:textbox>
              </v:rect>
              <v:shape id="_x0000_s3144" type="#_x0000_t202" style="position:absolute;left:8046;top:8779;width:1050;height:537;mso-wrap-edited:f" wrapcoords="-187 0 -187 20700 21600 20700 21600 0 -187 0" o:regroupid="2" stroked="f">
                <v:textbox style="mso-next-textbox:#_x0000_s3144">
                  <w:txbxContent>
                    <w:p w:rsidR="00DD09C1" w:rsidRPr="006D70FF" w:rsidRDefault="00DD09C1" w:rsidP="00DD09C1">
                      <w:pPr>
                        <w:pStyle w:val="Tabletext"/>
                        <w:rPr>
                          <w:b/>
                          <w:sz w:val="17"/>
                          <w:szCs w:val="17"/>
                        </w:rPr>
                      </w:pPr>
                      <w:r w:rsidRPr="006D70FF">
                        <w:rPr>
                          <w:b/>
                          <w:sz w:val="17"/>
                          <w:szCs w:val="17"/>
                        </w:rPr>
                        <w:t>Supply</w:t>
                      </w:r>
                    </w:p>
                  </w:txbxContent>
                </v:textbox>
              </v:shape>
            </v:group>
            <w10:wrap type="topAndBottom"/>
          </v:group>
        </w:pict>
      </w:r>
      <w:r w:rsidR="00DD09C1" w:rsidRPr="00192E92">
        <w:t>Figure</w:t>
      </w:r>
      <w:r w:rsidR="00DD09C1">
        <w:t xml:space="preserve"> 14</w:t>
      </w:r>
      <w:r w:rsidR="00DD09C1">
        <w:tab/>
      </w:r>
      <w:r w:rsidR="00DD09C1" w:rsidRPr="00D81827">
        <w:t>Demand and supply of tradespersons, 2006</w:t>
      </w:r>
      <w:bookmarkEnd w:id="82"/>
      <w:bookmarkEnd w:id="83"/>
    </w:p>
    <w:p w:rsidR="00DD09C1" w:rsidRDefault="00DD09C1" w:rsidP="00DD09C1">
      <w:pPr>
        <w:pStyle w:val="text0"/>
        <w:spacing w:before="0"/>
        <w:rPr>
          <w:lang w:val="en-US"/>
        </w:rPr>
      </w:pPr>
      <w:r w:rsidRPr="00E6078C">
        <w:rPr>
          <w:lang w:val="en-US"/>
        </w:rPr>
        <w:t xml:space="preserve">The scatter plot of supply and demand </w:t>
      </w:r>
      <w:r>
        <w:rPr>
          <w:lang w:val="en-US"/>
        </w:rPr>
        <w:t xml:space="preserve">shown in figure 14 </w:t>
      </w:r>
      <w:r w:rsidRPr="00E6078C">
        <w:rPr>
          <w:lang w:val="en-US"/>
        </w:rPr>
        <w:t>suggests that</w:t>
      </w:r>
      <w:r>
        <w:rPr>
          <w:lang w:val="en-US"/>
        </w:rPr>
        <w:t>,</w:t>
      </w:r>
      <w:r w:rsidRPr="00E6078C">
        <w:rPr>
          <w:lang w:val="en-US"/>
        </w:rPr>
        <w:t xml:space="preserve"> </w:t>
      </w:r>
      <w:proofErr w:type="gramStart"/>
      <w:r w:rsidRPr="00E6078C">
        <w:rPr>
          <w:lang w:val="en-US"/>
        </w:rPr>
        <w:t>overall</w:t>
      </w:r>
      <w:r>
        <w:rPr>
          <w:lang w:val="en-US"/>
        </w:rPr>
        <w:t>,</w:t>
      </w:r>
      <w:proofErr w:type="gramEnd"/>
      <w:r w:rsidRPr="00E6078C">
        <w:rPr>
          <w:lang w:val="en-US"/>
        </w:rPr>
        <w:t xml:space="preserve"> </w:t>
      </w:r>
      <w:r>
        <w:rPr>
          <w:lang w:val="en-US"/>
        </w:rPr>
        <w:t xml:space="preserve">the </w:t>
      </w:r>
      <w:r w:rsidRPr="00E6078C">
        <w:rPr>
          <w:lang w:val="en-US"/>
        </w:rPr>
        <w:t xml:space="preserve">supply and demand </w:t>
      </w:r>
      <w:r>
        <w:rPr>
          <w:lang w:val="en-US"/>
        </w:rPr>
        <w:t>of</w:t>
      </w:r>
      <w:r w:rsidRPr="00E6078C">
        <w:rPr>
          <w:lang w:val="en-US"/>
        </w:rPr>
        <w:t xml:space="preserve"> tradespersons were in balance. A coefficient on the fitted trend line of about unity suggests on average a unit change in demand is associate</w:t>
      </w:r>
      <w:r>
        <w:rPr>
          <w:lang w:val="en-US"/>
        </w:rPr>
        <w:t xml:space="preserve">d with a unit change in supply. </w:t>
      </w:r>
      <w:r w:rsidRPr="00E6078C">
        <w:rPr>
          <w:lang w:val="en-US"/>
        </w:rPr>
        <w:t xml:space="preserve">However, there are notable local </w:t>
      </w:r>
      <w:proofErr w:type="spellStart"/>
      <w:r w:rsidRPr="00E6078C">
        <w:rPr>
          <w:lang w:val="en-US"/>
        </w:rPr>
        <w:t>labour</w:t>
      </w:r>
      <w:proofErr w:type="spellEnd"/>
      <w:r w:rsidRPr="00E6078C">
        <w:rPr>
          <w:lang w:val="en-US"/>
        </w:rPr>
        <w:t xml:space="preserve"> markets where there was observable excess demand for tradespersons and</w:t>
      </w:r>
      <w:r>
        <w:rPr>
          <w:lang w:val="en-US"/>
        </w:rPr>
        <w:t xml:space="preserve"> </w:t>
      </w:r>
      <w:r w:rsidRPr="00E6078C">
        <w:rPr>
          <w:lang w:val="en-US"/>
        </w:rPr>
        <w:t xml:space="preserve">(fewer) local </w:t>
      </w:r>
      <w:proofErr w:type="spellStart"/>
      <w:r w:rsidRPr="00E6078C">
        <w:rPr>
          <w:lang w:val="en-US"/>
        </w:rPr>
        <w:t>labour</w:t>
      </w:r>
      <w:proofErr w:type="spellEnd"/>
      <w:r w:rsidRPr="00E6078C">
        <w:rPr>
          <w:lang w:val="en-US"/>
        </w:rPr>
        <w:t xml:space="preserve"> markets where there was excess supply. T</w:t>
      </w:r>
      <w:r>
        <w:rPr>
          <w:lang w:val="en-US"/>
        </w:rPr>
        <w:t>ogether with the evidence from table 4,</w:t>
      </w:r>
      <w:r w:rsidRPr="00E6078C">
        <w:rPr>
          <w:lang w:val="en-US"/>
        </w:rPr>
        <w:t xml:space="preserve"> this suggests that</w:t>
      </w:r>
      <w:r>
        <w:rPr>
          <w:lang w:val="en-US"/>
        </w:rPr>
        <w:t>,</w:t>
      </w:r>
      <w:r w:rsidRPr="00E6078C">
        <w:rPr>
          <w:lang w:val="en-US"/>
        </w:rPr>
        <w:t xml:space="preserve"> although the demand and supply of tradespersons were in balance </w:t>
      </w:r>
      <w:r>
        <w:rPr>
          <w:lang w:val="en-US"/>
        </w:rPr>
        <w:t xml:space="preserve">overall, </w:t>
      </w:r>
      <w:r w:rsidRPr="00E6078C">
        <w:rPr>
          <w:lang w:val="en-US"/>
        </w:rPr>
        <w:t>there were significant regional and</w:t>
      </w:r>
      <w:r>
        <w:rPr>
          <w:lang w:val="en-US"/>
        </w:rPr>
        <w:t xml:space="preserve"> some</w:t>
      </w:r>
      <w:r w:rsidRPr="00E6078C">
        <w:rPr>
          <w:lang w:val="en-US"/>
        </w:rPr>
        <w:t xml:space="preserve"> industry imbalances. This will be the subject of further work</w:t>
      </w:r>
      <w:r>
        <w:rPr>
          <w:lang w:val="en-US"/>
        </w:rPr>
        <w:t xml:space="preserve"> for NCVER</w:t>
      </w:r>
      <w:r w:rsidRPr="00E6078C">
        <w:rPr>
          <w:lang w:val="en-US"/>
        </w:rPr>
        <w:t>.</w:t>
      </w:r>
    </w:p>
    <w:p w:rsidR="00DD09C1" w:rsidRPr="00114A4E" w:rsidRDefault="00DD09C1" w:rsidP="00DD09C1">
      <w:pPr>
        <w:pStyle w:val="Heading3"/>
        <w:rPr>
          <w:lang w:val="en-US"/>
        </w:rPr>
      </w:pPr>
      <w:r>
        <w:rPr>
          <w:lang w:val="en-US"/>
        </w:rPr>
        <w:t>Earnings a</w:t>
      </w:r>
      <w:r w:rsidRPr="00114A4E">
        <w:rPr>
          <w:lang w:val="en-US"/>
        </w:rPr>
        <w:t>djustment</w:t>
      </w:r>
    </w:p>
    <w:p w:rsidR="00DD09C1" w:rsidRDefault="00DD09C1" w:rsidP="00DD09C1">
      <w:pPr>
        <w:pStyle w:val="text-lessbefore"/>
        <w:rPr>
          <w:lang w:val="en-US"/>
        </w:rPr>
      </w:pPr>
      <w:r>
        <w:rPr>
          <w:lang w:val="en-US"/>
        </w:rPr>
        <w:t>In a</w:t>
      </w:r>
      <w:r w:rsidRPr="005F69B8">
        <w:rPr>
          <w:lang w:val="en-US"/>
        </w:rPr>
        <w:t xml:space="preserve"> well</w:t>
      </w:r>
      <w:r>
        <w:rPr>
          <w:lang w:val="en-US"/>
        </w:rPr>
        <w:t>-</w:t>
      </w:r>
      <w:r w:rsidRPr="005F69B8">
        <w:rPr>
          <w:lang w:val="en-US"/>
        </w:rPr>
        <w:t xml:space="preserve">functioning </w:t>
      </w:r>
      <w:proofErr w:type="spellStart"/>
      <w:r>
        <w:rPr>
          <w:lang w:val="en-US"/>
        </w:rPr>
        <w:t>labour</w:t>
      </w:r>
      <w:proofErr w:type="spellEnd"/>
      <w:r>
        <w:rPr>
          <w:lang w:val="en-US"/>
        </w:rPr>
        <w:t xml:space="preserve"> market, movement of </w:t>
      </w:r>
      <w:proofErr w:type="spellStart"/>
      <w:r>
        <w:rPr>
          <w:lang w:val="en-US"/>
        </w:rPr>
        <w:t>labour</w:t>
      </w:r>
      <w:proofErr w:type="spellEnd"/>
      <w:r>
        <w:rPr>
          <w:lang w:val="en-US"/>
        </w:rPr>
        <w:t xml:space="preserve"> should reflect changes in industry demand, and prices (wages) play an important part in this adjustment. In addition, we would expect to see a degree of compensating differential, that is, a wage premium for unpleasant or hard work, or for living in areas with poor amenities, or for workers in particular industries. Increased wage dispersion is the signal, in the short run, for workers to move between firms, industries and regions. In the long run wage dispersion acts as a signal for individuals and providers to invest in training in order to pursue those jobs with higher earnings. This increased supply of trained workers will eventually reduce earnings dispersion, but nevertheless it is the initial earnings dispersion which triggers long-run efficient </w:t>
      </w:r>
      <w:proofErr w:type="spellStart"/>
      <w:r>
        <w:rPr>
          <w:lang w:val="en-US"/>
        </w:rPr>
        <w:t>labour</w:t>
      </w:r>
      <w:proofErr w:type="spellEnd"/>
      <w:r>
        <w:rPr>
          <w:lang w:val="en-US"/>
        </w:rPr>
        <w:t xml:space="preserve"> market outcomes. Table 5 shows the median incomes for full-time employed tradespersons, relative to median earnings of all full-time employed by industry, region and states. </w:t>
      </w:r>
    </w:p>
    <w:p w:rsidR="00DD09C1" w:rsidRDefault="00DD09C1" w:rsidP="00DD09C1">
      <w:pPr>
        <w:pStyle w:val="tabletitle"/>
        <w:rPr>
          <w:lang w:val="en-US"/>
        </w:rPr>
      </w:pPr>
      <w:bookmarkStart w:id="84" w:name="_Toc241393311"/>
      <w:bookmarkStart w:id="85" w:name="_Toc139109092"/>
      <w:r>
        <w:rPr>
          <w:lang w:val="en-US"/>
        </w:rPr>
        <w:lastRenderedPageBreak/>
        <w:t>Table 5</w:t>
      </w:r>
      <w:r>
        <w:rPr>
          <w:lang w:val="en-US"/>
        </w:rPr>
        <w:tab/>
        <w:t>Full-</w:t>
      </w:r>
      <w:r w:rsidRPr="0097296F">
        <w:t>time</w:t>
      </w:r>
      <w:r>
        <w:rPr>
          <w:lang w:val="en-US"/>
        </w:rPr>
        <w:t xml:space="preserve"> earnings of tradespersons as a percentage of the median income of all workers by region, 1996 and 2006</w:t>
      </w:r>
      <w:bookmarkEnd w:id="84"/>
      <w:bookmarkEnd w:id="85"/>
    </w:p>
    <w:tbl>
      <w:tblPr>
        <w:tblW w:w="8505" w:type="dxa"/>
        <w:tblInd w:w="96" w:type="dxa"/>
        <w:tblLayout w:type="fixed"/>
        <w:tblLook w:val="0000"/>
      </w:tblPr>
      <w:tblGrid>
        <w:gridCol w:w="1382"/>
        <w:gridCol w:w="1187"/>
        <w:gridCol w:w="1187"/>
        <w:gridCol w:w="1187"/>
        <w:gridCol w:w="1187"/>
        <w:gridCol w:w="1187"/>
        <w:gridCol w:w="1188"/>
      </w:tblGrid>
      <w:tr w:rsidR="00DD09C1" w:rsidRPr="009563A0">
        <w:trPr>
          <w:trHeight w:val="276"/>
        </w:trPr>
        <w:tc>
          <w:tcPr>
            <w:tcW w:w="1382" w:type="dxa"/>
            <w:tcBorders>
              <w:top w:val="single" w:sz="4" w:space="0" w:color="auto"/>
              <w:left w:val="nil"/>
              <w:bottom w:val="single" w:sz="4" w:space="0" w:color="auto"/>
              <w:right w:val="nil"/>
            </w:tcBorders>
            <w:shd w:val="clear" w:color="auto" w:fill="auto"/>
            <w:noWrap/>
            <w:tcMar>
              <w:left w:w="113" w:type="dxa"/>
              <w:right w:w="57" w:type="dxa"/>
            </w:tcMar>
          </w:tcPr>
          <w:p w:rsidR="00DD09C1" w:rsidRPr="009563A0" w:rsidRDefault="00DD09C1" w:rsidP="00DD09C1">
            <w:pPr>
              <w:pStyle w:val="Tablehead1"/>
            </w:pPr>
            <w:r w:rsidRPr="009563A0">
              <w:t>1996</w:t>
            </w:r>
          </w:p>
        </w:tc>
        <w:tc>
          <w:tcPr>
            <w:tcW w:w="1187" w:type="dxa"/>
            <w:tcBorders>
              <w:top w:val="single" w:sz="4" w:space="0" w:color="auto"/>
              <w:left w:val="nil"/>
              <w:bottom w:val="single" w:sz="4" w:space="0" w:color="auto"/>
              <w:right w:val="nil"/>
            </w:tcBorders>
            <w:shd w:val="clear" w:color="auto" w:fill="auto"/>
            <w:noWrap/>
            <w:tcMar>
              <w:left w:w="57" w:type="dxa"/>
              <w:right w:w="57" w:type="dxa"/>
            </w:tcMar>
          </w:tcPr>
          <w:p w:rsidR="00DD09C1" w:rsidRPr="009563A0" w:rsidRDefault="00DD09C1" w:rsidP="00DD09C1">
            <w:pPr>
              <w:pStyle w:val="Tablehead1"/>
              <w:jc w:val="center"/>
            </w:pPr>
            <w:r w:rsidRPr="009563A0">
              <w:t>Mechanical</w:t>
            </w:r>
          </w:p>
        </w:tc>
        <w:tc>
          <w:tcPr>
            <w:tcW w:w="1187"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Automotive</w:t>
            </w:r>
          </w:p>
        </w:tc>
        <w:tc>
          <w:tcPr>
            <w:tcW w:w="1187"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Electrical</w:t>
            </w:r>
          </w:p>
        </w:tc>
        <w:tc>
          <w:tcPr>
            <w:tcW w:w="1187" w:type="dxa"/>
            <w:tcBorders>
              <w:top w:val="single" w:sz="4" w:space="0" w:color="auto"/>
              <w:left w:val="nil"/>
              <w:bottom w:val="single" w:sz="4" w:space="0" w:color="auto"/>
              <w:right w:val="nil"/>
            </w:tcBorders>
            <w:shd w:val="clear" w:color="auto" w:fill="auto"/>
            <w:noWrap/>
            <w:tcMar>
              <w:left w:w="0" w:type="dxa"/>
              <w:right w:w="0" w:type="dxa"/>
            </w:tcMar>
          </w:tcPr>
          <w:p w:rsidR="00DD09C1" w:rsidRPr="009563A0" w:rsidRDefault="00DD09C1" w:rsidP="00DD09C1">
            <w:pPr>
              <w:pStyle w:val="Tablehead1"/>
              <w:jc w:val="center"/>
            </w:pPr>
            <w:r w:rsidRPr="009563A0">
              <w:t>Construction</w:t>
            </w:r>
          </w:p>
        </w:tc>
        <w:tc>
          <w:tcPr>
            <w:tcW w:w="1187"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Food</w:t>
            </w:r>
          </w:p>
        </w:tc>
        <w:tc>
          <w:tcPr>
            <w:tcW w:w="1188"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Agricultural</w:t>
            </w:r>
          </w:p>
        </w:tc>
      </w:tr>
      <w:tr w:rsidR="00DD09C1" w:rsidRPr="009563A0">
        <w:trPr>
          <w:trHeight w:val="276"/>
        </w:trPr>
        <w:tc>
          <w:tcPr>
            <w:tcW w:w="1382"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pPr>
            <w:r w:rsidRPr="009563A0">
              <w:t>Capital city</w:t>
            </w:r>
          </w:p>
        </w:tc>
        <w:tc>
          <w:tcPr>
            <w:tcW w:w="1187"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117</w:t>
            </w:r>
          </w:p>
        </w:tc>
        <w:tc>
          <w:tcPr>
            <w:tcW w:w="1187"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97</w:t>
            </w:r>
          </w:p>
        </w:tc>
        <w:tc>
          <w:tcPr>
            <w:tcW w:w="1187"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120</w:t>
            </w:r>
          </w:p>
        </w:tc>
        <w:tc>
          <w:tcPr>
            <w:tcW w:w="1187"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109</w:t>
            </w:r>
          </w:p>
        </w:tc>
        <w:tc>
          <w:tcPr>
            <w:tcW w:w="1187"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77</w:t>
            </w:r>
          </w:p>
        </w:tc>
        <w:tc>
          <w:tcPr>
            <w:tcW w:w="1188" w:type="dxa"/>
            <w:tcBorders>
              <w:top w:val="single" w:sz="4" w:space="0" w:color="auto"/>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83</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Other metro</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123</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95</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125</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106</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74</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79</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Coastal</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114</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89</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117</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97</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73</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76</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Inland</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109</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88</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118</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95</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78</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83</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Remote</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172</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101</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150</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114</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76</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90</w:t>
            </w:r>
          </w:p>
        </w:tc>
      </w:tr>
      <w:tr w:rsidR="00DD09C1" w:rsidRPr="009563A0">
        <w:trPr>
          <w:trHeight w:val="276"/>
        </w:trPr>
        <w:tc>
          <w:tcPr>
            <w:tcW w:w="1382"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spacing w:after="80"/>
            </w:pPr>
            <w:r w:rsidRPr="009563A0">
              <w:t>Australia</w:t>
            </w:r>
          </w:p>
        </w:tc>
        <w:tc>
          <w:tcPr>
            <w:tcW w:w="1187"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624"/>
              </w:tabs>
              <w:spacing w:after="80"/>
              <w:ind w:right="57"/>
            </w:pPr>
            <w:r w:rsidRPr="009563A0">
              <w:t>117</w:t>
            </w:r>
          </w:p>
        </w:tc>
        <w:tc>
          <w:tcPr>
            <w:tcW w:w="1187"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595"/>
              </w:tabs>
              <w:spacing w:after="80"/>
              <w:ind w:right="57"/>
            </w:pPr>
            <w:r w:rsidRPr="009563A0">
              <w:t>94</w:t>
            </w:r>
          </w:p>
        </w:tc>
        <w:tc>
          <w:tcPr>
            <w:tcW w:w="1187"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624"/>
              </w:tabs>
              <w:spacing w:after="80"/>
              <w:ind w:right="57"/>
            </w:pPr>
            <w:r w:rsidRPr="009563A0">
              <w:t>121</w:t>
            </w:r>
          </w:p>
        </w:tc>
        <w:tc>
          <w:tcPr>
            <w:tcW w:w="1187"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624"/>
              </w:tabs>
              <w:spacing w:after="80"/>
              <w:ind w:right="57"/>
            </w:pPr>
            <w:r w:rsidRPr="009563A0">
              <w:t>106</w:t>
            </w:r>
          </w:p>
        </w:tc>
        <w:tc>
          <w:tcPr>
            <w:tcW w:w="1187"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595"/>
              </w:tabs>
              <w:spacing w:after="80"/>
              <w:ind w:right="57"/>
            </w:pPr>
            <w:r w:rsidRPr="009563A0">
              <w:t>76</w:t>
            </w:r>
          </w:p>
        </w:tc>
        <w:tc>
          <w:tcPr>
            <w:tcW w:w="1188" w:type="dxa"/>
            <w:tcBorders>
              <w:top w:val="nil"/>
              <w:left w:val="nil"/>
              <w:bottom w:val="dashed" w:sz="4" w:space="0" w:color="auto"/>
              <w:right w:val="nil"/>
            </w:tcBorders>
            <w:shd w:val="clear" w:color="auto" w:fill="auto"/>
            <w:noWrap/>
            <w:vAlign w:val="bottom"/>
          </w:tcPr>
          <w:p w:rsidR="00DD09C1" w:rsidRPr="009563A0" w:rsidRDefault="00DD09C1" w:rsidP="00DD09C1">
            <w:pPr>
              <w:pStyle w:val="Tabletext"/>
              <w:tabs>
                <w:tab w:val="decimal" w:pos="595"/>
              </w:tabs>
              <w:spacing w:after="80"/>
              <w:ind w:right="57"/>
            </w:pPr>
            <w:r w:rsidRPr="009563A0">
              <w:t>82</w:t>
            </w:r>
          </w:p>
        </w:tc>
      </w:tr>
      <w:tr w:rsidR="00DD09C1" w:rsidRPr="009563A0">
        <w:trPr>
          <w:trHeight w:val="276"/>
        </w:trPr>
        <w:tc>
          <w:tcPr>
            <w:tcW w:w="1382" w:type="dxa"/>
            <w:tcBorders>
              <w:top w:val="dashed" w:sz="4" w:space="0" w:color="auto"/>
              <w:left w:val="nil"/>
              <w:right w:val="nil"/>
            </w:tcBorders>
            <w:shd w:val="clear" w:color="auto" w:fill="auto"/>
            <w:noWrap/>
            <w:vAlign w:val="bottom"/>
          </w:tcPr>
          <w:p w:rsidR="00DD09C1" w:rsidRPr="009563A0" w:rsidRDefault="00DD09C1" w:rsidP="00DD09C1">
            <w:pPr>
              <w:pStyle w:val="Tablehead1"/>
            </w:pPr>
            <w:r w:rsidRPr="009563A0">
              <w:t>2006</w:t>
            </w:r>
          </w:p>
        </w:tc>
        <w:tc>
          <w:tcPr>
            <w:tcW w:w="1187"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624"/>
              </w:tabs>
              <w:ind w:right="57"/>
            </w:pPr>
          </w:p>
        </w:tc>
        <w:tc>
          <w:tcPr>
            <w:tcW w:w="1187"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595"/>
              </w:tabs>
              <w:ind w:right="57"/>
            </w:pPr>
          </w:p>
        </w:tc>
        <w:tc>
          <w:tcPr>
            <w:tcW w:w="1187"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624"/>
              </w:tabs>
              <w:ind w:right="57"/>
            </w:pPr>
          </w:p>
        </w:tc>
        <w:tc>
          <w:tcPr>
            <w:tcW w:w="1187"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624"/>
              </w:tabs>
              <w:ind w:right="57"/>
            </w:pPr>
          </w:p>
        </w:tc>
        <w:tc>
          <w:tcPr>
            <w:tcW w:w="1187"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595"/>
              </w:tabs>
              <w:ind w:right="57"/>
            </w:pPr>
          </w:p>
        </w:tc>
        <w:tc>
          <w:tcPr>
            <w:tcW w:w="1188" w:type="dxa"/>
            <w:tcBorders>
              <w:top w:val="dashed" w:sz="4" w:space="0" w:color="auto"/>
              <w:left w:val="nil"/>
              <w:right w:val="nil"/>
            </w:tcBorders>
            <w:shd w:val="clear" w:color="auto" w:fill="auto"/>
            <w:noWrap/>
            <w:vAlign w:val="bottom"/>
          </w:tcPr>
          <w:p w:rsidR="00DD09C1" w:rsidRPr="009563A0" w:rsidRDefault="00DD09C1" w:rsidP="00DD09C1">
            <w:pPr>
              <w:pStyle w:val="Tablehead1"/>
              <w:tabs>
                <w:tab w:val="decimal" w:pos="595"/>
              </w:tabs>
              <w:ind w:right="57"/>
            </w:pPr>
          </w:p>
        </w:tc>
      </w:tr>
      <w:tr w:rsidR="00DD09C1" w:rsidRPr="009563A0">
        <w:trPr>
          <w:trHeight w:val="276"/>
        </w:trPr>
        <w:tc>
          <w:tcPr>
            <w:tcW w:w="1382" w:type="dxa"/>
            <w:tcBorders>
              <w:left w:val="nil"/>
              <w:bottom w:val="nil"/>
              <w:right w:val="nil"/>
            </w:tcBorders>
            <w:shd w:val="clear" w:color="auto" w:fill="auto"/>
            <w:noWrap/>
            <w:vAlign w:val="bottom"/>
          </w:tcPr>
          <w:p w:rsidR="00DD09C1" w:rsidRPr="009563A0" w:rsidRDefault="00DD09C1" w:rsidP="00DD09C1">
            <w:pPr>
              <w:pStyle w:val="Tabletext"/>
            </w:pPr>
            <w:r w:rsidRPr="009563A0">
              <w:t>Capital cities</w:t>
            </w:r>
          </w:p>
        </w:tc>
        <w:tc>
          <w:tcPr>
            <w:tcW w:w="1187" w:type="dxa"/>
            <w:tcBorders>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124</w:t>
            </w:r>
          </w:p>
        </w:tc>
        <w:tc>
          <w:tcPr>
            <w:tcW w:w="1187" w:type="dxa"/>
            <w:tcBorders>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96</w:t>
            </w:r>
          </w:p>
        </w:tc>
        <w:tc>
          <w:tcPr>
            <w:tcW w:w="1187" w:type="dxa"/>
            <w:tcBorders>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124</w:t>
            </w:r>
          </w:p>
        </w:tc>
        <w:tc>
          <w:tcPr>
            <w:tcW w:w="1187" w:type="dxa"/>
            <w:tcBorders>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112</w:t>
            </w:r>
          </w:p>
        </w:tc>
        <w:tc>
          <w:tcPr>
            <w:tcW w:w="1187" w:type="dxa"/>
            <w:tcBorders>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71</w:t>
            </w:r>
          </w:p>
        </w:tc>
        <w:tc>
          <w:tcPr>
            <w:tcW w:w="1188" w:type="dxa"/>
            <w:tcBorders>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83</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Other metro</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131</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94</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125</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109</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70</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81</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Coastal</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126</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86</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120</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99</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68</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73</w:t>
            </w:r>
          </w:p>
        </w:tc>
      </w:tr>
      <w:tr w:rsidR="00DD09C1" w:rsidRPr="009563A0">
        <w:trPr>
          <w:trHeight w:val="276"/>
        </w:trPr>
        <w:tc>
          <w:tcPr>
            <w:tcW w:w="1382" w:type="dxa"/>
            <w:tcBorders>
              <w:top w:val="nil"/>
              <w:left w:val="nil"/>
              <w:bottom w:val="nil"/>
              <w:right w:val="nil"/>
            </w:tcBorders>
            <w:shd w:val="clear" w:color="auto" w:fill="auto"/>
            <w:noWrap/>
            <w:vAlign w:val="bottom"/>
          </w:tcPr>
          <w:p w:rsidR="00DD09C1" w:rsidRPr="009563A0" w:rsidRDefault="00DD09C1" w:rsidP="00DD09C1">
            <w:pPr>
              <w:pStyle w:val="Tabletext"/>
            </w:pPr>
            <w:r w:rsidRPr="009563A0">
              <w:t>Inland</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111</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84</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119</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95</w:t>
            </w:r>
          </w:p>
        </w:tc>
        <w:tc>
          <w:tcPr>
            <w:tcW w:w="1187"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72</w:t>
            </w:r>
          </w:p>
        </w:tc>
        <w:tc>
          <w:tcPr>
            <w:tcW w:w="1188" w:type="dxa"/>
            <w:tcBorders>
              <w:top w:val="nil"/>
              <w:left w:val="nil"/>
              <w:bottom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81</w:t>
            </w:r>
          </w:p>
        </w:tc>
      </w:tr>
      <w:tr w:rsidR="00DD09C1" w:rsidRPr="009563A0">
        <w:trPr>
          <w:trHeight w:val="276"/>
        </w:trPr>
        <w:tc>
          <w:tcPr>
            <w:tcW w:w="1382" w:type="dxa"/>
            <w:tcBorders>
              <w:top w:val="nil"/>
              <w:left w:val="nil"/>
              <w:right w:val="nil"/>
            </w:tcBorders>
            <w:shd w:val="clear" w:color="auto" w:fill="auto"/>
            <w:noWrap/>
            <w:vAlign w:val="bottom"/>
          </w:tcPr>
          <w:p w:rsidR="00DD09C1" w:rsidRPr="009563A0" w:rsidRDefault="00DD09C1" w:rsidP="00DD09C1">
            <w:pPr>
              <w:pStyle w:val="Tabletext"/>
            </w:pPr>
            <w:r w:rsidRPr="009563A0">
              <w:t>Remote</w:t>
            </w:r>
          </w:p>
        </w:tc>
        <w:tc>
          <w:tcPr>
            <w:tcW w:w="1187" w:type="dxa"/>
            <w:tcBorders>
              <w:top w:val="nil"/>
              <w:left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191</w:t>
            </w:r>
          </w:p>
        </w:tc>
        <w:tc>
          <w:tcPr>
            <w:tcW w:w="1187" w:type="dxa"/>
            <w:tcBorders>
              <w:top w:val="nil"/>
              <w:left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105</w:t>
            </w:r>
          </w:p>
        </w:tc>
        <w:tc>
          <w:tcPr>
            <w:tcW w:w="1187" w:type="dxa"/>
            <w:tcBorders>
              <w:top w:val="nil"/>
              <w:left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167</w:t>
            </w:r>
          </w:p>
        </w:tc>
        <w:tc>
          <w:tcPr>
            <w:tcW w:w="1187" w:type="dxa"/>
            <w:tcBorders>
              <w:top w:val="nil"/>
              <w:left w:val="nil"/>
              <w:right w:val="nil"/>
            </w:tcBorders>
            <w:shd w:val="clear" w:color="auto" w:fill="auto"/>
            <w:noWrap/>
            <w:vAlign w:val="bottom"/>
          </w:tcPr>
          <w:p w:rsidR="00DD09C1" w:rsidRPr="009563A0" w:rsidRDefault="00DD09C1" w:rsidP="00DD09C1">
            <w:pPr>
              <w:pStyle w:val="Tabletext"/>
              <w:tabs>
                <w:tab w:val="decimal" w:pos="624"/>
              </w:tabs>
              <w:ind w:right="57"/>
            </w:pPr>
            <w:r w:rsidRPr="009563A0">
              <w:t>115</w:t>
            </w:r>
          </w:p>
        </w:tc>
        <w:tc>
          <w:tcPr>
            <w:tcW w:w="1187" w:type="dxa"/>
            <w:tcBorders>
              <w:top w:val="nil"/>
              <w:left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76</w:t>
            </w:r>
          </w:p>
        </w:tc>
        <w:tc>
          <w:tcPr>
            <w:tcW w:w="1188" w:type="dxa"/>
            <w:tcBorders>
              <w:top w:val="nil"/>
              <w:left w:val="nil"/>
              <w:right w:val="nil"/>
            </w:tcBorders>
            <w:shd w:val="clear" w:color="auto" w:fill="auto"/>
            <w:noWrap/>
            <w:vAlign w:val="bottom"/>
          </w:tcPr>
          <w:p w:rsidR="00DD09C1" w:rsidRPr="009563A0" w:rsidRDefault="00DD09C1" w:rsidP="00DD09C1">
            <w:pPr>
              <w:pStyle w:val="Tabletext"/>
              <w:tabs>
                <w:tab w:val="decimal" w:pos="595"/>
              </w:tabs>
              <w:ind w:right="57"/>
            </w:pPr>
            <w:r w:rsidRPr="009563A0">
              <w:t>80</w:t>
            </w:r>
          </w:p>
        </w:tc>
      </w:tr>
      <w:tr w:rsidR="00DD09C1" w:rsidRPr="009563A0">
        <w:trPr>
          <w:trHeight w:val="276"/>
        </w:trPr>
        <w:tc>
          <w:tcPr>
            <w:tcW w:w="1382"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spacing w:after="40"/>
            </w:pPr>
            <w:r w:rsidRPr="009563A0">
              <w:t>Australia</w:t>
            </w:r>
          </w:p>
        </w:tc>
        <w:tc>
          <w:tcPr>
            <w:tcW w:w="1187"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624"/>
              </w:tabs>
              <w:spacing w:after="40"/>
              <w:ind w:right="57"/>
            </w:pPr>
            <w:r w:rsidRPr="009563A0">
              <w:t>125</w:t>
            </w:r>
          </w:p>
        </w:tc>
        <w:tc>
          <w:tcPr>
            <w:tcW w:w="1187"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595"/>
              </w:tabs>
              <w:spacing w:after="40"/>
              <w:ind w:right="57"/>
            </w:pPr>
            <w:r w:rsidRPr="009563A0">
              <w:t>93</w:t>
            </w:r>
          </w:p>
        </w:tc>
        <w:tc>
          <w:tcPr>
            <w:tcW w:w="1187"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624"/>
              </w:tabs>
              <w:spacing w:after="40"/>
              <w:ind w:right="57"/>
            </w:pPr>
            <w:r w:rsidRPr="009563A0">
              <w:t>124</w:t>
            </w:r>
          </w:p>
        </w:tc>
        <w:tc>
          <w:tcPr>
            <w:tcW w:w="1187"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624"/>
              </w:tabs>
              <w:spacing w:after="40"/>
              <w:ind w:right="57"/>
            </w:pPr>
            <w:r w:rsidRPr="009563A0">
              <w:t>108</w:t>
            </w:r>
          </w:p>
        </w:tc>
        <w:tc>
          <w:tcPr>
            <w:tcW w:w="1187"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595"/>
              </w:tabs>
              <w:spacing w:after="40"/>
              <w:ind w:right="57"/>
            </w:pPr>
            <w:r w:rsidRPr="009563A0">
              <w:t>71</w:t>
            </w:r>
          </w:p>
        </w:tc>
        <w:tc>
          <w:tcPr>
            <w:tcW w:w="1188" w:type="dxa"/>
            <w:tcBorders>
              <w:top w:val="nil"/>
              <w:left w:val="nil"/>
              <w:bottom w:val="single" w:sz="4" w:space="0" w:color="auto"/>
              <w:right w:val="nil"/>
            </w:tcBorders>
            <w:shd w:val="clear" w:color="auto" w:fill="auto"/>
            <w:noWrap/>
            <w:vAlign w:val="bottom"/>
          </w:tcPr>
          <w:p w:rsidR="00DD09C1" w:rsidRPr="009563A0" w:rsidRDefault="00DD09C1" w:rsidP="00DD09C1">
            <w:pPr>
              <w:pStyle w:val="Tabletext"/>
              <w:tabs>
                <w:tab w:val="decimal" w:pos="595"/>
              </w:tabs>
              <w:spacing w:after="40"/>
              <w:ind w:right="57"/>
            </w:pPr>
            <w:r w:rsidRPr="009563A0">
              <w:t>81</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 xml:space="preserve">The table shows that there has been a significant payoff for tradespersons who are located in remote regions, probably because of the need for firms to pay compensating differentials. Not only are the median incomes for tradespersons highest in remote Australia, but also tradespersons in remote regions experienced the greatest growth in median income. The most notable earnings differential is for mechanical tradespersons who in 2006 earned 191% of the national median income, up 19% from 1996, and 67% higher than the median income of mechanical tradespersons located in capital cities. </w:t>
      </w:r>
    </w:p>
    <w:p w:rsidR="00DD09C1" w:rsidRDefault="00DD09C1" w:rsidP="00DD09C1">
      <w:pPr>
        <w:pStyle w:val="text0"/>
        <w:rPr>
          <w:lang w:val="en-US"/>
        </w:rPr>
      </w:pPr>
      <w:r>
        <w:rPr>
          <w:lang w:val="en-US"/>
        </w:rPr>
        <w:t>Electrical tradespersons in remote regions earned 167% of the national median in 2006, up 17% of the national median in 1996, and were paid an extra 43% of the national median compared with electrical and electronics tradespersons located in capital cities.</w:t>
      </w:r>
    </w:p>
    <w:p w:rsidR="00DD09C1" w:rsidRDefault="00DD09C1" w:rsidP="00DD09C1">
      <w:pPr>
        <w:pStyle w:val="text0"/>
        <w:rPr>
          <w:lang w:val="en-US"/>
        </w:rPr>
      </w:pPr>
      <w:r>
        <w:rPr>
          <w:lang w:val="en-US"/>
        </w:rPr>
        <w:t>Construction, automotive and food tradespersons all received significantly higher wages in remote regions. Even though food tradespersons earn well below the national median, they still did much better in remote regions. In virtually all regions, their relative earnings fell between 2001 and 2006, as did relative earnings of agricultural tradespersons. Tradespersons in inland areas from the mechanical, automotive, construction and electrical and electronic sub-groups have lower earnings than in any other region in Australia.</w:t>
      </w:r>
    </w:p>
    <w:p w:rsidR="00DD09C1" w:rsidRDefault="00DD09C1" w:rsidP="00DD09C1">
      <w:pPr>
        <w:pStyle w:val="tabletitle"/>
        <w:rPr>
          <w:lang w:val="en-US"/>
        </w:rPr>
      </w:pPr>
      <w:bookmarkStart w:id="86" w:name="_Toc241393312"/>
      <w:r>
        <w:rPr>
          <w:lang w:val="en-US"/>
        </w:rPr>
        <w:br w:type="page"/>
      </w:r>
      <w:bookmarkStart w:id="87" w:name="_Toc139109093"/>
      <w:r>
        <w:rPr>
          <w:lang w:val="en-US"/>
        </w:rPr>
        <w:lastRenderedPageBreak/>
        <w:t>Table 6</w:t>
      </w:r>
      <w:r>
        <w:rPr>
          <w:lang w:val="en-US"/>
        </w:rPr>
        <w:tab/>
        <w:t>Full-time earnings as a percentage of the national median income by state</w:t>
      </w:r>
      <w:bookmarkEnd w:id="86"/>
      <w:bookmarkEnd w:id="87"/>
    </w:p>
    <w:tbl>
      <w:tblPr>
        <w:tblW w:w="8505" w:type="dxa"/>
        <w:tblInd w:w="113" w:type="dxa"/>
        <w:tblLayout w:type="fixed"/>
        <w:tblLook w:val="0000"/>
      </w:tblPr>
      <w:tblGrid>
        <w:gridCol w:w="1400"/>
        <w:gridCol w:w="1184"/>
        <w:gridCol w:w="1184"/>
        <w:gridCol w:w="1184"/>
        <w:gridCol w:w="1184"/>
        <w:gridCol w:w="1184"/>
        <w:gridCol w:w="1185"/>
      </w:tblGrid>
      <w:tr w:rsidR="00DD09C1" w:rsidRPr="009563A0">
        <w:trPr>
          <w:trHeight w:val="276"/>
        </w:trPr>
        <w:tc>
          <w:tcPr>
            <w:tcW w:w="1400" w:type="dxa"/>
            <w:tcBorders>
              <w:top w:val="single" w:sz="4" w:space="0" w:color="auto"/>
              <w:left w:val="nil"/>
              <w:bottom w:val="single" w:sz="4" w:space="0" w:color="auto"/>
              <w:right w:val="nil"/>
            </w:tcBorders>
            <w:shd w:val="clear" w:color="auto" w:fill="auto"/>
            <w:noWrap/>
            <w:tcMar>
              <w:left w:w="113" w:type="dxa"/>
              <w:right w:w="57" w:type="dxa"/>
            </w:tcMar>
          </w:tcPr>
          <w:p w:rsidR="00DD09C1" w:rsidRPr="009563A0" w:rsidRDefault="00DD09C1" w:rsidP="00DD09C1">
            <w:pPr>
              <w:pStyle w:val="Tablehead1"/>
            </w:pPr>
            <w:r w:rsidRPr="009563A0">
              <w:t>1996</w:t>
            </w:r>
          </w:p>
        </w:tc>
        <w:tc>
          <w:tcPr>
            <w:tcW w:w="1184" w:type="dxa"/>
            <w:tcBorders>
              <w:top w:val="single" w:sz="4" w:space="0" w:color="auto"/>
              <w:left w:val="nil"/>
              <w:bottom w:val="single" w:sz="4" w:space="0" w:color="auto"/>
              <w:right w:val="nil"/>
            </w:tcBorders>
            <w:shd w:val="clear" w:color="auto" w:fill="auto"/>
            <w:noWrap/>
            <w:tcMar>
              <w:left w:w="57" w:type="dxa"/>
              <w:right w:w="57" w:type="dxa"/>
            </w:tcMar>
          </w:tcPr>
          <w:p w:rsidR="00DD09C1" w:rsidRPr="009563A0" w:rsidRDefault="00DD09C1" w:rsidP="00DD09C1">
            <w:pPr>
              <w:pStyle w:val="Tablehead1"/>
              <w:jc w:val="center"/>
            </w:pPr>
            <w:r w:rsidRPr="009563A0">
              <w:t>Mechanical</w:t>
            </w:r>
          </w:p>
        </w:tc>
        <w:tc>
          <w:tcPr>
            <w:tcW w:w="1184"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Automotive</w:t>
            </w:r>
          </w:p>
        </w:tc>
        <w:tc>
          <w:tcPr>
            <w:tcW w:w="1184"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Electrical</w:t>
            </w:r>
          </w:p>
        </w:tc>
        <w:tc>
          <w:tcPr>
            <w:tcW w:w="1184" w:type="dxa"/>
            <w:tcBorders>
              <w:top w:val="single" w:sz="4" w:space="0" w:color="auto"/>
              <w:left w:val="nil"/>
              <w:bottom w:val="single" w:sz="4" w:space="0" w:color="auto"/>
              <w:right w:val="nil"/>
            </w:tcBorders>
            <w:shd w:val="clear" w:color="auto" w:fill="auto"/>
            <w:noWrap/>
            <w:tcMar>
              <w:left w:w="0" w:type="dxa"/>
              <w:right w:w="0" w:type="dxa"/>
            </w:tcMar>
          </w:tcPr>
          <w:p w:rsidR="00DD09C1" w:rsidRPr="009563A0" w:rsidRDefault="00DD09C1" w:rsidP="00DD09C1">
            <w:pPr>
              <w:pStyle w:val="Tablehead1"/>
              <w:jc w:val="center"/>
            </w:pPr>
            <w:r w:rsidRPr="009563A0">
              <w:t>Construction</w:t>
            </w:r>
          </w:p>
        </w:tc>
        <w:tc>
          <w:tcPr>
            <w:tcW w:w="1184"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Food</w:t>
            </w:r>
          </w:p>
        </w:tc>
        <w:tc>
          <w:tcPr>
            <w:tcW w:w="1185" w:type="dxa"/>
            <w:tcBorders>
              <w:top w:val="single" w:sz="4" w:space="0" w:color="auto"/>
              <w:left w:val="nil"/>
              <w:bottom w:val="single" w:sz="4" w:space="0" w:color="auto"/>
              <w:right w:val="nil"/>
            </w:tcBorders>
            <w:shd w:val="clear" w:color="auto" w:fill="auto"/>
            <w:noWrap/>
            <w:tcMar>
              <w:left w:w="113" w:type="dxa"/>
            </w:tcMar>
          </w:tcPr>
          <w:p w:rsidR="00DD09C1" w:rsidRPr="009563A0" w:rsidRDefault="00DD09C1" w:rsidP="00DD09C1">
            <w:pPr>
              <w:pStyle w:val="Tablehead1"/>
              <w:jc w:val="center"/>
            </w:pPr>
            <w:r w:rsidRPr="009563A0">
              <w:t>Agricultural</w:t>
            </w:r>
          </w:p>
        </w:tc>
      </w:tr>
      <w:tr w:rsidR="00DD09C1">
        <w:trPr>
          <w:trHeight w:val="276"/>
        </w:trPr>
        <w:tc>
          <w:tcPr>
            <w:tcW w:w="1400" w:type="dxa"/>
            <w:tcBorders>
              <w:top w:val="single" w:sz="4" w:space="0" w:color="auto"/>
              <w:left w:val="nil"/>
              <w:bottom w:val="nil"/>
              <w:right w:val="nil"/>
            </w:tcBorders>
            <w:shd w:val="clear" w:color="auto" w:fill="auto"/>
            <w:noWrap/>
            <w:vAlign w:val="bottom"/>
          </w:tcPr>
          <w:p w:rsidR="00DD09C1" w:rsidRPr="0006165B" w:rsidRDefault="00DD09C1" w:rsidP="00DD09C1">
            <w:pPr>
              <w:pStyle w:val="Tabletext"/>
            </w:pPr>
            <w:r w:rsidRPr="0006165B">
              <w:t>NSW</w:t>
            </w:r>
          </w:p>
        </w:tc>
        <w:tc>
          <w:tcPr>
            <w:tcW w:w="11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624"/>
              </w:tabs>
            </w:pPr>
            <w:r>
              <w:t>119</w:t>
            </w:r>
          </w:p>
        </w:tc>
        <w:tc>
          <w:tcPr>
            <w:tcW w:w="11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95"/>
              </w:tabs>
            </w:pPr>
            <w:r>
              <w:t>96</w:t>
            </w:r>
          </w:p>
        </w:tc>
        <w:tc>
          <w:tcPr>
            <w:tcW w:w="11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624"/>
              </w:tabs>
            </w:pPr>
            <w:r>
              <w:t>122</w:t>
            </w:r>
          </w:p>
        </w:tc>
        <w:tc>
          <w:tcPr>
            <w:tcW w:w="11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624"/>
              </w:tabs>
            </w:pPr>
            <w:r>
              <w:t>106</w:t>
            </w:r>
          </w:p>
        </w:tc>
        <w:tc>
          <w:tcPr>
            <w:tcW w:w="11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95"/>
              </w:tabs>
            </w:pPr>
            <w:r>
              <w:t>75</w:t>
            </w:r>
          </w:p>
        </w:tc>
        <w:tc>
          <w:tcPr>
            <w:tcW w:w="1185"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95"/>
              </w:tabs>
            </w:pPr>
            <w:r>
              <w:t>84</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Vic.</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77</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79</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Qld</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94</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106</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76</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81</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SA</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77</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82</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WA</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99</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77</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86</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Tas.</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117</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78</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79</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NT</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138</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107</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90</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88</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ACT</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98</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75</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88</w:t>
            </w:r>
          </w:p>
        </w:tc>
      </w:tr>
      <w:tr w:rsidR="00DD09C1">
        <w:trPr>
          <w:trHeight w:val="276"/>
        </w:trPr>
        <w:tc>
          <w:tcPr>
            <w:tcW w:w="1400" w:type="dxa"/>
            <w:tcBorders>
              <w:top w:val="nil"/>
              <w:left w:val="nil"/>
              <w:bottom w:val="dashed" w:sz="4" w:space="0" w:color="auto"/>
              <w:right w:val="nil"/>
            </w:tcBorders>
            <w:shd w:val="clear" w:color="auto" w:fill="auto"/>
            <w:noWrap/>
            <w:vAlign w:val="bottom"/>
          </w:tcPr>
          <w:p w:rsidR="00DD09C1" w:rsidRPr="0006165B" w:rsidRDefault="00DD09C1" w:rsidP="00DD09C1">
            <w:pPr>
              <w:pStyle w:val="Tabletext"/>
              <w:spacing w:after="80"/>
            </w:pPr>
            <w:r w:rsidRPr="0006165B">
              <w:t>Australia</w:t>
            </w:r>
          </w:p>
        </w:tc>
        <w:tc>
          <w:tcPr>
            <w:tcW w:w="11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624"/>
              </w:tabs>
              <w:spacing w:after="80"/>
            </w:pPr>
            <w:r>
              <w:t>117</w:t>
            </w:r>
          </w:p>
        </w:tc>
        <w:tc>
          <w:tcPr>
            <w:tcW w:w="11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595"/>
              </w:tabs>
              <w:spacing w:after="80"/>
            </w:pPr>
            <w:r>
              <w:t>94</w:t>
            </w:r>
          </w:p>
        </w:tc>
        <w:tc>
          <w:tcPr>
            <w:tcW w:w="11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624"/>
              </w:tabs>
              <w:spacing w:after="80"/>
            </w:pPr>
            <w:r>
              <w:t>121</w:t>
            </w:r>
          </w:p>
        </w:tc>
        <w:tc>
          <w:tcPr>
            <w:tcW w:w="11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624"/>
              </w:tabs>
              <w:spacing w:after="80"/>
            </w:pPr>
            <w:r>
              <w:t>106</w:t>
            </w:r>
          </w:p>
        </w:tc>
        <w:tc>
          <w:tcPr>
            <w:tcW w:w="11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595"/>
              </w:tabs>
              <w:spacing w:after="80"/>
            </w:pPr>
            <w:r>
              <w:t>76</w:t>
            </w:r>
          </w:p>
        </w:tc>
        <w:tc>
          <w:tcPr>
            <w:tcW w:w="11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595"/>
              </w:tabs>
              <w:spacing w:after="80"/>
            </w:pPr>
            <w:r>
              <w:t>82</w:t>
            </w:r>
          </w:p>
        </w:tc>
      </w:tr>
      <w:tr w:rsidR="00DD09C1" w:rsidRPr="009563A0">
        <w:trPr>
          <w:trHeight w:val="276"/>
        </w:trPr>
        <w:tc>
          <w:tcPr>
            <w:tcW w:w="1400"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pPr>
            <w:r w:rsidRPr="009563A0">
              <w:t>2006</w:t>
            </w:r>
          </w:p>
        </w:tc>
        <w:tc>
          <w:tcPr>
            <w:tcW w:w="1184"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624"/>
              </w:tabs>
            </w:pPr>
          </w:p>
        </w:tc>
        <w:tc>
          <w:tcPr>
            <w:tcW w:w="1184"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595"/>
              </w:tabs>
            </w:pPr>
          </w:p>
        </w:tc>
        <w:tc>
          <w:tcPr>
            <w:tcW w:w="1184"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624"/>
              </w:tabs>
            </w:pPr>
          </w:p>
        </w:tc>
        <w:tc>
          <w:tcPr>
            <w:tcW w:w="1184"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624"/>
              </w:tabs>
            </w:pPr>
          </w:p>
        </w:tc>
        <w:tc>
          <w:tcPr>
            <w:tcW w:w="1184"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595"/>
              </w:tabs>
            </w:pPr>
          </w:p>
        </w:tc>
        <w:tc>
          <w:tcPr>
            <w:tcW w:w="1185" w:type="dxa"/>
            <w:tcBorders>
              <w:top w:val="dashed" w:sz="4" w:space="0" w:color="auto"/>
              <w:left w:val="nil"/>
              <w:bottom w:val="nil"/>
              <w:right w:val="nil"/>
            </w:tcBorders>
            <w:shd w:val="clear" w:color="auto" w:fill="auto"/>
            <w:noWrap/>
            <w:vAlign w:val="bottom"/>
          </w:tcPr>
          <w:p w:rsidR="00DD09C1" w:rsidRPr="009563A0" w:rsidRDefault="00DD09C1" w:rsidP="00DD09C1">
            <w:pPr>
              <w:pStyle w:val="Tablehead1"/>
              <w:tabs>
                <w:tab w:val="decimal" w:pos="595"/>
              </w:tabs>
            </w:pP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NSW</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68</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83</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Vic.</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118</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70</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79</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Qld</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127</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126</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114</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72</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80</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SA</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115</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91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118</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102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72</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79</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WA</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152</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103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133</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120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75</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83</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t>Tas.</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84</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118</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94</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73</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74</w:t>
            </w:r>
          </w:p>
        </w:tc>
      </w:tr>
      <w:tr w:rsidR="00DD09C1">
        <w:trPr>
          <w:trHeight w:val="276"/>
        </w:trPr>
        <w:tc>
          <w:tcPr>
            <w:tcW w:w="1400"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NT</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151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111</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137</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624"/>
              </w:tabs>
            </w:pPr>
            <w:r>
              <w:t>130</w:t>
            </w:r>
          </w:p>
        </w:tc>
        <w:tc>
          <w:tcPr>
            <w:tcW w:w="1184"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88</w:t>
            </w:r>
          </w:p>
        </w:tc>
        <w:tc>
          <w:tcPr>
            <w:tcW w:w="1185" w:type="dxa"/>
            <w:tcBorders>
              <w:top w:val="nil"/>
              <w:left w:val="nil"/>
              <w:bottom w:val="nil"/>
              <w:right w:val="nil"/>
            </w:tcBorders>
            <w:shd w:val="clear" w:color="auto" w:fill="auto"/>
            <w:noWrap/>
            <w:vAlign w:val="bottom"/>
          </w:tcPr>
          <w:p w:rsidR="00DD09C1" w:rsidRDefault="00DD09C1" w:rsidP="00DD09C1">
            <w:pPr>
              <w:pStyle w:val="Tabletext"/>
              <w:tabs>
                <w:tab w:val="decimal" w:pos="595"/>
              </w:tabs>
            </w:pPr>
            <w:r>
              <w:t>81</w:t>
            </w:r>
          </w:p>
        </w:tc>
      </w:tr>
      <w:tr w:rsidR="00DD09C1">
        <w:trPr>
          <w:trHeight w:val="276"/>
        </w:trPr>
        <w:tc>
          <w:tcPr>
            <w:tcW w:w="1400" w:type="dxa"/>
            <w:tcBorders>
              <w:top w:val="nil"/>
              <w:left w:val="nil"/>
              <w:right w:val="nil"/>
            </w:tcBorders>
            <w:shd w:val="clear" w:color="auto" w:fill="auto"/>
            <w:noWrap/>
            <w:vAlign w:val="bottom"/>
          </w:tcPr>
          <w:p w:rsidR="00DD09C1" w:rsidRPr="0006165B" w:rsidRDefault="00DD09C1" w:rsidP="00DD09C1">
            <w:pPr>
              <w:pStyle w:val="Tabletext"/>
            </w:pPr>
            <w:r w:rsidRPr="0006165B">
              <w:t>ACT</w:t>
            </w:r>
          </w:p>
        </w:tc>
        <w:tc>
          <w:tcPr>
            <w:tcW w:w="1184" w:type="dxa"/>
            <w:tcBorders>
              <w:top w:val="nil"/>
              <w:left w:val="nil"/>
              <w:right w:val="nil"/>
            </w:tcBorders>
            <w:shd w:val="clear" w:color="auto" w:fill="auto"/>
            <w:noWrap/>
            <w:vAlign w:val="bottom"/>
          </w:tcPr>
          <w:p w:rsidR="00DD09C1" w:rsidRDefault="00DD09C1" w:rsidP="00DD09C1">
            <w:pPr>
              <w:pStyle w:val="Tabletext"/>
              <w:tabs>
                <w:tab w:val="decimal" w:pos="624"/>
              </w:tabs>
            </w:pPr>
            <w:r>
              <w:t>121</w:t>
            </w:r>
          </w:p>
        </w:tc>
        <w:tc>
          <w:tcPr>
            <w:tcW w:w="1184" w:type="dxa"/>
            <w:tcBorders>
              <w:top w:val="nil"/>
              <w:left w:val="nil"/>
              <w:right w:val="nil"/>
            </w:tcBorders>
            <w:shd w:val="clear" w:color="auto" w:fill="auto"/>
            <w:noWrap/>
            <w:vAlign w:val="bottom"/>
          </w:tcPr>
          <w:p w:rsidR="00DD09C1" w:rsidRDefault="00DD09C1" w:rsidP="00DD09C1">
            <w:pPr>
              <w:pStyle w:val="Tabletext"/>
              <w:tabs>
                <w:tab w:val="decimal" w:pos="595"/>
              </w:tabs>
            </w:pPr>
            <w:r>
              <w:t>96</w:t>
            </w:r>
          </w:p>
        </w:tc>
        <w:tc>
          <w:tcPr>
            <w:tcW w:w="1184" w:type="dxa"/>
            <w:tcBorders>
              <w:top w:val="nil"/>
              <w:left w:val="nil"/>
              <w:right w:val="nil"/>
            </w:tcBorders>
            <w:shd w:val="clear" w:color="auto" w:fill="auto"/>
            <w:noWrap/>
            <w:vAlign w:val="bottom"/>
          </w:tcPr>
          <w:p w:rsidR="00DD09C1" w:rsidRDefault="00DD09C1" w:rsidP="00DD09C1">
            <w:pPr>
              <w:pStyle w:val="Tabletext"/>
              <w:tabs>
                <w:tab w:val="decimal" w:pos="624"/>
              </w:tabs>
            </w:pPr>
            <w:r>
              <w:t>128</w:t>
            </w:r>
          </w:p>
        </w:tc>
        <w:tc>
          <w:tcPr>
            <w:tcW w:w="1184" w:type="dxa"/>
            <w:tcBorders>
              <w:top w:val="nil"/>
              <w:left w:val="nil"/>
              <w:right w:val="nil"/>
            </w:tcBorders>
            <w:shd w:val="clear" w:color="auto" w:fill="auto"/>
            <w:noWrap/>
            <w:vAlign w:val="bottom"/>
          </w:tcPr>
          <w:p w:rsidR="00DD09C1" w:rsidRDefault="00DD09C1" w:rsidP="00DD09C1">
            <w:pPr>
              <w:pStyle w:val="Tabletext"/>
              <w:tabs>
                <w:tab w:val="decimal" w:pos="624"/>
              </w:tabs>
            </w:pPr>
            <w:r>
              <w:t>117</w:t>
            </w:r>
          </w:p>
        </w:tc>
        <w:tc>
          <w:tcPr>
            <w:tcW w:w="1184" w:type="dxa"/>
            <w:tcBorders>
              <w:top w:val="nil"/>
              <w:left w:val="nil"/>
              <w:right w:val="nil"/>
            </w:tcBorders>
            <w:shd w:val="clear" w:color="auto" w:fill="auto"/>
            <w:noWrap/>
            <w:vAlign w:val="bottom"/>
          </w:tcPr>
          <w:p w:rsidR="00DD09C1" w:rsidRDefault="00DD09C1" w:rsidP="00DD09C1">
            <w:pPr>
              <w:pStyle w:val="Tabletext"/>
              <w:tabs>
                <w:tab w:val="decimal" w:pos="595"/>
              </w:tabs>
            </w:pPr>
            <w:r>
              <w:t>71</w:t>
            </w:r>
          </w:p>
        </w:tc>
        <w:tc>
          <w:tcPr>
            <w:tcW w:w="1185" w:type="dxa"/>
            <w:tcBorders>
              <w:top w:val="nil"/>
              <w:left w:val="nil"/>
              <w:right w:val="nil"/>
            </w:tcBorders>
            <w:shd w:val="clear" w:color="auto" w:fill="auto"/>
            <w:noWrap/>
            <w:vAlign w:val="bottom"/>
          </w:tcPr>
          <w:p w:rsidR="00DD09C1" w:rsidRDefault="00DD09C1" w:rsidP="00DD09C1">
            <w:pPr>
              <w:pStyle w:val="Tabletext"/>
              <w:tabs>
                <w:tab w:val="decimal" w:pos="595"/>
              </w:tabs>
            </w:pPr>
            <w:r>
              <w:t>87</w:t>
            </w:r>
          </w:p>
        </w:tc>
      </w:tr>
      <w:tr w:rsidR="00DD09C1">
        <w:trPr>
          <w:trHeight w:val="276"/>
        </w:trPr>
        <w:tc>
          <w:tcPr>
            <w:tcW w:w="1400" w:type="dxa"/>
            <w:tcBorders>
              <w:top w:val="nil"/>
              <w:left w:val="nil"/>
              <w:bottom w:val="single" w:sz="4" w:space="0" w:color="auto"/>
              <w:right w:val="nil"/>
            </w:tcBorders>
            <w:shd w:val="clear" w:color="auto" w:fill="auto"/>
            <w:noWrap/>
            <w:vAlign w:val="bottom"/>
          </w:tcPr>
          <w:p w:rsidR="00DD09C1" w:rsidRPr="0006165B" w:rsidRDefault="00DD09C1" w:rsidP="00DD09C1">
            <w:pPr>
              <w:pStyle w:val="Tabletext"/>
              <w:spacing w:after="40"/>
            </w:pPr>
            <w:r w:rsidRPr="0006165B">
              <w:t>Australia</w:t>
            </w:r>
          </w:p>
        </w:tc>
        <w:tc>
          <w:tcPr>
            <w:tcW w:w="1184"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624"/>
              </w:tabs>
              <w:spacing w:after="40"/>
            </w:pPr>
            <w:r>
              <w:t>125</w:t>
            </w:r>
          </w:p>
        </w:tc>
        <w:tc>
          <w:tcPr>
            <w:tcW w:w="1184"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95"/>
              </w:tabs>
              <w:spacing w:after="40"/>
            </w:pPr>
            <w:r>
              <w:t>93</w:t>
            </w:r>
          </w:p>
        </w:tc>
        <w:tc>
          <w:tcPr>
            <w:tcW w:w="1184"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624"/>
              </w:tabs>
              <w:spacing w:after="40"/>
            </w:pPr>
            <w:r>
              <w:t>124</w:t>
            </w:r>
          </w:p>
        </w:tc>
        <w:tc>
          <w:tcPr>
            <w:tcW w:w="1184"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624"/>
              </w:tabs>
              <w:spacing w:after="40"/>
            </w:pPr>
            <w:r>
              <w:t>108</w:t>
            </w:r>
          </w:p>
        </w:tc>
        <w:tc>
          <w:tcPr>
            <w:tcW w:w="1184"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95"/>
              </w:tabs>
              <w:spacing w:after="40"/>
            </w:pPr>
            <w:r>
              <w:t>71</w:t>
            </w:r>
          </w:p>
        </w:tc>
        <w:tc>
          <w:tcPr>
            <w:tcW w:w="1185"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95"/>
              </w:tabs>
              <w:spacing w:after="40"/>
            </w:pPr>
            <w:r>
              <w:t>81</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There are substantially greater incomes for most trade occupations in Western Australia and the Northern Territory than elsewhere in Australia, and these differences increased between 1996 and 2006. For the automotive, electrical and electronic, construction and food tradespersons, the highest-paying state or territory was the Northern Territory. Western Australia was the highest-paid location for mechanical tradespersons and the second highest paid location for automotive, electrical, and construction tradespersons. Both Western Australia and the Northern Territory recorded the most significant increases in the median incomes of mechanical tradespersons over the period 1996–2006. Tasmania, however, has the lowest earnings of tradespersons of any state or territory. It has the lowest median incomes for trade occupations and the relative position has deteriorated in almost all sectors. In Queensland, where growth in employment has been high, the earnings differential between tradespersons and others is not as pronounced as in Western Australia, but construction and mechanical tradespersons experienced high growth in earnings between 2001 and 2006.</w:t>
      </w:r>
    </w:p>
    <w:p w:rsidR="00DD09C1" w:rsidRDefault="00DD09C1" w:rsidP="00DD09C1">
      <w:pPr>
        <w:pStyle w:val="text0"/>
        <w:rPr>
          <w:lang w:val="en-US"/>
        </w:rPr>
      </w:pPr>
      <w:r>
        <w:rPr>
          <w:lang w:val="en-US"/>
        </w:rPr>
        <w:t>Another way of examining tradespersons earnings is how they rate relative to other workers in the region in which they live (table 7).</w:t>
      </w:r>
    </w:p>
    <w:p w:rsidR="00DD09C1" w:rsidRPr="00DD59EA" w:rsidRDefault="00DD09C1" w:rsidP="00DD09C1">
      <w:pPr>
        <w:pStyle w:val="tabletitle"/>
        <w:rPr>
          <w:lang w:val="en-US"/>
        </w:rPr>
      </w:pPr>
      <w:bookmarkStart w:id="88" w:name="_Toc241393313"/>
      <w:r>
        <w:br w:type="page"/>
      </w:r>
      <w:bookmarkStart w:id="89" w:name="_Toc139109094"/>
      <w:r w:rsidRPr="00124106">
        <w:lastRenderedPageBreak/>
        <w:t>Table</w:t>
      </w:r>
      <w:r w:rsidRPr="00DD59EA">
        <w:rPr>
          <w:lang w:val="en-US"/>
        </w:rPr>
        <w:t xml:space="preserve"> </w:t>
      </w:r>
      <w:r>
        <w:rPr>
          <w:lang w:val="en-US"/>
        </w:rPr>
        <w:t>7</w:t>
      </w:r>
      <w:r>
        <w:rPr>
          <w:lang w:val="en-US"/>
        </w:rPr>
        <w:tab/>
        <w:t>Full-time</w:t>
      </w:r>
      <w:r w:rsidRPr="00DD59EA">
        <w:rPr>
          <w:lang w:val="en-US"/>
        </w:rPr>
        <w:t xml:space="preserve"> tradespersons</w:t>
      </w:r>
      <w:r>
        <w:rPr>
          <w:lang w:val="en-US"/>
        </w:rPr>
        <w:t>’</w:t>
      </w:r>
      <w:r w:rsidRPr="00DD59EA">
        <w:rPr>
          <w:lang w:val="en-US"/>
        </w:rPr>
        <w:t xml:space="preserve"> earnings as a percentage of all other workers</w:t>
      </w:r>
      <w:bookmarkEnd w:id="88"/>
      <w:bookmarkEnd w:id="89"/>
      <w:r w:rsidRPr="00DD59EA">
        <w:rPr>
          <w:lang w:val="en-US"/>
        </w:rPr>
        <w:t xml:space="preserve"> </w:t>
      </w:r>
    </w:p>
    <w:tbl>
      <w:tblPr>
        <w:tblW w:w="6521" w:type="dxa"/>
        <w:tblInd w:w="108" w:type="dxa"/>
        <w:tblLayout w:type="fixed"/>
        <w:tblLook w:val="0000"/>
      </w:tblPr>
      <w:tblGrid>
        <w:gridCol w:w="2127"/>
        <w:gridCol w:w="1098"/>
        <w:gridCol w:w="1099"/>
        <w:gridCol w:w="1098"/>
        <w:gridCol w:w="1099"/>
      </w:tblGrid>
      <w:tr w:rsidR="00DD09C1" w:rsidRPr="00124106">
        <w:trPr>
          <w:trHeight w:val="276"/>
        </w:trPr>
        <w:tc>
          <w:tcPr>
            <w:tcW w:w="2127" w:type="dxa"/>
            <w:tcBorders>
              <w:top w:val="single" w:sz="4" w:space="0" w:color="auto"/>
              <w:left w:val="nil"/>
              <w:bottom w:val="single" w:sz="4" w:space="0" w:color="auto"/>
              <w:right w:val="nil"/>
            </w:tcBorders>
            <w:shd w:val="clear" w:color="auto" w:fill="auto"/>
            <w:noWrap/>
            <w:vAlign w:val="bottom"/>
          </w:tcPr>
          <w:p w:rsidR="00DD09C1" w:rsidRPr="00124106" w:rsidRDefault="00DD09C1" w:rsidP="00DD09C1">
            <w:pPr>
              <w:pStyle w:val="Tablehead1"/>
            </w:pPr>
          </w:p>
        </w:tc>
        <w:tc>
          <w:tcPr>
            <w:tcW w:w="1098" w:type="dxa"/>
            <w:tcBorders>
              <w:top w:val="single" w:sz="4" w:space="0" w:color="auto"/>
              <w:left w:val="nil"/>
              <w:bottom w:val="single" w:sz="4" w:space="0" w:color="auto"/>
              <w:right w:val="nil"/>
            </w:tcBorders>
            <w:shd w:val="clear" w:color="auto" w:fill="auto"/>
            <w:noWrap/>
            <w:vAlign w:val="bottom"/>
          </w:tcPr>
          <w:p w:rsidR="00DD09C1" w:rsidRPr="00124106" w:rsidRDefault="00DD09C1" w:rsidP="00DD09C1">
            <w:pPr>
              <w:pStyle w:val="Tablehead1"/>
              <w:jc w:val="center"/>
            </w:pPr>
            <w:r w:rsidRPr="00124106">
              <w:t>1991</w:t>
            </w:r>
          </w:p>
        </w:tc>
        <w:tc>
          <w:tcPr>
            <w:tcW w:w="1099" w:type="dxa"/>
            <w:tcBorders>
              <w:top w:val="single" w:sz="4" w:space="0" w:color="auto"/>
              <w:left w:val="nil"/>
              <w:bottom w:val="single" w:sz="4" w:space="0" w:color="auto"/>
              <w:right w:val="nil"/>
            </w:tcBorders>
            <w:shd w:val="clear" w:color="auto" w:fill="auto"/>
            <w:noWrap/>
            <w:vAlign w:val="bottom"/>
          </w:tcPr>
          <w:p w:rsidR="00DD09C1" w:rsidRPr="00124106" w:rsidRDefault="00DD09C1" w:rsidP="00DD09C1">
            <w:pPr>
              <w:pStyle w:val="Tablehead1"/>
              <w:jc w:val="center"/>
            </w:pPr>
            <w:r w:rsidRPr="00124106">
              <w:t>1996</w:t>
            </w:r>
          </w:p>
        </w:tc>
        <w:tc>
          <w:tcPr>
            <w:tcW w:w="1098" w:type="dxa"/>
            <w:tcBorders>
              <w:top w:val="single" w:sz="4" w:space="0" w:color="auto"/>
              <w:left w:val="nil"/>
              <w:bottom w:val="single" w:sz="4" w:space="0" w:color="auto"/>
              <w:right w:val="nil"/>
            </w:tcBorders>
            <w:shd w:val="clear" w:color="auto" w:fill="auto"/>
            <w:noWrap/>
            <w:vAlign w:val="bottom"/>
          </w:tcPr>
          <w:p w:rsidR="00DD09C1" w:rsidRPr="00124106" w:rsidRDefault="00DD09C1" w:rsidP="00DD09C1">
            <w:pPr>
              <w:pStyle w:val="Tablehead1"/>
              <w:jc w:val="center"/>
            </w:pPr>
            <w:r w:rsidRPr="00124106">
              <w:t>2001</w:t>
            </w:r>
          </w:p>
        </w:tc>
        <w:tc>
          <w:tcPr>
            <w:tcW w:w="1099" w:type="dxa"/>
            <w:tcBorders>
              <w:top w:val="single" w:sz="4" w:space="0" w:color="auto"/>
              <w:left w:val="nil"/>
              <w:bottom w:val="single" w:sz="4" w:space="0" w:color="auto"/>
              <w:right w:val="nil"/>
            </w:tcBorders>
            <w:shd w:val="clear" w:color="auto" w:fill="auto"/>
            <w:noWrap/>
            <w:vAlign w:val="bottom"/>
          </w:tcPr>
          <w:p w:rsidR="00DD09C1" w:rsidRPr="00124106" w:rsidRDefault="00DD09C1" w:rsidP="00DD09C1">
            <w:pPr>
              <w:pStyle w:val="Tablehead1"/>
              <w:jc w:val="center"/>
            </w:pPr>
            <w:r w:rsidRPr="00124106">
              <w:t>2006</w:t>
            </w:r>
          </w:p>
        </w:tc>
      </w:tr>
      <w:tr w:rsidR="00DD09C1">
        <w:trPr>
          <w:trHeight w:val="276"/>
        </w:trPr>
        <w:tc>
          <w:tcPr>
            <w:tcW w:w="2127" w:type="dxa"/>
            <w:tcBorders>
              <w:top w:val="single" w:sz="4" w:space="0" w:color="auto"/>
              <w:left w:val="nil"/>
              <w:bottom w:val="nil"/>
              <w:right w:val="nil"/>
            </w:tcBorders>
            <w:shd w:val="clear" w:color="auto" w:fill="auto"/>
            <w:noWrap/>
            <w:vAlign w:val="bottom"/>
          </w:tcPr>
          <w:p w:rsidR="00DD09C1" w:rsidRPr="0006165B" w:rsidRDefault="00DD09C1" w:rsidP="00DD09C1">
            <w:pPr>
              <w:pStyle w:val="Tabletext"/>
            </w:pPr>
            <w:r w:rsidRPr="0006165B">
              <w:t>Sydney</w:t>
            </w:r>
          </w:p>
        </w:tc>
        <w:tc>
          <w:tcPr>
            <w:tcW w:w="1098"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39"/>
              </w:tabs>
            </w:pPr>
            <w:r>
              <w:t>99</w:t>
            </w:r>
          </w:p>
        </w:tc>
        <w:tc>
          <w:tcPr>
            <w:tcW w:w="109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39"/>
              </w:tabs>
            </w:pPr>
            <w:r>
              <w:t>97</w:t>
            </w:r>
          </w:p>
        </w:tc>
        <w:tc>
          <w:tcPr>
            <w:tcW w:w="1098"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39"/>
              </w:tabs>
            </w:pPr>
            <w:r>
              <w:t>96</w:t>
            </w:r>
          </w:p>
        </w:tc>
        <w:tc>
          <w:tcPr>
            <w:tcW w:w="109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539"/>
              </w:tabs>
            </w:pPr>
            <w:r>
              <w:t>93</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Rest of NSW</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108</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106</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106</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Melbourne</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97</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98</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99</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98</w:t>
            </w:r>
          </w:p>
        </w:tc>
      </w:tr>
      <w:tr w:rsidR="00DD09C1">
        <w:trPr>
          <w:trHeight w:val="252"/>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t>Rest of Vic.</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106</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Brisbane</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102</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102</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102</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104</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t>Rest of Qld</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111</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110</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111</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116</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Adelaide</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99</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100</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101</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101</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Rest of SA</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110</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108</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108</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Perth</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101</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105</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110</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Rest of WA</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120</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123</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126</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Hobart</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97</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100</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98</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97</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t>Rest of Tas.</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108</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107</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108</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Darwin</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95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102</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106</w:t>
            </w:r>
          </w:p>
        </w:tc>
      </w:tr>
      <w:tr w:rsidR="00DD09C1">
        <w:trPr>
          <w:trHeight w:val="276"/>
        </w:trPr>
        <w:tc>
          <w:tcPr>
            <w:tcW w:w="2127" w:type="dxa"/>
            <w:tcBorders>
              <w:top w:val="nil"/>
              <w:left w:val="nil"/>
              <w:bottom w:val="nil"/>
              <w:right w:val="nil"/>
            </w:tcBorders>
            <w:shd w:val="clear" w:color="auto" w:fill="auto"/>
            <w:noWrap/>
            <w:vAlign w:val="bottom"/>
          </w:tcPr>
          <w:p w:rsidR="00DD09C1" w:rsidRPr="0006165B" w:rsidRDefault="00DD09C1" w:rsidP="00DD09C1">
            <w:pPr>
              <w:pStyle w:val="Tabletext"/>
            </w:pPr>
            <w:r w:rsidRPr="0006165B">
              <w:t>Rest of NT</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105</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119</w:t>
            </w:r>
          </w:p>
        </w:tc>
        <w:tc>
          <w:tcPr>
            <w:tcW w:w="1098"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120</w:t>
            </w:r>
          </w:p>
        </w:tc>
        <w:tc>
          <w:tcPr>
            <w:tcW w:w="1099" w:type="dxa"/>
            <w:tcBorders>
              <w:top w:val="nil"/>
              <w:left w:val="nil"/>
              <w:bottom w:val="nil"/>
              <w:right w:val="nil"/>
            </w:tcBorders>
            <w:shd w:val="clear" w:color="auto" w:fill="auto"/>
            <w:noWrap/>
            <w:vAlign w:val="bottom"/>
          </w:tcPr>
          <w:p w:rsidR="00DD09C1" w:rsidRDefault="00DD09C1" w:rsidP="00DD09C1">
            <w:pPr>
              <w:pStyle w:val="Tabletext"/>
              <w:tabs>
                <w:tab w:val="decimal" w:pos="539"/>
              </w:tabs>
            </w:pPr>
            <w:r>
              <w:t>122</w:t>
            </w:r>
          </w:p>
        </w:tc>
      </w:tr>
      <w:tr w:rsidR="00DD09C1">
        <w:trPr>
          <w:trHeight w:val="276"/>
        </w:trPr>
        <w:tc>
          <w:tcPr>
            <w:tcW w:w="2127" w:type="dxa"/>
            <w:tcBorders>
              <w:top w:val="nil"/>
              <w:left w:val="nil"/>
              <w:right w:val="nil"/>
            </w:tcBorders>
            <w:shd w:val="clear" w:color="auto" w:fill="auto"/>
            <w:noWrap/>
            <w:vAlign w:val="bottom"/>
          </w:tcPr>
          <w:p w:rsidR="00DD09C1" w:rsidRPr="0006165B" w:rsidRDefault="00DD09C1" w:rsidP="00DD09C1">
            <w:pPr>
              <w:pStyle w:val="Tabletext"/>
            </w:pPr>
            <w:r w:rsidRPr="0006165B">
              <w:t>Canberra</w:t>
            </w:r>
          </w:p>
        </w:tc>
        <w:tc>
          <w:tcPr>
            <w:tcW w:w="1098" w:type="dxa"/>
            <w:tcBorders>
              <w:top w:val="nil"/>
              <w:left w:val="nil"/>
              <w:right w:val="nil"/>
            </w:tcBorders>
            <w:shd w:val="clear" w:color="auto" w:fill="auto"/>
            <w:noWrap/>
            <w:vAlign w:val="bottom"/>
          </w:tcPr>
          <w:p w:rsidR="00DD09C1" w:rsidRDefault="00DD09C1" w:rsidP="00DD09C1">
            <w:pPr>
              <w:pStyle w:val="Tabletext"/>
              <w:tabs>
                <w:tab w:val="decimal" w:pos="539"/>
              </w:tabs>
            </w:pPr>
            <w:r>
              <w:t>88</w:t>
            </w:r>
          </w:p>
        </w:tc>
        <w:tc>
          <w:tcPr>
            <w:tcW w:w="1099" w:type="dxa"/>
            <w:tcBorders>
              <w:top w:val="nil"/>
              <w:left w:val="nil"/>
              <w:right w:val="nil"/>
            </w:tcBorders>
            <w:shd w:val="clear" w:color="auto" w:fill="auto"/>
            <w:noWrap/>
            <w:vAlign w:val="bottom"/>
          </w:tcPr>
          <w:p w:rsidR="00DD09C1" w:rsidRDefault="00DD09C1" w:rsidP="00DD09C1">
            <w:pPr>
              <w:pStyle w:val="Tabletext"/>
              <w:tabs>
                <w:tab w:val="decimal" w:pos="539"/>
              </w:tabs>
            </w:pPr>
            <w:r>
              <w:t>84</w:t>
            </w:r>
          </w:p>
        </w:tc>
        <w:tc>
          <w:tcPr>
            <w:tcW w:w="1098" w:type="dxa"/>
            <w:tcBorders>
              <w:top w:val="nil"/>
              <w:left w:val="nil"/>
              <w:right w:val="nil"/>
            </w:tcBorders>
            <w:shd w:val="clear" w:color="auto" w:fill="auto"/>
            <w:noWrap/>
            <w:vAlign w:val="bottom"/>
          </w:tcPr>
          <w:p w:rsidR="00DD09C1" w:rsidRDefault="00DD09C1" w:rsidP="00DD09C1">
            <w:pPr>
              <w:pStyle w:val="Tabletext"/>
              <w:tabs>
                <w:tab w:val="decimal" w:pos="539"/>
              </w:tabs>
            </w:pPr>
            <w:r>
              <w:t>85</w:t>
            </w:r>
          </w:p>
        </w:tc>
        <w:tc>
          <w:tcPr>
            <w:tcW w:w="1099" w:type="dxa"/>
            <w:tcBorders>
              <w:top w:val="nil"/>
              <w:left w:val="nil"/>
              <w:right w:val="nil"/>
            </w:tcBorders>
            <w:shd w:val="clear" w:color="auto" w:fill="auto"/>
            <w:noWrap/>
            <w:vAlign w:val="bottom"/>
          </w:tcPr>
          <w:p w:rsidR="00DD09C1" w:rsidRDefault="00DD09C1" w:rsidP="00DD09C1">
            <w:pPr>
              <w:pStyle w:val="Tabletext"/>
              <w:tabs>
                <w:tab w:val="decimal" w:pos="539"/>
              </w:tabs>
            </w:pPr>
            <w:r>
              <w:t>78</w:t>
            </w:r>
          </w:p>
        </w:tc>
      </w:tr>
      <w:tr w:rsidR="00DD09C1">
        <w:trPr>
          <w:trHeight w:val="276"/>
        </w:trPr>
        <w:tc>
          <w:tcPr>
            <w:tcW w:w="2127" w:type="dxa"/>
            <w:tcBorders>
              <w:top w:val="nil"/>
              <w:left w:val="nil"/>
              <w:bottom w:val="single" w:sz="4" w:space="0" w:color="auto"/>
              <w:right w:val="nil"/>
            </w:tcBorders>
            <w:shd w:val="clear" w:color="auto" w:fill="auto"/>
            <w:noWrap/>
            <w:vAlign w:val="bottom"/>
          </w:tcPr>
          <w:p w:rsidR="00DD09C1" w:rsidRPr="0006165B" w:rsidRDefault="00DD09C1" w:rsidP="00DD09C1">
            <w:pPr>
              <w:pStyle w:val="Tabletext"/>
              <w:spacing w:after="40"/>
            </w:pPr>
            <w:r w:rsidRPr="0006165B">
              <w:t>Australia</w:t>
            </w:r>
          </w:p>
        </w:tc>
        <w:tc>
          <w:tcPr>
            <w:tcW w:w="1098"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39"/>
              </w:tabs>
              <w:spacing w:after="40"/>
            </w:pPr>
            <w:r>
              <w:t>101</w:t>
            </w:r>
          </w:p>
        </w:tc>
        <w:tc>
          <w:tcPr>
            <w:tcW w:w="109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39"/>
              </w:tabs>
              <w:spacing w:after="40"/>
            </w:pPr>
            <w:r>
              <w:t>102</w:t>
            </w:r>
          </w:p>
        </w:tc>
        <w:tc>
          <w:tcPr>
            <w:tcW w:w="1098"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39"/>
              </w:tabs>
              <w:spacing w:after="40"/>
            </w:pPr>
            <w:r>
              <w:t>102</w:t>
            </w:r>
          </w:p>
        </w:tc>
        <w:tc>
          <w:tcPr>
            <w:tcW w:w="109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539"/>
              </w:tabs>
              <w:spacing w:after="40"/>
            </w:pPr>
            <w:r>
              <w:t>102</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 xml:space="preserve">The difference between the major urban </w:t>
      </w:r>
      <w:proofErr w:type="spellStart"/>
      <w:r>
        <w:rPr>
          <w:lang w:val="en-US"/>
        </w:rPr>
        <w:t>centres</w:t>
      </w:r>
      <w:proofErr w:type="spellEnd"/>
      <w:r>
        <w:rPr>
          <w:lang w:val="en-US"/>
        </w:rPr>
        <w:t xml:space="preserve"> of Australia and the regions appears to have a significant impact on the relative earnings of tradespersons. In the major urban </w:t>
      </w:r>
      <w:proofErr w:type="spellStart"/>
      <w:r>
        <w:rPr>
          <w:lang w:val="en-US"/>
        </w:rPr>
        <w:t>centres</w:t>
      </w:r>
      <w:proofErr w:type="spellEnd"/>
      <w:r>
        <w:rPr>
          <w:lang w:val="en-US"/>
        </w:rPr>
        <w:t xml:space="preserve">, where the service sector accounts for a larger proportion of the jobs, tradespersons earn less, relative to all other workers in the same location. Alternatively, outside urban areas, tradespersons’ relative earnings are for the most part significantly better than all other workers. For example, when comparing tradespersons’ relative earnings in Sydney with the rest of New South Wales, tradespersons’ relative position is less than the earnings of all other workers in Sydney and this position slides over time to just 93% of all other workers in 2006. For the rest of New South Wales, tradespersons’ relative earnings are consistently better over time than all other employed persons, by 6% in 2006. A fairly similar story can be said for Melbourne and rest of Victoria, Adelaide and the rest of South Australia, Hobart and the rest of Tasmania, except that the relative position of tradespersons in these capital cities does not decrease over time, and in Adelaide, tradespersons’ relative position increases to better the earnings of all other workers.  </w:t>
      </w:r>
    </w:p>
    <w:p w:rsidR="00DD09C1" w:rsidRDefault="00DD09C1" w:rsidP="00DD09C1">
      <w:pPr>
        <w:pStyle w:val="text0"/>
        <w:ind w:right="-151"/>
        <w:rPr>
          <w:lang w:val="en-US"/>
        </w:rPr>
      </w:pPr>
      <w:r>
        <w:rPr>
          <w:lang w:val="en-US"/>
        </w:rPr>
        <w:t xml:space="preserve">For the other capital cities and their associated rest of states, the story is somewhat different. While the relative earnings of tradespersons are much improved when compared with all other workers, there is still a clear discernable difference between the major urban </w:t>
      </w:r>
      <w:proofErr w:type="spellStart"/>
      <w:r>
        <w:rPr>
          <w:lang w:val="en-US"/>
        </w:rPr>
        <w:t>centres</w:t>
      </w:r>
      <w:proofErr w:type="spellEnd"/>
      <w:r>
        <w:rPr>
          <w:lang w:val="en-US"/>
        </w:rPr>
        <w:t xml:space="preserve"> and the rest of state. For example, in Brisbane the relative earnings of tradespersons </w:t>
      </w:r>
      <w:proofErr w:type="gramStart"/>
      <w:r>
        <w:rPr>
          <w:lang w:val="en-US"/>
        </w:rPr>
        <w:t>is</w:t>
      </w:r>
      <w:proofErr w:type="gramEnd"/>
      <w:r>
        <w:rPr>
          <w:lang w:val="en-US"/>
        </w:rPr>
        <w:t xml:space="preserve"> better than all other workers in Brisbane, an improvement of 4% in 2006. However, tradespersons in the rest of Queensland enjoy improved relative earnings of 16% over other workers in 2006. The same story is observed and is even more pronounced for Perth and the rest of Western Australia. While Perth tradespersons recorded wages 10% greater than all other workers in 2006, the corresponding wage premium of tradespersons working in the rest of Western Australia was 26% in 2006. The story is similar for Darwin and the Northern Territory. Nowhere are tradespersons worse off relative to all other workers than in Canberra. This position became even worse as the relative median earnings of tradespersons declined considerably between 2001 and 2006, down 7% to just 78% in 2006 of the median earnings</w:t>
      </w:r>
      <w:r w:rsidRPr="000852FD">
        <w:rPr>
          <w:lang w:val="en-US"/>
        </w:rPr>
        <w:t xml:space="preserve"> </w:t>
      </w:r>
      <w:r>
        <w:rPr>
          <w:lang w:val="en-US"/>
        </w:rPr>
        <w:t>of all other workers. This is largely due to the median earnings of non-tradespersons in Canberra being higher than the rest of Australia and increasing between 2001 and 2006.</w:t>
      </w:r>
    </w:p>
    <w:p w:rsidR="00DD09C1" w:rsidRDefault="00DD09C1" w:rsidP="00DD09C1">
      <w:pPr>
        <w:pStyle w:val="text0"/>
        <w:ind w:right="132"/>
        <w:rPr>
          <w:lang w:val="en-US"/>
        </w:rPr>
      </w:pPr>
      <w:r>
        <w:rPr>
          <w:lang w:val="en-US"/>
        </w:rPr>
        <w:t xml:space="preserve">In summary, earnings appear to have played a very important function in adjusting supply and demand for tradespersons over the business cycle and in a period of structural change. This is </w:t>
      </w:r>
      <w:r>
        <w:rPr>
          <w:lang w:val="en-US"/>
        </w:rPr>
        <w:lastRenderedPageBreak/>
        <w:t>particularly the case for Western Australia with its large population growth and its booming mining sector.</w:t>
      </w:r>
    </w:p>
    <w:p w:rsidR="00DD09C1" w:rsidRPr="00F24BA8" w:rsidRDefault="00DD09C1" w:rsidP="00DD09C1">
      <w:pPr>
        <w:pStyle w:val="Heading3"/>
        <w:rPr>
          <w:lang w:val="en-US"/>
        </w:rPr>
      </w:pPr>
      <w:r w:rsidRPr="00F24BA8">
        <w:rPr>
          <w:lang w:val="en-US"/>
        </w:rPr>
        <w:t>Income dispersion</w:t>
      </w:r>
    </w:p>
    <w:p w:rsidR="00DD09C1" w:rsidRDefault="00DD09C1" w:rsidP="00DD09C1">
      <w:pPr>
        <w:pStyle w:val="text-lessbefore"/>
      </w:pPr>
      <w:r>
        <w:rPr>
          <w:lang w:val="en-US"/>
        </w:rPr>
        <w:t xml:space="preserve">Another feature of a well-functioning </w:t>
      </w:r>
      <w:proofErr w:type="spellStart"/>
      <w:r>
        <w:rPr>
          <w:lang w:val="en-US"/>
        </w:rPr>
        <w:t>labour</w:t>
      </w:r>
      <w:proofErr w:type="spellEnd"/>
      <w:r>
        <w:rPr>
          <w:lang w:val="en-US"/>
        </w:rPr>
        <w:t xml:space="preserve"> market, particularly with respect to flexibility, is growing wage dispersion as the rewards to initiative and skills become more pronounced. </w:t>
      </w:r>
      <w:r>
        <w:t xml:space="preserve">In a market economy, for efficient human capital formation it is necessary for returns to skill formation to reflect changes in demand for skills. </w:t>
      </w:r>
      <w:proofErr w:type="gramStart"/>
      <w:r>
        <w:t>Rises in wages for occupations and individuals which are intensive in skills in demand act as signals to invest in education to attain these skills.</w:t>
      </w:r>
      <w:proofErr w:type="gramEnd"/>
      <w:r>
        <w:t xml:space="preserve"> Similarly, relative wages should decline for occupations and individuals with skills that are in relative decline. </w:t>
      </w:r>
      <w:r w:rsidRPr="00944D44">
        <w:t xml:space="preserve">It is not clear what </w:t>
      </w:r>
      <w:r>
        <w:t xml:space="preserve">the implications for formal training </w:t>
      </w:r>
      <w:r w:rsidRPr="00944D44">
        <w:t xml:space="preserve">would be </w:t>
      </w:r>
      <w:r>
        <w:t xml:space="preserve">in </w:t>
      </w:r>
      <w:r w:rsidRPr="00944D44">
        <w:t xml:space="preserve">the case </w:t>
      </w:r>
      <w:r>
        <w:t xml:space="preserve">where earnings dispersion widens </w:t>
      </w:r>
      <w:r w:rsidRPr="00944D44">
        <w:t xml:space="preserve">within occupations since the skills set for persons within an occupation would be similar and differences reflect ability (or good fortune) rather than returns to education and training. </w:t>
      </w:r>
      <w:r>
        <w:t xml:space="preserve">Nevertheless, differences in earnings will measure differences in skills, broadly defined. </w:t>
      </w:r>
    </w:p>
    <w:p w:rsidR="00DD09C1" w:rsidRDefault="00DD09C1" w:rsidP="00DD09C1">
      <w:pPr>
        <w:pStyle w:val="text0"/>
      </w:pPr>
      <w:r>
        <w:t xml:space="preserve">The pattern of wages can be distorted, however, in a period of general excess demand for labour. For instance, Daly and Lewis (2009) found that the widening of the income differential between university graduates and those who had only completed Year 12, observed between 1986 and 2001, was reversed in 2006. This suggests that the full employment, or even excess demand for labour that characterised the economy in 2006 (Lewis 2008b), significantly reduced the skill differential for university graduates evident in periods of high unemployment. Whether this same phenomenon is observable for </w:t>
      </w:r>
      <w:proofErr w:type="gramStart"/>
      <w:r>
        <w:t>trades</w:t>
      </w:r>
      <w:proofErr w:type="gramEnd"/>
      <w:r>
        <w:t xml:space="preserve"> occupations is of interest.</w:t>
      </w:r>
    </w:p>
    <w:p w:rsidR="00DD09C1" w:rsidRDefault="00DD09C1" w:rsidP="00DD09C1">
      <w:pPr>
        <w:pStyle w:val="text0"/>
      </w:pPr>
      <w:r>
        <w:t>There are several ways in which earnings dispersion can be measured. Here two simple but well-known measures are applied to earnings of employed tradespersons and all other employed workers, namely, the ratio of the lowest 20% (20</w:t>
      </w:r>
      <w:r w:rsidRPr="000B34FC">
        <w:t>th</w:t>
      </w:r>
      <w:r>
        <w:t xml:space="preserve"> percentile) to the median (50</w:t>
      </w:r>
      <w:r w:rsidRPr="000B34FC">
        <w:t>th</w:t>
      </w:r>
      <w:r>
        <w:t xml:space="preserve"> percentile) and the ratio of the highest 20% (80</w:t>
      </w:r>
      <w:r w:rsidRPr="000B34FC">
        <w:t>th</w:t>
      </w:r>
      <w:r>
        <w:t xml:space="preserve"> percentile) to the median (ABS 2009).</w:t>
      </w:r>
    </w:p>
    <w:p w:rsidR="00DD09C1" w:rsidRDefault="00DD09C1" w:rsidP="00DD09C1">
      <w:pPr>
        <w:pStyle w:val="text0"/>
        <w:rPr>
          <w:lang w:val="en-US"/>
        </w:rPr>
      </w:pPr>
      <w:r>
        <w:rPr>
          <w:lang w:val="en-US"/>
        </w:rPr>
        <w:t>Nationally, from 1991 to 2006, there have been observable downward trends in the 20</w:t>
      </w:r>
      <w:r w:rsidRPr="000B34FC">
        <w:rPr>
          <w:lang w:val="en-US"/>
        </w:rPr>
        <w:t>th</w:t>
      </w:r>
      <w:r>
        <w:rPr>
          <w:lang w:val="en-US"/>
        </w:rPr>
        <w:t xml:space="preserve"> percentile relative to median weekly earnings for all tradespersons and for many of the individual trade occupations. This downward trend is very small for the years 1991–2001: it only fell by 1.2% from 63.9% in 1991 to 62.7% in 2001. However, between 2001 and 2006, the 20</w:t>
      </w:r>
      <w:r w:rsidRPr="000B34FC">
        <w:rPr>
          <w:lang w:val="en-US"/>
        </w:rPr>
        <w:t xml:space="preserve">th </w:t>
      </w:r>
      <w:r>
        <w:rPr>
          <w:lang w:val="en-US"/>
        </w:rPr>
        <w:t>percentile’s share of the median weekly earnings dropped by 5% from 62.7% in 2001 to 57.7% in 2006. The falls between 2001 and 2006 are consistent through all trade occupations and all other employed persons. The largest falls were for the trade occupations of mechanical, electrical and building, by 6.2%, 6.3% and 5.9% respectively over the period 2001–06. The relative loss suffered by the 20</w:t>
      </w:r>
      <w:r w:rsidRPr="000B34FC">
        <w:rPr>
          <w:lang w:val="en-US"/>
        </w:rPr>
        <w:t>th</w:t>
      </w:r>
      <w:r>
        <w:rPr>
          <w:lang w:val="en-US"/>
        </w:rPr>
        <w:t xml:space="preserve"> percentile is not due to reduced weekly earnings, since the 20</w:t>
      </w:r>
      <w:r w:rsidRPr="000B34FC">
        <w:rPr>
          <w:lang w:val="en-US"/>
        </w:rPr>
        <w:t>th</w:t>
      </w:r>
      <w:r>
        <w:rPr>
          <w:lang w:val="en-US"/>
        </w:rPr>
        <w:t xml:space="preserve"> percentile weekly earnings for all tradespersons increased by $46 from $382 to $428 between 2001 and 2006. The relative loss occurred due to the median weekly earnings for all tradespersons rising much faster over the same period by $133 from $608 in 2001 to $741 in 2006.</w:t>
      </w:r>
    </w:p>
    <w:p w:rsidR="00DD09C1" w:rsidRPr="00F223B9" w:rsidRDefault="00DD09C1" w:rsidP="00DD09C1">
      <w:pPr>
        <w:pStyle w:val="Figuretitle"/>
        <w:rPr>
          <w:lang w:val="en-US"/>
        </w:rPr>
      </w:pPr>
      <w:bookmarkStart w:id="90" w:name="_Toc139109124"/>
      <w:r>
        <w:rPr>
          <w:lang w:val="en-US"/>
        </w:rPr>
        <w:br w:type="page"/>
      </w:r>
      <w:r w:rsidR="000D09B7">
        <w:rPr>
          <w:noProof/>
          <w:lang w:eastAsia="en-AU"/>
        </w:rPr>
        <w:lastRenderedPageBreak/>
        <w:drawing>
          <wp:anchor distT="0" distB="0" distL="114300" distR="114300" simplePos="0" relativeHeight="251665920" behindDoc="0" locked="0" layoutInCell="1" allowOverlap="1">
            <wp:simplePos x="0" y="0"/>
            <wp:positionH relativeFrom="column">
              <wp:posOffset>2540</wp:posOffset>
            </wp:positionH>
            <wp:positionV relativeFrom="paragraph">
              <wp:posOffset>455930</wp:posOffset>
            </wp:positionV>
            <wp:extent cx="5223510" cy="2438400"/>
            <wp:effectExtent l="19050" t="0" r="0" b="0"/>
            <wp:wrapTopAndBottom/>
            <wp:docPr id="3788" name="Picture 3788" descr="fig15-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descr="fig15-2050"/>
                    <pic:cNvPicPr>
                      <a:picLocks noChangeAspect="1" noChangeArrowheads="1"/>
                    </pic:cNvPicPr>
                  </pic:nvPicPr>
                  <pic:blipFill>
                    <a:blip r:embed="rId25" cstate="print"/>
                    <a:srcRect/>
                    <a:stretch>
                      <a:fillRect/>
                    </a:stretch>
                  </pic:blipFill>
                  <pic:spPr bwMode="auto">
                    <a:xfrm>
                      <a:off x="0" y="0"/>
                      <a:ext cx="5223510" cy="2438400"/>
                    </a:xfrm>
                    <a:prstGeom prst="rect">
                      <a:avLst/>
                    </a:prstGeom>
                    <a:noFill/>
                    <a:ln w="9525">
                      <a:noFill/>
                      <a:miter lim="800000"/>
                      <a:headEnd/>
                      <a:tailEnd/>
                    </a:ln>
                  </pic:spPr>
                </pic:pic>
              </a:graphicData>
            </a:graphic>
          </wp:anchor>
        </w:drawing>
      </w:r>
      <w:r w:rsidRPr="00F223B9">
        <w:rPr>
          <w:lang w:val="en-US"/>
        </w:rPr>
        <w:t xml:space="preserve">Figure </w:t>
      </w:r>
      <w:r>
        <w:rPr>
          <w:lang w:val="en-US"/>
        </w:rPr>
        <w:t>15</w:t>
      </w:r>
      <w:r>
        <w:rPr>
          <w:lang w:val="en-US"/>
        </w:rPr>
        <w:tab/>
      </w:r>
      <w:r w:rsidRPr="00F223B9">
        <w:rPr>
          <w:lang w:val="en-US"/>
        </w:rPr>
        <w:t xml:space="preserve">Trade occupations </w:t>
      </w:r>
      <w:r>
        <w:rPr>
          <w:lang w:val="en-US"/>
        </w:rPr>
        <w:t xml:space="preserve">ratio of </w:t>
      </w:r>
      <w:r w:rsidRPr="00F223B9">
        <w:rPr>
          <w:lang w:val="en-US"/>
        </w:rPr>
        <w:t>20</w:t>
      </w:r>
      <w:r w:rsidRPr="000B34FC">
        <w:rPr>
          <w:lang w:val="en-US"/>
        </w:rPr>
        <w:t>th</w:t>
      </w:r>
      <w:r w:rsidRPr="00F223B9">
        <w:rPr>
          <w:lang w:val="en-US"/>
        </w:rPr>
        <w:t xml:space="preserve"> percentile </w:t>
      </w:r>
      <w:r>
        <w:rPr>
          <w:lang w:val="en-US"/>
        </w:rPr>
        <w:t>to</w:t>
      </w:r>
      <w:r w:rsidRPr="00F223B9">
        <w:rPr>
          <w:lang w:val="en-US"/>
        </w:rPr>
        <w:t xml:space="preserve"> median weekly earnings, </w:t>
      </w:r>
      <w:r>
        <w:rPr>
          <w:lang w:val="en-US"/>
        </w:rPr>
        <w:t>1991–</w:t>
      </w:r>
      <w:r w:rsidRPr="00F223B9">
        <w:rPr>
          <w:lang w:val="en-US"/>
        </w:rPr>
        <w:t>2006</w:t>
      </w:r>
      <w:bookmarkEnd w:id="90"/>
    </w:p>
    <w:p w:rsidR="00DD09C1" w:rsidRDefault="00DD09C1" w:rsidP="00DD09C1">
      <w:pPr>
        <w:pStyle w:val="Source"/>
        <w:spacing w:before="160"/>
        <w:rPr>
          <w:lang w:val="en-US"/>
        </w:rPr>
      </w:pPr>
      <w:r w:rsidRPr="00465137">
        <w:rPr>
          <w:lang w:val="en-US"/>
        </w:rPr>
        <w:t xml:space="preserve">Source: </w:t>
      </w:r>
      <w:r>
        <w:rPr>
          <w:lang w:val="en-US"/>
        </w:rPr>
        <w:t xml:space="preserve">Based on Census of Population and Housing 1991, 1996, 2001, 2006 (unpublished). </w:t>
      </w:r>
    </w:p>
    <w:p w:rsidR="00DD09C1" w:rsidRDefault="00DD09C1" w:rsidP="00DD09C1">
      <w:pPr>
        <w:pStyle w:val="text-moreb4"/>
        <w:rPr>
          <w:lang w:val="en-US"/>
        </w:rPr>
      </w:pPr>
      <w:r w:rsidRPr="00E6078C">
        <w:rPr>
          <w:lang w:val="en-US"/>
        </w:rPr>
        <w:t>The abo</w:t>
      </w:r>
      <w:r>
        <w:rPr>
          <w:lang w:val="en-US"/>
        </w:rPr>
        <w:t>ve data suggest that the lowest-</w:t>
      </w:r>
      <w:r w:rsidRPr="00E6078C">
        <w:rPr>
          <w:lang w:val="en-US"/>
        </w:rPr>
        <w:t>paid tradespersons’ relative earnings have consistently fallen over time.</w:t>
      </w:r>
      <w:r>
        <w:rPr>
          <w:lang w:val="en-US"/>
        </w:rPr>
        <w:t xml:space="preserve"> </w:t>
      </w:r>
      <w:r w:rsidRPr="00E6078C">
        <w:rPr>
          <w:lang w:val="en-US"/>
        </w:rPr>
        <w:t xml:space="preserve"> </w:t>
      </w:r>
    </w:p>
    <w:p w:rsidR="00DD09C1" w:rsidRDefault="00DD09C1" w:rsidP="00DD09C1">
      <w:pPr>
        <w:pStyle w:val="text0"/>
        <w:rPr>
          <w:lang w:val="en-US"/>
        </w:rPr>
      </w:pPr>
      <w:r>
        <w:rPr>
          <w:lang w:val="en-US"/>
        </w:rPr>
        <w:t>At the same time as the 20</w:t>
      </w:r>
      <w:r w:rsidRPr="000419C1">
        <w:rPr>
          <w:lang w:val="en-US"/>
        </w:rPr>
        <w:t>th</w:t>
      </w:r>
      <w:r>
        <w:rPr>
          <w:lang w:val="en-US"/>
        </w:rPr>
        <w:t xml:space="preserve"> percentile has fallen relative to the median, the 80</w:t>
      </w:r>
      <w:r w:rsidRPr="000419C1">
        <w:rPr>
          <w:lang w:val="en-US"/>
        </w:rPr>
        <w:t>th</w:t>
      </w:r>
      <w:r>
        <w:rPr>
          <w:lang w:val="en-US"/>
        </w:rPr>
        <w:t xml:space="preserve"> percentile of all tradespersons relative to the median has exhibited an upward trend, as the percentage share of the median has typically increased. This occurred most notably between 2001 and 2006, when it jumped by 17.7% from 142% of the median to 159.8%. Of the trade occupations, the most significant change between 2001 and 2006 was observed in construction, other trades and agriculture, which increased by 18.1%, 18.3% and 8.6%, respectively. However, some sectors recorded notable changes earlier than this. For electrical and electronic tradespersons and for non-trade occupations, the 80</w:t>
      </w:r>
      <w:r w:rsidRPr="000419C1">
        <w:rPr>
          <w:lang w:val="en-US"/>
        </w:rPr>
        <w:t>th</w:t>
      </w:r>
      <w:r>
        <w:rPr>
          <w:lang w:val="en-US"/>
        </w:rPr>
        <w:t xml:space="preserve"> percentile relative to the median increased significantly between 1996 and 2001 by 9.8% and 11.3% respectively and then observed little change between 2001 and 2006.</w:t>
      </w:r>
    </w:p>
    <w:p w:rsidR="00DD09C1" w:rsidRPr="00F223B9" w:rsidRDefault="0001619E" w:rsidP="00DD09C1">
      <w:pPr>
        <w:pStyle w:val="Figuretitle"/>
        <w:rPr>
          <w:lang w:val="en-US"/>
        </w:rPr>
      </w:pPr>
      <w:bookmarkStart w:id="91" w:name="_Toc139109125"/>
      <w:r>
        <w:rPr>
          <w:noProof/>
          <w:lang w:eastAsia="en-AU"/>
        </w:rPr>
        <w:drawing>
          <wp:anchor distT="0" distB="0" distL="114300" distR="114300" simplePos="0" relativeHeight="251666944" behindDoc="0" locked="0" layoutInCell="1" allowOverlap="1">
            <wp:simplePos x="0" y="0"/>
            <wp:positionH relativeFrom="column">
              <wp:posOffset>-2540</wp:posOffset>
            </wp:positionH>
            <wp:positionV relativeFrom="paragraph">
              <wp:posOffset>483235</wp:posOffset>
            </wp:positionV>
            <wp:extent cx="5283200" cy="2448560"/>
            <wp:effectExtent l="19050" t="0" r="0" b="0"/>
            <wp:wrapTopAndBottom/>
            <wp:docPr id="3789" name="Picture 3789" descr="fig1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descr="fig16-8050"/>
                    <pic:cNvPicPr>
                      <a:picLocks noChangeAspect="1" noChangeArrowheads="1"/>
                    </pic:cNvPicPr>
                  </pic:nvPicPr>
                  <pic:blipFill>
                    <a:blip r:embed="rId26" cstate="print"/>
                    <a:srcRect/>
                    <a:stretch>
                      <a:fillRect/>
                    </a:stretch>
                  </pic:blipFill>
                  <pic:spPr bwMode="auto">
                    <a:xfrm>
                      <a:off x="0" y="0"/>
                      <a:ext cx="5283200" cy="2448560"/>
                    </a:xfrm>
                    <a:prstGeom prst="rect">
                      <a:avLst/>
                    </a:prstGeom>
                    <a:noFill/>
                    <a:ln w="9525">
                      <a:noFill/>
                      <a:miter lim="800000"/>
                      <a:headEnd/>
                      <a:tailEnd/>
                    </a:ln>
                  </pic:spPr>
                </pic:pic>
              </a:graphicData>
            </a:graphic>
          </wp:anchor>
        </w:drawing>
      </w:r>
      <w:r w:rsidR="00DD09C1" w:rsidRPr="00F223B9">
        <w:rPr>
          <w:lang w:val="en-US"/>
        </w:rPr>
        <w:t xml:space="preserve">Figure </w:t>
      </w:r>
      <w:r w:rsidR="00DD09C1">
        <w:rPr>
          <w:lang w:val="en-US"/>
        </w:rPr>
        <w:t>16</w:t>
      </w:r>
      <w:r w:rsidR="00DD09C1">
        <w:rPr>
          <w:lang w:val="en-US"/>
        </w:rPr>
        <w:tab/>
      </w:r>
      <w:r w:rsidR="00DD09C1" w:rsidRPr="00F223B9">
        <w:rPr>
          <w:lang w:val="en-US"/>
        </w:rPr>
        <w:t>Trade occupations</w:t>
      </w:r>
      <w:r w:rsidR="00DD09C1">
        <w:rPr>
          <w:lang w:val="en-US"/>
        </w:rPr>
        <w:t xml:space="preserve"> ratio </w:t>
      </w:r>
      <w:r w:rsidR="00DD09C1" w:rsidRPr="004B56CC">
        <w:t>of</w:t>
      </w:r>
      <w:r w:rsidR="00DD09C1" w:rsidRPr="00F223B9">
        <w:rPr>
          <w:lang w:val="en-US"/>
        </w:rPr>
        <w:t xml:space="preserve"> 80</w:t>
      </w:r>
      <w:r w:rsidR="00DD09C1" w:rsidRPr="004B56CC">
        <w:rPr>
          <w:lang w:val="en-US"/>
        </w:rPr>
        <w:t>th</w:t>
      </w:r>
      <w:r w:rsidR="00DD09C1" w:rsidRPr="00F223B9">
        <w:rPr>
          <w:lang w:val="en-US"/>
        </w:rPr>
        <w:t xml:space="preserve"> percentile </w:t>
      </w:r>
      <w:r w:rsidR="00DD09C1">
        <w:rPr>
          <w:lang w:val="en-US"/>
        </w:rPr>
        <w:t>to</w:t>
      </w:r>
      <w:r w:rsidR="00DD09C1" w:rsidRPr="00F223B9">
        <w:rPr>
          <w:lang w:val="en-US"/>
        </w:rPr>
        <w:t xml:space="preserve"> median weekly earnings,</w:t>
      </w:r>
      <w:r w:rsidR="00DD09C1">
        <w:rPr>
          <w:lang w:val="en-US"/>
        </w:rPr>
        <w:t xml:space="preserve"> 1991–2006</w:t>
      </w:r>
      <w:bookmarkEnd w:id="91"/>
    </w:p>
    <w:p w:rsidR="00DD09C1" w:rsidRDefault="00DD09C1" w:rsidP="00DD09C1">
      <w:pPr>
        <w:pStyle w:val="Source"/>
        <w:spacing w:before="160"/>
        <w:rPr>
          <w:lang w:val="en-US"/>
        </w:rPr>
      </w:pPr>
      <w:r w:rsidRPr="00465137">
        <w:rPr>
          <w:lang w:val="en-US"/>
        </w:rPr>
        <w:t>Source:</w:t>
      </w:r>
      <w:r>
        <w:rPr>
          <w:lang w:val="en-US"/>
        </w:rPr>
        <w:tab/>
        <w:t xml:space="preserve">Based on Census of Population and Housing 1991, 1996, 2001, 2006 (unpublished). </w:t>
      </w:r>
    </w:p>
    <w:p w:rsidR="00DD09C1" w:rsidRDefault="00DD09C1" w:rsidP="000D09B7">
      <w:pPr>
        <w:pStyle w:val="text-moreb4"/>
        <w:spacing w:before="240"/>
        <w:rPr>
          <w:lang w:val="en-US"/>
        </w:rPr>
      </w:pPr>
      <w:r>
        <w:rPr>
          <w:lang w:val="en-US"/>
        </w:rPr>
        <w:t xml:space="preserve">Clearly, the dispersion of earnings among trade occupations has been increasing over time and at a greater rate than for non-trade occupations. Thus, the highest-earning tradespersons have been improving their position and the lowest-earning tradespersons have been becoming worse off, </w:t>
      </w:r>
      <w:r>
        <w:rPr>
          <w:lang w:val="en-US"/>
        </w:rPr>
        <w:lastRenderedPageBreak/>
        <w:t xml:space="preserve">relative to the median. This implies that the </w:t>
      </w:r>
      <w:proofErr w:type="spellStart"/>
      <w:r>
        <w:rPr>
          <w:lang w:val="en-US"/>
        </w:rPr>
        <w:t>labour</w:t>
      </w:r>
      <w:proofErr w:type="spellEnd"/>
      <w:r>
        <w:rPr>
          <w:lang w:val="en-US"/>
        </w:rPr>
        <w:t xml:space="preserve"> market is increasingly providing better rewards for the best tradespersons. </w:t>
      </w:r>
    </w:p>
    <w:p w:rsidR="00DD09C1" w:rsidRDefault="00DD09C1" w:rsidP="00DD09C1">
      <w:pPr>
        <w:pStyle w:val="text0"/>
        <w:spacing w:before="140"/>
        <w:rPr>
          <w:lang w:val="en-US"/>
        </w:rPr>
      </w:pPr>
      <w:r>
        <w:rPr>
          <w:lang w:val="en-US"/>
        </w:rPr>
        <w:t>Regionally, with the exception of remote regions there is little difference between the regions with regard to the 20</w:t>
      </w:r>
      <w:r w:rsidRPr="000419C1">
        <w:rPr>
          <w:lang w:val="en-US"/>
        </w:rPr>
        <w:t>th</w:t>
      </w:r>
      <w:r>
        <w:rPr>
          <w:lang w:val="en-US"/>
        </w:rPr>
        <w:t xml:space="preserve"> percentiles, relative to median weekly earnings for all tradespersons, but between 2001 and </w:t>
      </w:r>
      <w:r w:rsidRPr="00650706">
        <w:rPr>
          <w:lang w:val="en-US"/>
        </w:rPr>
        <w:t>2006</w:t>
      </w:r>
      <w:r>
        <w:rPr>
          <w:lang w:val="en-US"/>
        </w:rPr>
        <w:t xml:space="preserve"> the relative position of the lowest earners deteriorated noticeably for all regions. In remote regions the lowest quintile is not only significantly less than other regions relative to the particular region’s median weekly income, but it has experienced the sharpest decline between 2001 and </w:t>
      </w:r>
      <w:r w:rsidRPr="00650706">
        <w:rPr>
          <w:lang w:val="en-US"/>
        </w:rPr>
        <w:t>2006</w:t>
      </w:r>
      <w:r>
        <w:rPr>
          <w:lang w:val="en-US"/>
        </w:rPr>
        <w:t>. In 2006 in all the regions of Australia except remote regions, the 20</w:t>
      </w:r>
      <w:r w:rsidRPr="000419C1">
        <w:rPr>
          <w:lang w:val="en-US"/>
        </w:rPr>
        <w:t>th</w:t>
      </w:r>
      <w:r>
        <w:rPr>
          <w:lang w:val="en-US"/>
        </w:rPr>
        <w:t xml:space="preserve"> percentiles relative to median weekly income converged towards 58%. For remote regions, however, the ratio dropped sharply between 2001 and 2006 by 7%, to just 50% of the median. </w:t>
      </w:r>
      <w:proofErr w:type="gramStart"/>
      <w:r>
        <w:rPr>
          <w:lang w:val="en-US"/>
        </w:rPr>
        <w:t>Thus, while it was found earlier that, on average (as measured by the median), earnings of tradespersons are highest in remote Australia, the disparity between the lowest earners and the median is greatest and increased over the economic boom.</w:t>
      </w:r>
      <w:proofErr w:type="gramEnd"/>
      <w:r>
        <w:rPr>
          <w:lang w:val="en-US"/>
        </w:rPr>
        <w:t xml:space="preserve">  </w:t>
      </w:r>
    </w:p>
    <w:p w:rsidR="00DD09C1" w:rsidRPr="00971690" w:rsidRDefault="00DD09C1" w:rsidP="00DD09C1">
      <w:pPr>
        <w:pStyle w:val="tabletitle"/>
        <w:spacing w:before="280"/>
      </w:pPr>
      <w:bookmarkStart w:id="92" w:name="_Toc241393314"/>
      <w:bookmarkStart w:id="93" w:name="_Toc139109095"/>
      <w:r>
        <w:t>Table 8</w:t>
      </w:r>
      <w:r>
        <w:tab/>
      </w:r>
      <w:r w:rsidRPr="004B56CC">
        <w:t>Total</w:t>
      </w:r>
      <w:r w:rsidRPr="00971690">
        <w:t xml:space="preserve"> tradespersons percentiles share of the median income by region</w:t>
      </w:r>
      <w:bookmarkEnd w:id="92"/>
      <w:bookmarkEnd w:id="93"/>
    </w:p>
    <w:tbl>
      <w:tblPr>
        <w:tblW w:w="8505" w:type="dxa"/>
        <w:tblInd w:w="108" w:type="dxa"/>
        <w:tblLayout w:type="fixed"/>
        <w:tblLook w:val="0000"/>
      </w:tblPr>
      <w:tblGrid>
        <w:gridCol w:w="1777"/>
        <w:gridCol w:w="841"/>
        <w:gridCol w:w="841"/>
        <w:gridCol w:w="841"/>
        <w:gridCol w:w="841"/>
        <w:gridCol w:w="841"/>
        <w:gridCol w:w="841"/>
        <w:gridCol w:w="841"/>
        <w:gridCol w:w="841"/>
      </w:tblGrid>
      <w:tr w:rsidR="00DD09C1" w:rsidRPr="004B56CC">
        <w:trPr>
          <w:trHeight w:val="276"/>
        </w:trPr>
        <w:tc>
          <w:tcPr>
            <w:tcW w:w="1777" w:type="dxa"/>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pPr>
          </w:p>
        </w:tc>
        <w:tc>
          <w:tcPr>
            <w:tcW w:w="1682" w:type="dxa"/>
            <w:gridSpan w:val="2"/>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r w:rsidRPr="004B56CC">
              <w:t xml:space="preserve">Per cent </w:t>
            </w:r>
            <w:r>
              <w:br/>
            </w:r>
            <w:r w:rsidRPr="00650706">
              <w:t>20/50</w:t>
            </w:r>
          </w:p>
        </w:tc>
        <w:tc>
          <w:tcPr>
            <w:tcW w:w="841" w:type="dxa"/>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p>
        </w:tc>
        <w:tc>
          <w:tcPr>
            <w:tcW w:w="841" w:type="dxa"/>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p>
        </w:tc>
        <w:tc>
          <w:tcPr>
            <w:tcW w:w="1682" w:type="dxa"/>
            <w:gridSpan w:val="2"/>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r w:rsidRPr="004B56CC">
              <w:t>Per cent</w:t>
            </w:r>
            <w:r w:rsidRPr="004B56CC">
              <w:br/>
            </w:r>
            <w:r w:rsidRPr="00650706">
              <w:t>80/50</w:t>
            </w:r>
          </w:p>
        </w:tc>
        <w:tc>
          <w:tcPr>
            <w:tcW w:w="841" w:type="dxa"/>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p>
        </w:tc>
        <w:tc>
          <w:tcPr>
            <w:tcW w:w="841" w:type="dxa"/>
            <w:tcBorders>
              <w:top w:val="single" w:sz="4" w:space="0" w:color="auto"/>
              <w:left w:val="nil"/>
              <w:bottom w:val="nil"/>
              <w:right w:val="nil"/>
            </w:tcBorders>
            <w:shd w:val="clear" w:color="auto" w:fill="auto"/>
            <w:noWrap/>
          </w:tcPr>
          <w:p w:rsidR="00DD09C1" w:rsidRPr="004B56CC" w:rsidRDefault="00DD09C1" w:rsidP="00DD09C1">
            <w:pPr>
              <w:pStyle w:val="Tablehead1"/>
              <w:spacing w:before="60" w:after="60"/>
              <w:jc w:val="center"/>
            </w:pPr>
          </w:p>
        </w:tc>
      </w:tr>
      <w:tr w:rsidR="00DD09C1" w:rsidRPr="004B56CC">
        <w:trPr>
          <w:trHeight w:val="276"/>
        </w:trPr>
        <w:tc>
          <w:tcPr>
            <w:tcW w:w="1777" w:type="dxa"/>
            <w:tcBorders>
              <w:top w:val="nil"/>
              <w:left w:val="nil"/>
              <w:bottom w:val="single" w:sz="4" w:space="0" w:color="auto"/>
              <w:right w:val="nil"/>
            </w:tcBorders>
            <w:shd w:val="clear" w:color="auto" w:fill="auto"/>
            <w:noWrap/>
          </w:tcPr>
          <w:p w:rsidR="00DD09C1" w:rsidRPr="004B56CC" w:rsidRDefault="00DD09C1" w:rsidP="00DD09C1">
            <w:pPr>
              <w:pStyle w:val="Tablehead2"/>
            </w:pP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1991</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1996</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2001</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2006</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1991</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1996</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2001</w:t>
            </w:r>
          </w:p>
        </w:tc>
        <w:tc>
          <w:tcPr>
            <w:tcW w:w="841" w:type="dxa"/>
            <w:tcBorders>
              <w:top w:val="nil"/>
              <w:left w:val="nil"/>
              <w:bottom w:val="single" w:sz="4" w:space="0" w:color="auto"/>
              <w:right w:val="nil"/>
            </w:tcBorders>
            <w:shd w:val="clear" w:color="auto" w:fill="auto"/>
            <w:noWrap/>
          </w:tcPr>
          <w:p w:rsidR="00DD09C1" w:rsidRPr="004B56CC" w:rsidRDefault="00DD09C1" w:rsidP="00DD09C1">
            <w:pPr>
              <w:pStyle w:val="Tablehead2"/>
              <w:jc w:val="center"/>
            </w:pPr>
            <w:r w:rsidRPr="004B56CC">
              <w:t>2006</w:t>
            </w:r>
          </w:p>
        </w:tc>
      </w:tr>
      <w:tr w:rsidR="00DD09C1">
        <w:trPr>
          <w:trHeight w:val="276"/>
        </w:trPr>
        <w:tc>
          <w:tcPr>
            <w:tcW w:w="1777" w:type="dxa"/>
            <w:tcBorders>
              <w:top w:val="single" w:sz="4" w:space="0" w:color="auto"/>
              <w:left w:val="nil"/>
              <w:bottom w:val="nil"/>
              <w:right w:val="nil"/>
            </w:tcBorders>
            <w:shd w:val="clear" w:color="auto" w:fill="auto"/>
            <w:noWrap/>
          </w:tcPr>
          <w:p w:rsidR="00DD09C1" w:rsidRPr="00971690" w:rsidRDefault="00DD09C1" w:rsidP="00DD09C1">
            <w:pPr>
              <w:pStyle w:val="Tabletext"/>
            </w:pPr>
            <w:r>
              <w:t>Capital c</w:t>
            </w:r>
            <w:r w:rsidRPr="00971690">
              <w:t>ities</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397"/>
              </w:tabs>
            </w:pPr>
            <w:r>
              <w:t>66</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397"/>
              </w:tabs>
            </w:pPr>
            <w:r>
              <w:t>64</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397"/>
              </w:tabs>
            </w:pPr>
            <w:r>
              <w:t>64</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397"/>
              </w:tabs>
            </w:pPr>
            <w:r>
              <w:t>58</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425"/>
              </w:tabs>
            </w:pPr>
            <w:r>
              <w:t>137</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425"/>
              </w:tabs>
            </w:pPr>
            <w:r>
              <w:t>142</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425"/>
              </w:tabs>
            </w:pPr>
            <w:r>
              <w:t>149</w:t>
            </w:r>
          </w:p>
        </w:tc>
        <w:tc>
          <w:tcPr>
            <w:tcW w:w="841" w:type="dxa"/>
            <w:tcBorders>
              <w:top w:val="single" w:sz="4" w:space="0" w:color="auto"/>
              <w:left w:val="nil"/>
              <w:bottom w:val="nil"/>
              <w:right w:val="nil"/>
            </w:tcBorders>
            <w:shd w:val="clear" w:color="auto" w:fill="auto"/>
            <w:noWrap/>
          </w:tcPr>
          <w:p w:rsidR="00DD09C1" w:rsidRDefault="00DD09C1" w:rsidP="00DD09C1">
            <w:pPr>
              <w:pStyle w:val="Tabletext"/>
              <w:tabs>
                <w:tab w:val="decimal" w:pos="425"/>
              </w:tabs>
            </w:pPr>
            <w:r>
              <w:t>157</w:t>
            </w:r>
          </w:p>
        </w:tc>
      </w:tr>
      <w:tr w:rsidR="00DD09C1">
        <w:trPr>
          <w:trHeight w:val="276"/>
        </w:trPr>
        <w:tc>
          <w:tcPr>
            <w:tcW w:w="1777" w:type="dxa"/>
            <w:tcBorders>
              <w:top w:val="nil"/>
              <w:left w:val="nil"/>
              <w:bottom w:val="nil"/>
              <w:right w:val="nil"/>
            </w:tcBorders>
            <w:shd w:val="clear" w:color="auto" w:fill="auto"/>
            <w:noWrap/>
          </w:tcPr>
          <w:p w:rsidR="00DD09C1" w:rsidRPr="00971690" w:rsidRDefault="00DD09C1" w:rsidP="00DD09C1">
            <w:pPr>
              <w:pStyle w:val="Tabletext"/>
            </w:pPr>
            <w:r>
              <w:t>Other m</w:t>
            </w:r>
            <w:r w:rsidRPr="00971690">
              <w:t>etropolitan</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64</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63</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63</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58</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139</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142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150</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157</w:t>
            </w:r>
          </w:p>
        </w:tc>
      </w:tr>
      <w:tr w:rsidR="00DD09C1">
        <w:trPr>
          <w:trHeight w:val="276"/>
        </w:trPr>
        <w:tc>
          <w:tcPr>
            <w:tcW w:w="1777" w:type="dxa"/>
            <w:tcBorders>
              <w:top w:val="nil"/>
              <w:left w:val="nil"/>
              <w:bottom w:val="nil"/>
              <w:right w:val="nil"/>
            </w:tcBorders>
            <w:shd w:val="clear" w:color="auto" w:fill="auto"/>
            <w:noWrap/>
          </w:tcPr>
          <w:p w:rsidR="00DD09C1" w:rsidRPr="00971690" w:rsidRDefault="00DD09C1" w:rsidP="00DD09C1">
            <w:pPr>
              <w:pStyle w:val="Tabletext"/>
            </w:pPr>
            <w:r w:rsidRPr="00971690">
              <w:t>Coastal</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61</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60</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57</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137</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145</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152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167</w:t>
            </w:r>
          </w:p>
        </w:tc>
      </w:tr>
      <w:tr w:rsidR="00DD09C1">
        <w:trPr>
          <w:trHeight w:val="276"/>
        </w:trPr>
        <w:tc>
          <w:tcPr>
            <w:tcW w:w="1777" w:type="dxa"/>
            <w:tcBorders>
              <w:top w:val="nil"/>
              <w:left w:val="nil"/>
              <w:bottom w:val="nil"/>
              <w:right w:val="nil"/>
            </w:tcBorders>
            <w:shd w:val="clear" w:color="auto" w:fill="auto"/>
            <w:noWrap/>
          </w:tcPr>
          <w:p w:rsidR="00DD09C1" w:rsidRPr="00971690" w:rsidRDefault="00DD09C1" w:rsidP="00DD09C1">
            <w:pPr>
              <w:pStyle w:val="Tabletext"/>
            </w:pPr>
            <w:r w:rsidRPr="00971690">
              <w:t>Inland</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62</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397"/>
              </w:tabs>
            </w:pPr>
            <w:r>
              <w:t>59</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139</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145</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153</w:t>
            </w:r>
          </w:p>
        </w:tc>
        <w:tc>
          <w:tcPr>
            <w:tcW w:w="841" w:type="dxa"/>
            <w:tcBorders>
              <w:top w:val="nil"/>
              <w:left w:val="nil"/>
              <w:bottom w:val="nil"/>
              <w:right w:val="nil"/>
            </w:tcBorders>
            <w:shd w:val="clear" w:color="auto" w:fill="auto"/>
            <w:noWrap/>
          </w:tcPr>
          <w:p w:rsidR="00DD09C1" w:rsidRDefault="00DD09C1" w:rsidP="00DD09C1">
            <w:pPr>
              <w:pStyle w:val="Tabletext"/>
              <w:tabs>
                <w:tab w:val="decimal" w:pos="425"/>
              </w:tabs>
            </w:pPr>
            <w:r>
              <w:t>163</w:t>
            </w:r>
          </w:p>
        </w:tc>
      </w:tr>
      <w:tr w:rsidR="00DD09C1">
        <w:trPr>
          <w:trHeight w:val="276"/>
        </w:trPr>
        <w:tc>
          <w:tcPr>
            <w:tcW w:w="1777" w:type="dxa"/>
            <w:tcBorders>
              <w:top w:val="nil"/>
              <w:left w:val="nil"/>
              <w:right w:val="nil"/>
            </w:tcBorders>
            <w:shd w:val="clear" w:color="auto" w:fill="auto"/>
            <w:noWrap/>
          </w:tcPr>
          <w:p w:rsidR="00DD09C1" w:rsidRPr="00971690" w:rsidRDefault="00DD09C1" w:rsidP="00DD09C1">
            <w:pPr>
              <w:pStyle w:val="Tabletext"/>
            </w:pPr>
            <w:r w:rsidRPr="00971690">
              <w:t>Remote</w:t>
            </w:r>
          </w:p>
        </w:tc>
        <w:tc>
          <w:tcPr>
            <w:tcW w:w="841" w:type="dxa"/>
            <w:tcBorders>
              <w:top w:val="nil"/>
              <w:left w:val="nil"/>
              <w:right w:val="nil"/>
            </w:tcBorders>
            <w:shd w:val="clear" w:color="auto" w:fill="auto"/>
            <w:noWrap/>
          </w:tcPr>
          <w:p w:rsidR="00DD09C1" w:rsidRDefault="00DD09C1" w:rsidP="00DD09C1">
            <w:pPr>
              <w:pStyle w:val="Tabletext"/>
              <w:tabs>
                <w:tab w:val="decimal" w:pos="397"/>
              </w:tabs>
            </w:pPr>
            <w:r>
              <w:t>57</w:t>
            </w:r>
          </w:p>
        </w:tc>
        <w:tc>
          <w:tcPr>
            <w:tcW w:w="841" w:type="dxa"/>
            <w:tcBorders>
              <w:top w:val="nil"/>
              <w:left w:val="nil"/>
              <w:right w:val="nil"/>
            </w:tcBorders>
            <w:shd w:val="clear" w:color="auto" w:fill="auto"/>
            <w:noWrap/>
          </w:tcPr>
          <w:p w:rsidR="00DD09C1" w:rsidRDefault="00DD09C1" w:rsidP="00DD09C1">
            <w:pPr>
              <w:pStyle w:val="Tabletext"/>
              <w:tabs>
                <w:tab w:val="decimal" w:pos="397"/>
              </w:tabs>
            </w:pPr>
            <w:r>
              <w:t>58</w:t>
            </w:r>
          </w:p>
        </w:tc>
        <w:tc>
          <w:tcPr>
            <w:tcW w:w="841" w:type="dxa"/>
            <w:tcBorders>
              <w:top w:val="nil"/>
              <w:left w:val="nil"/>
              <w:right w:val="nil"/>
            </w:tcBorders>
            <w:shd w:val="clear" w:color="auto" w:fill="auto"/>
            <w:noWrap/>
          </w:tcPr>
          <w:p w:rsidR="00DD09C1" w:rsidRDefault="00DD09C1" w:rsidP="00DD09C1">
            <w:pPr>
              <w:pStyle w:val="Tabletext"/>
              <w:tabs>
                <w:tab w:val="decimal" w:pos="397"/>
              </w:tabs>
            </w:pPr>
            <w:r>
              <w:t>57</w:t>
            </w:r>
          </w:p>
        </w:tc>
        <w:tc>
          <w:tcPr>
            <w:tcW w:w="841" w:type="dxa"/>
            <w:tcBorders>
              <w:top w:val="nil"/>
              <w:left w:val="nil"/>
              <w:right w:val="nil"/>
            </w:tcBorders>
            <w:shd w:val="clear" w:color="auto" w:fill="auto"/>
            <w:noWrap/>
          </w:tcPr>
          <w:p w:rsidR="00DD09C1" w:rsidRDefault="00DD09C1" w:rsidP="00DD09C1">
            <w:pPr>
              <w:pStyle w:val="Tabletext"/>
              <w:tabs>
                <w:tab w:val="decimal" w:pos="397"/>
              </w:tabs>
            </w:pPr>
            <w:r>
              <w:t>50</w:t>
            </w:r>
          </w:p>
        </w:tc>
        <w:tc>
          <w:tcPr>
            <w:tcW w:w="841" w:type="dxa"/>
            <w:tcBorders>
              <w:top w:val="nil"/>
              <w:left w:val="nil"/>
              <w:right w:val="nil"/>
            </w:tcBorders>
            <w:shd w:val="clear" w:color="auto" w:fill="auto"/>
            <w:noWrap/>
          </w:tcPr>
          <w:p w:rsidR="00DD09C1" w:rsidRDefault="00DD09C1" w:rsidP="00DD09C1">
            <w:pPr>
              <w:pStyle w:val="Tabletext"/>
              <w:tabs>
                <w:tab w:val="decimal" w:pos="425"/>
              </w:tabs>
            </w:pPr>
            <w:r>
              <w:t>165</w:t>
            </w:r>
          </w:p>
        </w:tc>
        <w:tc>
          <w:tcPr>
            <w:tcW w:w="841" w:type="dxa"/>
            <w:tcBorders>
              <w:top w:val="nil"/>
              <w:left w:val="nil"/>
              <w:right w:val="nil"/>
            </w:tcBorders>
            <w:shd w:val="clear" w:color="auto" w:fill="auto"/>
            <w:noWrap/>
          </w:tcPr>
          <w:p w:rsidR="00DD09C1" w:rsidRDefault="00DD09C1" w:rsidP="00DD09C1">
            <w:pPr>
              <w:pStyle w:val="Tabletext"/>
              <w:tabs>
                <w:tab w:val="decimal" w:pos="425"/>
              </w:tabs>
            </w:pPr>
            <w:r>
              <w:t>185</w:t>
            </w:r>
          </w:p>
        </w:tc>
        <w:tc>
          <w:tcPr>
            <w:tcW w:w="841" w:type="dxa"/>
            <w:tcBorders>
              <w:top w:val="nil"/>
              <w:left w:val="nil"/>
              <w:right w:val="nil"/>
            </w:tcBorders>
            <w:shd w:val="clear" w:color="auto" w:fill="auto"/>
            <w:noWrap/>
          </w:tcPr>
          <w:p w:rsidR="00DD09C1" w:rsidRDefault="00DD09C1" w:rsidP="00DD09C1">
            <w:pPr>
              <w:pStyle w:val="Tabletext"/>
              <w:tabs>
                <w:tab w:val="decimal" w:pos="425"/>
              </w:tabs>
            </w:pPr>
            <w:r>
              <w:t>185</w:t>
            </w:r>
          </w:p>
        </w:tc>
        <w:tc>
          <w:tcPr>
            <w:tcW w:w="841" w:type="dxa"/>
            <w:tcBorders>
              <w:top w:val="nil"/>
              <w:left w:val="nil"/>
              <w:right w:val="nil"/>
            </w:tcBorders>
            <w:shd w:val="clear" w:color="auto" w:fill="auto"/>
            <w:noWrap/>
          </w:tcPr>
          <w:p w:rsidR="00DD09C1" w:rsidRDefault="00DD09C1" w:rsidP="00DD09C1">
            <w:pPr>
              <w:pStyle w:val="Tabletext"/>
              <w:tabs>
                <w:tab w:val="decimal" w:pos="425"/>
              </w:tabs>
            </w:pPr>
            <w:r>
              <w:t>186</w:t>
            </w:r>
          </w:p>
        </w:tc>
      </w:tr>
      <w:tr w:rsidR="00DD09C1">
        <w:trPr>
          <w:trHeight w:val="276"/>
        </w:trPr>
        <w:tc>
          <w:tcPr>
            <w:tcW w:w="1777" w:type="dxa"/>
            <w:tcBorders>
              <w:top w:val="nil"/>
              <w:left w:val="nil"/>
              <w:bottom w:val="single" w:sz="4" w:space="0" w:color="auto"/>
              <w:right w:val="nil"/>
            </w:tcBorders>
            <w:shd w:val="clear" w:color="auto" w:fill="auto"/>
            <w:noWrap/>
          </w:tcPr>
          <w:p w:rsidR="00DD09C1" w:rsidRPr="00971690" w:rsidRDefault="00DD09C1" w:rsidP="00DD09C1">
            <w:pPr>
              <w:pStyle w:val="Tabletext"/>
              <w:spacing w:after="40"/>
            </w:pPr>
            <w:r w:rsidRPr="00971690">
              <w:t>Australia</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397"/>
              </w:tabs>
              <w:spacing w:after="40"/>
            </w:pPr>
            <w:r>
              <w:t>64</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397"/>
              </w:tabs>
              <w:spacing w:after="40"/>
            </w:pPr>
            <w:r>
              <w:t>63</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397"/>
              </w:tabs>
              <w:spacing w:after="40"/>
            </w:pPr>
            <w:r>
              <w:t>63</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397"/>
              </w:tabs>
              <w:spacing w:after="40"/>
            </w:pPr>
            <w:r>
              <w:t>58</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425"/>
              </w:tabs>
              <w:spacing w:after="40"/>
            </w:pPr>
            <w:r>
              <w:t>138</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425"/>
              </w:tabs>
              <w:spacing w:after="40"/>
            </w:pPr>
            <w:r>
              <w:t>144</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425"/>
              </w:tabs>
              <w:spacing w:after="40"/>
            </w:pPr>
            <w:r>
              <w:t>142</w:t>
            </w:r>
          </w:p>
        </w:tc>
        <w:tc>
          <w:tcPr>
            <w:tcW w:w="841" w:type="dxa"/>
            <w:tcBorders>
              <w:top w:val="nil"/>
              <w:left w:val="nil"/>
              <w:bottom w:val="single" w:sz="4" w:space="0" w:color="auto"/>
              <w:right w:val="nil"/>
            </w:tcBorders>
            <w:shd w:val="clear" w:color="auto" w:fill="auto"/>
            <w:noWrap/>
          </w:tcPr>
          <w:p w:rsidR="00DD09C1" w:rsidRDefault="00DD09C1" w:rsidP="00DD09C1">
            <w:pPr>
              <w:pStyle w:val="Tabletext"/>
              <w:tabs>
                <w:tab w:val="decimal" w:pos="425"/>
              </w:tabs>
              <w:spacing w:after="40"/>
            </w:pPr>
            <w:r>
              <w:t>160</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ind w:right="-151"/>
        <w:rPr>
          <w:lang w:val="en-US"/>
        </w:rPr>
      </w:pPr>
      <w:r>
        <w:rPr>
          <w:lang w:val="en-US"/>
        </w:rPr>
        <w:t>With the exception of remote regions, the ratio of the 80</w:t>
      </w:r>
      <w:r w:rsidRPr="000419C1">
        <w:rPr>
          <w:lang w:val="en-US"/>
        </w:rPr>
        <w:t>th</w:t>
      </w:r>
      <w:r>
        <w:rPr>
          <w:lang w:val="en-US"/>
        </w:rPr>
        <w:t xml:space="preserve"> percentile to median income has grown over time, with the greatest increase occurring between 2001 and 2006. Although remote regions have the highest median income and the highest 80</w:t>
      </w:r>
      <w:r w:rsidRPr="000419C1">
        <w:rPr>
          <w:lang w:val="en-US"/>
        </w:rPr>
        <w:t>th</w:t>
      </w:r>
      <w:r>
        <w:rPr>
          <w:lang w:val="en-US"/>
        </w:rPr>
        <w:t xml:space="preserve"> percentile relative to median weekly income (26.5% more than the national average in 2006), there was no significant rise between 2001 and 2006.</w:t>
      </w:r>
    </w:p>
    <w:p w:rsidR="00DD09C1" w:rsidRDefault="00DD09C1" w:rsidP="00DD09C1">
      <w:pPr>
        <w:pStyle w:val="text0"/>
        <w:spacing w:before="140"/>
        <w:rPr>
          <w:lang w:val="en-US"/>
        </w:rPr>
      </w:pPr>
      <w:r>
        <w:rPr>
          <w:lang w:val="en-US"/>
        </w:rPr>
        <w:t>For all of the states and territories the 20</w:t>
      </w:r>
      <w:r w:rsidRPr="000419C1">
        <w:rPr>
          <w:lang w:val="en-US"/>
        </w:rPr>
        <w:t>th</w:t>
      </w:r>
      <w:r>
        <w:rPr>
          <w:lang w:val="en-US"/>
        </w:rPr>
        <w:t xml:space="preserve"> percentile relative to median earnings has exhibited a general downward shift over the 15-year period, with a pronounced fall between 2001 and 2006. While the 20</w:t>
      </w:r>
      <w:r w:rsidRPr="000419C1">
        <w:rPr>
          <w:lang w:val="en-US"/>
        </w:rPr>
        <w:t>th</w:t>
      </w:r>
      <w:r>
        <w:rPr>
          <w:lang w:val="en-US"/>
        </w:rPr>
        <w:t xml:space="preserve"> percentile relative to the median in most states was reasonably consistent (between 58% and 60% in 2006), Western Australia was notably less at 55% in 2006—down significantly from 2001. The 80</w:t>
      </w:r>
      <w:r w:rsidRPr="000419C1">
        <w:rPr>
          <w:lang w:val="en-US"/>
        </w:rPr>
        <w:t>th</w:t>
      </w:r>
      <w:r>
        <w:rPr>
          <w:lang w:val="en-US"/>
        </w:rPr>
        <w:t xml:space="preserve"> percentile relative to the median has increased over time in every state and territory, was highest in Western Australia in 2006, and was lowest in the Northern Territory. </w:t>
      </w:r>
    </w:p>
    <w:p w:rsidR="00DD09C1" w:rsidRDefault="00DD09C1" w:rsidP="00DD09C1">
      <w:pPr>
        <w:pStyle w:val="tabletitle"/>
        <w:spacing w:before="280"/>
        <w:rPr>
          <w:lang w:val="en-US"/>
        </w:rPr>
      </w:pPr>
      <w:bookmarkStart w:id="94" w:name="_Toc139109096"/>
      <w:r>
        <w:rPr>
          <w:lang w:val="en-US"/>
        </w:rPr>
        <w:t>Table 9</w:t>
      </w:r>
      <w:r>
        <w:rPr>
          <w:lang w:val="en-US"/>
        </w:rPr>
        <w:tab/>
      </w:r>
      <w:r w:rsidRPr="009B29F3">
        <w:rPr>
          <w:lang w:val="en-US"/>
        </w:rPr>
        <w:t>Total tradespersons percentiles share of the median income</w:t>
      </w:r>
      <w:r>
        <w:rPr>
          <w:lang w:val="en-US"/>
        </w:rPr>
        <w:t xml:space="preserve"> by state and territory</w:t>
      </w:r>
      <w:bookmarkEnd w:id="94"/>
    </w:p>
    <w:tbl>
      <w:tblPr>
        <w:tblW w:w="8505" w:type="dxa"/>
        <w:tblInd w:w="96" w:type="dxa"/>
        <w:tblLayout w:type="fixed"/>
        <w:tblLook w:val="0000"/>
      </w:tblPr>
      <w:tblGrid>
        <w:gridCol w:w="1713"/>
        <w:gridCol w:w="849"/>
        <w:gridCol w:w="849"/>
        <w:gridCol w:w="849"/>
        <w:gridCol w:w="849"/>
        <w:gridCol w:w="849"/>
        <w:gridCol w:w="849"/>
        <w:gridCol w:w="849"/>
        <w:gridCol w:w="849"/>
      </w:tblGrid>
      <w:tr w:rsidR="00DD09C1" w:rsidRPr="002C2BA8">
        <w:trPr>
          <w:trHeight w:val="276"/>
        </w:trPr>
        <w:tc>
          <w:tcPr>
            <w:tcW w:w="1713" w:type="dxa"/>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pPr>
          </w:p>
        </w:tc>
        <w:tc>
          <w:tcPr>
            <w:tcW w:w="1698" w:type="dxa"/>
            <w:gridSpan w:val="2"/>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r w:rsidRPr="002C2BA8">
              <w:t xml:space="preserve">Per cent </w:t>
            </w:r>
            <w:r>
              <w:br/>
            </w:r>
            <w:r w:rsidRPr="00650706">
              <w:t>20/50</w:t>
            </w:r>
          </w:p>
        </w:tc>
        <w:tc>
          <w:tcPr>
            <w:tcW w:w="849" w:type="dxa"/>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p>
        </w:tc>
        <w:tc>
          <w:tcPr>
            <w:tcW w:w="849" w:type="dxa"/>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p>
        </w:tc>
        <w:tc>
          <w:tcPr>
            <w:tcW w:w="1698" w:type="dxa"/>
            <w:gridSpan w:val="2"/>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r w:rsidRPr="002C2BA8">
              <w:t xml:space="preserve">Per cent </w:t>
            </w:r>
            <w:r>
              <w:br/>
            </w:r>
            <w:r w:rsidRPr="00650706">
              <w:t>80/50</w:t>
            </w:r>
          </w:p>
        </w:tc>
        <w:tc>
          <w:tcPr>
            <w:tcW w:w="849" w:type="dxa"/>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p>
        </w:tc>
        <w:tc>
          <w:tcPr>
            <w:tcW w:w="849" w:type="dxa"/>
            <w:tcBorders>
              <w:top w:val="single" w:sz="4" w:space="0" w:color="auto"/>
              <w:left w:val="nil"/>
              <w:bottom w:val="nil"/>
              <w:right w:val="nil"/>
            </w:tcBorders>
            <w:shd w:val="clear" w:color="auto" w:fill="auto"/>
            <w:noWrap/>
            <w:vAlign w:val="bottom"/>
          </w:tcPr>
          <w:p w:rsidR="00DD09C1" w:rsidRPr="002C2BA8" w:rsidRDefault="00DD09C1" w:rsidP="00DD09C1">
            <w:pPr>
              <w:pStyle w:val="Tablehead1"/>
              <w:spacing w:before="60" w:after="60"/>
              <w:jc w:val="center"/>
            </w:pPr>
          </w:p>
        </w:tc>
      </w:tr>
      <w:tr w:rsidR="00DD09C1" w:rsidRPr="002C2BA8">
        <w:trPr>
          <w:trHeight w:val="276"/>
        </w:trPr>
        <w:tc>
          <w:tcPr>
            <w:tcW w:w="1713"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pP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1991</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1996</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2001</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2006</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1991</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1996</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2001</w:t>
            </w:r>
          </w:p>
        </w:tc>
        <w:tc>
          <w:tcPr>
            <w:tcW w:w="849" w:type="dxa"/>
            <w:tcBorders>
              <w:top w:val="nil"/>
              <w:left w:val="nil"/>
              <w:bottom w:val="single" w:sz="4" w:space="0" w:color="auto"/>
              <w:right w:val="nil"/>
            </w:tcBorders>
            <w:shd w:val="clear" w:color="auto" w:fill="auto"/>
            <w:noWrap/>
            <w:vAlign w:val="bottom"/>
          </w:tcPr>
          <w:p w:rsidR="00DD09C1" w:rsidRPr="002C2BA8" w:rsidRDefault="00DD09C1" w:rsidP="00DD09C1">
            <w:pPr>
              <w:pStyle w:val="Tablehead2"/>
              <w:jc w:val="center"/>
            </w:pPr>
            <w:r w:rsidRPr="002C2BA8">
              <w:t>2006</w:t>
            </w:r>
          </w:p>
        </w:tc>
      </w:tr>
      <w:tr w:rsidR="00DD09C1">
        <w:trPr>
          <w:trHeight w:val="276"/>
        </w:trPr>
        <w:tc>
          <w:tcPr>
            <w:tcW w:w="1713" w:type="dxa"/>
            <w:tcBorders>
              <w:top w:val="single" w:sz="4" w:space="0" w:color="auto"/>
              <w:left w:val="nil"/>
              <w:bottom w:val="nil"/>
              <w:right w:val="nil"/>
            </w:tcBorders>
            <w:shd w:val="clear" w:color="auto" w:fill="auto"/>
            <w:noWrap/>
            <w:vAlign w:val="bottom"/>
          </w:tcPr>
          <w:p w:rsidR="00DD09C1" w:rsidRPr="00674440" w:rsidRDefault="00DD09C1" w:rsidP="00DD09C1">
            <w:pPr>
              <w:pStyle w:val="Tabletext"/>
            </w:pPr>
            <w:r w:rsidRPr="00674440">
              <w:t>NSW</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397"/>
              </w:tabs>
            </w:pPr>
            <w:r>
              <w:t>63</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397"/>
              </w:tabs>
            </w:pPr>
            <w:r>
              <w:t>58</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139</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143</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152</w:t>
            </w:r>
          </w:p>
        </w:tc>
        <w:tc>
          <w:tcPr>
            <w:tcW w:w="849"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159</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t>Vic.</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58</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137</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159</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t>Qld</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58</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137</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151</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159</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rsidRPr="00674440">
              <w:t>SA</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60</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140</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146</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154</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rsidRPr="00674440">
              <w:t>WA</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61</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55</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157</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166</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t>Tas.</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61</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59</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135</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142</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153</w:t>
            </w:r>
          </w:p>
        </w:tc>
      </w:tr>
      <w:tr w:rsidR="00DD09C1">
        <w:trPr>
          <w:trHeight w:val="276"/>
        </w:trPr>
        <w:tc>
          <w:tcPr>
            <w:tcW w:w="1713" w:type="dxa"/>
            <w:tcBorders>
              <w:top w:val="nil"/>
              <w:left w:val="nil"/>
              <w:bottom w:val="nil"/>
              <w:right w:val="nil"/>
            </w:tcBorders>
            <w:shd w:val="clear" w:color="auto" w:fill="auto"/>
            <w:noWrap/>
            <w:vAlign w:val="bottom"/>
          </w:tcPr>
          <w:p w:rsidR="00DD09C1" w:rsidRPr="00674440" w:rsidRDefault="00DD09C1" w:rsidP="00DD09C1">
            <w:pPr>
              <w:pStyle w:val="Tabletext"/>
            </w:pPr>
            <w:r w:rsidRPr="00674440">
              <w:t>NT</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63</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66</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66</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397"/>
              </w:tabs>
            </w:pPr>
            <w:r>
              <w:t>59</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139</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144</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139</w:t>
            </w:r>
          </w:p>
        </w:tc>
        <w:tc>
          <w:tcPr>
            <w:tcW w:w="849"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147</w:t>
            </w:r>
          </w:p>
        </w:tc>
      </w:tr>
      <w:tr w:rsidR="00DD09C1">
        <w:trPr>
          <w:trHeight w:val="276"/>
        </w:trPr>
        <w:tc>
          <w:tcPr>
            <w:tcW w:w="1713" w:type="dxa"/>
            <w:tcBorders>
              <w:top w:val="nil"/>
              <w:left w:val="nil"/>
              <w:right w:val="nil"/>
            </w:tcBorders>
            <w:shd w:val="clear" w:color="auto" w:fill="auto"/>
            <w:noWrap/>
            <w:vAlign w:val="bottom"/>
          </w:tcPr>
          <w:p w:rsidR="00DD09C1" w:rsidRPr="00674440" w:rsidRDefault="00DD09C1" w:rsidP="00DD09C1">
            <w:pPr>
              <w:pStyle w:val="Tabletext"/>
            </w:pPr>
            <w:r w:rsidRPr="00674440">
              <w:t>ACT</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397"/>
              </w:tabs>
            </w:pPr>
            <w:r>
              <w:t>65</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397"/>
              </w:tabs>
            </w:pPr>
            <w:r>
              <w:t>62</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397"/>
              </w:tabs>
            </w:pPr>
            <w:r>
              <w:t>61</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397"/>
              </w:tabs>
            </w:pPr>
            <w:r>
              <w:t>58</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425"/>
              </w:tabs>
            </w:pPr>
            <w:r>
              <w:t>135</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425"/>
              </w:tabs>
            </w:pPr>
            <w:r>
              <w:t>140</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425"/>
              </w:tabs>
            </w:pPr>
            <w:r>
              <w:t>145</w:t>
            </w:r>
          </w:p>
        </w:tc>
        <w:tc>
          <w:tcPr>
            <w:tcW w:w="849" w:type="dxa"/>
            <w:tcBorders>
              <w:top w:val="nil"/>
              <w:left w:val="nil"/>
              <w:right w:val="nil"/>
            </w:tcBorders>
            <w:shd w:val="clear" w:color="auto" w:fill="auto"/>
            <w:noWrap/>
            <w:vAlign w:val="bottom"/>
          </w:tcPr>
          <w:p w:rsidR="00DD09C1" w:rsidRDefault="00DD09C1" w:rsidP="00DD09C1">
            <w:pPr>
              <w:pStyle w:val="Tabletext"/>
              <w:tabs>
                <w:tab w:val="decimal" w:pos="425"/>
              </w:tabs>
            </w:pPr>
            <w:r>
              <w:t>153</w:t>
            </w:r>
          </w:p>
        </w:tc>
      </w:tr>
      <w:tr w:rsidR="00DD09C1">
        <w:trPr>
          <w:trHeight w:val="276"/>
        </w:trPr>
        <w:tc>
          <w:tcPr>
            <w:tcW w:w="1713" w:type="dxa"/>
            <w:tcBorders>
              <w:top w:val="nil"/>
              <w:left w:val="nil"/>
              <w:bottom w:val="single" w:sz="4" w:space="0" w:color="auto"/>
              <w:right w:val="nil"/>
            </w:tcBorders>
            <w:shd w:val="clear" w:color="auto" w:fill="auto"/>
            <w:noWrap/>
            <w:vAlign w:val="bottom"/>
          </w:tcPr>
          <w:p w:rsidR="00DD09C1" w:rsidRPr="00674440" w:rsidRDefault="00DD09C1" w:rsidP="00DD09C1">
            <w:pPr>
              <w:pStyle w:val="Tabletext"/>
              <w:spacing w:after="40"/>
            </w:pPr>
            <w:r w:rsidRPr="00674440">
              <w:t>Australia</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397"/>
              </w:tabs>
              <w:spacing w:after="40"/>
            </w:pPr>
            <w:r>
              <w:t>64</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397"/>
              </w:tabs>
              <w:spacing w:after="40"/>
            </w:pPr>
            <w:r>
              <w:t>63</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397"/>
              </w:tabs>
              <w:spacing w:after="40"/>
            </w:pPr>
            <w:r>
              <w:t>63</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397"/>
              </w:tabs>
              <w:spacing w:after="40"/>
            </w:pPr>
            <w:r>
              <w:t>58</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138</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144</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142</w:t>
            </w:r>
          </w:p>
        </w:tc>
        <w:tc>
          <w:tcPr>
            <w:tcW w:w="849" w:type="dxa"/>
            <w:tcBorders>
              <w:top w:val="nil"/>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160</w:t>
            </w:r>
          </w:p>
        </w:tc>
      </w:tr>
    </w:tbl>
    <w:p w:rsidR="00DD09C1" w:rsidRDefault="00DD09C1" w:rsidP="00DD09C1">
      <w:pPr>
        <w:pStyle w:val="Source"/>
        <w:rPr>
          <w:lang w:val="en-US"/>
        </w:rPr>
      </w:pPr>
      <w:r w:rsidRPr="00465137">
        <w:rPr>
          <w:lang w:val="en-US"/>
        </w:rPr>
        <w:t>Source:</w:t>
      </w:r>
      <w:r w:rsidRPr="000B3672">
        <w:tab/>
      </w:r>
      <w:r>
        <w:rPr>
          <w:lang w:val="en-US"/>
        </w:rPr>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sidRPr="00E6078C">
        <w:rPr>
          <w:lang w:val="en-US"/>
        </w:rPr>
        <w:lastRenderedPageBreak/>
        <w:t xml:space="preserve">The data indicate that dispersion in earnings of tradespersons is not great between regions, </w:t>
      </w:r>
      <w:r>
        <w:rPr>
          <w:lang w:val="en-US"/>
        </w:rPr>
        <w:t>s</w:t>
      </w:r>
      <w:r w:rsidRPr="00E6078C">
        <w:rPr>
          <w:lang w:val="en-US"/>
        </w:rPr>
        <w:t>tate</w:t>
      </w:r>
      <w:r>
        <w:rPr>
          <w:lang w:val="en-US"/>
        </w:rPr>
        <w:t>s</w:t>
      </w:r>
      <w:r w:rsidRPr="00E6078C">
        <w:rPr>
          <w:lang w:val="en-US"/>
        </w:rPr>
        <w:t xml:space="preserve"> and </w:t>
      </w:r>
      <w:r>
        <w:rPr>
          <w:lang w:val="en-US"/>
        </w:rPr>
        <w:t>t</w:t>
      </w:r>
      <w:r w:rsidRPr="00E6078C">
        <w:rPr>
          <w:lang w:val="en-US"/>
        </w:rPr>
        <w:t>erritories</w:t>
      </w:r>
      <w:r>
        <w:rPr>
          <w:lang w:val="en-US"/>
        </w:rPr>
        <w:t>,</w:t>
      </w:r>
      <w:r w:rsidRPr="00E6078C">
        <w:rPr>
          <w:lang w:val="en-US"/>
        </w:rPr>
        <w:t xml:space="preserve"> with the exception of remote Australia</w:t>
      </w:r>
      <w:r>
        <w:rPr>
          <w:lang w:val="en-US"/>
        </w:rPr>
        <w:t>. However,</w:t>
      </w:r>
      <w:r w:rsidRPr="00E6078C">
        <w:rPr>
          <w:lang w:val="en-US"/>
        </w:rPr>
        <w:t xml:space="preserve"> dispersion has increased with </w:t>
      </w:r>
      <w:r>
        <w:rPr>
          <w:lang w:val="en-US"/>
        </w:rPr>
        <w:t>regard</w:t>
      </w:r>
      <w:r w:rsidRPr="00E6078C">
        <w:rPr>
          <w:lang w:val="en-US"/>
        </w:rPr>
        <w:t xml:space="preserve"> to both the lowest and the highest earners. Remote regions are the worst and best places to be for tradespersons</w:t>
      </w:r>
      <w:r>
        <w:rPr>
          <w:lang w:val="en-US"/>
        </w:rPr>
        <w:t>,</w:t>
      </w:r>
      <w:r w:rsidRPr="00E6078C">
        <w:rPr>
          <w:lang w:val="en-US"/>
        </w:rPr>
        <w:t xml:space="preserve"> depending on which earnings group </w:t>
      </w:r>
      <w:r>
        <w:rPr>
          <w:lang w:val="en-US"/>
        </w:rPr>
        <w:t xml:space="preserve">they </w:t>
      </w:r>
      <w:r w:rsidRPr="00E6078C">
        <w:rPr>
          <w:lang w:val="en-US"/>
        </w:rPr>
        <w:t xml:space="preserve">belong to. Also, the disparity between the lowest and highest earners increased between 2001 and 2006, due mostly to the deteriorating relative position of the lowest earners. </w:t>
      </w:r>
    </w:p>
    <w:p w:rsidR="00DD09C1" w:rsidRDefault="00DD09C1" w:rsidP="00DD09C1">
      <w:pPr>
        <w:pStyle w:val="text0"/>
        <w:rPr>
          <w:lang w:val="en-US"/>
        </w:rPr>
      </w:pPr>
      <w:r>
        <w:rPr>
          <w:lang w:val="en-US"/>
        </w:rPr>
        <w:t xml:space="preserve">In summary, there has been considerable widening of the earnings distribution between the best- and worst-paid tradespersons. This suggests that there is considerable price (wage) adjustment in the </w:t>
      </w:r>
      <w:proofErr w:type="spellStart"/>
      <w:r>
        <w:rPr>
          <w:lang w:val="en-US"/>
        </w:rPr>
        <w:t>labour</w:t>
      </w:r>
      <w:proofErr w:type="spellEnd"/>
      <w:r>
        <w:rPr>
          <w:lang w:val="en-US"/>
        </w:rPr>
        <w:t xml:space="preserve"> market, which is not evident in considering aggregate measures such as medians.</w:t>
      </w:r>
      <w:r w:rsidRPr="00E6078C">
        <w:rPr>
          <w:lang w:val="en-US"/>
        </w:rPr>
        <w:t xml:space="preserve"> </w:t>
      </w:r>
    </w:p>
    <w:p w:rsidR="00DD09C1" w:rsidRPr="00F24BA8" w:rsidRDefault="00DD09C1" w:rsidP="00DD09C1">
      <w:pPr>
        <w:pStyle w:val="Heading3"/>
        <w:rPr>
          <w:lang w:val="en-US"/>
        </w:rPr>
      </w:pPr>
      <w:r w:rsidRPr="00F24BA8">
        <w:rPr>
          <w:lang w:val="en-US"/>
        </w:rPr>
        <w:t>The role of migration</w:t>
      </w:r>
    </w:p>
    <w:p w:rsidR="00DD09C1" w:rsidRDefault="00DD09C1" w:rsidP="00DD09C1">
      <w:pPr>
        <w:pStyle w:val="text-lessbefore"/>
        <w:rPr>
          <w:lang w:val="en-US"/>
        </w:rPr>
      </w:pPr>
      <w:r>
        <w:rPr>
          <w:lang w:val="en-US"/>
        </w:rPr>
        <w:t xml:space="preserve">Internal and external migration has typically played an important part in </w:t>
      </w:r>
      <w:proofErr w:type="spellStart"/>
      <w:r>
        <w:rPr>
          <w:lang w:val="en-US"/>
        </w:rPr>
        <w:t>labour</w:t>
      </w:r>
      <w:proofErr w:type="spellEnd"/>
      <w:r>
        <w:rPr>
          <w:lang w:val="en-US"/>
        </w:rPr>
        <w:t xml:space="preserve"> market adjustment in Australia (Garnett &amp; Lewis 2007; Hugo 2006). Earlier, it was observed that </w:t>
      </w:r>
      <w:proofErr w:type="spellStart"/>
      <w:r>
        <w:rPr>
          <w:lang w:val="en-US"/>
        </w:rPr>
        <w:t>i</w:t>
      </w:r>
      <w:proofErr w:type="spellEnd"/>
      <w:r w:rsidRPr="00465137">
        <w:t>n 2006 the net inflow of new migrants</w:t>
      </w:r>
      <w:r>
        <w:t xml:space="preserve"> to Australia</w:t>
      </w:r>
      <w:r w:rsidRPr="00465137">
        <w:t xml:space="preserve"> was 134</w:t>
      </w:r>
      <w:r>
        <w:t xml:space="preserve"> </w:t>
      </w:r>
      <w:r w:rsidRPr="00465137">
        <w:t>600, up 23</w:t>
      </w:r>
      <w:r>
        <w:t>%</w:t>
      </w:r>
      <w:r w:rsidRPr="00465137">
        <w:t xml:space="preserve"> from 2003</w:t>
      </w:r>
      <w:r>
        <w:t>.</w:t>
      </w:r>
      <w:r>
        <w:rPr>
          <w:lang w:val="en-US"/>
        </w:rPr>
        <w:t xml:space="preserve"> In order to gauge the importance of tradespersons from overseas, a simple exercise is carried out here. In the 2001 and 2006 censuses, questions were asked about the usual place of residence in the census year and five years earlier. Table 10 shows the percentage of tradespersons and other employees in different states and regions who were overseas five years previously.</w:t>
      </w:r>
    </w:p>
    <w:p w:rsidR="00DD09C1" w:rsidRDefault="00DD09C1" w:rsidP="00DD09C1">
      <w:pPr>
        <w:pStyle w:val="tabletitle"/>
        <w:rPr>
          <w:lang w:val="en-US"/>
        </w:rPr>
      </w:pPr>
      <w:bookmarkStart w:id="95" w:name="_Toc139109097"/>
      <w:r>
        <w:rPr>
          <w:lang w:val="en-US"/>
        </w:rPr>
        <w:t>Table 10</w:t>
      </w:r>
      <w:r>
        <w:rPr>
          <w:lang w:val="en-US"/>
        </w:rPr>
        <w:tab/>
      </w:r>
      <w:r w:rsidRPr="006700BB">
        <w:rPr>
          <w:lang w:val="en-US"/>
        </w:rPr>
        <w:t xml:space="preserve"> Workers </w:t>
      </w:r>
      <w:r>
        <w:rPr>
          <w:lang w:val="en-US"/>
        </w:rPr>
        <w:t xml:space="preserve">in Australia who were overseas five years previously </w:t>
      </w:r>
      <w:r w:rsidRPr="006700BB">
        <w:rPr>
          <w:lang w:val="en-US"/>
        </w:rPr>
        <w:t>as a p</w:t>
      </w:r>
      <w:r>
        <w:rPr>
          <w:lang w:val="en-US"/>
        </w:rPr>
        <w:t>ercentage</w:t>
      </w:r>
      <w:r w:rsidRPr="006700BB">
        <w:rPr>
          <w:lang w:val="en-US"/>
        </w:rPr>
        <w:t xml:space="preserve"> of </w:t>
      </w:r>
      <w:r>
        <w:rPr>
          <w:lang w:val="en-US"/>
        </w:rPr>
        <w:t>all workers</w:t>
      </w:r>
      <w:bookmarkEnd w:id="95"/>
    </w:p>
    <w:tbl>
      <w:tblPr>
        <w:tblW w:w="8505" w:type="dxa"/>
        <w:tblInd w:w="96" w:type="dxa"/>
        <w:tblLayout w:type="fixed"/>
        <w:tblLook w:val="0000"/>
      </w:tblPr>
      <w:tblGrid>
        <w:gridCol w:w="1997"/>
        <w:gridCol w:w="1084"/>
        <w:gridCol w:w="1085"/>
        <w:gridCol w:w="1085"/>
        <w:gridCol w:w="1084"/>
        <w:gridCol w:w="1085"/>
        <w:gridCol w:w="1085"/>
      </w:tblGrid>
      <w:tr w:rsidR="00DD09C1" w:rsidRPr="000B3672">
        <w:trPr>
          <w:trHeight w:val="276"/>
        </w:trPr>
        <w:tc>
          <w:tcPr>
            <w:tcW w:w="1997" w:type="dxa"/>
            <w:tcBorders>
              <w:top w:val="single" w:sz="4" w:space="0" w:color="auto"/>
              <w:left w:val="nil"/>
              <w:bottom w:val="nil"/>
              <w:right w:val="nil"/>
            </w:tcBorders>
            <w:shd w:val="clear" w:color="auto" w:fill="auto"/>
            <w:noWrap/>
            <w:vAlign w:val="bottom"/>
          </w:tcPr>
          <w:p w:rsidR="00DD09C1" w:rsidRPr="000B3672" w:rsidRDefault="00DD09C1" w:rsidP="00DD09C1">
            <w:pPr>
              <w:pStyle w:val="Tablehead1"/>
            </w:pPr>
          </w:p>
        </w:tc>
        <w:tc>
          <w:tcPr>
            <w:tcW w:w="2169" w:type="dxa"/>
            <w:gridSpan w:val="2"/>
            <w:tcBorders>
              <w:top w:val="single" w:sz="4" w:space="0" w:color="auto"/>
              <w:left w:val="nil"/>
              <w:bottom w:val="nil"/>
              <w:right w:val="nil"/>
            </w:tcBorders>
            <w:shd w:val="clear" w:color="auto" w:fill="auto"/>
            <w:noWrap/>
            <w:vAlign w:val="bottom"/>
          </w:tcPr>
          <w:p w:rsidR="00DD09C1" w:rsidRPr="000B3672" w:rsidRDefault="00DD09C1" w:rsidP="00DD09C1">
            <w:pPr>
              <w:pStyle w:val="Tablehead1"/>
              <w:jc w:val="center"/>
            </w:pPr>
            <w:r w:rsidRPr="000B3672">
              <w:t>Tradespersons</w:t>
            </w:r>
          </w:p>
        </w:tc>
        <w:tc>
          <w:tcPr>
            <w:tcW w:w="2169" w:type="dxa"/>
            <w:gridSpan w:val="2"/>
            <w:tcBorders>
              <w:top w:val="single" w:sz="4" w:space="0" w:color="auto"/>
              <w:left w:val="nil"/>
              <w:bottom w:val="nil"/>
              <w:right w:val="nil"/>
            </w:tcBorders>
            <w:shd w:val="clear" w:color="auto" w:fill="auto"/>
            <w:noWrap/>
            <w:vAlign w:val="bottom"/>
          </w:tcPr>
          <w:p w:rsidR="00DD09C1" w:rsidRPr="000B3672" w:rsidRDefault="00DD09C1" w:rsidP="00DD09C1">
            <w:pPr>
              <w:pStyle w:val="Tablehead1"/>
              <w:jc w:val="center"/>
            </w:pPr>
            <w:r w:rsidRPr="000B3672">
              <w:t>All other employed</w:t>
            </w:r>
          </w:p>
        </w:tc>
        <w:tc>
          <w:tcPr>
            <w:tcW w:w="2170" w:type="dxa"/>
            <w:gridSpan w:val="2"/>
            <w:tcBorders>
              <w:top w:val="single" w:sz="4" w:space="0" w:color="auto"/>
              <w:left w:val="nil"/>
              <w:bottom w:val="nil"/>
              <w:right w:val="nil"/>
            </w:tcBorders>
            <w:shd w:val="clear" w:color="auto" w:fill="auto"/>
            <w:noWrap/>
            <w:vAlign w:val="bottom"/>
          </w:tcPr>
          <w:p w:rsidR="00DD09C1" w:rsidRPr="000B3672" w:rsidRDefault="00DD09C1" w:rsidP="00DD09C1">
            <w:pPr>
              <w:pStyle w:val="Tablehead1"/>
              <w:jc w:val="center"/>
            </w:pPr>
            <w:r w:rsidRPr="000B3672">
              <w:t>Total employed</w:t>
            </w:r>
          </w:p>
        </w:tc>
      </w:tr>
      <w:tr w:rsidR="00DD09C1" w:rsidRPr="000B3672">
        <w:trPr>
          <w:trHeight w:val="276"/>
        </w:trPr>
        <w:tc>
          <w:tcPr>
            <w:tcW w:w="1997"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pPr>
          </w:p>
        </w:tc>
        <w:tc>
          <w:tcPr>
            <w:tcW w:w="1084"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2001</w:t>
            </w:r>
          </w:p>
        </w:tc>
        <w:tc>
          <w:tcPr>
            <w:tcW w:w="1085"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2006</w:t>
            </w:r>
          </w:p>
        </w:tc>
        <w:tc>
          <w:tcPr>
            <w:tcW w:w="1085"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2001</w:t>
            </w:r>
          </w:p>
        </w:tc>
        <w:tc>
          <w:tcPr>
            <w:tcW w:w="1084"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2006</w:t>
            </w:r>
          </w:p>
        </w:tc>
        <w:tc>
          <w:tcPr>
            <w:tcW w:w="1085"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2001</w:t>
            </w:r>
          </w:p>
        </w:tc>
        <w:tc>
          <w:tcPr>
            <w:tcW w:w="1085" w:type="dxa"/>
            <w:tcBorders>
              <w:top w:val="nil"/>
              <w:left w:val="nil"/>
              <w:bottom w:val="single" w:sz="4" w:space="0" w:color="auto"/>
              <w:right w:val="nil"/>
            </w:tcBorders>
            <w:shd w:val="clear" w:color="auto" w:fill="auto"/>
            <w:noWrap/>
            <w:vAlign w:val="bottom"/>
          </w:tcPr>
          <w:p w:rsidR="00DD09C1" w:rsidRPr="000B3672" w:rsidRDefault="00DD09C1" w:rsidP="00DD09C1">
            <w:pPr>
              <w:pStyle w:val="Tablehead2"/>
              <w:jc w:val="center"/>
            </w:pPr>
            <w:r w:rsidRPr="000B3672">
              <w:t>2006</w:t>
            </w:r>
          </w:p>
        </w:tc>
      </w:tr>
      <w:tr w:rsidR="00DD09C1">
        <w:trPr>
          <w:trHeight w:val="276"/>
        </w:trPr>
        <w:tc>
          <w:tcPr>
            <w:tcW w:w="1997" w:type="dxa"/>
            <w:tcBorders>
              <w:top w:val="single" w:sz="4" w:space="0" w:color="auto"/>
              <w:left w:val="nil"/>
              <w:bottom w:val="nil"/>
              <w:right w:val="nil"/>
            </w:tcBorders>
            <w:shd w:val="clear" w:color="auto" w:fill="auto"/>
            <w:noWrap/>
            <w:vAlign w:val="bottom"/>
          </w:tcPr>
          <w:p w:rsidR="00DD09C1" w:rsidRPr="00DF62D8" w:rsidRDefault="00DD09C1" w:rsidP="00DD09C1">
            <w:pPr>
              <w:pStyle w:val="Tabletext"/>
            </w:pPr>
            <w:r>
              <w:t>Capital c</w:t>
            </w:r>
            <w:r w:rsidRPr="00DF62D8">
              <w:t>ities</w:t>
            </w:r>
          </w:p>
        </w:tc>
        <w:tc>
          <w:tcPr>
            <w:tcW w:w="10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3.4</w:t>
            </w:r>
          </w:p>
        </w:tc>
        <w:tc>
          <w:tcPr>
            <w:tcW w:w="1085"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4.2</w:t>
            </w:r>
          </w:p>
        </w:tc>
        <w:tc>
          <w:tcPr>
            <w:tcW w:w="1085"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4.8</w:t>
            </w:r>
          </w:p>
        </w:tc>
        <w:tc>
          <w:tcPr>
            <w:tcW w:w="1084"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5.9</w:t>
            </w:r>
          </w:p>
        </w:tc>
        <w:tc>
          <w:tcPr>
            <w:tcW w:w="1085"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4.7</w:t>
            </w:r>
          </w:p>
        </w:tc>
        <w:tc>
          <w:tcPr>
            <w:tcW w:w="1085" w:type="dxa"/>
            <w:tcBorders>
              <w:top w:val="single" w:sz="4" w:space="0" w:color="auto"/>
              <w:left w:val="nil"/>
              <w:bottom w:val="nil"/>
              <w:right w:val="nil"/>
            </w:tcBorders>
            <w:shd w:val="clear" w:color="auto" w:fill="auto"/>
            <w:noWrap/>
            <w:vAlign w:val="bottom"/>
          </w:tcPr>
          <w:p w:rsidR="00DD09C1" w:rsidRDefault="00DD09C1" w:rsidP="00DD09C1">
            <w:pPr>
              <w:pStyle w:val="Tabletext"/>
              <w:tabs>
                <w:tab w:val="decimal" w:pos="425"/>
              </w:tabs>
            </w:pPr>
            <w:r>
              <w:t>5.7</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t>Other m</w:t>
            </w:r>
            <w:r w:rsidRPr="00DF62D8">
              <w:t>etropolitan</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2.3</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3.2</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3.6</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3.1</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3.5</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Coastal</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1.8</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2.0</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Inland</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0.8</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1.4</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1.1</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1.7</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1.1</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1.6</w:t>
            </w:r>
          </w:p>
        </w:tc>
      </w:tr>
      <w:tr w:rsidR="00DD09C1">
        <w:trPr>
          <w:trHeight w:val="276"/>
        </w:trPr>
        <w:tc>
          <w:tcPr>
            <w:tcW w:w="1997" w:type="dxa"/>
            <w:tcBorders>
              <w:top w:val="nil"/>
              <w:left w:val="nil"/>
              <w:bottom w:val="dashed" w:sz="4" w:space="0" w:color="auto"/>
              <w:right w:val="nil"/>
            </w:tcBorders>
            <w:shd w:val="clear" w:color="auto" w:fill="auto"/>
            <w:noWrap/>
            <w:vAlign w:val="bottom"/>
          </w:tcPr>
          <w:p w:rsidR="00DD09C1" w:rsidRPr="00DF62D8" w:rsidRDefault="00DD09C1" w:rsidP="00DD09C1">
            <w:pPr>
              <w:pStyle w:val="Tabletext"/>
              <w:spacing w:after="80"/>
            </w:pPr>
            <w:r w:rsidRPr="00DF62D8">
              <w:t>Remote</w:t>
            </w:r>
          </w:p>
        </w:tc>
        <w:tc>
          <w:tcPr>
            <w:tcW w:w="10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2.3</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3.4</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2.3</w:t>
            </w:r>
          </w:p>
        </w:tc>
        <w:tc>
          <w:tcPr>
            <w:tcW w:w="10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3.2</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2.3</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3.2</w:t>
            </w:r>
          </w:p>
        </w:tc>
      </w:tr>
      <w:tr w:rsidR="00DD09C1">
        <w:trPr>
          <w:trHeight w:val="276"/>
        </w:trPr>
        <w:tc>
          <w:tcPr>
            <w:tcW w:w="1997" w:type="dxa"/>
            <w:tcBorders>
              <w:top w:val="dashed" w:sz="4" w:space="0" w:color="auto"/>
              <w:left w:val="nil"/>
              <w:bottom w:val="nil"/>
              <w:right w:val="nil"/>
            </w:tcBorders>
            <w:shd w:val="clear" w:color="auto" w:fill="auto"/>
            <w:noWrap/>
            <w:vAlign w:val="bottom"/>
          </w:tcPr>
          <w:p w:rsidR="00DD09C1" w:rsidRPr="00DF62D8" w:rsidRDefault="00DD09C1" w:rsidP="00DD09C1">
            <w:pPr>
              <w:pStyle w:val="Tabletext"/>
            </w:pPr>
            <w:r w:rsidRPr="00DF62D8">
              <w:t>NSW</w:t>
            </w:r>
          </w:p>
        </w:tc>
        <w:tc>
          <w:tcPr>
            <w:tcW w:w="1084"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3.1</w:t>
            </w:r>
          </w:p>
        </w:tc>
        <w:tc>
          <w:tcPr>
            <w:tcW w:w="1085"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3.0</w:t>
            </w:r>
          </w:p>
        </w:tc>
        <w:tc>
          <w:tcPr>
            <w:tcW w:w="1085"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4.8</w:t>
            </w:r>
          </w:p>
        </w:tc>
        <w:tc>
          <w:tcPr>
            <w:tcW w:w="1084"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5.1</w:t>
            </w:r>
          </w:p>
        </w:tc>
        <w:tc>
          <w:tcPr>
            <w:tcW w:w="1085"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4.6</w:t>
            </w:r>
          </w:p>
        </w:tc>
        <w:tc>
          <w:tcPr>
            <w:tcW w:w="1085" w:type="dxa"/>
            <w:tcBorders>
              <w:top w:val="dashed" w:sz="4" w:space="0" w:color="auto"/>
              <w:left w:val="nil"/>
              <w:bottom w:val="nil"/>
              <w:right w:val="nil"/>
            </w:tcBorders>
            <w:shd w:val="clear" w:color="auto" w:fill="auto"/>
            <w:noWrap/>
            <w:vAlign w:val="bottom"/>
          </w:tcPr>
          <w:p w:rsidR="00DD09C1" w:rsidRDefault="00DD09C1" w:rsidP="00DD09C1">
            <w:pPr>
              <w:pStyle w:val="Tabletext"/>
              <w:tabs>
                <w:tab w:val="decimal" w:pos="425"/>
              </w:tabs>
            </w:pPr>
            <w:r>
              <w:t>4.9</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t>Vic.</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2.2</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2.9</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3.5</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4.7</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3.3</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4.5</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t>Qld</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2.8</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3.9</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3.6</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4.7</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3.5</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4.6</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SA</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1.6</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2.8</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1.9</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1.8</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3.0</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WA</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3.6</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5.3</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4.3</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5.6</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4.2</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5.6</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t>Tas.</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0.6</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1.3</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1.9</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1.2</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1.8</w:t>
            </w:r>
          </w:p>
        </w:tc>
      </w:tr>
      <w:tr w:rsidR="00DD09C1">
        <w:trPr>
          <w:trHeight w:val="276"/>
        </w:trPr>
        <w:tc>
          <w:tcPr>
            <w:tcW w:w="1997"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NT</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2.7</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3.0</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3.5</w:t>
            </w:r>
          </w:p>
        </w:tc>
        <w:tc>
          <w:tcPr>
            <w:tcW w:w="1084"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4.2</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3.3</w:t>
            </w:r>
          </w:p>
        </w:tc>
        <w:tc>
          <w:tcPr>
            <w:tcW w:w="1085" w:type="dxa"/>
            <w:tcBorders>
              <w:top w:val="nil"/>
              <w:left w:val="nil"/>
              <w:bottom w:val="nil"/>
              <w:right w:val="nil"/>
            </w:tcBorders>
            <w:shd w:val="clear" w:color="auto" w:fill="auto"/>
            <w:noWrap/>
            <w:vAlign w:val="bottom"/>
          </w:tcPr>
          <w:p w:rsidR="00DD09C1" w:rsidRDefault="00DD09C1" w:rsidP="00DD09C1">
            <w:pPr>
              <w:pStyle w:val="Tabletext"/>
              <w:tabs>
                <w:tab w:val="decimal" w:pos="425"/>
              </w:tabs>
            </w:pPr>
            <w:r>
              <w:t>4.0</w:t>
            </w:r>
          </w:p>
        </w:tc>
      </w:tr>
      <w:tr w:rsidR="00DD09C1">
        <w:trPr>
          <w:trHeight w:val="276"/>
        </w:trPr>
        <w:tc>
          <w:tcPr>
            <w:tcW w:w="1997" w:type="dxa"/>
            <w:tcBorders>
              <w:top w:val="nil"/>
              <w:left w:val="nil"/>
              <w:bottom w:val="dashed" w:sz="4" w:space="0" w:color="auto"/>
              <w:right w:val="nil"/>
            </w:tcBorders>
            <w:shd w:val="clear" w:color="auto" w:fill="auto"/>
            <w:noWrap/>
            <w:vAlign w:val="bottom"/>
          </w:tcPr>
          <w:p w:rsidR="00DD09C1" w:rsidRPr="00DF62D8" w:rsidRDefault="00DD09C1" w:rsidP="00DD09C1">
            <w:pPr>
              <w:pStyle w:val="Tabletext"/>
              <w:spacing w:after="80"/>
            </w:pPr>
            <w:r w:rsidRPr="00DF62D8">
              <w:t>ACT</w:t>
            </w:r>
          </w:p>
        </w:tc>
        <w:tc>
          <w:tcPr>
            <w:tcW w:w="10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1.6</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2.4</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3.9</w:t>
            </w:r>
          </w:p>
        </w:tc>
        <w:tc>
          <w:tcPr>
            <w:tcW w:w="1084"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4.7</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3.7</w:t>
            </w:r>
          </w:p>
        </w:tc>
        <w:tc>
          <w:tcPr>
            <w:tcW w:w="1085" w:type="dxa"/>
            <w:tcBorders>
              <w:top w:val="nil"/>
              <w:left w:val="nil"/>
              <w:bottom w:val="dashed" w:sz="4" w:space="0" w:color="auto"/>
              <w:right w:val="nil"/>
            </w:tcBorders>
            <w:shd w:val="clear" w:color="auto" w:fill="auto"/>
            <w:noWrap/>
            <w:vAlign w:val="bottom"/>
          </w:tcPr>
          <w:p w:rsidR="00DD09C1" w:rsidRDefault="00DD09C1" w:rsidP="00DD09C1">
            <w:pPr>
              <w:pStyle w:val="Tabletext"/>
              <w:tabs>
                <w:tab w:val="decimal" w:pos="425"/>
              </w:tabs>
              <w:spacing w:after="80"/>
            </w:pPr>
            <w:r>
              <w:t>4.5</w:t>
            </w:r>
          </w:p>
        </w:tc>
      </w:tr>
      <w:tr w:rsidR="00DD09C1">
        <w:trPr>
          <w:trHeight w:val="276"/>
        </w:trPr>
        <w:tc>
          <w:tcPr>
            <w:tcW w:w="1997" w:type="dxa"/>
            <w:tcBorders>
              <w:top w:val="dashed" w:sz="4" w:space="0" w:color="auto"/>
              <w:left w:val="nil"/>
              <w:bottom w:val="single" w:sz="4" w:space="0" w:color="auto"/>
              <w:right w:val="nil"/>
            </w:tcBorders>
            <w:shd w:val="clear" w:color="auto" w:fill="auto"/>
            <w:noWrap/>
            <w:vAlign w:val="bottom"/>
          </w:tcPr>
          <w:p w:rsidR="00DD09C1" w:rsidRPr="00DF62D8" w:rsidRDefault="00DD09C1" w:rsidP="00DD09C1">
            <w:pPr>
              <w:pStyle w:val="Tabletext"/>
              <w:spacing w:after="40"/>
            </w:pPr>
            <w:r w:rsidRPr="00DF62D8">
              <w:t>Australia</w:t>
            </w:r>
          </w:p>
        </w:tc>
        <w:tc>
          <w:tcPr>
            <w:tcW w:w="1084"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2.7</w:t>
            </w:r>
          </w:p>
        </w:tc>
        <w:tc>
          <w:tcPr>
            <w:tcW w:w="1085"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3.4</w:t>
            </w:r>
          </w:p>
        </w:tc>
        <w:tc>
          <w:tcPr>
            <w:tcW w:w="1085"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3.9</w:t>
            </w:r>
          </w:p>
        </w:tc>
        <w:tc>
          <w:tcPr>
            <w:tcW w:w="1084"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4.7</w:t>
            </w:r>
          </w:p>
        </w:tc>
        <w:tc>
          <w:tcPr>
            <w:tcW w:w="1085"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3.7</w:t>
            </w:r>
          </w:p>
        </w:tc>
        <w:tc>
          <w:tcPr>
            <w:tcW w:w="1085" w:type="dxa"/>
            <w:tcBorders>
              <w:top w:val="dashed" w:sz="4" w:space="0" w:color="auto"/>
              <w:left w:val="nil"/>
              <w:bottom w:val="single" w:sz="4" w:space="0" w:color="auto"/>
              <w:right w:val="nil"/>
            </w:tcBorders>
            <w:shd w:val="clear" w:color="auto" w:fill="auto"/>
            <w:noWrap/>
            <w:vAlign w:val="bottom"/>
          </w:tcPr>
          <w:p w:rsidR="00DD09C1" w:rsidRDefault="00DD09C1" w:rsidP="00DD09C1">
            <w:pPr>
              <w:pStyle w:val="Tabletext"/>
              <w:tabs>
                <w:tab w:val="decimal" w:pos="425"/>
              </w:tabs>
              <w:spacing w:after="40"/>
            </w:pPr>
            <w:r>
              <w:t>4.6</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ind w:right="-151"/>
        <w:rPr>
          <w:lang w:val="en-US"/>
        </w:rPr>
      </w:pPr>
      <w:r>
        <w:rPr>
          <w:lang w:val="en-US"/>
        </w:rPr>
        <w:t xml:space="preserve">There has been a small but significant increase in the percentage of all employed persons in Australia who arrived recently from overseas. This increase in recently arrived workers is true for every state, territory and region of Australia, for the period 2001–06. Recently arrived workers have the highest representation in capital cities, other metropolitan and remote regions, where they accounted for 5.7%, 3.5% and 3.2%, respectively, in 2006. However, they only accounted for 1.6% for inland regions and 2% for coastal regions, respectively, in 2006. Some of the states and territories also have a significantly higher representation. The most significant of these are Western Australia, New South Wales and Queensland, where overseas workers constitute 5.6%, 4.9% and 4.6% respectively of all employed persons in these states in 2006—all above the national average. Thus, migrants are mostly drawn to the large cities and the high-growth states of Western Australia and Queensland. </w:t>
      </w:r>
    </w:p>
    <w:p w:rsidR="00DD09C1" w:rsidRDefault="00DD09C1" w:rsidP="00DD09C1">
      <w:pPr>
        <w:pStyle w:val="text0"/>
        <w:rPr>
          <w:lang w:val="en-US"/>
        </w:rPr>
      </w:pPr>
      <w:r>
        <w:rPr>
          <w:lang w:val="en-US"/>
        </w:rPr>
        <w:lastRenderedPageBreak/>
        <w:t xml:space="preserve">Recently arrived workers make up a higher percentage of all other employed persons in the Australian workforce than they do of tradespersons. The most significant percentages are found in Western Australia and New South Wales, recorded at 5.6% and 5.1%, respectively. In terms of regions, the most notable figure is in the capital cities, where in 2006, 5.9% of all other employed persons were recently arrived workers. </w:t>
      </w:r>
    </w:p>
    <w:p w:rsidR="00DD09C1" w:rsidRDefault="00DD09C1" w:rsidP="00DD09C1">
      <w:pPr>
        <w:pStyle w:val="text0"/>
        <w:ind w:right="132"/>
        <w:rPr>
          <w:lang w:val="en-US"/>
        </w:rPr>
      </w:pPr>
      <w:r>
        <w:rPr>
          <w:lang w:val="en-US"/>
        </w:rPr>
        <w:t xml:space="preserve">Recently arrived tradespersons are of greatest importance in Western Australia and Queensland, accounting for 5.3% and 3.9% of employed tradespersons respectively in 2006, above the national average of 3.4%. Recently arrived tradespersons are observed as a higher percentage of the total number of workers in capital cities than in remote regions, accounting for 4.2% and 3.4%, respectively. </w:t>
      </w:r>
    </w:p>
    <w:p w:rsidR="00DD09C1" w:rsidRDefault="00DD09C1" w:rsidP="00DD09C1">
      <w:pPr>
        <w:pStyle w:val="text0"/>
        <w:rPr>
          <w:lang w:val="en-US"/>
        </w:rPr>
      </w:pPr>
      <w:r>
        <w:rPr>
          <w:lang w:val="en-US"/>
        </w:rPr>
        <w:t xml:space="preserve">All other regions were below the national average in 2006. In summary, migrants have made a somewhat smaller contribution to the tradespersons’ </w:t>
      </w:r>
      <w:proofErr w:type="spellStart"/>
      <w:r>
        <w:rPr>
          <w:lang w:val="en-US"/>
        </w:rPr>
        <w:t>labour</w:t>
      </w:r>
      <w:proofErr w:type="spellEnd"/>
      <w:r>
        <w:rPr>
          <w:lang w:val="en-US"/>
        </w:rPr>
        <w:t xml:space="preserve"> market than they have for the workforce as a whole. They have been of greatest importance in the high-growth state of Western Australia but also in the relatively low-growth state of New South Wales. Although they have made their most important contribution in the major cities, they have also been important in providing </w:t>
      </w:r>
      <w:proofErr w:type="spellStart"/>
      <w:r>
        <w:rPr>
          <w:lang w:val="en-US"/>
        </w:rPr>
        <w:t>labour</w:t>
      </w:r>
      <w:proofErr w:type="spellEnd"/>
      <w:r>
        <w:rPr>
          <w:lang w:val="en-US"/>
        </w:rPr>
        <w:t xml:space="preserve"> to the remote regions of Australia. </w:t>
      </w:r>
    </w:p>
    <w:p w:rsidR="00DD09C1" w:rsidRDefault="00DD09C1" w:rsidP="00DD09C1">
      <w:pPr>
        <w:pStyle w:val="text0"/>
        <w:rPr>
          <w:lang w:val="en-US"/>
        </w:rPr>
      </w:pPr>
      <w:r>
        <w:rPr>
          <w:lang w:val="en-US"/>
        </w:rPr>
        <w:t xml:space="preserve">The percentage of all employed tradespersons who were recently from overseas grew over the 2001–06 period in all states except New South Wales and grew most significantly in Western Australia, South Australia and Queensland, with growth estimated at 1.7%, 1.2% and 1.1%, respectively. Regionally, similar growth was also observed in all regions, but most notable in remote areas, with an increase in the ratio of recently arrived tradespersons of just over 1% over the period. Likewise, there was consistent growth in the percentage of recently arrived workers in the category of all other employed for both states and territories and the regions of Australia over the 2001–06 period. The most notable growth occurred in Western Australia, South Australia, Victoria and Queensland, in which increases of 1.3%, 1.1%, 1.2% and 1.1% respectively were observed. While all regions recorded a similar increase, only in capital cities and remote regions were the growth rates larger than the national average at 1.1% and 0.9%, respectively. </w:t>
      </w:r>
    </w:p>
    <w:p w:rsidR="00DD09C1" w:rsidRPr="00A55152" w:rsidRDefault="00DD09C1" w:rsidP="00DD09C1">
      <w:pPr>
        <w:pStyle w:val="tabletitle"/>
        <w:rPr>
          <w:lang w:val="en-US"/>
        </w:rPr>
      </w:pPr>
      <w:bookmarkStart w:id="96" w:name="_Toc139109098"/>
      <w:r w:rsidRPr="00A55152">
        <w:rPr>
          <w:lang w:val="en-US"/>
        </w:rPr>
        <w:t xml:space="preserve">Table </w:t>
      </w:r>
      <w:r>
        <w:rPr>
          <w:lang w:val="en-US"/>
        </w:rPr>
        <w:t>11</w:t>
      </w:r>
      <w:r>
        <w:rPr>
          <w:lang w:val="en-US"/>
        </w:rPr>
        <w:tab/>
      </w:r>
      <w:proofErr w:type="gramStart"/>
      <w:r w:rsidRPr="00A55152">
        <w:rPr>
          <w:lang w:val="en-US"/>
        </w:rPr>
        <w:t>Recently</w:t>
      </w:r>
      <w:proofErr w:type="gramEnd"/>
      <w:r>
        <w:rPr>
          <w:lang w:val="en-US"/>
        </w:rPr>
        <w:t xml:space="preserve"> </w:t>
      </w:r>
      <w:r w:rsidRPr="008F4C58">
        <w:t>arrived</w:t>
      </w:r>
      <w:r w:rsidRPr="00A55152">
        <w:rPr>
          <w:lang w:val="en-US"/>
        </w:rPr>
        <w:t xml:space="preserve"> tradespersons as a percentage of all tradespersons by </w:t>
      </w:r>
      <w:r>
        <w:rPr>
          <w:lang w:val="en-US"/>
        </w:rPr>
        <w:t xml:space="preserve">type, </w:t>
      </w:r>
      <w:r w:rsidRPr="00A55152">
        <w:rPr>
          <w:lang w:val="en-US"/>
        </w:rPr>
        <w:t>region and state, 2001 and 2006</w:t>
      </w:r>
      <w:bookmarkEnd w:id="96"/>
    </w:p>
    <w:tbl>
      <w:tblPr>
        <w:tblW w:w="8505" w:type="dxa"/>
        <w:tblInd w:w="96" w:type="dxa"/>
        <w:tblLayout w:type="fixed"/>
        <w:tblLook w:val="0000"/>
      </w:tblPr>
      <w:tblGrid>
        <w:gridCol w:w="1415"/>
        <w:gridCol w:w="709"/>
        <w:gridCol w:w="709"/>
        <w:gridCol w:w="709"/>
        <w:gridCol w:w="709"/>
        <w:gridCol w:w="709"/>
        <w:gridCol w:w="709"/>
        <w:gridCol w:w="709"/>
        <w:gridCol w:w="709"/>
        <w:gridCol w:w="709"/>
        <w:gridCol w:w="709"/>
      </w:tblGrid>
      <w:tr w:rsidR="00DD09C1" w:rsidRPr="008F4C58">
        <w:trPr>
          <w:trHeight w:val="276"/>
        </w:trPr>
        <w:tc>
          <w:tcPr>
            <w:tcW w:w="1415" w:type="dxa"/>
            <w:tcBorders>
              <w:top w:val="single" w:sz="4" w:space="0" w:color="auto"/>
              <w:left w:val="nil"/>
              <w:bottom w:val="nil"/>
              <w:right w:val="nil"/>
            </w:tcBorders>
            <w:shd w:val="clear" w:color="auto" w:fill="auto"/>
            <w:noWrap/>
            <w:vAlign w:val="bottom"/>
          </w:tcPr>
          <w:p w:rsidR="00DD09C1" w:rsidRPr="008F4C58" w:rsidRDefault="00DD09C1" w:rsidP="00DD09C1">
            <w:pPr>
              <w:pStyle w:val="Tablehead1"/>
            </w:pPr>
          </w:p>
        </w:tc>
        <w:tc>
          <w:tcPr>
            <w:tcW w:w="1418" w:type="dxa"/>
            <w:gridSpan w:val="2"/>
            <w:tcBorders>
              <w:top w:val="single" w:sz="4" w:space="0" w:color="auto"/>
              <w:left w:val="nil"/>
              <w:bottom w:val="nil"/>
              <w:right w:val="nil"/>
            </w:tcBorders>
            <w:shd w:val="clear" w:color="auto" w:fill="auto"/>
            <w:noWrap/>
            <w:vAlign w:val="bottom"/>
          </w:tcPr>
          <w:p w:rsidR="00DD09C1" w:rsidRPr="008F4C58" w:rsidRDefault="00DD09C1" w:rsidP="00DD09C1">
            <w:pPr>
              <w:pStyle w:val="Tablehead1"/>
              <w:jc w:val="center"/>
            </w:pPr>
            <w:r w:rsidRPr="008F4C58">
              <w:t>Mechanical</w:t>
            </w:r>
          </w:p>
        </w:tc>
        <w:tc>
          <w:tcPr>
            <w:tcW w:w="1418" w:type="dxa"/>
            <w:gridSpan w:val="2"/>
            <w:tcBorders>
              <w:top w:val="single" w:sz="4" w:space="0" w:color="auto"/>
              <w:left w:val="nil"/>
              <w:bottom w:val="nil"/>
              <w:right w:val="nil"/>
            </w:tcBorders>
            <w:shd w:val="clear" w:color="auto" w:fill="auto"/>
            <w:noWrap/>
            <w:vAlign w:val="bottom"/>
          </w:tcPr>
          <w:p w:rsidR="00DD09C1" w:rsidRPr="008F4C58" w:rsidRDefault="00DD09C1" w:rsidP="00DD09C1">
            <w:pPr>
              <w:pStyle w:val="Tablehead1"/>
              <w:jc w:val="center"/>
            </w:pPr>
            <w:r w:rsidRPr="008F4C58">
              <w:t>Automotive</w:t>
            </w:r>
          </w:p>
        </w:tc>
        <w:tc>
          <w:tcPr>
            <w:tcW w:w="1418" w:type="dxa"/>
            <w:gridSpan w:val="2"/>
            <w:tcBorders>
              <w:top w:val="single" w:sz="4" w:space="0" w:color="auto"/>
              <w:left w:val="nil"/>
              <w:bottom w:val="nil"/>
              <w:right w:val="nil"/>
            </w:tcBorders>
            <w:shd w:val="clear" w:color="auto" w:fill="auto"/>
            <w:noWrap/>
            <w:vAlign w:val="bottom"/>
          </w:tcPr>
          <w:p w:rsidR="00DD09C1" w:rsidRPr="008F4C58" w:rsidRDefault="00DD09C1" w:rsidP="00DD09C1">
            <w:pPr>
              <w:pStyle w:val="Tablehead1"/>
              <w:jc w:val="center"/>
            </w:pPr>
            <w:r w:rsidRPr="008F4C58">
              <w:t>Electrical</w:t>
            </w:r>
          </w:p>
        </w:tc>
        <w:tc>
          <w:tcPr>
            <w:tcW w:w="1418" w:type="dxa"/>
            <w:gridSpan w:val="2"/>
            <w:tcBorders>
              <w:top w:val="single" w:sz="4" w:space="0" w:color="auto"/>
              <w:left w:val="nil"/>
              <w:bottom w:val="nil"/>
              <w:right w:val="nil"/>
            </w:tcBorders>
            <w:shd w:val="clear" w:color="auto" w:fill="auto"/>
            <w:noWrap/>
            <w:vAlign w:val="bottom"/>
          </w:tcPr>
          <w:p w:rsidR="00DD09C1" w:rsidRPr="008F4C58" w:rsidRDefault="00DD09C1" w:rsidP="00DD09C1">
            <w:pPr>
              <w:pStyle w:val="Tablehead1"/>
              <w:jc w:val="center"/>
            </w:pPr>
            <w:r w:rsidRPr="008F4C58">
              <w:t>Construction</w:t>
            </w:r>
          </w:p>
        </w:tc>
        <w:tc>
          <w:tcPr>
            <w:tcW w:w="1418" w:type="dxa"/>
            <w:gridSpan w:val="2"/>
            <w:tcBorders>
              <w:top w:val="single" w:sz="4" w:space="0" w:color="auto"/>
              <w:left w:val="nil"/>
              <w:bottom w:val="nil"/>
              <w:right w:val="nil"/>
            </w:tcBorders>
            <w:shd w:val="clear" w:color="auto" w:fill="auto"/>
            <w:noWrap/>
            <w:vAlign w:val="bottom"/>
          </w:tcPr>
          <w:p w:rsidR="00DD09C1" w:rsidRPr="008F4C58" w:rsidRDefault="00DD09C1" w:rsidP="00DD09C1">
            <w:pPr>
              <w:pStyle w:val="Tablehead1"/>
              <w:jc w:val="center"/>
            </w:pPr>
            <w:r w:rsidRPr="008F4C58">
              <w:t>Food</w:t>
            </w:r>
          </w:p>
        </w:tc>
      </w:tr>
      <w:tr w:rsidR="00DD09C1" w:rsidRPr="008F4C58">
        <w:trPr>
          <w:trHeight w:val="276"/>
        </w:trPr>
        <w:tc>
          <w:tcPr>
            <w:tcW w:w="1415"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pP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2001</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2006</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2001</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2006</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2001</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2006</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2001</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2006</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2001</w:t>
            </w:r>
          </w:p>
        </w:tc>
        <w:tc>
          <w:tcPr>
            <w:tcW w:w="709" w:type="dxa"/>
            <w:tcBorders>
              <w:top w:val="nil"/>
              <w:left w:val="nil"/>
              <w:bottom w:val="single" w:sz="4" w:space="0" w:color="auto"/>
              <w:right w:val="nil"/>
            </w:tcBorders>
            <w:shd w:val="clear" w:color="auto" w:fill="auto"/>
            <w:noWrap/>
            <w:vAlign w:val="bottom"/>
          </w:tcPr>
          <w:p w:rsidR="00DD09C1" w:rsidRPr="008F4C58" w:rsidRDefault="00DD09C1" w:rsidP="00DD09C1">
            <w:pPr>
              <w:pStyle w:val="Tablehead2"/>
              <w:jc w:val="center"/>
            </w:pPr>
            <w:r w:rsidRPr="008F4C58">
              <w:t>2006</w:t>
            </w:r>
          </w:p>
        </w:tc>
      </w:tr>
      <w:tr w:rsidR="00DD09C1" w:rsidRPr="008C2144">
        <w:trPr>
          <w:trHeight w:val="276"/>
        </w:trPr>
        <w:tc>
          <w:tcPr>
            <w:tcW w:w="1415" w:type="dxa"/>
            <w:tcBorders>
              <w:top w:val="single" w:sz="4" w:space="0" w:color="auto"/>
              <w:left w:val="nil"/>
              <w:bottom w:val="nil"/>
              <w:right w:val="nil"/>
            </w:tcBorders>
            <w:shd w:val="clear" w:color="auto" w:fill="auto"/>
            <w:noWrap/>
            <w:vAlign w:val="bottom"/>
          </w:tcPr>
          <w:p w:rsidR="00DD09C1" w:rsidRPr="00DF62D8" w:rsidRDefault="00DD09C1" w:rsidP="00DD09C1">
            <w:pPr>
              <w:pStyle w:val="Tabletext"/>
            </w:pPr>
            <w:r>
              <w:t>Capital c</w:t>
            </w:r>
            <w:r w:rsidRPr="00DF62D8">
              <w:t>ities</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3.6</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4.9</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2.6</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3.1</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3.4</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4.2</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3.6</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3.6</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5.2</w:t>
            </w:r>
          </w:p>
        </w:tc>
        <w:tc>
          <w:tcPr>
            <w:tcW w:w="709" w:type="dxa"/>
            <w:tcBorders>
              <w:top w:val="single"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7.8</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t>Other m</w:t>
            </w:r>
            <w:r w:rsidRPr="00DF62D8">
              <w:t>etro</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3.2</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4.2</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Coastal</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2.4</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Inland</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1.2</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2.6</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Remote</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3.6</w:t>
            </w:r>
          </w:p>
        </w:tc>
      </w:tr>
      <w:tr w:rsidR="00DD09C1" w:rsidRPr="008C2144">
        <w:trPr>
          <w:trHeight w:val="276"/>
        </w:trPr>
        <w:tc>
          <w:tcPr>
            <w:tcW w:w="1415" w:type="dxa"/>
            <w:tcBorders>
              <w:top w:val="nil"/>
              <w:left w:val="nil"/>
              <w:bottom w:val="dashed" w:sz="4" w:space="0" w:color="auto"/>
              <w:right w:val="nil"/>
            </w:tcBorders>
            <w:shd w:val="clear" w:color="auto" w:fill="auto"/>
            <w:noWrap/>
            <w:vAlign w:val="bottom"/>
          </w:tcPr>
          <w:p w:rsidR="00DD09C1" w:rsidRPr="00DF62D8" w:rsidRDefault="00DD09C1" w:rsidP="00DD09C1">
            <w:pPr>
              <w:pStyle w:val="Tabletext"/>
              <w:spacing w:after="80"/>
            </w:pPr>
            <w:r w:rsidRPr="00DF62D8">
              <w:t>Australia</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2.6</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3.7</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2.0</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2.5</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2.6</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3.4</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2.8</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3.0</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3.6</w:t>
            </w:r>
          </w:p>
        </w:tc>
        <w:tc>
          <w:tcPr>
            <w:tcW w:w="709" w:type="dxa"/>
            <w:tcBorders>
              <w:top w:val="nil"/>
              <w:left w:val="nil"/>
              <w:bottom w:val="dashed" w:sz="4" w:space="0" w:color="auto"/>
              <w:right w:val="nil"/>
            </w:tcBorders>
            <w:shd w:val="clear" w:color="auto" w:fill="auto"/>
            <w:noWrap/>
            <w:vAlign w:val="bottom"/>
          </w:tcPr>
          <w:p w:rsidR="00DD09C1" w:rsidRPr="008C2144" w:rsidRDefault="00DD09C1" w:rsidP="00DD09C1">
            <w:pPr>
              <w:pStyle w:val="Tabletext"/>
              <w:tabs>
                <w:tab w:val="decimal" w:pos="227"/>
              </w:tabs>
              <w:spacing w:after="80"/>
            </w:pPr>
            <w:r w:rsidRPr="008C2144">
              <w:t>5.7</w:t>
            </w:r>
          </w:p>
        </w:tc>
      </w:tr>
      <w:tr w:rsidR="00DD09C1" w:rsidRPr="008C2144">
        <w:trPr>
          <w:trHeight w:val="276"/>
        </w:trPr>
        <w:tc>
          <w:tcPr>
            <w:tcW w:w="1415" w:type="dxa"/>
            <w:tcBorders>
              <w:top w:val="dashed" w:sz="4" w:space="0" w:color="auto"/>
              <w:left w:val="nil"/>
              <w:bottom w:val="nil"/>
              <w:right w:val="nil"/>
            </w:tcBorders>
            <w:shd w:val="clear" w:color="auto" w:fill="auto"/>
            <w:noWrap/>
            <w:vAlign w:val="bottom"/>
          </w:tcPr>
          <w:p w:rsidR="00DD09C1" w:rsidRPr="00DF62D8" w:rsidRDefault="00DD09C1" w:rsidP="00DD09C1">
            <w:pPr>
              <w:pStyle w:val="Tabletext"/>
            </w:pPr>
            <w:r w:rsidRPr="00DF62D8">
              <w:t>NSW</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2.4</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2.7</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2.0</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1.9</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3.0</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2.8</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3.7</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2.8</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4.4</w:t>
            </w:r>
          </w:p>
        </w:tc>
        <w:tc>
          <w:tcPr>
            <w:tcW w:w="709" w:type="dxa"/>
            <w:tcBorders>
              <w:top w:val="dashed" w:sz="4" w:space="0" w:color="auto"/>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6.2</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t>Vic.</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6.5</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t>Qld</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2.6</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5.2</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SA</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1.2</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2.2</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3.8</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WA</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4.1</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6.8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2.7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3.9</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5.5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3.3</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5.2</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4.5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6.6</w:t>
            </w:r>
          </w:p>
        </w:tc>
      </w:tr>
      <w:tr w:rsidR="00DD09C1" w:rsidRPr="008C2144">
        <w:trPr>
          <w:trHeight w:val="276"/>
        </w:trPr>
        <w:tc>
          <w:tcPr>
            <w:tcW w:w="1415" w:type="dxa"/>
            <w:tcBorders>
              <w:top w:val="nil"/>
              <w:left w:val="nil"/>
              <w:bottom w:val="nil"/>
              <w:right w:val="nil"/>
            </w:tcBorders>
            <w:shd w:val="clear" w:color="auto" w:fill="auto"/>
            <w:noWrap/>
            <w:vAlign w:val="bottom"/>
          </w:tcPr>
          <w:p w:rsidR="00DD09C1" w:rsidRPr="00DF62D8" w:rsidRDefault="00DD09C1" w:rsidP="00DD09C1">
            <w:pPr>
              <w:pStyle w:val="Tabletext"/>
            </w:pPr>
            <w:r w:rsidRPr="00DF62D8">
              <w:t>T</w:t>
            </w:r>
            <w:r>
              <w:t>as.</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0.8</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0.7</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1.5</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0.4</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1.0</w:t>
            </w:r>
          </w:p>
        </w:tc>
        <w:tc>
          <w:tcPr>
            <w:tcW w:w="709" w:type="dxa"/>
            <w:tcBorders>
              <w:top w:val="nil"/>
              <w:left w:val="nil"/>
              <w:bottom w:val="nil"/>
              <w:right w:val="nil"/>
            </w:tcBorders>
            <w:shd w:val="clear" w:color="auto" w:fill="auto"/>
            <w:noWrap/>
            <w:vAlign w:val="bottom"/>
          </w:tcPr>
          <w:p w:rsidR="00DD09C1" w:rsidRPr="008C2144" w:rsidRDefault="00DD09C1" w:rsidP="00DD09C1">
            <w:pPr>
              <w:pStyle w:val="Tabletext"/>
              <w:tabs>
                <w:tab w:val="decimal" w:pos="227"/>
              </w:tabs>
            </w:pPr>
            <w:r w:rsidRPr="008C2144">
              <w:t>1.3</w:t>
            </w:r>
          </w:p>
        </w:tc>
      </w:tr>
      <w:tr w:rsidR="00DD09C1" w:rsidRPr="008C2144">
        <w:trPr>
          <w:trHeight w:val="276"/>
        </w:trPr>
        <w:tc>
          <w:tcPr>
            <w:tcW w:w="1415" w:type="dxa"/>
            <w:tcBorders>
              <w:top w:val="nil"/>
              <w:left w:val="nil"/>
              <w:right w:val="nil"/>
            </w:tcBorders>
            <w:shd w:val="clear" w:color="auto" w:fill="auto"/>
            <w:noWrap/>
            <w:vAlign w:val="bottom"/>
          </w:tcPr>
          <w:p w:rsidR="00DD09C1" w:rsidRPr="00DF62D8" w:rsidRDefault="00DD09C1" w:rsidP="00DD09C1">
            <w:pPr>
              <w:pStyle w:val="Tabletext"/>
            </w:pPr>
            <w:r w:rsidRPr="00DF62D8">
              <w:t>NT</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2.7</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4.1</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2.1</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3.2</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3.2</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3.3</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2.0</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3.7</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3.4</w:t>
            </w:r>
          </w:p>
        </w:tc>
        <w:tc>
          <w:tcPr>
            <w:tcW w:w="709" w:type="dxa"/>
            <w:tcBorders>
              <w:top w:val="nil"/>
              <w:left w:val="nil"/>
              <w:right w:val="nil"/>
            </w:tcBorders>
            <w:shd w:val="clear" w:color="auto" w:fill="auto"/>
            <w:noWrap/>
            <w:vAlign w:val="bottom"/>
          </w:tcPr>
          <w:p w:rsidR="00DD09C1" w:rsidRPr="008C2144" w:rsidRDefault="00DD09C1" w:rsidP="00DD09C1">
            <w:pPr>
              <w:pStyle w:val="Tabletext"/>
              <w:tabs>
                <w:tab w:val="decimal" w:pos="227"/>
              </w:tabs>
            </w:pPr>
            <w:r w:rsidRPr="008C2144">
              <w:t>3.6</w:t>
            </w:r>
          </w:p>
        </w:tc>
      </w:tr>
      <w:tr w:rsidR="00DD09C1" w:rsidRPr="008C2144">
        <w:trPr>
          <w:trHeight w:val="276"/>
        </w:trPr>
        <w:tc>
          <w:tcPr>
            <w:tcW w:w="1415" w:type="dxa"/>
            <w:tcBorders>
              <w:top w:val="nil"/>
              <w:left w:val="nil"/>
              <w:bottom w:val="single" w:sz="4" w:space="0" w:color="auto"/>
              <w:right w:val="nil"/>
            </w:tcBorders>
            <w:shd w:val="clear" w:color="auto" w:fill="auto"/>
            <w:noWrap/>
            <w:vAlign w:val="bottom"/>
          </w:tcPr>
          <w:p w:rsidR="00DD09C1" w:rsidRPr="00DF62D8" w:rsidRDefault="00DD09C1" w:rsidP="00DD09C1">
            <w:pPr>
              <w:pStyle w:val="Tabletext"/>
              <w:spacing w:after="40"/>
            </w:pPr>
            <w:r w:rsidRPr="00DF62D8">
              <w:t>ACT</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1.5</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2.1</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2.0</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2.3</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1.4</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2.3</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1.7</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1.6</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2.5</w:t>
            </w:r>
          </w:p>
        </w:tc>
        <w:tc>
          <w:tcPr>
            <w:tcW w:w="709" w:type="dxa"/>
            <w:tcBorders>
              <w:top w:val="nil"/>
              <w:left w:val="nil"/>
              <w:bottom w:val="single" w:sz="4" w:space="0" w:color="auto"/>
              <w:right w:val="nil"/>
            </w:tcBorders>
            <w:shd w:val="clear" w:color="auto" w:fill="auto"/>
            <w:noWrap/>
            <w:vAlign w:val="bottom"/>
          </w:tcPr>
          <w:p w:rsidR="00DD09C1" w:rsidRPr="008C2144" w:rsidRDefault="00DD09C1" w:rsidP="00DD09C1">
            <w:pPr>
              <w:pStyle w:val="Tabletext"/>
              <w:tabs>
                <w:tab w:val="decimal" w:pos="227"/>
              </w:tabs>
              <w:spacing w:after="40"/>
            </w:pPr>
            <w:r w:rsidRPr="008C2144">
              <w:t>4.9</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 xml:space="preserve">There was significant variation in the percentage of recently arrived workers represented in each tradesperson sub-group for 2001–06 (table 11). </w:t>
      </w:r>
    </w:p>
    <w:p w:rsidR="00DD09C1" w:rsidRDefault="00DD09C1" w:rsidP="00DD09C1">
      <w:pPr>
        <w:pStyle w:val="text0"/>
        <w:ind w:right="-151"/>
        <w:rPr>
          <w:lang w:val="en-US"/>
        </w:rPr>
      </w:pPr>
      <w:r>
        <w:rPr>
          <w:lang w:val="en-US"/>
        </w:rPr>
        <w:lastRenderedPageBreak/>
        <w:t xml:space="preserve">Capital cities had significantly higher percentages of recently arrived workers compared with the national average for trade occupations. The proportion of recently arrived workers in the mechanical tradespersons sub-group increased 1.3 percentage points to 4.9% in 2006; the proportion of electrical and electronics tradespersons increased 0.8 percentage points to 4.2% in 2006; and the proportion of food tradespersons increased 2.6 percentage points to 7.8% in 2006. Remote regions had a significantly higher percentage of recently arrived workers in the trade occupations. However, only mechanical tradespersons observed an increase over the period from 2.4% in 2001, which was actually below the national average at that time, to 4.6% in 2006, significantly above the national average for 2006. Of the states and territories, Western Australia had consistently higher percentages of recently arrived workers in the different trade sub-groups and all of them recorded an increase in the percentage of recently arrived workers during the period 2001–06. </w:t>
      </w:r>
    </w:p>
    <w:p w:rsidR="00DD09C1" w:rsidRDefault="00DD09C1" w:rsidP="00DD09C1">
      <w:pPr>
        <w:pStyle w:val="text0"/>
        <w:rPr>
          <w:lang w:val="en-US"/>
        </w:rPr>
      </w:pPr>
      <w:r>
        <w:rPr>
          <w:lang w:val="en-US"/>
        </w:rPr>
        <w:t xml:space="preserve">Western Australia appears to have higher-than-average percentages of its workforce recently arriving from overseas and has received particular attention because of anecdotal evidence focused on its particular importance for the mining boom. </w:t>
      </w:r>
    </w:p>
    <w:p w:rsidR="00DD09C1" w:rsidRDefault="00DD09C1" w:rsidP="00DD09C1">
      <w:pPr>
        <w:pStyle w:val="text0"/>
        <w:rPr>
          <w:lang w:val="en-US"/>
        </w:rPr>
      </w:pPr>
      <w:r>
        <w:rPr>
          <w:lang w:val="en-US"/>
        </w:rPr>
        <w:t xml:space="preserve">In Western Australia, the proportion of recently arrived workers in the tradespersons and related workers sub-group increased by 1.9% to 6% in 2006; mechanical tradespersons observed a remarkable increase over the period, up 2.7% to 6.8% in 2006. Although the percentage of recently arrived workers was low in 2001 for automotive tradespersons, the percentage increased significantly to 4.3% in 2006; the proportion of recently arrived workers in the electrical and electronic sub-group rose 1.6% to 5.5% in 2006; the percentage of overseas tradespersons in construction was unremarkable in 2001, but observed a significant increase over the period of 1.9% to 5.2% in 2006; and lastly the proportion of tradespersons in the food sub-group rose dramatically—up 2.1% over the period to 6.6% in 2006. </w:t>
      </w:r>
    </w:p>
    <w:p w:rsidR="00DD09C1" w:rsidRDefault="00DD09C1" w:rsidP="00DD09C1">
      <w:pPr>
        <w:pStyle w:val="text0"/>
        <w:rPr>
          <w:lang w:val="en-US"/>
        </w:rPr>
      </w:pPr>
      <w:r>
        <w:rPr>
          <w:lang w:val="en-US"/>
        </w:rPr>
        <w:t xml:space="preserve">A more detailed examination of the dispersion of recently arrived workers in the state reveals further important patterns (table 12). </w:t>
      </w:r>
    </w:p>
    <w:p w:rsidR="00DD09C1" w:rsidRPr="00BD6FFE" w:rsidRDefault="00DD09C1" w:rsidP="00DD09C1">
      <w:pPr>
        <w:pStyle w:val="tabletitle"/>
      </w:pPr>
      <w:bookmarkStart w:id="97" w:name="_Toc139109099"/>
      <w:r>
        <w:rPr>
          <w:lang w:val="en-US"/>
        </w:rPr>
        <w:t>Table 12</w:t>
      </w:r>
      <w:r>
        <w:rPr>
          <w:lang w:val="en-US"/>
        </w:rPr>
        <w:tab/>
      </w:r>
      <w:r w:rsidRPr="00BD6FFE">
        <w:rPr>
          <w:lang w:val="en-US"/>
        </w:rPr>
        <w:t xml:space="preserve"> Recently arrived workers </w:t>
      </w:r>
      <w:r>
        <w:rPr>
          <w:lang w:val="en-US"/>
        </w:rPr>
        <w:t xml:space="preserve">from overseas </w:t>
      </w:r>
      <w:r w:rsidRPr="00BD6FFE">
        <w:rPr>
          <w:lang w:val="en-US"/>
        </w:rPr>
        <w:t>as a p</w:t>
      </w:r>
      <w:r>
        <w:rPr>
          <w:lang w:val="en-US"/>
        </w:rPr>
        <w:t>ercentage</w:t>
      </w:r>
      <w:r w:rsidRPr="00BD6FFE">
        <w:rPr>
          <w:lang w:val="en-US"/>
        </w:rPr>
        <w:t xml:space="preserve"> of the total, Western Australia</w:t>
      </w:r>
      <w:bookmarkEnd w:id="97"/>
    </w:p>
    <w:tbl>
      <w:tblPr>
        <w:tblW w:w="8505" w:type="dxa"/>
        <w:tblInd w:w="96" w:type="dxa"/>
        <w:tblLayout w:type="fixed"/>
        <w:tblLook w:val="0000"/>
      </w:tblPr>
      <w:tblGrid>
        <w:gridCol w:w="1146"/>
        <w:gridCol w:w="735"/>
        <w:gridCol w:w="736"/>
        <w:gridCol w:w="736"/>
        <w:gridCol w:w="736"/>
        <w:gridCol w:w="736"/>
        <w:gridCol w:w="736"/>
        <w:gridCol w:w="736"/>
        <w:gridCol w:w="736"/>
        <w:gridCol w:w="736"/>
        <w:gridCol w:w="736"/>
      </w:tblGrid>
      <w:tr w:rsidR="00DD09C1" w:rsidRPr="00CD5DB4">
        <w:trPr>
          <w:trHeight w:val="276"/>
        </w:trPr>
        <w:tc>
          <w:tcPr>
            <w:tcW w:w="1146" w:type="dxa"/>
            <w:tcBorders>
              <w:top w:val="single" w:sz="4" w:space="0" w:color="auto"/>
              <w:left w:val="nil"/>
              <w:bottom w:val="nil"/>
              <w:right w:val="nil"/>
            </w:tcBorders>
            <w:shd w:val="clear" w:color="auto" w:fill="auto"/>
            <w:noWrap/>
            <w:tcMar>
              <w:right w:w="0" w:type="dxa"/>
            </w:tcMar>
          </w:tcPr>
          <w:p w:rsidR="00DD09C1" w:rsidRPr="00CD5DB4" w:rsidRDefault="00DD09C1" w:rsidP="00DD09C1">
            <w:pPr>
              <w:pStyle w:val="Tablehead1"/>
            </w:pPr>
          </w:p>
        </w:tc>
        <w:tc>
          <w:tcPr>
            <w:tcW w:w="1471" w:type="dxa"/>
            <w:gridSpan w:val="2"/>
            <w:tcBorders>
              <w:top w:val="single" w:sz="4" w:space="0" w:color="auto"/>
              <w:left w:val="nil"/>
              <w:bottom w:val="nil"/>
              <w:right w:val="nil"/>
            </w:tcBorders>
            <w:shd w:val="clear" w:color="auto" w:fill="auto"/>
            <w:noWrap/>
          </w:tcPr>
          <w:p w:rsidR="00DD09C1" w:rsidRPr="00CD5DB4" w:rsidRDefault="00DD09C1" w:rsidP="00DD09C1">
            <w:pPr>
              <w:pStyle w:val="Tablehead1"/>
              <w:jc w:val="center"/>
            </w:pPr>
            <w:r w:rsidRPr="00CD5DB4">
              <w:t>Perth</w:t>
            </w:r>
          </w:p>
        </w:tc>
        <w:tc>
          <w:tcPr>
            <w:tcW w:w="1472" w:type="dxa"/>
            <w:gridSpan w:val="2"/>
            <w:tcBorders>
              <w:top w:val="single" w:sz="4" w:space="0" w:color="auto"/>
              <w:left w:val="nil"/>
              <w:bottom w:val="nil"/>
              <w:right w:val="nil"/>
            </w:tcBorders>
            <w:shd w:val="clear" w:color="auto" w:fill="auto"/>
            <w:noWrap/>
          </w:tcPr>
          <w:p w:rsidR="00DD09C1" w:rsidRPr="00CD5DB4" w:rsidRDefault="00DD09C1" w:rsidP="00DD09C1">
            <w:pPr>
              <w:pStyle w:val="Tablehead1"/>
              <w:jc w:val="center"/>
            </w:pPr>
            <w:r w:rsidRPr="00CD5DB4">
              <w:t>Coastal</w:t>
            </w:r>
          </w:p>
        </w:tc>
        <w:tc>
          <w:tcPr>
            <w:tcW w:w="1472" w:type="dxa"/>
            <w:gridSpan w:val="2"/>
            <w:tcBorders>
              <w:top w:val="single" w:sz="4" w:space="0" w:color="auto"/>
              <w:left w:val="nil"/>
              <w:bottom w:val="nil"/>
              <w:right w:val="nil"/>
            </w:tcBorders>
            <w:shd w:val="clear" w:color="auto" w:fill="auto"/>
            <w:noWrap/>
          </w:tcPr>
          <w:p w:rsidR="00DD09C1" w:rsidRPr="00CD5DB4" w:rsidRDefault="00DD09C1" w:rsidP="00DD09C1">
            <w:pPr>
              <w:pStyle w:val="Tablehead1"/>
              <w:jc w:val="center"/>
            </w:pPr>
            <w:r w:rsidRPr="00CD5DB4">
              <w:t>Inland</w:t>
            </w:r>
          </w:p>
        </w:tc>
        <w:tc>
          <w:tcPr>
            <w:tcW w:w="1472" w:type="dxa"/>
            <w:gridSpan w:val="2"/>
            <w:tcBorders>
              <w:top w:val="single" w:sz="4" w:space="0" w:color="auto"/>
              <w:left w:val="nil"/>
              <w:bottom w:val="nil"/>
              <w:right w:val="nil"/>
            </w:tcBorders>
            <w:shd w:val="clear" w:color="auto" w:fill="auto"/>
            <w:noWrap/>
          </w:tcPr>
          <w:p w:rsidR="00DD09C1" w:rsidRPr="00CD5DB4" w:rsidRDefault="00DD09C1" w:rsidP="00DD09C1">
            <w:pPr>
              <w:pStyle w:val="Tablehead1"/>
              <w:jc w:val="center"/>
            </w:pPr>
            <w:r w:rsidRPr="00CD5DB4">
              <w:t>Remote</w:t>
            </w:r>
          </w:p>
        </w:tc>
        <w:tc>
          <w:tcPr>
            <w:tcW w:w="1472" w:type="dxa"/>
            <w:gridSpan w:val="2"/>
            <w:tcBorders>
              <w:top w:val="single" w:sz="4" w:space="0" w:color="auto"/>
              <w:left w:val="nil"/>
              <w:bottom w:val="nil"/>
              <w:right w:val="nil"/>
            </w:tcBorders>
            <w:shd w:val="clear" w:color="auto" w:fill="auto"/>
            <w:noWrap/>
          </w:tcPr>
          <w:p w:rsidR="00DD09C1" w:rsidRPr="00CD5DB4" w:rsidRDefault="00DD09C1" w:rsidP="00DD09C1">
            <w:pPr>
              <w:pStyle w:val="Tablehead1"/>
              <w:jc w:val="center"/>
            </w:pPr>
            <w:r w:rsidRPr="00CD5DB4">
              <w:t>Australia</w:t>
            </w:r>
          </w:p>
        </w:tc>
      </w:tr>
      <w:tr w:rsidR="00DD09C1" w:rsidRPr="00CD5DB4">
        <w:trPr>
          <w:trHeight w:val="276"/>
        </w:trPr>
        <w:tc>
          <w:tcPr>
            <w:tcW w:w="1146" w:type="dxa"/>
            <w:tcBorders>
              <w:top w:val="nil"/>
              <w:left w:val="nil"/>
              <w:bottom w:val="single" w:sz="4" w:space="0" w:color="auto"/>
              <w:right w:val="nil"/>
            </w:tcBorders>
            <w:shd w:val="clear" w:color="auto" w:fill="auto"/>
            <w:noWrap/>
            <w:tcMar>
              <w:right w:w="0" w:type="dxa"/>
            </w:tcMar>
          </w:tcPr>
          <w:p w:rsidR="00DD09C1" w:rsidRPr="00CD5DB4" w:rsidRDefault="00DD09C1" w:rsidP="00DD09C1">
            <w:pPr>
              <w:pStyle w:val="Tablehead2"/>
            </w:pPr>
          </w:p>
        </w:tc>
        <w:tc>
          <w:tcPr>
            <w:tcW w:w="735"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2001</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2006</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2001</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2006</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2001</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2006</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2001</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2006</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2001</w:t>
            </w:r>
          </w:p>
        </w:tc>
        <w:tc>
          <w:tcPr>
            <w:tcW w:w="736" w:type="dxa"/>
            <w:tcBorders>
              <w:top w:val="nil"/>
              <w:left w:val="nil"/>
              <w:bottom w:val="single" w:sz="4" w:space="0" w:color="auto"/>
              <w:right w:val="nil"/>
            </w:tcBorders>
            <w:shd w:val="clear" w:color="auto" w:fill="auto"/>
            <w:noWrap/>
          </w:tcPr>
          <w:p w:rsidR="00DD09C1" w:rsidRPr="00CD5DB4" w:rsidRDefault="00DD09C1" w:rsidP="00DD09C1">
            <w:pPr>
              <w:pStyle w:val="Tablehead2"/>
              <w:jc w:val="center"/>
            </w:pPr>
            <w:r w:rsidRPr="00CD5DB4">
              <w:t>2006</w:t>
            </w:r>
          </w:p>
        </w:tc>
      </w:tr>
      <w:tr w:rsidR="00DD09C1">
        <w:trPr>
          <w:trHeight w:val="276"/>
        </w:trPr>
        <w:tc>
          <w:tcPr>
            <w:tcW w:w="1146" w:type="dxa"/>
            <w:tcBorders>
              <w:top w:val="single" w:sz="4" w:space="0" w:color="auto"/>
              <w:left w:val="nil"/>
              <w:bottom w:val="nil"/>
              <w:right w:val="nil"/>
            </w:tcBorders>
            <w:shd w:val="clear" w:color="auto" w:fill="auto"/>
            <w:noWrap/>
            <w:tcMar>
              <w:right w:w="0" w:type="dxa"/>
            </w:tcMar>
          </w:tcPr>
          <w:p w:rsidR="00DD09C1" w:rsidRPr="00674440" w:rsidRDefault="00DD09C1" w:rsidP="00DD09C1">
            <w:pPr>
              <w:pStyle w:val="Tabletext"/>
            </w:pPr>
            <w:r>
              <w:t>Related w</w:t>
            </w:r>
            <w:r w:rsidRPr="00674440">
              <w:t xml:space="preserve">orkers </w:t>
            </w:r>
            <w:proofErr w:type="spellStart"/>
            <w:r w:rsidRPr="00674440">
              <w:t>nfd</w:t>
            </w:r>
            <w:proofErr w:type="spellEnd"/>
          </w:p>
        </w:tc>
        <w:tc>
          <w:tcPr>
            <w:tcW w:w="735"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4.6</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6.3</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1.6</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3.0</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0.0</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3.9</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5.3</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5.8</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3.0</w:t>
            </w:r>
          </w:p>
        </w:tc>
        <w:tc>
          <w:tcPr>
            <w:tcW w:w="736" w:type="dxa"/>
            <w:tcBorders>
              <w:top w:val="single" w:sz="4" w:space="0" w:color="auto"/>
              <w:left w:val="nil"/>
              <w:bottom w:val="nil"/>
              <w:right w:val="nil"/>
            </w:tcBorders>
            <w:shd w:val="clear" w:color="auto" w:fill="auto"/>
            <w:noWrap/>
          </w:tcPr>
          <w:p w:rsidR="00DD09C1" w:rsidRDefault="00DD09C1" w:rsidP="00DD09C1">
            <w:pPr>
              <w:pStyle w:val="Tabletext"/>
              <w:tabs>
                <w:tab w:val="decimal" w:pos="227"/>
              </w:tabs>
            </w:pPr>
            <w:r>
              <w:t>3.9</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 xml:space="preserve">Mechanical </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5.0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7.6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1.1</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3.1</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3.3</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6.5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3.7</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Automotive</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3.2</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0.4</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1.4</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4.9</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2.5</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 xml:space="preserve">Electrical </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4.5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6.3</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2.4</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3.2</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3.4</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 xml:space="preserve">Construction </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3.9</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5.8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3.3</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0.4</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4.2</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3.0</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 xml:space="preserve">Food </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5.4</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6.3</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6.7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8.3</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7.7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5.7</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rsidRPr="00674440">
              <w:t>Agricultural</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2.7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1.9</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3.1</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2.9</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1.8</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2.2</w:t>
            </w:r>
          </w:p>
        </w:tc>
      </w:tr>
      <w:tr w:rsidR="00DD09C1">
        <w:trPr>
          <w:trHeight w:val="276"/>
        </w:trPr>
        <w:tc>
          <w:tcPr>
            <w:tcW w:w="1146" w:type="dxa"/>
            <w:tcBorders>
              <w:top w:val="nil"/>
              <w:left w:val="nil"/>
              <w:bottom w:val="nil"/>
              <w:right w:val="nil"/>
            </w:tcBorders>
            <w:shd w:val="clear" w:color="auto" w:fill="auto"/>
            <w:noWrap/>
            <w:tcMar>
              <w:right w:w="0" w:type="dxa"/>
            </w:tcMar>
          </w:tcPr>
          <w:p w:rsidR="00DD09C1" w:rsidRPr="00674440" w:rsidRDefault="00DD09C1" w:rsidP="00DD09C1">
            <w:pPr>
              <w:pStyle w:val="Tabletext"/>
            </w:pPr>
            <w:r>
              <w:t>Other t</w:t>
            </w:r>
            <w:r w:rsidRPr="00674440">
              <w:t>radespersons</w:t>
            </w:r>
          </w:p>
        </w:tc>
        <w:tc>
          <w:tcPr>
            <w:tcW w:w="735" w:type="dxa"/>
            <w:tcBorders>
              <w:top w:val="nil"/>
              <w:left w:val="nil"/>
              <w:bottom w:val="nil"/>
              <w:right w:val="nil"/>
            </w:tcBorders>
            <w:shd w:val="clear" w:color="auto" w:fill="auto"/>
            <w:noWrap/>
          </w:tcPr>
          <w:p w:rsidR="00DD09C1" w:rsidRDefault="00DD09C1" w:rsidP="00DD09C1">
            <w:pPr>
              <w:pStyle w:val="Tabletext"/>
              <w:tabs>
                <w:tab w:val="decimal" w:pos="227"/>
              </w:tabs>
            </w:pPr>
            <w:r>
              <w:t>4.0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5.0</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1.2</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2.6</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1.5</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4.1</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4.7</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2.9</w:t>
            </w:r>
          </w:p>
        </w:tc>
        <w:tc>
          <w:tcPr>
            <w:tcW w:w="736" w:type="dxa"/>
            <w:tcBorders>
              <w:top w:val="nil"/>
              <w:left w:val="nil"/>
              <w:bottom w:val="nil"/>
              <w:right w:val="nil"/>
            </w:tcBorders>
            <w:shd w:val="clear" w:color="auto" w:fill="auto"/>
            <w:noWrap/>
          </w:tcPr>
          <w:p w:rsidR="00DD09C1" w:rsidRDefault="00DD09C1" w:rsidP="00DD09C1">
            <w:pPr>
              <w:pStyle w:val="Tabletext"/>
              <w:tabs>
                <w:tab w:val="decimal" w:pos="227"/>
              </w:tabs>
            </w:pPr>
            <w:r>
              <w:t>3.3</w:t>
            </w:r>
          </w:p>
        </w:tc>
      </w:tr>
      <w:tr w:rsidR="00DD09C1" w:rsidRPr="00CD5DB4">
        <w:trPr>
          <w:trHeight w:val="276"/>
        </w:trPr>
        <w:tc>
          <w:tcPr>
            <w:tcW w:w="1146" w:type="dxa"/>
            <w:tcBorders>
              <w:top w:val="nil"/>
              <w:left w:val="nil"/>
              <w:right w:val="nil"/>
            </w:tcBorders>
            <w:shd w:val="clear" w:color="auto" w:fill="auto"/>
            <w:noWrap/>
            <w:tcMar>
              <w:right w:w="0" w:type="dxa"/>
            </w:tcMar>
          </w:tcPr>
          <w:p w:rsidR="00DD09C1" w:rsidRPr="00CD5DB4" w:rsidRDefault="00DD09C1" w:rsidP="00DD09C1">
            <w:pPr>
              <w:pStyle w:val="Tabletext"/>
              <w:rPr>
                <w:b/>
              </w:rPr>
            </w:pPr>
            <w:r w:rsidRPr="00CD5DB4">
              <w:rPr>
                <w:b/>
              </w:rPr>
              <w:t>Total trades</w:t>
            </w:r>
          </w:p>
        </w:tc>
        <w:tc>
          <w:tcPr>
            <w:tcW w:w="735"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4.2</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5.9</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1.7</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3.6</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1.5</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2.8</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3.0</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5.2</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2.7</w:t>
            </w:r>
          </w:p>
        </w:tc>
        <w:tc>
          <w:tcPr>
            <w:tcW w:w="736" w:type="dxa"/>
            <w:tcBorders>
              <w:top w:val="nil"/>
              <w:left w:val="nil"/>
              <w:right w:val="nil"/>
            </w:tcBorders>
            <w:shd w:val="clear" w:color="auto" w:fill="auto"/>
            <w:noWrap/>
          </w:tcPr>
          <w:p w:rsidR="00DD09C1" w:rsidRPr="00CD5DB4" w:rsidRDefault="00DD09C1" w:rsidP="00DD09C1">
            <w:pPr>
              <w:pStyle w:val="Tabletext"/>
              <w:tabs>
                <w:tab w:val="decimal" w:pos="227"/>
              </w:tabs>
              <w:rPr>
                <w:b/>
              </w:rPr>
            </w:pPr>
            <w:r w:rsidRPr="00CD5DB4">
              <w:rPr>
                <w:b/>
              </w:rPr>
              <w:t>3.4</w:t>
            </w:r>
          </w:p>
        </w:tc>
      </w:tr>
      <w:tr w:rsidR="00DD09C1">
        <w:trPr>
          <w:trHeight w:val="276"/>
        </w:trPr>
        <w:tc>
          <w:tcPr>
            <w:tcW w:w="1146" w:type="dxa"/>
            <w:tcBorders>
              <w:top w:val="nil"/>
              <w:left w:val="nil"/>
              <w:bottom w:val="single" w:sz="4" w:space="0" w:color="auto"/>
              <w:right w:val="nil"/>
            </w:tcBorders>
            <w:shd w:val="clear" w:color="auto" w:fill="auto"/>
            <w:noWrap/>
            <w:tcMar>
              <w:right w:w="0" w:type="dxa"/>
            </w:tcMar>
          </w:tcPr>
          <w:p w:rsidR="00DD09C1" w:rsidRPr="00674440" w:rsidRDefault="00DD09C1" w:rsidP="00DD09C1">
            <w:pPr>
              <w:pStyle w:val="Tabletext"/>
              <w:spacing w:after="40"/>
            </w:pPr>
            <w:r>
              <w:t>All other e</w:t>
            </w:r>
            <w:r w:rsidRPr="00674440">
              <w:t xml:space="preserve">mployed </w:t>
            </w:r>
          </w:p>
        </w:tc>
        <w:tc>
          <w:tcPr>
            <w:tcW w:w="735"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5.0</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6.4</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2.0</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3.0</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1.6</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2.1</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3.2</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4.4</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3.9</w:t>
            </w:r>
          </w:p>
        </w:tc>
        <w:tc>
          <w:tcPr>
            <w:tcW w:w="736" w:type="dxa"/>
            <w:tcBorders>
              <w:top w:val="nil"/>
              <w:left w:val="nil"/>
              <w:bottom w:val="single" w:sz="4" w:space="0" w:color="auto"/>
              <w:right w:val="nil"/>
            </w:tcBorders>
            <w:shd w:val="clear" w:color="auto" w:fill="auto"/>
            <w:noWrap/>
          </w:tcPr>
          <w:p w:rsidR="00DD09C1" w:rsidRDefault="00DD09C1" w:rsidP="00DD09C1">
            <w:pPr>
              <w:pStyle w:val="Tabletext"/>
              <w:tabs>
                <w:tab w:val="decimal" w:pos="227"/>
              </w:tabs>
              <w:spacing w:after="40"/>
            </w:pPr>
            <w:r>
              <w:t>4.7</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 xml:space="preserve">Significantly larger proportions of migrant workers have chosen to locate themselves either in Perth or remote regions, and in some instances the growth over the period 2001–06 has been quite dramatic. For example, mechanical tradespersons recorded a 2.6% increase in recently arrived workers to 7.6% in 2006. Similarly, recently arrived workers in remote regions went from 3.3% to 6.5% of the workforce over the period. The percentage of recently arrived workers in the automotive sub-group in Perth went from 3.2% in 2001 to 4.7% in 2006 and in remote regions was up nearly 3%. For electrical tradespersons in Perth the increase was 1.8% over the period to 6.3% </w:t>
      </w:r>
      <w:r>
        <w:rPr>
          <w:lang w:val="en-US"/>
        </w:rPr>
        <w:lastRenderedPageBreak/>
        <w:t xml:space="preserve">in 2006. Likewise, the proportion of recently arrived workers in remote regions also increased to 4.5%, up 1.3% over the period. </w:t>
      </w:r>
    </w:p>
    <w:p w:rsidR="00DD09C1" w:rsidRDefault="00DD09C1" w:rsidP="00DD09C1">
      <w:pPr>
        <w:pStyle w:val="text0"/>
        <w:rPr>
          <w:lang w:val="en-US"/>
        </w:rPr>
      </w:pPr>
      <w:r>
        <w:rPr>
          <w:lang w:val="en-US"/>
        </w:rPr>
        <w:t xml:space="preserve">The construction trade workforce also saw a quite dramatic increase in the percentage of recently arrived workers, increasing in 2006 by 1.9% to 5.8% in Perth and by 2.7% to 4.2% in remote regions of Western Australia. </w:t>
      </w:r>
    </w:p>
    <w:p w:rsidR="00DD09C1" w:rsidRDefault="00DD09C1" w:rsidP="00DD09C1">
      <w:pPr>
        <w:pStyle w:val="text0"/>
        <w:rPr>
          <w:lang w:val="en-US"/>
        </w:rPr>
      </w:pPr>
      <w:r>
        <w:rPr>
          <w:lang w:val="en-US"/>
        </w:rPr>
        <w:t xml:space="preserve">The food trade workforce experienced the most remarkable increase in the percentage of recently arrived workers of any of the trades, observed across all regions of Western Australia. In inland Western Australia, the proportion of recently arrived food workers increased from 2.5% in 2001 to 8.3% in 2006, up 5.8%. Similarly, the proportion of recently arrived food workers in remote Western Australia increased to 7.7% in 2006, up 5.1% over the period. The proportion of recently arrived food workers in coastal Western Australia rose 4% to 6.7% in 2006, and Perth, while not quite so dramatic, still increased its percentage of the food trade workforce recently arrived from overseas by 0.9% to 6.3% in 2006. </w:t>
      </w:r>
    </w:p>
    <w:p w:rsidR="00DD09C1" w:rsidRDefault="00DD09C1" w:rsidP="00DD09C1">
      <w:pPr>
        <w:pStyle w:val="text0"/>
        <w:rPr>
          <w:lang w:val="en-US"/>
        </w:rPr>
      </w:pPr>
      <w:r>
        <w:rPr>
          <w:lang w:val="en-US"/>
        </w:rPr>
        <w:t>In summary, migrants played a very important role in facilitating the economic development of urban Western Australia and in the mining boom in remote Western Australia.</w:t>
      </w:r>
    </w:p>
    <w:p w:rsidR="00DD09C1" w:rsidRPr="00F24BA8" w:rsidRDefault="00DD09C1" w:rsidP="00DD09C1">
      <w:pPr>
        <w:pStyle w:val="Heading3"/>
        <w:rPr>
          <w:lang w:val="en-US"/>
        </w:rPr>
      </w:pPr>
      <w:r w:rsidRPr="00F24BA8">
        <w:rPr>
          <w:lang w:val="en-US"/>
        </w:rPr>
        <w:t>Internal mobility</w:t>
      </w:r>
    </w:p>
    <w:p w:rsidR="00DD09C1" w:rsidRDefault="00DD09C1" w:rsidP="00DD09C1">
      <w:pPr>
        <w:pStyle w:val="text-lessbefore"/>
        <w:rPr>
          <w:lang w:val="en-US"/>
        </w:rPr>
      </w:pPr>
      <w:r w:rsidRPr="00B8501A">
        <w:rPr>
          <w:lang w:val="en-US"/>
        </w:rPr>
        <w:t>Ther</w:t>
      </w:r>
      <w:r>
        <w:rPr>
          <w:lang w:val="en-US"/>
        </w:rPr>
        <w:t>e is anecdotal, but largely unsubstantiated</w:t>
      </w:r>
      <w:r w:rsidRPr="00B8501A">
        <w:rPr>
          <w:lang w:val="en-US"/>
        </w:rPr>
        <w:t xml:space="preserve"> </w:t>
      </w:r>
      <w:r>
        <w:rPr>
          <w:lang w:val="en-US"/>
        </w:rPr>
        <w:t>evidence of internal mobility of tradespersons. This could range from commuting between regions on a regular basis to the more extreme fly-in and fly-out patterns often associated with remote mining regions. This issue is examined in table 13. It should be read as follows: the cells are the percentage of those who work in a region by their place of residence. As examples, of all the people who work in capital cities, 95.5% live in capital cities and of those who work in coastal regions 3.1% live in inland regions.</w:t>
      </w:r>
    </w:p>
    <w:p w:rsidR="00DD09C1" w:rsidRDefault="00DD09C1" w:rsidP="00DD09C1">
      <w:pPr>
        <w:pStyle w:val="tabletitle"/>
        <w:ind w:right="558"/>
        <w:rPr>
          <w:lang w:val="en-US"/>
        </w:rPr>
      </w:pPr>
      <w:bookmarkStart w:id="98" w:name="_Toc139109100"/>
      <w:r w:rsidRPr="00A3738A">
        <w:t>Table</w:t>
      </w:r>
      <w:r>
        <w:rPr>
          <w:lang w:val="en-US"/>
        </w:rPr>
        <w:t xml:space="preserve"> 13</w:t>
      </w:r>
      <w:r>
        <w:rPr>
          <w:lang w:val="en-US"/>
        </w:rPr>
        <w:tab/>
        <w:t>Place of work by place of usual residence, percentage of the total tradespersons’ workforce, 2006</w:t>
      </w:r>
      <w:bookmarkEnd w:id="98"/>
    </w:p>
    <w:tbl>
      <w:tblPr>
        <w:tblW w:w="8517" w:type="dxa"/>
        <w:tblInd w:w="96" w:type="dxa"/>
        <w:tblLayout w:type="fixed"/>
        <w:tblLook w:val="0000"/>
      </w:tblPr>
      <w:tblGrid>
        <w:gridCol w:w="1983"/>
        <w:gridCol w:w="1306"/>
        <w:gridCol w:w="1307"/>
        <w:gridCol w:w="1307"/>
        <w:gridCol w:w="1307"/>
        <w:gridCol w:w="1307"/>
      </w:tblGrid>
      <w:tr w:rsidR="00DD09C1" w:rsidRPr="00B46783">
        <w:trPr>
          <w:trHeight w:val="276"/>
        </w:trPr>
        <w:tc>
          <w:tcPr>
            <w:tcW w:w="1983" w:type="dxa"/>
            <w:vMerge w:val="restart"/>
            <w:tcBorders>
              <w:top w:val="single" w:sz="4" w:space="0" w:color="auto"/>
              <w:left w:val="nil"/>
              <w:right w:val="nil"/>
            </w:tcBorders>
            <w:shd w:val="clear" w:color="auto" w:fill="auto"/>
            <w:noWrap/>
          </w:tcPr>
          <w:p w:rsidR="00DD09C1" w:rsidRPr="00B46783" w:rsidRDefault="00DD09C1" w:rsidP="00DD09C1">
            <w:pPr>
              <w:pStyle w:val="Tablehead1"/>
            </w:pPr>
            <w:r w:rsidRPr="00B46783">
              <w:t>Place of residence</w:t>
            </w:r>
          </w:p>
        </w:tc>
        <w:tc>
          <w:tcPr>
            <w:tcW w:w="6534" w:type="dxa"/>
            <w:gridSpan w:val="5"/>
            <w:tcBorders>
              <w:top w:val="single" w:sz="4" w:space="0" w:color="auto"/>
              <w:left w:val="nil"/>
              <w:bottom w:val="nil"/>
              <w:right w:val="nil"/>
            </w:tcBorders>
            <w:shd w:val="clear" w:color="auto" w:fill="auto"/>
            <w:noWrap/>
          </w:tcPr>
          <w:p w:rsidR="00DD09C1" w:rsidRPr="00B46783" w:rsidRDefault="00DD09C1" w:rsidP="00DD09C1">
            <w:pPr>
              <w:pStyle w:val="Tablehead1"/>
              <w:jc w:val="center"/>
            </w:pPr>
            <w:r w:rsidRPr="00B46783">
              <w:t>Place of work</w:t>
            </w:r>
          </w:p>
        </w:tc>
      </w:tr>
      <w:tr w:rsidR="00DD09C1">
        <w:trPr>
          <w:trHeight w:val="276"/>
        </w:trPr>
        <w:tc>
          <w:tcPr>
            <w:tcW w:w="1983" w:type="dxa"/>
            <w:vMerge/>
            <w:tcBorders>
              <w:left w:val="nil"/>
              <w:bottom w:val="single" w:sz="4" w:space="0" w:color="auto"/>
              <w:right w:val="nil"/>
            </w:tcBorders>
            <w:shd w:val="clear" w:color="auto" w:fill="auto"/>
            <w:noWrap/>
          </w:tcPr>
          <w:p w:rsidR="00DD09C1" w:rsidRPr="00971690" w:rsidRDefault="00DD09C1" w:rsidP="00DD09C1">
            <w:pPr>
              <w:pStyle w:val="Tablehead2"/>
              <w:rPr>
                <w:b/>
              </w:rPr>
            </w:pPr>
          </w:p>
        </w:tc>
        <w:tc>
          <w:tcPr>
            <w:tcW w:w="1306" w:type="dxa"/>
            <w:tcBorders>
              <w:top w:val="nil"/>
              <w:left w:val="nil"/>
              <w:bottom w:val="single" w:sz="4" w:space="0" w:color="auto"/>
              <w:right w:val="nil"/>
            </w:tcBorders>
            <w:shd w:val="clear" w:color="auto" w:fill="auto"/>
            <w:noWrap/>
          </w:tcPr>
          <w:p w:rsidR="00DD09C1" w:rsidRPr="00B46783" w:rsidRDefault="00DD09C1" w:rsidP="00DD09C1">
            <w:pPr>
              <w:pStyle w:val="Tablehead2"/>
              <w:jc w:val="center"/>
            </w:pPr>
            <w:r w:rsidRPr="00B46783">
              <w:t xml:space="preserve">Capital </w:t>
            </w:r>
            <w:r>
              <w:br/>
            </w:r>
            <w:r w:rsidRPr="00B46783">
              <w:t>cities</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head2"/>
              <w:jc w:val="center"/>
            </w:pPr>
            <w:r w:rsidRPr="00B46783">
              <w:t>Other metropolitan</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head2"/>
              <w:jc w:val="center"/>
            </w:pPr>
            <w:r w:rsidRPr="00B46783">
              <w:t>Coastal</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head2"/>
              <w:jc w:val="center"/>
            </w:pPr>
            <w:r w:rsidRPr="00B46783">
              <w:t>Inland</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head2"/>
              <w:jc w:val="center"/>
            </w:pPr>
            <w:r w:rsidRPr="00B46783">
              <w:t>Remote</w:t>
            </w:r>
          </w:p>
        </w:tc>
      </w:tr>
      <w:tr w:rsidR="00DD09C1" w:rsidRPr="00B46783">
        <w:tc>
          <w:tcPr>
            <w:tcW w:w="1983" w:type="dxa"/>
            <w:tcBorders>
              <w:top w:val="single" w:sz="4" w:space="0" w:color="auto"/>
              <w:left w:val="nil"/>
              <w:bottom w:val="nil"/>
              <w:right w:val="nil"/>
            </w:tcBorders>
            <w:shd w:val="clear" w:color="auto" w:fill="auto"/>
            <w:noWrap/>
          </w:tcPr>
          <w:p w:rsidR="00DD09C1" w:rsidRPr="00B46783" w:rsidRDefault="00DD09C1" w:rsidP="00DD09C1">
            <w:pPr>
              <w:pStyle w:val="Tabletext"/>
            </w:pPr>
            <w:r w:rsidRPr="00B46783">
              <w:t>Capital cities</w:t>
            </w:r>
          </w:p>
        </w:tc>
        <w:tc>
          <w:tcPr>
            <w:tcW w:w="1306" w:type="dxa"/>
            <w:tcBorders>
              <w:top w:val="single" w:sz="4" w:space="0" w:color="auto"/>
              <w:left w:val="nil"/>
              <w:bottom w:val="nil"/>
              <w:right w:val="nil"/>
            </w:tcBorders>
            <w:shd w:val="clear" w:color="auto" w:fill="auto"/>
            <w:noWrap/>
          </w:tcPr>
          <w:p w:rsidR="00DD09C1" w:rsidRPr="00B46783" w:rsidRDefault="00DD09C1" w:rsidP="00DD09C1">
            <w:pPr>
              <w:pStyle w:val="Tabletext"/>
              <w:tabs>
                <w:tab w:val="decimal" w:pos="567"/>
              </w:tabs>
            </w:pPr>
            <w:r w:rsidRPr="00B46783">
              <w:t>95.5</w:t>
            </w:r>
          </w:p>
        </w:tc>
        <w:tc>
          <w:tcPr>
            <w:tcW w:w="1307" w:type="dxa"/>
            <w:tcBorders>
              <w:top w:val="single" w:sz="4" w:space="0" w:color="auto"/>
              <w:left w:val="nil"/>
              <w:bottom w:val="nil"/>
              <w:right w:val="nil"/>
            </w:tcBorders>
            <w:shd w:val="clear" w:color="auto" w:fill="auto"/>
            <w:noWrap/>
          </w:tcPr>
          <w:p w:rsidR="00DD09C1" w:rsidRPr="00B46783" w:rsidRDefault="00DD09C1" w:rsidP="00DD09C1">
            <w:pPr>
              <w:pStyle w:val="Tabletext"/>
              <w:tabs>
                <w:tab w:val="decimal" w:pos="567"/>
              </w:tabs>
            </w:pPr>
            <w:r w:rsidRPr="00B46783">
              <w:t>4.0</w:t>
            </w:r>
          </w:p>
        </w:tc>
        <w:tc>
          <w:tcPr>
            <w:tcW w:w="1307" w:type="dxa"/>
            <w:tcBorders>
              <w:top w:val="single" w:sz="4" w:space="0" w:color="auto"/>
              <w:left w:val="nil"/>
              <w:bottom w:val="nil"/>
              <w:right w:val="nil"/>
            </w:tcBorders>
            <w:shd w:val="clear" w:color="auto" w:fill="auto"/>
            <w:noWrap/>
          </w:tcPr>
          <w:p w:rsidR="00DD09C1" w:rsidRPr="00B46783" w:rsidRDefault="00DD09C1" w:rsidP="00DD09C1">
            <w:pPr>
              <w:pStyle w:val="Tabletext"/>
              <w:tabs>
                <w:tab w:val="decimal" w:pos="567"/>
              </w:tabs>
            </w:pPr>
            <w:r w:rsidRPr="00B46783">
              <w:t>3.3</w:t>
            </w:r>
          </w:p>
        </w:tc>
        <w:tc>
          <w:tcPr>
            <w:tcW w:w="1307" w:type="dxa"/>
            <w:tcBorders>
              <w:top w:val="single" w:sz="4" w:space="0" w:color="auto"/>
              <w:left w:val="nil"/>
              <w:bottom w:val="nil"/>
              <w:right w:val="nil"/>
            </w:tcBorders>
            <w:shd w:val="clear" w:color="auto" w:fill="auto"/>
            <w:noWrap/>
          </w:tcPr>
          <w:p w:rsidR="00DD09C1" w:rsidRPr="00B46783" w:rsidRDefault="00DD09C1" w:rsidP="00DD09C1">
            <w:pPr>
              <w:pStyle w:val="Tabletext"/>
              <w:tabs>
                <w:tab w:val="decimal" w:pos="567"/>
              </w:tabs>
            </w:pPr>
            <w:r w:rsidRPr="00B46783">
              <w:t>2.7</w:t>
            </w:r>
          </w:p>
        </w:tc>
        <w:tc>
          <w:tcPr>
            <w:tcW w:w="1307" w:type="dxa"/>
            <w:tcBorders>
              <w:top w:val="single" w:sz="4" w:space="0" w:color="auto"/>
              <w:left w:val="nil"/>
              <w:bottom w:val="nil"/>
              <w:right w:val="nil"/>
            </w:tcBorders>
            <w:shd w:val="clear" w:color="auto" w:fill="auto"/>
            <w:noWrap/>
          </w:tcPr>
          <w:p w:rsidR="00DD09C1" w:rsidRPr="00B46783" w:rsidRDefault="00DD09C1" w:rsidP="00DD09C1">
            <w:pPr>
              <w:pStyle w:val="Tabletext"/>
              <w:tabs>
                <w:tab w:val="decimal" w:pos="567"/>
              </w:tabs>
            </w:pPr>
            <w:r w:rsidRPr="00B46783">
              <w:t>7.9</w:t>
            </w:r>
          </w:p>
        </w:tc>
      </w:tr>
      <w:tr w:rsidR="00DD09C1" w:rsidRPr="00B46783">
        <w:trPr>
          <w:trHeight w:val="276"/>
        </w:trPr>
        <w:tc>
          <w:tcPr>
            <w:tcW w:w="1983" w:type="dxa"/>
            <w:tcBorders>
              <w:top w:val="nil"/>
              <w:left w:val="nil"/>
              <w:bottom w:val="nil"/>
              <w:right w:val="nil"/>
            </w:tcBorders>
            <w:shd w:val="clear" w:color="auto" w:fill="auto"/>
            <w:noWrap/>
          </w:tcPr>
          <w:p w:rsidR="00DD09C1" w:rsidRPr="00B46783" w:rsidRDefault="00DD09C1" w:rsidP="00DD09C1">
            <w:pPr>
              <w:pStyle w:val="Tabletext"/>
            </w:pPr>
            <w:r w:rsidRPr="00B46783">
              <w:t>Other metropolitan</w:t>
            </w:r>
          </w:p>
        </w:tc>
        <w:tc>
          <w:tcPr>
            <w:tcW w:w="1306"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1.5</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88.9</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3.0</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1.5</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1.6</w:t>
            </w:r>
          </w:p>
        </w:tc>
      </w:tr>
      <w:tr w:rsidR="00DD09C1" w:rsidRPr="00B46783">
        <w:trPr>
          <w:trHeight w:val="276"/>
        </w:trPr>
        <w:tc>
          <w:tcPr>
            <w:tcW w:w="1983" w:type="dxa"/>
            <w:tcBorders>
              <w:top w:val="nil"/>
              <w:left w:val="nil"/>
              <w:bottom w:val="nil"/>
              <w:right w:val="nil"/>
            </w:tcBorders>
            <w:shd w:val="clear" w:color="auto" w:fill="auto"/>
            <w:noWrap/>
          </w:tcPr>
          <w:p w:rsidR="00DD09C1" w:rsidRPr="00B46783" w:rsidRDefault="00DD09C1" w:rsidP="00DD09C1">
            <w:pPr>
              <w:pStyle w:val="Tabletext"/>
            </w:pPr>
            <w:r w:rsidRPr="00B46783">
              <w:t>Coastal</w:t>
            </w:r>
          </w:p>
        </w:tc>
        <w:tc>
          <w:tcPr>
            <w:tcW w:w="1306"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1.2</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5.5</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89.9</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3.3</w:t>
            </w:r>
          </w:p>
        </w:tc>
        <w:tc>
          <w:tcPr>
            <w:tcW w:w="1307" w:type="dxa"/>
            <w:tcBorders>
              <w:top w:val="nil"/>
              <w:left w:val="nil"/>
              <w:bottom w:val="nil"/>
              <w:right w:val="nil"/>
            </w:tcBorders>
            <w:shd w:val="clear" w:color="auto" w:fill="auto"/>
            <w:noWrap/>
          </w:tcPr>
          <w:p w:rsidR="00DD09C1" w:rsidRPr="00B46783" w:rsidRDefault="00DD09C1" w:rsidP="00DD09C1">
            <w:pPr>
              <w:pStyle w:val="Tabletext"/>
              <w:tabs>
                <w:tab w:val="decimal" w:pos="567"/>
              </w:tabs>
            </w:pPr>
            <w:r w:rsidRPr="00B46783">
              <w:t>3.9</w:t>
            </w:r>
          </w:p>
        </w:tc>
      </w:tr>
      <w:tr w:rsidR="00DD09C1" w:rsidRPr="00B46783">
        <w:trPr>
          <w:trHeight w:val="276"/>
        </w:trPr>
        <w:tc>
          <w:tcPr>
            <w:tcW w:w="1983" w:type="dxa"/>
            <w:tcBorders>
              <w:top w:val="nil"/>
              <w:left w:val="nil"/>
              <w:right w:val="nil"/>
            </w:tcBorders>
            <w:shd w:val="clear" w:color="auto" w:fill="auto"/>
            <w:noWrap/>
          </w:tcPr>
          <w:p w:rsidR="00DD09C1" w:rsidRPr="00B46783" w:rsidRDefault="00DD09C1" w:rsidP="00DD09C1">
            <w:pPr>
              <w:pStyle w:val="Tabletext"/>
            </w:pPr>
            <w:r w:rsidRPr="00B46783">
              <w:t>Inland</w:t>
            </w:r>
          </w:p>
        </w:tc>
        <w:tc>
          <w:tcPr>
            <w:tcW w:w="1306" w:type="dxa"/>
            <w:tcBorders>
              <w:top w:val="nil"/>
              <w:left w:val="nil"/>
              <w:right w:val="nil"/>
            </w:tcBorders>
            <w:shd w:val="clear" w:color="auto" w:fill="auto"/>
            <w:noWrap/>
          </w:tcPr>
          <w:p w:rsidR="00DD09C1" w:rsidRPr="00B46783" w:rsidRDefault="00DD09C1" w:rsidP="00DD09C1">
            <w:pPr>
              <w:pStyle w:val="Tabletext"/>
              <w:tabs>
                <w:tab w:val="decimal" w:pos="567"/>
              </w:tabs>
            </w:pPr>
            <w:r w:rsidRPr="00B46783">
              <w:t>1.5</w:t>
            </w:r>
          </w:p>
        </w:tc>
        <w:tc>
          <w:tcPr>
            <w:tcW w:w="1307" w:type="dxa"/>
            <w:tcBorders>
              <w:top w:val="nil"/>
              <w:left w:val="nil"/>
              <w:right w:val="nil"/>
            </w:tcBorders>
            <w:shd w:val="clear" w:color="auto" w:fill="auto"/>
            <w:noWrap/>
          </w:tcPr>
          <w:p w:rsidR="00DD09C1" w:rsidRPr="00B46783" w:rsidRDefault="00DD09C1" w:rsidP="00DD09C1">
            <w:pPr>
              <w:pStyle w:val="Tabletext"/>
              <w:tabs>
                <w:tab w:val="decimal" w:pos="567"/>
              </w:tabs>
            </w:pPr>
            <w:r w:rsidRPr="00B46783">
              <w:t>1.1</w:t>
            </w:r>
          </w:p>
        </w:tc>
        <w:tc>
          <w:tcPr>
            <w:tcW w:w="1307" w:type="dxa"/>
            <w:tcBorders>
              <w:top w:val="nil"/>
              <w:left w:val="nil"/>
              <w:right w:val="nil"/>
            </w:tcBorders>
            <w:shd w:val="clear" w:color="auto" w:fill="auto"/>
            <w:noWrap/>
          </w:tcPr>
          <w:p w:rsidR="00DD09C1" w:rsidRPr="00B46783" w:rsidRDefault="00DD09C1" w:rsidP="00DD09C1">
            <w:pPr>
              <w:pStyle w:val="Tabletext"/>
              <w:tabs>
                <w:tab w:val="decimal" w:pos="567"/>
              </w:tabs>
            </w:pPr>
            <w:r w:rsidRPr="00B46783">
              <w:t>3.1</w:t>
            </w:r>
          </w:p>
        </w:tc>
        <w:tc>
          <w:tcPr>
            <w:tcW w:w="1307" w:type="dxa"/>
            <w:tcBorders>
              <w:top w:val="nil"/>
              <w:left w:val="nil"/>
              <w:right w:val="nil"/>
            </w:tcBorders>
            <w:shd w:val="clear" w:color="auto" w:fill="auto"/>
            <w:noWrap/>
          </w:tcPr>
          <w:p w:rsidR="00DD09C1" w:rsidRPr="00B46783" w:rsidRDefault="00DD09C1" w:rsidP="00DD09C1">
            <w:pPr>
              <w:pStyle w:val="Tabletext"/>
              <w:tabs>
                <w:tab w:val="decimal" w:pos="567"/>
              </w:tabs>
            </w:pPr>
            <w:r w:rsidRPr="00B46783">
              <w:t>91.8</w:t>
            </w:r>
          </w:p>
        </w:tc>
        <w:tc>
          <w:tcPr>
            <w:tcW w:w="1307" w:type="dxa"/>
            <w:tcBorders>
              <w:top w:val="nil"/>
              <w:left w:val="nil"/>
              <w:right w:val="nil"/>
            </w:tcBorders>
            <w:shd w:val="clear" w:color="auto" w:fill="auto"/>
            <w:noWrap/>
          </w:tcPr>
          <w:p w:rsidR="00DD09C1" w:rsidRPr="00B46783" w:rsidRDefault="00DD09C1" w:rsidP="00DD09C1">
            <w:pPr>
              <w:pStyle w:val="Tabletext"/>
              <w:tabs>
                <w:tab w:val="decimal" w:pos="567"/>
              </w:tabs>
            </w:pPr>
            <w:r w:rsidRPr="00B46783">
              <w:t>3.2</w:t>
            </w:r>
          </w:p>
        </w:tc>
      </w:tr>
      <w:tr w:rsidR="00DD09C1" w:rsidRPr="00B46783">
        <w:trPr>
          <w:trHeight w:val="276"/>
        </w:trPr>
        <w:tc>
          <w:tcPr>
            <w:tcW w:w="1983" w:type="dxa"/>
            <w:tcBorders>
              <w:top w:val="nil"/>
              <w:left w:val="nil"/>
              <w:bottom w:val="single" w:sz="4" w:space="0" w:color="auto"/>
              <w:right w:val="nil"/>
            </w:tcBorders>
            <w:shd w:val="clear" w:color="auto" w:fill="auto"/>
            <w:noWrap/>
          </w:tcPr>
          <w:p w:rsidR="00DD09C1" w:rsidRPr="00B46783" w:rsidRDefault="00DD09C1" w:rsidP="00DD09C1">
            <w:pPr>
              <w:pStyle w:val="Tabletext"/>
              <w:spacing w:after="40"/>
            </w:pPr>
            <w:r w:rsidRPr="00B46783">
              <w:t>Remote</w:t>
            </w:r>
          </w:p>
        </w:tc>
        <w:tc>
          <w:tcPr>
            <w:tcW w:w="1306" w:type="dxa"/>
            <w:tcBorders>
              <w:top w:val="nil"/>
              <w:left w:val="nil"/>
              <w:bottom w:val="single" w:sz="4" w:space="0" w:color="auto"/>
              <w:right w:val="nil"/>
            </w:tcBorders>
            <w:shd w:val="clear" w:color="auto" w:fill="auto"/>
            <w:noWrap/>
          </w:tcPr>
          <w:p w:rsidR="00DD09C1" w:rsidRPr="00B46783" w:rsidRDefault="00DD09C1" w:rsidP="00DD09C1">
            <w:pPr>
              <w:pStyle w:val="Tabletext"/>
              <w:tabs>
                <w:tab w:val="decimal" w:pos="567"/>
              </w:tabs>
              <w:spacing w:after="40"/>
            </w:pPr>
            <w:r w:rsidRPr="00B46783">
              <w:t>0.3</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text"/>
              <w:tabs>
                <w:tab w:val="decimal" w:pos="567"/>
              </w:tabs>
              <w:spacing w:after="40"/>
            </w:pPr>
            <w:r w:rsidRPr="00B46783">
              <w:t>0.5</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text"/>
              <w:tabs>
                <w:tab w:val="decimal" w:pos="567"/>
              </w:tabs>
              <w:spacing w:after="40"/>
            </w:pPr>
            <w:r w:rsidRPr="00B46783">
              <w:t>0.7</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text"/>
              <w:tabs>
                <w:tab w:val="decimal" w:pos="567"/>
              </w:tabs>
              <w:spacing w:after="40"/>
            </w:pPr>
            <w:r w:rsidRPr="00B46783">
              <w:t>0.7</w:t>
            </w:r>
          </w:p>
        </w:tc>
        <w:tc>
          <w:tcPr>
            <w:tcW w:w="1307" w:type="dxa"/>
            <w:tcBorders>
              <w:top w:val="nil"/>
              <w:left w:val="nil"/>
              <w:bottom w:val="single" w:sz="4" w:space="0" w:color="auto"/>
              <w:right w:val="nil"/>
            </w:tcBorders>
            <w:shd w:val="clear" w:color="auto" w:fill="auto"/>
            <w:noWrap/>
          </w:tcPr>
          <w:p w:rsidR="00DD09C1" w:rsidRPr="00B46783" w:rsidRDefault="00DD09C1" w:rsidP="00DD09C1">
            <w:pPr>
              <w:pStyle w:val="Tabletext"/>
              <w:tabs>
                <w:tab w:val="decimal" w:pos="567"/>
              </w:tabs>
              <w:spacing w:after="40"/>
            </w:pPr>
            <w:r w:rsidRPr="00B46783">
              <w:t>83.5</w:t>
            </w:r>
          </w:p>
        </w:tc>
      </w:tr>
    </w:tbl>
    <w:p w:rsidR="00DD09C1" w:rsidRDefault="00DD09C1" w:rsidP="00DD09C1">
      <w:pPr>
        <w:pStyle w:val="Source"/>
        <w:rPr>
          <w:lang w:val="en-US"/>
        </w:rPr>
      </w:pPr>
      <w:r w:rsidRPr="00465137">
        <w:rPr>
          <w:lang w:val="en-US"/>
        </w:rPr>
        <w:t>Source:</w:t>
      </w:r>
      <w:r>
        <w:rPr>
          <w:lang w:val="en-US"/>
        </w:rPr>
        <w:tab/>
        <w:t xml:space="preserve">Census of Population and Housing 1991, 1996, 2001, </w:t>
      </w:r>
      <w:proofErr w:type="gramStart"/>
      <w:r>
        <w:rPr>
          <w:lang w:val="en-US"/>
        </w:rPr>
        <w:t>2006</w:t>
      </w:r>
      <w:proofErr w:type="gramEnd"/>
      <w:r>
        <w:rPr>
          <w:lang w:val="en-US"/>
        </w:rPr>
        <w:t xml:space="preserve"> (unpublished). </w:t>
      </w:r>
    </w:p>
    <w:p w:rsidR="00DD09C1" w:rsidRDefault="00DD09C1" w:rsidP="00DD09C1">
      <w:pPr>
        <w:pStyle w:val="text-moreb4"/>
        <w:rPr>
          <w:lang w:val="en-US"/>
        </w:rPr>
      </w:pPr>
      <w:r>
        <w:rPr>
          <w:lang w:val="en-US"/>
        </w:rPr>
        <w:t xml:space="preserve">Table 13 reveals that there is little dramatic inter-regional travelling for tradespersons between where they live and where they work. The most </w:t>
      </w:r>
      <w:r w:rsidRPr="009C0F9E">
        <w:rPr>
          <w:lang w:val="en-US"/>
        </w:rPr>
        <w:t>notable</w:t>
      </w:r>
      <w:r>
        <w:rPr>
          <w:lang w:val="en-US"/>
        </w:rPr>
        <w:t xml:space="preserve"> is for tradespersons who work in remote regions, where 7.9% live in capital cities and 3.9% live in coastal regions in 2006. Other metropolitan regions also have significant inflows of tradespersons; an estimated 5.5% of their tradespersons workforce lives in coastal regions and as many as 4% are from capital cities. </w:t>
      </w:r>
    </w:p>
    <w:p w:rsidR="00DD09C1" w:rsidRDefault="00DD09C1" w:rsidP="00DD09C1">
      <w:pPr>
        <w:pStyle w:val="text0"/>
        <w:rPr>
          <w:lang w:val="en-US"/>
        </w:rPr>
      </w:pPr>
      <w:r>
        <w:rPr>
          <w:lang w:val="en-US"/>
        </w:rPr>
        <w:t xml:space="preserve">Tradespersons who work in capital cities mainly live in capital cities, with fewer than 2% of workers living in each of other metropolitan, coastal and inland areas and just 0.3% living in remote areas. </w:t>
      </w:r>
    </w:p>
    <w:p w:rsidR="00DD09C1" w:rsidRDefault="00DD09C1" w:rsidP="00DD09C1">
      <w:pPr>
        <w:pStyle w:val="text0"/>
        <w:rPr>
          <w:lang w:val="en-US"/>
        </w:rPr>
      </w:pPr>
      <w:r>
        <w:rPr>
          <w:lang w:val="en-US"/>
        </w:rPr>
        <w:t xml:space="preserve">While tradespersons living in other regions only represent a small percentage of all the tradespersons working in capital cities, they represent a much larger percentage of the tradespersons’ </w:t>
      </w:r>
      <w:r w:rsidRPr="00D81B54">
        <w:rPr>
          <w:lang w:val="en-US"/>
        </w:rPr>
        <w:t>workforce</w:t>
      </w:r>
      <w:r>
        <w:rPr>
          <w:lang w:val="en-US"/>
        </w:rPr>
        <w:t xml:space="preserve"> from their place of residence. For example, there are 7804 tradespersons living in other metropolitan areas and working in capital cities; this represents 6.7% of the other metropolitan tradespersons’ workforce as opposed to just 1.5% of the capital cities tradespersons’ </w:t>
      </w:r>
      <w:r>
        <w:rPr>
          <w:lang w:val="en-US"/>
        </w:rPr>
        <w:lastRenderedPageBreak/>
        <w:t>workforce. Therefore, capital cities provide an important source of demand for tradespersons living outside capital cities.</w:t>
      </w:r>
    </w:p>
    <w:p w:rsidR="00DD09C1" w:rsidRDefault="00DD09C1" w:rsidP="00DD09C1">
      <w:pPr>
        <w:pStyle w:val="text0"/>
        <w:rPr>
          <w:lang w:val="en-US"/>
        </w:rPr>
      </w:pPr>
      <w:r>
        <w:rPr>
          <w:lang w:val="en-US"/>
        </w:rPr>
        <w:t xml:space="preserve">The equivalent table for the states and territories (not shown here) has one interesting feature: 13.7% of tradespersons working in the Australian Capital Territory are from New South Wales, some 1858 tradespersons. There is also a significant number of other employed persons from New South Wales working in the Australian Capital Territory, some 19 579 workers, or 11.3% of all the other employed persons workforce.       </w:t>
      </w:r>
    </w:p>
    <w:p w:rsidR="00DD09C1" w:rsidRDefault="00DD09C1" w:rsidP="00DD09C1">
      <w:pPr>
        <w:pStyle w:val="text0"/>
        <w:rPr>
          <w:lang w:val="en-US"/>
        </w:rPr>
      </w:pPr>
      <w:r>
        <w:rPr>
          <w:lang w:val="en-US"/>
        </w:rPr>
        <w:t xml:space="preserve">In the special case of Western Australia, where mining activity is </w:t>
      </w:r>
      <w:proofErr w:type="spellStart"/>
      <w:r>
        <w:rPr>
          <w:lang w:val="en-US"/>
        </w:rPr>
        <w:t>centred</w:t>
      </w:r>
      <w:proofErr w:type="spellEnd"/>
      <w:r>
        <w:rPr>
          <w:lang w:val="en-US"/>
        </w:rPr>
        <w:t xml:space="preserve"> in remote areas (although most employment in the mining industry is in Perth), there have been a significant number of tradespersons travelling from Perth to remote Western Australia for work (table 14). </w:t>
      </w:r>
    </w:p>
    <w:p w:rsidR="00DD09C1" w:rsidRDefault="00DD09C1" w:rsidP="00DD09C1">
      <w:pPr>
        <w:pStyle w:val="text0"/>
        <w:ind w:right="-151"/>
        <w:rPr>
          <w:lang w:val="en-US"/>
        </w:rPr>
      </w:pPr>
      <w:r>
        <w:rPr>
          <w:lang w:val="en-US"/>
        </w:rPr>
        <w:t xml:space="preserve">In 2001 the percentage of Western Australian tradespersons working in remote regions </w:t>
      </w:r>
      <w:proofErr w:type="gramStart"/>
      <w:r>
        <w:rPr>
          <w:lang w:val="en-US"/>
        </w:rPr>
        <w:t>who</w:t>
      </w:r>
      <w:proofErr w:type="gramEnd"/>
      <w:r>
        <w:rPr>
          <w:lang w:val="en-US"/>
        </w:rPr>
        <w:t xml:space="preserve"> lived in capital cities was 9.5% or 1149 tradespersons. In 2006 this increased to 11.2% or 1494 tradespersons. Tradespersons working in remote Western Australia and living elsewhere in Australia other than Western Australia accounted for only 3.1% in 2001 and had dropped by 2006 to just 2.1%. In 2001, 1163 or 18.6% of the tradespersons working in</w:t>
      </w:r>
      <w:r w:rsidRPr="00797521">
        <w:rPr>
          <w:lang w:val="en-US"/>
        </w:rPr>
        <w:t xml:space="preserve"> </w:t>
      </w:r>
      <w:r>
        <w:rPr>
          <w:lang w:val="en-US"/>
        </w:rPr>
        <w:t>inland regions lived in capital cities.</w:t>
      </w:r>
    </w:p>
    <w:p w:rsidR="00DD09C1" w:rsidRDefault="00DD09C1" w:rsidP="00DD09C1">
      <w:pPr>
        <w:pStyle w:val="tabletitle"/>
        <w:rPr>
          <w:lang w:val="en-US"/>
        </w:rPr>
      </w:pPr>
      <w:bookmarkStart w:id="99" w:name="_Toc139109101"/>
      <w:r>
        <w:rPr>
          <w:lang w:val="en-US"/>
        </w:rPr>
        <w:t>Table 14</w:t>
      </w:r>
      <w:r>
        <w:rPr>
          <w:lang w:val="en-US"/>
        </w:rPr>
        <w:tab/>
        <w:t xml:space="preserve">Place of </w:t>
      </w:r>
      <w:r w:rsidRPr="00B46783">
        <w:t>work</w:t>
      </w:r>
      <w:r>
        <w:rPr>
          <w:lang w:val="en-US"/>
        </w:rPr>
        <w:t xml:space="preserve"> by place of usual residence, percentage of the total tradespersons workforce, Western Australia</w:t>
      </w:r>
      <w:bookmarkEnd w:id="99"/>
    </w:p>
    <w:tbl>
      <w:tblPr>
        <w:tblW w:w="8505" w:type="dxa"/>
        <w:tblInd w:w="96" w:type="dxa"/>
        <w:tblLayout w:type="fixed"/>
        <w:tblLook w:val="0000"/>
      </w:tblPr>
      <w:tblGrid>
        <w:gridCol w:w="1313"/>
        <w:gridCol w:w="899"/>
        <w:gridCol w:w="899"/>
        <w:gridCol w:w="899"/>
        <w:gridCol w:w="899"/>
        <w:gridCol w:w="899"/>
        <w:gridCol w:w="899"/>
        <w:gridCol w:w="899"/>
        <w:gridCol w:w="899"/>
      </w:tblGrid>
      <w:tr w:rsidR="00DD09C1">
        <w:trPr>
          <w:trHeight w:val="276"/>
        </w:trPr>
        <w:tc>
          <w:tcPr>
            <w:tcW w:w="1313" w:type="dxa"/>
            <w:vMerge w:val="restart"/>
            <w:tcBorders>
              <w:top w:val="single" w:sz="4" w:space="0" w:color="auto"/>
              <w:left w:val="nil"/>
              <w:right w:val="nil"/>
            </w:tcBorders>
            <w:shd w:val="clear" w:color="auto" w:fill="auto"/>
            <w:noWrap/>
          </w:tcPr>
          <w:p w:rsidR="00DD09C1" w:rsidRDefault="00DD09C1" w:rsidP="00DD09C1">
            <w:pPr>
              <w:pStyle w:val="Tablehead1"/>
            </w:pPr>
            <w:r w:rsidRPr="001520C9">
              <w:t>Place of</w:t>
            </w:r>
            <w:r>
              <w:t xml:space="preserve"> r</w:t>
            </w:r>
            <w:r w:rsidRPr="00674440">
              <w:t>esidence</w:t>
            </w:r>
          </w:p>
        </w:tc>
        <w:tc>
          <w:tcPr>
            <w:tcW w:w="7192" w:type="dxa"/>
            <w:gridSpan w:val="8"/>
            <w:tcBorders>
              <w:top w:val="single" w:sz="4" w:space="0" w:color="auto"/>
              <w:left w:val="nil"/>
              <w:bottom w:val="nil"/>
              <w:right w:val="nil"/>
            </w:tcBorders>
            <w:shd w:val="clear" w:color="auto" w:fill="auto"/>
            <w:noWrap/>
          </w:tcPr>
          <w:p w:rsidR="00DD09C1" w:rsidRDefault="00DD09C1" w:rsidP="00DD09C1">
            <w:pPr>
              <w:pStyle w:val="Tablehead1"/>
              <w:jc w:val="center"/>
              <w:rPr>
                <w:bCs/>
              </w:rPr>
            </w:pPr>
            <w:r>
              <w:rPr>
                <w:bCs/>
              </w:rPr>
              <w:t>Place of work</w:t>
            </w:r>
          </w:p>
        </w:tc>
      </w:tr>
      <w:tr w:rsidR="00DD09C1">
        <w:trPr>
          <w:trHeight w:val="276"/>
        </w:trPr>
        <w:tc>
          <w:tcPr>
            <w:tcW w:w="1313" w:type="dxa"/>
            <w:vMerge/>
            <w:tcBorders>
              <w:left w:val="nil"/>
              <w:right w:val="nil"/>
            </w:tcBorders>
            <w:shd w:val="clear" w:color="auto" w:fill="auto"/>
            <w:noWrap/>
          </w:tcPr>
          <w:p w:rsidR="00DD09C1" w:rsidRPr="001520C9" w:rsidRDefault="00DD09C1" w:rsidP="00DD09C1">
            <w:pPr>
              <w:pStyle w:val="Tabletext"/>
              <w:rPr>
                <w:b/>
              </w:rPr>
            </w:pPr>
          </w:p>
        </w:tc>
        <w:tc>
          <w:tcPr>
            <w:tcW w:w="1798" w:type="dxa"/>
            <w:gridSpan w:val="2"/>
            <w:tcBorders>
              <w:top w:val="nil"/>
              <w:left w:val="nil"/>
              <w:bottom w:val="nil"/>
              <w:right w:val="nil"/>
            </w:tcBorders>
            <w:shd w:val="clear" w:color="auto" w:fill="auto"/>
            <w:noWrap/>
          </w:tcPr>
          <w:p w:rsidR="00DD09C1" w:rsidRPr="00B46783" w:rsidRDefault="00DD09C1" w:rsidP="00DD09C1">
            <w:pPr>
              <w:pStyle w:val="Tablehead2"/>
              <w:jc w:val="center"/>
            </w:pPr>
            <w:r w:rsidRPr="00B46783">
              <w:t>Perth</w:t>
            </w:r>
          </w:p>
        </w:tc>
        <w:tc>
          <w:tcPr>
            <w:tcW w:w="1798" w:type="dxa"/>
            <w:gridSpan w:val="2"/>
            <w:tcBorders>
              <w:top w:val="nil"/>
              <w:left w:val="nil"/>
              <w:bottom w:val="nil"/>
              <w:right w:val="nil"/>
            </w:tcBorders>
            <w:shd w:val="clear" w:color="auto" w:fill="auto"/>
            <w:noWrap/>
          </w:tcPr>
          <w:p w:rsidR="00DD09C1" w:rsidRPr="00B46783" w:rsidRDefault="00DD09C1" w:rsidP="00DD09C1">
            <w:pPr>
              <w:pStyle w:val="Tablehead2"/>
              <w:jc w:val="center"/>
            </w:pPr>
            <w:r w:rsidRPr="00B46783">
              <w:t>Coastal</w:t>
            </w:r>
          </w:p>
        </w:tc>
        <w:tc>
          <w:tcPr>
            <w:tcW w:w="1798" w:type="dxa"/>
            <w:gridSpan w:val="2"/>
            <w:tcBorders>
              <w:top w:val="nil"/>
              <w:left w:val="nil"/>
              <w:bottom w:val="nil"/>
              <w:right w:val="nil"/>
            </w:tcBorders>
            <w:shd w:val="clear" w:color="auto" w:fill="auto"/>
            <w:noWrap/>
          </w:tcPr>
          <w:p w:rsidR="00DD09C1" w:rsidRPr="00B46783" w:rsidRDefault="00DD09C1" w:rsidP="00DD09C1">
            <w:pPr>
              <w:pStyle w:val="Tablehead2"/>
              <w:jc w:val="center"/>
            </w:pPr>
            <w:r w:rsidRPr="00B46783">
              <w:t>Inland</w:t>
            </w:r>
          </w:p>
        </w:tc>
        <w:tc>
          <w:tcPr>
            <w:tcW w:w="1798" w:type="dxa"/>
            <w:gridSpan w:val="2"/>
            <w:tcBorders>
              <w:top w:val="nil"/>
              <w:left w:val="nil"/>
              <w:bottom w:val="nil"/>
              <w:right w:val="nil"/>
            </w:tcBorders>
            <w:shd w:val="clear" w:color="auto" w:fill="auto"/>
            <w:noWrap/>
          </w:tcPr>
          <w:p w:rsidR="00DD09C1" w:rsidRPr="00B46783" w:rsidRDefault="00DD09C1" w:rsidP="00DD09C1">
            <w:pPr>
              <w:pStyle w:val="Tablehead2"/>
              <w:jc w:val="center"/>
            </w:pPr>
            <w:r w:rsidRPr="00B46783">
              <w:t>Remote</w:t>
            </w:r>
          </w:p>
        </w:tc>
      </w:tr>
      <w:tr w:rsidR="00DD09C1">
        <w:trPr>
          <w:trHeight w:val="276"/>
        </w:trPr>
        <w:tc>
          <w:tcPr>
            <w:tcW w:w="1313" w:type="dxa"/>
            <w:vMerge/>
            <w:tcBorders>
              <w:left w:val="nil"/>
              <w:bottom w:val="single" w:sz="4" w:space="0" w:color="auto"/>
              <w:right w:val="nil"/>
            </w:tcBorders>
            <w:shd w:val="clear" w:color="auto" w:fill="auto"/>
            <w:noWrap/>
          </w:tcPr>
          <w:p w:rsidR="00DD09C1" w:rsidRPr="00674440" w:rsidRDefault="00DD09C1" w:rsidP="00DD09C1">
            <w:pPr>
              <w:pStyle w:val="Tabletext"/>
              <w:rPr>
                <w:b/>
              </w:rPr>
            </w:pP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2001</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2006</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2001</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2006</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2001</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2006</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2001</w:t>
            </w:r>
          </w:p>
        </w:tc>
        <w:tc>
          <w:tcPr>
            <w:tcW w:w="899" w:type="dxa"/>
            <w:tcBorders>
              <w:top w:val="nil"/>
              <w:left w:val="nil"/>
              <w:bottom w:val="single" w:sz="4" w:space="0" w:color="auto"/>
              <w:right w:val="nil"/>
            </w:tcBorders>
            <w:shd w:val="clear" w:color="auto" w:fill="auto"/>
            <w:noWrap/>
          </w:tcPr>
          <w:p w:rsidR="00DD09C1" w:rsidRDefault="00DD09C1" w:rsidP="00DD09C1">
            <w:pPr>
              <w:pStyle w:val="Tablehead3"/>
              <w:jc w:val="center"/>
            </w:pPr>
            <w:r>
              <w:t>2006</w:t>
            </w:r>
          </w:p>
        </w:tc>
      </w:tr>
      <w:tr w:rsidR="00DD09C1">
        <w:trPr>
          <w:trHeight w:val="276"/>
        </w:trPr>
        <w:tc>
          <w:tcPr>
            <w:tcW w:w="1313" w:type="dxa"/>
            <w:tcBorders>
              <w:top w:val="single" w:sz="4" w:space="0" w:color="auto"/>
              <w:left w:val="nil"/>
              <w:bottom w:val="nil"/>
              <w:right w:val="nil"/>
            </w:tcBorders>
            <w:shd w:val="clear" w:color="auto" w:fill="auto"/>
            <w:noWrap/>
          </w:tcPr>
          <w:p w:rsidR="00DD09C1" w:rsidRPr="00674440" w:rsidRDefault="00DD09C1" w:rsidP="00DD09C1">
            <w:pPr>
              <w:pStyle w:val="Tabletext"/>
            </w:pPr>
            <w:r w:rsidRPr="00674440">
              <w:t>Perth</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69"/>
              </w:tabs>
            </w:pPr>
            <w:r>
              <w:t>96.6</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69"/>
              </w:tabs>
            </w:pPr>
            <w:r>
              <w:t>96.1</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40"/>
              </w:tabs>
            </w:pPr>
            <w:r>
              <w:t>6.1</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40"/>
              </w:tabs>
            </w:pPr>
            <w:r>
              <w:t>7.1</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69"/>
              </w:tabs>
            </w:pPr>
            <w:r>
              <w:t>18.6</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40"/>
              </w:tabs>
            </w:pPr>
            <w:r>
              <w:t>5.2</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40"/>
              </w:tabs>
            </w:pPr>
            <w:r>
              <w:t>9.5</w:t>
            </w:r>
          </w:p>
        </w:tc>
        <w:tc>
          <w:tcPr>
            <w:tcW w:w="899" w:type="dxa"/>
            <w:tcBorders>
              <w:top w:val="single" w:sz="4" w:space="0" w:color="auto"/>
              <w:left w:val="nil"/>
              <w:bottom w:val="nil"/>
              <w:right w:val="nil"/>
            </w:tcBorders>
            <w:shd w:val="clear" w:color="auto" w:fill="auto"/>
            <w:noWrap/>
          </w:tcPr>
          <w:p w:rsidR="00DD09C1" w:rsidRDefault="00DD09C1" w:rsidP="00DD09C1">
            <w:pPr>
              <w:pStyle w:val="Tabletext"/>
              <w:tabs>
                <w:tab w:val="decimal" w:pos="369"/>
              </w:tabs>
            </w:pPr>
            <w:r>
              <w:t>11.2</w:t>
            </w:r>
          </w:p>
        </w:tc>
      </w:tr>
      <w:tr w:rsidR="00DD09C1">
        <w:trPr>
          <w:trHeight w:val="276"/>
        </w:trPr>
        <w:tc>
          <w:tcPr>
            <w:tcW w:w="1313" w:type="dxa"/>
            <w:tcBorders>
              <w:top w:val="nil"/>
              <w:left w:val="nil"/>
              <w:bottom w:val="nil"/>
              <w:right w:val="nil"/>
            </w:tcBorders>
            <w:shd w:val="clear" w:color="auto" w:fill="auto"/>
            <w:noWrap/>
          </w:tcPr>
          <w:p w:rsidR="00DD09C1" w:rsidRPr="00674440" w:rsidRDefault="00DD09C1" w:rsidP="00DD09C1">
            <w:pPr>
              <w:pStyle w:val="Tabletext"/>
            </w:pPr>
            <w:r w:rsidRPr="00674440">
              <w:t>Coastal</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1.3</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1.5</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86.6</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85.8</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10.9</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12.6</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2.0</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2.1</w:t>
            </w:r>
          </w:p>
        </w:tc>
      </w:tr>
      <w:tr w:rsidR="00DD09C1">
        <w:trPr>
          <w:trHeight w:val="276"/>
        </w:trPr>
        <w:tc>
          <w:tcPr>
            <w:tcW w:w="1313" w:type="dxa"/>
            <w:tcBorders>
              <w:top w:val="nil"/>
              <w:left w:val="nil"/>
              <w:bottom w:val="nil"/>
              <w:right w:val="nil"/>
            </w:tcBorders>
            <w:shd w:val="clear" w:color="auto" w:fill="auto"/>
            <w:noWrap/>
          </w:tcPr>
          <w:p w:rsidR="00DD09C1" w:rsidRPr="00674440" w:rsidRDefault="00DD09C1" w:rsidP="00DD09C1">
            <w:pPr>
              <w:pStyle w:val="Tabletext"/>
            </w:pPr>
            <w:r w:rsidRPr="00674440">
              <w:t>Inland</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0.5</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0.6</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5.5</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5.1</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66.8</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78.7</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40"/>
              </w:tabs>
            </w:pPr>
            <w:r>
              <w:t>1.5</w:t>
            </w:r>
          </w:p>
        </w:tc>
        <w:tc>
          <w:tcPr>
            <w:tcW w:w="899" w:type="dxa"/>
            <w:tcBorders>
              <w:top w:val="nil"/>
              <w:left w:val="nil"/>
              <w:bottom w:val="nil"/>
              <w:right w:val="nil"/>
            </w:tcBorders>
            <w:shd w:val="clear" w:color="auto" w:fill="auto"/>
            <w:noWrap/>
          </w:tcPr>
          <w:p w:rsidR="00DD09C1" w:rsidRDefault="00DD09C1" w:rsidP="00DD09C1">
            <w:pPr>
              <w:pStyle w:val="Tabletext"/>
              <w:tabs>
                <w:tab w:val="decimal" w:pos="369"/>
              </w:tabs>
            </w:pPr>
            <w:r>
              <w:t>1.4</w:t>
            </w:r>
          </w:p>
        </w:tc>
      </w:tr>
      <w:tr w:rsidR="00DD09C1">
        <w:trPr>
          <w:trHeight w:val="276"/>
        </w:trPr>
        <w:tc>
          <w:tcPr>
            <w:tcW w:w="1313" w:type="dxa"/>
            <w:tcBorders>
              <w:top w:val="nil"/>
              <w:left w:val="nil"/>
              <w:right w:val="nil"/>
            </w:tcBorders>
            <w:shd w:val="clear" w:color="auto" w:fill="auto"/>
            <w:noWrap/>
          </w:tcPr>
          <w:p w:rsidR="00DD09C1" w:rsidRPr="00674440" w:rsidRDefault="00DD09C1" w:rsidP="00DD09C1">
            <w:pPr>
              <w:pStyle w:val="Tabletext"/>
            </w:pPr>
            <w:r w:rsidRPr="00674440">
              <w:t>Remote</w:t>
            </w:r>
          </w:p>
        </w:tc>
        <w:tc>
          <w:tcPr>
            <w:tcW w:w="899" w:type="dxa"/>
            <w:tcBorders>
              <w:top w:val="nil"/>
              <w:left w:val="nil"/>
              <w:right w:val="nil"/>
            </w:tcBorders>
            <w:shd w:val="clear" w:color="auto" w:fill="auto"/>
            <w:noWrap/>
          </w:tcPr>
          <w:p w:rsidR="00DD09C1" w:rsidRDefault="00DD09C1" w:rsidP="00DD09C1">
            <w:pPr>
              <w:pStyle w:val="Tabletext"/>
              <w:tabs>
                <w:tab w:val="decimal" w:pos="369"/>
              </w:tabs>
            </w:pPr>
            <w:r>
              <w:t>1.0</w:t>
            </w:r>
          </w:p>
        </w:tc>
        <w:tc>
          <w:tcPr>
            <w:tcW w:w="899" w:type="dxa"/>
            <w:tcBorders>
              <w:top w:val="nil"/>
              <w:left w:val="nil"/>
              <w:right w:val="nil"/>
            </w:tcBorders>
            <w:shd w:val="clear" w:color="auto" w:fill="auto"/>
            <w:noWrap/>
          </w:tcPr>
          <w:p w:rsidR="00DD09C1" w:rsidRDefault="00DD09C1" w:rsidP="00DD09C1">
            <w:pPr>
              <w:pStyle w:val="Tabletext"/>
              <w:tabs>
                <w:tab w:val="decimal" w:pos="369"/>
              </w:tabs>
            </w:pPr>
            <w:r>
              <w:t>1.0</w:t>
            </w:r>
          </w:p>
        </w:tc>
        <w:tc>
          <w:tcPr>
            <w:tcW w:w="899" w:type="dxa"/>
            <w:tcBorders>
              <w:top w:val="nil"/>
              <w:left w:val="nil"/>
              <w:right w:val="nil"/>
            </w:tcBorders>
            <w:shd w:val="clear" w:color="auto" w:fill="auto"/>
            <w:noWrap/>
          </w:tcPr>
          <w:p w:rsidR="00DD09C1" w:rsidRDefault="00DD09C1" w:rsidP="00DD09C1">
            <w:pPr>
              <w:pStyle w:val="Tabletext"/>
              <w:tabs>
                <w:tab w:val="decimal" w:pos="340"/>
              </w:tabs>
            </w:pPr>
            <w:r>
              <w:t>1.4</w:t>
            </w:r>
          </w:p>
        </w:tc>
        <w:tc>
          <w:tcPr>
            <w:tcW w:w="899" w:type="dxa"/>
            <w:tcBorders>
              <w:top w:val="nil"/>
              <w:left w:val="nil"/>
              <w:right w:val="nil"/>
            </w:tcBorders>
            <w:shd w:val="clear" w:color="auto" w:fill="auto"/>
            <w:noWrap/>
          </w:tcPr>
          <w:p w:rsidR="00DD09C1" w:rsidRDefault="00DD09C1" w:rsidP="00DD09C1">
            <w:pPr>
              <w:pStyle w:val="Tabletext"/>
              <w:tabs>
                <w:tab w:val="decimal" w:pos="340"/>
              </w:tabs>
            </w:pPr>
            <w:r>
              <w:t>1.5</w:t>
            </w:r>
          </w:p>
        </w:tc>
        <w:tc>
          <w:tcPr>
            <w:tcW w:w="899" w:type="dxa"/>
            <w:tcBorders>
              <w:top w:val="nil"/>
              <w:left w:val="nil"/>
              <w:right w:val="nil"/>
            </w:tcBorders>
            <w:shd w:val="clear" w:color="auto" w:fill="auto"/>
            <w:noWrap/>
          </w:tcPr>
          <w:p w:rsidR="00DD09C1" w:rsidRDefault="00DD09C1" w:rsidP="00DD09C1">
            <w:pPr>
              <w:pStyle w:val="Tabletext"/>
              <w:tabs>
                <w:tab w:val="decimal" w:pos="369"/>
              </w:tabs>
            </w:pPr>
            <w:r>
              <w:t>3.3</w:t>
            </w:r>
          </w:p>
        </w:tc>
        <w:tc>
          <w:tcPr>
            <w:tcW w:w="899" w:type="dxa"/>
            <w:tcBorders>
              <w:top w:val="nil"/>
              <w:left w:val="nil"/>
              <w:right w:val="nil"/>
            </w:tcBorders>
            <w:shd w:val="clear" w:color="auto" w:fill="auto"/>
            <w:noWrap/>
          </w:tcPr>
          <w:p w:rsidR="00DD09C1" w:rsidRDefault="00DD09C1" w:rsidP="00DD09C1">
            <w:pPr>
              <w:pStyle w:val="Tabletext"/>
              <w:tabs>
                <w:tab w:val="decimal" w:pos="340"/>
              </w:tabs>
            </w:pPr>
            <w:r>
              <w:t>3.0</w:t>
            </w:r>
          </w:p>
        </w:tc>
        <w:tc>
          <w:tcPr>
            <w:tcW w:w="899" w:type="dxa"/>
            <w:tcBorders>
              <w:top w:val="nil"/>
              <w:left w:val="nil"/>
              <w:right w:val="nil"/>
            </w:tcBorders>
            <w:shd w:val="clear" w:color="auto" w:fill="auto"/>
            <w:noWrap/>
          </w:tcPr>
          <w:p w:rsidR="00DD09C1" w:rsidRDefault="00DD09C1" w:rsidP="00DD09C1">
            <w:pPr>
              <w:pStyle w:val="Tabletext"/>
              <w:tabs>
                <w:tab w:val="decimal" w:pos="340"/>
              </w:tabs>
            </w:pPr>
            <w:r>
              <w:t>83.9</w:t>
            </w:r>
          </w:p>
        </w:tc>
        <w:tc>
          <w:tcPr>
            <w:tcW w:w="899" w:type="dxa"/>
            <w:tcBorders>
              <w:top w:val="nil"/>
              <w:left w:val="nil"/>
              <w:right w:val="nil"/>
            </w:tcBorders>
            <w:shd w:val="clear" w:color="auto" w:fill="auto"/>
            <w:noWrap/>
          </w:tcPr>
          <w:p w:rsidR="00DD09C1" w:rsidRDefault="00DD09C1" w:rsidP="00DD09C1">
            <w:pPr>
              <w:pStyle w:val="Tabletext"/>
              <w:tabs>
                <w:tab w:val="decimal" w:pos="369"/>
              </w:tabs>
            </w:pPr>
            <w:r>
              <w:t>83.1</w:t>
            </w:r>
          </w:p>
        </w:tc>
      </w:tr>
      <w:tr w:rsidR="00DD09C1">
        <w:trPr>
          <w:trHeight w:val="276"/>
        </w:trPr>
        <w:tc>
          <w:tcPr>
            <w:tcW w:w="1313" w:type="dxa"/>
            <w:tcBorders>
              <w:top w:val="nil"/>
              <w:left w:val="nil"/>
              <w:bottom w:val="single" w:sz="4" w:space="0" w:color="auto"/>
              <w:right w:val="nil"/>
            </w:tcBorders>
            <w:shd w:val="clear" w:color="auto" w:fill="auto"/>
            <w:noWrap/>
          </w:tcPr>
          <w:p w:rsidR="00DD09C1" w:rsidRPr="00674440" w:rsidRDefault="00DD09C1" w:rsidP="00DD09C1">
            <w:pPr>
              <w:pStyle w:val="Tabletext"/>
              <w:spacing w:after="40"/>
            </w:pPr>
            <w:r w:rsidRPr="00674440">
              <w:t>Elsewhere</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69"/>
              </w:tabs>
              <w:spacing w:after="40"/>
            </w:pPr>
            <w:r>
              <w:t>0.6</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69"/>
              </w:tabs>
              <w:spacing w:after="40"/>
            </w:pPr>
            <w:r>
              <w:t>0.8</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40"/>
              </w:tabs>
              <w:spacing w:after="40"/>
            </w:pPr>
            <w:r>
              <w:t>0.4</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40"/>
              </w:tabs>
              <w:spacing w:after="40"/>
            </w:pPr>
            <w:r>
              <w:t>0.5</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69"/>
              </w:tabs>
              <w:spacing w:after="40"/>
            </w:pPr>
            <w:r>
              <w:t>0.5</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40"/>
              </w:tabs>
              <w:spacing w:after="40"/>
            </w:pPr>
            <w:r>
              <w:t>0.5</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40"/>
              </w:tabs>
              <w:spacing w:after="40"/>
            </w:pPr>
            <w:r>
              <w:t>3.1</w:t>
            </w:r>
          </w:p>
        </w:tc>
        <w:tc>
          <w:tcPr>
            <w:tcW w:w="899" w:type="dxa"/>
            <w:tcBorders>
              <w:top w:val="nil"/>
              <w:left w:val="nil"/>
              <w:bottom w:val="single" w:sz="4" w:space="0" w:color="auto"/>
              <w:right w:val="nil"/>
            </w:tcBorders>
            <w:shd w:val="clear" w:color="auto" w:fill="auto"/>
            <w:noWrap/>
          </w:tcPr>
          <w:p w:rsidR="00DD09C1" w:rsidRDefault="00DD09C1" w:rsidP="00DD09C1">
            <w:pPr>
              <w:pStyle w:val="Tabletext"/>
              <w:tabs>
                <w:tab w:val="decimal" w:pos="369"/>
              </w:tabs>
              <w:spacing w:after="40"/>
            </w:pPr>
            <w:r>
              <w:t>2.1</w:t>
            </w:r>
          </w:p>
        </w:tc>
      </w:tr>
    </w:tbl>
    <w:p w:rsidR="00DD09C1" w:rsidRPr="00797521" w:rsidRDefault="00DD09C1" w:rsidP="00DD09C1">
      <w:pPr>
        <w:pStyle w:val="Source"/>
        <w:rPr>
          <w:lang w:val="en-US"/>
        </w:rPr>
      </w:pPr>
      <w:r w:rsidRPr="00797521">
        <w:rPr>
          <w:lang w:val="en-US"/>
        </w:rPr>
        <w:t>Source:</w:t>
      </w:r>
      <w:r>
        <w:rPr>
          <w:lang w:val="en-US"/>
        </w:rPr>
        <w:tab/>
      </w:r>
      <w:r w:rsidRPr="00797521">
        <w:rPr>
          <w:lang w:val="en-US"/>
        </w:rPr>
        <w:t xml:space="preserve">Census of Population and Housing 1991, 1996, 2001, </w:t>
      </w:r>
      <w:proofErr w:type="gramStart"/>
      <w:r w:rsidRPr="00797521">
        <w:rPr>
          <w:lang w:val="en-US"/>
        </w:rPr>
        <w:t>2006</w:t>
      </w:r>
      <w:proofErr w:type="gramEnd"/>
      <w:r w:rsidRPr="00797521">
        <w:rPr>
          <w:lang w:val="en-US"/>
        </w:rPr>
        <w:t xml:space="preserve"> (unpublished).</w:t>
      </w:r>
    </w:p>
    <w:p w:rsidR="00DD09C1" w:rsidRDefault="00DD09C1" w:rsidP="00DD09C1">
      <w:pPr>
        <w:pStyle w:val="text-moreb4"/>
        <w:rPr>
          <w:lang w:val="en-US"/>
        </w:rPr>
      </w:pPr>
      <w:r>
        <w:rPr>
          <w:lang w:val="en-US"/>
        </w:rPr>
        <w:t xml:space="preserve">This decreased substantially to just 275 tradespersons working in inland Western Australia and living in Perth in 2006. This substantially increased the percentage of tradespersons who work and live in inland Western Australia, as there was a significant decrease in the number of tradespersons working in inland Western Australia between 2001 and 2006, a reduction of some 961 trade jobs. </w:t>
      </w:r>
    </w:p>
    <w:p w:rsidR="00DD09C1" w:rsidRDefault="00DD09C1" w:rsidP="00DD09C1">
      <w:pPr>
        <w:pStyle w:val="text0"/>
        <w:rPr>
          <w:lang w:val="en-US"/>
        </w:rPr>
      </w:pPr>
      <w:r>
        <w:rPr>
          <w:lang w:val="en-US"/>
        </w:rPr>
        <w:t>Many tradespersons travel from coastal regions of Western Australia to work in inland regions, accounting for an estimated 667 tradespersons or 12.6% of the inland tradespersons’ workforce in 2006. This is a smaller number of tradespersons from coastal regions with jobs in inland Western Australia than in 2001, but represents a higher proportion of the workforce because of the decline in the size of the tradespersons’ workforce in that region. Coastal regions also had a significant percentage of their locally employed tradespersons living in Perth and inland Western Australia, 7.1% and 5.1%, respectively.</w:t>
      </w:r>
    </w:p>
    <w:p w:rsidR="00DD09C1" w:rsidRPr="00674440" w:rsidRDefault="00DD09C1" w:rsidP="00DD09C1">
      <w:pPr>
        <w:pStyle w:val="Heading1"/>
      </w:pPr>
      <w:r>
        <w:br w:type="page"/>
      </w:r>
      <w:r>
        <w:lastRenderedPageBreak/>
        <w:br/>
      </w:r>
      <w:r>
        <w:br/>
      </w:r>
      <w:bookmarkStart w:id="100" w:name="_Toc139109067"/>
      <w:r w:rsidRPr="00674440">
        <w:t>Conclusion</w:t>
      </w:r>
      <w:bookmarkEnd w:id="100"/>
    </w:p>
    <w:p w:rsidR="00DD09C1" w:rsidRDefault="00DD09C1" w:rsidP="00DD09C1">
      <w:pPr>
        <w:pStyle w:val="text0"/>
        <w:spacing w:before="440"/>
        <w:rPr>
          <w:lang w:val="en-US"/>
        </w:rPr>
      </w:pPr>
      <w:r w:rsidRPr="00ED125E">
        <w:rPr>
          <w:lang w:val="en-US"/>
        </w:rPr>
        <w:t>The major factors determining the demand for tradespersons appear to be the business cycle, population movements and structural change in the Australian economy. The recent prolonged economic boom was marked by significant gr</w:t>
      </w:r>
      <w:r>
        <w:rPr>
          <w:lang w:val="en-US"/>
        </w:rPr>
        <w:t>owth in construction and mining</w:t>
      </w:r>
      <w:r w:rsidRPr="00ED125E">
        <w:rPr>
          <w:lang w:val="en-US"/>
        </w:rPr>
        <w:t xml:space="preserve"> and </w:t>
      </w:r>
      <w:r>
        <w:rPr>
          <w:lang w:val="en-US"/>
        </w:rPr>
        <w:t xml:space="preserve">the </w:t>
      </w:r>
      <w:r w:rsidRPr="00ED125E">
        <w:rPr>
          <w:lang w:val="en-US"/>
        </w:rPr>
        <w:t>relative decline in manufacturing employment</w:t>
      </w:r>
      <w:r>
        <w:rPr>
          <w:lang w:val="en-US"/>
        </w:rPr>
        <w:t>,</w:t>
      </w:r>
      <w:r w:rsidRPr="00ED125E">
        <w:rPr>
          <w:lang w:val="en-US"/>
        </w:rPr>
        <w:t xml:space="preserve"> which was mirrored by the changing pattern of demand for tradespersons. Construction experienced noticeable excess demand for tradespersons</w:t>
      </w:r>
      <w:r>
        <w:rPr>
          <w:lang w:val="en-US"/>
        </w:rPr>
        <w:t>,</w:t>
      </w:r>
      <w:r w:rsidRPr="00ED125E">
        <w:rPr>
          <w:lang w:val="en-US"/>
        </w:rPr>
        <w:t xml:space="preserve"> but </w:t>
      </w:r>
      <w:r>
        <w:rPr>
          <w:lang w:val="en-US"/>
        </w:rPr>
        <w:t>m</w:t>
      </w:r>
      <w:r w:rsidRPr="00ED125E">
        <w:rPr>
          <w:lang w:val="en-US"/>
        </w:rPr>
        <w:t>ining actually employed more tradespersons than would have been expected</w:t>
      </w:r>
      <w:r>
        <w:rPr>
          <w:lang w:val="en-US"/>
        </w:rPr>
        <w:t>,</w:t>
      </w:r>
      <w:r w:rsidRPr="00ED125E">
        <w:rPr>
          <w:lang w:val="en-US"/>
        </w:rPr>
        <w:t xml:space="preserve"> given their normal skill mix. </w:t>
      </w:r>
    </w:p>
    <w:p w:rsidR="00DD09C1" w:rsidRDefault="00DD09C1" w:rsidP="00DD09C1">
      <w:pPr>
        <w:pStyle w:val="text0"/>
        <w:rPr>
          <w:lang w:val="en-US"/>
        </w:rPr>
      </w:pPr>
      <w:r>
        <w:rPr>
          <w:lang w:val="en-US"/>
        </w:rPr>
        <w:t>Overall, t</w:t>
      </w:r>
      <w:r w:rsidRPr="00ED125E">
        <w:rPr>
          <w:lang w:val="en-US"/>
        </w:rPr>
        <w:t xml:space="preserve">here has been little change in the relative mix of the workforce in </w:t>
      </w:r>
      <w:r>
        <w:rPr>
          <w:lang w:val="en-US"/>
        </w:rPr>
        <w:t xml:space="preserve">the </w:t>
      </w:r>
      <w:r w:rsidRPr="00ED125E">
        <w:rPr>
          <w:lang w:val="en-US"/>
        </w:rPr>
        <w:t xml:space="preserve">industries </w:t>
      </w:r>
      <w:r>
        <w:rPr>
          <w:lang w:val="en-US"/>
        </w:rPr>
        <w:t>that</w:t>
      </w:r>
      <w:r w:rsidRPr="00ED125E">
        <w:rPr>
          <w:lang w:val="en-US"/>
        </w:rPr>
        <w:t xml:space="preserve"> employ most tradespersons</w:t>
      </w:r>
      <w:r>
        <w:rPr>
          <w:lang w:val="en-US"/>
        </w:rPr>
        <w:t>,</w:t>
      </w:r>
      <w:r w:rsidRPr="00ED125E">
        <w:rPr>
          <w:lang w:val="en-US"/>
        </w:rPr>
        <w:t xml:space="preserve"> implying that technological change has not had a major impact on the demand for tradespersons</w:t>
      </w:r>
      <w:r>
        <w:rPr>
          <w:lang w:val="en-US"/>
        </w:rPr>
        <w:t xml:space="preserve"> in most sectors, with the exception of manufacturing. </w:t>
      </w:r>
      <w:r w:rsidRPr="00ED125E">
        <w:rPr>
          <w:lang w:val="en-US"/>
        </w:rPr>
        <w:t>Given the decline in manufacturing employment</w:t>
      </w:r>
      <w:r>
        <w:rPr>
          <w:lang w:val="en-US"/>
        </w:rPr>
        <w:t>,</w:t>
      </w:r>
      <w:r w:rsidRPr="00ED125E">
        <w:rPr>
          <w:lang w:val="en-US"/>
        </w:rPr>
        <w:t xml:space="preserve"> some fall in employment of tradespersons would have been expected</w:t>
      </w:r>
      <w:r>
        <w:rPr>
          <w:lang w:val="en-US"/>
        </w:rPr>
        <w:t>,</w:t>
      </w:r>
      <w:r w:rsidRPr="00ED125E">
        <w:rPr>
          <w:lang w:val="en-US"/>
        </w:rPr>
        <w:t xml:space="preserve"> but the actual fall was much greater</w:t>
      </w:r>
      <w:r>
        <w:rPr>
          <w:lang w:val="en-US"/>
        </w:rPr>
        <w:t xml:space="preserve"> than expected</w:t>
      </w:r>
      <w:r w:rsidRPr="00ED125E">
        <w:rPr>
          <w:lang w:val="en-US"/>
        </w:rPr>
        <w:t xml:space="preserve">. However, </w:t>
      </w:r>
      <w:r>
        <w:rPr>
          <w:lang w:val="en-US"/>
        </w:rPr>
        <w:t>the cause</w:t>
      </w:r>
      <w:r w:rsidRPr="00ED125E">
        <w:rPr>
          <w:lang w:val="en-US"/>
        </w:rPr>
        <w:t xml:space="preserve"> is difficult to </w:t>
      </w:r>
      <w:r>
        <w:rPr>
          <w:lang w:val="en-US"/>
        </w:rPr>
        <w:t>determine:</w:t>
      </w:r>
      <w:r w:rsidRPr="00ED125E">
        <w:rPr>
          <w:lang w:val="en-US"/>
        </w:rPr>
        <w:t xml:space="preserve"> whether </w:t>
      </w:r>
      <w:r>
        <w:rPr>
          <w:lang w:val="en-US"/>
        </w:rPr>
        <w:t xml:space="preserve">in this particular sector of the economy there was significant </w:t>
      </w:r>
      <w:r w:rsidRPr="00ED125E">
        <w:rPr>
          <w:lang w:val="en-US"/>
        </w:rPr>
        <w:t xml:space="preserve">technological change </w:t>
      </w:r>
      <w:r>
        <w:rPr>
          <w:lang w:val="en-US"/>
        </w:rPr>
        <w:t xml:space="preserve">which allowed </w:t>
      </w:r>
      <w:r w:rsidRPr="00ED125E">
        <w:rPr>
          <w:lang w:val="en-US"/>
        </w:rPr>
        <w:t xml:space="preserve">employers </w:t>
      </w:r>
      <w:r>
        <w:rPr>
          <w:lang w:val="en-US"/>
        </w:rPr>
        <w:t xml:space="preserve">to </w:t>
      </w:r>
      <w:r w:rsidRPr="00ED125E">
        <w:rPr>
          <w:lang w:val="en-US"/>
        </w:rPr>
        <w:t xml:space="preserve">shed tradespersons or </w:t>
      </w:r>
      <w:r>
        <w:rPr>
          <w:lang w:val="en-US"/>
        </w:rPr>
        <w:t xml:space="preserve">whether </w:t>
      </w:r>
      <w:r w:rsidRPr="00ED125E">
        <w:rPr>
          <w:lang w:val="en-US"/>
        </w:rPr>
        <w:t xml:space="preserve">employers </w:t>
      </w:r>
      <w:r>
        <w:rPr>
          <w:lang w:val="en-US"/>
        </w:rPr>
        <w:t xml:space="preserve">were unable </w:t>
      </w:r>
      <w:r w:rsidRPr="00ED125E">
        <w:rPr>
          <w:lang w:val="en-US"/>
        </w:rPr>
        <w:t xml:space="preserve">to retain or recruit tradesperson in a tight </w:t>
      </w:r>
      <w:proofErr w:type="spellStart"/>
      <w:r w:rsidRPr="00ED125E">
        <w:rPr>
          <w:lang w:val="en-US"/>
        </w:rPr>
        <w:t>labour</w:t>
      </w:r>
      <w:proofErr w:type="spellEnd"/>
      <w:r w:rsidRPr="00ED125E">
        <w:rPr>
          <w:lang w:val="en-US"/>
        </w:rPr>
        <w:t xml:space="preserve"> market</w:t>
      </w:r>
      <w:r>
        <w:rPr>
          <w:lang w:val="en-US"/>
        </w:rPr>
        <w:t xml:space="preserve"> is unknown</w:t>
      </w:r>
      <w:r w:rsidRPr="00ED125E">
        <w:rPr>
          <w:lang w:val="en-US"/>
        </w:rPr>
        <w:t>.</w:t>
      </w:r>
      <w:r w:rsidRPr="006B5DF8">
        <w:rPr>
          <w:lang w:val="en-US"/>
        </w:rPr>
        <w:t xml:space="preserve"> </w:t>
      </w:r>
    </w:p>
    <w:p w:rsidR="00DD09C1" w:rsidRDefault="00DD09C1" w:rsidP="00DD09C1">
      <w:pPr>
        <w:pStyle w:val="text0"/>
      </w:pPr>
      <w:r w:rsidRPr="00ED125E">
        <w:t>From a structural perspective</w:t>
      </w:r>
      <w:r>
        <w:t>,</w:t>
      </w:r>
      <w:r w:rsidRPr="00ED125E">
        <w:t xml:space="preserve"> there has been a relative decline in manufacturing and an increase in the services and construction sectors in Australia.</w:t>
      </w:r>
      <w:r>
        <w:t xml:space="preserve"> </w:t>
      </w:r>
      <w:r w:rsidRPr="00ED125E">
        <w:t>This has obvious implication</w:t>
      </w:r>
      <w:r>
        <w:t>s</w:t>
      </w:r>
      <w:r w:rsidRPr="00ED125E">
        <w:t xml:space="preserve"> for the demand for tradespersons, apprenticeship training and migration.</w:t>
      </w:r>
      <w:r>
        <w:t xml:space="preserve"> Training issues relate to long-</w:t>
      </w:r>
      <w:r w:rsidRPr="00ED125E">
        <w:t>term growth and technological/structural change in the economy.</w:t>
      </w:r>
      <w:r>
        <w:t xml:space="preserve"> </w:t>
      </w:r>
      <w:r w:rsidRPr="00ED125E">
        <w:t xml:space="preserve">There are no signs </w:t>
      </w:r>
      <w:r>
        <w:t xml:space="preserve">that </w:t>
      </w:r>
      <w:r w:rsidRPr="00ED125E">
        <w:t xml:space="preserve">these trends will not continue and </w:t>
      </w:r>
      <w:r>
        <w:t xml:space="preserve">they </w:t>
      </w:r>
      <w:r w:rsidRPr="00ED125E">
        <w:t>have implications for training.</w:t>
      </w:r>
      <w:r>
        <w:t xml:space="preserve"> </w:t>
      </w:r>
      <w:r w:rsidRPr="00ED125E">
        <w:t>This report has identified structural change as a major determinant of demand for tradespersons. In addition</w:t>
      </w:r>
      <w:r>
        <w:t>,</w:t>
      </w:r>
      <w:r w:rsidRPr="00ED125E">
        <w:t xml:space="preserve"> there appears to have been significant technological change in manufacturing</w:t>
      </w:r>
      <w:r>
        <w:t>,</w:t>
      </w:r>
      <w:r w:rsidRPr="00ED125E">
        <w:t xml:space="preserve"> resulting in reduced demand for tradespersons.</w:t>
      </w:r>
      <w:r>
        <w:t xml:space="preserve"> </w:t>
      </w:r>
      <w:r w:rsidRPr="00ED125E">
        <w:t>For some tradespersons the</w:t>
      </w:r>
      <w:r>
        <w:t xml:space="preserve">ir earnings do not yield </w:t>
      </w:r>
      <w:r w:rsidRPr="00ED125E">
        <w:t>returns to</w:t>
      </w:r>
      <w:r>
        <w:t xml:space="preserve"> justify investment in long periods of trade training—</w:t>
      </w:r>
      <w:r w:rsidRPr="00ED125E">
        <w:t>food tradespersons and agricultural tradespersons.</w:t>
      </w:r>
      <w:r>
        <w:t xml:space="preserve"> </w:t>
      </w:r>
      <w:r w:rsidRPr="00ED125E">
        <w:t xml:space="preserve">A large number of fully qualified tradespersons in these trades are lowly paid and this could explain the low percentage of people fully qualified. </w:t>
      </w:r>
      <w:r w:rsidRPr="00F9394E">
        <w:t xml:space="preserve">The growing number of unqualified tradespersons during a time of economic demand also raises questions about the role of training </w:t>
      </w:r>
      <w:r>
        <w:t>in</w:t>
      </w:r>
      <w:r w:rsidRPr="00F9394E">
        <w:t xml:space="preserve"> </w:t>
      </w:r>
      <w:proofErr w:type="spellStart"/>
      <w:r w:rsidRPr="00F9394E">
        <w:t>upskill</w:t>
      </w:r>
      <w:r>
        <w:t>ing</w:t>
      </w:r>
      <w:proofErr w:type="spellEnd"/>
      <w:r w:rsidRPr="00F9394E">
        <w:t xml:space="preserve"> the workforce</w:t>
      </w:r>
      <w:r>
        <w:t>.</w:t>
      </w:r>
    </w:p>
    <w:p w:rsidR="00DD09C1" w:rsidRPr="00ED125E" w:rsidRDefault="00DD09C1" w:rsidP="00DD09C1">
      <w:pPr>
        <w:pStyle w:val="text0"/>
      </w:pPr>
      <w:r w:rsidRPr="00ED125E">
        <w:t>Generally</w:t>
      </w:r>
      <w:r>
        <w:t>,</w:t>
      </w:r>
      <w:r w:rsidRPr="00ED125E">
        <w:t xml:space="preserve"> the labour market for tradespersons seems to be fairly efficient</w:t>
      </w:r>
      <w:r>
        <w:t>,</w:t>
      </w:r>
      <w:r w:rsidRPr="00ED125E">
        <w:t xml:space="preserve"> with no severe shortage in any of the </w:t>
      </w:r>
      <w:r>
        <w:t>s</w:t>
      </w:r>
      <w:r w:rsidRPr="00ED125E">
        <w:t>tates or larger regions.</w:t>
      </w:r>
      <w:r>
        <w:t xml:space="preserve"> </w:t>
      </w:r>
      <w:r w:rsidRPr="00ED125E">
        <w:t>There was</w:t>
      </w:r>
      <w:r>
        <w:t>,</w:t>
      </w:r>
      <w:r w:rsidRPr="00ED125E">
        <w:t xml:space="preserve"> however, noticeably higher wages and significantly higher growth in wages in remote regions, particularly </w:t>
      </w:r>
      <w:r>
        <w:t xml:space="preserve">in </w:t>
      </w:r>
      <w:r w:rsidRPr="00ED125E">
        <w:t>W</w:t>
      </w:r>
      <w:r>
        <w:t xml:space="preserve">estern </w:t>
      </w:r>
      <w:r w:rsidRPr="00ED125E">
        <w:t>A</w:t>
      </w:r>
      <w:r>
        <w:t>ustralia</w:t>
      </w:r>
      <w:r w:rsidRPr="00ED125E">
        <w:t xml:space="preserve"> and </w:t>
      </w:r>
      <w:r>
        <w:t xml:space="preserve">the </w:t>
      </w:r>
      <w:r w:rsidRPr="00ED125E">
        <w:t>N</w:t>
      </w:r>
      <w:r>
        <w:t xml:space="preserve">orthern </w:t>
      </w:r>
      <w:r w:rsidRPr="00ED125E">
        <w:t>T</w:t>
      </w:r>
      <w:r>
        <w:t>erritory</w:t>
      </w:r>
      <w:r w:rsidRPr="00ED125E">
        <w:t xml:space="preserve">, which employers may consider </w:t>
      </w:r>
      <w:r>
        <w:t xml:space="preserve">represents </w:t>
      </w:r>
      <w:r w:rsidRPr="00ED125E">
        <w:t>a shortage</w:t>
      </w:r>
      <w:r>
        <w:t>,</w:t>
      </w:r>
      <w:r w:rsidRPr="00ED125E">
        <w:t xml:space="preserve"> as </w:t>
      </w:r>
      <w:r>
        <w:t>it may indicate that employers</w:t>
      </w:r>
      <w:r w:rsidRPr="00ED125E">
        <w:t xml:space="preserve"> </w:t>
      </w:r>
      <w:r>
        <w:t>have to pay more to</w:t>
      </w:r>
      <w:r w:rsidRPr="00ED125E">
        <w:t xml:space="preserve"> get the labour they </w:t>
      </w:r>
      <w:r>
        <w:t>require</w:t>
      </w:r>
      <w:r w:rsidRPr="00ED125E">
        <w:t>. However, from an economic perspective</w:t>
      </w:r>
      <w:r>
        <w:t>,</w:t>
      </w:r>
      <w:r w:rsidRPr="00ED125E">
        <w:t xml:space="preserve"> rises in wages in a period of high demand is evidence of economic efficiency.</w:t>
      </w:r>
      <w:r>
        <w:t xml:space="preserve"> </w:t>
      </w:r>
      <w:r w:rsidRPr="00ED125E">
        <w:t xml:space="preserve">Wages have played an important role in bringing supply and demand into balance. </w:t>
      </w:r>
    </w:p>
    <w:p w:rsidR="00DD09C1" w:rsidRPr="00ED125E" w:rsidRDefault="00DD09C1" w:rsidP="00DD09C1">
      <w:pPr>
        <w:pStyle w:val="text0"/>
      </w:pPr>
      <w:r w:rsidRPr="00ED125E">
        <w:t>Given the mobility of skilled labour, both internally and from overseas, there is no apparent need to locate training regionally according to demand.</w:t>
      </w:r>
      <w:r>
        <w:t xml:space="preserve"> </w:t>
      </w:r>
      <w:r w:rsidRPr="00ED125E">
        <w:t>The movement of tradespersons from overseas seems to be an important part of efficient adjustment in the labour market.</w:t>
      </w:r>
      <w:r>
        <w:t xml:space="preserve"> </w:t>
      </w:r>
      <w:r w:rsidRPr="00ED125E">
        <w:t>This has clear implications for migration policy.</w:t>
      </w:r>
    </w:p>
    <w:p w:rsidR="00DD09C1" w:rsidRPr="00ED125E" w:rsidRDefault="00DD09C1" w:rsidP="00DD09C1">
      <w:pPr>
        <w:pStyle w:val="text0"/>
      </w:pPr>
      <w:r w:rsidRPr="00ED125E">
        <w:rPr>
          <w:lang w:val="en-US"/>
        </w:rPr>
        <w:t xml:space="preserve">Adjustment of the total quantity of </w:t>
      </w:r>
      <w:proofErr w:type="spellStart"/>
      <w:r w:rsidRPr="00ED125E">
        <w:rPr>
          <w:lang w:val="en-US"/>
        </w:rPr>
        <w:t>labour</w:t>
      </w:r>
      <w:proofErr w:type="spellEnd"/>
      <w:r w:rsidRPr="00ED125E">
        <w:rPr>
          <w:lang w:val="en-US"/>
        </w:rPr>
        <w:t xml:space="preserve"> is difficult in occupations requiring significant formal and on-the-job training. However, firms can, and do, use a variety of adjustment mechanisms to maintain output during skill shortages. Where the changes in demand differ between cities, regions </w:t>
      </w:r>
      <w:r w:rsidRPr="00ED125E">
        <w:rPr>
          <w:lang w:val="en-US"/>
        </w:rPr>
        <w:lastRenderedPageBreak/>
        <w:t>and industries, however, adjustment of tradesperson</w:t>
      </w:r>
      <w:r>
        <w:rPr>
          <w:lang w:val="en-US"/>
        </w:rPr>
        <w:t>s</w:t>
      </w:r>
      <w:r w:rsidRPr="00ED125E">
        <w:rPr>
          <w:lang w:val="en-US"/>
        </w:rPr>
        <w:t xml:space="preserve"> should take place in an efficient market</w:t>
      </w:r>
      <w:r>
        <w:rPr>
          <w:lang w:val="en-US"/>
        </w:rPr>
        <w:t>,</w:t>
      </w:r>
      <w:r w:rsidRPr="00ED125E">
        <w:rPr>
          <w:lang w:val="en-US"/>
        </w:rPr>
        <w:t xml:space="preserve"> and this report has shown that</w:t>
      </w:r>
      <w:r>
        <w:rPr>
          <w:lang w:val="en-US"/>
        </w:rPr>
        <w:t>,</w:t>
      </w:r>
      <w:r w:rsidRPr="00ED125E">
        <w:rPr>
          <w:lang w:val="en-US"/>
        </w:rPr>
        <w:t xml:space="preserve"> during the recent boom</w:t>
      </w:r>
      <w:r>
        <w:rPr>
          <w:lang w:val="en-US"/>
        </w:rPr>
        <w:t>,</w:t>
      </w:r>
      <w:r w:rsidRPr="00ED125E">
        <w:rPr>
          <w:lang w:val="en-US"/>
        </w:rPr>
        <w:t xml:space="preserve"> significant adjustment did take place. Price adjustment is also an important feature of efficient </w:t>
      </w:r>
      <w:proofErr w:type="spellStart"/>
      <w:r w:rsidRPr="00ED125E">
        <w:rPr>
          <w:lang w:val="en-US"/>
        </w:rPr>
        <w:t>labour</w:t>
      </w:r>
      <w:proofErr w:type="spellEnd"/>
      <w:r w:rsidRPr="00ED125E">
        <w:rPr>
          <w:lang w:val="en-US"/>
        </w:rPr>
        <w:t xml:space="preserve"> markets</w:t>
      </w:r>
      <w:r>
        <w:rPr>
          <w:lang w:val="en-US"/>
        </w:rPr>
        <w:t>,</w:t>
      </w:r>
      <w:r w:rsidRPr="00ED125E">
        <w:rPr>
          <w:lang w:val="en-US"/>
        </w:rPr>
        <w:t xml:space="preserve"> and the earnings data presented in this report </w:t>
      </w:r>
      <w:proofErr w:type="spellStart"/>
      <w:r w:rsidRPr="00ED125E">
        <w:rPr>
          <w:lang w:val="en-US"/>
        </w:rPr>
        <w:t>emphasise</w:t>
      </w:r>
      <w:proofErr w:type="spellEnd"/>
      <w:r w:rsidRPr="00ED125E">
        <w:rPr>
          <w:lang w:val="en-US"/>
        </w:rPr>
        <w:t xml:space="preserve"> the crucial role earnings played in facilitating quantity adjustment in the market for tradespersons.</w:t>
      </w:r>
    </w:p>
    <w:p w:rsidR="00DD09C1" w:rsidRDefault="00DD09C1" w:rsidP="00DD09C1">
      <w:pPr>
        <w:pStyle w:val="Heading1"/>
      </w:pPr>
      <w:r w:rsidRPr="00ED125E">
        <w:rPr>
          <w:szCs w:val="22"/>
          <w:lang w:val="en-US"/>
        </w:rPr>
        <w:br w:type="page"/>
      </w:r>
      <w:r>
        <w:rPr>
          <w:szCs w:val="22"/>
          <w:lang w:val="en-US"/>
        </w:rPr>
        <w:lastRenderedPageBreak/>
        <w:br/>
      </w:r>
      <w:r>
        <w:rPr>
          <w:szCs w:val="22"/>
          <w:lang w:val="en-US"/>
        </w:rPr>
        <w:br/>
      </w:r>
      <w:bookmarkStart w:id="101" w:name="_Toc139109068"/>
      <w:r w:rsidRPr="00793148">
        <w:t>References</w:t>
      </w:r>
      <w:bookmarkEnd w:id="101"/>
    </w:p>
    <w:p w:rsidR="00DD09C1" w:rsidRDefault="00DD09C1" w:rsidP="00DD09C1">
      <w:pPr>
        <w:pStyle w:val="References"/>
        <w:spacing w:before="440"/>
      </w:pPr>
      <w:proofErr w:type="gramStart"/>
      <w:r>
        <w:t xml:space="preserve">Australian Bureau of Agricultural and Resource Economics 2000, ‘Country towns’, </w:t>
      </w:r>
      <w:r>
        <w:rPr>
          <w:i/>
          <w:iCs/>
        </w:rPr>
        <w:t>Current Issues</w:t>
      </w:r>
      <w:r>
        <w:t>, 4 October.</w:t>
      </w:r>
      <w:proofErr w:type="gramEnd"/>
      <w:r>
        <w:t xml:space="preserve"> </w:t>
      </w:r>
    </w:p>
    <w:p w:rsidR="00DD09C1" w:rsidRPr="00276B49" w:rsidRDefault="00DD09C1" w:rsidP="00DD09C1">
      <w:pPr>
        <w:pStyle w:val="References"/>
      </w:pPr>
      <w:proofErr w:type="gramStart"/>
      <w:r>
        <w:rPr>
          <w:rFonts w:cs="Arial"/>
        </w:rPr>
        <w:t>ABS (</w:t>
      </w:r>
      <w:r w:rsidRPr="00FC3638">
        <w:rPr>
          <w:rFonts w:cs="Arial"/>
        </w:rPr>
        <w:t>Aust</w:t>
      </w:r>
      <w:r>
        <w:rPr>
          <w:rFonts w:cs="Arial"/>
        </w:rPr>
        <w:t>ralian Bureau of Statistics)</w:t>
      </w:r>
      <w:r w:rsidRPr="00FC3638">
        <w:rPr>
          <w:rFonts w:cs="Arial"/>
        </w:rPr>
        <w:t xml:space="preserve"> 200</w:t>
      </w:r>
      <w:r>
        <w:rPr>
          <w:rFonts w:cs="Arial"/>
        </w:rPr>
        <w:t>6</w:t>
      </w:r>
      <w:r w:rsidRPr="00FC3638">
        <w:rPr>
          <w:rFonts w:cs="Arial"/>
        </w:rPr>
        <w:t>,</w:t>
      </w:r>
      <w:r>
        <w:rPr>
          <w:rFonts w:cs="Arial"/>
        </w:rPr>
        <w:t xml:space="preserve"> </w:t>
      </w:r>
      <w:r w:rsidRPr="00276B49">
        <w:rPr>
          <w:i/>
        </w:rPr>
        <w:t>Australia and New Zealand Standard Classification of Occupations</w:t>
      </w:r>
      <w:r>
        <w:rPr>
          <w:i/>
        </w:rPr>
        <w:t xml:space="preserve">, </w:t>
      </w:r>
      <w:r>
        <w:t xml:space="preserve">1st </w:t>
      </w:r>
      <w:proofErr w:type="spellStart"/>
      <w:r>
        <w:t>edn</w:t>
      </w:r>
      <w:proofErr w:type="spellEnd"/>
      <w:r>
        <w:t>, cat.no.1220.0, ABS, Canberra.</w:t>
      </w:r>
      <w:proofErr w:type="gramEnd"/>
      <w:r w:rsidRPr="00465137">
        <w:t xml:space="preserve"> </w:t>
      </w:r>
    </w:p>
    <w:p w:rsidR="00DD09C1" w:rsidRDefault="00DD09C1" w:rsidP="00DD09C1">
      <w:pPr>
        <w:pStyle w:val="References"/>
        <w:rPr>
          <w:rFonts w:cs="Arial"/>
        </w:rPr>
      </w:pPr>
      <w:r>
        <w:rPr>
          <w:rFonts w:cs="Arial"/>
        </w:rPr>
        <w:t>——2007</w:t>
      </w:r>
      <w:r w:rsidRPr="00FC3638">
        <w:rPr>
          <w:rFonts w:cs="Arial"/>
        </w:rPr>
        <w:t>,</w:t>
      </w:r>
      <w:r>
        <w:rPr>
          <w:rFonts w:cs="Arial"/>
        </w:rPr>
        <w:t xml:space="preserve"> </w:t>
      </w:r>
      <w:r>
        <w:rPr>
          <w:rFonts w:cs="Arial"/>
          <w:i/>
        </w:rPr>
        <w:t>Labour f</w:t>
      </w:r>
      <w:r w:rsidRPr="00FD6E8D">
        <w:rPr>
          <w:rFonts w:cs="Arial"/>
          <w:i/>
        </w:rPr>
        <w:t>orce</w:t>
      </w:r>
      <w:r>
        <w:rPr>
          <w:rFonts w:cs="Arial"/>
        </w:rPr>
        <w:t xml:space="preserve"> </w:t>
      </w:r>
      <w:r w:rsidRPr="00CD4902">
        <w:rPr>
          <w:rFonts w:cs="Arial"/>
          <w:i/>
        </w:rPr>
        <w:t>Australia</w:t>
      </w:r>
      <w:r>
        <w:rPr>
          <w:rFonts w:cs="Arial"/>
          <w:i/>
        </w:rPr>
        <w:t xml:space="preserve">, </w:t>
      </w:r>
      <w:r>
        <w:rPr>
          <w:rFonts w:cs="Arial"/>
        </w:rPr>
        <w:t xml:space="preserve">cat.no.6202.0, </w:t>
      </w:r>
      <w:r>
        <w:t>ABS, Canberra.</w:t>
      </w:r>
    </w:p>
    <w:p w:rsidR="00DD09C1" w:rsidRDefault="00DD09C1" w:rsidP="00DD09C1">
      <w:pPr>
        <w:pStyle w:val="References"/>
        <w:rPr>
          <w:rFonts w:cs="Arial"/>
        </w:rPr>
      </w:pPr>
      <w:proofErr w:type="gramStart"/>
      <w:r>
        <w:rPr>
          <w:rFonts w:cs="Arial"/>
        </w:rPr>
        <w:t>——</w:t>
      </w:r>
      <w:r w:rsidRPr="00FC3638">
        <w:rPr>
          <w:rFonts w:cs="Arial"/>
        </w:rPr>
        <w:t>200</w:t>
      </w:r>
      <w:r>
        <w:rPr>
          <w:rFonts w:cs="Arial"/>
        </w:rPr>
        <w:t>8</w:t>
      </w:r>
      <w:r w:rsidRPr="00FC3638">
        <w:rPr>
          <w:rFonts w:cs="Arial"/>
        </w:rPr>
        <w:t>,</w:t>
      </w:r>
      <w:r w:rsidRPr="00FC3638">
        <w:rPr>
          <w:rFonts w:cs="Arial"/>
          <w:b/>
        </w:rPr>
        <w:t xml:space="preserve"> </w:t>
      </w:r>
      <w:r>
        <w:rPr>
          <w:rFonts w:cs="Arial"/>
          <w:i/>
        </w:rPr>
        <w:t>Migration Australia, 2006–</w:t>
      </w:r>
      <w:r w:rsidRPr="00FC3638">
        <w:rPr>
          <w:rFonts w:cs="Arial"/>
          <w:i/>
        </w:rPr>
        <w:t>07</w:t>
      </w:r>
      <w:r>
        <w:rPr>
          <w:rFonts w:cs="Arial"/>
        </w:rPr>
        <w:t>, cat.n</w:t>
      </w:r>
      <w:r w:rsidRPr="00FC3638">
        <w:rPr>
          <w:rFonts w:cs="Arial"/>
        </w:rPr>
        <w:t>o</w:t>
      </w:r>
      <w:r>
        <w:rPr>
          <w:rFonts w:cs="Arial"/>
        </w:rPr>
        <w:t>.</w:t>
      </w:r>
      <w:r w:rsidRPr="00FC3638">
        <w:rPr>
          <w:rFonts w:cs="Arial"/>
        </w:rPr>
        <w:t>3412.0</w:t>
      </w:r>
      <w:r>
        <w:rPr>
          <w:rFonts w:cs="Arial"/>
        </w:rPr>
        <w:t xml:space="preserve">, </w:t>
      </w:r>
      <w:r>
        <w:t>ABS, Canberra.</w:t>
      </w:r>
      <w:proofErr w:type="gramEnd"/>
    </w:p>
    <w:p w:rsidR="00DD09C1" w:rsidRDefault="00DD09C1" w:rsidP="00DD09C1">
      <w:pPr>
        <w:pStyle w:val="References"/>
        <w:rPr>
          <w:rFonts w:cs="Arial"/>
        </w:rPr>
      </w:pPr>
      <w:proofErr w:type="gramStart"/>
      <w:r>
        <w:rPr>
          <w:rFonts w:cs="Arial"/>
        </w:rPr>
        <w:t>——</w:t>
      </w:r>
      <w:r w:rsidRPr="00FC3638">
        <w:rPr>
          <w:rFonts w:cs="Arial"/>
        </w:rPr>
        <w:t>200</w:t>
      </w:r>
      <w:r>
        <w:rPr>
          <w:rFonts w:cs="Arial"/>
        </w:rPr>
        <w:t>9</w:t>
      </w:r>
      <w:r w:rsidRPr="00FC3638">
        <w:rPr>
          <w:rFonts w:cs="Arial"/>
        </w:rPr>
        <w:t>,</w:t>
      </w:r>
      <w:r>
        <w:rPr>
          <w:rFonts w:cs="Arial"/>
        </w:rPr>
        <w:t xml:space="preserve"> </w:t>
      </w:r>
      <w:r w:rsidRPr="00902C02">
        <w:rPr>
          <w:rFonts w:cs="Arial"/>
          <w:i/>
        </w:rPr>
        <w:t>Household income and distribution</w:t>
      </w:r>
      <w:r>
        <w:rPr>
          <w:rFonts w:cs="Arial"/>
        </w:rPr>
        <w:t xml:space="preserve">, cat.no.6253.0, </w:t>
      </w:r>
      <w:r>
        <w:t>ABS, Canberra.</w:t>
      </w:r>
      <w:proofErr w:type="gramEnd"/>
    </w:p>
    <w:p w:rsidR="00DD09C1" w:rsidRPr="009A1D16" w:rsidRDefault="00DD09C1" w:rsidP="00DD09C1">
      <w:pPr>
        <w:pStyle w:val="References"/>
        <w:ind w:right="-435"/>
      </w:pPr>
      <w:r>
        <w:rPr>
          <w:rFonts w:cs="Arial"/>
        </w:rPr>
        <w:t>Australian Qualification Framework (AQF) 2009, viewed 29 May 2009, &lt;</w:t>
      </w:r>
      <w:hyperlink r:id="rId27" w:history="1">
        <w:r w:rsidRPr="009A1D16">
          <w:t>http://www.aqf.edu.au/aqfqual.htm</w:t>
        </w:r>
      </w:hyperlink>
      <w:r w:rsidRPr="009A1D16">
        <w:t>&gt;.</w:t>
      </w:r>
    </w:p>
    <w:p w:rsidR="00DD09C1" w:rsidRPr="009A1D16" w:rsidRDefault="00DD09C1" w:rsidP="00DD09C1">
      <w:pPr>
        <w:pStyle w:val="References"/>
      </w:pPr>
      <w:r>
        <w:rPr>
          <w:rFonts w:cs="Arial"/>
        </w:rPr>
        <w:t xml:space="preserve">Costello, P 2005, ‘Address to the Australian/Melbourne Institute Conference Dinner’, </w:t>
      </w:r>
      <w:proofErr w:type="gramStart"/>
      <w:r w:rsidRPr="00CD4902">
        <w:rPr>
          <w:rFonts w:cs="Arial"/>
          <w:i/>
        </w:rPr>
        <w:t>Sustaining</w:t>
      </w:r>
      <w:proofErr w:type="gramEnd"/>
      <w:r w:rsidRPr="00CD4902">
        <w:rPr>
          <w:rFonts w:cs="Arial"/>
          <w:i/>
        </w:rPr>
        <w:t xml:space="preserve"> prosperity: New reform opportunities for Australia</w:t>
      </w:r>
      <w:r>
        <w:rPr>
          <w:rFonts w:cs="Arial"/>
        </w:rPr>
        <w:t xml:space="preserve">, Hotel </w:t>
      </w:r>
      <w:proofErr w:type="spellStart"/>
      <w:r>
        <w:rPr>
          <w:rFonts w:cs="Arial"/>
        </w:rPr>
        <w:t>Sofitel</w:t>
      </w:r>
      <w:proofErr w:type="spellEnd"/>
      <w:r>
        <w:rPr>
          <w:rFonts w:cs="Arial"/>
        </w:rPr>
        <w:t xml:space="preserve">, Melbourne, 31 March, viewed 7 December 2009, </w:t>
      </w:r>
      <w:r w:rsidRPr="009A1D16">
        <w:t>&lt;http://www.treasurer.gov.au/&gt;.</w:t>
      </w:r>
    </w:p>
    <w:p w:rsidR="00DD09C1" w:rsidRDefault="00DD09C1" w:rsidP="00DD09C1">
      <w:pPr>
        <w:pStyle w:val="References"/>
        <w:rPr>
          <w:bCs/>
        </w:rPr>
      </w:pPr>
      <w:r>
        <w:rPr>
          <w:rFonts w:cs="Arial"/>
        </w:rPr>
        <w:t>Daly, A &amp; Lewis, P 2009, ‘</w:t>
      </w:r>
      <w:proofErr w:type="gramStart"/>
      <w:r w:rsidRPr="00B970D4">
        <w:rPr>
          <w:bCs/>
        </w:rPr>
        <w:t>The</w:t>
      </w:r>
      <w:proofErr w:type="gramEnd"/>
      <w:r w:rsidRPr="00B970D4">
        <w:rPr>
          <w:bCs/>
        </w:rPr>
        <w:t xml:space="preserve"> private rate o</w:t>
      </w:r>
      <w:r>
        <w:rPr>
          <w:bCs/>
        </w:rPr>
        <w:t>f return to an economics degree: A</w:t>
      </w:r>
      <w:r w:rsidRPr="00B970D4">
        <w:rPr>
          <w:bCs/>
        </w:rPr>
        <w:t>n update</w:t>
      </w:r>
      <w:r>
        <w:rPr>
          <w:bCs/>
        </w:rPr>
        <w:t>’, 38</w:t>
      </w:r>
      <w:r w:rsidRPr="00CD4902">
        <w:rPr>
          <w:bCs/>
        </w:rPr>
        <w:t>th</w:t>
      </w:r>
      <w:r>
        <w:rPr>
          <w:bCs/>
        </w:rPr>
        <w:t xml:space="preserve"> Conference of Economists, University of Adelaide, 27–30 September. </w:t>
      </w:r>
    </w:p>
    <w:p w:rsidR="00DD09C1" w:rsidRPr="00B970D4" w:rsidRDefault="00DD09C1" w:rsidP="00DD09C1">
      <w:pPr>
        <w:pStyle w:val="References"/>
        <w:rPr>
          <w:rFonts w:cs="Arial"/>
        </w:rPr>
      </w:pPr>
      <w:proofErr w:type="gramStart"/>
      <w:r>
        <w:rPr>
          <w:szCs w:val="22"/>
        </w:rPr>
        <w:t>Garnett, AM &amp; Lewis, P 2007</w:t>
      </w:r>
      <w:r w:rsidRPr="0080063C">
        <w:rPr>
          <w:szCs w:val="22"/>
        </w:rPr>
        <w:t xml:space="preserve">, ‘Population and employment changes in Australia’, </w:t>
      </w:r>
      <w:r w:rsidRPr="0080063C">
        <w:rPr>
          <w:i/>
          <w:szCs w:val="22"/>
        </w:rPr>
        <w:t>Economic Papers</w:t>
      </w:r>
      <w:r>
        <w:rPr>
          <w:szCs w:val="22"/>
        </w:rPr>
        <w:t>, pp.29–</w:t>
      </w:r>
      <w:r w:rsidRPr="0080063C">
        <w:rPr>
          <w:szCs w:val="22"/>
        </w:rPr>
        <w:t>43.</w:t>
      </w:r>
      <w:proofErr w:type="gramEnd"/>
    </w:p>
    <w:p w:rsidR="00DD09C1" w:rsidRPr="003E5401" w:rsidRDefault="00DD09C1" w:rsidP="00DD09C1">
      <w:pPr>
        <w:pStyle w:val="References"/>
      </w:pPr>
      <w:proofErr w:type="gramStart"/>
      <w:r>
        <w:rPr>
          <w:szCs w:val="22"/>
        </w:rPr>
        <w:t>Hugo, G 2006</w:t>
      </w:r>
      <w:r w:rsidRPr="0080063C">
        <w:rPr>
          <w:szCs w:val="22"/>
        </w:rPr>
        <w:t>, ‘</w:t>
      </w:r>
      <w:r w:rsidRPr="0080063C">
        <w:rPr>
          <w:rFonts w:eastAsia="Arial Unicode MS"/>
          <w:color w:val="000000"/>
          <w:szCs w:val="22"/>
        </w:rPr>
        <w:t xml:space="preserve">Temporary migration and the labour market in Australia’, </w:t>
      </w:r>
      <w:r w:rsidRPr="0080063C">
        <w:rPr>
          <w:rFonts w:eastAsia="Arial Unicode MS"/>
          <w:i/>
          <w:color w:val="000000"/>
          <w:szCs w:val="22"/>
        </w:rPr>
        <w:t>Australian Geographer</w:t>
      </w:r>
      <w:r w:rsidRPr="0080063C">
        <w:rPr>
          <w:rFonts w:eastAsia="Arial Unicode MS"/>
          <w:color w:val="000000"/>
          <w:szCs w:val="22"/>
        </w:rPr>
        <w:t>,</w:t>
      </w:r>
      <w:r>
        <w:rPr>
          <w:rFonts w:eastAsia="Arial Unicode MS"/>
          <w:color w:val="000000"/>
          <w:szCs w:val="22"/>
        </w:rPr>
        <w:t xml:space="preserve"> vol.37, no.</w:t>
      </w:r>
      <w:r w:rsidRPr="0080063C">
        <w:rPr>
          <w:rFonts w:eastAsia="Arial Unicode MS"/>
          <w:color w:val="000000"/>
          <w:szCs w:val="22"/>
        </w:rPr>
        <w:t>2, pp</w:t>
      </w:r>
      <w:r>
        <w:rPr>
          <w:rFonts w:eastAsia="Arial Unicode MS"/>
          <w:color w:val="000000"/>
          <w:szCs w:val="22"/>
        </w:rPr>
        <w:t>.211–</w:t>
      </w:r>
      <w:r w:rsidRPr="0080063C">
        <w:rPr>
          <w:rFonts w:eastAsia="Arial Unicode MS"/>
          <w:color w:val="000000"/>
          <w:szCs w:val="22"/>
        </w:rPr>
        <w:t>31.</w:t>
      </w:r>
      <w:proofErr w:type="gramEnd"/>
    </w:p>
    <w:p w:rsidR="00DD09C1" w:rsidRDefault="00DD09C1" w:rsidP="00DD09C1">
      <w:pPr>
        <w:pStyle w:val="References"/>
        <w:rPr>
          <w:rFonts w:eastAsia="Arial Unicode MS"/>
          <w:color w:val="000000"/>
        </w:rPr>
      </w:pPr>
      <w:proofErr w:type="spellStart"/>
      <w:r>
        <w:rPr>
          <w:rFonts w:eastAsia="Arial Unicode MS"/>
          <w:color w:val="000000"/>
        </w:rPr>
        <w:t>Karmel</w:t>
      </w:r>
      <w:proofErr w:type="spellEnd"/>
      <w:r>
        <w:rPr>
          <w:rFonts w:eastAsia="Arial Unicode MS"/>
          <w:color w:val="000000"/>
        </w:rPr>
        <w:t xml:space="preserve">, T &amp; </w:t>
      </w:r>
      <w:proofErr w:type="spellStart"/>
      <w:r>
        <w:rPr>
          <w:rFonts w:eastAsia="Arial Unicode MS"/>
          <w:color w:val="000000"/>
        </w:rPr>
        <w:t>Ong</w:t>
      </w:r>
      <w:proofErr w:type="spellEnd"/>
      <w:r>
        <w:rPr>
          <w:rFonts w:eastAsia="Arial Unicode MS"/>
          <w:color w:val="000000"/>
        </w:rPr>
        <w:t xml:space="preserve">, K 2007, </w:t>
      </w:r>
      <w:proofErr w:type="gramStart"/>
      <w:r w:rsidRPr="00AC6DED">
        <w:rPr>
          <w:rFonts w:eastAsia="Arial Unicode MS"/>
          <w:i/>
          <w:color w:val="000000"/>
        </w:rPr>
        <w:t>Will</w:t>
      </w:r>
      <w:proofErr w:type="gramEnd"/>
      <w:r w:rsidRPr="00AC6DED">
        <w:rPr>
          <w:rFonts w:eastAsia="Arial Unicode MS"/>
          <w:i/>
          <w:color w:val="000000"/>
        </w:rPr>
        <w:t xml:space="preserve"> we run out of young men? </w:t>
      </w:r>
      <w:proofErr w:type="gramStart"/>
      <w:r w:rsidRPr="00AC6DED">
        <w:rPr>
          <w:rFonts w:eastAsia="Arial Unicode MS"/>
          <w:i/>
          <w:color w:val="000000"/>
        </w:rPr>
        <w:t>Implications for the ageing of the population for trades in Australia</w:t>
      </w:r>
      <w:r>
        <w:rPr>
          <w:rFonts w:eastAsia="Arial Unicode MS"/>
          <w:color w:val="000000"/>
        </w:rPr>
        <w:t>, NCVER, Adelaide.</w:t>
      </w:r>
      <w:proofErr w:type="gramEnd"/>
    </w:p>
    <w:p w:rsidR="00DD09C1" w:rsidRDefault="00DD09C1" w:rsidP="00DD09C1">
      <w:pPr>
        <w:pStyle w:val="References"/>
      </w:pPr>
      <w:proofErr w:type="gramStart"/>
      <w:r>
        <w:t xml:space="preserve">Keating, M </w:t>
      </w:r>
      <w:r w:rsidRPr="009D13D0">
        <w:t xml:space="preserve">2006, </w:t>
      </w:r>
      <w:r>
        <w:t>‘</w:t>
      </w:r>
      <w:r w:rsidRPr="009D13D0">
        <w:t>Increasing employment participation and how to finance it</w:t>
      </w:r>
      <w:r>
        <w:t>’</w:t>
      </w:r>
      <w:r w:rsidRPr="009D13D0">
        <w:t xml:space="preserve">, </w:t>
      </w:r>
      <w:r w:rsidRPr="009D13D0">
        <w:rPr>
          <w:i/>
        </w:rPr>
        <w:t>Australian Bulletin of Labour Studies,</w:t>
      </w:r>
      <w:r w:rsidRPr="009D13D0">
        <w:t xml:space="preserve"> </w:t>
      </w:r>
      <w:r>
        <w:t>vol.32, n</w:t>
      </w:r>
      <w:r w:rsidRPr="009D13D0">
        <w:t>o.2</w:t>
      </w:r>
      <w:r>
        <w:t>, pp.163–</w:t>
      </w:r>
      <w:r w:rsidRPr="009D13D0">
        <w:t>81</w:t>
      </w:r>
      <w:r>
        <w:t>.</w:t>
      </w:r>
      <w:proofErr w:type="gramEnd"/>
    </w:p>
    <w:p w:rsidR="00DD09C1" w:rsidRDefault="00DD09C1" w:rsidP="00DD09C1">
      <w:pPr>
        <w:pStyle w:val="References"/>
      </w:pPr>
      <w:proofErr w:type="gramStart"/>
      <w:r>
        <w:t xml:space="preserve">Kelly, R &amp; Lewis, P 2003, ‘The new economy and the demand for skills’, </w:t>
      </w:r>
      <w:r>
        <w:rPr>
          <w:i/>
          <w:iCs/>
        </w:rPr>
        <w:t>Australian Journal of Labour Economics</w:t>
      </w:r>
      <w:r>
        <w:t>, vol.6, no.1, pp.135–52.</w:t>
      </w:r>
      <w:proofErr w:type="gramEnd"/>
      <w:r>
        <w:t xml:space="preserve"> </w:t>
      </w:r>
    </w:p>
    <w:p w:rsidR="00DD09C1" w:rsidRDefault="00DD09C1" w:rsidP="00DD09C1">
      <w:pPr>
        <w:pStyle w:val="References"/>
        <w:rPr>
          <w:rFonts w:cs="Arial"/>
        </w:rPr>
      </w:pPr>
      <w:r>
        <w:rPr>
          <w:rFonts w:cs="Arial"/>
        </w:rPr>
        <w:t>——2006</w:t>
      </w:r>
      <w:r w:rsidRPr="00FC3638">
        <w:rPr>
          <w:rFonts w:cs="Arial"/>
        </w:rPr>
        <w:t xml:space="preserve">, ‘Measurement of skill and skill change’, in </w:t>
      </w:r>
      <w:r>
        <w:rPr>
          <w:rFonts w:cs="Arial"/>
        </w:rPr>
        <w:t xml:space="preserve">P </w:t>
      </w:r>
      <w:r w:rsidRPr="00FC3638">
        <w:rPr>
          <w:rFonts w:cs="Arial"/>
        </w:rPr>
        <w:t xml:space="preserve">Brown, </w:t>
      </w:r>
      <w:r>
        <w:rPr>
          <w:rFonts w:cs="Arial"/>
        </w:rPr>
        <w:t>S Liu &amp;</w:t>
      </w:r>
      <w:r w:rsidRPr="00FC3638">
        <w:rPr>
          <w:rFonts w:cs="Arial"/>
        </w:rPr>
        <w:t xml:space="preserve"> </w:t>
      </w:r>
      <w:r>
        <w:rPr>
          <w:rFonts w:cs="Arial"/>
        </w:rPr>
        <w:t xml:space="preserve">D </w:t>
      </w:r>
      <w:r w:rsidRPr="00FC3638">
        <w:rPr>
          <w:rFonts w:cs="Arial"/>
        </w:rPr>
        <w:t xml:space="preserve">Sharma, </w:t>
      </w:r>
      <w:r w:rsidRPr="00FC3638">
        <w:rPr>
          <w:rFonts w:cs="Arial"/>
          <w:i/>
        </w:rPr>
        <w:t>Contributions to probability and statistics: Applications and challenges</w:t>
      </w:r>
      <w:r w:rsidRPr="00FC3638">
        <w:rPr>
          <w:rFonts w:cs="Arial"/>
        </w:rPr>
        <w:t>, World Scientific, Singapore</w:t>
      </w:r>
      <w:r>
        <w:rPr>
          <w:rFonts w:cs="Arial"/>
        </w:rPr>
        <w:t>, Chapter 3</w:t>
      </w:r>
      <w:r w:rsidRPr="00FC3638">
        <w:rPr>
          <w:rFonts w:cs="Arial"/>
        </w:rPr>
        <w:t>.</w:t>
      </w:r>
    </w:p>
    <w:p w:rsidR="00DD09C1" w:rsidRDefault="00DD09C1" w:rsidP="00DD09C1">
      <w:pPr>
        <w:pStyle w:val="References"/>
        <w:rPr>
          <w:rFonts w:cs="Arial"/>
        </w:rPr>
      </w:pPr>
      <w:r>
        <w:rPr>
          <w:rFonts w:cs="Arial"/>
        </w:rPr>
        <w:t xml:space="preserve">Lewis, P </w:t>
      </w:r>
      <w:r w:rsidRPr="00FC3638">
        <w:rPr>
          <w:rFonts w:cs="Arial"/>
        </w:rPr>
        <w:t>2008</w:t>
      </w:r>
      <w:r>
        <w:rPr>
          <w:rFonts w:cs="Arial"/>
        </w:rPr>
        <w:t>a,</w:t>
      </w:r>
      <w:r w:rsidRPr="00FC3638">
        <w:rPr>
          <w:rFonts w:cs="Arial"/>
        </w:rPr>
        <w:t xml:space="preserve"> ‘</w:t>
      </w:r>
      <w:proofErr w:type="gramStart"/>
      <w:r w:rsidRPr="00FC3638">
        <w:rPr>
          <w:rFonts w:cs="Arial"/>
        </w:rPr>
        <w:t>The</w:t>
      </w:r>
      <w:proofErr w:type="gramEnd"/>
      <w:r w:rsidRPr="00FC3638">
        <w:rPr>
          <w:rFonts w:cs="Arial"/>
        </w:rPr>
        <w:t xml:space="preserve"> first two decisions of the Aus</w:t>
      </w:r>
      <w:r>
        <w:rPr>
          <w:rFonts w:cs="Arial"/>
        </w:rPr>
        <w:t>tralian Fair Pay Commission: A c</w:t>
      </w:r>
      <w:r w:rsidRPr="00FC3638">
        <w:rPr>
          <w:rFonts w:cs="Arial"/>
        </w:rPr>
        <w:t xml:space="preserve">ritique’, </w:t>
      </w:r>
      <w:r w:rsidRPr="00FC3638">
        <w:rPr>
          <w:rFonts w:cs="Arial"/>
          <w:i/>
        </w:rPr>
        <w:t>Agenda</w:t>
      </w:r>
      <w:r>
        <w:rPr>
          <w:rFonts w:cs="Arial"/>
        </w:rPr>
        <w:t>, vol.</w:t>
      </w:r>
      <w:r w:rsidRPr="00FC3638">
        <w:rPr>
          <w:rFonts w:cs="Arial"/>
        </w:rPr>
        <w:t>15</w:t>
      </w:r>
      <w:r>
        <w:rPr>
          <w:rFonts w:cs="Arial"/>
        </w:rPr>
        <w:t>, n</w:t>
      </w:r>
      <w:r w:rsidRPr="00FC3638">
        <w:rPr>
          <w:rFonts w:cs="Arial"/>
        </w:rPr>
        <w:t>o</w:t>
      </w:r>
      <w:r>
        <w:rPr>
          <w:rFonts w:cs="Arial"/>
        </w:rPr>
        <w:t>.2, pp.</w:t>
      </w:r>
      <w:r w:rsidRPr="00FC3638">
        <w:rPr>
          <w:rFonts w:cs="Arial"/>
        </w:rPr>
        <w:t>45–64.</w:t>
      </w:r>
    </w:p>
    <w:p w:rsidR="00DD09C1" w:rsidRPr="0058275E" w:rsidRDefault="00DD09C1" w:rsidP="00DD09C1">
      <w:pPr>
        <w:pStyle w:val="References"/>
      </w:pPr>
      <w:r>
        <w:t xml:space="preserve">——2008b, </w:t>
      </w:r>
      <w:proofErr w:type="gramStart"/>
      <w:r w:rsidRPr="0058275E">
        <w:rPr>
          <w:i/>
        </w:rPr>
        <w:t>The</w:t>
      </w:r>
      <w:proofErr w:type="gramEnd"/>
      <w:r w:rsidRPr="0058275E">
        <w:rPr>
          <w:i/>
        </w:rPr>
        <w:t xml:space="preserve"> labour market, skills demand and skills formation</w:t>
      </w:r>
      <w:r>
        <w:t>, Research report no.6, Academy of Social Sciences in Australia, Canberra.</w:t>
      </w:r>
    </w:p>
    <w:p w:rsidR="00DD09C1" w:rsidRDefault="00DD09C1" w:rsidP="00DD09C1">
      <w:pPr>
        <w:pStyle w:val="References"/>
        <w:rPr>
          <w:rFonts w:cs="Arial"/>
        </w:rPr>
      </w:pPr>
      <w:r>
        <w:rPr>
          <w:rFonts w:cs="Arial"/>
        </w:rPr>
        <w:t xml:space="preserve">Lewis, P, Garnett, </w:t>
      </w:r>
      <w:proofErr w:type="gramStart"/>
      <w:r>
        <w:rPr>
          <w:rFonts w:cs="Arial"/>
        </w:rPr>
        <w:t>A</w:t>
      </w:r>
      <w:proofErr w:type="gramEnd"/>
      <w:r>
        <w:rPr>
          <w:rFonts w:cs="Arial"/>
        </w:rPr>
        <w:t xml:space="preserve">, </w:t>
      </w:r>
      <w:proofErr w:type="spellStart"/>
      <w:r>
        <w:rPr>
          <w:rFonts w:cs="Arial"/>
        </w:rPr>
        <w:t>Hawtrey</w:t>
      </w:r>
      <w:proofErr w:type="spellEnd"/>
      <w:r>
        <w:rPr>
          <w:rFonts w:cs="Arial"/>
        </w:rPr>
        <w:t xml:space="preserve">, K &amp; </w:t>
      </w:r>
      <w:proofErr w:type="spellStart"/>
      <w:r>
        <w:rPr>
          <w:rFonts w:cs="Arial"/>
        </w:rPr>
        <w:t>Treadgold</w:t>
      </w:r>
      <w:proofErr w:type="spellEnd"/>
      <w:r>
        <w:rPr>
          <w:rFonts w:cs="Arial"/>
        </w:rPr>
        <w:t>, M (</w:t>
      </w:r>
      <w:proofErr w:type="spellStart"/>
      <w:r>
        <w:rPr>
          <w:rFonts w:cs="Arial"/>
        </w:rPr>
        <w:t>eds</w:t>
      </w:r>
      <w:proofErr w:type="spellEnd"/>
      <w:r>
        <w:rPr>
          <w:rFonts w:cs="Arial"/>
        </w:rPr>
        <w:t>) 2006</w:t>
      </w:r>
      <w:r w:rsidRPr="00FC3638">
        <w:rPr>
          <w:rFonts w:cs="Arial"/>
        </w:rPr>
        <w:t xml:space="preserve">, </w:t>
      </w:r>
      <w:r w:rsidRPr="00FC3638">
        <w:rPr>
          <w:rFonts w:cs="Arial"/>
          <w:i/>
          <w:iCs/>
        </w:rPr>
        <w:t>Issues, indicators and ideas</w:t>
      </w:r>
      <w:r>
        <w:rPr>
          <w:rFonts w:cs="Arial"/>
          <w:i/>
          <w:iCs/>
        </w:rPr>
        <w:t>: A guide to the Australian e</w:t>
      </w:r>
      <w:r w:rsidRPr="00FC3638">
        <w:rPr>
          <w:rFonts w:cs="Arial"/>
          <w:i/>
          <w:iCs/>
        </w:rPr>
        <w:t>conomy</w:t>
      </w:r>
      <w:r>
        <w:rPr>
          <w:rFonts w:cs="Arial"/>
        </w:rPr>
        <w:t xml:space="preserve">, 4th </w:t>
      </w:r>
      <w:proofErr w:type="spellStart"/>
      <w:r>
        <w:rPr>
          <w:rFonts w:cs="Arial"/>
        </w:rPr>
        <w:t>edn</w:t>
      </w:r>
      <w:proofErr w:type="spellEnd"/>
      <w:r w:rsidRPr="00FC3638">
        <w:rPr>
          <w:rFonts w:cs="Arial"/>
        </w:rPr>
        <w:t>, Pearson Education, Sydney.</w:t>
      </w:r>
    </w:p>
    <w:p w:rsidR="00DD09C1" w:rsidRPr="007B124D" w:rsidRDefault="00DD09C1" w:rsidP="00DD09C1">
      <w:pPr>
        <w:pStyle w:val="References"/>
        <w:rPr>
          <w:rFonts w:cs="Arial"/>
          <w:bCs/>
        </w:rPr>
      </w:pPr>
      <w:r>
        <w:rPr>
          <w:rFonts w:cs="Arial"/>
          <w:bCs/>
        </w:rPr>
        <w:t>NCVER</w:t>
      </w:r>
      <w:r w:rsidRPr="00FC3638">
        <w:rPr>
          <w:rFonts w:cs="Arial"/>
          <w:bCs/>
        </w:rPr>
        <w:t xml:space="preserve"> </w:t>
      </w:r>
      <w:r>
        <w:rPr>
          <w:rFonts w:cs="Arial"/>
          <w:bCs/>
        </w:rPr>
        <w:t>(</w:t>
      </w:r>
      <w:r w:rsidRPr="00FC3638">
        <w:rPr>
          <w:rFonts w:cs="Arial"/>
          <w:bCs/>
        </w:rPr>
        <w:t>National Centre for Vocational Education Research</w:t>
      </w:r>
      <w:r>
        <w:rPr>
          <w:rFonts w:cs="Arial"/>
          <w:bCs/>
        </w:rPr>
        <w:t xml:space="preserve">) 2008, </w:t>
      </w:r>
      <w:r>
        <w:rPr>
          <w:rFonts w:cs="Arial"/>
          <w:bCs/>
          <w:i/>
        </w:rPr>
        <w:t>Apprentices and trainees:</w:t>
      </w:r>
      <w:r w:rsidRPr="007B124D">
        <w:rPr>
          <w:rFonts w:cs="Arial"/>
          <w:bCs/>
          <w:i/>
        </w:rPr>
        <w:t xml:space="preserve"> Annual</w:t>
      </w:r>
      <w:r>
        <w:rPr>
          <w:rFonts w:cs="Arial"/>
          <w:bCs/>
          <w:i/>
        </w:rPr>
        <w:t xml:space="preserve">, </w:t>
      </w:r>
      <w:r>
        <w:rPr>
          <w:rFonts w:cs="Arial"/>
          <w:bCs/>
        </w:rPr>
        <w:t xml:space="preserve">NCVER, </w:t>
      </w:r>
      <w:proofErr w:type="gramStart"/>
      <w:r>
        <w:rPr>
          <w:rFonts w:cs="Arial"/>
          <w:bCs/>
        </w:rPr>
        <w:t>Adelaide</w:t>
      </w:r>
      <w:proofErr w:type="gramEnd"/>
      <w:r>
        <w:rPr>
          <w:rFonts w:cs="Arial"/>
          <w:bCs/>
        </w:rPr>
        <w:t>.</w:t>
      </w:r>
    </w:p>
    <w:p w:rsidR="00DD09C1" w:rsidRPr="00FC3638" w:rsidRDefault="00DD09C1" w:rsidP="00DD09C1">
      <w:pPr>
        <w:pStyle w:val="References"/>
        <w:rPr>
          <w:rFonts w:cs="Arial"/>
          <w:bCs/>
        </w:rPr>
      </w:pPr>
      <w:r w:rsidRPr="00FC3638">
        <w:rPr>
          <w:rFonts w:cs="Arial"/>
          <w:bCs/>
        </w:rPr>
        <w:t>Richardson</w:t>
      </w:r>
      <w:r>
        <w:rPr>
          <w:rFonts w:cs="Arial"/>
          <w:bCs/>
        </w:rPr>
        <w:t>, S 2007</w:t>
      </w:r>
      <w:r w:rsidRPr="00FC3638">
        <w:rPr>
          <w:rFonts w:cs="Arial"/>
          <w:bCs/>
        </w:rPr>
        <w:t xml:space="preserve">, </w:t>
      </w:r>
      <w:r w:rsidRPr="00FC3638">
        <w:rPr>
          <w:rFonts w:cs="Arial"/>
          <w:bCs/>
          <w:i/>
        </w:rPr>
        <w:t xml:space="preserve">What is a </w:t>
      </w:r>
      <w:r>
        <w:rPr>
          <w:rFonts w:cs="Arial"/>
          <w:bCs/>
          <w:i/>
        </w:rPr>
        <w:t xml:space="preserve">skill </w:t>
      </w:r>
      <w:r w:rsidRPr="00FC3638">
        <w:rPr>
          <w:rFonts w:cs="Arial"/>
          <w:bCs/>
          <w:i/>
        </w:rPr>
        <w:t>shortage</w:t>
      </w:r>
      <w:proofErr w:type="gramStart"/>
      <w:r>
        <w:rPr>
          <w:rFonts w:cs="Arial"/>
          <w:bCs/>
          <w:i/>
        </w:rPr>
        <w:t>?</w:t>
      </w:r>
      <w:r w:rsidRPr="00FC3638">
        <w:rPr>
          <w:rFonts w:cs="Arial"/>
          <w:bCs/>
        </w:rPr>
        <w:t>,</w:t>
      </w:r>
      <w:proofErr w:type="gramEnd"/>
      <w:r w:rsidRPr="00FC3638">
        <w:rPr>
          <w:rFonts w:cs="Arial"/>
          <w:bCs/>
        </w:rPr>
        <w:t xml:space="preserve"> </w:t>
      </w:r>
      <w:r>
        <w:rPr>
          <w:rFonts w:cs="Arial"/>
          <w:bCs/>
        </w:rPr>
        <w:t>NCVER</w:t>
      </w:r>
      <w:r w:rsidRPr="00FC3638">
        <w:rPr>
          <w:rFonts w:cs="Arial"/>
          <w:bCs/>
        </w:rPr>
        <w:t>, Adelaide.</w:t>
      </w:r>
    </w:p>
    <w:p w:rsidR="00DD09C1" w:rsidRPr="00F24BA8" w:rsidRDefault="00DD09C1" w:rsidP="00DD09C1">
      <w:pPr>
        <w:pStyle w:val="References"/>
        <w:rPr>
          <w:rFonts w:cs="Arial"/>
          <w:bCs/>
        </w:rPr>
      </w:pPr>
      <w:r w:rsidRPr="00F24BA8">
        <w:rPr>
          <w:rFonts w:cs="Arial"/>
          <w:bCs/>
        </w:rPr>
        <w:t xml:space="preserve">Webster, E, Dockery, M, </w:t>
      </w:r>
      <w:proofErr w:type="spellStart"/>
      <w:r w:rsidRPr="00F24BA8">
        <w:rPr>
          <w:rFonts w:cs="Arial"/>
          <w:bCs/>
        </w:rPr>
        <w:t>Bainger</w:t>
      </w:r>
      <w:proofErr w:type="spellEnd"/>
      <w:r w:rsidRPr="00F24BA8">
        <w:rPr>
          <w:rFonts w:cs="Arial"/>
          <w:bCs/>
        </w:rPr>
        <w:t xml:space="preserve">, T </w:t>
      </w:r>
      <w:r>
        <w:rPr>
          <w:rFonts w:cs="Arial"/>
          <w:bCs/>
        </w:rPr>
        <w:t>&amp;</w:t>
      </w:r>
      <w:r w:rsidRPr="00F24BA8">
        <w:rPr>
          <w:rFonts w:cs="Arial"/>
          <w:bCs/>
        </w:rPr>
        <w:t xml:space="preserve"> Kelly, R 2001, </w:t>
      </w:r>
      <w:proofErr w:type="gramStart"/>
      <w:r w:rsidRPr="00100D9C">
        <w:rPr>
          <w:rFonts w:cs="Arial"/>
          <w:bCs/>
          <w:i/>
        </w:rPr>
        <w:t>Training</w:t>
      </w:r>
      <w:proofErr w:type="gramEnd"/>
      <w:r w:rsidRPr="00100D9C">
        <w:rPr>
          <w:rFonts w:cs="Arial"/>
          <w:bCs/>
          <w:i/>
        </w:rPr>
        <w:t xml:space="preserve"> for the skilled trades in Australia, 1980 to 2000: Training reforms</w:t>
      </w:r>
      <w:r w:rsidRPr="00F24BA8">
        <w:rPr>
          <w:rFonts w:cs="Arial"/>
          <w:bCs/>
        </w:rPr>
        <w:t xml:space="preserve">, </w:t>
      </w:r>
      <w:r>
        <w:rPr>
          <w:rFonts w:cs="Arial"/>
          <w:bCs/>
        </w:rPr>
        <w:t>NCVER,</w:t>
      </w:r>
      <w:r w:rsidRPr="00F24BA8">
        <w:rPr>
          <w:rFonts w:cs="Arial"/>
          <w:bCs/>
        </w:rPr>
        <w:t xml:space="preserve"> Adelaide.</w:t>
      </w:r>
    </w:p>
    <w:sectPr w:rsidR="00DD09C1" w:rsidRPr="00F24BA8" w:rsidSect="00DD09C1">
      <w:footerReference w:type="even" r:id="rId28"/>
      <w:footerReference w:type="default" r:id="rId29"/>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C1" w:rsidRDefault="00DD09C1">
      <w:r>
        <w:separator/>
      </w:r>
    </w:p>
  </w:endnote>
  <w:endnote w:type="continuationSeparator" w:id="0">
    <w:p w:rsidR="00DD09C1" w:rsidRDefault="00DD0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1" w:rsidRPr="00560870" w:rsidRDefault="00DD09C1" w:rsidP="00DD09C1">
    <w:pPr>
      <w:pStyle w:val="Footer"/>
    </w:pPr>
  </w:p>
  <w:p w:rsidR="00DD09C1" w:rsidRDefault="00631943" w:rsidP="00DD09C1">
    <w:pPr>
      <w:pStyle w:val="Footer"/>
      <w:pBdr>
        <w:top w:val="single" w:sz="4" w:space="1" w:color="auto"/>
      </w:pBdr>
    </w:pPr>
    <w:r w:rsidRPr="00560870">
      <w:rPr>
        <w:rStyle w:val="PageNumber"/>
      </w:rPr>
      <w:fldChar w:fldCharType="begin"/>
    </w:r>
    <w:r w:rsidR="00DD09C1" w:rsidRPr="00560870">
      <w:rPr>
        <w:rStyle w:val="PageNumber"/>
      </w:rPr>
      <w:instrText xml:space="preserve"> PAGE </w:instrText>
    </w:r>
    <w:r w:rsidRPr="00560870">
      <w:rPr>
        <w:rStyle w:val="PageNumber"/>
      </w:rPr>
      <w:fldChar w:fldCharType="separate"/>
    </w:r>
    <w:r w:rsidR="000D09B7">
      <w:rPr>
        <w:rStyle w:val="PageNumber"/>
        <w:noProof/>
      </w:rPr>
      <w:t>6</w:t>
    </w:r>
    <w:r w:rsidRPr="00560870">
      <w:rPr>
        <w:rStyle w:val="PageNumber"/>
      </w:rPr>
      <w:fldChar w:fldCharType="end"/>
    </w:r>
    <w:r w:rsidR="00DD09C1" w:rsidRPr="00560870">
      <w:rPr>
        <w:rStyle w:val="PageNumber"/>
      </w:rPr>
      <w:tab/>
    </w:r>
    <w:r w:rsidR="00DD09C1">
      <w:rPr>
        <w:rStyle w:val="PageNumber"/>
      </w:rPr>
      <w:t xml:space="preserve">Where </w:t>
    </w:r>
    <w:proofErr w:type="spellStart"/>
    <w:r w:rsidR="00DD09C1">
      <w:t>tradies</w:t>
    </w:r>
    <w:proofErr w:type="spellEnd"/>
    <w:r w:rsidR="00DD09C1" w:rsidRPr="00560870">
      <w:t xml:space="preserve"> </w:t>
    </w:r>
    <w:r w:rsidR="00DD09C1">
      <w:t xml:space="preserve">work: </w:t>
    </w:r>
    <w:r w:rsidR="00DD09C1" w:rsidRPr="00560870">
      <w:t>A</w:t>
    </w:r>
    <w:r w:rsidR="00DD09C1">
      <w:t xml:space="preserve"> regional analysis of the labour market for tradespeople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C1" w:rsidRDefault="00DD09C1">
    <w:pPr>
      <w:pStyle w:val="Footer"/>
    </w:pPr>
  </w:p>
  <w:p w:rsidR="00DD09C1" w:rsidRDefault="00DD09C1">
    <w:pPr>
      <w:pStyle w:val="Footer"/>
      <w:pBdr>
        <w:top w:val="single" w:sz="4" w:space="1" w:color="auto"/>
      </w:pBdr>
    </w:pPr>
    <w:r>
      <w:t>NCVER</w:t>
    </w:r>
    <w:r>
      <w:tab/>
    </w:r>
    <w:r w:rsidR="00631943">
      <w:rPr>
        <w:rStyle w:val="PageNumber"/>
      </w:rPr>
      <w:fldChar w:fldCharType="begin"/>
    </w:r>
    <w:r>
      <w:rPr>
        <w:rStyle w:val="PageNumber"/>
      </w:rPr>
      <w:instrText xml:space="preserve"> PAGE </w:instrText>
    </w:r>
    <w:r w:rsidR="00631943">
      <w:rPr>
        <w:rStyle w:val="PageNumber"/>
      </w:rPr>
      <w:fldChar w:fldCharType="separate"/>
    </w:r>
    <w:r w:rsidR="000D09B7">
      <w:rPr>
        <w:rStyle w:val="PageNumber"/>
        <w:noProof/>
      </w:rPr>
      <w:t>5</w:t>
    </w:r>
    <w:r w:rsidR="0063194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C1" w:rsidRDefault="00DD09C1">
      <w:r>
        <w:separator/>
      </w:r>
    </w:p>
  </w:footnote>
  <w:footnote w:type="continuationSeparator" w:id="0">
    <w:p w:rsidR="00DD09C1" w:rsidRDefault="00DD0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15E31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023B0A"/>
    <w:lvl w:ilvl="0">
      <w:start w:val="1"/>
      <w:numFmt w:val="decimal"/>
      <w:lvlText w:val="%1."/>
      <w:lvlJc w:val="left"/>
      <w:pPr>
        <w:tabs>
          <w:tab w:val="num" w:pos="1492"/>
        </w:tabs>
        <w:ind w:left="1492" w:hanging="360"/>
      </w:pPr>
    </w:lvl>
  </w:abstractNum>
  <w:abstractNum w:abstractNumId="2">
    <w:nsid w:val="FFFFFF7D"/>
    <w:multiLevelType w:val="singleLevel"/>
    <w:tmpl w:val="DE1EAF70"/>
    <w:lvl w:ilvl="0">
      <w:start w:val="1"/>
      <w:numFmt w:val="decimal"/>
      <w:lvlText w:val="%1."/>
      <w:lvlJc w:val="left"/>
      <w:pPr>
        <w:tabs>
          <w:tab w:val="num" w:pos="1209"/>
        </w:tabs>
        <w:ind w:left="1209" w:hanging="360"/>
      </w:pPr>
    </w:lvl>
  </w:abstractNum>
  <w:abstractNum w:abstractNumId="3">
    <w:nsid w:val="FFFFFF7E"/>
    <w:multiLevelType w:val="singleLevel"/>
    <w:tmpl w:val="38CEC88A"/>
    <w:lvl w:ilvl="0">
      <w:start w:val="1"/>
      <w:numFmt w:val="decimal"/>
      <w:lvlText w:val="%1."/>
      <w:lvlJc w:val="left"/>
      <w:pPr>
        <w:tabs>
          <w:tab w:val="num" w:pos="926"/>
        </w:tabs>
        <w:ind w:left="926" w:hanging="360"/>
      </w:pPr>
    </w:lvl>
  </w:abstractNum>
  <w:abstractNum w:abstractNumId="4">
    <w:nsid w:val="FFFFFF7F"/>
    <w:multiLevelType w:val="singleLevel"/>
    <w:tmpl w:val="ED8821E8"/>
    <w:lvl w:ilvl="0">
      <w:start w:val="1"/>
      <w:numFmt w:val="decimal"/>
      <w:lvlText w:val="%1."/>
      <w:lvlJc w:val="left"/>
      <w:pPr>
        <w:tabs>
          <w:tab w:val="num" w:pos="643"/>
        </w:tabs>
        <w:ind w:left="643" w:hanging="360"/>
      </w:pPr>
    </w:lvl>
  </w:abstractNum>
  <w:abstractNum w:abstractNumId="5">
    <w:nsid w:val="FFFFFF80"/>
    <w:multiLevelType w:val="singleLevel"/>
    <w:tmpl w:val="ED66295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0D81A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098D36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DD0AC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0F27DB4"/>
    <w:lvl w:ilvl="0">
      <w:start w:val="1"/>
      <w:numFmt w:val="decimal"/>
      <w:lvlText w:val="%1."/>
      <w:lvlJc w:val="left"/>
      <w:pPr>
        <w:tabs>
          <w:tab w:val="num" w:pos="360"/>
        </w:tabs>
        <w:ind w:left="360" w:hanging="360"/>
      </w:pPr>
    </w:lvl>
  </w:abstractNum>
  <w:abstractNum w:abstractNumId="10">
    <w:nsid w:val="FFFFFF89"/>
    <w:multiLevelType w:val="singleLevel"/>
    <w:tmpl w:val="695C587A"/>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13">
    <w:nsid w:val="0F4E5191"/>
    <w:multiLevelType w:val="hybridMultilevel"/>
    <w:tmpl w:val="AE0A406E"/>
    <w:lvl w:ilvl="0" w:tplc="BAFE2FC8">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15">
    <w:nsid w:val="1F0A06C9"/>
    <w:multiLevelType w:val="hybridMultilevel"/>
    <w:tmpl w:val="E39214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0A22D3B"/>
    <w:multiLevelType w:val="hybridMultilevel"/>
    <w:tmpl w:val="A08C883A"/>
    <w:lvl w:ilvl="0" w:tplc="A1663B3C">
      <w:start w:val="1"/>
      <w:numFmt w:val="bullet"/>
      <w:lvlText w:val="•"/>
      <w:lvlJc w:val="left"/>
      <w:pPr>
        <w:tabs>
          <w:tab w:val="num" w:pos="360"/>
        </w:tabs>
        <w:ind w:left="360" w:hanging="360"/>
      </w:pPr>
      <w:rPr>
        <w:rFonts w:ascii="Times New Roman" w:hAnsi="Times New Roman" w:hint="default"/>
        <w:lang w:val="en-AU"/>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99446AC"/>
    <w:multiLevelType w:val="hybridMultilevel"/>
    <w:tmpl w:val="0314978A"/>
    <w:lvl w:ilvl="0" w:tplc="1DFEE2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782F8A"/>
    <w:multiLevelType w:val="hybridMultilevel"/>
    <w:tmpl w:val="E064F4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A75A34"/>
    <w:multiLevelType w:val="hybridMultilevel"/>
    <w:tmpl w:val="8A3246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AA0A67"/>
    <w:multiLevelType w:val="hybridMultilevel"/>
    <w:tmpl w:val="9E025F9E"/>
    <w:lvl w:ilvl="0" w:tplc="71D45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EF3DDD"/>
    <w:multiLevelType w:val="hybridMultilevel"/>
    <w:tmpl w:val="FC782A0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BD7A03"/>
    <w:multiLevelType w:val="hybridMultilevel"/>
    <w:tmpl w:val="45FC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614312"/>
    <w:multiLevelType w:val="multilevel"/>
    <w:tmpl w:val="574C4F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E110F2F"/>
    <w:multiLevelType w:val="hybridMultilevel"/>
    <w:tmpl w:val="574C4F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47145F"/>
    <w:multiLevelType w:val="hybridMultilevel"/>
    <w:tmpl w:val="8FFA03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B7712F4"/>
    <w:multiLevelType w:val="multilevel"/>
    <w:tmpl w:val="FC782A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25"/>
  </w:num>
  <w:num w:numId="5">
    <w:abstractNumId w:val="17"/>
  </w:num>
  <w:num w:numId="6">
    <w:abstractNumId w:val="19"/>
  </w:num>
  <w:num w:numId="7">
    <w:abstractNumId w:val="24"/>
  </w:num>
  <w:num w:numId="8">
    <w:abstractNumId w:val="23"/>
  </w:num>
  <w:num w:numId="9">
    <w:abstractNumId w:val="2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6"/>
  </w:num>
  <w:num w:numId="21">
    <w:abstractNumId w:val="13"/>
  </w:num>
  <w:num w:numId="22">
    <w:abstractNumId w:val="21"/>
  </w:num>
  <w:num w:numId="23">
    <w:abstractNumId w:val="26"/>
  </w:num>
  <w:num w:numId="24">
    <w:abstractNumId w:val="18"/>
  </w:num>
  <w:num w:numId="25">
    <w:abstractNumId w:val="15"/>
  </w:num>
  <w:num w:numId="26">
    <w:abstractNumId w:val="22"/>
  </w:num>
  <w:num w:numId="27">
    <w:abstractNumId w:val="0"/>
  </w:num>
  <w:num w:numId="28">
    <w:abstractNumId w:val="12"/>
  </w:num>
  <w:num w:numId="29">
    <w:abstractNumId w:val="14"/>
  </w:num>
  <w:num w:numId="30">
    <w:abstractNumId w:val="12"/>
  </w:num>
  <w:num w:numId="31">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0004"/>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8193">
      <o:colormenu v:ext="edit" strokecolor="none [3213]"/>
    </o:shapedefaults>
  </w:hdrShapeDefaults>
  <w:footnotePr>
    <w:footnote w:id="-1"/>
    <w:footnote w:id="0"/>
  </w:footnotePr>
  <w:endnotePr>
    <w:endnote w:id="-1"/>
    <w:endnote w:id="0"/>
  </w:endnotePr>
  <w:compat/>
  <w:rsids>
    <w:rsidRoot w:val="00152A66"/>
    <w:rsid w:val="0001619E"/>
    <w:rsid w:val="000D09B7"/>
    <w:rsid w:val="00152A66"/>
    <w:rsid w:val="00631943"/>
    <w:rsid w:val="00DD09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strokecolor="none [3213]"/>
    </o:shapedefaults>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33DE1"/>
    <w:pPr>
      <w:spacing w:before="160" w:line="260" w:lineRule="exact"/>
    </w:pPr>
    <w:rPr>
      <w:rFonts w:ascii="Garamond" w:hAnsi="Garamond"/>
      <w:sz w:val="22"/>
      <w:lang w:eastAsia="en-US"/>
    </w:rPr>
  </w:style>
  <w:style w:type="paragraph" w:styleId="Heading1">
    <w:name w:val="heading 1"/>
    <w:next w:val="Text"/>
    <w:qFormat/>
    <w:rsid w:val="00833DE1"/>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Text"/>
    <w:qFormat/>
    <w:rsid w:val="00833DE1"/>
    <w:pPr>
      <w:keepNext/>
      <w:spacing w:before="440"/>
      <w:outlineLvl w:val="1"/>
    </w:pPr>
    <w:rPr>
      <w:rFonts w:ascii="Garamond" w:hAnsi="Garamond"/>
      <w:sz w:val="36"/>
      <w:lang w:eastAsia="en-US"/>
    </w:rPr>
  </w:style>
  <w:style w:type="paragraph" w:styleId="Heading3">
    <w:name w:val="heading 3"/>
    <w:next w:val="Text"/>
    <w:qFormat/>
    <w:rsid w:val="00833DE1"/>
    <w:pPr>
      <w:spacing w:before="280"/>
      <w:outlineLvl w:val="2"/>
    </w:pPr>
    <w:rPr>
      <w:rFonts w:ascii="Garamond" w:hAnsi="Garamond"/>
      <w:sz w:val="28"/>
      <w:lang w:eastAsia="en-US"/>
    </w:rPr>
  </w:style>
  <w:style w:type="paragraph" w:styleId="Heading4">
    <w:name w:val="heading 4"/>
    <w:next w:val="Text"/>
    <w:qFormat/>
    <w:rsid w:val="00833DE1"/>
    <w:pPr>
      <w:spacing w:before="240"/>
      <w:outlineLvl w:val="3"/>
    </w:pPr>
    <w:rPr>
      <w:rFonts w:ascii="Garamond" w:hAnsi="Garamond"/>
      <w:i/>
      <w:sz w:val="28"/>
      <w:lang w:eastAsia="en-US"/>
    </w:rPr>
  </w:style>
  <w:style w:type="paragraph" w:styleId="Heading5">
    <w:name w:val="heading 5"/>
    <w:basedOn w:val="Normal"/>
    <w:next w:val="Normal"/>
    <w:qFormat/>
    <w:rsid w:val="00BA6DEA"/>
    <w:pPr>
      <w:keepNext/>
      <w:outlineLvl w:val="4"/>
    </w:pPr>
    <w:rPr>
      <w:b/>
    </w:rPr>
  </w:style>
  <w:style w:type="paragraph" w:styleId="Heading6">
    <w:name w:val="heading 6"/>
    <w:basedOn w:val="Normal"/>
    <w:next w:val="Normal"/>
    <w:qFormat/>
    <w:rsid w:val="00631943"/>
    <w:pPr>
      <w:keepNext/>
      <w:ind w:left="2977"/>
      <w:outlineLvl w:val="5"/>
    </w:pPr>
    <w:rPr>
      <w:sz w:val="36"/>
    </w:rPr>
  </w:style>
  <w:style w:type="paragraph" w:styleId="Heading7">
    <w:name w:val="heading 7"/>
    <w:basedOn w:val="Normal"/>
    <w:next w:val="Normal"/>
    <w:qFormat/>
    <w:rsid w:val="00631943"/>
    <w:pPr>
      <w:keepNext/>
      <w:jc w:val="center"/>
      <w:outlineLvl w:val="6"/>
    </w:pPr>
    <w:rPr>
      <w:b/>
      <w:spacing w:val="20"/>
      <w:sz w:val="36"/>
    </w:rPr>
  </w:style>
  <w:style w:type="paragraph" w:styleId="Heading8">
    <w:name w:val="heading 8"/>
    <w:basedOn w:val="Normal"/>
    <w:next w:val="Normal"/>
    <w:qFormat/>
    <w:rsid w:val="00631943"/>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2B1A38"/>
    <w:pPr>
      <w:spacing w:before="200" w:line="260" w:lineRule="exact"/>
    </w:pPr>
    <w:rPr>
      <w:rFonts w:ascii="Garamond" w:hAnsi="Garamond"/>
      <w:sz w:val="22"/>
    </w:rPr>
  </w:style>
  <w:style w:type="character" w:customStyle="1" w:styleId="TextChar">
    <w:name w:val="Text Char"/>
    <w:basedOn w:val="DefaultParagraphFont"/>
    <w:link w:val="Text"/>
    <w:rsid w:val="002B1A38"/>
    <w:rPr>
      <w:rFonts w:ascii="Garamond" w:hAnsi="Garamond"/>
      <w:sz w:val="22"/>
      <w:lang w:val="en-AU" w:eastAsia="en-AU" w:bidi="ar-SA"/>
    </w:rPr>
  </w:style>
  <w:style w:type="character" w:styleId="PageNumber">
    <w:name w:val="page number"/>
    <w:basedOn w:val="DefaultParagraphFont"/>
    <w:rsid w:val="00833DE1"/>
    <w:rPr>
      <w:rFonts w:ascii="Garamond" w:hAnsi="Garamond"/>
      <w:sz w:val="18"/>
    </w:rPr>
  </w:style>
  <w:style w:type="paragraph" w:styleId="Footer">
    <w:name w:val="footer"/>
    <w:basedOn w:val="Normal"/>
    <w:rsid w:val="00833DE1"/>
    <w:pPr>
      <w:tabs>
        <w:tab w:val="right" w:pos="8505"/>
      </w:tabs>
      <w:spacing w:before="0"/>
    </w:pPr>
    <w:rPr>
      <w:sz w:val="18"/>
    </w:rPr>
  </w:style>
  <w:style w:type="paragraph" w:styleId="TOC1">
    <w:name w:val="toc 1"/>
    <w:uiPriority w:val="39"/>
    <w:rsid w:val="00833DE1"/>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833DE1"/>
    <w:pPr>
      <w:tabs>
        <w:tab w:val="left" w:pos="709"/>
        <w:tab w:val="right" w:pos="8505"/>
      </w:tabs>
      <w:spacing w:before="20" w:after="20"/>
      <w:ind w:left="2552"/>
    </w:pPr>
    <w:rPr>
      <w:sz w:val="20"/>
    </w:rPr>
  </w:style>
  <w:style w:type="paragraph" w:customStyle="1" w:styleId="tabletitle">
    <w:name w:val="tabletitle"/>
    <w:next w:val="text0"/>
    <w:link w:val="tabletitleChar"/>
    <w:rsid w:val="00833DE1"/>
    <w:pPr>
      <w:spacing w:before="360" w:after="80"/>
      <w:ind w:left="851" w:hanging="851"/>
    </w:pPr>
    <w:rPr>
      <w:rFonts w:ascii="Arial" w:hAnsi="Arial"/>
      <w:b/>
      <w:sz w:val="17"/>
      <w:lang w:eastAsia="en-US"/>
    </w:rPr>
  </w:style>
  <w:style w:type="paragraph" w:customStyle="1" w:styleId="text0">
    <w:name w:val="text"/>
    <w:rsid w:val="00833DE1"/>
    <w:pPr>
      <w:spacing w:before="160" w:line="260" w:lineRule="exact"/>
    </w:pPr>
    <w:rPr>
      <w:rFonts w:ascii="Garamond" w:hAnsi="Garamond"/>
      <w:sz w:val="22"/>
      <w:lang w:eastAsia="en-US"/>
    </w:rPr>
  </w:style>
  <w:style w:type="character" w:customStyle="1" w:styleId="tabletitleChar">
    <w:name w:val="tabletitle Char"/>
    <w:basedOn w:val="DefaultParagraphFont"/>
    <w:link w:val="tabletitle"/>
    <w:rsid w:val="009E7AC1"/>
    <w:rPr>
      <w:rFonts w:ascii="Arial" w:hAnsi="Arial"/>
      <w:b/>
      <w:sz w:val="17"/>
      <w:lang w:val="en-AU" w:eastAsia="en-US" w:bidi="ar-SA"/>
    </w:rPr>
  </w:style>
  <w:style w:type="paragraph" w:customStyle="1" w:styleId="Tabletext">
    <w:name w:val="Table text"/>
    <w:next w:val="text0"/>
    <w:link w:val="TabletextChar"/>
    <w:rsid w:val="00833DE1"/>
    <w:pPr>
      <w:spacing w:before="80"/>
    </w:pPr>
    <w:rPr>
      <w:rFonts w:ascii="Arial" w:hAnsi="Arial"/>
      <w:sz w:val="16"/>
      <w:lang w:eastAsia="en-US"/>
    </w:rPr>
  </w:style>
  <w:style w:type="character" w:customStyle="1" w:styleId="TabletextChar">
    <w:name w:val="Table text Char"/>
    <w:basedOn w:val="DefaultParagraphFont"/>
    <w:link w:val="Tabletext"/>
    <w:rsid w:val="00995AEC"/>
    <w:rPr>
      <w:rFonts w:ascii="Arial" w:hAnsi="Arial"/>
      <w:sz w:val="16"/>
      <w:lang w:val="en-AU" w:eastAsia="en-US" w:bidi="ar-SA"/>
    </w:rPr>
  </w:style>
  <w:style w:type="paragraph" w:customStyle="1" w:styleId="Tablehead1">
    <w:name w:val="Tablehead1"/>
    <w:link w:val="Tablehead1Char"/>
    <w:rsid w:val="00833DE1"/>
    <w:pPr>
      <w:spacing w:before="80" w:after="80"/>
    </w:pPr>
    <w:rPr>
      <w:rFonts w:ascii="Arial" w:hAnsi="Arial"/>
      <w:b/>
      <w:sz w:val="17"/>
      <w:lang w:eastAsia="en-US"/>
    </w:rPr>
  </w:style>
  <w:style w:type="character" w:customStyle="1" w:styleId="Tablehead1Char">
    <w:name w:val="Tablehead1 Char"/>
    <w:basedOn w:val="DefaultParagraphFont"/>
    <w:link w:val="Tablehead1"/>
    <w:rsid w:val="00674440"/>
    <w:rPr>
      <w:rFonts w:ascii="Arial" w:hAnsi="Arial"/>
      <w:b/>
      <w:sz w:val="17"/>
      <w:lang w:val="en-AU" w:eastAsia="en-US" w:bidi="ar-SA"/>
    </w:rPr>
  </w:style>
  <w:style w:type="paragraph" w:customStyle="1" w:styleId="ColorfulGrid-Accent11">
    <w:name w:val="Colorful Grid - Accent 11"/>
    <w:basedOn w:val="text0"/>
    <w:rsid w:val="00833DE1"/>
    <w:pPr>
      <w:tabs>
        <w:tab w:val="right" w:pos="7853"/>
      </w:tabs>
      <w:spacing w:before="80"/>
      <w:ind w:left="567" w:right="652"/>
    </w:pPr>
    <w:rPr>
      <w:sz w:val="20"/>
    </w:rPr>
  </w:style>
  <w:style w:type="paragraph" w:customStyle="1" w:styleId="References">
    <w:name w:val="References"/>
    <w:rsid w:val="00833DE1"/>
    <w:pPr>
      <w:ind w:left="284" w:hanging="284"/>
    </w:pPr>
    <w:rPr>
      <w:rFonts w:ascii="Garamond" w:hAnsi="Garamond"/>
      <w:lang w:eastAsia="en-US"/>
    </w:rPr>
  </w:style>
  <w:style w:type="paragraph" w:customStyle="1" w:styleId="Tablehead2">
    <w:name w:val="Tablehead2"/>
    <w:basedOn w:val="Tablehead1"/>
    <w:rsid w:val="00833DE1"/>
    <w:pPr>
      <w:tabs>
        <w:tab w:val="left" w:pos="992"/>
      </w:tabs>
      <w:spacing w:before="20" w:after="20"/>
    </w:pPr>
    <w:rPr>
      <w:b w:val="0"/>
    </w:rPr>
  </w:style>
  <w:style w:type="paragraph" w:customStyle="1" w:styleId="Tablehead3">
    <w:name w:val="Tablehead3"/>
    <w:basedOn w:val="Tablehead2"/>
    <w:rsid w:val="00833DE1"/>
    <w:rPr>
      <w:i/>
    </w:rPr>
  </w:style>
  <w:style w:type="paragraph" w:styleId="TableofFigures">
    <w:name w:val="table of figures"/>
    <w:basedOn w:val="Normal"/>
    <w:next w:val="Normal"/>
    <w:uiPriority w:val="99"/>
    <w:rsid w:val="00833DE1"/>
    <w:pPr>
      <w:tabs>
        <w:tab w:val="right" w:pos="8505"/>
      </w:tabs>
      <w:spacing w:before="80"/>
      <w:ind w:left="2693" w:hanging="425"/>
    </w:pPr>
  </w:style>
  <w:style w:type="paragraph" w:styleId="Header">
    <w:name w:val="header"/>
    <w:basedOn w:val="Normal"/>
    <w:rsid w:val="00833DE1"/>
    <w:pPr>
      <w:tabs>
        <w:tab w:val="left" w:pos="1418"/>
        <w:tab w:val="right" w:pos="8505"/>
      </w:tabs>
    </w:pPr>
    <w:rPr>
      <w:sz w:val="20"/>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link w:val="FiguretitleChar"/>
    <w:rsid w:val="00833DE1"/>
  </w:style>
  <w:style w:type="character" w:customStyle="1" w:styleId="FiguretitleChar">
    <w:name w:val="Figuretitle Char"/>
    <w:basedOn w:val="tabletitleChar"/>
    <w:link w:val="Figuretitle"/>
    <w:rsid w:val="009E7AC1"/>
  </w:style>
  <w:style w:type="paragraph" w:customStyle="1" w:styleId="PublicationTitle">
    <w:name w:val="Publication Title"/>
    <w:autoRedefine/>
    <w:rsid w:val="00423072"/>
    <w:pPr>
      <w:spacing w:before="3000"/>
      <w:jc w:val="right"/>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link w:val="Dotpoint1Char"/>
    <w:rsid w:val="0011006E"/>
    <w:pPr>
      <w:numPr>
        <w:numId w:val="30"/>
      </w:numPr>
      <w:tabs>
        <w:tab w:val="clear" w:pos="360"/>
      </w:tabs>
      <w:spacing w:before="120"/>
      <w:ind w:left="284" w:hanging="284"/>
    </w:pPr>
    <w:rPr>
      <w:rFonts w:ascii="Garamond" w:hAnsi="Garamond"/>
      <w:sz w:val="22"/>
      <w:lang w:eastAsia="en-US"/>
    </w:rPr>
  </w:style>
  <w:style w:type="character" w:customStyle="1" w:styleId="Dotpoint1Char">
    <w:name w:val="Dotpoint1 Char"/>
    <w:basedOn w:val="DefaultParagraphFont"/>
    <w:link w:val="Dotpoint1"/>
    <w:rsid w:val="0011006E"/>
    <w:rPr>
      <w:rFonts w:ascii="Garamond" w:hAnsi="Garamond"/>
      <w:sz w:val="22"/>
      <w:lang w:val="en-AU" w:eastAsia="en-US" w:bidi="ar-SA"/>
    </w:rPr>
  </w:style>
  <w:style w:type="paragraph" w:customStyle="1" w:styleId="Dotpoint2">
    <w:name w:val="Dotpoint2"/>
    <w:rsid w:val="0011006E"/>
    <w:pPr>
      <w:numPr>
        <w:numId w:val="31"/>
      </w:numPr>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link w:val="SourceChar"/>
    <w:rsid w:val="00833DE1"/>
    <w:pPr>
      <w:spacing w:before="40"/>
      <w:ind w:left="567" w:hanging="567"/>
    </w:pPr>
    <w:rPr>
      <w:rFonts w:ascii="Arial" w:hAnsi="Arial"/>
      <w:sz w:val="15"/>
      <w:lang w:eastAsia="en-US"/>
    </w:rPr>
  </w:style>
  <w:style w:type="character" w:customStyle="1" w:styleId="SourceChar">
    <w:name w:val="Source Char"/>
    <w:basedOn w:val="DefaultParagraphFont"/>
    <w:link w:val="Source"/>
    <w:rsid w:val="00F47B5D"/>
    <w:rPr>
      <w:rFonts w:ascii="Arial" w:hAnsi="Arial"/>
      <w:sz w:val="15"/>
      <w:lang w:val="en-AU" w:eastAsia="en-US" w:bidi="ar-SA"/>
    </w:rPr>
  </w:style>
  <w:style w:type="paragraph" w:styleId="FootnoteText">
    <w:name w:val="footnote text"/>
    <w:basedOn w:val="Normal"/>
    <w:rsid w:val="00833DE1"/>
    <w:pPr>
      <w:tabs>
        <w:tab w:val="left" w:pos="1418"/>
      </w:tabs>
      <w:spacing w:before="0" w:line="220" w:lineRule="exact"/>
      <w:ind w:left="170" w:hanging="170"/>
    </w:pPr>
    <w:rPr>
      <w:sz w:val="18"/>
    </w:rPr>
  </w:style>
  <w:style w:type="character" w:styleId="Hyperlink">
    <w:name w:val="Hyperlink"/>
    <w:basedOn w:val="DefaultParagraphFont"/>
    <w:rsid w:val="00456500"/>
    <w:rPr>
      <w:color w:val="0000FF"/>
      <w:u w:val="single"/>
    </w:rPr>
  </w:style>
  <w:style w:type="paragraph" w:styleId="BodyText">
    <w:name w:val="Body Text"/>
    <w:basedOn w:val="Normal"/>
    <w:link w:val="BodyTextChar"/>
    <w:rsid w:val="005024DE"/>
    <w:pPr>
      <w:spacing w:before="0"/>
      <w:jc w:val="both"/>
    </w:pPr>
    <w:rPr>
      <w:szCs w:val="24"/>
    </w:rPr>
  </w:style>
  <w:style w:type="character" w:customStyle="1" w:styleId="BodyTextChar">
    <w:name w:val="Body Text Char"/>
    <w:basedOn w:val="DefaultParagraphFont"/>
    <w:link w:val="BodyText"/>
    <w:rsid w:val="00F137FE"/>
    <w:rPr>
      <w:sz w:val="24"/>
      <w:szCs w:val="24"/>
      <w:lang w:val="en-AU" w:eastAsia="en-US" w:bidi="ar-SA"/>
    </w:rPr>
  </w:style>
  <w:style w:type="paragraph" w:styleId="BalloonText">
    <w:name w:val="Balloon Text"/>
    <w:basedOn w:val="Normal"/>
    <w:link w:val="BalloonTextChar"/>
    <w:rsid w:val="005024DE"/>
    <w:pPr>
      <w:spacing w:before="0"/>
    </w:pPr>
    <w:rPr>
      <w:rFonts w:ascii="Tahoma" w:hAnsi="Tahoma" w:cs="Tahoma"/>
      <w:sz w:val="16"/>
      <w:szCs w:val="16"/>
    </w:rPr>
  </w:style>
  <w:style w:type="character" w:customStyle="1" w:styleId="BalloonTextChar">
    <w:name w:val="Balloon Text Char"/>
    <w:basedOn w:val="DefaultParagraphFont"/>
    <w:link w:val="BalloonText"/>
    <w:rsid w:val="005024DE"/>
    <w:rPr>
      <w:rFonts w:ascii="Tahoma" w:hAnsi="Tahoma" w:cs="Tahoma"/>
      <w:sz w:val="16"/>
      <w:szCs w:val="16"/>
      <w:lang w:val="en-AU" w:eastAsia="en-US" w:bidi="ar-SA"/>
    </w:rPr>
  </w:style>
  <w:style w:type="paragraph" w:customStyle="1" w:styleId="Dotpoint1Left075cm">
    <w:name w:val="Dotpoint1 + Left:  0.75 cm"/>
    <w:aliases w:val="First line:  0 cm"/>
    <w:basedOn w:val="Dotpoint1"/>
    <w:rsid w:val="00507E85"/>
    <w:pPr>
      <w:numPr>
        <w:numId w:val="0"/>
      </w:numPr>
      <w:ind w:left="426"/>
    </w:pPr>
  </w:style>
  <w:style w:type="character" w:styleId="Strong">
    <w:name w:val="Strong"/>
    <w:basedOn w:val="DefaultParagraphFont"/>
    <w:uiPriority w:val="22"/>
    <w:qFormat/>
    <w:rsid w:val="009A0F03"/>
    <w:rPr>
      <w:b/>
      <w:bCs/>
      <w:color w:val="1D1930"/>
    </w:rPr>
  </w:style>
  <w:style w:type="paragraph" w:customStyle="1" w:styleId="ColorfulList-Accent11">
    <w:name w:val="Colorful List - Accent 11"/>
    <w:basedOn w:val="Normal"/>
    <w:uiPriority w:val="34"/>
    <w:qFormat/>
    <w:rsid w:val="00EB0F1D"/>
    <w:pPr>
      <w:ind w:left="720"/>
    </w:pPr>
  </w:style>
  <w:style w:type="character" w:styleId="Emphasis">
    <w:name w:val="Emphasis"/>
    <w:basedOn w:val="DefaultParagraphFont"/>
    <w:uiPriority w:val="20"/>
    <w:qFormat/>
    <w:rsid w:val="008B17DF"/>
    <w:rPr>
      <w:b/>
      <w:bCs/>
      <w:i w:val="0"/>
      <w:iCs w:val="0"/>
    </w:rPr>
  </w:style>
  <w:style w:type="character" w:styleId="CommentReference">
    <w:name w:val="annotation reference"/>
    <w:basedOn w:val="DefaultParagraphFont"/>
    <w:rsid w:val="008B1AF7"/>
    <w:rPr>
      <w:sz w:val="16"/>
      <w:szCs w:val="16"/>
    </w:rPr>
  </w:style>
  <w:style w:type="paragraph" w:styleId="CommentText">
    <w:name w:val="annotation text"/>
    <w:basedOn w:val="Normal"/>
    <w:link w:val="CommentTextChar"/>
    <w:rsid w:val="008B1AF7"/>
    <w:rPr>
      <w:sz w:val="20"/>
    </w:rPr>
  </w:style>
  <w:style w:type="character" w:customStyle="1" w:styleId="CommentTextChar">
    <w:name w:val="Comment Text Char"/>
    <w:basedOn w:val="DefaultParagraphFont"/>
    <w:link w:val="CommentText"/>
    <w:rsid w:val="008B1AF7"/>
  </w:style>
  <w:style w:type="paragraph" w:styleId="CommentSubject">
    <w:name w:val="annotation subject"/>
    <w:basedOn w:val="CommentText"/>
    <w:next w:val="CommentText"/>
    <w:link w:val="CommentSubjectChar"/>
    <w:rsid w:val="008B1AF7"/>
    <w:rPr>
      <w:b/>
      <w:bCs/>
    </w:rPr>
  </w:style>
  <w:style w:type="character" w:customStyle="1" w:styleId="CommentSubjectChar">
    <w:name w:val="Comment Subject Char"/>
    <w:basedOn w:val="CommentTextChar"/>
    <w:link w:val="CommentSubject"/>
    <w:rsid w:val="008B1AF7"/>
    <w:rPr>
      <w:b/>
      <w:bCs/>
    </w:rPr>
  </w:style>
  <w:style w:type="character" w:styleId="FootnoteReference">
    <w:name w:val="footnote reference"/>
    <w:basedOn w:val="DefaultParagraphFont"/>
    <w:rsid w:val="00833DE1"/>
    <w:rPr>
      <w:rFonts w:ascii="Garamond" w:hAnsi="Garamond"/>
      <w:sz w:val="22"/>
      <w:vertAlign w:val="superscript"/>
    </w:rPr>
  </w:style>
  <w:style w:type="paragraph" w:customStyle="1" w:styleId="text-lessbefore">
    <w:name w:val="text-less#before"/>
    <w:basedOn w:val="text0"/>
    <w:rsid w:val="00833DE1"/>
    <w:pPr>
      <w:spacing w:before="80"/>
    </w:pPr>
  </w:style>
  <w:style w:type="paragraph" w:customStyle="1" w:styleId="text-moreb4">
    <w:name w:val="text-more#b4"/>
    <w:basedOn w:val="text0"/>
    <w:rsid w:val="00833DE1"/>
    <w:pPr>
      <w:spacing w:before="360"/>
    </w:p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949899086">
      <w:bodyDiv w:val="1"/>
      <w:marLeft w:val="0"/>
      <w:marRight w:val="0"/>
      <w:marTop w:val="0"/>
      <w:marBottom w:val="0"/>
      <w:divBdr>
        <w:top w:val="none" w:sz="0" w:space="0" w:color="auto"/>
        <w:left w:val="none" w:sz="0" w:space="0" w:color="auto"/>
        <w:bottom w:val="none" w:sz="0" w:space="0" w:color="auto"/>
        <w:right w:val="none" w:sz="0" w:space="0" w:color="auto"/>
      </w:divBdr>
      <w:divsChild>
        <w:div w:id="687484155">
          <w:marLeft w:val="0"/>
          <w:marRight w:val="0"/>
          <w:marTop w:val="0"/>
          <w:marBottom w:val="0"/>
          <w:divBdr>
            <w:top w:val="none" w:sz="0" w:space="0" w:color="auto"/>
            <w:left w:val="none" w:sz="0" w:space="0" w:color="auto"/>
            <w:bottom w:val="none" w:sz="0" w:space="0" w:color="auto"/>
            <w:right w:val="none" w:sz="0" w:space="0" w:color="auto"/>
          </w:divBdr>
          <w:divsChild>
            <w:div w:id="818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8717">
      <w:bodyDiv w:val="1"/>
      <w:marLeft w:val="0"/>
      <w:marRight w:val="0"/>
      <w:marTop w:val="0"/>
      <w:marBottom w:val="0"/>
      <w:divBdr>
        <w:top w:val="none" w:sz="0" w:space="0" w:color="auto"/>
        <w:left w:val="none" w:sz="0" w:space="0" w:color="auto"/>
        <w:bottom w:val="none" w:sz="0" w:space="0" w:color="auto"/>
        <w:right w:val="none" w:sz="0" w:space="0" w:color="auto"/>
      </w:divBdr>
      <w:divsChild>
        <w:div w:id="1105812572">
          <w:marLeft w:val="216"/>
          <w:marRight w:val="216"/>
          <w:marTop w:val="336"/>
          <w:marBottom w:val="216"/>
          <w:divBdr>
            <w:top w:val="none" w:sz="0" w:space="0" w:color="auto"/>
            <w:left w:val="none" w:sz="0" w:space="0" w:color="auto"/>
            <w:bottom w:val="none" w:sz="0" w:space="0" w:color="auto"/>
            <w:right w:val="none" w:sz="0" w:space="0" w:color="auto"/>
          </w:divBdr>
          <w:divsChild>
            <w:div w:id="883105072">
              <w:marLeft w:val="2700"/>
              <w:marRight w:val="240"/>
              <w:marTop w:val="0"/>
              <w:marBottom w:val="0"/>
              <w:divBdr>
                <w:top w:val="none" w:sz="0" w:space="0" w:color="auto"/>
                <w:left w:val="none" w:sz="0" w:space="0" w:color="auto"/>
                <w:bottom w:val="none" w:sz="0" w:space="0" w:color="auto"/>
                <w:right w:val="none" w:sz="0" w:space="0" w:color="auto"/>
              </w:divBdr>
              <w:divsChild>
                <w:div w:id="12278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hyperlink" Target="http://www.ncver.edu.au" TargetMode="External"/><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ced.edu.au/"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www.aqf.edu.au/aqfqual.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14210</Words>
  <Characters>76947</Characters>
  <Application>Microsoft Office Word</Application>
  <DocSecurity>0</DocSecurity>
  <Lines>641</Lines>
  <Paragraphs>181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90976</CharactersWithSpaces>
  <SharedDoc>false</SharedDoc>
  <HLinks>
    <vt:vector size="108" baseType="variant">
      <vt:variant>
        <vt:i4>4784171</vt:i4>
      </vt:variant>
      <vt:variant>
        <vt:i4>132</vt:i4>
      </vt:variant>
      <vt:variant>
        <vt:i4>0</vt:i4>
      </vt:variant>
      <vt:variant>
        <vt:i4>5</vt:i4>
      </vt:variant>
      <vt:variant>
        <vt:lpwstr>http://www.aqf.edu.au/aqfqual.htm</vt:lpwstr>
      </vt:variant>
      <vt:variant>
        <vt:lpwstr/>
      </vt:variant>
      <vt:variant>
        <vt:i4>3145799</vt:i4>
      </vt:variant>
      <vt:variant>
        <vt:i4>3</vt:i4>
      </vt:variant>
      <vt:variant>
        <vt:i4>0</vt:i4>
      </vt:variant>
      <vt:variant>
        <vt:i4>5</vt:i4>
      </vt:variant>
      <vt:variant>
        <vt:lpwstr>http://www.ncver.edu.au</vt:lpwstr>
      </vt:variant>
      <vt:variant>
        <vt:lpwstr/>
      </vt:variant>
      <vt:variant>
        <vt:i4>262219</vt:i4>
      </vt:variant>
      <vt:variant>
        <vt:i4>0</vt:i4>
      </vt:variant>
      <vt:variant>
        <vt:i4>0</vt:i4>
      </vt:variant>
      <vt:variant>
        <vt:i4>5</vt:i4>
      </vt:variant>
      <vt:variant>
        <vt:lpwstr>http://www.voced.edu.au/</vt:lpwstr>
      </vt:variant>
      <vt:variant>
        <vt:lpwstr/>
      </vt:variant>
      <vt:variant>
        <vt:i4>6029387</vt:i4>
      </vt:variant>
      <vt:variant>
        <vt:i4>-1</vt:i4>
      </vt:variant>
      <vt:variant>
        <vt:i4>4796</vt:i4>
      </vt:variant>
      <vt:variant>
        <vt:i4>1</vt:i4>
      </vt:variant>
      <vt:variant>
        <vt:lpwstr>fig1-age</vt:lpwstr>
      </vt:variant>
      <vt:variant>
        <vt:lpwstr/>
      </vt:variant>
      <vt:variant>
        <vt:i4>3080246</vt:i4>
      </vt:variant>
      <vt:variant>
        <vt:i4>-1</vt:i4>
      </vt:variant>
      <vt:variant>
        <vt:i4>4797</vt:i4>
      </vt:variant>
      <vt:variant>
        <vt:i4>1</vt:i4>
      </vt:variant>
      <vt:variant>
        <vt:lpwstr>fig2-qualified</vt:lpwstr>
      </vt:variant>
      <vt:variant>
        <vt:lpwstr/>
      </vt:variant>
      <vt:variant>
        <vt:i4>4980769</vt:i4>
      </vt:variant>
      <vt:variant>
        <vt:i4>-1</vt:i4>
      </vt:variant>
      <vt:variant>
        <vt:i4>4798</vt:i4>
      </vt:variant>
      <vt:variant>
        <vt:i4>1</vt:i4>
      </vt:variant>
      <vt:variant>
        <vt:lpwstr>fig3-subgroup</vt:lpwstr>
      </vt:variant>
      <vt:variant>
        <vt:lpwstr/>
      </vt:variant>
      <vt:variant>
        <vt:i4>3276847</vt:i4>
      </vt:variant>
      <vt:variant>
        <vt:i4>-1</vt:i4>
      </vt:variant>
      <vt:variant>
        <vt:i4>4799</vt:i4>
      </vt:variant>
      <vt:variant>
        <vt:i4>1</vt:i4>
      </vt:variant>
      <vt:variant>
        <vt:lpwstr>fig4-incomeXoccupation</vt:lpwstr>
      </vt:variant>
      <vt:variant>
        <vt:lpwstr/>
      </vt:variant>
      <vt:variant>
        <vt:i4>2949164</vt:i4>
      </vt:variant>
      <vt:variant>
        <vt:i4>-1</vt:i4>
      </vt:variant>
      <vt:variant>
        <vt:i4>4800</vt:i4>
      </vt:variant>
      <vt:variant>
        <vt:i4>1</vt:i4>
      </vt:variant>
      <vt:variant>
        <vt:lpwstr>fog5-state</vt:lpwstr>
      </vt:variant>
      <vt:variant>
        <vt:lpwstr/>
      </vt:variant>
      <vt:variant>
        <vt:i4>2424910</vt:i4>
      </vt:variant>
      <vt:variant>
        <vt:i4>-1</vt:i4>
      </vt:variant>
      <vt:variant>
        <vt:i4>4801</vt:i4>
      </vt:variant>
      <vt:variant>
        <vt:i4>1</vt:i4>
      </vt:variant>
      <vt:variant>
        <vt:lpwstr>fig6-region</vt:lpwstr>
      </vt:variant>
      <vt:variant>
        <vt:lpwstr/>
      </vt:variant>
      <vt:variant>
        <vt:i4>5374040</vt:i4>
      </vt:variant>
      <vt:variant>
        <vt:i4>-1</vt:i4>
      </vt:variant>
      <vt:variant>
        <vt:i4>4803</vt:i4>
      </vt:variant>
      <vt:variant>
        <vt:i4>1</vt:i4>
      </vt:variant>
      <vt:variant>
        <vt:lpwstr>fig7-ageovertime</vt:lpwstr>
      </vt:variant>
      <vt:variant>
        <vt:lpwstr/>
      </vt:variant>
      <vt:variant>
        <vt:i4>2949157</vt:i4>
      </vt:variant>
      <vt:variant>
        <vt:i4>-1</vt:i4>
      </vt:variant>
      <vt:variant>
        <vt:i4>4804</vt:i4>
      </vt:variant>
      <vt:variant>
        <vt:i4>1</vt:i4>
      </vt:variant>
      <vt:variant>
        <vt:lpwstr>fig8-qualifiedovertime</vt:lpwstr>
      </vt:variant>
      <vt:variant>
        <vt:lpwstr/>
      </vt:variant>
      <vt:variant>
        <vt:i4>5177394</vt:i4>
      </vt:variant>
      <vt:variant>
        <vt:i4>-1</vt:i4>
      </vt:variant>
      <vt:variant>
        <vt:i4>4805</vt:i4>
      </vt:variant>
      <vt:variant>
        <vt:i4>1</vt:i4>
      </vt:variant>
      <vt:variant>
        <vt:lpwstr>fig9-industryovertime</vt:lpwstr>
      </vt:variant>
      <vt:variant>
        <vt:lpwstr/>
      </vt:variant>
      <vt:variant>
        <vt:i4>7012398</vt:i4>
      </vt:variant>
      <vt:variant>
        <vt:i4>-1</vt:i4>
      </vt:variant>
      <vt:variant>
        <vt:i4>4806</vt:i4>
      </vt:variant>
      <vt:variant>
        <vt:i4>1</vt:i4>
      </vt:variant>
      <vt:variant>
        <vt:lpwstr>fig10-industryovertime</vt:lpwstr>
      </vt:variant>
      <vt:variant>
        <vt:lpwstr/>
      </vt:variant>
      <vt:variant>
        <vt:i4>7274554</vt:i4>
      </vt:variant>
      <vt:variant>
        <vt:i4>-1</vt:i4>
      </vt:variant>
      <vt:variant>
        <vt:i4>4807</vt:i4>
      </vt:variant>
      <vt:variant>
        <vt:i4>1</vt:i4>
      </vt:variant>
      <vt:variant>
        <vt:lpwstr>fig11-earningsovertime</vt:lpwstr>
      </vt:variant>
      <vt:variant>
        <vt:lpwstr/>
      </vt:variant>
      <vt:variant>
        <vt:i4>6684748</vt:i4>
      </vt:variant>
      <vt:variant>
        <vt:i4>-1</vt:i4>
      </vt:variant>
      <vt:variant>
        <vt:i4>4808</vt:i4>
      </vt:variant>
      <vt:variant>
        <vt:i4>1</vt:i4>
      </vt:variant>
      <vt:variant>
        <vt:lpwstr>fig12-stateovertime</vt:lpwstr>
      </vt:variant>
      <vt:variant>
        <vt:lpwstr/>
      </vt:variant>
      <vt:variant>
        <vt:i4>2031707</vt:i4>
      </vt:variant>
      <vt:variant>
        <vt:i4>-1</vt:i4>
      </vt:variant>
      <vt:variant>
        <vt:i4>4809</vt:i4>
      </vt:variant>
      <vt:variant>
        <vt:i4>1</vt:i4>
      </vt:variant>
      <vt:variant>
        <vt:lpwstr>fig13-regionovertime</vt:lpwstr>
      </vt:variant>
      <vt:variant>
        <vt:lpwstr/>
      </vt:variant>
      <vt:variant>
        <vt:i4>7667763</vt:i4>
      </vt:variant>
      <vt:variant>
        <vt:i4>-1</vt:i4>
      </vt:variant>
      <vt:variant>
        <vt:i4>4812</vt:i4>
      </vt:variant>
      <vt:variant>
        <vt:i4>1</vt:i4>
      </vt:variant>
      <vt:variant>
        <vt:lpwstr>fig15-2050</vt:lpwstr>
      </vt:variant>
      <vt:variant>
        <vt:lpwstr/>
      </vt:variant>
      <vt:variant>
        <vt:i4>7667770</vt:i4>
      </vt:variant>
      <vt:variant>
        <vt:i4>-1</vt:i4>
      </vt:variant>
      <vt:variant>
        <vt:i4>4813</vt:i4>
      </vt:variant>
      <vt:variant>
        <vt:i4>1</vt:i4>
      </vt:variant>
      <vt:variant>
        <vt:lpwstr>fig16-8050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AmyMellow</cp:lastModifiedBy>
  <cp:revision>2</cp:revision>
  <cp:lastPrinted>2010-08-09T02:30:00Z</cp:lastPrinted>
  <dcterms:created xsi:type="dcterms:W3CDTF">2010-08-24T06:02:00Z</dcterms:created>
  <dcterms:modified xsi:type="dcterms:W3CDTF">2010-08-24T06:02:00Z</dcterms:modified>
</cp:coreProperties>
</file>