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Default="00663E0D">
      <w:pPr>
        <w:pStyle w:val="Text"/>
        <w:widowControl w:val="0"/>
        <w:spacing w:line="480" w:lineRule="auto"/>
        <w:jc w:val="both"/>
      </w:pPr>
      <w:r w:rsidRPr="00663E0D">
        <w:rPr>
          <w:i/>
          <w:noProof/>
          <w:sz w:val="40"/>
        </w:rPr>
        <w:pict>
          <v:group id="_x0000_s1042" style="position:absolute;left:0;text-align:left;margin-left:73.8pt;margin-top:9.05pt;width:372.35pt;height:685.55pt;z-index:-251659776" coordorigin="2894,1621" coordsize="7447,13711">
            <v:line id="_x0000_s1028" style="position:absolute" from="10341,1621" to="10341,15301" o:regroupid="1"/>
            <v:line id="_x0000_s1029" style="position:absolute;flip:x" from="2894,15332" to="10341,15332"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o:regroupid="1">
              <v:imagedata r:id="rId7" o:title="ncver right tab_mono"/>
            </v:shape>
          </v:group>
        </w:pict>
      </w:r>
      <w:r w:rsidR="007106BC">
        <w:rPr>
          <w:i/>
        </w:rPr>
        <w:br/>
      </w:r>
      <w:r w:rsidR="007106BC">
        <w:rPr>
          <w:i/>
        </w:rPr>
        <w:br/>
      </w: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663E0D" w:rsidP="00454C38">
      <w:pPr>
        <w:pStyle w:val="Heading9"/>
        <w:ind w:left="1440" w:firstLine="0"/>
        <w:rPr>
          <w:sz w:val="40"/>
        </w:rPr>
      </w:pPr>
      <w:r>
        <w:rPr>
          <w:noProof/>
          <w:sz w:val="40"/>
        </w:rPr>
        <w:pict>
          <v:shapetype id="_x0000_t202" coordsize="21600,21600" o:spt="202" path="m,l,21600r21600,l21600,xe">
            <v:stroke joinstyle="miter"/>
            <v:path gradientshapeok="t" o:connecttype="rect"/>
          </v:shapetype>
          <v:shape id="_x0000_s1045" type="#_x0000_t202" style="position:absolute;left:0;text-align:left;margin-left:-35pt;margin-top:-180.55pt;width:100.8pt;height:770.4pt;z-index:251659776" o:allowincell="f" stroked="f">
            <v:textbox style="layout-flow:vertical;mso-layout-flow-alt:bottom-to-top;mso-next-textbox:#_x0000_s1045">
              <w:txbxContent>
                <w:p w:rsidR="008E4A33" w:rsidRDefault="008E4A33" w:rsidP="00853B81">
                  <w:pPr>
                    <w:jc w:val="center"/>
                    <w:rPr>
                      <w:rFonts w:ascii="Garamond" w:hAnsi="Garamond"/>
                      <w:color w:val="C0C0C0"/>
                      <w:sz w:val="116"/>
                      <w:lang w:val="en-US"/>
                    </w:rPr>
                  </w:pPr>
                  <w:proofErr w:type="gramStart"/>
                  <w:r>
                    <w:rPr>
                      <w:rFonts w:ascii="Garamond" w:hAnsi="Garamond"/>
                      <w:color w:val="C0C0C0"/>
                      <w:sz w:val="116"/>
                      <w:lang w:val="en-US"/>
                    </w:rPr>
                    <w:t>TECHNICAL  PAPER</w:t>
                  </w:r>
                  <w:proofErr w:type="gramEnd"/>
                </w:p>
              </w:txbxContent>
            </v:textbox>
          </v:shape>
        </w:pict>
      </w:r>
    </w:p>
    <w:p w:rsidR="00454C38" w:rsidRDefault="00454C38" w:rsidP="00454C38">
      <w:pPr>
        <w:pStyle w:val="Heading9"/>
        <w:ind w:left="1440" w:firstLine="0"/>
        <w:rPr>
          <w:sz w:val="40"/>
        </w:rPr>
      </w:pPr>
    </w:p>
    <w:p w:rsidR="00454C38" w:rsidRDefault="00B7742A" w:rsidP="00853B81">
      <w:pPr>
        <w:pStyle w:val="Heading9"/>
        <w:ind w:left="2640" w:firstLine="0"/>
        <w:rPr>
          <w:sz w:val="40"/>
        </w:rPr>
      </w:pPr>
      <w:r>
        <w:t>Individual-</w:t>
      </w:r>
      <w:r w:rsidR="00A26212">
        <w:t>based completion rates for</w:t>
      </w:r>
      <w:r w:rsidR="007F3AD8">
        <w:t> </w:t>
      </w:r>
      <w:r w:rsidR="00A26212">
        <w:t xml:space="preserve">apprentices </w:t>
      </w:r>
    </w:p>
    <w:p w:rsidR="00454C38" w:rsidRDefault="007F3AD8" w:rsidP="007F3AD8">
      <w:pPr>
        <w:pStyle w:val="Text"/>
        <w:spacing w:before="480"/>
        <w:ind w:left="2642"/>
        <w:jc w:val="both"/>
        <w:rPr>
          <w:smallCaps/>
        </w:rPr>
      </w:pPr>
      <w:r>
        <w:rPr>
          <w:smallCaps/>
        </w:rPr>
        <w:t>TOM KARMEL</w:t>
      </w:r>
    </w:p>
    <w:p w:rsidR="00454C38" w:rsidRDefault="007F3AD8" w:rsidP="007F3AD8">
      <w:pPr>
        <w:pStyle w:val="Text"/>
        <w:ind w:left="2640"/>
        <w:rPr>
          <w:smallCaps/>
          <w:szCs w:val="22"/>
        </w:rPr>
      </w:pPr>
      <w:r>
        <w:rPr>
          <w:smallCaps/>
          <w:szCs w:val="22"/>
        </w:rPr>
        <w:t xml:space="preserve">National Centre for </w:t>
      </w:r>
      <w:r>
        <w:rPr>
          <w:smallCaps/>
          <w:szCs w:val="22"/>
        </w:rPr>
        <w:br/>
        <w:t>Vocational Education Research</w:t>
      </w:r>
    </w:p>
    <w:p w:rsidR="002663E6" w:rsidRDefault="002663E6" w:rsidP="007F3AD8">
      <w:pPr>
        <w:pStyle w:val="Text"/>
        <w:ind w:left="2640"/>
        <w:rPr>
          <w:smallCaps/>
          <w:szCs w:val="22"/>
        </w:rPr>
      </w:pPr>
    </w:p>
    <w:p w:rsidR="002663E6" w:rsidRDefault="002663E6" w:rsidP="007F3AD8">
      <w:pPr>
        <w:pStyle w:val="Text"/>
        <w:ind w:left="2640"/>
        <w:rPr>
          <w:smallCaps/>
          <w:szCs w:val="22"/>
        </w:rPr>
      </w:pPr>
    </w:p>
    <w:p w:rsidR="002663E6" w:rsidRDefault="002663E6" w:rsidP="007F3AD8">
      <w:pPr>
        <w:pStyle w:val="Text"/>
        <w:ind w:left="2640"/>
        <w:rPr>
          <w:smallCaps/>
          <w:szCs w:val="22"/>
        </w:rPr>
      </w:pPr>
    </w:p>
    <w:p w:rsidR="00454C38" w:rsidRPr="00366E03" w:rsidRDefault="002663E6" w:rsidP="00366E03">
      <w:pPr>
        <w:pStyle w:val="Text"/>
        <w:spacing w:line="240" w:lineRule="auto"/>
        <w:ind w:left="2642"/>
        <w:rPr>
          <w:rFonts w:ascii="Arial" w:hAnsi="Arial" w:cs="Arial"/>
          <w:smallCaps/>
          <w:color w:val="FF0000"/>
          <w:sz w:val="24"/>
          <w:szCs w:val="24"/>
        </w:rPr>
      </w:pPr>
      <w:r w:rsidRPr="00366E03">
        <w:rPr>
          <w:rFonts w:ascii="Arial" w:hAnsi="Arial" w:cs="Arial"/>
          <w:smallCaps/>
          <w:color w:val="FF0000"/>
          <w:sz w:val="24"/>
          <w:szCs w:val="24"/>
        </w:rPr>
        <w:t xml:space="preserve">FOR CLARITY WITH FIGURE 1 </w:t>
      </w:r>
      <w:r w:rsidRPr="00366E03">
        <w:rPr>
          <w:rFonts w:ascii="Arial" w:hAnsi="Arial" w:cs="Arial"/>
          <w:smallCaps/>
          <w:color w:val="FF0000"/>
          <w:sz w:val="24"/>
          <w:szCs w:val="24"/>
        </w:rPr>
        <w:br/>
        <w:t>PLEASE PRINT IN COLOUR</w:t>
      </w: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Pr="00685EC0" w:rsidRDefault="00454C38" w:rsidP="00853B81">
      <w:pPr>
        <w:pStyle w:val="Text"/>
        <w:ind w:left="2640"/>
        <w:jc w:val="both"/>
        <w:rPr>
          <w:smallCaps/>
          <w:szCs w:val="22"/>
        </w:rPr>
      </w:pPr>
    </w:p>
    <w:p w:rsidR="00454C38" w:rsidRDefault="00454C38" w:rsidP="00853B81">
      <w:pPr>
        <w:pStyle w:val="Imprint"/>
        <w:ind w:left="2640"/>
      </w:pPr>
      <w:r>
        <w:t>The views and opinions expressed in this document are those of the author/</w:t>
      </w:r>
      <w:r w:rsidR="007F3AD8">
        <w:br/>
      </w:r>
      <w:r>
        <w:t xml:space="preserve">project team and do not necessarily reflect the views of the Australian Government </w:t>
      </w:r>
      <w:r w:rsidR="007F3AD8">
        <w:br/>
      </w:r>
      <w:r>
        <w:t>or state and territory governments.</w:t>
      </w:r>
    </w:p>
    <w:p w:rsidR="00366E03" w:rsidRDefault="00366E03">
      <w:pPr>
        <w:spacing w:before="0"/>
        <w:rPr>
          <w:rFonts w:ascii="Garamond" w:hAnsi="Garamond"/>
          <w:sz w:val="22"/>
        </w:rPr>
      </w:pPr>
      <w:r>
        <w:br w:type="page"/>
      </w:r>
    </w:p>
    <w:p w:rsidR="00C13E9C" w:rsidRDefault="00C13E9C" w:rsidP="006E0475">
      <w:pPr>
        <w:pStyle w:val="Text"/>
      </w:pPr>
    </w:p>
    <w:p w:rsidR="007106BC" w:rsidRPr="002D3B16" w:rsidRDefault="007106BC" w:rsidP="0018799E">
      <w:pPr>
        <w:pStyle w:val="Imprint"/>
        <w:spacing w:before="4800"/>
        <w:ind w:right="1701"/>
        <w:rPr>
          <w:b/>
        </w:rPr>
      </w:pPr>
      <w:proofErr w:type="gramStart"/>
      <w:r w:rsidRPr="002D3B16">
        <w:rPr>
          <w:b/>
        </w:rPr>
        <w:t xml:space="preserve">©  </w:t>
      </w:r>
      <w:r w:rsidR="008E4A33">
        <w:rPr>
          <w:b/>
        </w:rPr>
        <w:t>National</w:t>
      </w:r>
      <w:proofErr w:type="gramEnd"/>
      <w:r w:rsidR="008E4A33">
        <w:rPr>
          <w:b/>
        </w:rPr>
        <w:t xml:space="preserve"> Centre for Vocational Education Research</w:t>
      </w:r>
      <w:r w:rsidR="00454C38" w:rsidRPr="002D3B16">
        <w:rPr>
          <w:b/>
        </w:rPr>
        <w:t>, 201</w:t>
      </w:r>
      <w:r w:rsidR="002D3B16" w:rsidRPr="002D3B16">
        <w:rPr>
          <w:b/>
        </w:rPr>
        <w:t>1</w:t>
      </w:r>
    </w:p>
    <w:p w:rsidR="008E4A33" w:rsidRDefault="008E4A33" w:rsidP="0018799E">
      <w:pPr>
        <w:pStyle w:val="Imprint"/>
        <w:ind w:right="1692"/>
      </w:pPr>
      <w:r>
        <w:t xml:space="preserve">With the exception of the cover design, artwork, all logos, and any other material where copyright is owned by a third party, all material presented in this document </w:t>
      </w:r>
      <w:proofErr w:type="gramStart"/>
      <w:r>
        <w:t>is</w:t>
      </w:r>
      <w:proofErr w:type="gramEnd"/>
      <w:r>
        <w:t xml:space="preserve"> provided under a Creative Commons Attribution 3.0 Australia </w:t>
      </w:r>
      <w:r w:rsidRPr="004854FF">
        <w:t>&lt;http://creativecommons.org/licenses/by/3.0/</w:t>
      </w:r>
      <w:r>
        <w:t>au/&gt;.</w:t>
      </w:r>
    </w:p>
    <w:p w:rsidR="008E4A33" w:rsidRDefault="008E4A33" w:rsidP="0018799E">
      <w:pPr>
        <w:pStyle w:val="Imprint"/>
        <w:ind w:right="1692"/>
        <w:rPr>
          <w:rFonts w:ascii="Arial" w:hAnsi="Arial" w:cs="Arial"/>
          <w:color w:val="333333"/>
          <w:sz w:val="15"/>
          <w:szCs w:val="15"/>
        </w:rPr>
      </w:pPr>
      <w:r>
        <w:rPr>
          <w:rFonts w:ascii="Arial" w:hAnsi="Arial" w:cs="Arial"/>
          <w:noProof/>
          <w:color w:val="1C438B"/>
          <w:sz w:val="15"/>
          <w:szCs w:val="15"/>
        </w:rPr>
        <w:drawing>
          <wp:inline distT="0" distB="0" distL="0" distR="0">
            <wp:extent cx="836930" cy="293370"/>
            <wp:effectExtent l="19050" t="0" r="1270" b="0"/>
            <wp:docPr id="2" name="licensebutton"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8"/>
                    </pic:cNvPr>
                    <pic:cNvPicPr>
                      <a:picLocks noChangeAspect="1" noChangeArrowheads="1"/>
                    </pic:cNvPicPr>
                  </pic:nvPicPr>
                  <pic:blipFill>
                    <a:blip r:embed="rId9"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rsidR="008E4A33" w:rsidRPr="00185522" w:rsidRDefault="008E4A33" w:rsidP="0018799E">
      <w:pPr>
        <w:pStyle w:val="Imprint"/>
        <w:ind w:right="1692"/>
      </w:pPr>
      <w:r w:rsidRPr="00185522">
        <w:t xml:space="preserve">This document should be attributed as </w:t>
      </w:r>
      <w:proofErr w:type="spellStart"/>
      <w:r w:rsidRPr="0018799E">
        <w:t>Karmel</w:t>
      </w:r>
      <w:proofErr w:type="spellEnd"/>
      <w:r w:rsidRPr="0018799E">
        <w:t xml:space="preserve">, T 2011, </w:t>
      </w:r>
      <w:r w:rsidR="0018799E">
        <w:rPr>
          <w:i/>
        </w:rPr>
        <w:t>Individual-based completion rates for apprentices</w:t>
      </w:r>
      <w:r w:rsidRPr="0018799E">
        <w:t>.</w:t>
      </w:r>
    </w:p>
    <w:p w:rsidR="008E4A33" w:rsidRPr="003B0BE9" w:rsidRDefault="008E4A33" w:rsidP="0018799E">
      <w:pPr>
        <w:pStyle w:val="Imprint"/>
        <w:ind w:right="1692"/>
      </w:pPr>
      <w:r w:rsidRPr="003B0BE9">
        <w:t>The National Centre for Vocational Education Research (NCVER) is an independent body responsible for collecting, managing and analysing, evaluating and communicating research and statistics about vocational education and training (VET).</w:t>
      </w:r>
    </w:p>
    <w:p w:rsidR="008E4A33" w:rsidRPr="003B0BE9" w:rsidRDefault="008E4A33" w:rsidP="0018799E">
      <w:pPr>
        <w:pStyle w:val="Imprint"/>
        <w:ind w:right="1692"/>
      </w:pPr>
      <w:r w:rsidRPr="003B0BE9">
        <w:t xml:space="preserve">NCVER’s </w:t>
      </w:r>
      <w:proofErr w:type="spellStart"/>
      <w:r w:rsidRPr="003B0BE9">
        <w:t>inhouse</w:t>
      </w:r>
      <w:proofErr w:type="spellEnd"/>
      <w:r w:rsidRPr="003B0BE9">
        <w:t xml:space="preserve"> research and evaluation program undertakes projects which are strategic to the VET sector. These projects are developed and conducted by the NCVER’s research staff and are funded by NCVER. This research aims to improve policy and practice in the VET sector.</w:t>
      </w:r>
    </w:p>
    <w:p w:rsidR="00454C38" w:rsidRPr="00FA4E2D" w:rsidRDefault="00454C38" w:rsidP="006E0475">
      <w:pPr>
        <w:pStyle w:val="Imprint"/>
        <w:tabs>
          <w:tab w:val="left" w:pos="851"/>
        </w:tabs>
      </w:pPr>
      <w:r>
        <w:t xml:space="preserve">ISBN </w:t>
      </w:r>
      <w:r>
        <w:tab/>
      </w:r>
      <w:r w:rsidR="002D3B16">
        <w:t xml:space="preserve">978 </w:t>
      </w:r>
      <w:r w:rsidR="00C13E9C" w:rsidRPr="00FA4E2D">
        <w:t>1</w:t>
      </w:r>
      <w:r w:rsidR="00C13E9C">
        <w:t xml:space="preserve"> 92</w:t>
      </w:r>
      <w:r w:rsidR="006E0475">
        <w:t>1</w:t>
      </w:r>
      <w:r w:rsidR="00C13E9C">
        <w:t>8</w:t>
      </w:r>
      <w:r w:rsidR="006E0475">
        <w:t>0</w:t>
      </w:r>
      <w:r w:rsidR="00C13E9C">
        <w:t>9</w:t>
      </w:r>
      <w:r w:rsidR="00C13E9C" w:rsidRPr="00FA4E2D">
        <w:t xml:space="preserve"> </w:t>
      </w:r>
      <w:r w:rsidR="00321F9E">
        <w:t xml:space="preserve">85 </w:t>
      </w:r>
      <w:proofErr w:type="gramStart"/>
      <w:r w:rsidR="00321F9E">
        <w:t>9</w:t>
      </w:r>
      <w:r w:rsidR="00C13E9C" w:rsidRPr="00FA4E2D">
        <w:t xml:space="preserve"> </w:t>
      </w:r>
      <w:r>
        <w:t xml:space="preserve"> </w:t>
      </w:r>
      <w:r w:rsidR="00C13E9C" w:rsidRPr="00FA4E2D">
        <w:t>web</w:t>
      </w:r>
      <w:proofErr w:type="gramEnd"/>
      <w:r w:rsidR="00C13E9C" w:rsidRPr="00FA4E2D">
        <w:t xml:space="preserve"> edition</w:t>
      </w:r>
    </w:p>
    <w:p w:rsidR="00C13E9C" w:rsidRDefault="00C13E9C" w:rsidP="006E0475">
      <w:pPr>
        <w:pStyle w:val="Imprint"/>
        <w:tabs>
          <w:tab w:val="left" w:pos="851"/>
        </w:tabs>
        <w:spacing w:before="120"/>
      </w:pPr>
      <w:r>
        <w:t>TD/TNC</w:t>
      </w:r>
      <w:r w:rsidR="006E0475">
        <w:tab/>
        <w:t>103</w:t>
      </w:r>
      <w:r w:rsidR="00321F9E">
        <w:t>.18</w:t>
      </w:r>
    </w:p>
    <w:p w:rsidR="00C13E9C" w:rsidRDefault="00C13E9C" w:rsidP="00C13E9C">
      <w:pPr>
        <w:pStyle w:val="Imprint"/>
      </w:pPr>
      <w:r>
        <w:t>Published by NCVER</w:t>
      </w:r>
      <w:r>
        <w:br/>
        <w:t>ABN 87 007 967 311</w:t>
      </w:r>
    </w:p>
    <w:p w:rsidR="00C13E9C" w:rsidRDefault="00C13E9C" w:rsidP="00C13E9C">
      <w:pPr>
        <w:pStyle w:val="Imprint"/>
      </w:pPr>
      <w:r>
        <w:t>Level 11, 33 King William Street, Adelaide, SA 5000</w:t>
      </w:r>
      <w:r>
        <w:br/>
        <w:t>PO Box 8288 Station Arcade, Adelaide SA 5000, Australia</w:t>
      </w:r>
    </w:p>
    <w:p w:rsidR="00C13E9C" w:rsidRPr="00835D1E" w:rsidRDefault="00C13E9C" w:rsidP="002D3B16">
      <w:pPr>
        <w:pStyle w:val="Imprint"/>
      </w:pPr>
      <w:proofErr w:type="gramStart"/>
      <w:r>
        <w:t>ph</w:t>
      </w:r>
      <w:proofErr w:type="gramEnd"/>
      <w:r>
        <w:t xml:space="preserve"> +61 8 8230 8400 fax +61 8 8212 3436</w:t>
      </w:r>
      <w:r>
        <w:br/>
        <w:t>email ncver@ncver.edu.au</w:t>
      </w:r>
      <w:r>
        <w:br/>
      </w:r>
      <w:r w:rsidR="002D3B16">
        <w:t>&lt;</w:t>
      </w:r>
      <w:hyperlink r:id="rId10" w:history="1">
        <w:r w:rsidR="002D3B16" w:rsidRPr="002D3B16">
          <w:rPr>
            <w:rStyle w:val="Hyperlink"/>
            <w:u w:val="none"/>
          </w:rPr>
          <w:t>http://www.ncver.edu.au</w:t>
        </w:r>
      </w:hyperlink>
      <w:r w:rsidR="002D3B16">
        <w:t>&gt;</w:t>
      </w:r>
      <w:r w:rsidR="002D3B16" w:rsidRPr="002D3B16">
        <w:br/>
      </w:r>
      <w:r>
        <w:t>&lt;http://www.ncver.edu.au/publications/</w:t>
      </w:r>
      <w:r w:rsidR="00321F9E">
        <w:t>2357</w:t>
      </w:r>
      <w:r>
        <w:t>.html&gt;</w:t>
      </w:r>
    </w:p>
    <w:p w:rsidR="006E0475" w:rsidRDefault="006E0475">
      <w:pPr>
        <w:spacing w:before="0"/>
        <w:rPr>
          <w:rFonts w:ascii="Garamond" w:hAnsi="Garamond"/>
          <w:b/>
          <w:sz w:val="16"/>
        </w:rPr>
      </w:pPr>
      <w:r>
        <w:rPr>
          <w:b/>
        </w:rPr>
        <w:br w:type="page"/>
      </w:r>
    </w:p>
    <w:p w:rsidR="00BA1BA9" w:rsidRDefault="00663E0D" w:rsidP="006E0475">
      <w:pPr>
        <w:pStyle w:val="Heading1"/>
        <w:pBdr>
          <w:bottom w:val="none" w:sz="0" w:space="0" w:color="auto"/>
        </w:pBdr>
        <w:jc w:val="left"/>
      </w:pPr>
      <w:bookmarkStart w:id="0" w:name="_Toc495748330"/>
      <w:bookmarkStart w:id="1" w:name="_Toc495810630"/>
      <w:bookmarkStart w:id="2" w:name="_Toc6031787"/>
      <w:bookmarkStart w:id="3" w:name="_Toc6031844"/>
      <w:r w:rsidRPr="00663E0D">
        <w:rPr>
          <w:i/>
          <w:noProof/>
          <w:sz w:val="20"/>
        </w:rPr>
        <w:lastRenderedPageBreak/>
        <w:pict>
          <v:group id="_x0000_s1035" style="position:absolute;margin-left:-10.95pt;margin-top:10.3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7" o:title="ncver right tab_mono"/>
            </v:shape>
          </v:group>
        </w:pict>
      </w:r>
      <w:r w:rsidR="007106BC" w:rsidRPr="006E0475">
        <w:rPr>
          <w:i/>
          <w:sz w:val="20"/>
        </w:rPr>
        <w:br/>
      </w:r>
      <w:bookmarkStart w:id="4" w:name="_Toc287454597"/>
      <w:bookmarkStart w:id="5" w:name="_Toc47346280"/>
      <w:bookmarkStart w:id="6" w:name="_Toc47951941"/>
      <w:r w:rsidR="007B6B23" w:rsidRPr="006E0475">
        <w:t>About</w:t>
      </w:r>
      <w:r w:rsidR="007B6B23">
        <w:t xml:space="preserve"> the research</w:t>
      </w:r>
      <w:bookmarkEnd w:id="4"/>
    </w:p>
    <w:p w:rsidR="003930C1" w:rsidRPr="004E2A45" w:rsidRDefault="00B7742A" w:rsidP="006E0475">
      <w:pPr>
        <w:pStyle w:val="AboutTitle"/>
        <w:spacing w:before="720"/>
      </w:pPr>
      <w:r>
        <w:t>Individual-</w:t>
      </w:r>
      <w:r w:rsidR="000E7748">
        <w:t xml:space="preserve">based completion rates for apprentices </w:t>
      </w:r>
    </w:p>
    <w:p w:rsidR="003930C1" w:rsidRDefault="000E7748" w:rsidP="004E2A45">
      <w:pPr>
        <w:pStyle w:val="Aboutauthor"/>
      </w:pPr>
      <w:r>
        <w:t xml:space="preserve">Tom </w:t>
      </w:r>
      <w:proofErr w:type="spellStart"/>
      <w:r>
        <w:t>Karmel</w:t>
      </w:r>
      <w:proofErr w:type="spellEnd"/>
      <w:r>
        <w:t>, NCVER</w:t>
      </w:r>
    </w:p>
    <w:p w:rsidR="00414D06" w:rsidRPr="006E0475" w:rsidRDefault="00414D06" w:rsidP="006E0475">
      <w:pPr>
        <w:pStyle w:val="Text"/>
      </w:pPr>
      <w:r>
        <w:t xml:space="preserve">Low completion rates for apprenticeships and traineeships have been receiving considerable attention in recent times. The rates published by </w:t>
      </w:r>
      <w:r w:rsidR="00B7742A">
        <w:t>the National Centre for Vocational Education Research (</w:t>
      </w:r>
      <w:r>
        <w:t>NCVER</w:t>
      </w:r>
      <w:r w:rsidR="00B7742A">
        <w:t>)</w:t>
      </w:r>
      <w:r>
        <w:t xml:space="preserve"> relate to contracts of training and do not take into account the fact that some individuals who fail to </w:t>
      </w:r>
      <w:r w:rsidRPr="006E0475">
        <w:t>complete their apprenticeship or traineeship with one employer may continue their training with another employer. Therefore it has been argued that NCVER seriously understates the completion rates.</w:t>
      </w:r>
    </w:p>
    <w:p w:rsidR="00414D06" w:rsidRDefault="00414D06" w:rsidP="006E0475">
      <w:pPr>
        <w:pStyle w:val="Text"/>
      </w:pPr>
      <w:r w:rsidRPr="006E0475">
        <w:t xml:space="preserve">NCVER’s approach is driven by the structure of the administrative data it collects. However, in recent </w:t>
      </w:r>
      <w:r w:rsidR="00DF47A1" w:rsidRPr="006E0475">
        <w:t>times</w:t>
      </w:r>
      <w:r w:rsidRPr="006E0475">
        <w:t xml:space="preserve"> NCVER has</w:t>
      </w:r>
      <w:r>
        <w:t xml:space="preserve"> collecte</w:t>
      </w:r>
      <w:r w:rsidR="00B7742A">
        <w:t>d some data on recommencements;</w:t>
      </w:r>
      <w:r>
        <w:t xml:space="preserve"> that is</w:t>
      </w:r>
      <w:r w:rsidR="00B7742A">
        <w:t>,</w:t>
      </w:r>
      <w:r>
        <w:t xml:space="preserve"> when an </w:t>
      </w:r>
      <w:r w:rsidR="00DF47A1">
        <w:t>individual</w:t>
      </w:r>
      <w:r>
        <w:t xml:space="preserve"> recommences his or her </w:t>
      </w:r>
      <w:r w:rsidR="00DF47A1">
        <w:t>apprenticeship</w:t>
      </w:r>
      <w:r>
        <w:t>/t</w:t>
      </w:r>
      <w:r w:rsidR="00B7742A">
        <w:t>raineeship with a new employer</w:t>
      </w:r>
      <w:r w:rsidR="00321F9E">
        <w:t>.</w:t>
      </w:r>
      <w:r>
        <w:t xml:space="preserve"> </w:t>
      </w:r>
      <w:r w:rsidR="00321F9E">
        <w:t>T</w:t>
      </w:r>
      <w:r>
        <w:t xml:space="preserve">hese data have been used by Tom </w:t>
      </w:r>
      <w:proofErr w:type="spellStart"/>
      <w:r>
        <w:t>Karmel</w:t>
      </w:r>
      <w:proofErr w:type="spellEnd"/>
      <w:r>
        <w:t xml:space="preserve"> to e</w:t>
      </w:r>
      <w:r w:rsidR="00DF47A1">
        <w:t>stimate completion rates</w:t>
      </w:r>
      <w:r w:rsidR="00366E03">
        <w:t xml:space="preserve"> </w:t>
      </w:r>
      <w:r w:rsidR="0001236E" w:rsidRPr="0001236E">
        <w:t xml:space="preserve">for individuals who commence and subsequently complete in the same occupation </w:t>
      </w:r>
      <w:r w:rsidR="00366E03">
        <w:t>(as distinct from contract completion rates</w:t>
      </w:r>
      <w:r w:rsidR="00130767">
        <w:t>)</w:t>
      </w:r>
      <w:r>
        <w:t>.</w:t>
      </w:r>
    </w:p>
    <w:p w:rsidR="00414D06" w:rsidRDefault="00414D06" w:rsidP="006E0475">
      <w:pPr>
        <w:pStyle w:val="Heading2"/>
      </w:pPr>
      <w:bookmarkStart w:id="7" w:name="_Toc287454598"/>
      <w:r>
        <w:t>Key messages</w:t>
      </w:r>
      <w:bookmarkEnd w:id="7"/>
    </w:p>
    <w:p w:rsidR="00414D06" w:rsidRPr="006E0475" w:rsidRDefault="00B7742A" w:rsidP="006E0475">
      <w:pPr>
        <w:pStyle w:val="Dotpoint1"/>
      </w:pPr>
      <w:r>
        <w:t>Around one-</w:t>
      </w:r>
      <w:r w:rsidR="00414D06">
        <w:t xml:space="preserve">quarter of trade </w:t>
      </w:r>
      <w:r w:rsidR="00414D06" w:rsidRPr="006E0475">
        <w:t>apprentices swap employers during their apprenticeship.</w:t>
      </w:r>
    </w:p>
    <w:p w:rsidR="00414D06" w:rsidRDefault="00B7742A" w:rsidP="006E0475">
      <w:pPr>
        <w:pStyle w:val="Dotpoint1"/>
      </w:pPr>
      <w:r w:rsidRPr="006E0475">
        <w:t>Individual c</w:t>
      </w:r>
      <w:r w:rsidR="00414D06" w:rsidRPr="006E0475">
        <w:t xml:space="preserve">ompletion rates </w:t>
      </w:r>
      <w:r w:rsidR="001E7F71" w:rsidRPr="006E0475">
        <w:t>relat</w:t>
      </w:r>
      <w:r w:rsidR="001E7F71">
        <w:t xml:space="preserve">ing to individuals </w:t>
      </w:r>
      <w:r w:rsidR="00414D06">
        <w:t xml:space="preserve">for the commencing cohort in 2005 are around 56.6% (on </w:t>
      </w:r>
      <w:proofErr w:type="spellStart"/>
      <w:r w:rsidR="00414D06">
        <w:t>Karmel’s</w:t>
      </w:r>
      <w:proofErr w:type="spellEnd"/>
      <w:r w:rsidR="00414D06">
        <w:t xml:space="preserve"> estimate) compared </w:t>
      </w:r>
      <w:r>
        <w:t>with 45.6% on a contract-</w:t>
      </w:r>
      <w:r w:rsidR="008E3CE0">
        <w:t>of-t</w:t>
      </w:r>
      <w:r w:rsidR="00414D06">
        <w:t xml:space="preserve">raining basis. The completion rates </w:t>
      </w:r>
      <w:r w:rsidR="001E7F71">
        <w:t xml:space="preserve">for individuals </w:t>
      </w:r>
      <w:r w:rsidR="00414D06">
        <w:t>range from 39.2% for the food trades</w:t>
      </w:r>
      <w:r w:rsidR="00321F9E">
        <w:t>,</w:t>
      </w:r>
      <w:r w:rsidR="00414D06">
        <w:t xml:space="preserve"> to 64.2%</w:t>
      </w:r>
      <w:r w:rsidR="00DF47A1">
        <w:t xml:space="preserve"> </w:t>
      </w:r>
      <w:r w:rsidR="00414D06">
        <w:t xml:space="preserve">for </w:t>
      </w:r>
      <w:proofErr w:type="spellStart"/>
      <w:r>
        <w:t>electro</w:t>
      </w:r>
      <w:r w:rsidR="00DF47A1">
        <w:t>technology</w:t>
      </w:r>
      <w:proofErr w:type="spellEnd"/>
      <w:r w:rsidR="00414D06">
        <w:t xml:space="preserve"> and telecommunications trades workers.</w:t>
      </w:r>
    </w:p>
    <w:p w:rsidR="00414D06" w:rsidRDefault="00414D06" w:rsidP="00414D06">
      <w:pPr>
        <w:pStyle w:val="Text"/>
      </w:pPr>
      <w:r>
        <w:t>While these new estimates</w:t>
      </w:r>
      <w:r w:rsidR="00DF47A1">
        <w:t xml:space="preserve"> show that completion rates for individuals are considerably higher than the rates calculated for contracts, they also show that employer churn is an issue, with the worst occupations being hairdressing and the food trades.</w:t>
      </w:r>
      <w:r>
        <w:t xml:space="preserve"> </w:t>
      </w:r>
    </w:p>
    <w:p w:rsidR="006E0475" w:rsidRDefault="006E0475" w:rsidP="00F5386C">
      <w:pPr>
        <w:pStyle w:val="Text"/>
      </w:pPr>
    </w:p>
    <w:p w:rsidR="00DE4D56" w:rsidRDefault="001E7F71" w:rsidP="00F5386C">
      <w:pPr>
        <w:pStyle w:val="Text"/>
      </w:pPr>
      <w:r>
        <w:t xml:space="preserve">Tom </w:t>
      </w:r>
      <w:proofErr w:type="spellStart"/>
      <w:r>
        <w:t>Karmel</w:t>
      </w:r>
      <w:proofErr w:type="spellEnd"/>
      <w:r w:rsidR="006E0475">
        <w:br/>
        <w:t>Managing Director, NCVE</w:t>
      </w:r>
      <w:r w:rsidR="00DE4D56">
        <w:t>R</w:t>
      </w:r>
    </w:p>
    <w:p w:rsidR="00DE4D56" w:rsidRDefault="00DE4D56">
      <w:pPr>
        <w:spacing w:before="0"/>
      </w:pPr>
      <w:r>
        <w:br w:type="page"/>
      </w:r>
    </w:p>
    <w:p w:rsidR="00DE4D56" w:rsidRDefault="00DE4D56">
      <w:pPr>
        <w:spacing w:before="0"/>
        <w:rPr>
          <w:i/>
        </w:rPr>
      </w:pPr>
      <w:r>
        <w:rPr>
          <w:i/>
        </w:rPr>
        <w:lastRenderedPageBreak/>
        <w:br w:type="page"/>
      </w:r>
    </w:p>
    <w:p w:rsidR="00395275" w:rsidRDefault="00395275" w:rsidP="00395275">
      <w:pPr>
        <w:spacing w:before="0"/>
        <w:rPr>
          <w:i/>
        </w:rPr>
        <w:sectPr w:rsidR="00395275" w:rsidSect="002D3B16">
          <w:pgSz w:w="11899" w:h="16838" w:code="9"/>
          <w:pgMar w:top="1418" w:right="1985" w:bottom="567" w:left="1418" w:header="720" w:footer="720" w:gutter="0"/>
          <w:cols w:space="720"/>
          <w:docGrid w:linePitch="360"/>
        </w:sectPr>
      </w:pPr>
    </w:p>
    <w:p w:rsidR="007106BC" w:rsidRDefault="007B6B23" w:rsidP="00DE4D56">
      <w:pPr>
        <w:pStyle w:val="Heading1"/>
        <w:rPr>
          <w:rFonts w:ascii="Avant Garde" w:hAnsi="Avant Garde"/>
        </w:rPr>
      </w:pPr>
      <w:r>
        <w:rPr>
          <w:i/>
        </w:rPr>
        <w:lastRenderedPageBreak/>
        <w:br/>
      </w:r>
      <w:r>
        <w:rPr>
          <w:i/>
        </w:rPr>
        <w:br/>
      </w:r>
      <w:bookmarkStart w:id="8" w:name="_Toc287454599"/>
      <w:r w:rsidR="007106BC">
        <w:t>Contents</w:t>
      </w:r>
      <w:bookmarkEnd w:id="0"/>
      <w:bookmarkEnd w:id="1"/>
      <w:bookmarkEnd w:id="2"/>
      <w:bookmarkEnd w:id="3"/>
      <w:bookmarkEnd w:id="5"/>
      <w:bookmarkEnd w:id="6"/>
      <w:bookmarkEnd w:id="8"/>
    </w:p>
    <w:p w:rsidR="00ED29BF" w:rsidRDefault="00663E0D" w:rsidP="00ED29BF">
      <w:pPr>
        <w:pStyle w:val="TOC1"/>
        <w:spacing w:before="440"/>
        <w:rPr>
          <w:rFonts w:asciiTheme="minorHAnsi" w:eastAsiaTheme="minorEastAsia" w:hAnsiTheme="minorHAnsi" w:cstheme="minorBidi"/>
          <w:noProof/>
          <w:szCs w:val="22"/>
        </w:rPr>
      </w:pPr>
      <w:r w:rsidRPr="00663E0D">
        <w:rPr>
          <w:rFonts w:ascii="Avant Garde" w:hAnsi="Avant Garde"/>
        </w:rPr>
        <w:fldChar w:fldCharType="begin"/>
      </w:r>
      <w:r w:rsidR="007106BC">
        <w:rPr>
          <w:rFonts w:ascii="Avant Garde" w:hAnsi="Avant Garde"/>
        </w:rPr>
        <w:instrText xml:space="preserve"> TOC \o "1-2" </w:instrText>
      </w:r>
      <w:r w:rsidRPr="00663E0D">
        <w:rPr>
          <w:rFonts w:ascii="Avant Garde" w:hAnsi="Avant Garde"/>
        </w:rPr>
        <w:fldChar w:fldCharType="separate"/>
      </w:r>
      <w:r w:rsidR="00ED29BF">
        <w:rPr>
          <w:noProof/>
        </w:rPr>
        <w:t>Tables and figures</w:t>
      </w:r>
      <w:r w:rsidR="00ED29BF">
        <w:rPr>
          <w:noProof/>
        </w:rPr>
        <w:tab/>
      </w:r>
      <w:r>
        <w:rPr>
          <w:noProof/>
        </w:rPr>
        <w:fldChar w:fldCharType="begin"/>
      </w:r>
      <w:r w:rsidR="00ED29BF">
        <w:rPr>
          <w:noProof/>
        </w:rPr>
        <w:instrText xml:space="preserve"> PAGEREF _Toc287454600 \h </w:instrText>
      </w:r>
      <w:r>
        <w:rPr>
          <w:noProof/>
        </w:rPr>
      </w:r>
      <w:r>
        <w:rPr>
          <w:noProof/>
        </w:rPr>
        <w:fldChar w:fldCharType="separate"/>
      </w:r>
      <w:r w:rsidR="00ED29BF">
        <w:rPr>
          <w:noProof/>
        </w:rPr>
        <w:t>6</w:t>
      </w:r>
      <w:r>
        <w:rPr>
          <w:noProof/>
        </w:rPr>
        <w:fldChar w:fldCharType="end"/>
      </w:r>
    </w:p>
    <w:p w:rsidR="00ED29BF" w:rsidRDefault="00ED29BF">
      <w:pPr>
        <w:pStyle w:val="TOC1"/>
        <w:rPr>
          <w:rFonts w:asciiTheme="minorHAnsi" w:eastAsiaTheme="minorEastAsia" w:hAnsiTheme="minorHAnsi" w:cstheme="minorBidi"/>
          <w:noProof/>
          <w:szCs w:val="22"/>
        </w:rPr>
      </w:pPr>
      <w:r>
        <w:rPr>
          <w:noProof/>
        </w:rPr>
        <w:t>Individual</w:t>
      </w:r>
      <w:r w:rsidR="00321F9E">
        <w:rPr>
          <w:noProof/>
        </w:rPr>
        <w:t>-</w:t>
      </w:r>
      <w:r>
        <w:rPr>
          <w:noProof/>
        </w:rPr>
        <w:t>based completion rates for apprentices</w:t>
      </w:r>
      <w:r>
        <w:rPr>
          <w:noProof/>
        </w:rPr>
        <w:tab/>
      </w:r>
      <w:r w:rsidR="00663E0D">
        <w:rPr>
          <w:noProof/>
        </w:rPr>
        <w:fldChar w:fldCharType="begin"/>
      </w:r>
      <w:r>
        <w:rPr>
          <w:noProof/>
        </w:rPr>
        <w:instrText xml:space="preserve"> PAGEREF _Toc287454601 \h </w:instrText>
      </w:r>
      <w:r w:rsidR="00663E0D">
        <w:rPr>
          <w:noProof/>
        </w:rPr>
      </w:r>
      <w:r w:rsidR="00663E0D">
        <w:rPr>
          <w:noProof/>
        </w:rPr>
        <w:fldChar w:fldCharType="separate"/>
      </w:r>
      <w:r>
        <w:rPr>
          <w:noProof/>
        </w:rPr>
        <w:t>7</w:t>
      </w:r>
      <w:r w:rsidR="00663E0D">
        <w:rPr>
          <w:noProof/>
        </w:rPr>
        <w:fldChar w:fldCharType="end"/>
      </w:r>
    </w:p>
    <w:p w:rsidR="00ED29BF" w:rsidRDefault="00ED29BF">
      <w:pPr>
        <w:pStyle w:val="TOC2"/>
        <w:rPr>
          <w:rFonts w:asciiTheme="minorHAnsi" w:eastAsiaTheme="minorEastAsia" w:hAnsiTheme="minorHAnsi" w:cstheme="minorBidi"/>
          <w:noProof/>
          <w:sz w:val="22"/>
          <w:szCs w:val="22"/>
        </w:rPr>
      </w:pPr>
      <w:r>
        <w:rPr>
          <w:noProof/>
        </w:rPr>
        <w:t>The data</w:t>
      </w:r>
      <w:r>
        <w:rPr>
          <w:noProof/>
        </w:rPr>
        <w:tab/>
      </w:r>
      <w:r w:rsidR="00663E0D">
        <w:rPr>
          <w:noProof/>
        </w:rPr>
        <w:fldChar w:fldCharType="begin"/>
      </w:r>
      <w:r>
        <w:rPr>
          <w:noProof/>
        </w:rPr>
        <w:instrText xml:space="preserve"> PAGEREF _Toc287454602 \h </w:instrText>
      </w:r>
      <w:r w:rsidR="00663E0D">
        <w:rPr>
          <w:noProof/>
        </w:rPr>
      </w:r>
      <w:r w:rsidR="00663E0D">
        <w:rPr>
          <w:noProof/>
        </w:rPr>
        <w:fldChar w:fldCharType="separate"/>
      </w:r>
      <w:r>
        <w:rPr>
          <w:noProof/>
        </w:rPr>
        <w:t>8</w:t>
      </w:r>
      <w:r w:rsidR="00663E0D">
        <w:rPr>
          <w:noProof/>
        </w:rPr>
        <w:fldChar w:fldCharType="end"/>
      </w:r>
    </w:p>
    <w:p w:rsidR="00ED29BF" w:rsidRDefault="00ED29BF">
      <w:pPr>
        <w:pStyle w:val="TOC2"/>
        <w:rPr>
          <w:rFonts w:asciiTheme="minorHAnsi" w:eastAsiaTheme="minorEastAsia" w:hAnsiTheme="minorHAnsi" w:cstheme="minorBidi"/>
          <w:noProof/>
          <w:sz w:val="22"/>
          <w:szCs w:val="22"/>
        </w:rPr>
      </w:pPr>
      <w:r>
        <w:rPr>
          <w:noProof/>
        </w:rPr>
        <w:t>The adjustment factor</w:t>
      </w:r>
      <w:r>
        <w:rPr>
          <w:noProof/>
        </w:rPr>
        <w:tab/>
      </w:r>
      <w:r w:rsidR="00663E0D">
        <w:rPr>
          <w:noProof/>
        </w:rPr>
        <w:fldChar w:fldCharType="begin"/>
      </w:r>
      <w:r>
        <w:rPr>
          <w:noProof/>
        </w:rPr>
        <w:instrText xml:space="preserve"> PAGEREF _Toc287454603 \h </w:instrText>
      </w:r>
      <w:r w:rsidR="00663E0D">
        <w:rPr>
          <w:noProof/>
        </w:rPr>
      </w:r>
      <w:r w:rsidR="00663E0D">
        <w:rPr>
          <w:noProof/>
        </w:rPr>
        <w:fldChar w:fldCharType="separate"/>
      </w:r>
      <w:r>
        <w:rPr>
          <w:noProof/>
        </w:rPr>
        <w:t>9</w:t>
      </w:r>
      <w:r w:rsidR="00663E0D">
        <w:rPr>
          <w:noProof/>
        </w:rPr>
        <w:fldChar w:fldCharType="end"/>
      </w:r>
    </w:p>
    <w:p w:rsidR="00ED29BF" w:rsidRDefault="00ED29BF">
      <w:pPr>
        <w:pStyle w:val="TOC2"/>
        <w:rPr>
          <w:rFonts w:asciiTheme="minorHAnsi" w:eastAsiaTheme="minorEastAsia" w:hAnsiTheme="minorHAnsi" w:cstheme="minorBidi"/>
          <w:noProof/>
          <w:sz w:val="22"/>
          <w:szCs w:val="22"/>
        </w:rPr>
      </w:pPr>
      <w:r>
        <w:rPr>
          <w:noProof/>
        </w:rPr>
        <w:t>A new set of completion rates</w:t>
      </w:r>
      <w:r>
        <w:rPr>
          <w:noProof/>
        </w:rPr>
        <w:tab/>
      </w:r>
      <w:r w:rsidR="00663E0D">
        <w:rPr>
          <w:noProof/>
        </w:rPr>
        <w:fldChar w:fldCharType="begin"/>
      </w:r>
      <w:r>
        <w:rPr>
          <w:noProof/>
        </w:rPr>
        <w:instrText xml:space="preserve"> PAGEREF _Toc287454604 \h </w:instrText>
      </w:r>
      <w:r w:rsidR="00663E0D">
        <w:rPr>
          <w:noProof/>
        </w:rPr>
      </w:r>
      <w:r w:rsidR="00663E0D">
        <w:rPr>
          <w:noProof/>
        </w:rPr>
        <w:fldChar w:fldCharType="separate"/>
      </w:r>
      <w:r>
        <w:rPr>
          <w:noProof/>
        </w:rPr>
        <w:t>10</w:t>
      </w:r>
      <w:r w:rsidR="00663E0D">
        <w:rPr>
          <w:noProof/>
        </w:rPr>
        <w:fldChar w:fldCharType="end"/>
      </w:r>
    </w:p>
    <w:p w:rsidR="00ED29BF" w:rsidRDefault="00ED29BF">
      <w:pPr>
        <w:pStyle w:val="TOC2"/>
        <w:rPr>
          <w:rFonts w:asciiTheme="minorHAnsi" w:eastAsiaTheme="minorEastAsia" w:hAnsiTheme="minorHAnsi" w:cstheme="minorBidi"/>
          <w:noProof/>
          <w:sz w:val="22"/>
          <w:szCs w:val="22"/>
        </w:rPr>
      </w:pPr>
      <w:r>
        <w:rPr>
          <w:noProof/>
        </w:rPr>
        <w:t>Conclusion</w:t>
      </w:r>
      <w:r>
        <w:rPr>
          <w:noProof/>
        </w:rPr>
        <w:tab/>
      </w:r>
      <w:r w:rsidR="00663E0D">
        <w:rPr>
          <w:noProof/>
        </w:rPr>
        <w:fldChar w:fldCharType="begin"/>
      </w:r>
      <w:r>
        <w:rPr>
          <w:noProof/>
        </w:rPr>
        <w:instrText xml:space="preserve"> PAGEREF _Toc287454605 \h </w:instrText>
      </w:r>
      <w:r w:rsidR="00663E0D">
        <w:rPr>
          <w:noProof/>
        </w:rPr>
      </w:r>
      <w:r w:rsidR="00663E0D">
        <w:rPr>
          <w:noProof/>
        </w:rPr>
        <w:fldChar w:fldCharType="separate"/>
      </w:r>
      <w:r>
        <w:rPr>
          <w:noProof/>
        </w:rPr>
        <w:t>10</w:t>
      </w:r>
      <w:r w:rsidR="00663E0D">
        <w:rPr>
          <w:noProof/>
        </w:rPr>
        <w:fldChar w:fldCharType="end"/>
      </w:r>
    </w:p>
    <w:p w:rsidR="00ED29BF" w:rsidRDefault="00ED29BF">
      <w:pPr>
        <w:pStyle w:val="TOC1"/>
        <w:rPr>
          <w:rFonts w:asciiTheme="minorHAnsi" w:eastAsiaTheme="minorEastAsia" w:hAnsiTheme="minorHAnsi" w:cstheme="minorBidi"/>
          <w:noProof/>
          <w:szCs w:val="22"/>
        </w:rPr>
      </w:pPr>
      <w:r>
        <w:rPr>
          <w:noProof/>
        </w:rPr>
        <w:t>References</w:t>
      </w:r>
      <w:r>
        <w:rPr>
          <w:noProof/>
        </w:rPr>
        <w:tab/>
      </w:r>
      <w:r w:rsidR="00663E0D">
        <w:rPr>
          <w:noProof/>
        </w:rPr>
        <w:fldChar w:fldCharType="begin"/>
      </w:r>
      <w:r>
        <w:rPr>
          <w:noProof/>
        </w:rPr>
        <w:instrText xml:space="preserve"> PAGEREF _Toc287454606 \h </w:instrText>
      </w:r>
      <w:r w:rsidR="00663E0D">
        <w:rPr>
          <w:noProof/>
        </w:rPr>
      </w:r>
      <w:r w:rsidR="00663E0D">
        <w:rPr>
          <w:noProof/>
        </w:rPr>
        <w:fldChar w:fldCharType="separate"/>
      </w:r>
      <w:r>
        <w:rPr>
          <w:noProof/>
        </w:rPr>
        <w:t>11</w:t>
      </w:r>
      <w:r w:rsidR="00663E0D">
        <w:rPr>
          <w:noProof/>
        </w:rPr>
        <w:fldChar w:fldCharType="end"/>
      </w:r>
    </w:p>
    <w:p w:rsidR="00C2187C" w:rsidRDefault="00663E0D" w:rsidP="009346FE">
      <w:pPr>
        <w:pStyle w:val="TOC1"/>
      </w:pPr>
      <w:r>
        <w:fldChar w:fldCharType="end"/>
      </w:r>
    </w:p>
    <w:p w:rsidR="007106BC" w:rsidRDefault="00C2187C">
      <w:pPr>
        <w:pStyle w:val="Heading1"/>
      </w:pPr>
      <w:r>
        <w:br w:type="page"/>
      </w:r>
      <w:bookmarkStart w:id="9" w:name="_Toc457122463"/>
      <w:r w:rsidR="007106BC">
        <w:lastRenderedPageBreak/>
        <w:br/>
      </w:r>
      <w:r w:rsidR="007106BC">
        <w:br/>
      </w:r>
      <w:bookmarkStart w:id="10" w:name="_Toc287454600"/>
      <w:r w:rsidR="007106BC">
        <w:t>Tables and figures</w:t>
      </w:r>
      <w:bookmarkEnd w:id="10"/>
    </w:p>
    <w:p w:rsidR="00ED29BF" w:rsidRDefault="00663E0D" w:rsidP="00ED29BF">
      <w:pPr>
        <w:pStyle w:val="Heading3"/>
        <w:tabs>
          <w:tab w:val="right" w:pos="8505"/>
        </w:tabs>
        <w:spacing w:before="440"/>
        <w:ind w:left="2268"/>
        <w:rPr>
          <w:noProof/>
        </w:rPr>
      </w:pPr>
      <w:r w:rsidRPr="00663E0D">
        <w:fldChar w:fldCharType="begin"/>
      </w:r>
      <w:r w:rsidR="007106BC">
        <w:instrText xml:space="preserve"> TOC \f F \t "tabletitle" \c </w:instrText>
      </w:r>
      <w:r w:rsidRPr="00663E0D">
        <w:fldChar w:fldCharType="separate"/>
      </w:r>
      <w:r w:rsidR="00ED29BF">
        <w:rPr>
          <w:noProof/>
        </w:rPr>
        <w:t>Tables</w:t>
      </w:r>
    </w:p>
    <w:p w:rsidR="00ED29BF" w:rsidRDefault="00ED29BF" w:rsidP="00ED29BF">
      <w:pPr>
        <w:pStyle w:val="TableofFigures"/>
        <w:tabs>
          <w:tab w:val="clear" w:pos="8222"/>
          <w:tab w:val="right" w:pos="8505"/>
        </w:tabs>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 xml:space="preserve">Commencement and recommencement data, by major </w:t>
      </w:r>
      <w:r>
        <w:rPr>
          <w:noProof/>
        </w:rPr>
        <w:br/>
        <w:t>occupational group, 2009</w:t>
      </w:r>
      <w:r>
        <w:rPr>
          <w:noProof/>
        </w:rPr>
        <w:tab/>
      </w:r>
      <w:r w:rsidR="00663E0D">
        <w:rPr>
          <w:noProof/>
        </w:rPr>
        <w:fldChar w:fldCharType="begin"/>
      </w:r>
      <w:r>
        <w:rPr>
          <w:noProof/>
        </w:rPr>
        <w:instrText xml:space="preserve"> PAGEREF _Toc287454845 \h </w:instrText>
      </w:r>
      <w:r w:rsidR="00663E0D">
        <w:rPr>
          <w:noProof/>
        </w:rPr>
      </w:r>
      <w:r w:rsidR="00663E0D">
        <w:rPr>
          <w:noProof/>
        </w:rPr>
        <w:fldChar w:fldCharType="separate"/>
      </w:r>
      <w:r>
        <w:rPr>
          <w:noProof/>
        </w:rPr>
        <w:t>8</w:t>
      </w:r>
      <w:r w:rsidR="00663E0D">
        <w:rPr>
          <w:noProof/>
        </w:rPr>
        <w:fldChar w:fldCharType="end"/>
      </w:r>
    </w:p>
    <w:p w:rsidR="00ED29BF" w:rsidRDefault="00ED29BF" w:rsidP="00ED29BF">
      <w:pPr>
        <w:pStyle w:val="TableofFigures"/>
        <w:tabs>
          <w:tab w:val="clear" w:pos="8222"/>
          <w:tab w:val="right" w:pos="8505"/>
        </w:tabs>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 xml:space="preserve">‘Recommencement’ adjustment factor, contract and </w:t>
      </w:r>
      <w:r>
        <w:rPr>
          <w:noProof/>
        </w:rPr>
        <w:br/>
        <w:t xml:space="preserve">individual completion rates, trade occupations, </w:t>
      </w:r>
      <w:r>
        <w:rPr>
          <w:noProof/>
        </w:rPr>
        <w:br/>
        <w:t>commenced in 2005</w:t>
      </w:r>
      <w:r>
        <w:rPr>
          <w:noProof/>
        </w:rPr>
        <w:tab/>
      </w:r>
      <w:r w:rsidR="00663E0D">
        <w:rPr>
          <w:noProof/>
        </w:rPr>
        <w:fldChar w:fldCharType="begin"/>
      </w:r>
      <w:r>
        <w:rPr>
          <w:noProof/>
        </w:rPr>
        <w:instrText xml:space="preserve"> PAGEREF _Toc287454846 \h </w:instrText>
      </w:r>
      <w:r w:rsidR="00663E0D">
        <w:rPr>
          <w:noProof/>
        </w:rPr>
      </w:r>
      <w:r w:rsidR="00663E0D">
        <w:rPr>
          <w:noProof/>
        </w:rPr>
        <w:fldChar w:fldCharType="separate"/>
      </w:r>
      <w:r>
        <w:rPr>
          <w:noProof/>
        </w:rPr>
        <w:t>10</w:t>
      </w:r>
      <w:r w:rsidR="00663E0D">
        <w:rPr>
          <w:noProof/>
        </w:rPr>
        <w:fldChar w:fldCharType="end"/>
      </w:r>
    </w:p>
    <w:p w:rsidR="00ED29BF" w:rsidRDefault="00663E0D" w:rsidP="00ED29BF">
      <w:pPr>
        <w:pStyle w:val="Heading3"/>
        <w:tabs>
          <w:tab w:val="right" w:pos="8505"/>
        </w:tabs>
        <w:ind w:left="2268"/>
        <w:rPr>
          <w:noProof/>
        </w:rPr>
      </w:pPr>
      <w:r>
        <w:rPr>
          <w:sz w:val="20"/>
        </w:rPr>
        <w:fldChar w:fldCharType="end"/>
      </w:r>
      <w:r w:rsidRPr="00663E0D">
        <w:fldChar w:fldCharType="begin"/>
      </w:r>
      <w:r w:rsidR="007106BC">
        <w:instrText xml:space="preserve"> TOC \t "Figuretitle" \c </w:instrText>
      </w:r>
      <w:r w:rsidRPr="00663E0D">
        <w:fldChar w:fldCharType="separate"/>
      </w:r>
      <w:r w:rsidR="00ED29BF">
        <w:rPr>
          <w:noProof/>
        </w:rPr>
        <w:t>Figures</w:t>
      </w:r>
    </w:p>
    <w:p w:rsidR="00ED29BF" w:rsidRPr="00ED29BF" w:rsidRDefault="00ED29BF" w:rsidP="00ED29BF">
      <w:pPr>
        <w:pStyle w:val="TableofFigures"/>
        <w:tabs>
          <w:tab w:val="clear" w:pos="8222"/>
          <w:tab w:val="right" w:pos="8505"/>
        </w:tabs>
        <w:rPr>
          <w:noProof/>
        </w:rPr>
      </w:pPr>
      <w:r>
        <w:rPr>
          <w:noProof/>
        </w:rPr>
        <w:t>1</w:t>
      </w:r>
      <w:r>
        <w:rPr>
          <w:rFonts w:asciiTheme="minorHAnsi" w:eastAsiaTheme="minorEastAsia" w:hAnsiTheme="minorHAnsi" w:cstheme="minorBidi"/>
          <w:noProof/>
          <w:szCs w:val="22"/>
        </w:rPr>
        <w:tab/>
      </w:r>
      <w:r>
        <w:rPr>
          <w:noProof/>
        </w:rPr>
        <w:t xml:space="preserve">Commencements and recommencements, trades and </w:t>
      </w:r>
      <w:r>
        <w:rPr>
          <w:noProof/>
        </w:rPr>
        <w:br/>
        <w:t>technicians, 2005–09</w:t>
      </w:r>
      <w:r>
        <w:rPr>
          <w:noProof/>
        </w:rPr>
        <w:tab/>
      </w:r>
      <w:r w:rsidR="00663E0D">
        <w:rPr>
          <w:noProof/>
        </w:rPr>
        <w:fldChar w:fldCharType="begin"/>
      </w:r>
      <w:r>
        <w:rPr>
          <w:noProof/>
        </w:rPr>
        <w:instrText xml:space="preserve"> PAGEREF _Toc287454853 \h </w:instrText>
      </w:r>
      <w:r w:rsidR="00663E0D">
        <w:rPr>
          <w:noProof/>
        </w:rPr>
      </w:r>
      <w:r w:rsidR="00663E0D">
        <w:rPr>
          <w:noProof/>
        </w:rPr>
        <w:fldChar w:fldCharType="separate"/>
      </w:r>
      <w:r>
        <w:rPr>
          <w:noProof/>
        </w:rPr>
        <w:t>9</w:t>
      </w:r>
      <w:r w:rsidR="00663E0D">
        <w:rPr>
          <w:noProof/>
        </w:rPr>
        <w:fldChar w:fldCharType="end"/>
      </w:r>
    </w:p>
    <w:p w:rsidR="00C2187C" w:rsidRDefault="00663E0D" w:rsidP="00ED29BF">
      <w:pPr>
        <w:pStyle w:val="Text"/>
        <w:tabs>
          <w:tab w:val="center" w:pos="4536"/>
          <w:tab w:val="right" w:pos="8505"/>
        </w:tabs>
      </w:pPr>
      <w:r>
        <w:fldChar w:fldCharType="end"/>
      </w:r>
    </w:p>
    <w:p w:rsidR="007106BC" w:rsidRPr="005F2851" w:rsidRDefault="00C2187C" w:rsidP="005F2851">
      <w:pPr>
        <w:pStyle w:val="Heading1"/>
      </w:pPr>
      <w:r w:rsidRPr="005F2851">
        <w:br w:type="page"/>
      </w:r>
      <w:bookmarkEnd w:id="9"/>
      <w:r w:rsidR="007106BC">
        <w:lastRenderedPageBreak/>
        <w:br/>
      </w:r>
      <w:bookmarkStart w:id="11" w:name="_Toc287454601"/>
      <w:r w:rsidR="00A26212" w:rsidRPr="005F2851">
        <w:t>Individual</w:t>
      </w:r>
      <w:r w:rsidR="00321F9E">
        <w:t>-</w:t>
      </w:r>
      <w:r w:rsidR="00A26212" w:rsidRPr="005F2851">
        <w:t>based c</w:t>
      </w:r>
      <w:r w:rsidR="00294C6E" w:rsidRPr="005F2851">
        <w:t xml:space="preserve">ompletion rates for apprentices </w:t>
      </w:r>
      <w:bookmarkEnd w:id="11"/>
    </w:p>
    <w:p w:rsidR="00595C90" w:rsidRPr="00DE4D56" w:rsidRDefault="00294C6E" w:rsidP="00DE4D56">
      <w:pPr>
        <w:pStyle w:val="Text"/>
        <w:spacing w:before="440"/>
      </w:pPr>
      <w:r>
        <w:t>NCVER in its statistical publications (NCVER 2010a, 2010b) estimates the completion rates for apprenticeships and traineeships based on contract</w:t>
      </w:r>
      <w:r w:rsidR="00D23EBA">
        <w:t>s</w:t>
      </w:r>
      <w:r>
        <w:t xml:space="preserve"> of training. </w:t>
      </w:r>
      <w:r w:rsidR="00D23EBA">
        <w:t>T</w:t>
      </w:r>
      <w:r w:rsidR="00595C90">
        <w:t>he practical reason for this is that</w:t>
      </w:r>
      <w:r w:rsidR="00B7742A">
        <w:t>,</w:t>
      </w:r>
      <w:r w:rsidR="00595C90">
        <w:t xml:space="preserve"> while we know that some </w:t>
      </w:r>
      <w:r>
        <w:t>apprentices</w:t>
      </w:r>
      <w:r w:rsidR="00595C90">
        <w:t xml:space="preserve"> or trainees change employers and are assigned </w:t>
      </w:r>
      <w:r>
        <w:t>new</w:t>
      </w:r>
      <w:r w:rsidR="00595C90">
        <w:t xml:space="preserve"> contracts of training</w:t>
      </w:r>
      <w:r w:rsidR="00B7742A">
        <w:t>,</w:t>
      </w:r>
      <w:r w:rsidR="00595C90">
        <w:t xml:space="preserve"> we do not know the quarter in which </w:t>
      </w:r>
      <w:r w:rsidR="00321F9E">
        <w:t>an</w:t>
      </w:r>
      <w:r w:rsidR="00595C90">
        <w:t xml:space="preserve"> </w:t>
      </w:r>
      <w:r>
        <w:t>individual</w:t>
      </w:r>
      <w:r w:rsidR="00595C90">
        <w:t xml:space="preserve"> commenced their initial contract. Thus these individuals, </w:t>
      </w:r>
      <w:r>
        <w:t>whom</w:t>
      </w:r>
      <w:r w:rsidR="00595C90">
        <w:t xml:space="preserve"> we label </w:t>
      </w:r>
      <w:r w:rsidR="00B7742A">
        <w:t>‘</w:t>
      </w:r>
      <w:proofErr w:type="spellStart"/>
      <w:r w:rsidR="00B7742A">
        <w:t>recommencers</w:t>
      </w:r>
      <w:proofErr w:type="spellEnd"/>
      <w:r w:rsidR="00B7742A">
        <w:t>’</w:t>
      </w:r>
      <w:r w:rsidR="00595C90">
        <w:t>, undertake two contracts of training</w:t>
      </w:r>
      <w:r w:rsidR="00446B48">
        <w:t>,</w:t>
      </w:r>
      <w:r w:rsidR="00595C90">
        <w:t xml:space="preserve"> although clearly they can </w:t>
      </w:r>
      <w:r>
        <w:t>only</w:t>
      </w:r>
      <w:r w:rsidR="00595C90">
        <w:t xml:space="preserve"> complete one. It follows that a completion rate based on training contracts will be lower than a </w:t>
      </w:r>
      <w:r w:rsidRPr="00DE4D56">
        <w:t>calculation</w:t>
      </w:r>
      <w:r w:rsidR="00595C90" w:rsidRPr="00DE4D56">
        <w:t xml:space="preserve"> based on </w:t>
      </w:r>
      <w:r w:rsidRPr="00DE4D56">
        <w:t>following</w:t>
      </w:r>
      <w:r w:rsidR="00595C90" w:rsidRPr="00DE4D56">
        <w:t xml:space="preserve"> individuals through a number of contracts of training.</w:t>
      </w:r>
    </w:p>
    <w:p w:rsidR="00595C90" w:rsidRPr="00DE4D56" w:rsidRDefault="00595C90" w:rsidP="00DE4D56">
      <w:pPr>
        <w:pStyle w:val="Text"/>
      </w:pPr>
      <w:r w:rsidRPr="00DE4D56">
        <w:t xml:space="preserve">In this note we look at the extent of recommencements and use these data to adjust contract completion rates so that </w:t>
      </w:r>
      <w:r w:rsidR="00294C6E" w:rsidRPr="00DE4D56">
        <w:t>they</w:t>
      </w:r>
      <w:r w:rsidRPr="00DE4D56">
        <w:t xml:space="preserve"> represent completion rates for individuals who may or may not have changed their employer during their apprenticeship.</w:t>
      </w:r>
    </w:p>
    <w:p w:rsidR="00002C0B" w:rsidRPr="00DE4D56" w:rsidRDefault="00595C90" w:rsidP="00DE4D56">
      <w:pPr>
        <w:pStyle w:val="Text"/>
      </w:pPr>
      <w:r w:rsidRPr="00DE4D56">
        <w:t>Before presenting the analysis we should define what we mean by ‘</w:t>
      </w:r>
      <w:proofErr w:type="spellStart"/>
      <w:r w:rsidR="00D23EBA" w:rsidRPr="00DE4D56">
        <w:t>recommencers</w:t>
      </w:r>
      <w:proofErr w:type="spellEnd"/>
      <w:r w:rsidRPr="00DE4D56">
        <w:t>’.</w:t>
      </w:r>
      <w:r w:rsidR="00002C0B" w:rsidRPr="00DE4D56">
        <w:t xml:space="preserve"> According to the </w:t>
      </w:r>
      <w:r w:rsidR="00B7742A" w:rsidRPr="00DE4D56">
        <w:t>Australian Vocational Education and Training Management Information Statistical (</w:t>
      </w:r>
      <w:r w:rsidR="00002C0B" w:rsidRPr="00DE4D56">
        <w:t>AVETMIS</w:t>
      </w:r>
      <w:r w:rsidR="00B7742A" w:rsidRPr="00DE4D56">
        <w:t>)</w:t>
      </w:r>
      <w:r w:rsidR="00002C0B" w:rsidRPr="00DE4D56">
        <w:t xml:space="preserve"> Standard, the guidelines stipulate that a recommencement flag should be used where a contract has commenced as the continuation of an apprenticeship or traineeship in the same qualification. While the standard is clear</w:t>
      </w:r>
      <w:r w:rsidR="00B7742A" w:rsidRPr="00DE4D56">
        <w:t>,</w:t>
      </w:r>
      <w:r w:rsidR="00002C0B" w:rsidRPr="00DE4D56">
        <w:t xml:space="preserve"> jurisdictions report recommencements differently. For example, South Australia does not use</w:t>
      </w:r>
      <w:r w:rsidR="00CB210B" w:rsidRPr="00DE4D56">
        <w:t xml:space="preserve"> the recommencement code at all, </w:t>
      </w:r>
      <w:r w:rsidR="00002C0B" w:rsidRPr="00DE4D56">
        <w:t>as apprentices and trainees can move between employers without requiri</w:t>
      </w:r>
      <w:r w:rsidR="00D23EBA" w:rsidRPr="00DE4D56">
        <w:t xml:space="preserve">ng </w:t>
      </w:r>
      <w:r w:rsidR="00B7742A" w:rsidRPr="00DE4D56">
        <w:t>the issue of a new contract</w:t>
      </w:r>
      <w:r w:rsidR="00D23EBA" w:rsidRPr="00DE4D56">
        <w:t>.</w:t>
      </w:r>
      <w:r w:rsidR="00002C0B" w:rsidRPr="00DE4D56">
        <w:t xml:space="preserve"> </w:t>
      </w:r>
      <w:r w:rsidR="00D23EBA" w:rsidRPr="00DE4D56">
        <w:t>T</w:t>
      </w:r>
      <w:r w:rsidR="00002C0B" w:rsidRPr="00DE4D56">
        <w:t xml:space="preserve">he same legislation applies in most jurisdictions, </w:t>
      </w:r>
      <w:r w:rsidR="00B7742A" w:rsidRPr="00DE4D56">
        <w:t xml:space="preserve">with </w:t>
      </w:r>
      <w:r w:rsidR="00CB210B" w:rsidRPr="00DE4D56">
        <w:t xml:space="preserve">the </w:t>
      </w:r>
      <w:r w:rsidR="00002C0B" w:rsidRPr="00DE4D56">
        <w:t>except</w:t>
      </w:r>
      <w:r w:rsidR="00CB210B" w:rsidRPr="00DE4D56">
        <w:t>ion of</w:t>
      </w:r>
      <w:r w:rsidR="00002C0B" w:rsidRPr="00DE4D56">
        <w:t xml:space="preserve"> Victoria and Tasmania</w:t>
      </w:r>
      <w:r w:rsidR="00321F9E">
        <w:t>;</w:t>
      </w:r>
      <w:r w:rsidR="00002C0B" w:rsidRPr="00DE4D56">
        <w:t xml:space="preserve"> yet all other jurisdictions use the recommencement code.</w:t>
      </w:r>
    </w:p>
    <w:p w:rsidR="00002C0B" w:rsidRDefault="00002C0B" w:rsidP="00DE4D56">
      <w:pPr>
        <w:pStyle w:val="Text"/>
      </w:pPr>
      <w:r w:rsidRPr="00DE4D56">
        <w:t>There is also some inconsistency in the</w:t>
      </w:r>
      <w:r>
        <w:t xml:space="preserve"> use of recommencement codes.</w:t>
      </w:r>
      <w:r w:rsidRPr="00002C0B">
        <w:t xml:space="preserve"> For example, </w:t>
      </w:r>
      <w:r w:rsidR="001601E8">
        <w:t>there were three contracts for ‘old’</w:t>
      </w:r>
      <w:r w:rsidRPr="00002C0B">
        <w:t xml:space="preserve"> (non-nationally accredited) qualifications which showed up in the last </w:t>
      </w:r>
      <w:r w:rsidR="00D23EBA">
        <w:t xml:space="preserve">March 2010 </w:t>
      </w:r>
      <w:r w:rsidRPr="00002C0B">
        <w:t>quarterly data sub</w:t>
      </w:r>
      <w:r w:rsidR="00D23EBA">
        <w:t xml:space="preserve">mission. </w:t>
      </w:r>
      <w:r w:rsidRPr="00002C0B">
        <w:t>The jurisdiction said that the qualifications were valid, because these apprentices were coming back to training to finish off training they had commenced previously. We would have expected all of these contracts to be r</w:t>
      </w:r>
      <w:r w:rsidR="00446B48">
        <w:t>ecommencements in this instance;</w:t>
      </w:r>
      <w:r w:rsidRPr="00002C0B">
        <w:t xml:space="preserve"> however</w:t>
      </w:r>
      <w:r w:rsidR="00446B48">
        <w:t>,</w:t>
      </w:r>
      <w:r w:rsidRPr="00002C0B">
        <w:t xml:space="preserve"> only </w:t>
      </w:r>
      <w:r w:rsidR="001601E8">
        <w:t>two</w:t>
      </w:r>
      <w:r w:rsidRPr="00002C0B">
        <w:t xml:space="preserve"> of the </w:t>
      </w:r>
      <w:r w:rsidR="001601E8">
        <w:t>three</w:t>
      </w:r>
      <w:r w:rsidRPr="00002C0B">
        <w:t xml:space="preserve"> were recorded as recommencements</w:t>
      </w:r>
      <w:r>
        <w:t>. The remaining one</w:t>
      </w:r>
      <w:r w:rsidRPr="00002C0B">
        <w:t xml:space="preserve"> was recorded as a new commencement.</w:t>
      </w:r>
    </w:p>
    <w:p w:rsidR="00D23EBA" w:rsidRDefault="00D23EBA">
      <w:pPr>
        <w:spacing w:before="0"/>
        <w:rPr>
          <w:rFonts w:ascii="Garamond" w:hAnsi="Garamond"/>
          <w:sz w:val="36"/>
        </w:rPr>
      </w:pPr>
      <w:r>
        <w:br w:type="page"/>
      </w:r>
    </w:p>
    <w:p w:rsidR="00002C0B" w:rsidRDefault="00002C0B" w:rsidP="00DE4D56">
      <w:pPr>
        <w:pStyle w:val="Heading2"/>
      </w:pPr>
      <w:bookmarkStart w:id="12" w:name="_Toc287454602"/>
      <w:r>
        <w:lastRenderedPageBreak/>
        <w:t>The data</w:t>
      </w:r>
      <w:bookmarkEnd w:id="12"/>
    </w:p>
    <w:p w:rsidR="00002C0B" w:rsidRDefault="00002C0B" w:rsidP="005F2851">
      <w:pPr>
        <w:pStyle w:val="Text"/>
      </w:pPr>
      <w:r>
        <w:t>Table</w:t>
      </w:r>
      <w:r w:rsidR="005F2851">
        <w:t xml:space="preserve"> </w:t>
      </w:r>
      <w:r w:rsidR="00D23EBA">
        <w:t>1</w:t>
      </w:r>
      <w:r>
        <w:t xml:space="preserve"> shows commencement data and recommencement data for 2009 at the major </w:t>
      </w:r>
      <w:r w:rsidRPr="00DE4D56">
        <w:t>occupational</w:t>
      </w:r>
      <w:r w:rsidR="00DE4D56">
        <w:t> </w:t>
      </w:r>
      <w:r w:rsidRPr="00DE4D56">
        <w:t>group</w:t>
      </w:r>
      <w:r w:rsidR="00DE4D56">
        <w:t>.</w:t>
      </w:r>
    </w:p>
    <w:p w:rsidR="00002C0B" w:rsidRPr="005F2851" w:rsidRDefault="004D08D3" w:rsidP="005F2851">
      <w:pPr>
        <w:pStyle w:val="tabletitle"/>
      </w:pPr>
      <w:bookmarkStart w:id="13" w:name="_Toc287454845"/>
      <w:r>
        <w:t>Table 1</w:t>
      </w:r>
      <w:r w:rsidR="005F2851">
        <w:tab/>
        <w:t>C</w:t>
      </w:r>
      <w:r w:rsidR="00002C0B" w:rsidRPr="005F2851">
        <w:t xml:space="preserve">ommencement and recommencement data, by major </w:t>
      </w:r>
      <w:r w:rsidR="00294C6E" w:rsidRPr="005F2851">
        <w:t>occupational</w:t>
      </w:r>
      <w:r w:rsidR="00002C0B" w:rsidRPr="005F2851">
        <w:t xml:space="preserve"> group, 2009</w:t>
      </w:r>
      <w:bookmarkEnd w:id="13"/>
    </w:p>
    <w:tbl>
      <w:tblPr>
        <w:tblW w:w="8505" w:type="dxa"/>
        <w:tblInd w:w="108" w:type="dxa"/>
        <w:tblBorders>
          <w:top w:val="single" w:sz="8" w:space="0" w:color="000000"/>
          <w:bottom w:val="single" w:sz="8" w:space="0" w:color="000000"/>
        </w:tblBorders>
        <w:tblLayout w:type="fixed"/>
        <w:tblCellMar>
          <w:left w:w="113" w:type="dxa"/>
          <w:right w:w="113" w:type="dxa"/>
        </w:tblCellMar>
        <w:tblLook w:val="04A0"/>
      </w:tblPr>
      <w:tblGrid>
        <w:gridCol w:w="2240"/>
        <w:gridCol w:w="1871"/>
        <w:gridCol w:w="1098"/>
        <w:gridCol w:w="1099"/>
        <w:gridCol w:w="1098"/>
        <w:gridCol w:w="1099"/>
      </w:tblGrid>
      <w:tr w:rsidR="00002C0B" w:rsidTr="00DE4D56">
        <w:tc>
          <w:tcPr>
            <w:tcW w:w="2240" w:type="dxa"/>
            <w:tcBorders>
              <w:top w:val="single" w:sz="8" w:space="0" w:color="000000"/>
              <w:bottom w:val="single" w:sz="8" w:space="0" w:color="000000"/>
            </w:tcBorders>
            <w:tcMar>
              <w:top w:w="0" w:type="dxa"/>
              <w:left w:w="108" w:type="dxa"/>
              <w:bottom w:w="0" w:type="dxa"/>
              <w:right w:w="108" w:type="dxa"/>
            </w:tcMar>
            <w:hideMark/>
          </w:tcPr>
          <w:p w:rsidR="00002C0B" w:rsidRDefault="00002C0B" w:rsidP="004C2C93">
            <w:pPr>
              <w:pStyle w:val="Tablehead1"/>
            </w:pPr>
            <w:r>
              <w:t>ANZSCO</w:t>
            </w:r>
          </w:p>
        </w:tc>
        <w:tc>
          <w:tcPr>
            <w:tcW w:w="1871" w:type="dxa"/>
            <w:tcBorders>
              <w:top w:val="single" w:sz="8" w:space="0" w:color="000000"/>
              <w:bottom w:val="single" w:sz="8" w:space="0" w:color="000000"/>
            </w:tcBorders>
            <w:tcMar>
              <w:top w:w="0" w:type="dxa"/>
              <w:left w:w="108" w:type="dxa"/>
              <w:bottom w:w="0" w:type="dxa"/>
              <w:right w:w="108" w:type="dxa"/>
            </w:tcMar>
          </w:tcPr>
          <w:p w:rsidR="00002C0B" w:rsidRDefault="00002C0B" w:rsidP="004C2C93">
            <w:pPr>
              <w:pStyle w:val="Tablehead1"/>
            </w:pPr>
          </w:p>
        </w:tc>
        <w:tc>
          <w:tcPr>
            <w:tcW w:w="1098" w:type="dxa"/>
            <w:tcBorders>
              <w:top w:val="single" w:sz="8" w:space="0" w:color="000000"/>
              <w:bottom w:val="single" w:sz="8" w:space="0" w:color="000000"/>
            </w:tcBorders>
            <w:tcMar>
              <w:top w:w="0" w:type="dxa"/>
              <w:left w:w="108" w:type="dxa"/>
              <w:bottom w:w="0" w:type="dxa"/>
              <w:right w:w="108" w:type="dxa"/>
            </w:tcMar>
            <w:hideMark/>
          </w:tcPr>
          <w:p w:rsidR="00002C0B" w:rsidRDefault="00002C0B" w:rsidP="00DE4D56">
            <w:pPr>
              <w:pStyle w:val="Tablehead1"/>
              <w:jc w:val="center"/>
            </w:pPr>
            <w:r>
              <w:t>Jan</w:t>
            </w:r>
            <w:r w:rsidR="004D08D3">
              <w:t>–</w:t>
            </w:r>
            <w:r>
              <w:t>Mar 2009</w:t>
            </w:r>
          </w:p>
        </w:tc>
        <w:tc>
          <w:tcPr>
            <w:tcW w:w="1099" w:type="dxa"/>
            <w:tcBorders>
              <w:top w:val="single" w:sz="8" w:space="0" w:color="000000"/>
              <w:bottom w:val="single" w:sz="8" w:space="0" w:color="000000"/>
            </w:tcBorders>
            <w:tcMar>
              <w:top w:w="0" w:type="dxa"/>
              <w:left w:w="108" w:type="dxa"/>
              <w:bottom w:w="0" w:type="dxa"/>
              <w:right w:w="108" w:type="dxa"/>
            </w:tcMar>
            <w:hideMark/>
          </w:tcPr>
          <w:p w:rsidR="00002C0B" w:rsidRDefault="004D08D3" w:rsidP="00DE4D56">
            <w:pPr>
              <w:pStyle w:val="Tablehead1"/>
              <w:jc w:val="center"/>
            </w:pPr>
            <w:r>
              <w:t>Apr–</w:t>
            </w:r>
            <w:r w:rsidR="00002C0B">
              <w:t>Jun 2009</w:t>
            </w:r>
          </w:p>
        </w:tc>
        <w:tc>
          <w:tcPr>
            <w:tcW w:w="1098" w:type="dxa"/>
            <w:tcBorders>
              <w:top w:val="single" w:sz="8" w:space="0" w:color="000000"/>
              <w:bottom w:val="single" w:sz="8" w:space="0" w:color="000000"/>
            </w:tcBorders>
            <w:tcMar>
              <w:top w:w="0" w:type="dxa"/>
              <w:left w:w="108" w:type="dxa"/>
              <w:bottom w:w="0" w:type="dxa"/>
              <w:right w:w="108" w:type="dxa"/>
            </w:tcMar>
            <w:hideMark/>
          </w:tcPr>
          <w:p w:rsidR="00002C0B" w:rsidRDefault="004D08D3" w:rsidP="00DE4D56">
            <w:pPr>
              <w:pStyle w:val="Tablehead1"/>
              <w:jc w:val="center"/>
            </w:pPr>
            <w:r>
              <w:t>Jul–</w:t>
            </w:r>
            <w:r w:rsidR="00002C0B">
              <w:t>Sep 2009</w:t>
            </w:r>
          </w:p>
        </w:tc>
        <w:tc>
          <w:tcPr>
            <w:tcW w:w="1099" w:type="dxa"/>
            <w:tcBorders>
              <w:top w:val="single" w:sz="8" w:space="0" w:color="000000"/>
              <w:bottom w:val="single" w:sz="8" w:space="0" w:color="000000"/>
            </w:tcBorders>
            <w:tcMar>
              <w:top w:w="0" w:type="dxa"/>
              <w:left w:w="108" w:type="dxa"/>
              <w:bottom w:w="0" w:type="dxa"/>
              <w:right w:w="108" w:type="dxa"/>
            </w:tcMar>
            <w:hideMark/>
          </w:tcPr>
          <w:p w:rsidR="00002C0B" w:rsidRDefault="004D08D3" w:rsidP="00DE4D56">
            <w:pPr>
              <w:pStyle w:val="Tablehead1"/>
              <w:jc w:val="center"/>
            </w:pPr>
            <w:r>
              <w:t>Oct–</w:t>
            </w:r>
            <w:r w:rsidR="00002C0B">
              <w:t>Dec 2009</w:t>
            </w:r>
          </w:p>
        </w:tc>
      </w:tr>
      <w:tr w:rsidR="00002C0B" w:rsidTr="00DE2CFD">
        <w:tc>
          <w:tcPr>
            <w:tcW w:w="2240" w:type="dxa"/>
            <w:vMerge w:val="restart"/>
            <w:tcBorders>
              <w:top w:val="single" w:sz="8" w:space="0" w:color="000000"/>
            </w:tcBorders>
            <w:tcMar>
              <w:top w:w="0" w:type="dxa"/>
              <w:left w:w="108" w:type="dxa"/>
              <w:bottom w:w="0" w:type="dxa"/>
              <w:right w:w="108" w:type="dxa"/>
            </w:tcMar>
            <w:hideMark/>
          </w:tcPr>
          <w:p w:rsidR="00002C0B" w:rsidRDefault="00002C0B" w:rsidP="004C2C93">
            <w:pPr>
              <w:pStyle w:val="Tabletext"/>
            </w:pPr>
            <w:r>
              <w:t>Managers</w:t>
            </w:r>
          </w:p>
        </w:tc>
        <w:tc>
          <w:tcPr>
            <w:tcW w:w="1871" w:type="dxa"/>
            <w:tcBorders>
              <w:top w:val="single" w:sz="8" w:space="0" w:color="000000"/>
            </w:tcBorders>
            <w:tcMar>
              <w:top w:w="0" w:type="dxa"/>
              <w:left w:w="108" w:type="dxa"/>
              <w:bottom w:w="0" w:type="dxa"/>
              <w:right w:w="108" w:type="dxa"/>
            </w:tcMar>
            <w:hideMark/>
          </w:tcPr>
          <w:p w:rsidR="00002C0B" w:rsidRDefault="00002C0B" w:rsidP="004C2C93">
            <w:pPr>
              <w:pStyle w:val="Tabletext"/>
            </w:pPr>
            <w:r>
              <w:t>Recommencements</w:t>
            </w:r>
          </w:p>
        </w:tc>
        <w:tc>
          <w:tcPr>
            <w:tcW w:w="1098" w:type="dxa"/>
            <w:tcBorders>
              <w:top w:val="single" w:sz="8" w:space="0" w:color="000000"/>
            </w:tcBorders>
            <w:tcMar>
              <w:top w:w="0" w:type="dxa"/>
              <w:left w:w="108" w:type="dxa"/>
              <w:bottom w:w="0" w:type="dxa"/>
              <w:right w:w="108" w:type="dxa"/>
            </w:tcMar>
            <w:hideMark/>
          </w:tcPr>
          <w:p w:rsidR="00002C0B" w:rsidRDefault="00002C0B" w:rsidP="00DE2CFD">
            <w:pPr>
              <w:pStyle w:val="Tabletext"/>
              <w:ind w:right="227"/>
              <w:jc w:val="right"/>
            </w:pPr>
            <w:r>
              <w:t>104</w:t>
            </w:r>
          </w:p>
        </w:tc>
        <w:tc>
          <w:tcPr>
            <w:tcW w:w="1099" w:type="dxa"/>
            <w:tcBorders>
              <w:top w:val="single" w:sz="8" w:space="0" w:color="000000"/>
            </w:tcBorders>
            <w:tcMar>
              <w:top w:w="0" w:type="dxa"/>
              <w:left w:w="108" w:type="dxa"/>
              <w:bottom w:w="0" w:type="dxa"/>
              <w:right w:w="108" w:type="dxa"/>
            </w:tcMar>
            <w:hideMark/>
          </w:tcPr>
          <w:p w:rsidR="00002C0B" w:rsidRDefault="00002C0B" w:rsidP="00DE2CFD">
            <w:pPr>
              <w:pStyle w:val="Tabletext"/>
              <w:ind w:right="227"/>
              <w:jc w:val="right"/>
            </w:pPr>
            <w:r>
              <w:t>73</w:t>
            </w:r>
          </w:p>
        </w:tc>
        <w:tc>
          <w:tcPr>
            <w:tcW w:w="1098" w:type="dxa"/>
            <w:tcBorders>
              <w:top w:val="single" w:sz="8" w:space="0" w:color="000000"/>
            </w:tcBorders>
            <w:tcMar>
              <w:top w:w="0" w:type="dxa"/>
              <w:left w:w="108" w:type="dxa"/>
              <w:bottom w:w="0" w:type="dxa"/>
              <w:right w:w="108" w:type="dxa"/>
            </w:tcMar>
            <w:hideMark/>
          </w:tcPr>
          <w:p w:rsidR="00002C0B" w:rsidRDefault="00002C0B" w:rsidP="00DE2CFD">
            <w:pPr>
              <w:pStyle w:val="Tabletext"/>
              <w:ind w:right="227"/>
              <w:jc w:val="right"/>
            </w:pPr>
            <w:r>
              <w:t>114</w:t>
            </w:r>
          </w:p>
        </w:tc>
        <w:tc>
          <w:tcPr>
            <w:tcW w:w="1099" w:type="dxa"/>
            <w:tcBorders>
              <w:top w:val="single" w:sz="8" w:space="0" w:color="000000"/>
            </w:tcBorders>
            <w:tcMar>
              <w:top w:w="0" w:type="dxa"/>
              <w:left w:w="108" w:type="dxa"/>
              <w:bottom w:w="0" w:type="dxa"/>
              <w:right w:w="108" w:type="dxa"/>
            </w:tcMar>
            <w:hideMark/>
          </w:tcPr>
          <w:p w:rsidR="00002C0B" w:rsidRDefault="00002C0B" w:rsidP="00DE2CFD">
            <w:pPr>
              <w:pStyle w:val="Tabletext"/>
              <w:ind w:right="227"/>
              <w:jc w:val="right"/>
            </w:pPr>
            <w:r>
              <w:t>60</w:t>
            </w:r>
          </w:p>
        </w:tc>
      </w:tr>
      <w:tr w:rsidR="00002C0B" w:rsidTr="00DE2CFD">
        <w:tc>
          <w:tcPr>
            <w:tcW w:w="2240" w:type="dxa"/>
            <w:vMerge/>
            <w:vAlign w:val="center"/>
            <w:hideMark/>
          </w:tcPr>
          <w:p w:rsidR="00002C0B" w:rsidRDefault="00002C0B" w:rsidP="004C2C93">
            <w:pPr>
              <w:pStyle w:val="Tabletext"/>
              <w:rPr>
                <w:rFonts w:ascii="Calibri" w:eastAsiaTheme="minorHAnsi" w:hAnsi="Calibri"/>
                <w:sz w:val="22"/>
                <w:szCs w:val="22"/>
              </w:rPr>
            </w:pPr>
          </w:p>
        </w:tc>
        <w:tc>
          <w:tcPr>
            <w:tcW w:w="1871" w:type="dxa"/>
            <w:tcMar>
              <w:top w:w="0" w:type="dxa"/>
              <w:left w:w="108" w:type="dxa"/>
              <w:bottom w:w="0" w:type="dxa"/>
              <w:right w:w="108" w:type="dxa"/>
            </w:tcMar>
            <w:hideMark/>
          </w:tcPr>
          <w:p w:rsidR="00002C0B" w:rsidRDefault="00002C0B" w:rsidP="004C2C93">
            <w:pPr>
              <w:pStyle w:val="Tabletext"/>
            </w:pPr>
            <w:r>
              <w:t>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1,676</w:t>
            </w:r>
          </w:p>
        </w:tc>
        <w:tc>
          <w:tcPr>
            <w:tcW w:w="1099" w:type="dxa"/>
            <w:tcMar>
              <w:top w:w="0" w:type="dxa"/>
              <w:left w:w="108" w:type="dxa"/>
              <w:bottom w:w="0" w:type="dxa"/>
              <w:right w:w="108" w:type="dxa"/>
            </w:tcMar>
            <w:hideMark/>
          </w:tcPr>
          <w:p w:rsidR="00002C0B" w:rsidRDefault="00002C0B" w:rsidP="00DE2CFD">
            <w:pPr>
              <w:pStyle w:val="Tabletext"/>
              <w:ind w:right="227"/>
              <w:jc w:val="right"/>
            </w:pPr>
            <w:r>
              <w:t>1,524</w:t>
            </w:r>
          </w:p>
        </w:tc>
        <w:tc>
          <w:tcPr>
            <w:tcW w:w="1098" w:type="dxa"/>
            <w:tcMar>
              <w:top w:w="0" w:type="dxa"/>
              <w:left w:w="108" w:type="dxa"/>
              <w:bottom w:w="0" w:type="dxa"/>
              <w:right w:w="108" w:type="dxa"/>
            </w:tcMar>
            <w:hideMark/>
          </w:tcPr>
          <w:p w:rsidR="00002C0B" w:rsidRDefault="00002C0B" w:rsidP="00DE2CFD">
            <w:pPr>
              <w:pStyle w:val="Tabletext"/>
              <w:ind w:right="227"/>
              <w:jc w:val="right"/>
            </w:pPr>
            <w:r>
              <w:t>1,785</w:t>
            </w:r>
          </w:p>
        </w:tc>
        <w:tc>
          <w:tcPr>
            <w:tcW w:w="1099" w:type="dxa"/>
            <w:tcMar>
              <w:top w:w="0" w:type="dxa"/>
              <w:left w:w="108" w:type="dxa"/>
              <w:bottom w:w="0" w:type="dxa"/>
              <w:right w:w="108" w:type="dxa"/>
            </w:tcMar>
            <w:hideMark/>
          </w:tcPr>
          <w:p w:rsidR="00002C0B" w:rsidRDefault="00002C0B" w:rsidP="00DE2CFD">
            <w:pPr>
              <w:pStyle w:val="Tabletext"/>
              <w:ind w:right="227"/>
              <w:jc w:val="right"/>
            </w:pPr>
            <w:r>
              <w:t>1,355</w:t>
            </w:r>
          </w:p>
        </w:tc>
      </w:tr>
      <w:tr w:rsidR="00002C0B" w:rsidTr="00DE2CFD">
        <w:tc>
          <w:tcPr>
            <w:tcW w:w="2240" w:type="dxa"/>
            <w:vMerge w:val="restart"/>
            <w:tcMar>
              <w:top w:w="0" w:type="dxa"/>
              <w:left w:w="108" w:type="dxa"/>
              <w:bottom w:w="0" w:type="dxa"/>
              <w:right w:w="108" w:type="dxa"/>
            </w:tcMar>
            <w:hideMark/>
          </w:tcPr>
          <w:p w:rsidR="00002C0B" w:rsidRDefault="00002C0B" w:rsidP="004C2C93">
            <w:pPr>
              <w:pStyle w:val="Tabletext"/>
            </w:pPr>
            <w:r>
              <w:t>Professionals</w:t>
            </w:r>
          </w:p>
        </w:tc>
        <w:tc>
          <w:tcPr>
            <w:tcW w:w="1871" w:type="dxa"/>
            <w:tcMar>
              <w:top w:w="0" w:type="dxa"/>
              <w:left w:w="108" w:type="dxa"/>
              <w:bottom w:w="0" w:type="dxa"/>
              <w:right w:w="108" w:type="dxa"/>
            </w:tcMar>
            <w:hideMark/>
          </w:tcPr>
          <w:p w:rsidR="00002C0B" w:rsidRDefault="00002C0B" w:rsidP="004C2C93">
            <w:pPr>
              <w:pStyle w:val="Tabletext"/>
            </w:pPr>
            <w:r>
              <w:t>Recommencements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6</w:t>
            </w:r>
          </w:p>
        </w:tc>
        <w:tc>
          <w:tcPr>
            <w:tcW w:w="1099" w:type="dxa"/>
            <w:tcMar>
              <w:top w:w="0" w:type="dxa"/>
              <w:left w:w="108" w:type="dxa"/>
              <w:bottom w:w="0" w:type="dxa"/>
              <w:right w:w="108" w:type="dxa"/>
            </w:tcMar>
            <w:hideMark/>
          </w:tcPr>
          <w:p w:rsidR="00002C0B" w:rsidRDefault="00002C0B" w:rsidP="00DE2CFD">
            <w:pPr>
              <w:pStyle w:val="Tabletext"/>
              <w:ind w:right="227"/>
              <w:jc w:val="right"/>
            </w:pPr>
            <w:r>
              <w:t>14</w:t>
            </w:r>
          </w:p>
        </w:tc>
        <w:tc>
          <w:tcPr>
            <w:tcW w:w="1098" w:type="dxa"/>
            <w:tcMar>
              <w:top w:w="0" w:type="dxa"/>
              <w:left w:w="108" w:type="dxa"/>
              <w:bottom w:w="0" w:type="dxa"/>
              <w:right w:w="108" w:type="dxa"/>
            </w:tcMar>
            <w:hideMark/>
          </w:tcPr>
          <w:p w:rsidR="00002C0B" w:rsidRDefault="00002C0B" w:rsidP="00DE2CFD">
            <w:pPr>
              <w:pStyle w:val="Tabletext"/>
              <w:ind w:right="227"/>
              <w:jc w:val="right"/>
            </w:pPr>
            <w:r>
              <w:t>94</w:t>
            </w:r>
          </w:p>
        </w:tc>
        <w:tc>
          <w:tcPr>
            <w:tcW w:w="1099" w:type="dxa"/>
            <w:tcMar>
              <w:top w:w="0" w:type="dxa"/>
              <w:left w:w="108" w:type="dxa"/>
              <w:bottom w:w="0" w:type="dxa"/>
              <w:right w:w="108" w:type="dxa"/>
            </w:tcMar>
            <w:hideMark/>
          </w:tcPr>
          <w:p w:rsidR="00002C0B" w:rsidRDefault="00002C0B" w:rsidP="00DE2CFD">
            <w:pPr>
              <w:pStyle w:val="Tabletext"/>
              <w:ind w:right="227"/>
              <w:jc w:val="right"/>
            </w:pPr>
            <w:r>
              <w:t>23</w:t>
            </w:r>
          </w:p>
        </w:tc>
      </w:tr>
      <w:tr w:rsidR="00002C0B" w:rsidTr="00DE2CFD">
        <w:tc>
          <w:tcPr>
            <w:tcW w:w="2240" w:type="dxa"/>
            <w:vMerge/>
            <w:vAlign w:val="center"/>
            <w:hideMark/>
          </w:tcPr>
          <w:p w:rsidR="00002C0B" w:rsidRDefault="00002C0B" w:rsidP="004C2C93">
            <w:pPr>
              <w:pStyle w:val="Tabletext"/>
              <w:rPr>
                <w:rFonts w:ascii="Calibri" w:eastAsiaTheme="minorHAnsi" w:hAnsi="Calibri"/>
                <w:sz w:val="22"/>
                <w:szCs w:val="22"/>
              </w:rPr>
            </w:pPr>
          </w:p>
        </w:tc>
        <w:tc>
          <w:tcPr>
            <w:tcW w:w="1871" w:type="dxa"/>
            <w:tcMar>
              <w:top w:w="0" w:type="dxa"/>
              <w:left w:w="108" w:type="dxa"/>
              <w:bottom w:w="0" w:type="dxa"/>
              <w:right w:w="108" w:type="dxa"/>
            </w:tcMar>
            <w:hideMark/>
          </w:tcPr>
          <w:p w:rsidR="00002C0B" w:rsidRDefault="00002C0B" w:rsidP="004C2C93">
            <w:pPr>
              <w:pStyle w:val="Tabletext"/>
            </w:pPr>
            <w:r>
              <w:t>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2,410</w:t>
            </w:r>
          </w:p>
        </w:tc>
        <w:tc>
          <w:tcPr>
            <w:tcW w:w="1099" w:type="dxa"/>
            <w:tcMar>
              <w:top w:w="0" w:type="dxa"/>
              <w:left w:w="108" w:type="dxa"/>
              <w:bottom w:w="0" w:type="dxa"/>
              <w:right w:w="108" w:type="dxa"/>
            </w:tcMar>
            <w:hideMark/>
          </w:tcPr>
          <w:p w:rsidR="00002C0B" w:rsidRDefault="00002C0B" w:rsidP="00DE2CFD">
            <w:pPr>
              <w:pStyle w:val="Tabletext"/>
              <w:ind w:right="227"/>
              <w:jc w:val="right"/>
            </w:pPr>
            <w:r>
              <w:t>1,909</w:t>
            </w:r>
          </w:p>
        </w:tc>
        <w:tc>
          <w:tcPr>
            <w:tcW w:w="1098" w:type="dxa"/>
            <w:tcMar>
              <w:top w:w="0" w:type="dxa"/>
              <w:left w:w="108" w:type="dxa"/>
              <w:bottom w:w="0" w:type="dxa"/>
              <w:right w:w="108" w:type="dxa"/>
            </w:tcMar>
            <w:hideMark/>
          </w:tcPr>
          <w:p w:rsidR="00002C0B" w:rsidRDefault="00002C0B" w:rsidP="00DE2CFD">
            <w:pPr>
              <w:pStyle w:val="Tabletext"/>
              <w:ind w:right="227"/>
              <w:jc w:val="right"/>
            </w:pPr>
            <w:r>
              <w:t>2,022</w:t>
            </w:r>
          </w:p>
        </w:tc>
        <w:tc>
          <w:tcPr>
            <w:tcW w:w="1099" w:type="dxa"/>
            <w:tcMar>
              <w:top w:w="0" w:type="dxa"/>
              <w:left w:w="108" w:type="dxa"/>
              <w:bottom w:w="0" w:type="dxa"/>
              <w:right w:w="108" w:type="dxa"/>
            </w:tcMar>
            <w:hideMark/>
          </w:tcPr>
          <w:p w:rsidR="00002C0B" w:rsidRDefault="00002C0B" w:rsidP="00DE2CFD">
            <w:pPr>
              <w:pStyle w:val="Tabletext"/>
              <w:ind w:right="227"/>
              <w:jc w:val="right"/>
            </w:pPr>
            <w:r>
              <w:t>1,258</w:t>
            </w:r>
          </w:p>
        </w:tc>
      </w:tr>
      <w:tr w:rsidR="00002C0B" w:rsidTr="00DE2CFD">
        <w:tc>
          <w:tcPr>
            <w:tcW w:w="2240" w:type="dxa"/>
            <w:vMerge w:val="restart"/>
            <w:tcMar>
              <w:top w:w="0" w:type="dxa"/>
              <w:left w:w="108" w:type="dxa"/>
              <w:bottom w:w="0" w:type="dxa"/>
              <w:right w:w="108" w:type="dxa"/>
            </w:tcMar>
            <w:hideMark/>
          </w:tcPr>
          <w:p w:rsidR="00002C0B" w:rsidRDefault="00002C0B" w:rsidP="004C2C93">
            <w:pPr>
              <w:pStyle w:val="Tabletext"/>
            </w:pPr>
            <w:r>
              <w:t>Technicians and trades workers</w:t>
            </w:r>
          </w:p>
        </w:tc>
        <w:tc>
          <w:tcPr>
            <w:tcW w:w="1871" w:type="dxa"/>
            <w:tcMar>
              <w:top w:w="0" w:type="dxa"/>
              <w:left w:w="108" w:type="dxa"/>
              <w:bottom w:w="0" w:type="dxa"/>
              <w:right w:w="108" w:type="dxa"/>
            </w:tcMar>
            <w:hideMark/>
          </w:tcPr>
          <w:p w:rsidR="00002C0B" w:rsidRDefault="00002C0B" w:rsidP="004C2C93">
            <w:pPr>
              <w:pStyle w:val="Tabletext"/>
            </w:pPr>
            <w:r>
              <w:t>Recommencements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5,363</w:t>
            </w:r>
          </w:p>
        </w:tc>
        <w:tc>
          <w:tcPr>
            <w:tcW w:w="1099" w:type="dxa"/>
            <w:tcMar>
              <w:top w:w="0" w:type="dxa"/>
              <w:left w:w="108" w:type="dxa"/>
              <w:bottom w:w="0" w:type="dxa"/>
              <w:right w:w="108" w:type="dxa"/>
            </w:tcMar>
            <w:hideMark/>
          </w:tcPr>
          <w:p w:rsidR="00002C0B" w:rsidRDefault="00002C0B" w:rsidP="00DE2CFD">
            <w:pPr>
              <w:pStyle w:val="Tabletext"/>
              <w:ind w:right="227"/>
              <w:jc w:val="right"/>
            </w:pPr>
            <w:r>
              <w:t>4,284</w:t>
            </w:r>
          </w:p>
        </w:tc>
        <w:tc>
          <w:tcPr>
            <w:tcW w:w="1098" w:type="dxa"/>
            <w:tcMar>
              <w:top w:w="0" w:type="dxa"/>
              <w:left w:w="108" w:type="dxa"/>
              <w:bottom w:w="0" w:type="dxa"/>
              <w:right w:w="108" w:type="dxa"/>
            </w:tcMar>
            <w:hideMark/>
          </w:tcPr>
          <w:p w:rsidR="00002C0B" w:rsidRDefault="00002C0B" w:rsidP="00DE2CFD">
            <w:pPr>
              <w:pStyle w:val="Tabletext"/>
              <w:ind w:right="227"/>
              <w:jc w:val="right"/>
            </w:pPr>
            <w:r>
              <w:t>5,136</w:t>
            </w:r>
          </w:p>
        </w:tc>
        <w:tc>
          <w:tcPr>
            <w:tcW w:w="1099" w:type="dxa"/>
            <w:tcMar>
              <w:top w:w="0" w:type="dxa"/>
              <w:left w:w="108" w:type="dxa"/>
              <w:bottom w:w="0" w:type="dxa"/>
              <w:right w:w="108" w:type="dxa"/>
            </w:tcMar>
            <w:hideMark/>
          </w:tcPr>
          <w:p w:rsidR="00002C0B" w:rsidRDefault="00002C0B" w:rsidP="00DE2CFD">
            <w:pPr>
              <w:pStyle w:val="Tabletext"/>
              <w:ind w:right="227"/>
              <w:jc w:val="right"/>
            </w:pPr>
            <w:r>
              <w:t>3,766</w:t>
            </w:r>
          </w:p>
        </w:tc>
      </w:tr>
      <w:tr w:rsidR="00002C0B" w:rsidTr="00DE2CFD">
        <w:tc>
          <w:tcPr>
            <w:tcW w:w="2240" w:type="dxa"/>
            <w:vMerge/>
            <w:vAlign w:val="center"/>
            <w:hideMark/>
          </w:tcPr>
          <w:p w:rsidR="00002C0B" w:rsidRDefault="00002C0B" w:rsidP="004C2C93">
            <w:pPr>
              <w:pStyle w:val="Tabletext"/>
              <w:rPr>
                <w:rFonts w:ascii="Calibri" w:eastAsiaTheme="minorHAnsi" w:hAnsi="Calibri"/>
                <w:sz w:val="22"/>
                <w:szCs w:val="22"/>
              </w:rPr>
            </w:pPr>
          </w:p>
        </w:tc>
        <w:tc>
          <w:tcPr>
            <w:tcW w:w="1871" w:type="dxa"/>
            <w:tcMar>
              <w:top w:w="0" w:type="dxa"/>
              <w:left w:w="108" w:type="dxa"/>
              <w:bottom w:w="0" w:type="dxa"/>
              <w:right w:w="108" w:type="dxa"/>
            </w:tcMar>
            <w:hideMark/>
          </w:tcPr>
          <w:p w:rsidR="00002C0B" w:rsidRDefault="00002C0B" w:rsidP="004C2C93">
            <w:pPr>
              <w:pStyle w:val="Tabletext"/>
            </w:pPr>
            <w:r>
              <w:t>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28,230</w:t>
            </w:r>
          </w:p>
        </w:tc>
        <w:tc>
          <w:tcPr>
            <w:tcW w:w="1099" w:type="dxa"/>
            <w:tcMar>
              <w:top w:w="0" w:type="dxa"/>
              <w:left w:w="108" w:type="dxa"/>
              <w:bottom w:w="0" w:type="dxa"/>
              <w:right w:w="108" w:type="dxa"/>
            </w:tcMar>
            <w:hideMark/>
          </w:tcPr>
          <w:p w:rsidR="00002C0B" w:rsidRDefault="00002C0B" w:rsidP="00DE2CFD">
            <w:pPr>
              <w:pStyle w:val="Tabletext"/>
              <w:ind w:right="227"/>
              <w:jc w:val="right"/>
            </w:pPr>
            <w:r>
              <w:t>13,338</w:t>
            </w:r>
          </w:p>
        </w:tc>
        <w:tc>
          <w:tcPr>
            <w:tcW w:w="1098" w:type="dxa"/>
            <w:tcMar>
              <w:top w:w="0" w:type="dxa"/>
              <w:left w:w="108" w:type="dxa"/>
              <w:bottom w:w="0" w:type="dxa"/>
              <w:right w:w="108" w:type="dxa"/>
            </w:tcMar>
            <w:hideMark/>
          </w:tcPr>
          <w:p w:rsidR="00002C0B" w:rsidRDefault="00002C0B" w:rsidP="00DE2CFD">
            <w:pPr>
              <w:pStyle w:val="Tabletext"/>
              <w:ind w:right="227"/>
              <w:jc w:val="right"/>
            </w:pPr>
            <w:r>
              <w:t>13,637</w:t>
            </w:r>
          </w:p>
        </w:tc>
        <w:tc>
          <w:tcPr>
            <w:tcW w:w="1099" w:type="dxa"/>
            <w:tcMar>
              <w:top w:w="0" w:type="dxa"/>
              <w:left w:w="108" w:type="dxa"/>
              <w:bottom w:w="0" w:type="dxa"/>
              <w:right w:w="108" w:type="dxa"/>
            </w:tcMar>
            <w:hideMark/>
          </w:tcPr>
          <w:p w:rsidR="00002C0B" w:rsidRDefault="00002C0B" w:rsidP="00DE2CFD">
            <w:pPr>
              <w:pStyle w:val="Tabletext"/>
              <w:ind w:right="227"/>
              <w:jc w:val="right"/>
            </w:pPr>
            <w:r>
              <w:t>16,344</w:t>
            </w:r>
          </w:p>
        </w:tc>
      </w:tr>
      <w:tr w:rsidR="00002C0B" w:rsidTr="00DE2CFD">
        <w:tc>
          <w:tcPr>
            <w:tcW w:w="2240" w:type="dxa"/>
            <w:vMerge w:val="restart"/>
            <w:tcMar>
              <w:top w:w="0" w:type="dxa"/>
              <w:left w:w="108" w:type="dxa"/>
              <w:bottom w:w="0" w:type="dxa"/>
              <w:right w:w="108" w:type="dxa"/>
            </w:tcMar>
            <w:hideMark/>
          </w:tcPr>
          <w:p w:rsidR="00002C0B" w:rsidRDefault="00002C0B" w:rsidP="004C2C93">
            <w:pPr>
              <w:pStyle w:val="Tabletext"/>
            </w:pPr>
            <w:r>
              <w:t>Community and personal service workers</w:t>
            </w:r>
          </w:p>
        </w:tc>
        <w:tc>
          <w:tcPr>
            <w:tcW w:w="1871" w:type="dxa"/>
            <w:tcMar>
              <w:top w:w="0" w:type="dxa"/>
              <w:left w:w="108" w:type="dxa"/>
              <w:bottom w:w="0" w:type="dxa"/>
              <w:right w:w="108" w:type="dxa"/>
            </w:tcMar>
            <w:hideMark/>
          </w:tcPr>
          <w:p w:rsidR="00002C0B" w:rsidRDefault="00002C0B" w:rsidP="004C2C93">
            <w:pPr>
              <w:pStyle w:val="Tabletext"/>
            </w:pPr>
            <w:r>
              <w:t>Recommencements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500</w:t>
            </w:r>
          </w:p>
        </w:tc>
        <w:tc>
          <w:tcPr>
            <w:tcW w:w="1099" w:type="dxa"/>
            <w:tcMar>
              <w:top w:w="0" w:type="dxa"/>
              <w:left w:w="108" w:type="dxa"/>
              <w:bottom w:w="0" w:type="dxa"/>
              <w:right w:w="108" w:type="dxa"/>
            </w:tcMar>
            <w:hideMark/>
          </w:tcPr>
          <w:p w:rsidR="00002C0B" w:rsidRDefault="00002C0B" w:rsidP="00DE2CFD">
            <w:pPr>
              <w:pStyle w:val="Tabletext"/>
              <w:ind w:right="227"/>
              <w:jc w:val="right"/>
            </w:pPr>
            <w:r>
              <w:t>474</w:t>
            </w:r>
          </w:p>
        </w:tc>
        <w:tc>
          <w:tcPr>
            <w:tcW w:w="1098" w:type="dxa"/>
            <w:tcMar>
              <w:top w:w="0" w:type="dxa"/>
              <w:left w:w="108" w:type="dxa"/>
              <w:bottom w:w="0" w:type="dxa"/>
              <w:right w:w="108" w:type="dxa"/>
            </w:tcMar>
            <w:hideMark/>
          </w:tcPr>
          <w:p w:rsidR="00002C0B" w:rsidRDefault="00002C0B" w:rsidP="00DE2CFD">
            <w:pPr>
              <w:pStyle w:val="Tabletext"/>
              <w:ind w:right="227"/>
              <w:jc w:val="right"/>
            </w:pPr>
            <w:r>
              <w:t>468</w:t>
            </w:r>
          </w:p>
        </w:tc>
        <w:tc>
          <w:tcPr>
            <w:tcW w:w="1099" w:type="dxa"/>
            <w:tcMar>
              <w:top w:w="0" w:type="dxa"/>
              <w:left w:w="108" w:type="dxa"/>
              <w:bottom w:w="0" w:type="dxa"/>
              <w:right w:w="108" w:type="dxa"/>
            </w:tcMar>
            <w:hideMark/>
          </w:tcPr>
          <w:p w:rsidR="00002C0B" w:rsidRDefault="00002C0B" w:rsidP="00DE2CFD">
            <w:pPr>
              <w:pStyle w:val="Tabletext"/>
              <w:ind w:right="227"/>
              <w:jc w:val="right"/>
            </w:pPr>
            <w:r>
              <w:t>320</w:t>
            </w:r>
          </w:p>
        </w:tc>
      </w:tr>
      <w:tr w:rsidR="00002C0B" w:rsidTr="00DE2CFD">
        <w:tc>
          <w:tcPr>
            <w:tcW w:w="2240" w:type="dxa"/>
            <w:vMerge/>
            <w:vAlign w:val="center"/>
            <w:hideMark/>
          </w:tcPr>
          <w:p w:rsidR="00002C0B" w:rsidRDefault="00002C0B" w:rsidP="004C2C93">
            <w:pPr>
              <w:pStyle w:val="Tabletext"/>
              <w:rPr>
                <w:rFonts w:ascii="Calibri" w:eastAsiaTheme="minorHAnsi" w:hAnsi="Calibri"/>
                <w:sz w:val="22"/>
                <w:szCs w:val="22"/>
              </w:rPr>
            </w:pPr>
          </w:p>
        </w:tc>
        <w:tc>
          <w:tcPr>
            <w:tcW w:w="1871" w:type="dxa"/>
            <w:tcMar>
              <w:top w:w="0" w:type="dxa"/>
              <w:left w:w="108" w:type="dxa"/>
              <w:bottom w:w="0" w:type="dxa"/>
              <w:right w:w="108" w:type="dxa"/>
            </w:tcMar>
            <w:hideMark/>
          </w:tcPr>
          <w:p w:rsidR="00002C0B" w:rsidRDefault="00002C0B" w:rsidP="004C2C93">
            <w:pPr>
              <w:pStyle w:val="Tabletext"/>
            </w:pPr>
            <w:r>
              <w:t>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12,779</w:t>
            </w:r>
          </w:p>
        </w:tc>
        <w:tc>
          <w:tcPr>
            <w:tcW w:w="1099" w:type="dxa"/>
            <w:tcMar>
              <w:top w:w="0" w:type="dxa"/>
              <w:left w:w="108" w:type="dxa"/>
              <w:bottom w:w="0" w:type="dxa"/>
              <w:right w:w="108" w:type="dxa"/>
            </w:tcMar>
            <w:hideMark/>
          </w:tcPr>
          <w:p w:rsidR="00002C0B" w:rsidRDefault="00002C0B" w:rsidP="00DE2CFD">
            <w:pPr>
              <w:pStyle w:val="Tabletext"/>
              <w:ind w:right="227"/>
              <w:jc w:val="right"/>
            </w:pPr>
            <w:r>
              <w:t>10,671</w:t>
            </w:r>
          </w:p>
        </w:tc>
        <w:tc>
          <w:tcPr>
            <w:tcW w:w="1098" w:type="dxa"/>
            <w:tcMar>
              <w:top w:w="0" w:type="dxa"/>
              <w:left w:w="108" w:type="dxa"/>
              <w:bottom w:w="0" w:type="dxa"/>
              <w:right w:w="108" w:type="dxa"/>
            </w:tcMar>
            <w:hideMark/>
          </w:tcPr>
          <w:p w:rsidR="00002C0B" w:rsidRDefault="00002C0B" w:rsidP="00DE2CFD">
            <w:pPr>
              <w:pStyle w:val="Tabletext"/>
              <w:ind w:right="227"/>
              <w:jc w:val="right"/>
            </w:pPr>
            <w:r>
              <w:t>10,435</w:t>
            </w:r>
          </w:p>
        </w:tc>
        <w:tc>
          <w:tcPr>
            <w:tcW w:w="1099" w:type="dxa"/>
            <w:tcMar>
              <w:top w:w="0" w:type="dxa"/>
              <w:left w:w="108" w:type="dxa"/>
              <w:bottom w:w="0" w:type="dxa"/>
              <w:right w:w="108" w:type="dxa"/>
            </w:tcMar>
            <w:hideMark/>
          </w:tcPr>
          <w:p w:rsidR="00002C0B" w:rsidRDefault="00002C0B" w:rsidP="00DE2CFD">
            <w:pPr>
              <w:pStyle w:val="Tabletext"/>
              <w:ind w:right="227"/>
              <w:jc w:val="right"/>
            </w:pPr>
            <w:r>
              <w:t>9,447</w:t>
            </w:r>
          </w:p>
        </w:tc>
      </w:tr>
      <w:tr w:rsidR="00002C0B" w:rsidTr="00DE2CFD">
        <w:tc>
          <w:tcPr>
            <w:tcW w:w="2240" w:type="dxa"/>
            <w:vMerge w:val="restart"/>
            <w:tcMar>
              <w:top w:w="0" w:type="dxa"/>
              <w:left w:w="108" w:type="dxa"/>
              <w:bottom w:w="0" w:type="dxa"/>
              <w:right w:w="108" w:type="dxa"/>
            </w:tcMar>
            <w:hideMark/>
          </w:tcPr>
          <w:p w:rsidR="00002C0B" w:rsidRDefault="00002C0B" w:rsidP="004C2C93">
            <w:pPr>
              <w:pStyle w:val="Tabletext"/>
            </w:pPr>
            <w:r>
              <w:t>Clerical and administrative workers</w:t>
            </w:r>
          </w:p>
        </w:tc>
        <w:tc>
          <w:tcPr>
            <w:tcW w:w="1871" w:type="dxa"/>
            <w:tcMar>
              <w:top w:w="0" w:type="dxa"/>
              <w:left w:w="108" w:type="dxa"/>
              <w:bottom w:w="0" w:type="dxa"/>
              <w:right w:w="108" w:type="dxa"/>
            </w:tcMar>
            <w:hideMark/>
          </w:tcPr>
          <w:p w:rsidR="00002C0B" w:rsidRDefault="00002C0B" w:rsidP="004C2C93">
            <w:pPr>
              <w:pStyle w:val="Tabletext"/>
            </w:pPr>
            <w:r>
              <w:t>Recommencements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318</w:t>
            </w:r>
          </w:p>
        </w:tc>
        <w:tc>
          <w:tcPr>
            <w:tcW w:w="1099" w:type="dxa"/>
            <w:tcMar>
              <w:top w:w="0" w:type="dxa"/>
              <w:left w:w="108" w:type="dxa"/>
              <w:bottom w:w="0" w:type="dxa"/>
              <w:right w:w="108" w:type="dxa"/>
            </w:tcMar>
            <w:hideMark/>
          </w:tcPr>
          <w:p w:rsidR="00002C0B" w:rsidRDefault="00002C0B" w:rsidP="00DE2CFD">
            <w:pPr>
              <w:pStyle w:val="Tabletext"/>
              <w:ind w:right="227"/>
              <w:jc w:val="right"/>
            </w:pPr>
            <w:r>
              <w:t>260</w:t>
            </w:r>
          </w:p>
        </w:tc>
        <w:tc>
          <w:tcPr>
            <w:tcW w:w="1098" w:type="dxa"/>
            <w:tcMar>
              <w:top w:w="0" w:type="dxa"/>
              <w:left w:w="108" w:type="dxa"/>
              <w:bottom w:w="0" w:type="dxa"/>
              <w:right w:w="108" w:type="dxa"/>
            </w:tcMar>
            <w:hideMark/>
          </w:tcPr>
          <w:p w:rsidR="00002C0B" w:rsidRDefault="00002C0B" w:rsidP="00DE2CFD">
            <w:pPr>
              <w:pStyle w:val="Tabletext"/>
              <w:ind w:right="227"/>
              <w:jc w:val="right"/>
            </w:pPr>
            <w:r>
              <w:t>243</w:t>
            </w:r>
          </w:p>
        </w:tc>
        <w:tc>
          <w:tcPr>
            <w:tcW w:w="1099" w:type="dxa"/>
            <w:tcMar>
              <w:top w:w="0" w:type="dxa"/>
              <w:left w:w="108" w:type="dxa"/>
              <w:bottom w:w="0" w:type="dxa"/>
              <w:right w:w="108" w:type="dxa"/>
            </w:tcMar>
            <w:hideMark/>
          </w:tcPr>
          <w:p w:rsidR="00002C0B" w:rsidRDefault="00002C0B" w:rsidP="00DE2CFD">
            <w:pPr>
              <w:pStyle w:val="Tabletext"/>
              <w:ind w:right="227"/>
              <w:jc w:val="right"/>
            </w:pPr>
            <w:r>
              <w:t>199</w:t>
            </w:r>
          </w:p>
        </w:tc>
      </w:tr>
      <w:tr w:rsidR="00002C0B" w:rsidTr="00DE2CFD">
        <w:tc>
          <w:tcPr>
            <w:tcW w:w="2240" w:type="dxa"/>
            <w:vMerge/>
            <w:vAlign w:val="center"/>
            <w:hideMark/>
          </w:tcPr>
          <w:p w:rsidR="00002C0B" w:rsidRDefault="00002C0B" w:rsidP="004C2C93">
            <w:pPr>
              <w:pStyle w:val="Tabletext"/>
              <w:rPr>
                <w:rFonts w:ascii="Calibri" w:eastAsiaTheme="minorHAnsi" w:hAnsi="Calibri"/>
                <w:sz w:val="22"/>
                <w:szCs w:val="22"/>
              </w:rPr>
            </w:pPr>
          </w:p>
        </w:tc>
        <w:tc>
          <w:tcPr>
            <w:tcW w:w="1871" w:type="dxa"/>
            <w:tcMar>
              <w:top w:w="0" w:type="dxa"/>
              <w:left w:w="108" w:type="dxa"/>
              <w:bottom w:w="0" w:type="dxa"/>
              <w:right w:w="108" w:type="dxa"/>
            </w:tcMar>
            <w:hideMark/>
          </w:tcPr>
          <w:p w:rsidR="00002C0B" w:rsidRDefault="00002C0B" w:rsidP="004C2C93">
            <w:pPr>
              <w:pStyle w:val="Tabletext"/>
            </w:pPr>
            <w:r>
              <w:t>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14,986</w:t>
            </w:r>
          </w:p>
        </w:tc>
        <w:tc>
          <w:tcPr>
            <w:tcW w:w="1099" w:type="dxa"/>
            <w:tcMar>
              <w:top w:w="0" w:type="dxa"/>
              <w:left w:w="108" w:type="dxa"/>
              <w:bottom w:w="0" w:type="dxa"/>
              <w:right w:w="108" w:type="dxa"/>
            </w:tcMar>
            <w:hideMark/>
          </w:tcPr>
          <w:p w:rsidR="00002C0B" w:rsidRDefault="00002C0B" w:rsidP="00DE2CFD">
            <w:pPr>
              <w:pStyle w:val="Tabletext"/>
              <w:ind w:right="227"/>
              <w:jc w:val="right"/>
            </w:pPr>
            <w:r>
              <w:t>14,049</w:t>
            </w:r>
          </w:p>
        </w:tc>
        <w:tc>
          <w:tcPr>
            <w:tcW w:w="1098" w:type="dxa"/>
            <w:tcMar>
              <w:top w:w="0" w:type="dxa"/>
              <w:left w:w="108" w:type="dxa"/>
              <w:bottom w:w="0" w:type="dxa"/>
              <w:right w:w="108" w:type="dxa"/>
            </w:tcMar>
            <w:hideMark/>
          </w:tcPr>
          <w:p w:rsidR="00002C0B" w:rsidRDefault="00002C0B" w:rsidP="00DE2CFD">
            <w:pPr>
              <w:pStyle w:val="Tabletext"/>
              <w:ind w:right="227"/>
              <w:jc w:val="right"/>
            </w:pPr>
            <w:r>
              <w:t>14,674</w:t>
            </w:r>
          </w:p>
        </w:tc>
        <w:tc>
          <w:tcPr>
            <w:tcW w:w="1099" w:type="dxa"/>
            <w:tcMar>
              <w:top w:w="0" w:type="dxa"/>
              <w:left w:w="108" w:type="dxa"/>
              <w:bottom w:w="0" w:type="dxa"/>
              <w:right w:w="108" w:type="dxa"/>
            </w:tcMar>
            <w:hideMark/>
          </w:tcPr>
          <w:p w:rsidR="00002C0B" w:rsidRDefault="00002C0B" w:rsidP="00DE2CFD">
            <w:pPr>
              <w:pStyle w:val="Tabletext"/>
              <w:ind w:right="227"/>
              <w:jc w:val="right"/>
            </w:pPr>
            <w:r>
              <w:t>12,645</w:t>
            </w:r>
          </w:p>
        </w:tc>
      </w:tr>
      <w:tr w:rsidR="00002C0B" w:rsidTr="00DE2CFD">
        <w:tc>
          <w:tcPr>
            <w:tcW w:w="2240" w:type="dxa"/>
            <w:vMerge w:val="restart"/>
            <w:tcMar>
              <w:top w:w="0" w:type="dxa"/>
              <w:left w:w="108" w:type="dxa"/>
              <w:bottom w:w="0" w:type="dxa"/>
              <w:right w:w="108" w:type="dxa"/>
            </w:tcMar>
            <w:hideMark/>
          </w:tcPr>
          <w:p w:rsidR="00002C0B" w:rsidRDefault="00002C0B" w:rsidP="004C2C93">
            <w:pPr>
              <w:pStyle w:val="Tabletext"/>
            </w:pPr>
            <w:r>
              <w:t>Sales workers</w:t>
            </w:r>
          </w:p>
        </w:tc>
        <w:tc>
          <w:tcPr>
            <w:tcW w:w="1871" w:type="dxa"/>
            <w:tcMar>
              <w:top w:w="0" w:type="dxa"/>
              <w:left w:w="108" w:type="dxa"/>
              <w:bottom w:w="0" w:type="dxa"/>
              <w:right w:w="108" w:type="dxa"/>
            </w:tcMar>
            <w:hideMark/>
          </w:tcPr>
          <w:p w:rsidR="00002C0B" w:rsidRDefault="00002C0B" w:rsidP="004C2C93">
            <w:pPr>
              <w:pStyle w:val="Tabletext"/>
            </w:pPr>
            <w:r>
              <w:t>Recommencements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156</w:t>
            </w:r>
          </w:p>
        </w:tc>
        <w:tc>
          <w:tcPr>
            <w:tcW w:w="1099" w:type="dxa"/>
            <w:tcMar>
              <w:top w:w="0" w:type="dxa"/>
              <w:left w:w="108" w:type="dxa"/>
              <w:bottom w:w="0" w:type="dxa"/>
              <w:right w:w="108" w:type="dxa"/>
            </w:tcMar>
            <w:hideMark/>
          </w:tcPr>
          <w:p w:rsidR="00002C0B" w:rsidRDefault="00002C0B" w:rsidP="00DE2CFD">
            <w:pPr>
              <w:pStyle w:val="Tabletext"/>
              <w:ind w:right="227"/>
              <w:jc w:val="right"/>
            </w:pPr>
            <w:r>
              <w:t>157</w:t>
            </w:r>
          </w:p>
        </w:tc>
        <w:tc>
          <w:tcPr>
            <w:tcW w:w="1098" w:type="dxa"/>
            <w:tcMar>
              <w:top w:w="0" w:type="dxa"/>
              <w:left w:w="108" w:type="dxa"/>
              <w:bottom w:w="0" w:type="dxa"/>
              <w:right w:w="108" w:type="dxa"/>
            </w:tcMar>
            <w:hideMark/>
          </w:tcPr>
          <w:p w:rsidR="00002C0B" w:rsidRDefault="00002C0B" w:rsidP="00DE2CFD">
            <w:pPr>
              <w:pStyle w:val="Tabletext"/>
              <w:ind w:right="227"/>
              <w:jc w:val="right"/>
            </w:pPr>
            <w:r>
              <w:t>166</w:t>
            </w:r>
          </w:p>
        </w:tc>
        <w:tc>
          <w:tcPr>
            <w:tcW w:w="1099" w:type="dxa"/>
            <w:tcMar>
              <w:top w:w="0" w:type="dxa"/>
              <w:left w:w="108" w:type="dxa"/>
              <w:bottom w:w="0" w:type="dxa"/>
              <w:right w:w="108" w:type="dxa"/>
            </w:tcMar>
            <w:hideMark/>
          </w:tcPr>
          <w:p w:rsidR="00002C0B" w:rsidRDefault="00002C0B" w:rsidP="00DE2CFD">
            <w:pPr>
              <w:pStyle w:val="Tabletext"/>
              <w:ind w:right="227"/>
              <w:jc w:val="right"/>
            </w:pPr>
            <w:r>
              <w:t>111</w:t>
            </w:r>
          </w:p>
        </w:tc>
      </w:tr>
      <w:tr w:rsidR="00002C0B" w:rsidTr="00DE2CFD">
        <w:tc>
          <w:tcPr>
            <w:tcW w:w="2240" w:type="dxa"/>
            <w:vMerge/>
            <w:vAlign w:val="center"/>
            <w:hideMark/>
          </w:tcPr>
          <w:p w:rsidR="00002C0B" w:rsidRDefault="00002C0B" w:rsidP="004C2C93">
            <w:pPr>
              <w:pStyle w:val="Tabletext"/>
              <w:rPr>
                <w:rFonts w:ascii="Calibri" w:eastAsiaTheme="minorHAnsi" w:hAnsi="Calibri"/>
                <w:sz w:val="22"/>
                <w:szCs w:val="22"/>
              </w:rPr>
            </w:pPr>
          </w:p>
        </w:tc>
        <w:tc>
          <w:tcPr>
            <w:tcW w:w="1871" w:type="dxa"/>
            <w:tcMar>
              <w:top w:w="0" w:type="dxa"/>
              <w:left w:w="108" w:type="dxa"/>
              <w:bottom w:w="0" w:type="dxa"/>
              <w:right w:w="108" w:type="dxa"/>
            </w:tcMar>
            <w:hideMark/>
          </w:tcPr>
          <w:p w:rsidR="00002C0B" w:rsidRDefault="00002C0B" w:rsidP="004C2C93">
            <w:pPr>
              <w:pStyle w:val="Tabletext"/>
            </w:pPr>
            <w:r>
              <w:t>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10,524</w:t>
            </w:r>
          </w:p>
        </w:tc>
        <w:tc>
          <w:tcPr>
            <w:tcW w:w="1099" w:type="dxa"/>
            <w:tcMar>
              <w:top w:w="0" w:type="dxa"/>
              <w:left w:w="108" w:type="dxa"/>
              <w:bottom w:w="0" w:type="dxa"/>
              <w:right w:w="108" w:type="dxa"/>
            </w:tcMar>
            <w:hideMark/>
          </w:tcPr>
          <w:p w:rsidR="00002C0B" w:rsidRDefault="00002C0B" w:rsidP="00DE2CFD">
            <w:pPr>
              <w:pStyle w:val="Tabletext"/>
              <w:ind w:right="227"/>
              <w:jc w:val="right"/>
            </w:pPr>
            <w:r>
              <w:t>9,700</w:t>
            </w:r>
          </w:p>
        </w:tc>
        <w:tc>
          <w:tcPr>
            <w:tcW w:w="1098" w:type="dxa"/>
            <w:tcMar>
              <w:top w:w="0" w:type="dxa"/>
              <w:left w:w="108" w:type="dxa"/>
              <w:bottom w:w="0" w:type="dxa"/>
              <w:right w:w="108" w:type="dxa"/>
            </w:tcMar>
            <w:hideMark/>
          </w:tcPr>
          <w:p w:rsidR="00002C0B" w:rsidRDefault="00002C0B" w:rsidP="00DE2CFD">
            <w:pPr>
              <w:pStyle w:val="Tabletext"/>
              <w:ind w:right="227"/>
              <w:jc w:val="right"/>
            </w:pPr>
            <w:r>
              <w:t>10,629</w:t>
            </w:r>
          </w:p>
        </w:tc>
        <w:tc>
          <w:tcPr>
            <w:tcW w:w="1099" w:type="dxa"/>
            <w:tcMar>
              <w:top w:w="0" w:type="dxa"/>
              <w:left w:w="108" w:type="dxa"/>
              <w:bottom w:w="0" w:type="dxa"/>
              <w:right w:w="108" w:type="dxa"/>
            </w:tcMar>
            <w:hideMark/>
          </w:tcPr>
          <w:p w:rsidR="00002C0B" w:rsidRDefault="00002C0B" w:rsidP="00DE2CFD">
            <w:pPr>
              <w:pStyle w:val="Tabletext"/>
              <w:ind w:right="227"/>
              <w:jc w:val="right"/>
            </w:pPr>
            <w:r>
              <w:t>9,372</w:t>
            </w:r>
          </w:p>
        </w:tc>
      </w:tr>
      <w:tr w:rsidR="00002C0B" w:rsidTr="00DE2CFD">
        <w:tc>
          <w:tcPr>
            <w:tcW w:w="2240" w:type="dxa"/>
            <w:vMerge w:val="restart"/>
            <w:tcMar>
              <w:top w:w="0" w:type="dxa"/>
              <w:left w:w="108" w:type="dxa"/>
              <w:bottom w:w="0" w:type="dxa"/>
              <w:right w:w="108" w:type="dxa"/>
            </w:tcMar>
            <w:hideMark/>
          </w:tcPr>
          <w:p w:rsidR="00002C0B" w:rsidRDefault="00002C0B" w:rsidP="004C2C93">
            <w:pPr>
              <w:pStyle w:val="Tabletext"/>
            </w:pPr>
            <w:r>
              <w:t>Machinery operators and drivers</w:t>
            </w:r>
          </w:p>
        </w:tc>
        <w:tc>
          <w:tcPr>
            <w:tcW w:w="1871" w:type="dxa"/>
            <w:tcMar>
              <w:top w:w="0" w:type="dxa"/>
              <w:left w:w="108" w:type="dxa"/>
              <w:bottom w:w="0" w:type="dxa"/>
              <w:right w:w="108" w:type="dxa"/>
            </w:tcMar>
            <w:hideMark/>
          </w:tcPr>
          <w:p w:rsidR="00002C0B" w:rsidRDefault="00002C0B" w:rsidP="004C2C93">
            <w:pPr>
              <w:pStyle w:val="Tabletext"/>
            </w:pPr>
            <w:r>
              <w:t>Recommencements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130</w:t>
            </w:r>
          </w:p>
        </w:tc>
        <w:tc>
          <w:tcPr>
            <w:tcW w:w="1099" w:type="dxa"/>
            <w:tcMar>
              <w:top w:w="0" w:type="dxa"/>
              <w:left w:w="108" w:type="dxa"/>
              <w:bottom w:w="0" w:type="dxa"/>
              <w:right w:w="108" w:type="dxa"/>
            </w:tcMar>
            <w:hideMark/>
          </w:tcPr>
          <w:p w:rsidR="00002C0B" w:rsidRDefault="00002C0B" w:rsidP="00DE2CFD">
            <w:pPr>
              <w:pStyle w:val="Tabletext"/>
              <w:ind w:right="227"/>
              <w:jc w:val="right"/>
            </w:pPr>
            <w:r>
              <w:t>139</w:t>
            </w:r>
          </w:p>
        </w:tc>
        <w:tc>
          <w:tcPr>
            <w:tcW w:w="1098" w:type="dxa"/>
            <w:tcMar>
              <w:top w:w="0" w:type="dxa"/>
              <w:left w:w="108" w:type="dxa"/>
              <w:bottom w:w="0" w:type="dxa"/>
              <w:right w:w="108" w:type="dxa"/>
            </w:tcMar>
            <w:hideMark/>
          </w:tcPr>
          <w:p w:rsidR="00002C0B" w:rsidRDefault="00002C0B" w:rsidP="00DE2CFD">
            <w:pPr>
              <w:pStyle w:val="Tabletext"/>
              <w:ind w:right="227"/>
              <w:jc w:val="right"/>
            </w:pPr>
            <w:r>
              <w:t>107</w:t>
            </w:r>
          </w:p>
        </w:tc>
        <w:tc>
          <w:tcPr>
            <w:tcW w:w="1099" w:type="dxa"/>
            <w:tcMar>
              <w:top w:w="0" w:type="dxa"/>
              <w:left w:w="108" w:type="dxa"/>
              <w:bottom w:w="0" w:type="dxa"/>
              <w:right w:w="108" w:type="dxa"/>
            </w:tcMar>
            <w:hideMark/>
          </w:tcPr>
          <w:p w:rsidR="00002C0B" w:rsidRDefault="00002C0B" w:rsidP="00DE2CFD">
            <w:pPr>
              <w:pStyle w:val="Tabletext"/>
              <w:ind w:right="227"/>
              <w:jc w:val="right"/>
            </w:pPr>
            <w:r>
              <w:t>200</w:t>
            </w:r>
          </w:p>
        </w:tc>
      </w:tr>
      <w:tr w:rsidR="00002C0B" w:rsidTr="00DE2CFD">
        <w:tc>
          <w:tcPr>
            <w:tcW w:w="2240" w:type="dxa"/>
            <w:vMerge/>
            <w:vAlign w:val="center"/>
            <w:hideMark/>
          </w:tcPr>
          <w:p w:rsidR="00002C0B" w:rsidRDefault="00002C0B" w:rsidP="004C2C93">
            <w:pPr>
              <w:pStyle w:val="Tabletext"/>
              <w:rPr>
                <w:rFonts w:ascii="Calibri" w:eastAsiaTheme="minorHAnsi" w:hAnsi="Calibri"/>
                <w:sz w:val="22"/>
                <w:szCs w:val="22"/>
              </w:rPr>
            </w:pPr>
          </w:p>
        </w:tc>
        <w:tc>
          <w:tcPr>
            <w:tcW w:w="1871" w:type="dxa"/>
            <w:tcMar>
              <w:top w:w="0" w:type="dxa"/>
              <w:left w:w="108" w:type="dxa"/>
              <w:bottom w:w="0" w:type="dxa"/>
              <w:right w:w="108" w:type="dxa"/>
            </w:tcMar>
            <w:hideMark/>
          </w:tcPr>
          <w:p w:rsidR="00002C0B" w:rsidRDefault="00002C0B" w:rsidP="004C2C93">
            <w:pPr>
              <w:pStyle w:val="Tabletext"/>
            </w:pPr>
            <w:r>
              <w:t>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5,697</w:t>
            </w:r>
          </w:p>
        </w:tc>
        <w:tc>
          <w:tcPr>
            <w:tcW w:w="1099" w:type="dxa"/>
            <w:tcMar>
              <w:top w:w="0" w:type="dxa"/>
              <w:left w:w="108" w:type="dxa"/>
              <w:bottom w:w="0" w:type="dxa"/>
              <w:right w:w="108" w:type="dxa"/>
            </w:tcMar>
            <w:hideMark/>
          </w:tcPr>
          <w:p w:rsidR="00002C0B" w:rsidRDefault="00002C0B" w:rsidP="00DE2CFD">
            <w:pPr>
              <w:pStyle w:val="Tabletext"/>
              <w:ind w:right="227"/>
              <w:jc w:val="right"/>
            </w:pPr>
            <w:r>
              <w:t>6,349</w:t>
            </w:r>
          </w:p>
        </w:tc>
        <w:tc>
          <w:tcPr>
            <w:tcW w:w="1098" w:type="dxa"/>
            <w:tcMar>
              <w:top w:w="0" w:type="dxa"/>
              <w:left w:w="108" w:type="dxa"/>
              <w:bottom w:w="0" w:type="dxa"/>
              <w:right w:w="108" w:type="dxa"/>
            </w:tcMar>
            <w:hideMark/>
          </w:tcPr>
          <w:p w:rsidR="00002C0B" w:rsidRDefault="00002C0B" w:rsidP="00DE2CFD">
            <w:pPr>
              <w:pStyle w:val="Tabletext"/>
              <w:ind w:right="227"/>
              <w:jc w:val="right"/>
            </w:pPr>
            <w:r>
              <w:t>6,405</w:t>
            </w:r>
          </w:p>
        </w:tc>
        <w:tc>
          <w:tcPr>
            <w:tcW w:w="1099" w:type="dxa"/>
            <w:tcMar>
              <w:top w:w="0" w:type="dxa"/>
              <w:left w:w="108" w:type="dxa"/>
              <w:bottom w:w="0" w:type="dxa"/>
              <w:right w:w="108" w:type="dxa"/>
            </w:tcMar>
            <w:hideMark/>
          </w:tcPr>
          <w:p w:rsidR="00002C0B" w:rsidRDefault="00002C0B" w:rsidP="00DE2CFD">
            <w:pPr>
              <w:pStyle w:val="Tabletext"/>
              <w:ind w:right="227"/>
              <w:jc w:val="right"/>
            </w:pPr>
            <w:r>
              <w:t>6,487</w:t>
            </w:r>
          </w:p>
        </w:tc>
      </w:tr>
      <w:tr w:rsidR="00002C0B" w:rsidTr="00DE2CFD">
        <w:tc>
          <w:tcPr>
            <w:tcW w:w="2240" w:type="dxa"/>
            <w:vMerge w:val="restart"/>
            <w:tcMar>
              <w:top w:w="0" w:type="dxa"/>
              <w:left w:w="108" w:type="dxa"/>
              <w:bottom w:w="0" w:type="dxa"/>
              <w:right w:w="108" w:type="dxa"/>
            </w:tcMar>
            <w:hideMark/>
          </w:tcPr>
          <w:p w:rsidR="00002C0B" w:rsidRDefault="00002C0B" w:rsidP="004C2C93">
            <w:pPr>
              <w:pStyle w:val="Tabletext"/>
            </w:pPr>
            <w:r>
              <w:t>Labourers</w:t>
            </w:r>
          </w:p>
        </w:tc>
        <w:tc>
          <w:tcPr>
            <w:tcW w:w="1871" w:type="dxa"/>
            <w:tcMar>
              <w:top w:w="0" w:type="dxa"/>
              <w:left w:w="108" w:type="dxa"/>
              <w:bottom w:w="0" w:type="dxa"/>
              <w:right w:w="108" w:type="dxa"/>
            </w:tcMar>
            <w:hideMark/>
          </w:tcPr>
          <w:p w:rsidR="00002C0B" w:rsidRDefault="00002C0B" w:rsidP="004C2C93">
            <w:pPr>
              <w:pStyle w:val="Tabletext"/>
            </w:pPr>
            <w:r>
              <w:t>Recommencements</w:t>
            </w:r>
          </w:p>
        </w:tc>
        <w:tc>
          <w:tcPr>
            <w:tcW w:w="1098" w:type="dxa"/>
            <w:tcMar>
              <w:top w:w="0" w:type="dxa"/>
              <w:left w:w="108" w:type="dxa"/>
              <w:bottom w:w="0" w:type="dxa"/>
              <w:right w:w="108" w:type="dxa"/>
            </w:tcMar>
            <w:hideMark/>
          </w:tcPr>
          <w:p w:rsidR="00002C0B" w:rsidRDefault="00002C0B" w:rsidP="00DE2CFD">
            <w:pPr>
              <w:pStyle w:val="Tabletext"/>
              <w:ind w:right="227"/>
              <w:jc w:val="right"/>
            </w:pPr>
            <w:r>
              <w:t>262</w:t>
            </w:r>
          </w:p>
        </w:tc>
        <w:tc>
          <w:tcPr>
            <w:tcW w:w="1099" w:type="dxa"/>
            <w:tcMar>
              <w:top w:w="0" w:type="dxa"/>
              <w:left w:w="108" w:type="dxa"/>
              <w:bottom w:w="0" w:type="dxa"/>
              <w:right w:w="108" w:type="dxa"/>
            </w:tcMar>
            <w:hideMark/>
          </w:tcPr>
          <w:p w:rsidR="00002C0B" w:rsidRDefault="00002C0B" w:rsidP="00DE2CFD">
            <w:pPr>
              <w:pStyle w:val="Tabletext"/>
              <w:ind w:right="227"/>
              <w:jc w:val="right"/>
            </w:pPr>
            <w:r>
              <w:t>224</w:t>
            </w:r>
          </w:p>
        </w:tc>
        <w:tc>
          <w:tcPr>
            <w:tcW w:w="1098" w:type="dxa"/>
            <w:tcMar>
              <w:top w:w="0" w:type="dxa"/>
              <w:left w:w="108" w:type="dxa"/>
              <w:bottom w:w="0" w:type="dxa"/>
              <w:right w:w="108" w:type="dxa"/>
            </w:tcMar>
            <w:hideMark/>
          </w:tcPr>
          <w:p w:rsidR="00002C0B" w:rsidRDefault="00002C0B" w:rsidP="00DE2CFD">
            <w:pPr>
              <w:pStyle w:val="Tabletext"/>
              <w:ind w:right="227"/>
              <w:jc w:val="right"/>
            </w:pPr>
            <w:r>
              <w:t>239</w:t>
            </w:r>
          </w:p>
        </w:tc>
        <w:tc>
          <w:tcPr>
            <w:tcW w:w="1099" w:type="dxa"/>
            <w:tcMar>
              <w:top w:w="0" w:type="dxa"/>
              <w:left w:w="108" w:type="dxa"/>
              <w:bottom w:w="0" w:type="dxa"/>
              <w:right w:w="108" w:type="dxa"/>
            </w:tcMar>
            <w:hideMark/>
          </w:tcPr>
          <w:p w:rsidR="00002C0B" w:rsidRDefault="00002C0B" w:rsidP="00DE2CFD">
            <w:pPr>
              <w:pStyle w:val="Tabletext"/>
              <w:ind w:right="227"/>
              <w:jc w:val="right"/>
            </w:pPr>
            <w:r>
              <w:t>160</w:t>
            </w:r>
          </w:p>
        </w:tc>
      </w:tr>
      <w:tr w:rsidR="00002C0B" w:rsidTr="00DE2CFD">
        <w:tc>
          <w:tcPr>
            <w:tcW w:w="2240" w:type="dxa"/>
            <w:vMerge/>
            <w:vAlign w:val="center"/>
            <w:hideMark/>
          </w:tcPr>
          <w:p w:rsidR="00002C0B" w:rsidRDefault="00002C0B" w:rsidP="004C2C93">
            <w:pPr>
              <w:pStyle w:val="Tabletext"/>
              <w:rPr>
                <w:rFonts w:ascii="Calibri" w:eastAsiaTheme="minorHAnsi" w:hAnsi="Calibri"/>
                <w:sz w:val="22"/>
                <w:szCs w:val="22"/>
              </w:rPr>
            </w:pPr>
          </w:p>
        </w:tc>
        <w:tc>
          <w:tcPr>
            <w:tcW w:w="1871" w:type="dxa"/>
            <w:tcMar>
              <w:top w:w="0" w:type="dxa"/>
              <w:left w:w="108" w:type="dxa"/>
              <w:bottom w:w="0" w:type="dxa"/>
              <w:right w:w="108" w:type="dxa"/>
            </w:tcMar>
            <w:hideMark/>
          </w:tcPr>
          <w:p w:rsidR="00002C0B" w:rsidRDefault="00002C0B" w:rsidP="00DE2CFD">
            <w:pPr>
              <w:pStyle w:val="Tabletext"/>
              <w:spacing w:after="40"/>
            </w:pPr>
            <w:r>
              <w:t>Commencements</w:t>
            </w:r>
          </w:p>
        </w:tc>
        <w:tc>
          <w:tcPr>
            <w:tcW w:w="1098" w:type="dxa"/>
            <w:tcMar>
              <w:top w:w="0" w:type="dxa"/>
              <w:left w:w="108" w:type="dxa"/>
              <w:bottom w:w="0" w:type="dxa"/>
              <w:right w:w="108" w:type="dxa"/>
            </w:tcMar>
            <w:hideMark/>
          </w:tcPr>
          <w:p w:rsidR="00002C0B" w:rsidRDefault="00002C0B" w:rsidP="00DE2CFD">
            <w:pPr>
              <w:pStyle w:val="Tabletext"/>
              <w:spacing w:after="40"/>
              <w:ind w:right="227"/>
              <w:jc w:val="right"/>
            </w:pPr>
            <w:r>
              <w:t>5,887</w:t>
            </w:r>
          </w:p>
        </w:tc>
        <w:tc>
          <w:tcPr>
            <w:tcW w:w="1099" w:type="dxa"/>
            <w:tcMar>
              <w:top w:w="0" w:type="dxa"/>
              <w:left w:w="108" w:type="dxa"/>
              <w:bottom w:w="0" w:type="dxa"/>
              <w:right w:w="108" w:type="dxa"/>
            </w:tcMar>
            <w:hideMark/>
          </w:tcPr>
          <w:p w:rsidR="00002C0B" w:rsidRDefault="00002C0B" w:rsidP="00DE2CFD">
            <w:pPr>
              <w:pStyle w:val="Tabletext"/>
              <w:spacing w:after="40"/>
              <w:ind w:right="227"/>
              <w:jc w:val="right"/>
            </w:pPr>
            <w:r>
              <w:t>5,153</w:t>
            </w:r>
          </w:p>
        </w:tc>
        <w:tc>
          <w:tcPr>
            <w:tcW w:w="1098" w:type="dxa"/>
            <w:tcMar>
              <w:top w:w="0" w:type="dxa"/>
              <w:left w:w="108" w:type="dxa"/>
              <w:bottom w:w="0" w:type="dxa"/>
              <w:right w:w="108" w:type="dxa"/>
            </w:tcMar>
            <w:hideMark/>
          </w:tcPr>
          <w:p w:rsidR="00002C0B" w:rsidRDefault="00002C0B" w:rsidP="00DE2CFD">
            <w:pPr>
              <w:pStyle w:val="Tabletext"/>
              <w:spacing w:after="40"/>
              <w:ind w:right="227"/>
              <w:jc w:val="right"/>
            </w:pPr>
            <w:r>
              <w:t>5,434</w:t>
            </w:r>
          </w:p>
        </w:tc>
        <w:tc>
          <w:tcPr>
            <w:tcW w:w="1099" w:type="dxa"/>
            <w:tcMar>
              <w:top w:w="0" w:type="dxa"/>
              <w:left w:w="108" w:type="dxa"/>
              <w:bottom w:w="0" w:type="dxa"/>
              <w:right w:w="108" w:type="dxa"/>
            </w:tcMar>
            <w:hideMark/>
          </w:tcPr>
          <w:p w:rsidR="00002C0B" w:rsidRDefault="00002C0B" w:rsidP="00DE2CFD">
            <w:pPr>
              <w:pStyle w:val="Tabletext"/>
              <w:spacing w:after="40"/>
              <w:ind w:right="227"/>
              <w:jc w:val="right"/>
            </w:pPr>
            <w:r>
              <w:t>4,632</w:t>
            </w:r>
          </w:p>
        </w:tc>
      </w:tr>
    </w:tbl>
    <w:p w:rsidR="00366E03" w:rsidRDefault="00366E03" w:rsidP="00366E03">
      <w:pPr>
        <w:pStyle w:val="Source"/>
      </w:pPr>
      <w:r>
        <w:t>Source:</w:t>
      </w:r>
      <w:r>
        <w:tab/>
        <w:t xml:space="preserve">National Apprentice and Trainee </w:t>
      </w:r>
      <w:r w:rsidR="00130767">
        <w:t>Collection</w:t>
      </w:r>
      <w:r>
        <w:t>, March 2010 estimates (unpublished).</w:t>
      </w:r>
    </w:p>
    <w:p w:rsidR="00002C0B" w:rsidRDefault="00002C0B" w:rsidP="00DE2CFD">
      <w:pPr>
        <w:pStyle w:val="Text"/>
        <w:spacing w:before="360"/>
      </w:pPr>
      <w:r>
        <w:t xml:space="preserve">We see that the recommencements are only significant among the trades and technicians group, and this is the group that we concentrate on in the remainder of this </w:t>
      </w:r>
      <w:r w:rsidR="00CB210B">
        <w:t>paper</w:t>
      </w:r>
      <w:r>
        <w:t>. In figure 1 we provide a longer time series for this group. While the commencement data show marked seasonality</w:t>
      </w:r>
      <w:r w:rsidR="00321F9E">
        <w:t>,</w:t>
      </w:r>
      <w:r>
        <w:t xml:space="preserve"> the recommencement data are fairly stable.</w:t>
      </w:r>
    </w:p>
    <w:p w:rsidR="00D23EBA" w:rsidRDefault="00D23EBA">
      <w:pPr>
        <w:spacing w:before="0"/>
        <w:rPr>
          <w:rFonts w:ascii="Arial" w:hAnsi="Arial"/>
          <w:b/>
          <w:sz w:val="17"/>
        </w:rPr>
      </w:pPr>
      <w:r>
        <w:br w:type="page"/>
      </w:r>
    </w:p>
    <w:p w:rsidR="00DE2CFD" w:rsidRDefault="004D08D3" w:rsidP="00DE2CFD">
      <w:pPr>
        <w:pStyle w:val="Figuretitle"/>
      </w:pPr>
      <w:bookmarkStart w:id="14" w:name="_Toc287454853"/>
      <w:r>
        <w:lastRenderedPageBreak/>
        <w:t>Figure 1</w:t>
      </w:r>
      <w:r w:rsidR="005F2851">
        <w:tab/>
        <w:t>C</w:t>
      </w:r>
      <w:r w:rsidR="00294C6E" w:rsidRPr="005F2851">
        <w:t>ommencements</w:t>
      </w:r>
      <w:r w:rsidR="00002C0B" w:rsidRPr="005F2851">
        <w:t xml:space="preserve"> and </w:t>
      </w:r>
      <w:r w:rsidR="00002C0B" w:rsidRPr="00DE2CFD">
        <w:t>recommencements</w:t>
      </w:r>
      <w:r w:rsidR="00002C0B" w:rsidRPr="005F2851">
        <w:t>,</w:t>
      </w:r>
      <w:r>
        <w:t xml:space="preserve"> trades and technicians, 2005–</w:t>
      </w:r>
      <w:r w:rsidR="00002C0B" w:rsidRPr="005F2851">
        <w:t>09</w:t>
      </w:r>
      <w:bookmarkEnd w:id="14"/>
    </w:p>
    <w:p w:rsidR="00D37AA6" w:rsidRDefault="00D37AA6" w:rsidP="00DE2CFD">
      <w:pPr>
        <w:pStyle w:val="Figuretitle"/>
        <w:spacing w:before="160"/>
      </w:pPr>
      <w:r w:rsidRPr="00D37AA6">
        <w:rPr>
          <w:noProof/>
        </w:rPr>
        <w:drawing>
          <wp:inline distT="0" distB="0" distL="0" distR="0">
            <wp:extent cx="5269865" cy="2943225"/>
            <wp:effectExtent l="19050" t="0" r="2603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6E03" w:rsidRDefault="00366E03" w:rsidP="00366E03">
      <w:pPr>
        <w:pStyle w:val="Source"/>
      </w:pPr>
      <w:bookmarkStart w:id="15" w:name="_Toc287454603"/>
      <w:r>
        <w:t>Source:</w:t>
      </w:r>
      <w:r>
        <w:tab/>
        <w:t xml:space="preserve">National Apprentice and Trainee </w:t>
      </w:r>
      <w:r w:rsidR="00130767">
        <w:t>Collection</w:t>
      </w:r>
      <w:r>
        <w:t>, March 2010 estimates (unpublished).</w:t>
      </w:r>
    </w:p>
    <w:p w:rsidR="00002C0B" w:rsidRDefault="00002C0B" w:rsidP="00002C0B">
      <w:pPr>
        <w:pStyle w:val="Heading2"/>
      </w:pPr>
      <w:r>
        <w:t>The adjustment factor</w:t>
      </w:r>
      <w:bookmarkEnd w:id="15"/>
    </w:p>
    <w:p w:rsidR="00D37AA6" w:rsidRDefault="00002C0B">
      <w:pPr>
        <w:pStyle w:val="Text"/>
      </w:pPr>
      <w:r>
        <w:t>Our adjustment factor is derived as follows</w:t>
      </w:r>
      <w:r w:rsidR="00D37AA6">
        <w:t>.</w:t>
      </w:r>
    </w:p>
    <w:p w:rsidR="00D37AA6" w:rsidRPr="00D37AA6" w:rsidRDefault="00D37AA6">
      <w:pPr>
        <w:pStyle w:val="Text"/>
        <w:rPr>
          <w:i/>
        </w:rPr>
      </w:pPr>
      <w:r>
        <w:t>The contract completion rate can be conceptualised as</w:t>
      </w:r>
      <w:r w:rsidR="004D08D3">
        <w:t>:</w:t>
      </w:r>
      <w:r>
        <w:t xml:space="preserve"> </w:t>
      </w:r>
      <w:r w:rsidR="00DE2CFD">
        <w:br/>
      </w:r>
      <w:r w:rsidRPr="00D37AA6">
        <w:rPr>
          <w:i/>
        </w:rPr>
        <w:t>completions</w:t>
      </w:r>
      <w:proofErr w:type="gramStart"/>
      <w:r w:rsidRPr="00D37AA6">
        <w:rPr>
          <w:i/>
        </w:rPr>
        <w:t>/(</w:t>
      </w:r>
      <w:proofErr w:type="gramEnd"/>
      <w:r w:rsidRPr="00D37AA6">
        <w:rPr>
          <w:i/>
        </w:rPr>
        <w:t>commencements + recommencements)</w:t>
      </w:r>
      <w:r w:rsidR="001E7F71">
        <w:rPr>
          <w:i/>
        </w:rPr>
        <w:t>.</w:t>
      </w:r>
    </w:p>
    <w:p w:rsidR="00D37AA6" w:rsidRPr="00D37AA6" w:rsidRDefault="00D23EBA">
      <w:pPr>
        <w:pStyle w:val="Text"/>
        <w:rPr>
          <w:i/>
        </w:rPr>
      </w:pPr>
      <w:r>
        <w:t>Similarly</w:t>
      </w:r>
      <w:r w:rsidR="00D37AA6">
        <w:t xml:space="preserve">, the individual </w:t>
      </w:r>
      <w:r>
        <w:t>completion</w:t>
      </w:r>
      <w:r w:rsidR="00D37AA6">
        <w:t xml:space="preserve"> rate can be conceptualised as</w:t>
      </w:r>
      <w:r w:rsidR="004D08D3">
        <w:t>:</w:t>
      </w:r>
      <w:r w:rsidR="00D37AA6">
        <w:t xml:space="preserve"> </w:t>
      </w:r>
      <w:r w:rsidR="00DE2CFD">
        <w:br/>
      </w:r>
      <w:r>
        <w:rPr>
          <w:i/>
        </w:rPr>
        <w:t>c</w:t>
      </w:r>
      <w:r w:rsidRPr="00D37AA6">
        <w:rPr>
          <w:i/>
        </w:rPr>
        <w:t>ompletions</w:t>
      </w:r>
      <w:r w:rsidR="00D37AA6" w:rsidRPr="00D37AA6">
        <w:rPr>
          <w:i/>
        </w:rPr>
        <w:t>/ commencements.</w:t>
      </w:r>
    </w:p>
    <w:p w:rsidR="007106BC" w:rsidRPr="00D37AA6" w:rsidRDefault="00D37AA6">
      <w:pPr>
        <w:pStyle w:val="Text"/>
        <w:rPr>
          <w:i/>
        </w:rPr>
      </w:pPr>
      <w:r>
        <w:t xml:space="preserve">Therefore the ratio of the individual completion rate to the contract </w:t>
      </w:r>
      <w:r w:rsidR="00D23EBA">
        <w:t>completion</w:t>
      </w:r>
      <w:r>
        <w:t xml:space="preserve"> rate is simply</w:t>
      </w:r>
      <w:proofErr w:type="gramStart"/>
      <w:r w:rsidR="004D08D3">
        <w:t>:</w:t>
      </w:r>
      <w:proofErr w:type="gramEnd"/>
      <w:r w:rsidR="00DE2CFD">
        <w:br/>
      </w:r>
      <w:r w:rsidRPr="00D37AA6">
        <w:rPr>
          <w:i/>
        </w:rPr>
        <w:t>(</w:t>
      </w:r>
      <w:r w:rsidR="00D23EBA" w:rsidRPr="00D37AA6">
        <w:rPr>
          <w:i/>
        </w:rPr>
        <w:t>commencements</w:t>
      </w:r>
      <w:r w:rsidRPr="00D37AA6">
        <w:rPr>
          <w:i/>
        </w:rPr>
        <w:t xml:space="preserve"> + </w:t>
      </w:r>
      <w:r w:rsidR="00D23EBA" w:rsidRPr="00D37AA6">
        <w:rPr>
          <w:i/>
        </w:rPr>
        <w:t>recommencements</w:t>
      </w:r>
      <w:r w:rsidRPr="00D37AA6">
        <w:rPr>
          <w:i/>
        </w:rPr>
        <w:t>)/commencements</w:t>
      </w:r>
      <w:r w:rsidR="00D23EBA">
        <w:rPr>
          <w:i/>
        </w:rPr>
        <w:t>.</w:t>
      </w:r>
    </w:p>
    <w:p w:rsidR="00D23EBA" w:rsidRDefault="00D23EBA">
      <w:pPr>
        <w:spacing w:before="0"/>
        <w:rPr>
          <w:rFonts w:ascii="Garamond" w:hAnsi="Garamond"/>
          <w:sz w:val="36"/>
        </w:rPr>
      </w:pPr>
      <w:r>
        <w:br w:type="page"/>
      </w:r>
    </w:p>
    <w:p w:rsidR="00D37AA6" w:rsidRDefault="00D37AA6" w:rsidP="00D37AA6">
      <w:pPr>
        <w:pStyle w:val="Heading2"/>
      </w:pPr>
      <w:bookmarkStart w:id="16" w:name="_Toc287454604"/>
      <w:r>
        <w:lastRenderedPageBreak/>
        <w:t>A new set of completion rates</w:t>
      </w:r>
      <w:bookmarkEnd w:id="16"/>
    </w:p>
    <w:p w:rsidR="00D37AA6" w:rsidRDefault="00D23EBA" w:rsidP="00D23EBA">
      <w:pPr>
        <w:pStyle w:val="Text"/>
      </w:pPr>
      <w:r>
        <w:t>Bas</w:t>
      </w:r>
      <w:r w:rsidR="004D08D3">
        <w:t>ed on 2005–</w:t>
      </w:r>
      <w:r w:rsidR="00D37AA6">
        <w:t>09 data we have calculated adjustment factors for each of the trade occu</w:t>
      </w:r>
      <w:r w:rsidR="004D08D3">
        <w:t>pations. They are presented in t</w:t>
      </w:r>
      <w:r w:rsidR="00D37AA6">
        <w:t>able 2, together with the contract completion rate for 2005 (</w:t>
      </w:r>
      <w:r w:rsidR="004D08D3">
        <w:t xml:space="preserve">for the latest data available </w:t>
      </w:r>
      <w:r w:rsidR="00CB210B">
        <w:t>see NCVER [</w:t>
      </w:r>
      <w:r w:rsidR="00D37AA6" w:rsidRPr="00DD42F1">
        <w:t>2010a</w:t>
      </w:r>
      <w:r w:rsidR="00CB210B" w:rsidRPr="00DD42F1">
        <w:t>]</w:t>
      </w:r>
      <w:r w:rsidR="00D37AA6" w:rsidRPr="00DD42F1">
        <w:t>)</w:t>
      </w:r>
      <w:r w:rsidR="00D37AA6">
        <w:t xml:space="preserve"> and the derived individual </w:t>
      </w:r>
      <w:r>
        <w:t>completion</w:t>
      </w:r>
      <w:r w:rsidR="00D37AA6">
        <w:t xml:space="preserve"> rate.</w:t>
      </w:r>
    </w:p>
    <w:p w:rsidR="00D23EBA" w:rsidRPr="005F2851" w:rsidRDefault="004D08D3" w:rsidP="00DE2CFD">
      <w:pPr>
        <w:pStyle w:val="tabletitle"/>
        <w:ind w:left="992" w:hanging="992"/>
      </w:pPr>
      <w:bookmarkStart w:id="17" w:name="_Toc287454846"/>
      <w:r>
        <w:t>Table 2</w:t>
      </w:r>
      <w:r w:rsidR="005F2851">
        <w:tab/>
      </w:r>
      <w:r w:rsidR="00D23EBA" w:rsidRPr="005F2851">
        <w:t>‘Recommencement’ adjustment factor, contract and individual completion rates, trade occupations, commenced in 2005</w:t>
      </w:r>
      <w:bookmarkEnd w:id="17"/>
    </w:p>
    <w:tbl>
      <w:tblPr>
        <w:tblW w:w="8505" w:type="dxa"/>
        <w:tblInd w:w="93" w:type="dxa"/>
        <w:tblLayout w:type="fixed"/>
        <w:tblLook w:val="04A0"/>
      </w:tblPr>
      <w:tblGrid>
        <w:gridCol w:w="4693"/>
        <w:gridCol w:w="1270"/>
        <w:gridCol w:w="1271"/>
        <w:gridCol w:w="1271"/>
      </w:tblGrid>
      <w:tr w:rsidR="00D37AA6" w:rsidRPr="00D37AA6" w:rsidTr="00130767">
        <w:trPr>
          <w:trHeight w:val="480"/>
        </w:trPr>
        <w:tc>
          <w:tcPr>
            <w:tcW w:w="4693" w:type="dxa"/>
            <w:tcBorders>
              <w:top w:val="single" w:sz="8" w:space="0" w:color="auto"/>
              <w:left w:val="nil"/>
              <w:bottom w:val="single" w:sz="8" w:space="0" w:color="auto"/>
              <w:right w:val="nil"/>
            </w:tcBorders>
            <w:shd w:val="clear" w:color="auto" w:fill="auto"/>
            <w:noWrap/>
            <w:hideMark/>
          </w:tcPr>
          <w:p w:rsidR="00D37AA6" w:rsidRPr="00D37AA6" w:rsidRDefault="00D37AA6" w:rsidP="00DE2CFD">
            <w:pPr>
              <w:pStyle w:val="Tablehead1"/>
            </w:pPr>
          </w:p>
        </w:tc>
        <w:tc>
          <w:tcPr>
            <w:tcW w:w="1270" w:type="dxa"/>
            <w:tcBorders>
              <w:top w:val="single" w:sz="8" w:space="0" w:color="auto"/>
              <w:left w:val="nil"/>
              <w:bottom w:val="single" w:sz="8" w:space="0" w:color="auto"/>
              <w:right w:val="nil"/>
            </w:tcBorders>
            <w:shd w:val="clear" w:color="auto" w:fill="auto"/>
            <w:tcMar>
              <w:left w:w="0" w:type="dxa"/>
              <w:right w:w="0" w:type="dxa"/>
            </w:tcMar>
            <w:hideMark/>
          </w:tcPr>
          <w:p w:rsidR="00D37AA6" w:rsidRPr="00D37AA6" w:rsidRDefault="00D37AA6" w:rsidP="001A3AC7">
            <w:pPr>
              <w:pStyle w:val="Tablehead1"/>
              <w:jc w:val="center"/>
            </w:pPr>
            <w:r w:rsidRPr="00D37AA6">
              <w:t>A</w:t>
            </w:r>
            <w:r w:rsidR="001A3AC7">
              <w:t>verage annual a</w:t>
            </w:r>
            <w:r w:rsidRPr="00D37AA6">
              <w:t>djustment</w:t>
            </w:r>
            <w:r w:rsidR="00130767">
              <w:t xml:space="preserve"> factor</w:t>
            </w:r>
          </w:p>
        </w:tc>
        <w:tc>
          <w:tcPr>
            <w:tcW w:w="1271" w:type="dxa"/>
            <w:tcBorders>
              <w:top w:val="single" w:sz="8" w:space="0" w:color="auto"/>
              <w:left w:val="nil"/>
              <w:bottom w:val="single" w:sz="8" w:space="0" w:color="auto"/>
              <w:right w:val="nil"/>
            </w:tcBorders>
            <w:shd w:val="clear" w:color="auto" w:fill="auto"/>
            <w:hideMark/>
          </w:tcPr>
          <w:p w:rsidR="00D37AA6" w:rsidRPr="00D37AA6" w:rsidRDefault="00D37AA6" w:rsidP="00DE2CFD">
            <w:pPr>
              <w:pStyle w:val="Tablehead1"/>
              <w:jc w:val="center"/>
            </w:pPr>
            <w:r w:rsidRPr="00D37AA6">
              <w:t>Contract completion rate</w:t>
            </w:r>
            <w:r w:rsidR="00D23EBA">
              <w:t xml:space="preserve"> (%)</w:t>
            </w:r>
          </w:p>
        </w:tc>
        <w:tc>
          <w:tcPr>
            <w:tcW w:w="1271" w:type="dxa"/>
            <w:tcBorders>
              <w:top w:val="single" w:sz="8" w:space="0" w:color="auto"/>
              <w:left w:val="nil"/>
              <w:bottom w:val="single" w:sz="8" w:space="0" w:color="auto"/>
              <w:right w:val="nil"/>
            </w:tcBorders>
            <w:shd w:val="clear" w:color="auto" w:fill="auto"/>
            <w:hideMark/>
          </w:tcPr>
          <w:p w:rsidR="00D23EBA" w:rsidRPr="00D37AA6" w:rsidRDefault="00D37AA6" w:rsidP="00DE2CFD">
            <w:pPr>
              <w:pStyle w:val="Tablehead1"/>
              <w:jc w:val="center"/>
            </w:pPr>
            <w:r w:rsidRPr="00D37AA6">
              <w:t>Individual completion rate</w:t>
            </w:r>
            <w:r w:rsidR="000E7748">
              <w:t xml:space="preserve"> </w:t>
            </w:r>
            <w:r w:rsidR="00D23EBA">
              <w:t>(%)</w:t>
            </w:r>
          </w:p>
        </w:tc>
      </w:tr>
      <w:tr w:rsidR="00D37AA6" w:rsidRPr="00D37AA6" w:rsidTr="00DE2CFD">
        <w:trPr>
          <w:trHeight w:val="300"/>
        </w:trPr>
        <w:tc>
          <w:tcPr>
            <w:tcW w:w="4693" w:type="dxa"/>
            <w:tcBorders>
              <w:top w:val="single" w:sz="8" w:space="0" w:color="auto"/>
              <w:left w:val="nil"/>
              <w:bottom w:val="nil"/>
              <w:right w:val="nil"/>
            </w:tcBorders>
            <w:shd w:val="clear" w:color="auto" w:fill="FFFFFF" w:themeFill="background1"/>
            <w:noWrap/>
            <w:hideMark/>
          </w:tcPr>
          <w:p w:rsidR="00D37AA6" w:rsidRPr="00D37AA6" w:rsidRDefault="00D37AA6" w:rsidP="001A3AC7">
            <w:pPr>
              <w:pStyle w:val="Tabletext"/>
              <w:tabs>
                <w:tab w:val="left" w:pos="284"/>
              </w:tabs>
            </w:pPr>
            <w:r w:rsidRPr="00D37AA6">
              <w:t>31</w:t>
            </w:r>
            <w:r w:rsidR="001A3AC7">
              <w:tab/>
            </w:r>
            <w:r w:rsidRPr="00D37AA6">
              <w:t xml:space="preserve">Engineering, ICT and </w:t>
            </w:r>
            <w:r w:rsidR="00512AB8" w:rsidRPr="00D37AA6">
              <w:t>science technicians</w:t>
            </w:r>
          </w:p>
        </w:tc>
        <w:tc>
          <w:tcPr>
            <w:tcW w:w="1270" w:type="dxa"/>
            <w:tcBorders>
              <w:top w:val="single" w:sz="8" w:space="0" w:color="auto"/>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1.04</w:t>
            </w:r>
          </w:p>
        </w:tc>
        <w:tc>
          <w:tcPr>
            <w:tcW w:w="1271" w:type="dxa"/>
            <w:tcBorders>
              <w:top w:val="single" w:sz="8" w:space="0" w:color="auto"/>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60.8</w:t>
            </w:r>
          </w:p>
        </w:tc>
        <w:tc>
          <w:tcPr>
            <w:tcW w:w="1271" w:type="dxa"/>
            <w:tcBorders>
              <w:top w:val="single" w:sz="8" w:space="0" w:color="auto"/>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63.2</w:t>
            </w:r>
          </w:p>
        </w:tc>
      </w:tr>
      <w:tr w:rsidR="00D37AA6" w:rsidRPr="00D37AA6" w:rsidTr="00DE2CFD">
        <w:trPr>
          <w:trHeight w:val="300"/>
        </w:trPr>
        <w:tc>
          <w:tcPr>
            <w:tcW w:w="4693" w:type="dxa"/>
            <w:tcBorders>
              <w:top w:val="nil"/>
              <w:left w:val="nil"/>
              <w:bottom w:val="nil"/>
              <w:right w:val="nil"/>
            </w:tcBorders>
            <w:shd w:val="clear" w:color="auto" w:fill="FFFFFF" w:themeFill="background1"/>
            <w:noWrap/>
            <w:hideMark/>
          </w:tcPr>
          <w:p w:rsidR="00D37AA6" w:rsidRPr="00D37AA6" w:rsidRDefault="001A3AC7" w:rsidP="001A3AC7">
            <w:pPr>
              <w:pStyle w:val="Tabletext"/>
              <w:tabs>
                <w:tab w:val="left" w:pos="284"/>
              </w:tabs>
            </w:pPr>
            <w:r>
              <w:t>32</w:t>
            </w:r>
            <w:r>
              <w:tab/>
            </w:r>
            <w:r w:rsidR="00D37AA6" w:rsidRPr="00D37AA6">
              <w:t xml:space="preserve">Automotive and </w:t>
            </w:r>
            <w:r w:rsidR="00512AB8" w:rsidRPr="00D37AA6">
              <w:t>engineering trades workers</w:t>
            </w:r>
          </w:p>
        </w:tc>
        <w:tc>
          <w:tcPr>
            <w:tcW w:w="1270" w:type="dxa"/>
            <w:tcBorders>
              <w:top w:val="nil"/>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1.18</w:t>
            </w:r>
          </w:p>
        </w:tc>
        <w:tc>
          <w:tcPr>
            <w:tcW w:w="1271" w:type="dxa"/>
            <w:tcBorders>
              <w:top w:val="nil"/>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51.3</w:t>
            </w:r>
          </w:p>
        </w:tc>
        <w:tc>
          <w:tcPr>
            <w:tcW w:w="1271" w:type="dxa"/>
            <w:tcBorders>
              <w:top w:val="nil"/>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60.6</w:t>
            </w:r>
          </w:p>
        </w:tc>
      </w:tr>
      <w:tr w:rsidR="00D37AA6" w:rsidRPr="00D37AA6" w:rsidTr="00DE2CFD">
        <w:trPr>
          <w:trHeight w:val="300"/>
        </w:trPr>
        <w:tc>
          <w:tcPr>
            <w:tcW w:w="4693" w:type="dxa"/>
            <w:tcBorders>
              <w:top w:val="nil"/>
              <w:left w:val="nil"/>
              <w:bottom w:val="nil"/>
              <w:right w:val="nil"/>
            </w:tcBorders>
            <w:shd w:val="clear" w:color="auto" w:fill="FFFFFF" w:themeFill="background1"/>
            <w:noWrap/>
            <w:hideMark/>
          </w:tcPr>
          <w:p w:rsidR="00D37AA6" w:rsidRPr="00D37AA6" w:rsidRDefault="00D37AA6" w:rsidP="001A3AC7">
            <w:pPr>
              <w:pStyle w:val="Tabletext"/>
              <w:tabs>
                <w:tab w:val="left" w:pos="284"/>
              </w:tabs>
            </w:pPr>
            <w:r w:rsidRPr="00D37AA6">
              <w:t>33</w:t>
            </w:r>
            <w:r w:rsidR="001A3AC7">
              <w:tab/>
            </w:r>
            <w:r w:rsidRPr="00D37AA6">
              <w:t xml:space="preserve">Construction </w:t>
            </w:r>
            <w:r w:rsidR="00512AB8" w:rsidRPr="00D37AA6">
              <w:t>trades workers</w:t>
            </w:r>
          </w:p>
        </w:tc>
        <w:tc>
          <w:tcPr>
            <w:tcW w:w="1270" w:type="dxa"/>
            <w:tcBorders>
              <w:top w:val="nil"/>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1.29</w:t>
            </w:r>
          </w:p>
        </w:tc>
        <w:tc>
          <w:tcPr>
            <w:tcW w:w="1271" w:type="dxa"/>
            <w:tcBorders>
              <w:top w:val="nil"/>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45.3</w:t>
            </w:r>
          </w:p>
        </w:tc>
        <w:tc>
          <w:tcPr>
            <w:tcW w:w="1271" w:type="dxa"/>
            <w:tcBorders>
              <w:top w:val="nil"/>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58.3</w:t>
            </w:r>
          </w:p>
        </w:tc>
      </w:tr>
      <w:tr w:rsidR="00D37AA6" w:rsidRPr="00D37AA6" w:rsidTr="00DE2CFD">
        <w:trPr>
          <w:trHeight w:val="300"/>
        </w:trPr>
        <w:tc>
          <w:tcPr>
            <w:tcW w:w="4693" w:type="dxa"/>
            <w:tcBorders>
              <w:top w:val="nil"/>
              <w:left w:val="nil"/>
              <w:bottom w:val="nil"/>
              <w:right w:val="nil"/>
            </w:tcBorders>
            <w:shd w:val="clear" w:color="auto" w:fill="FFFFFF" w:themeFill="background1"/>
            <w:noWrap/>
            <w:hideMark/>
          </w:tcPr>
          <w:p w:rsidR="00D37AA6" w:rsidRPr="00D37AA6" w:rsidRDefault="00D37AA6" w:rsidP="001A3AC7">
            <w:pPr>
              <w:pStyle w:val="Tabletext"/>
              <w:tabs>
                <w:tab w:val="left" w:pos="284"/>
              </w:tabs>
            </w:pPr>
            <w:r w:rsidRPr="00D37AA6">
              <w:t>34</w:t>
            </w:r>
            <w:r w:rsidR="001A3AC7">
              <w:tab/>
            </w:r>
            <w:proofErr w:type="spellStart"/>
            <w:r w:rsidRPr="00D37AA6">
              <w:t>Electrotechnology</w:t>
            </w:r>
            <w:proofErr w:type="spellEnd"/>
            <w:r w:rsidRPr="00D37AA6">
              <w:t xml:space="preserve"> </w:t>
            </w:r>
            <w:r w:rsidR="00694B94">
              <w:t>and</w:t>
            </w:r>
            <w:r w:rsidRPr="00D37AA6">
              <w:t xml:space="preserve"> </w:t>
            </w:r>
            <w:r w:rsidR="00902A07" w:rsidRPr="00D37AA6">
              <w:t>telecommunications trades workers</w:t>
            </w:r>
          </w:p>
        </w:tc>
        <w:tc>
          <w:tcPr>
            <w:tcW w:w="1270" w:type="dxa"/>
            <w:tcBorders>
              <w:top w:val="nil"/>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1.20</w:t>
            </w:r>
          </w:p>
        </w:tc>
        <w:tc>
          <w:tcPr>
            <w:tcW w:w="1271" w:type="dxa"/>
            <w:tcBorders>
              <w:top w:val="nil"/>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53.6</w:t>
            </w:r>
          </w:p>
        </w:tc>
        <w:tc>
          <w:tcPr>
            <w:tcW w:w="1271" w:type="dxa"/>
            <w:tcBorders>
              <w:top w:val="nil"/>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64.2</w:t>
            </w:r>
          </w:p>
        </w:tc>
      </w:tr>
      <w:tr w:rsidR="00D37AA6" w:rsidRPr="00D37AA6" w:rsidTr="00DE2CFD">
        <w:trPr>
          <w:trHeight w:val="300"/>
        </w:trPr>
        <w:tc>
          <w:tcPr>
            <w:tcW w:w="4693" w:type="dxa"/>
            <w:tcBorders>
              <w:top w:val="nil"/>
              <w:left w:val="nil"/>
              <w:bottom w:val="nil"/>
              <w:right w:val="nil"/>
            </w:tcBorders>
            <w:shd w:val="clear" w:color="auto" w:fill="FFFFFF" w:themeFill="background1"/>
            <w:noWrap/>
            <w:hideMark/>
          </w:tcPr>
          <w:p w:rsidR="00D37AA6" w:rsidRPr="00D37AA6" w:rsidRDefault="00D37AA6" w:rsidP="001A3AC7">
            <w:pPr>
              <w:pStyle w:val="Tabletext"/>
              <w:tabs>
                <w:tab w:val="left" w:pos="284"/>
              </w:tabs>
            </w:pPr>
            <w:r w:rsidRPr="00D37AA6">
              <w:t>35</w:t>
            </w:r>
            <w:r w:rsidR="001A3AC7">
              <w:tab/>
            </w:r>
            <w:r w:rsidRPr="00D37AA6">
              <w:t xml:space="preserve">Food </w:t>
            </w:r>
            <w:r w:rsidR="00902A07" w:rsidRPr="00D37AA6">
              <w:t>trades workers</w:t>
            </w:r>
          </w:p>
        </w:tc>
        <w:tc>
          <w:tcPr>
            <w:tcW w:w="1270" w:type="dxa"/>
            <w:tcBorders>
              <w:top w:val="nil"/>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1.42</w:t>
            </w:r>
          </w:p>
        </w:tc>
        <w:tc>
          <w:tcPr>
            <w:tcW w:w="1271" w:type="dxa"/>
            <w:tcBorders>
              <w:top w:val="nil"/>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27.7</w:t>
            </w:r>
          </w:p>
        </w:tc>
        <w:tc>
          <w:tcPr>
            <w:tcW w:w="1271" w:type="dxa"/>
            <w:tcBorders>
              <w:top w:val="nil"/>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39.2</w:t>
            </w:r>
          </w:p>
        </w:tc>
      </w:tr>
      <w:tr w:rsidR="00D37AA6" w:rsidRPr="00D37AA6" w:rsidTr="00DE2CFD">
        <w:trPr>
          <w:trHeight w:val="300"/>
        </w:trPr>
        <w:tc>
          <w:tcPr>
            <w:tcW w:w="4693" w:type="dxa"/>
            <w:tcBorders>
              <w:top w:val="nil"/>
              <w:left w:val="nil"/>
              <w:bottom w:val="nil"/>
              <w:right w:val="nil"/>
            </w:tcBorders>
            <w:shd w:val="clear" w:color="auto" w:fill="FFFFFF" w:themeFill="background1"/>
            <w:noWrap/>
            <w:hideMark/>
          </w:tcPr>
          <w:p w:rsidR="00D37AA6" w:rsidRPr="00D37AA6" w:rsidRDefault="00D37AA6" w:rsidP="001A3AC7">
            <w:pPr>
              <w:pStyle w:val="Tabletext"/>
              <w:tabs>
                <w:tab w:val="left" w:pos="284"/>
              </w:tabs>
            </w:pPr>
            <w:r w:rsidRPr="00D37AA6">
              <w:t>36</w:t>
            </w:r>
            <w:r w:rsidR="001A3AC7">
              <w:tab/>
            </w:r>
            <w:r w:rsidRPr="00D37AA6">
              <w:t xml:space="preserve">Skilled </w:t>
            </w:r>
            <w:r w:rsidR="00902A07" w:rsidRPr="00D37AA6">
              <w:t>animal and horticultural workers</w:t>
            </w:r>
          </w:p>
        </w:tc>
        <w:tc>
          <w:tcPr>
            <w:tcW w:w="1270" w:type="dxa"/>
            <w:tcBorders>
              <w:top w:val="nil"/>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1.09</w:t>
            </w:r>
          </w:p>
        </w:tc>
        <w:tc>
          <w:tcPr>
            <w:tcW w:w="1271" w:type="dxa"/>
            <w:tcBorders>
              <w:top w:val="nil"/>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48.3</w:t>
            </w:r>
          </w:p>
        </w:tc>
        <w:tc>
          <w:tcPr>
            <w:tcW w:w="1271" w:type="dxa"/>
            <w:tcBorders>
              <w:top w:val="nil"/>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52.6</w:t>
            </w:r>
          </w:p>
        </w:tc>
      </w:tr>
      <w:tr w:rsidR="00D37AA6" w:rsidRPr="00D37AA6" w:rsidTr="00DE2CFD">
        <w:trPr>
          <w:trHeight w:val="300"/>
        </w:trPr>
        <w:tc>
          <w:tcPr>
            <w:tcW w:w="4693" w:type="dxa"/>
            <w:tcBorders>
              <w:top w:val="nil"/>
              <w:left w:val="nil"/>
              <w:bottom w:val="nil"/>
              <w:right w:val="nil"/>
            </w:tcBorders>
            <w:shd w:val="clear" w:color="auto" w:fill="FFFFFF" w:themeFill="background1"/>
            <w:noWrap/>
            <w:hideMark/>
          </w:tcPr>
          <w:p w:rsidR="00D37AA6" w:rsidRPr="00D37AA6" w:rsidRDefault="00D37AA6" w:rsidP="001A3AC7">
            <w:pPr>
              <w:pStyle w:val="Tabletext"/>
              <w:tabs>
                <w:tab w:val="left" w:pos="284"/>
              </w:tabs>
            </w:pPr>
            <w:r w:rsidRPr="00D37AA6">
              <w:t>39</w:t>
            </w:r>
            <w:r w:rsidR="001A3AC7">
              <w:tab/>
            </w:r>
            <w:r w:rsidRPr="00D37AA6">
              <w:t xml:space="preserve">Other </w:t>
            </w:r>
            <w:r w:rsidR="00902A07" w:rsidRPr="00D37AA6">
              <w:t>technicians and trades workers</w:t>
            </w:r>
          </w:p>
        </w:tc>
        <w:tc>
          <w:tcPr>
            <w:tcW w:w="1270" w:type="dxa"/>
            <w:tcBorders>
              <w:top w:val="nil"/>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1.27</w:t>
            </w:r>
          </w:p>
        </w:tc>
        <w:tc>
          <w:tcPr>
            <w:tcW w:w="1271" w:type="dxa"/>
            <w:tcBorders>
              <w:top w:val="nil"/>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41.3</w:t>
            </w:r>
          </w:p>
        </w:tc>
        <w:tc>
          <w:tcPr>
            <w:tcW w:w="1271" w:type="dxa"/>
            <w:tcBorders>
              <w:top w:val="nil"/>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52.3</w:t>
            </w:r>
          </w:p>
        </w:tc>
      </w:tr>
      <w:tr w:rsidR="00D37AA6" w:rsidRPr="00D37AA6" w:rsidTr="00DE2CFD">
        <w:trPr>
          <w:trHeight w:val="300"/>
        </w:trPr>
        <w:tc>
          <w:tcPr>
            <w:tcW w:w="4693" w:type="dxa"/>
            <w:tcBorders>
              <w:top w:val="nil"/>
              <w:left w:val="nil"/>
              <w:bottom w:val="nil"/>
              <w:right w:val="nil"/>
            </w:tcBorders>
            <w:shd w:val="clear" w:color="auto" w:fill="FFFFFF" w:themeFill="background1"/>
            <w:noWrap/>
            <w:hideMark/>
          </w:tcPr>
          <w:p w:rsidR="00D37AA6" w:rsidRPr="00D37AA6" w:rsidRDefault="001A3AC7" w:rsidP="001A3AC7">
            <w:pPr>
              <w:pStyle w:val="Tabletext"/>
              <w:tabs>
                <w:tab w:val="left" w:pos="652"/>
              </w:tabs>
              <w:ind w:left="284"/>
            </w:pPr>
            <w:r>
              <w:t>391</w:t>
            </w:r>
            <w:r>
              <w:tab/>
            </w:r>
            <w:r w:rsidR="00D37AA6" w:rsidRPr="00D37AA6">
              <w:t>Hairdressers</w:t>
            </w:r>
          </w:p>
        </w:tc>
        <w:tc>
          <w:tcPr>
            <w:tcW w:w="1270" w:type="dxa"/>
            <w:tcBorders>
              <w:top w:val="nil"/>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1.45</w:t>
            </w:r>
          </w:p>
        </w:tc>
        <w:tc>
          <w:tcPr>
            <w:tcW w:w="1271" w:type="dxa"/>
            <w:tcBorders>
              <w:top w:val="nil"/>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36.5</w:t>
            </w:r>
          </w:p>
        </w:tc>
        <w:tc>
          <w:tcPr>
            <w:tcW w:w="1271" w:type="dxa"/>
            <w:tcBorders>
              <w:top w:val="nil"/>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52.8</w:t>
            </w:r>
          </w:p>
        </w:tc>
      </w:tr>
      <w:tr w:rsidR="00D37AA6" w:rsidRPr="00D37AA6" w:rsidTr="00DE2CFD">
        <w:trPr>
          <w:trHeight w:val="300"/>
        </w:trPr>
        <w:tc>
          <w:tcPr>
            <w:tcW w:w="4693" w:type="dxa"/>
            <w:tcBorders>
              <w:top w:val="nil"/>
              <w:left w:val="nil"/>
              <w:bottom w:val="nil"/>
              <w:right w:val="nil"/>
            </w:tcBorders>
            <w:shd w:val="clear" w:color="auto" w:fill="FFFFFF" w:themeFill="background1"/>
            <w:noWrap/>
            <w:hideMark/>
          </w:tcPr>
          <w:p w:rsidR="00D37AA6" w:rsidRPr="00D37AA6" w:rsidRDefault="001A3AC7" w:rsidP="001A3AC7">
            <w:pPr>
              <w:pStyle w:val="Tabletext"/>
              <w:tabs>
                <w:tab w:val="left" w:pos="652"/>
              </w:tabs>
              <w:ind w:left="284"/>
            </w:pPr>
            <w:r>
              <w:t>392</w:t>
            </w:r>
            <w:r>
              <w:tab/>
            </w:r>
            <w:r w:rsidR="00D37AA6" w:rsidRPr="00D37AA6">
              <w:t xml:space="preserve">Printing </w:t>
            </w:r>
            <w:r w:rsidR="00902A07" w:rsidRPr="00D37AA6">
              <w:t>trades workers</w:t>
            </w:r>
          </w:p>
        </w:tc>
        <w:tc>
          <w:tcPr>
            <w:tcW w:w="1270" w:type="dxa"/>
            <w:tcBorders>
              <w:top w:val="nil"/>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1.08</w:t>
            </w:r>
          </w:p>
        </w:tc>
        <w:tc>
          <w:tcPr>
            <w:tcW w:w="1271" w:type="dxa"/>
            <w:tcBorders>
              <w:top w:val="nil"/>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54.1</w:t>
            </w:r>
          </w:p>
        </w:tc>
        <w:tc>
          <w:tcPr>
            <w:tcW w:w="1271" w:type="dxa"/>
            <w:tcBorders>
              <w:top w:val="nil"/>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58.3</w:t>
            </w:r>
          </w:p>
        </w:tc>
      </w:tr>
      <w:tr w:rsidR="00D37AA6" w:rsidRPr="00D37AA6" w:rsidTr="00DE2CFD">
        <w:trPr>
          <w:trHeight w:val="300"/>
        </w:trPr>
        <w:tc>
          <w:tcPr>
            <w:tcW w:w="4693" w:type="dxa"/>
            <w:tcBorders>
              <w:top w:val="nil"/>
              <w:left w:val="nil"/>
              <w:bottom w:val="nil"/>
              <w:right w:val="nil"/>
            </w:tcBorders>
            <w:shd w:val="clear" w:color="auto" w:fill="FFFFFF" w:themeFill="background1"/>
            <w:noWrap/>
            <w:hideMark/>
          </w:tcPr>
          <w:p w:rsidR="00D37AA6" w:rsidRPr="00D37AA6" w:rsidRDefault="001A3AC7" w:rsidP="001A3AC7">
            <w:pPr>
              <w:pStyle w:val="Tabletext"/>
              <w:tabs>
                <w:tab w:val="left" w:pos="652"/>
              </w:tabs>
              <w:ind w:left="284"/>
            </w:pPr>
            <w:r>
              <w:t>393</w:t>
            </w:r>
            <w:r>
              <w:tab/>
            </w:r>
            <w:r w:rsidR="00D37AA6" w:rsidRPr="00D37AA6">
              <w:t xml:space="preserve">Textile, </w:t>
            </w:r>
            <w:r w:rsidR="00902A07" w:rsidRPr="00D37AA6">
              <w:t>clothing and footwear trades workers</w:t>
            </w:r>
          </w:p>
        </w:tc>
        <w:tc>
          <w:tcPr>
            <w:tcW w:w="1270" w:type="dxa"/>
            <w:tcBorders>
              <w:top w:val="nil"/>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1.07</w:t>
            </w:r>
          </w:p>
        </w:tc>
        <w:tc>
          <w:tcPr>
            <w:tcW w:w="1271" w:type="dxa"/>
            <w:tcBorders>
              <w:top w:val="nil"/>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46.5</w:t>
            </w:r>
          </w:p>
        </w:tc>
        <w:tc>
          <w:tcPr>
            <w:tcW w:w="1271" w:type="dxa"/>
            <w:tcBorders>
              <w:top w:val="nil"/>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49.7</w:t>
            </w:r>
          </w:p>
        </w:tc>
      </w:tr>
      <w:tr w:rsidR="00D37AA6" w:rsidRPr="00D37AA6" w:rsidTr="00DE2CFD">
        <w:trPr>
          <w:trHeight w:val="300"/>
        </w:trPr>
        <w:tc>
          <w:tcPr>
            <w:tcW w:w="4693" w:type="dxa"/>
            <w:tcBorders>
              <w:top w:val="nil"/>
              <w:left w:val="nil"/>
              <w:bottom w:val="nil"/>
              <w:right w:val="nil"/>
            </w:tcBorders>
            <w:shd w:val="clear" w:color="auto" w:fill="FFFFFF" w:themeFill="background1"/>
            <w:noWrap/>
            <w:hideMark/>
          </w:tcPr>
          <w:p w:rsidR="00D37AA6" w:rsidRPr="00D37AA6" w:rsidRDefault="001A3AC7" w:rsidP="001A3AC7">
            <w:pPr>
              <w:pStyle w:val="Tabletext"/>
              <w:tabs>
                <w:tab w:val="left" w:pos="652"/>
              </w:tabs>
              <w:ind w:left="284"/>
            </w:pPr>
            <w:r>
              <w:t>394</w:t>
            </w:r>
            <w:r>
              <w:tab/>
            </w:r>
            <w:r w:rsidR="00D37AA6" w:rsidRPr="00D37AA6">
              <w:t xml:space="preserve">Wood </w:t>
            </w:r>
            <w:r w:rsidR="00902A07" w:rsidRPr="00D37AA6">
              <w:t>trades workers</w:t>
            </w:r>
          </w:p>
        </w:tc>
        <w:tc>
          <w:tcPr>
            <w:tcW w:w="1270" w:type="dxa"/>
            <w:tcBorders>
              <w:top w:val="nil"/>
              <w:left w:val="nil"/>
              <w:bottom w:val="nil"/>
              <w:right w:val="nil"/>
            </w:tcBorders>
            <w:shd w:val="clear" w:color="auto" w:fill="FFFFFF" w:themeFill="background1"/>
            <w:noWrap/>
            <w:hideMark/>
          </w:tcPr>
          <w:p w:rsidR="00D37AA6" w:rsidRPr="00D37AA6" w:rsidRDefault="00D37AA6" w:rsidP="00DE2CFD">
            <w:pPr>
              <w:pStyle w:val="Tabletext"/>
              <w:tabs>
                <w:tab w:val="decimal" w:pos="454"/>
              </w:tabs>
              <w:rPr>
                <w:color w:val="000000"/>
              </w:rPr>
            </w:pPr>
            <w:r w:rsidRPr="00D37AA6">
              <w:rPr>
                <w:color w:val="000000"/>
              </w:rPr>
              <w:t>1.20</w:t>
            </w:r>
          </w:p>
        </w:tc>
        <w:tc>
          <w:tcPr>
            <w:tcW w:w="1271" w:type="dxa"/>
            <w:tcBorders>
              <w:top w:val="nil"/>
              <w:left w:val="nil"/>
              <w:bottom w:val="nil"/>
              <w:right w:val="nil"/>
            </w:tcBorders>
            <w:shd w:val="clear" w:color="auto" w:fill="FFFFFF" w:themeFill="background1"/>
            <w:hideMark/>
          </w:tcPr>
          <w:p w:rsidR="00D37AA6" w:rsidRPr="00D37AA6" w:rsidRDefault="00D37AA6" w:rsidP="00032FF9">
            <w:pPr>
              <w:pStyle w:val="Tabletext"/>
              <w:tabs>
                <w:tab w:val="decimal" w:pos="510"/>
              </w:tabs>
              <w:rPr>
                <w:color w:val="000000"/>
              </w:rPr>
            </w:pPr>
            <w:r w:rsidRPr="00D37AA6">
              <w:rPr>
                <w:color w:val="000000"/>
              </w:rPr>
              <w:t>45.3</w:t>
            </w:r>
          </w:p>
        </w:tc>
        <w:tc>
          <w:tcPr>
            <w:tcW w:w="1271" w:type="dxa"/>
            <w:tcBorders>
              <w:top w:val="nil"/>
              <w:left w:val="nil"/>
              <w:bottom w:val="nil"/>
              <w:right w:val="nil"/>
            </w:tcBorders>
            <w:shd w:val="clear" w:color="auto" w:fill="FFFFFF" w:themeFill="background1"/>
            <w:noWrap/>
            <w:hideMark/>
          </w:tcPr>
          <w:p w:rsidR="00D37AA6" w:rsidRPr="00D37AA6" w:rsidRDefault="00D37AA6" w:rsidP="00032FF9">
            <w:pPr>
              <w:pStyle w:val="Tabletext"/>
              <w:tabs>
                <w:tab w:val="decimal" w:pos="510"/>
              </w:tabs>
              <w:rPr>
                <w:color w:val="000000"/>
              </w:rPr>
            </w:pPr>
            <w:r w:rsidRPr="00D37AA6">
              <w:rPr>
                <w:color w:val="000000"/>
              </w:rPr>
              <w:t>54.4</w:t>
            </w:r>
          </w:p>
        </w:tc>
      </w:tr>
      <w:tr w:rsidR="00D37AA6" w:rsidRPr="00D37AA6" w:rsidTr="00DE2CFD">
        <w:trPr>
          <w:trHeight w:val="315"/>
        </w:trPr>
        <w:tc>
          <w:tcPr>
            <w:tcW w:w="4693" w:type="dxa"/>
            <w:tcBorders>
              <w:top w:val="nil"/>
              <w:left w:val="nil"/>
              <w:right w:val="nil"/>
            </w:tcBorders>
            <w:shd w:val="clear" w:color="auto" w:fill="auto"/>
            <w:noWrap/>
            <w:hideMark/>
          </w:tcPr>
          <w:p w:rsidR="00D37AA6" w:rsidRPr="00D37AA6" w:rsidRDefault="001A3AC7" w:rsidP="001A3AC7">
            <w:pPr>
              <w:pStyle w:val="Tabletext"/>
              <w:tabs>
                <w:tab w:val="left" w:pos="652"/>
              </w:tabs>
              <w:ind w:left="284"/>
            </w:pPr>
            <w:r>
              <w:t>399</w:t>
            </w:r>
            <w:r>
              <w:tab/>
            </w:r>
            <w:r w:rsidR="00D37AA6" w:rsidRPr="00D37AA6">
              <w:t xml:space="preserve">Miscellaneous </w:t>
            </w:r>
            <w:r w:rsidR="00902A07" w:rsidRPr="00D37AA6">
              <w:t>technicians and trades workers</w:t>
            </w:r>
          </w:p>
        </w:tc>
        <w:tc>
          <w:tcPr>
            <w:tcW w:w="1270" w:type="dxa"/>
            <w:tcBorders>
              <w:top w:val="nil"/>
              <w:left w:val="nil"/>
              <w:right w:val="nil"/>
            </w:tcBorders>
            <w:shd w:val="clear" w:color="auto" w:fill="auto"/>
            <w:noWrap/>
            <w:hideMark/>
          </w:tcPr>
          <w:p w:rsidR="00D37AA6" w:rsidRPr="00D37AA6" w:rsidRDefault="00D37AA6" w:rsidP="00DE2CFD">
            <w:pPr>
              <w:pStyle w:val="Tabletext"/>
              <w:tabs>
                <w:tab w:val="decimal" w:pos="454"/>
              </w:tabs>
              <w:rPr>
                <w:color w:val="000000"/>
              </w:rPr>
            </w:pPr>
            <w:r w:rsidRPr="00D37AA6">
              <w:rPr>
                <w:color w:val="000000"/>
              </w:rPr>
              <w:t>1.05</w:t>
            </w:r>
          </w:p>
        </w:tc>
        <w:tc>
          <w:tcPr>
            <w:tcW w:w="1271" w:type="dxa"/>
            <w:tcBorders>
              <w:top w:val="nil"/>
              <w:left w:val="nil"/>
              <w:right w:val="nil"/>
            </w:tcBorders>
            <w:shd w:val="clear" w:color="auto" w:fill="auto"/>
            <w:hideMark/>
          </w:tcPr>
          <w:p w:rsidR="00D37AA6" w:rsidRPr="00D37AA6" w:rsidRDefault="00D37AA6" w:rsidP="00032FF9">
            <w:pPr>
              <w:pStyle w:val="Tabletext"/>
              <w:tabs>
                <w:tab w:val="decimal" w:pos="510"/>
              </w:tabs>
              <w:rPr>
                <w:color w:val="000000"/>
              </w:rPr>
            </w:pPr>
            <w:r w:rsidRPr="00D37AA6">
              <w:rPr>
                <w:color w:val="000000"/>
              </w:rPr>
              <w:t>52.2</w:t>
            </w:r>
          </w:p>
        </w:tc>
        <w:tc>
          <w:tcPr>
            <w:tcW w:w="1271" w:type="dxa"/>
            <w:tcBorders>
              <w:top w:val="nil"/>
              <w:left w:val="nil"/>
              <w:right w:val="nil"/>
            </w:tcBorders>
            <w:shd w:val="clear" w:color="auto" w:fill="auto"/>
            <w:noWrap/>
            <w:hideMark/>
          </w:tcPr>
          <w:p w:rsidR="00D37AA6" w:rsidRPr="00D37AA6" w:rsidRDefault="00D37AA6" w:rsidP="00032FF9">
            <w:pPr>
              <w:pStyle w:val="Tabletext"/>
              <w:tabs>
                <w:tab w:val="decimal" w:pos="510"/>
              </w:tabs>
              <w:rPr>
                <w:color w:val="000000"/>
              </w:rPr>
            </w:pPr>
            <w:r w:rsidRPr="00D37AA6">
              <w:rPr>
                <w:color w:val="000000"/>
              </w:rPr>
              <w:t>55.0</w:t>
            </w:r>
          </w:p>
        </w:tc>
      </w:tr>
      <w:tr w:rsidR="00D37AA6" w:rsidRPr="001A3AC7" w:rsidTr="00DE2CFD">
        <w:trPr>
          <w:trHeight w:val="300"/>
        </w:trPr>
        <w:tc>
          <w:tcPr>
            <w:tcW w:w="4693" w:type="dxa"/>
            <w:tcBorders>
              <w:top w:val="nil"/>
              <w:left w:val="nil"/>
              <w:bottom w:val="single" w:sz="8" w:space="0" w:color="auto"/>
              <w:right w:val="nil"/>
            </w:tcBorders>
            <w:shd w:val="clear" w:color="000000" w:fill="FFFFFF"/>
            <w:noWrap/>
            <w:hideMark/>
          </w:tcPr>
          <w:p w:rsidR="00D37AA6" w:rsidRPr="001A3AC7" w:rsidRDefault="001A3AC7" w:rsidP="001A3AC7">
            <w:pPr>
              <w:pStyle w:val="Tabletext"/>
              <w:tabs>
                <w:tab w:val="left" w:pos="284"/>
              </w:tabs>
              <w:spacing w:after="40"/>
              <w:rPr>
                <w:b/>
              </w:rPr>
            </w:pPr>
            <w:r w:rsidRPr="001A3AC7">
              <w:rPr>
                <w:b/>
              </w:rPr>
              <w:t>3</w:t>
            </w:r>
            <w:r w:rsidRPr="001A3AC7">
              <w:rPr>
                <w:b/>
              </w:rPr>
              <w:tab/>
            </w:r>
            <w:r w:rsidR="00D37AA6" w:rsidRPr="001A3AC7">
              <w:rPr>
                <w:b/>
              </w:rPr>
              <w:t xml:space="preserve">Technicians and </w:t>
            </w:r>
            <w:r w:rsidR="00902A07" w:rsidRPr="001A3AC7">
              <w:rPr>
                <w:b/>
              </w:rPr>
              <w:t>trades workers</w:t>
            </w:r>
          </w:p>
        </w:tc>
        <w:tc>
          <w:tcPr>
            <w:tcW w:w="1270" w:type="dxa"/>
            <w:tcBorders>
              <w:top w:val="nil"/>
              <w:left w:val="nil"/>
              <w:bottom w:val="single" w:sz="8" w:space="0" w:color="auto"/>
              <w:right w:val="nil"/>
            </w:tcBorders>
            <w:shd w:val="clear" w:color="auto" w:fill="auto"/>
            <w:noWrap/>
            <w:hideMark/>
          </w:tcPr>
          <w:p w:rsidR="00D37AA6" w:rsidRPr="001A3AC7" w:rsidRDefault="00D37AA6" w:rsidP="00032FF9">
            <w:pPr>
              <w:pStyle w:val="Tabletext"/>
              <w:tabs>
                <w:tab w:val="decimal" w:pos="454"/>
              </w:tabs>
              <w:spacing w:after="40"/>
              <w:rPr>
                <w:b/>
                <w:color w:val="000000"/>
              </w:rPr>
            </w:pPr>
            <w:r w:rsidRPr="001A3AC7">
              <w:rPr>
                <w:b/>
                <w:color w:val="000000"/>
              </w:rPr>
              <w:t>1.24</w:t>
            </w:r>
          </w:p>
        </w:tc>
        <w:tc>
          <w:tcPr>
            <w:tcW w:w="1271" w:type="dxa"/>
            <w:tcBorders>
              <w:top w:val="nil"/>
              <w:left w:val="nil"/>
              <w:bottom w:val="single" w:sz="8" w:space="0" w:color="auto"/>
              <w:right w:val="nil"/>
            </w:tcBorders>
            <w:shd w:val="clear" w:color="auto" w:fill="auto"/>
            <w:hideMark/>
          </w:tcPr>
          <w:p w:rsidR="00D37AA6" w:rsidRPr="001A3AC7" w:rsidRDefault="00D37AA6" w:rsidP="00032FF9">
            <w:pPr>
              <w:pStyle w:val="Tabletext"/>
              <w:tabs>
                <w:tab w:val="decimal" w:pos="510"/>
              </w:tabs>
              <w:spacing w:after="40"/>
              <w:rPr>
                <w:b/>
                <w:color w:val="000000"/>
              </w:rPr>
            </w:pPr>
            <w:r w:rsidRPr="001A3AC7">
              <w:rPr>
                <w:b/>
                <w:color w:val="000000"/>
              </w:rPr>
              <w:t>45.6</w:t>
            </w:r>
          </w:p>
        </w:tc>
        <w:tc>
          <w:tcPr>
            <w:tcW w:w="1271" w:type="dxa"/>
            <w:tcBorders>
              <w:top w:val="nil"/>
              <w:left w:val="nil"/>
              <w:bottom w:val="single" w:sz="8" w:space="0" w:color="auto"/>
              <w:right w:val="nil"/>
            </w:tcBorders>
            <w:shd w:val="clear" w:color="auto" w:fill="auto"/>
            <w:noWrap/>
            <w:hideMark/>
          </w:tcPr>
          <w:p w:rsidR="00D37AA6" w:rsidRPr="001A3AC7" w:rsidRDefault="00D37AA6" w:rsidP="00032FF9">
            <w:pPr>
              <w:pStyle w:val="Tabletext"/>
              <w:tabs>
                <w:tab w:val="decimal" w:pos="510"/>
              </w:tabs>
              <w:spacing w:after="40"/>
              <w:rPr>
                <w:b/>
                <w:color w:val="000000"/>
              </w:rPr>
            </w:pPr>
            <w:r w:rsidRPr="001A3AC7">
              <w:rPr>
                <w:b/>
                <w:color w:val="000000"/>
              </w:rPr>
              <w:t>56.6</w:t>
            </w:r>
          </w:p>
        </w:tc>
      </w:tr>
    </w:tbl>
    <w:p w:rsidR="00C14AD0" w:rsidRPr="00D23EBA" w:rsidRDefault="00D37AA6" w:rsidP="00032FF9">
      <w:pPr>
        <w:pStyle w:val="Text"/>
        <w:spacing w:before="360"/>
        <w:rPr>
          <w:szCs w:val="16"/>
        </w:rPr>
      </w:pPr>
      <w:r w:rsidRPr="00D23EBA">
        <w:t xml:space="preserve">We see that the individual completion rates are on average around a quarter higher than the contract </w:t>
      </w:r>
      <w:r w:rsidR="00D23EBA" w:rsidRPr="00D23EBA">
        <w:t>completion</w:t>
      </w:r>
      <w:r w:rsidRPr="00D23EBA">
        <w:t xml:space="preserve"> rates, with co</w:t>
      </w:r>
      <w:r w:rsidR="00902A07">
        <w:t>nsiderable variation by trade. T</w:t>
      </w:r>
      <w:r w:rsidRPr="00D23EBA">
        <w:t>he largest adjustments are for hairdressing and the food trades, both of which have extremely low contract completion rates. Clearly, there is considerable employer churn going on</w:t>
      </w:r>
      <w:r w:rsidR="00321F9E">
        <w:t xml:space="preserve"> in</w:t>
      </w:r>
      <w:r w:rsidRPr="00D23EBA">
        <w:t xml:space="preserve"> these occupations.</w:t>
      </w:r>
      <w:r w:rsidR="00C14AD0" w:rsidRPr="00D23EBA">
        <w:t xml:space="preserve"> The adjustment is smallest for </w:t>
      </w:r>
      <w:r w:rsidR="00D23EBA">
        <w:rPr>
          <w:szCs w:val="16"/>
        </w:rPr>
        <w:t>en</w:t>
      </w:r>
      <w:r w:rsidR="00C14AD0" w:rsidRPr="00D23EBA">
        <w:rPr>
          <w:szCs w:val="16"/>
        </w:rPr>
        <w:t xml:space="preserve">gineering, ICT and </w:t>
      </w:r>
      <w:r w:rsidR="00D23EBA">
        <w:rPr>
          <w:szCs w:val="16"/>
        </w:rPr>
        <w:t>s</w:t>
      </w:r>
      <w:r w:rsidR="00D2741E">
        <w:rPr>
          <w:szCs w:val="16"/>
        </w:rPr>
        <w:t>cience t</w:t>
      </w:r>
      <w:r w:rsidR="00C14AD0" w:rsidRPr="00D23EBA">
        <w:rPr>
          <w:szCs w:val="16"/>
        </w:rPr>
        <w:t>echnicians</w:t>
      </w:r>
      <w:r w:rsidR="00D2741E">
        <w:rPr>
          <w:szCs w:val="16"/>
        </w:rPr>
        <w:t>,</w:t>
      </w:r>
      <w:r w:rsidR="00C14AD0" w:rsidRPr="00D23EBA">
        <w:rPr>
          <w:szCs w:val="16"/>
        </w:rPr>
        <w:t xml:space="preserve"> which in fact has the highest contract </w:t>
      </w:r>
      <w:r w:rsidR="00D23EBA" w:rsidRPr="00D23EBA">
        <w:rPr>
          <w:szCs w:val="16"/>
        </w:rPr>
        <w:t>completion</w:t>
      </w:r>
      <w:r w:rsidR="00C14AD0" w:rsidRPr="00D23EBA">
        <w:rPr>
          <w:szCs w:val="16"/>
        </w:rPr>
        <w:t xml:space="preserve"> rate. However, when calculated for individuals</w:t>
      </w:r>
      <w:r w:rsidR="00321F9E">
        <w:rPr>
          <w:szCs w:val="16"/>
        </w:rPr>
        <w:t>,</w:t>
      </w:r>
      <w:r w:rsidR="00C14AD0" w:rsidRPr="00D23EBA">
        <w:rPr>
          <w:szCs w:val="16"/>
        </w:rPr>
        <w:t xml:space="preserve"> it loses this position to the </w:t>
      </w:r>
      <w:proofErr w:type="spellStart"/>
      <w:r w:rsidR="00D23EBA">
        <w:rPr>
          <w:szCs w:val="16"/>
        </w:rPr>
        <w:t>electrotechnology</w:t>
      </w:r>
      <w:proofErr w:type="spellEnd"/>
      <w:r w:rsidR="00D23EBA">
        <w:rPr>
          <w:szCs w:val="16"/>
        </w:rPr>
        <w:t xml:space="preserve"> and telecommunications trades w</w:t>
      </w:r>
      <w:r w:rsidR="00C14AD0" w:rsidRPr="00D23EBA">
        <w:rPr>
          <w:szCs w:val="16"/>
        </w:rPr>
        <w:t>orkers.</w:t>
      </w:r>
    </w:p>
    <w:p w:rsidR="00C14AD0" w:rsidRPr="00C14AD0" w:rsidRDefault="00C14AD0" w:rsidP="00C14AD0">
      <w:pPr>
        <w:pStyle w:val="Text"/>
      </w:pPr>
      <w:r>
        <w:t>The spread of completion rates is much narrower when calculated for individuals rather than contracts of training. At the contract level they range from 27.7% (food trades)</w:t>
      </w:r>
      <w:r w:rsidR="00321F9E">
        <w:t>,</w:t>
      </w:r>
      <w:r>
        <w:t xml:space="preserve"> to 60.8% (engineering, ICT and science technicians)</w:t>
      </w:r>
      <w:r w:rsidR="00D2741E">
        <w:t>,</w:t>
      </w:r>
      <w:r>
        <w:t xml:space="preserve"> while at the individual level the range is from 39.2% (food trades) to </w:t>
      </w:r>
      <w:r w:rsidR="00D2741E">
        <w:t>64.2% (</w:t>
      </w:r>
      <w:proofErr w:type="spellStart"/>
      <w:r>
        <w:t>electrotechnology</w:t>
      </w:r>
      <w:proofErr w:type="spellEnd"/>
      <w:r>
        <w:t xml:space="preserve"> and </w:t>
      </w:r>
      <w:r w:rsidR="00D23EBA">
        <w:t>telecommunications</w:t>
      </w:r>
      <w:r>
        <w:t xml:space="preserve"> </w:t>
      </w:r>
      <w:r w:rsidR="00D23EBA">
        <w:t>trades</w:t>
      </w:r>
      <w:r w:rsidR="00D2741E">
        <w:t>).</w:t>
      </w:r>
      <w:r>
        <w:t xml:space="preserve"> </w:t>
      </w:r>
    </w:p>
    <w:p w:rsidR="007106BC" w:rsidRDefault="00C14AD0" w:rsidP="00C14AD0">
      <w:pPr>
        <w:pStyle w:val="Heading2"/>
      </w:pPr>
      <w:bookmarkStart w:id="18" w:name="_Toc287454605"/>
      <w:r>
        <w:t>Conclusion</w:t>
      </w:r>
      <w:bookmarkEnd w:id="18"/>
      <w:r w:rsidR="007106BC">
        <w:t xml:space="preserve"> </w:t>
      </w:r>
    </w:p>
    <w:p w:rsidR="00C14AD0" w:rsidRPr="00C14AD0" w:rsidRDefault="00C14AD0" w:rsidP="00C14AD0">
      <w:pPr>
        <w:pStyle w:val="Text"/>
      </w:pPr>
      <w:r>
        <w:t xml:space="preserve">NCVER estimates </w:t>
      </w:r>
      <w:r w:rsidR="00D23EBA">
        <w:t xml:space="preserve">of apprenticeship and traineeship completion rates </w:t>
      </w:r>
      <w:r>
        <w:t>have been criticise</w:t>
      </w:r>
      <w:r w:rsidR="00D23EBA">
        <w:t>d</w:t>
      </w:r>
      <w:r>
        <w:t xml:space="preserve"> as being ‘too low’ for the trades</w:t>
      </w:r>
      <w:r w:rsidR="00D23EBA">
        <w:t>.</w:t>
      </w:r>
      <w:r>
        <w:t xml:space="preserve"> </w:t>
      </w:r>
      <w:r w:rsidR="00D23EBA">
        <w:t>T</w:t>
      </w:r>
      <w:r>
        <w:t xml:space="preserve">here has been a view that it makes more sense to </w:t>
      </w:r>
      <w:r w:rsidR="00D23EBA">
        <w:t>calculate</w:t>
      </w:r>
      <w:r>
        <w:t xml:space="preserve"> for an individual, who may change employers during the </w:t>
      </w:r>
      <w:r w:rsidR="00D23EBA">
        <w:t>apprenticeship</w:t>
      </w:r>
      <w:r>
        <w:t xml:space="preserve"> or traineeship. </w:t>
      </w:r>
      <w:r w:rsidR="00D23EBA">
        <w:t xml:space="preserve">The apprenticeship and traineeship data collection does not allow this because of the difficulty of tracking individuals rather than contracts of training. </w:t>
      </w:r>
      <w:r>
        <w:t>However, a</w:t>
      </w:r>
      <w:r w:rsidR="00D2741E">
        <w:t>nalysis of recommencement data—</w:t>
      </w:r>
      <w:r>
        <w:t xml:space="preserve">dependent as they are on </w:t>
      </w:r>
      <w:r w:rsidR="00D23EBA">
        <w:t>jurisdiction</w:t>
      </w:r>
      <w:r>
        <w:t xml:space="preserve"> administrative process</w:t>
      </w:r>
      <w:r w:rsidR="00D2741E">
        <w:t>es—</w:t>
      </w:r>
      <w:r>
        <w:t>allow</w:t>
      </w:r>
      <w:r w:rsidR="008E3CE0">
        <w:t>s</w:t>
      </w:r>
      <w:r>
        <w:t xml:space="preserve"> us to adjust estimates of contract </w:t>
      </w:r>
      <w:r w:rsidR="00D23EBA">
        <w:t>completion</w:t>
      </w:r>
      <w:r>
        <w:t xml:space="preserve"> rates to provide estimates of individual </w:t>
      </w:r>
      <w:r w:rsidR="00D23EBA">
        <w:t>completion</w:t>
      </w:r>
      <w:r>
        <w:t xml:space="preserve"> rates. These adjustments are of some substance in a number of the trades, although the trade most affected (food trades) still has </w:t>
      </w:r>
      <w:r w:rsidR="00321F9E">
        <w:t>the</w:t>
      </w:r>
      <w:r>
        <w:t xml:space="preserve"> relatively low rate of completion</w:t>
      </w:r>
      <w:r w:rsidR="00321F9E">
        <w:t>,</w:t>
      </w:r>
      <w:r>
        <w:t xml:space="preserve"> </w:t>
      </w:r>
      <w:r w:rsidR="008E3CE0">
        <w:t xml:space="preserve">of </w:t>
      </w:r>
      <w:r>
        <w:t xml:space="preserve">just under 40% when </w:t>
      </w:r>
      <w:r w:rsidR="00D23EBA">
        <w:t>calculated</w:t>
      </w:r>
      <w:r>
        <w:t xml:space="preserve"> for an individual.</w:t>
      </w:r>
    </w:p>
    <w:p w:rsidR="007106BC" w:rsidRDefault="007106BC" w:rsidP="00D23EBA">
      <w:pPr>
        <w:pStyle w:val="Heading1"/>
      </w:pPr>
      <w:r>
        <w:br w:type="page"/>
      </w:r>
      <w:bookmarkStart w:id="19" w:name="_Toc456000800"/>
      <w:bookmarkStart w:id="20" w:name="_Toc457122465"/>
      <w:r>
        <w:lastRenderedPageBreak/>
        <w:br/>
      </w:r>
      <w:r>
        <w:br/>
      </w:r>
      <w:bookmarkStart w:id="21" w:name="_Toc287454606"/>
      <w:r>
        <w:t>References</w:t>
      </w:r>
      <w:bookmarkEnd w:id="19"/>
      <w:bookmarkEnd w:id="20"/>
      <w:bookmarkEnd w:id="21"/>
    </w:p>
    <w:p w:rsidR="00294C6E" w:rsidRPr="008E3CE0" w:rsidRDefault="00294C6E" w:rsidP="00032FF9">
      <w:pPr>
        <w:pStyle w:val="References"/>
        <w:spacing w:before="440"/>
      </w:pPr>
      <w:r w:rsidRPr="00294C6E">
        <w:t xml:space="preserve">NCVER </w:t>
      </w:r>
      <w:r w:rsidR="008E3CE0">
        <w:t xml:space="preserve">(National Centre for Vocational Education Research) </w:t>
      </w:r>
      <w:r w:rsidRPr="00294C6E">
        <w:t>2010</w:t>
      </w:r>
      <w:r w:rsidR="000A0EF3" w:rsidRPr="00294C6E">
        <w:t>a</w:t>
      </w:r>
      <w:r w:rsidR="008E3CE0">
        <w:t>,</w:t>
      </w:r>
      <w:r w:rsidRPr="00294C6E">
        <w:t xml:space="preserve"> </w:t>
      </w:r>
      <w:r w:rsidRPr="00294C6E">
        <w:rPr>
          <w:i/>
        </w:rPr>
        <w:t xml:space="preserve">Australian vocational education and training statistics: apprentices and trainees, </w:t>
      </w:r>
      <w:r w:rsidRPr="00294C6E">
        <w:rPr>
          <w:i/>
          <w:szCs w:val="36"/>
        </w:rPr>
        <w:t xml:space="preserve">annual, </w:t>
      </w:r>
      <w:r w:rsidRPr="00294C6E">
        <w:rPr>
          <w:i/>
        </w:rPr>
        <w:t>2009</w:t>
      </w:r>
      <w:r w:rsidR="008E3CE0">
        <w:t>, NCVER, Adelaide.</w:t>
      </w:r>
    </w:p>
    <w:p w:rsidR="00294C6E" w:rsidRPr="00294C6E" w:rsidRDefault="008E3CE0" w:rsidP="00294C6E">
      <w:pPr>
        <w:pStyle w:val="References"/>
      </w:pPr>
      <w:r>
        <w:t>——</w:t>
      </w:r>
      <w:r w:rsidR="00294C6E">
        <w:t xml:space="preserve">2010b, </w:t>
      </w:r>
      <w:r w:rsidR="00294C6E" w:rsidRPr="00294C6E">
        <w:rPr>
          <w:i/>
        </w:rPr>
        <w:t>Australian vocational educ</w:t>
      </w:r>
      <w:r w:rsidR="00032FF9">
        <w:rPr>
          <w:i/>
        </w:rPr>
        <w:t>ation and training statistics: e</w:t>
      </w:r>
      <w:r w:rsidR="00294C6E" w:rsidRPr="00294C6E">
        <w:rPr>
          <w:i/>
        </w:rPr>
        <w:t>xperimental completion and attrition rates for latest commencing apprentices and trainees</w:t>
      </w:r>
      <w:r>
        <w:rPr>
          <w:i/>
        </w:rPr>
        <w:t>,</w:t>
      </w:r>
      <w:r w:rsidR="00294C6E" w:rsidRPr="00294C6E">
        <w:t xml:space="preserve"> </w:t>
      </w:r>
      <w:r>
        <w:t>NCVER, Adelaide.</w:t>
      </w:r>
    </w:p>
    <w:sectPr w:rsidR="00294C6E" w:rsidRPr="00294C6E" w:rsidSect="00DE4D56">
      <w:footerReference w:type="even" r:id="rId12"/>
      <w:footerReference w:type="default" r:id="rId13"/>
      <w:pgSz w:w="11899" w:h="16838" w:code="9"/>
      <w:pgMar w:top="1418" w:right="1985"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A33" w:rsidRDefault="008E4A33">
      <w:r>
        <w:separator/>
      </w:r>
    </w:p>
  </w:endnote>
  <w:endnote w:type="continuationSeparator" w:id="0">
    <w:p w:rsidR="008E4A33" w:rsidRDefault="008E4A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167182AD-9374-4F93-B68F-1888CB03B58B}"/>
    <w:embedBold r:id="rId2" w:fontKey="{E424F5A7-F2C1-4FB7-8545-0479DD8952D7}"/>
    <w:embedItalic r:id="rId3" w:fontKey="{287283DB-AED4-44D3-B612-2291E57988E4}"/>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CE938888-E3CB-4176-B122-64B67FF17E2A}"/>
  </w:font>
  <w:font w:name="Calibri">
    <w:panose1 w:val="020F0502020204030204"/>
    <w:charset w:val="00"/>
    <w:family w:val="swiss"/>
    <w:pitch w:val="variable"/>
    <w:sig w:usb0="A00002EF" w:usb1="4000207B" w:usb2="00000000" w:usb3="00000000" w:csb0="0000009F" w:csb1="00000000"/>
    <w:embedRegular r:id="rId5" w:fontKey="{06507E71-D6EC-41D7-A22C-B7B69DCE52BA}"/>
  </w:font>
  <w:font w:name="Helvetica">
    <w:panose1 w:val="020B0504020202020204"/>
    <w:charset w:val="00"/>
    <w:family w:val="swiss"/>
    <w:notTrueType/>
    <w:pitch w:val="variable"/>
    <w:sig w:usb0="00000003" w:usb1="00000000" w:usb2="00000000" w:usb3="00000000" w:csb0="00000001" w:csb1="00000000"/>
  </w:font>
  <w:font w:name="GillSans Light">
    <w:panose1 w:val="00000000000000000000"/>
    <w:charset w:val="00"/>
    <w:family w:val="swiss"/>
    <w:notTrueType/>
    <w:pitch w:val="variable"/>
    <w:sig w:usb0="00000003" w:usb1="00000000" w:usb2="00000000" w:usb3="00000000" w:csb0="00000001" w:csb1="00000000"/>
  </w:font>
  <w:font w:name="Avant Garde">
    <w:altName w:val="Century Gothic"/>
    <w:charset w:val="00"/>
    <w:family w:val="swiss"/>
    <w:pitch w:val="variable"/>
    <w:sig w:usb0="00007A87" w:usb1="80000000" w:usb2="00000008" w:usb3="00000000" w:csb0="000000FF" w:csb1="00000000"/>
  </w:font>
  <w:font w:name="Cambria">
    <w:panose1 w:val="02040503050406030204"/>
    <w:charset w:val="00"/>
    <w:family w:val="roman"/>
    <w:pitch w:val="variable"/>
    <w:sig w:usb0="A00002EF" w:usb1="4000004B" w:usb2="00000000" w:usb3="00000000" w:csb0="0000009F" w:csb1="00000000"/>
    <w:embedRegular r:id="rId6" w:fontKey="{901E2CF3-BFEC-4383-8307-FFAA173457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A33" w:rsidRDefault="008E4A33" w:rsidP="00395275">
    <w:pPr>
      <w:pStyle w:val="Footer"/>
    </w:pPr>
  </w:p>
  <w:p w:rsidR="008E4A33" w:rsidRPr="00395275" w:rsidRDefault="008E4A33" w:rsidP="00395275">
    <w:pPr>
      <w:pStyle w:val="Footer"/>
      <w:pBdr>
        <w:top w:val="single" w:sz="4" w:space="1" w:color="auto"/>
      </w:pBdr>
    </w:pPr>
    <w:fldSimple w:instr=" PAGE   \* MERGEFORMAT ">
      <w:r w:rsidR="0018799E">
        <w:rPr>
          <w:noProof/>
        </w:rPr>
        <w:t>10</w:t>
      </w:r>
    </w:fldSimple>
    <w:r>
      <w:tab/>
      <w:t>Individual-based completion rates for apprentices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A33" w:rsidRDefault="008E4A33" w:rsidP="00395275">
    <w:pPr>
      <w:pStyle w:val="Footer"/>
    </w:pPr>
  </w:p>
  <w:p w:rsidR="008E4A33" w:rsidRPr="00395275" w:rsidRDefault="008E4A33" w:rsidP="00395275">
    <w:pPr>
      <w:pStyle w:val="Footer"/>
      <w:pBdr>
        <w:top w:val="single" w:sz="4" w:space="1" w:color="auto"/>
      </w:pBdr>
    </w:pPr>
    <w:r>
      <w:t>NCVER</w:t>
    </w:r>
    <w:r>
      <w:tab/>
    </w:r>
    <w:fldSimple w:instr=" PAGE   \* MERGEFORMAT ">
      <w:r w:rsidR="0018799E">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A33" w:rsidRDefault="008E4A33">
      <w:r>
        <w:separator/>
      </w:r>
    </w:p>
  </w:footnote>
  <w:footnote w:type="continuationSeparator" w:id="0">
    <w:p w:rsidR="008E4A33" w:rsidRDefault="008E4A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9C6FE8"/>
    <w:lvl w:ilvl="0">
      <w:start w:val="1"/>
      <w:numFmt w:val="decimal"/>
      <w:lvlText w:val="%1."/>
      <w:lvlJc w:val="left"/>
      <w:pPr>
        <w:tabs>
          <w:tab w:val="num" w:pos="1492"/>
        </w:tabs>
        <w:ind w:left="1492" w:hanging="360"/>
      </w:pPr>
    </w:lvl>
  </w:abstractNum>
  <w:abstractNum w:abstractNumId="1">
    <w:nsid w:val="FFFFFF7D"/>
    <w:multiLevelType w:val="singleLevel"/>
    <w:tmpl w:val="CABAB7A6"/>
    <w:lvl w:ilvl="0">
      <w:start w:val="1"/>
      <w:numFmt w:val="decimal"/>
      <w:lvlText w:val="%1."/>
      <w:lvlJc w:val="left"/>
      <w:pPr>
        <w:tabs>
          <w:tab w:val="num" w:pos="1209"/>
        </w:tabs>
        <w:ind w:left="1209" w:hanging="360"/>
      </w:pPr>
    </w:lvl>
  </w:abstractNum>
  <w:abstractNum w:abstractNumId="2">
    <w:nsid w:val="FFFFFF7E"/>
    <w:multiLevelType w:val="singleLevel"/>
    <w:tmpl w:val="7C727FF0"/>
    <w:lvl w:ilvl="0">
      <w:start w:val="1"/>
      <w:numFmt w:val="decimal"/>
      <w:lvlText w:val="%1."/>
      <w:lvlJc w:val="left"/>
      <w:pPr>
        <w:tabs>
          <w:tab w:val="num" w:pos="926"/>
        </w:tabs>
        <w:ind w:left="926" w:hanging="360"/>
      </w:pPr>
    </w:lvl>
  </w:abstractNum>
  <w:abstractNum w:abstractNumId="3">
    <w:nsid w:val="FFFFFF7F"/>
    <w:multiLevelType w:val="singleLevel"/>
    <w:tmpl w:val="0DB407B2"/>
    <w:lvl w:ilvl="0">
      <w:start w:val="1"/>
      <w:numFmt w:val="decimal"/>
      <w:lvlText w:val="%1."/>
      <w:lvlJc w:val="left"/>
      <w:pPr>
        <w:tabs>
          <w:tab w:val="num" w:pos="643"/>
        </w:tabs>
        <w:ind w:left="643" w:hanging="360"/>
      </w:pPr>
    </w:lvl>
  </w:abstractNum>
  <w:abstractNum w:abstractNumId="4">
    <w:nsid w:val="FFFFFF80"/>
    <w:multiLevelType w:val="singleLevel"/>
    <w:tmpl w:val="A59A9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A4B2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D0E1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88FC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7E4128"/>
    <w:lvl w:ilvl="0">
      <w:start w:val="1"/>
      <w:numFmt w:val="decimal"/>
      <w:lvlText w:val="%1."/>
      <w:lvlJc w:val="left"/>
      <w:pPr>
        <w:tabs>
          <w:tab w:val="num" w:pos="360"/>
        </w:tabs>
        <w:ind w:left="360" w:hanging="360"/>
      </w:pPr>
    </w:lvl>
  </w:abstractNum>
  <w:abstractNum w:abstractNumId="9">
    <w:nsid w:val="FFFFFF89"/>
    <w:multiLevelType w:val="singleLevel"/>
    <w:tmpl w:val="2DDC9AD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6">
    <w:nsid w:val="073A686F"/>
    <w:multiLevelType w:val="hybridMultilevel"/>
    <w:tmpl w:val="8F0C5A64"/>
    <w:lvl w:ilvl="0" w:tplc="46B86BBC">
      <w:start w:val="1"/>
      <w:numFmt w:val="lowerLetter"/>
      <w:lvlText w:val="%1."/>
      <w:lvlJc w:val="left"/>
      <w:pPr>
        <w:ind w:left="108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9">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20">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1">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2">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3">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5">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6">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8">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49FC1EEE"/>
    <w:multiLevelType w:val="singleLevel"/>
    <w:tmpl w:val="8B8ACFAC"/>
    <w:lvl w:ilvl="0">
      <w:numFmt w:val="decimal"/>
      <w:lvlText w:val="%1"/>
      <w:legacy w:legacy="1" w:legacySpace="0" w:legacyIndent="0"/>
      <w:lvlJc w:val="left"/>
    </w:lvl>
  </w:abstractNum>
  <w:abstractNum w:abstractNumId="31">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4">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6">
    <w:nsid w:val="5643054B"/>
    <w:multiLevelType w:val="hybridMultilevel"/>
    <w:tmpl w:val="8E420E9E"/>
    <w:lvl w:ilvl="0" w:tplc="0C090001">
      <w:start w:val="1"/>
      <w:numFmt w:val="bullet"/>
      <w:lvlText w:val=""/>
      <w:lvlJc w:val="left"/>
      <w:pPr>
        <w:ind w:left="1845"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7">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8">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41">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3">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4">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4"/>
  </w:num>
  <w:num w:numId="4">
    <w:abstractNumId w:val="25"/>
  </w:num>
  <w:num w:numId="5">
    <w:abstractNumId w:val="23"/>
  </w:num>
  <w:num w:numId="6">
    <w:abstractNumId w:val="11"/>
  </w:num>
  <w:num w:numId="7">
    <w:abstractNumId w:val="42"/>
  </w:num>
  <w:num w:numId="8">
    <w:abstractNumId w:val="35"/>
  </w:num>
  <w:num w:numId="9">
    <w:abstractNumId w:val="33"/>
  </w:num>
  <w:num w:numId="10">
    <w:abstractNumId w:val="41"/>
  </w:num>
  <w:num w:numId="11">
    <w:abstractNumId w:val="31"/>
  </w:num>
  <w:num w:numId="12">
    <w:abstractNumId w:val="14"/>
  </w:num>
  <w:num w:numId="13">
    <w:abstractNumId w:val="38"/>
  </w:num>
  <w:num w:numId="14">
    <w:abstractNumId w:val="32"/>
  </w:num>
  <w:num w:numId="15">
    <w:abstractNumId w:val="17"/>
  </w:num>
  <w:num w:numId="16">
    <w:abstractNumId w:val="18"/>
  </w:num>
  <w:num w:numId="17">
    <w:abstractNumId w:val="13"/>
  </w:num>
  <w:num w:numId="18">
    <w:abstractNumId w:val="44"/>
  </w:num>
  <w:num w:numId="19">
    <w:abstractNumId w:val="26"/>
  </w:num>
  <w:num w:numId="20">
    <w:abstractNumId w:val="34"/>
  </w:num>
  <w:num w:numId="21">
    <w:abstractNumId w:val="43"/>
  </w:num>
  <w:num w:numId="22">
    <w:abstractNumId w:val="30"/>
  </w:num>
  <w:num w:numId="23">
    <w:abstractNumId w:val="28"/>
  </w:num>
  <w:num w:numId="24">
    <w:abstractNumId w:val="29"/>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0"/>
  </w:num>
  <w:num w:numId="36">
    <w:abstractNumId w:val="20"/>
  </w:num>
  <w:num w:numId="37">
    <w:abstractNumId w:val="21"/>
  </w:num>
  <w:num w:numId="38">
    <w:abstractNumId w:val="37"/>
  </w:num>
  <w:num w:numId="39">
    <w:abstractNumId w:val="15"/>
  </w:num>
  <w:num w:numId="40">
    <w:abstractNumId w:val="22"/>
  </w:num>
  <w:num w:numId="41">
    <w:abstractNumId w:val="27"/>
  </w:num>
  <w:num w:numId="42">
    <w:abstractNumId w:val="19"/>
  </w:num>
  <w:num w:numId="43">
    <w:abstractNumId w:val="12"/>
  </w:num>
  <w:num w:numId="44">
    <w:abstractNumId w:val="39"/>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19"/>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1"/>
  <w:stylePaneSortMethod w:val="0000"/>
  <w:defaultTabStop w:val="720"/>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suppressSpBfAfterPgBrk/>
  </w:compat>
  <w:rsids>
    <w:rsidRoot w:val="00002C0B"/>
    <w:rsid w:val="00002C0B"/>
    <w:rsid w:val="000064A9"/>
    <w:rsid w:val="0001236E"/>
    <w:rsid w:val="00032FF9"/>
    <w:rsid w:val="0007207B"/>
    <w:rsid w:val="000A0EF3"/>
    <w:rsid w:val="000D5EB1"/>
    <w:rsid w:val="000E7748"/>
    <w:rsid w:val="000F262E"/>
    <w:rsid w:val="00107823"/>
    <w:rsid w:val="00117E58"/>
    <w:rsid w:val="00122490"/>
    <w:rsid w:val="00130767"/>
    <w:rsid w:val="001477C4"/>
    <w:rsid w:val="001601E8"/>
    <w:rsid w:val="0018799E"/>
    <w:rsid w:val="001A3AC7"/>
    <w:rsid w:val="001B307A"/>
    <w:rsid w:val="001E07C6"/>
    <w:rsid w:val="001E7F71"/>
    <w:rsid w:val="002002A1"/>
    <w:rsid w:val="00224683"/>
    <w:rsid w:val="002572B8"/>
    <w:rsid w:val="002663E6"/>
    <w:rsid w:val="00281980"/>
    <w:rsid w:val="00294C6E"/>
    <w:rsid w:val="002A4333"/>
    <w:rsid w:val="002B658F"/>
    <w:rsid w:val="002C4909"/>
    <w:rsid w:val="002D3B16"/>
    <w:rsid w:val="002E168C"/>
    <w:rsid w:val="00321F9E"/>
    <w:rsid w:val="00366E03"/>
    <w:rsid w:val="00367131"/>
    <w:rsid w:val="00372B63"/>
    <w:rsid w:val="003930C1"/>
    <w:rsid w:val="00395275"/>
    <w:rsid w:val="003C460E"/>
    <w:rsid w:val="003D345B"/>
    <w:rsid w:val="003D4B1A"/>
    <w:rsid w:val="003F4BF0"/>
    <w:rsid w:val="00410ACE"/>
    <w:rsid w:val="00414D06"/>
    <w:rsid w:val="00446B48"/>
    <w:rsid w:val="00454C38"/>
    <w:rsid w:val="00470B46"/>
    <w:rsid w:val="004B24DA"/>
    <w:rsid w:val="004C2C93"/>
    <w:rsid w:val="004D08D3"/>
    <w:rsid w:val="004D27A8"/>
    <w:rsid w:val="004E2A45"/>
    <w:rsid w:val="00500066"/>
    <w:rsid w:val="00505145"/>
    <w:rsid w:val="00512AB8"/>
    <w:rsid w:val="00536CDE"/>
    <w:rsid w:val="00592945"/>
    <w:rsid w:val="00595C90"/>
    <w:rsid w:val="005D0400"/>
    <w:rsid w:val="005E456B"/>
    <w:rsid w:val="005E6714"/>
    <w:rsid w:val="005F2851"/>
    <w:rsid w:val="00620362"/>
    <w:rsid w:val="00663E0D"/>
    <w:rsid w:val="00666E00"/>
    <w:rsid w:val="00685E78"/>
    <w:rsid w:val="00685EC0"/>
    <w:rsid w:val="00694B94"/>
    <w:rsid w:val="006E0475"/>
    <w:rsid w:val="00707805"/>
    <w:rsid w:val="007106BC"/>
    <w:rsid w:val="007755AB"/>
    <w:rsid w:val="00795321"/>
    <w:rsid w:val="007B6B23"/>
    <w:rsid w:val="007F3AD8"/>
    <w:rsid w:val="00853B81"/>
    <w:rsid w:val="008662C5"/>
    <w:rsid w:val="008674CC"/>
    <w:rsid w:val="008B4A11"/>
    <w:rsid w:val="008E3CE0"/>
    <w:rsid w:val="008E4A33"/>
    <w:rsid w:val="00902A07"/>
    <w:rsid w:val="009346FE"/>
    <w:rsid w:val="00950A11"/>
    <w:rsid w:val="00982E9C"/>
    <w:rsid w:val="00A04462"/>
    <w:rsid w:val="00A04F2D"/>
    <w:rsid w:val="00A26212"/>
    <w:rsid w:val="00A44AF6"/>
    <w:rsid w:val="00A53749"/>
    <w:rsid w:val="00B100E3"/>
    <w:rsid w:val="00B55151"/>
    <w:rsid w:val="00B7742A"/>
    <w:rsid w:val="00B8223C"/>
    <w:rsid w:val="00BA1BA9"/>
    <w:rsid w:val="00BA5D55"/>
    <w:rsid w:val="00C051F1"/>
    <w:rsid w:val="00C13E9C"/>
    <w:rsid w:val="00C14AD0"/>
    <w:rsid w:val="00C2187C"/>
    <w:rsid w:val="00CB210B"/>
    <w:rsid w:val="00CF2E39"/>
    <w:rsid w:val="00CF3AE5"/>
    <w:rsid w:val="00CF68EF"/>
    <w:rsid w:val="00D053A9"/>
    <w:rsid w:val="00D23EBA"/>
    <w:rsid w:val="00D2741E"/>
    <w:rsid w:val="00D37AA6"/>
    <w:rsid w:val="00D626A0"/>
    <w:rsid w:val="00DD42F1"/>
    <w:rsid w:val="00DE1A5F"/>
    <w:rsid w:val="00DE2CFD"/>
    <w:rsid w:val="00DE4D56"/>
    <w:rsid w:val="00DF47A1"/>
    <w:rsid w:val="00E4457F"/>
    <w:rsid w:val="00E542E9"/>
    <w:rsid w:val="00E7024E"/>
    <w:rsid w:val="00E7514B"/>
    <w:rsid w:val="00E8342A"/>
    <w:rsid w:val="00ED29BF"/>
    <w:rsid w:val="00F0197C"/>
    <w:rsid w:val="00F36B4D"/>
    <w:rsid w:val="00F44DD5"/>
    <w:rsid w:val="00F5386C"/>
    <w:rsid w:val="00FE09F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5275"/>
    <w:pPr>
      <w:spacing w:before="200"/>
    </w:pPr>
    <w:rPr>
      <w:sz w:val="24"/>
    </w:rPr>
  </w:style>
  <w:style w:type="paragraph" w:styleId="Heading1">
    <w:name w:val="heading 1"/>
    <w:next w:val="Text"/>
    <w:qFormat/>
    <w:rsid w:val="00395275"/>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qFormat/>
    <w:rsid w:val="00395275"/>
    <w:pPr>
      <w:keepNext/>
      <w:spacing w:before="440"/>
      <w:outlineLvl w:val="1"/>
    </w:pPr>
    <w:rPr>
      <w:rFonts w:ascii="Garamond" w:hAnsi="Garamond"/>
      <w:sz w:val="36"/>
    </w:rPr>
  </w:style>
  <w:style w:type="paragraph" w:styleId="Heading3">
    <w:name w:val="heading 3"/>
    <w:next w:val="Text"/>
    <w:qFormat/>
    <w:rsid w:val="00395275"/>
    <w:pPr>
      <w:keepNext/>
      <w:spacing w:before="280"/>
      <w:outlineLvl w:val="2"/>
    </w:pPr>
    <w:rPr>
      <w:rFonts w:ascii="Garamond" w:hAnsi="Garamond"/>
      <w:sz w:val="28"/>
    </w:rPr>
  </w:style>
  <w:style w:type="paragraph" w:styleId="Heading4">
    <w:name w:val="heading 4"/>
    <w:next w:val="Text"/>
    <w:qFormat/>
    <w:rsid w:val="00395275"/>
    <w:pPr>
      <w:keepNext/>
      <w:spacing w:before="260"/>
      <w:outlineLvl w:val="3"/>
    </w:pPr>
    <w:rPr>
      <w:rFonts w:ascii="Garamond" w:hAnsi="Garamond"/>
      <w:i/>
      <w:sz w:val="24"/>
    </w:rPr>
  </w:style>
  <w:style w:type="paragraph" w:styleId="Heading5">
    <w:name w:val="heading 5"/>
    <w:basedOn w:val="Normal"/>
    <w:next w:val="Normal"/>
    <w:qFormat/>
    <w:rsid w:val="00395275"/>
    <w:pPr>
      <w:keepNext/>
      <w:outlineLvl w:val="4"/>
    </w:pPr>
    <w:rPr>
      <w:rFonts w:ascii="Garamond" w:hAnsi="Garamond"/>
      <w:b/>
    </w:rPr>
  </w:style>
  <w:style w:type="paragraph" w:styleId="Heading6">
    <w:name w:val="heading 6"/>
    <w:basedOn w:val="Normal"/>
    <w:next w:val="Normal"/>
    <w:qFormat/>
    <w:rsid w:val="00395275"/>
    <w:pPr>
      <w:keepNext/>
      <w:ind w:left="2977"/>
      <w:outlineLvl w:val="5"/>
    </w:pPr>
    <w:rPr>
      <w:rFonts w:ascii="Garamond" w:hAnsi="Garamond"/>
      <w:sz w:val="36"/>
    </w:rPr>
  </w:style>
  <w:style w:type="paragraph" w:styleId="Heading7">
    <w:name w:val="heading 7"/>
    <w:basedOn w:val="Normal"/>
    <w:next w:val="Normal"/>
    <w:qFormat/>
    <w:rsid w:val="00395275"/>
    <w:pPr>
      <w:keepNext/>
      <w:jc w:val="center"/>
      <w:outlineLvl w:val="6"/>
    </w:pPr>
    <w:rPr>
      <w:rFonts w:ascii="Garamond" w:hAnsi="Garamond"/>
      <w:b/>
      <w:spacing w:val="20"/>
      <w:sz w:val="36"/>
    </w:rPr>
  </w:style>
  <w:style w:type="paragraph" w:styleId="Heading8">
    <w:name w:val="heading 8"/>
    <w:basedOn w:val="Normal"/>
    <w:next w:val="Normal"/>
    <w:qFormat/>
    <w:rsid w:val="00395275"/>
    <w:pPr>
      <w:keepNext/>
      <w:jc w:val="center"/>
      <w:outlineLvl w:val="7"/>
    </w:pPr>
    <w:rPr>
      <w:rFonts w:ascii="Garamond" w:hAnsi="Garamond"/>
      <w:b/>
      <w:color w:val="C0C0C0"/>
      <w:spacing w:val="60"/>
      <w:sz w:val="56"/>
    </w:rPr>
  </w:style>
  <w:style w:type="paragraph" w:styleId="Heading9">
    <w:name w:val="heading 9"/>
    <w:basedOn w:val="Normal"/>
    <w:next w:val="Normal"/>
    <w:qFormat/>
    <w:rsid w:val="00395275"/>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395275"/>
    <w:pPr>
      <w:spacing w:before="200" w:line="260" w:lineRule="exact"/>
    </w:pPr>
    <w:rPr>
      <w:rFonts w:ascii="Garamond" w:hAnsi="Garamond"/>
      <w:sz w:val="22"/>
    </w:rPr>
  </w:style>
  <w:style w:type="character" w:styleId="PageNumber">
    <w:name w:val="page number"/>
    <w:basedOn w:val="DefaultParagraphFont"/>
    <w:rsid w:val="00395275"/>
    <w:rPr>
      <w:rFonts w:ascii="Garamond" w:hAnsi="Garamond"/>
      <w:sz w:val="18"/>
    </w:rPr>
  </w:style>
  <w:style w:type="paragraph" w:styleId="Footer">
    <w:name w:val="footer"/>
    <w:basedOn w:val="Normal"/>
    <w:rsid w:val="00395275"/>
    <w:pPr>
      <w:tabs>
        <w:tab w:val="right" w:pos="8505"/>
      </w:tabs>
      <w:spacing w:before="0"/>
    </w:pPr>
    <w:rPr>
      <w:rFonts w:ascii="Garamond" w:hAnsi="Garamond"/>
      <w:sz w:val="18"/>
    </w:rPr>
  </w:style>
  <w:style w:type="paragraph" w:styleId="TOC1">
    <w:name w:val="toc 1"/>
    <w:uiPriority w:val="39"/>
    <w:rsid w:val="00ED29BF"/>
    <w:pPr>
      <w:tabs>
        <w:tab w:val="left" w:pos="221"/>
        <w:tab w:val="right" w:pos="8505"/>
      </w:tabs>
      <w:spacing w:before="80"/>
      <w:ind w:left="2268"/>
    </w:pPr>
    <w:rPr>
      <w:rFonts w:ascii="Garamond" w:hAnsi="Garamond"/>
      <w:sz w:val="22"/>
    </w:rPr>
  </w:style>
  <w:style w:type="paragraph" w:styleId="TOC2">
    <w:name w:val="toc 2"/>
    <w:basedOn w:val="Normal"/>
    <w:next w:val="Normal"/>
    <w:uiPriority w:val="39"/>
    <w:rsid w:val="00ED29BF"/>
    <w:pPr>
      <w:tabs>
        <w:tab w:val="left" w:pos="709"/>
        <w:tab w:val="right" w:pos="8505"/>
      </w:tabs>
      <w:spacing w:before="20" w:after="20"/>
      <w:ind w:left="2552"/>
    </w:pPr>
    <w:rPr>
      <w:rFonts w:ascii="Garamond" w:hAnsi="Garamond"/>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395275"/>
    <w:pPr>
      <w:tabs>
        <w:tab w:val="left" w:pos="992"/>
      </w:tabs>
      <w:spacing w:before="360" w:after="80"/>
    </w:pPr>
    <w:rPr>
      <w:rFonts w:ascii="Arial" w:hAnsi="Arial"/>
      <w:b/>
      <w:sz w:val="17"/>
    </w:rPr>
  </w:style>
  <w:style w:type="paragraph" w:customStyle="1" w:styleId="Tabletext">
    <w:name w:val="Table text"/>
    <w:next w:val="Text"/>
    <w:rsid w:val="00395275"/>
    <w:pPr>
      <w:spacing w:before="80"/>
    </w:pPr>
    <w:rPr>
      <w:rFonts w:ascii="Arial" w:hAnsi="Arial"/>
      <w:sz w:val="16"/>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395275"/>
    <w:pPr>
      <w:spacing w:before="80" w:after="80"/>
    </w:pPr>
    <w:rPr>
      <w:rFonts w:ascii="Arial" w:hAnsi="Arial"/>
      <w:b/>
      <w:sz w:val="17"/>
    </w:rPr>
  </w:style>
  <w:style w:type="paragraph" w:styleId="Quote">
    <w:name w:val="Quote"/>
    <w:basedOn w:val="Text"/>
    <w:qFormat/>
    <w:rsid w:val="00395275"/>
    <w:pPr>
      <w:spacing w:before="80"/>
      <w:ind w:left="567" w:right="646"/>
    </w:pPr>
    <w:rPr>
      <w:sz w:val="20"/>
    </w:rPr>
  </w:style>
  <w:style w:type="paragraph" w:customStyle="1" w:styleId="References">
    <w:name w:val="References"/>
    <w:rsid w:val="00395275"/>
    <w:pPr>
      <w:ind w:left="284" w:hanging="284"/>
    </w:pPr>
    <w:rPr>
      <w:rFonts w:ascii="Garamond" w:hAnsi="Garamond"/>
    </w:rPr>
  </w:style>
  <w:style w:type="paragraph" w:customStyle="1" w:styleId="Tablehead2">
    <w:name w:val="Tablehead2"/>
    <w:basedOn w:val="Tablehead1"/>
    <w:rsid w:val="00395275"/>
    <w:pPr>
      <w:tabs>
        <w:tab w:val="left" w:pos="992"/>
      </w:tabs>
      <w:spacing w:before="20" w:after="20"/>
    </w:pPr>
    <w:rPr>
      <w:b w:val="0"/>
    </w:rPr>
  </w:style>
  <w:style w:type="paragraph" w:customStyle="1" w:styleId="Tablehead3">
    <w:name w:val="Tablehead3"/>
    <w:basedOn w:val="Tablehead2"/>
    <w:rsid w:val="00395275"/>
    <w:rPr>
      <w:i/>
    </w:rPr>
  </w:style>
  <w:style w:type="paragraph" w:styleId="TableofFigures">
    <w:name w:val="table of figures"/>
    <w:basedOn w:val="Normal"/>
    <w:next w:val="Normal"/>
    <w:uiPriority w:val="99"/>
    <w:rsid w:val="00395275"/>
    <w:pPr>
      <w:tabs>
        <w:tab w:val="left" w:pos="3260"/>
        <w:tab w:val="right" w:pos="8222"/>
      </w:tabs>
      <w:spacing w:before="0"/>
      <w:ind w:left="2671" w:hanging="403"/>
    </w:pPr>
    <w:rPr>
      <w:rFonts w:ascii="Garamond" w:hAnsi="Garamond"/>
      <w:sz w:val="22"/>
    </w:rPr>
  </w:style>
  <w:style w:type="paragraph" w:styleId="Header">
    <w:name w:val="header"/>
    <w:basedOn w:val="Normal"/>
    <w:rsid w:val="00395275"/>
    <w:pPr>
      <w:tabs>
        <w:tab w:val="center" w:pos="4153"/>
        <w:tab w:val="right" w:pos="8306"/>
      </w:tabs>
    </w:pPr>
  </w:style>
  <w:style w:type="paragraph" w:styleId="BodyText">
    <w:name w:val="Body Text"/>
    <w:basedOn w:val="Normal"/>
    <w:rsid w:val="00395275"/>
    <w:pPr>
      <w:spacing w:line="260" w:lineRule="atLeast"/>
      <w:ind w:right="1508"/>
    </w:pPr>
    <w:rPr>
      <w:rFonts w:ascii="Garamond" w:hAnsi="Garamond"/>
      <w:sz w:val="16"/>
    </w:rPr>
  </w:style>
  <w:style w:type="paragraph" w:customStyle="1" w:styleId="Figuretitle">
    <w:name w:val="Figuretitle"/>
    <w:basedOn w:val="tabletitle"/>
    <w:rsid w:val="00395275"/>
  </w:style>
  <w:style w:type="character" w:styleId="FollowedHyperlink">
    <w:name w:val="FollowedHyperlink"/>
    <w:basedOn w:val="DefaultParagraphFont"/>
    <w:rsid w:val="00395275"/>
    <w:rPr>
      <w:color w:val="000000"/>
      <w:u w:val="single"/>
    </w:rPr>
  </w:style>
  <w:style w:type="character" w:styleId="Hyperlink">
    <w:name w:val="Hyperlink"/>
    <w:basedOn w:val="DefaultParagraphFont"/>
    <w:rsid w:val="00395275"/>
    <w:rPr>
      <w:color w:val="000000"/>
      <w:u w:val="single"/>
    </w:rPr>
  </w:style>
  <w:style w:type="paragraph" w:customStyle="1" w:styleId="Dotpoint1">
    <w:name w:val="Dotpoint1"/>
    <w:rsid w:val="00395275"/>
    <w:pPr>
      <w:numPr>
        <w:numId w:val="47"/>
      </w:numPr>
      <w:tabs>
        <w:tab w:val="left" w:pos="284"/>
      </w:tabs>
      <w:spacing w:before="120"/>
    </w:pPr>
    <w:rPr>
      <w:rFonts w:ascii="Garamond" w:hAnsi="Garamond"/>
      <w:sz w:val="22"/>
    </w:rPr>
  </w:style>
  <w:style w:type="paragraph" w:customStyle="1" w:styleId="Dotpoint2">
    <w:name w:val="Dotpoint2"/>
    <w:rsid w:val="00395275"/>
    <w:pPr>
      <w:numPr>
        <w:numId w:val="48"/>
      </w:numPr>
      <w:tabs>
        <w:tab w:val="left" w:pos="284"/>
        <w:tab w:val="left" w:pos="567"/>
      </w:tabs>
    </w:pPr>
    <w:rPr>
      <w:rFonts w:ascii="Garamond" w:hAnsi="Garamond"/>
      <w:sz w:val="22"/>
    </w:rPr>
  </w:style>
  <w:style w:type="paragraph" w:customStyle="1" w:styleId="contents">
    <w:name w:val="contents"/>
    <w:rsid w:val="00395275"/>
    <w:pPr>
      <w:pBdr>
        <w:bottom w:val="single" w:sz="4" w:space="1" w:color="auto"/>
      </w:pBdr>
      <w:jc w:val="right"/>
    </w:pPr>
    <w:rPr>
      <w:rFonts w:ascii="Garamond" w:hAnsi="Garamond"/>
      <w:kern w:val="28"/>
      <w:sz w:val="60"/>
    </w:rPr>
  </w:style>
  <w:style w:type="paragraph" w:styleId="BodyTextIndent">
    <w:name w:val="Body Text Indent"/>
    <w:basedOn w:val="Normal"/>
    <w:rsid w:val="00395275"/>
    <w:pPr>
      <w:ind w:left="2977"/>
    </w:pPr>
    <w:rPr>
      <w:sz w:val="36"/>
    </w:rPr>
  </w:style>
  <w:style w:type="paragraph" w:customStyle="1" w:styleId="Source">
    <w:name w:val="Source"/>
    <w:rsid w:val="00395275"/>
    <w:pPr>
      <w:spacing w:before="40"/>
    </w:pPr>
    <w:rPr>
      <w:rFonts w:ascii="Arial" w:hAnsi="Arial"/>
      <w:sz w:val="15"/>
    </w:rPr>
  </w:style>
  <w:style w:type="paragraph" w:customStyle="1" w:styleId="NumberedListContinuing">
    <w:name w:val="NumberedListContinuing"/>
    <w:rsid w:val="00395275"/>
    <w:pPr>
      <w:numPr>
        <w:numId w:val="49"/>
      </w:numPr>
      <w:spacing w:before="120"/>
    </w:pPr>
    <w:rPr>
      <w:rFonts w:ascii="Garamond" w:hAnsi="Garamond"/>
      <w:sz w:val="22"/>
    </w:rPr>
  </w:style>
  <w:style w:type="paragraph" w:customStyle="1" w:styleId="Imprint">
    <w:name w:val="Imprint"/>
    <w:basedOn w:val="Normal"/>
    <w:rsid w:val="00395275"/>
    <w:pPr>
      <w:spacing w:line="260" w:lineRule="atLeast"/>
    </w:pPr>
    <w:rPr>
      <w:rFonts w:ascii="Garamond" w:hAnsi="Garamond"/>
      <w:sz w:val="16"/>
    </w:rPr>
  </w:style>
  <w:style w:type="paragraph" w:styleId="FootnoteText">
    <w:name w:val="footnote text"/>
    <w:basedOn w:val="Normal"/>
    <w:rsid w:val="00395275"/>
    <w:rPr>
      <w:rFonts w:ascii="Garamond" w:hAnsi="Garamond"/>
      <w:sz w:val="16"/>
    </w:rPr>
  </w:style>
  <w:style w:type="paragraph" w:customStyle="1" w:styleId="Abstract">
    <w:name w:val="Abstract"/>
    <w:basedOn w:val="Text"/>
    <w:rsid w:val="00395275"/>
    <w:pPr>
      <w:spacing w:before="120"/>
      <w:ind w:firstLine="2977"/>
    </w:pPr>
    <w:rPr>
      <w:smallCaps/>
      <w:sz w:val="20"/>
    </w:rPr>
  </w:style>
  <w:style w:type="table" w:styleId="TableGrid">
    <w:name w:val="Table Grid"/>
    <w:basedOn w:val="TableNormal"/>
    <w:rsid w:val="00395275"/>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395275"/>
  </w:style>
  <w:style w:type="paragraph" w:customStyle="1" w:styleId="AboutTitle">
    <w:name w:val="AboutTitle"/>
    <w:rsid w:val="00395275"/>
    <w:pPr>
      <w:spacing w:before="440"/>
    </w:pPr>
    <w:rPr>
      <w:rFonts w:ascii="Garamond" w:hAnsi="Garamond"/>
      <w:i/>
      <w:sz w:val="32"/>
      <w:szCs w:val="32"/>
    </w:rPr>
  </w:style>
  <w:style w:type="paragraph" w:customStyle="1" w:styleId="Aboutauthor">
    <w:name w:val="Aboutauthor"/>
    <w:rsid w:val="00395275"/>
    <w:pPr>
      <w:spacing w:before="120"/>
    </w:pPr>
    <w:rPr>
      <w:rFonts w:ascii="Garamond" w:hAnsi="Garamond"/>
      <w:sz w:val="28"/>
      <w:szCs w:val="32"/>
    </w:rPr>
  </w:style>
  <w:style w:type="paragraph" w:styleId="BalloonText">
    <w:name w:val="Balloon Text"/>
    <w:basedOn w:val="Normal"/>
    <w:link w:val="BalloonTextChar"/>
    <w:rsid w:val="00395275"/>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paragraph" w:styleId="ListParagraph">
    <w:name w:val="List Paragraph"/>
    <w:basedOn w:val="Normal"/>
    <w:uiPriority w:val="34"/>
    <w:qFormat/>
    <w:rsid w:val="00002C0B"/>
    <w:pPr>
      <w:spacing w:before="0" w:after="200" w:line="276" w:lineRule="auto"/>
      <w:ind w:left="720"/>
    </w:pPr>
    <w:rPr>
      <w:rFonts w:ascii="Calibri" w:eastAsiaTheme="minorHAnsi" w:hAnsi="Calibri"/>
      <w:sz w:val="22"/>
      <w:szCs w:val="22"/>
    </w:rPr>
  </w:style>
  <w:style w:type="paragraph" w:customStyle="1" w:styleId="PubTitle">
    <w:name w:val="PubTitle"/>
    <w:basedOn w:val="Normal"/>
    <w:rsid w:val="00294C6E"/>
    <w:pPr>
      <w:spacing w:before="20" w:after="20"/>
      <w:ind w:left="720"/>
    </w:pPr>
    <w:rPr>
      <w:rFonts w:ascii="Helvetica" w:hAnsi="Helvetica"/>
      <w:color w:val="D10019"/>
      <w:sz w:val="48"/>
      <w:szCs w:val="48"/>
      <w:lang w:eastAsia="en-US"/>
    </w:rPr>
  </w:style>
  <w:style w:type="paragraph" w:customStyle="1" w:styleId="Pubsubtitle">
    <w:name w:val="Pub subtitle"/>
    <w:basedOn w:val="Normal"/>
    <w:rsid w:val="00294C6E"/>
    <w:pPr>
      <w:spacing w:before="20" w:after="20"/>
      <w:ind w:left="720"/>
    </w:pPr>
    <w:rPr>
      <w:rFonts w:ascii="Helvetica" w:hAnsi="Helvetica"/>
      <w:color w:val="D10019"/>
      <w:sz w:val="36"/>
      <w:szCs w:val="36"/>
      <w:lang w:eastAsia="en-US"/>
    </w:rPr>
  </w:style>
  <w:style w:type="paragraph" w:customStyle="1" w:styleId="Quarter">
    <w:name w:val="Quarter"/>
    <w:basedOn w:val="Normal"/>
    <w:rsid w:val="00294C6E"/>
    <w:pPr>
      <w:spacing w:before="20" w:after="20"/>
      <w:ind w:left="720"/>
    </w:pPr>
    <w:rPr>
      <w:rFonts w:ascii="Helvetica" w:hAnsi="Helvetica"/>
      <w:color w:val="D10019"/>
      <w:sz w:val="32"/>
      <w:szCs w:val="32"/>
      <w:lang w:eastAsia="en-US"/>
    </w:rPr>
  </w:style>
  <w:style w:type="paragraph" w:customStyle="1" w:styleId="Year">
    <w:name w:val="Year"/>
    <w:basedOn w:val="Normal"/>
    <w:rsid w:val="00294C6E"/>
    <w:pPr>
      <w:spacing w:before="20" w:after="20"/>
      <w:ind w:left="720"/>
    </w:pPr>
    <w:rPr>
      <w:rFonts w:ascii="Helvetica" w:hAnsi="Helvetica"/>
      <w:color w:val="D10019"/>
      <w:sz w:val="80"/>
      <w:szCs w:val="80"/>
      <w:lang w:eastAsia="en-US"/>
    </w:rPr>
  </w:style>
  <w:style w:type="character" w:styleId="CommentReference">
    <w:name w:val="annotation reference"/>
    <w:basedOn w:val="DefaultParagraphFont"/>
    <w:rsid w:val="004D08D3"/>
    <w:rPr>
      <w:sz w:val="16"/>
      <w:szCs w:val="16"/>
    </w:rPr>
  </w:style>
  <w:style w:type="paragraph" w:styleId="CommentText">
    <w:name w:val="annotation text"/>
    <w:basedOn w:val="Normal"/>
    <w:link w:val="CommentTextChar"/>
    <w:rsid w:val="004D08D3"/>
    <w:rPr>
      <w:sz w:val="20"/>
    </w:rPr>
  </w:style>
  <w:style w:type="character" w:customStyle="1" w:styleId="CommentTextChar">
    <w:name w:val="Comment Text Char"/>
    <w:basedOn w:val="DefaultParagraphFont"/>
    <w:link w:val="CommentText"/>
    <w:rsid w:val="004D08D3"/>
  </w:style>
  <w:style w:type="paragraph" w:styleId="CommentSubject">
    <w:name w:val="annotation subject"/>
    <w:basedOn w:val="CommentText"/>
    <w:next w:val="CommentText"/>
    <w:link w:val="CommentSubjectChar"/>
    <w:rsid w:val="004D08D3"/>
    <w:rPr>
      <w:b/>
      <w:bCs/>
    </w:rPr>
  </w:style>
  <w:style w:type="character" w:customStyle="1" w:styleId="CommentSubjectChar">
    <w:name w:val="Comment Subject Char"/>
    <w:basedOn w:val="CommentTextChar"/>
    <w:link w:val="CommentSubject"/>
    <w:rsid w:val="004D08D3"/>
    <w:rPr>
      <w:b/>
      <w:bCs/>
    </w:rPr>
  </w:style>
  <w:style w:type="paragraph" w:customStyle="1" w:styleId="imprint0">
    <w:name w:val="imprint"/>
    <w:basedOn w:val="Normal"/>
    <w:uiPriority w:val="99"/>
    <w:rsid w:val="008E4A33"/>
    <w:pPr>
      <w:suppressAutoHyphens/>
      <w:autoSpaceDE w:val="0"/>
      <w:autoSpaceDN w:val="0"/>
      <w:adjustRightInd w:val="0"/>
      <w:spacing w:before="113" w:line="288" w:lineRule="auto"/>
      <w:textAlignment w:val="baseline"/>
    </w:pPr>
    <w:rPr>
      <w:rFonts w:ascii="GillSans Light" w:hAnsi="GillSans Light" w:cs="GillSans Light"/>
      <w:color w:val="000000"/>
      <w:sz w:val="17"/>
      <w:szCs w:val="17"/>
    </w:rPr>
  </w:style>
</w:styles>
</file>

<file path=word/webSettings.xml><?xml version="1.0" encoding="utf-8"?>
<w:webSettings xmlns:r="http://schemas.openxmlformats.org/officeDocument/2006/relationships" xmlns:w="http://schemas.openxmlformats.org/wordprocessingml/2006/main">
  <w:divs>
    <w:div w:id="8067800">
      <w:bodyDiv w:val="1"/>
      <w:marLeft w:val="0"/>
      <w:marRight w:val="0"/>
      <w:marTop w:val="0"/>
      <w:marBottom w:val="0"/>
      <w:divBdr>
        <w:top w:val="none" w:sz="0" w:space="0" w:color="auto"/>
        <w:left w:val="none" w:sz="0" w:space="0" w:color="auto"/>
        <w:bottom w:val="none" w:sz="0" w:space="0" w:color="auto"/>
        <w:right w:val="none" w:sz="0" w:space="0" w:color="auto"/>
      </w:divBdr>
      <w:divsChild>
        <w:div w:id="684673443">
          <w:marLeft w:val="0"/>
          <w:marRight w:val="0"/>
          <w:marTop w:val="0"/>
          <w:marBottom w:val="0"/>
          <w:divBdr>
            <w:top w:val="none" w:sz="0" w:space="0" w:color="auto"/>
            <w:left w:val="none" w:sz="0" w:space="0" w:color="auto"/>
            <w:bottom w:val="none" w:sz="0" w:space="0" w:color="auto"/>
            <w:right w:val="none" w:sz="0" w:space="0" w:color="auto"/>
          </w:divBdr>
          <w:divsChild>
            <w:div w:id="716046937">
              <w:marLeft w:val="0"/>
              <w:marRight w:val="0"/>
              <w:marTop w:val="0"/>
              <w:marBottom w:val="0"/>
              <w:divBdr>
                <w:top w:val="none" w:sz="0" w:space="0" w:color="auto"/>
                <w:left w:val="none" w:sz="0" w:space="0" w:color="auto"/>
                <w:bottom w:val="none" w:sz="0" w:space="0" w:color="auto"/>
                <w:right w:val="none" w:sz="0" w:space="0" w:color="auto"/>
              </w:divBdr>
              <w:divsChild>
                <w:div w:id="1588344820">
                  <w:marLeft w:val="2504"/>
                  <w:marRight w:val="225"/>
                  <w:marTop w:val="0"/>
                  <w:marBottom w:val="0"/>
                  <w:divBdr>
                    <w:top w:val="none" w:sz="0" w:space="0" w:color="auto"/>
                    <w:left w:val="none" w:sz="0" w:space="0" w:color="auto"/>
                    <w:bottom w:val="none" w:sz="0" w:space="0" w:color="auto"/>
                    <w:right w:val="none" w:sz="0" w:space="0" w:color="auto"/>
                  </w:divBdr>
                  <w:divsChild>
                    <w:div w:id="1495490722">
                      <w:marLeft w:val="0"/>
                      <w:marRight w:val="0"/>
                      <w:marTop w:val="0"/>
                      <w:marBottom w:val="0"/>
                      <w:divBdr>
                        <w:top w:val="none" w:sz="0" w:space="0" w:color="auto"/>
                        <w:left w:val="none" w:sz="0" w:space="0" w:color="auto"/>
                        <w:bottom w:val="none" w:sz="0" w:space="0" w:color="auto"/>
                        <w:right w:val="none" w:sz="0" w:space="0" w:color="auto"/>
                      </w:divBdr>
                      <w:divsChild>
                        <w:div w:id="1451900568">
                          <w:marLeft w:val="0"/>
                          <w:marRight w:val="0"/>
                          <w:marTop w:val="0"/>
                          <w:marBottom w:val="0"/>
                          <w:divBdr>
                            <w:top w:val="none" w:sz="0" w:space="0" w:color="auto"/>
                            <w:left w:val="none" w:sz="0" w:space="0" w:color="auto"/>
                            <w:bottom w:val="none" w:sz="0" w:space="0" w:color="auto"/>
                            <w:right w:val="none" w:sz="0" w:space="0" w:color="auto"/>
                          </w:divBdr>
                          <w:divsChild>
                            <w:div w:id="823425391">
                              <w:marLeft w:val="0"/>
                              <w:marRight w:val="0"/>
                              <w:marTop w:val="0"/>
                              <w:marBottom w:val="0"/>
                              <w:divBdr>
                                <w:top w:val="none" w:sz="0" w:space="0" w:color="auto"/>
                                <w:left w:val="none" w:sz="0" w:space="0" w:color="auto"/>
                                <w:bottom w:val="none" w:sz="0" w:space="0" w:color="auto"/>
                                <w:right w:val="none" w:sz="0" w:space="0" w:color="auto"/>
                              </w:divBdr>
                              <w:divsChild>
                                <w:div w:id="19550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25652">
      <w:bodyDiv w:val="1"/>
      <w:marLeft w:val="0"/>
      <w:marRight w:val="0"/>
      <w:marTop w:val="0"/>
      <w:marBottom w:val="0"/>
      <w:divBdr>
        <w:top w:val="none" w:sz="0" w:space="0" w:color="auto"/>
        <w:left w:val="none" w:sz="0" w:space="0" w:color="auto"/>
        <w:bottom w:val="none" w:sz="0" w:space="0" w:color="auto"/>
        <w:right w:val="none" w:sz="0" w:space="0" w:color="auto"/>
      </w:divBdr>
    </w:div>
    <w:div w:id="1147432319">
      <w:bodyDiv w:val="1"/>
      <w:marLeft w:val="0"/>
      <w:marRight w:val="0"/>
      <w:marTop w:val="0"/>
      <w:marBottom w:val="0"/>
      <w:divBdr>
        <w:top w:val="none" w:sz="0" w:space="0" w:color="auto"/>
        <w:left w:val="none" w:sz="0" w:space="0" w:color="auto"/>
        <w:bottom w:val="none" w:sz="0" w:space="0" w:color="auto"/>
        <w:right w:val="none" w:sz="0" w:space="0" w:color="auto"/>
      </w:divBdr>
    </w:div>
    <w:div w:id="129834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3.0/a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ncver.edu.a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saturn\xdappdata$\tomkarmel\Application%20Data\Hummingbird\DM\Temp\NCVER_DMS-%2399548-v1-Req_262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0"/>
          <c:order val="0"/>
          <c:tx>
            <c:strRef>
              <c:f>'Table 1'!$C$11</c:f>
              <c:strCache>
                <c:ptCount val="1"/>
                <c:pt idx="0">
                  <c:v>Commenced</c:v>
                </c:pt>
              </c:strCache>
            </c:strRef>
          </c:tx>
          <c:marker>
            <c:symbol val="none"/>
          </c:marker>
          <c:cat>
            <c:strRef>
              <c:f>'Table 1'!$D$10:$W$10</c:f>
              <c:strCache>
                <c:ptCount val="20"/>
                <c:pt idx="0">
                  <c:v>Jan - Mar 2005</c:v>
                </c:pt>
                <c:pt idx="1">
                  <c:v>Apr - Jun 2005</c:v>
                </c:pt>
                <c:pt idx="2">
                  <c:v>Jul - Sep 2005</c:v>
                </c:pt>
                <c:pt idx="3">
                  <c:v>Oct - Dec 2005</c:v>
                </c:pt>
                <c:pt idx="4">
                  <c:v>Jan - Mar 2006</c:v>
                </c:pt>
                <c:pt idx="5">
                  <c:v>Apr - Jun 2006</c:v>
                </c:pt>
                <c:pt idx="6">
                  <c:v>Jul - Sep 2006</c:v>
                </c:pt>
                <c:pt idx="7">
                  <c:v>Oct - Dec 2006</c:v>
                </c:pt>
                <c:pt idx="8">
                  <c:v>Jan - Mar 2007</c:v>
                </c:pt>
                <c:pt idx="9">
                  <c:v>Apr - Jun 2007</c:v>
                </c:pt>
                <c:pt idx="10">
                  <c:v>Jul - Sep 2007</c:v>
                </c:pt>
                <c:pt idx="11">
                  <c:v>Oct - Dec 2007</c:v>
                </c:pt>
                <c:pt idx="12">
                  <c:v>Jan - Mar 2008</c:v>
                </c:pt>
                <c:pt idx="13">
                  <c:v>Apr - Jun 2008</c:v>
                </c:pt>
                <c:pt idx="14">
                  <c:v>Jul - Sep 2008</c:v>
                </c:pt>
                <c:pt idx="15">
                  <c:v>Oct - Dec 2008</c:v>
                </c:pt>
                <c:pt idx="16">
                  <c:v>Jan - Mar 2009</c:v>
                </c:pt>
                <c:pt idx="17">
                  <c:v>Apr - Jun 2009</c:v>
                </c:pt>
                <c:pt idx="18">
                  <c:v>Jul - Sep 2009</c:v>
                </c:pt>
                <c:pt idx="19">
                  <c:v>Oct - Dec 2009</c:v>
                </c:pt>
              </c:strCache>
            </c:strRef>
          </c:cat>
          <c:val>
            <c:numRef>
              <c:f>'Table 1'!$D$11:$W$11</c:f>
              <c:numCache>
                <c:formatCode>#,##0</c:formatCode>
                <c:ptCount val="20"/>
                <c:pt idx="0">
                  <c:v>30041</c:v>
                </c:pt>
                <c:pt idx="1">
                  <c:v>13097</c:v>
                </c:pt>
                <c:pt idx="2">
                  <c:v>15726</c:v>
                </c:pt>
                <c:pt idx="3">
                  <c:v>14874</c:v>
                </c:pt>
                <c:pt idx="4">
                  <c:v>31255</c:v>
                </c:pt>
                <c:pt idx="5">
                  <c:v>13732</c:v>
                </c:pt>
                <c:pt idx="6">
                  <c:v>15284</c:v>
                </c:pt>
                <c:pt idx="7">
                  <c:v>16386</c:v>
                </c:pt>
                <c:pt idx="8">
                  <c:v>33675</c:v>
                </c:pt>
                <c:pt idx="9">
                  <c:v>15456</c:v>
                </c:pt>
                <c:pt idx="10">
                  <c:v>17824</c:v>
                </c:pt>
                <c:pt idx="11">
                  <c:v>17118</c:v>
                </c:pt>
                <c:pt idx="12">
                  <c:v>36470</c:v>
                </c:pt>
                <c:pt idx="13">
                  <c:v>18506</c:v>
                </c:pt>
                <c:pt idx="14">
                  <c:v>16329</c:v>
                </c:pt>
                <c:pt idx="15">
                  <c:v>15234</c:v>
                </c:pt>
                <c:pt idx="16">
                  <c:v>29922</c:v>
                </c:pt>
                <c:pt idx="17">
                  <c:v>14748</c:v>
                </c:pt>
                <c:pt idx="18">
                  <c:v>15638</c:v>
                </c:pt>
                <c:pt idx="19">
                  <c:v>17673</c:v>
                </c:pt>
              </c:numCache>
            </c:numRef>
          </c:val>
        </c:ser>
        <c:ser>
          <c:idx val="1"/>
          <c:order val="1"/>
          <c:tx>
            <c:strRef>
              <c:f>'Table 1'!$C$12</c:f>
              <c:strCache>
                <c:ptCount val="1"/>
                <c:pt idx="0">
                  <c:v>Recommenced</c:v>
                </c:pt>
              </c:strCache>
            </c:strRef>
          </c:tx>
          <c:marker>
            <c:symbol val="none"/>
          </c:marker>
          <c:cat>
            <c:strRef>
              <c:f>'Table 1'!$D$10:$W$10</c:f>
              <c:strCache>
                <c:ptCount val="20"/>
                <c:pt idx="0">
                  <c:v>Jan - Mar 2005</c:v>
                </c:pt>
                <c:pt idx="1">
                  <c:v>Apr - Jun 2005</c:v>
                </c:pt>
                <c:pt idx="2">
                  <c:v>Jul - Sep 2005</c:v>
                </c:pt>
                <c:pt idx="3">
                  <c:v>Oct - Dec 2005</c:v>
                </c:pt>
                <c:pt idx="4">
                  <c:v>Jan - Mar 2006</c:v>
                </c:pt>
                <c:pt idx="5">
                  <c:v>Apr - Jun 2006</c:v>
                </c:pt>
                <c:pt idx="6">
                  <c:v>Jul - Sep 2006</c:v>
                </c:pt>
                <c:pt idx="7">
                  <c:v>Oct - Dec 2006</c:v>
                </c:pt>
                <c:pt idx="8">
                  <c:v>Jan - Mar 2007</c:v>
                </c:pt>
                <c:pt idx="9">
                  <c:v>Apr - Jun 2007</c:v>
                </c:pt>
                <c:pt idx="10">
                  <c:v>Jul - Sep 2007</c:v>
                </c:pt>
                <c:pt idx="11">
                  <c:v>Oct - Dec 2007</c:v>
                </c:pt>
                <c:pt idx="12">
                  <c:v>Jan - Mar 2008</c:v>
                </c:pt>
                <c:pt idx="13">
                  <c:v>Apr - Jun 2008</c:v>
                </c:pt>
                <c:pt idx="14">
                  <c:v>Jul - Sep 2008</c:v>
                </c:pt>
                <c:pt idx="15">
                  <c:v>Oct - Dec 2008</c:v>
                </c:pt>
                <c:pt idx="16">
                  <c:v>Jan - Mar 2009</c:v>
                </c:pt>
                <c:pt idx="17">
                  <c:v>Apr - Jun 2009</c:v>
                </c:pt>
                <c:pt idx="18">
                  <c:v>Jul - Sep 2009</c:v>
                </c:pt>
                <c:pt idx="19">
                  <c:v>Oct - Dec 2009</c:v>
                </c:pt>
              </c:strCache>
            </c:strRef>
          </c:cat>
          <c:val>
            <c:numRef>
              <c:f>'Table 1'!$D$12:$W$12</c:f>
              <c:numCache>
                <c:formatCode>#,##0</c:formatCode>
                <c:ptCount val="20"/>
                <c:pt idx="0">
                  <c:v>4779</c:v>
                </c:pt>
                <c:pt idx="1">
                  <c:v>3897</c:v>
                </c:pt>
                <c:pt idx="2">
                  <c:v>4463</c:v>
                </c:pt>
                <c:pt idx="3">
                  <c:v>3661</c:v>
                </c:pt>
                <c:pt idx="4">
                  <c:v>5192</c:v>
                </c:pt>
                <c:pt idx="5">
                  <c:v>3963</c:v>
                </c:pt>
                <c:pt idx="6">
                  <c:v>4887</c:v>
                </c:pt>
                <c:pt idx="7">
                  <c:v>3982</c:v>
                </c:pt>
                <c:pt idx="8">
                  <c:v>5732</c:v>
                </c:pt>
                <c:pt idx="9">
                  <c:v>4711</c:v>
                </c:pt>
                <c:pt idx="10">
                  <c:v>5375</c:v>
                </c:pt>
                <c:pt idx="11">
                  <c:v>4424</c:v>
                </c:pt>
                <c:pt idx="12">
                  <c:v>6402</c:v>
                </c:pt>
                <c:pt idx="13">
                  <c:v>5446</c:v>
                </c:pt>
                <c:pt idx="14">
                  <c:v>5575</c:v>
                </c:pt>
                <c:pt idx="15">
                  <c:v>4078</c:v>
                </c:pt>
                <c:pt idx="16">
                  <c:v>5392</c:v>
                </c:pt>
                <c:pt idx="17">
                  <c:v>4343</c:v>
                </c:pt>
                <c:pt idx="18">
                  <c:v>5384</c:v>
                </c:pt>
                <c:pt idx="19">
                  <c:v>4251</c:v>
                </c:pt>
              </c:numCache>
            </c:numRef>
          </c:val>
        </c:ser>
        <c:marker val="1"/>
        <c:axId val="147231104"/>
        <c:axId val="147232640"/>
      </c:lineChart>
      <c:catAx>
        <c:axId val="147231104"/>
        <c:scaling>
          <c:orientation val="minMax"/>
        </c:scaling>
        <c:axPos val="b"/>
        <c:tickLblPos val="nextTo"/>
        <c:crossAx val="147232640"/>
        <c:crosses val="autoZero"/>
        <c:auto val="1"/>
        <c:lblAlgn val="ctr"/>
        <c:lblOffset val="100"/>
      </c:catAx>
      <c:valAx>
        <c:axId val="147232640"/>
        <c:scaling>
          <c:orientation val="minMax"/>
        </c:scaling>
        <c:axPos val="l"/>
        <c:majorGridlines/>
        <c:numFmt formatCode="#,##0" sourceLinked="1"/>
        <c:tickLblPos val="nextTo"/>
        <c:crossAx val="14723110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11</Pages>
  <Words>1688</Words>
  <Characters>10485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tomkarmel</dc:creator>
  <cp:lastModifiedBy>paulineackland</cp:lastModifiedBy>
  <cp:revision>16</cp:revision>
  <cp:lastPrinted>2011-03-06T23:49:00Z</cp:lastPrinted>
  <dcterms:created xsi:type="dcterms:W3CDTF">2011-03-09T01:58:00Z</dcterms:created>
  <dcterms:modified xsi:type="dcterms:W3CDTF">2011-04-14T06:49:00Z</dcterms:modified>
</cp:coreProperties>
</file>