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27" w:rsidRDefault="000631E5" w:rsidP="000631E5">
      <w:pPr>
        <w:pStyle w:val="PublicationTitle"/>
        <w:spacing w:before="0"/>
      </w:pPr>
      <w:bookmarkStart w:id="0" w:name="_Toc296423677"/>
      <w:bookmarkStart w:id="1" w:name="_Toc296497508"/>
      <w:r>
        <w:rPr>
          <w:noProof/>
          <w:lang w:eastAsia="en-AU"/>
        </w:rPr>
        <w:drawing>
          <wp:anchor distT="0" distB="0" distL="114300" distR="114300" simplePos="0" relativeHeight="251672576" behindDoc="0" locked="0" layoutInCell="1" allowOverlap="1" wp14:anchorId="5F26F12A" wp14:editId="73FEB5EA">
            <wp:simplePos x="0" y="0"/>
            <wp:positionH relativeFrom="column">
              <wp:posOffset>-67945</wp:posOffset>
            </wp:positionH>
            <wp:positionV relativeFrom="paragraph">
              <wp:posOffset>294640</wp:posOffset>
            </wp:positionV>
            <wp:extent cx="2579370" cy="551180"/>
            <wp:effectExtent l="0" t="0" r="0" b="1270"/>
            <wp:wrapSquare wrapText="bothSides"/>
            <wp:docPr id="9" name="Picture 9" descr="NCVER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VER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37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AE2" w:rsidRDefault="006F0473" w:rsidP="00177827">
      <w:pPr>
        <w:pStyle w:val="PublicationTitle"/>
        <w:spacing w:before="0"/>
      </w:pPr>
      <w:r>
        <w:rPr>
          <w:noProof/>
          <w:lang w:eastAsia="en-AU"/>
        </w:rPr>
        <w:drawing>
          <wp:anchor distT="0" distB="0" distL="114300" distR="114300" simplePos="0" relativeHeight="251673600" behindDoc="0" locked="0" layoutInCell="1" allowOverlap="1">
            <wp:simplePos x="0" y="0"/>
            <wp:positionH relativeFrom="column">
              <wp:posOffset>-64770</wp:posOffset>
            </wp:positionH>
            <wp:positionV relativeFrom="paragraph">
              <wp:posOffset>141605</wp:posOffset>
            </wp:positionV>
            <wp:extent cx="2736215" cy="664210"/>
            <wp:effectExtent l="0" t="0" r="6985" b="2540"/>
            <wp:wrapSquare wrapText="bothSides"/>
            <wp:docPr id="2" name="Picture 2" descr="P:\PublicationComponents\logos\Commonwealth logo\Archive\AustGovt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Commonwealth logo\Archive\AustGovt_inli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215"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D85" w:rsidRDefault="00930D85" w:rsidP="00930D85">
      <w:pPr>
        <w:pStyle w:val="PublicationTitle"/>
        <w:spacing w:before="0" w:after="0"/>
      </w:pPr>
    </w:p>
    <w:p w:rsidR="006F0473" w:rsidRDefault="006F0473" w:rsidP="006F0473">
      <w:pPr>
        <w:pStyle w:val="PublicationTitle"/>
        <w:spacing w:before="300" w:after="0"/>
      </w:pPr>
    </w:p>
    <w:p w:rsidR="009E231A" w:rsidRPr="005C2FCF" w:rsidRDefault="009748E7" w:rsidP="00177827">
      <w:pPr>
        <w:pStyle w:val="PublicationTitle"/>
        <w:spacing w:before="0"/>
      </w:pPr>
      <w:r>
        <w:t>Developing</w:t>
      </w:r>
      <w:r w:rsidR="00BC038A">
        <w:t>,</w:t>
      </w:r>
      <w:r>
        <w:t xml:space="preserve"> </w:t>
      </w:r>
      <w:r w:rsidR="00BC038A">
        <w:t xml:space="preserve">approving and </w:t>
      </w:r>
      <w:r>
        <w:t>maintaining</w:t>
      </w:r>
      <w:r w:rsidR="00BC038A">
        <w:t xml:space="preserve"> </w:t>
      </w:r>
      <w:r>
        <w:t xml:space="preserve">qualifications: </w:t>
      </w:r>
      <w:r w:rsidR="002A128D">
        <w:t>s</w:t>
      </w:r>
      <w:r w:rsidR="00313BFA">
        <w:t>elected i</w:t>
      </w:r>
      <w:r>
        <w:t xml:space="preserve">nternational </w:t>
      </w:r>
      <w:bookmarkEnd w:id="0"/>
      <w:bookmarkEnd w:id="1"/>
      <w:r w:rsidR="003302C7">
        <w:t>approaches</w:t>
      </w:r>
    </w:p>
    <w:p w:rsidR="00177827" w:rsidRDefault="009748E7" w:rsidP="00177827">
      <w:pPr>
        <w:pStyle w:val="Authors"/>
      </w:pPr>
      <w:bookmarkStart w:id="2" w:name="_Toc296423678"/>
      <w:bookmarkStart w:id="3" w:name="_Toc296497509"/>
      <w:r>
        <w:t>Josie Misko</w:t>
      </w:r>
    </w:p>
    <w:bookmarkEnd w:id="2"/>
    <w:bookmarkEnd w:id="3"/>
    <w:p w:rsidR="009E231A" w:rsidRDefault="009748E7" w:rsidP="00177827">
      <w:pPr>
        <w:pStyle w:val="Organisation"/>
      </w:pPr>
      <w:r>
        <w:t>NCVER</w:t>
      </w:r>
    </w:p>
    <w:p w:rsidR="00DB599C" w:rsidRDefault="00A45AC1" w:rsidP="0006125F">
      <w:pPr>
        <w:pStyle w:val="Heading3"/>
        <w:ind w:right="-1"/>
      </w:pPr>
      <w:r>
        <w:rPr>
          <w:noProof/>
          <w:lang w:eastAsia="en-AU"/>
        </w:rPr>
        <mc:AlternateContent>
          <mc:Choice Requires="wps">
            <w:drawing>
              <wp:anchor distT="0" distB="0" distL="114300" distR="114300" simplePos="0" relativeHeight="251658240" behindDoc="0" locked="0" layoutInCell="1" allowOverlap="1" wp14:anchorId="3CB2BC06" wp14:editId="2FE3FA56">
                <wp:simplePos x="0" y="0"/>
                <wp:positionH relativeFrom="column">
                  <wp:posOffset>928370</wp:posOffset>
                </wp:positionH>
                <wp:positionV relativeFrom="margin">
                  <wp:posOffset>8378190</wp:posOffset>
                </wp:positionV>
                <wp:extent cx="4533900" cy="105410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24E" w:rsidRPr="00861CE5" w:rsidRDefault="00DD224E" w:rsidP="00861CE5">
                            <w:pPr>
                              <w:pStyle w:val="Imprint"/>
                              <w:spacing w:before="0"/>
                              <w:ind w:left="142" w:right="1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3.1pt;margin-top:659.7pt;width:357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JZtQIAALw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" filled="f" stroked="f">
                <v:textbox>
                  <w:txbxContent>
                    <w:p w:rsidR="00DD224E" w:rsidRPr="00861CE5" w:rsidRDefault="00DD224E" w:rsidP="00861CE5">
                      <w:pPr>
                        <w:pStyle w:val="Imprint"/>
                        <w:spacing w:before="0"/>
                        <w:ind w:left="142" w:right="10"/>
                        <w:rPr>
                          <w:color w:val="000000"/>
                        </w:rPr>
                      </w:pPr>
                    </w:p>
                  </w:txbxContent>
                </v:textbox>
                <w10:wrap anchory="margin"/>
              </v:shape>
            </w:pict>
          </mc:Fallback>
        </mc:AlternateContent>
      </w:r>
    </w:p>
    <w:p w:rsidR="008B22E2" w:rsidRDefault="00DC209A" w:rsidP="00E57478">
      <w:pPr>
        <w:pStyle w:val="Heading3"/>
        <w:ind w:right="-1"/>
      </w:pPr>
      <w:r>
        <w:rPr>
          <w:noProof/>
          <w:lang w:eastAsia="en-AU"/>
        </w:rPr>
        <mc:AlternateContent>
          <mc:Choice Requires="wps">
            <w:drawing>
              <wp:anchor distT="0" distB="0" distL="114300" distR="114300" simplePos="0" relativeHeight="251660288" behindDoc="0" locked="0" layoutInCell="1" allowOverlap="1" wp14:anchorId="1F2E3DE6" wp14:editId="4C095B4C">
                <wp:simplePos x="0" y="0"/>
                <wp:positionH relativeFrom="column">
                  <wp:posOffset>1018540</wp:posOffset>
                </wp:positionH>
                <wp:positionV relativeFrom="margin">
                  <wp:posOffset>7058025</wp:posOffset>
                </wp:positionV>
                <wp:extent cx="2810510" cy="10541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24E" w:rsidRPr="00DC209A" w:rsidRDefault="00DD224E" w:rsidP="00B22B14">
                            <w:pPr>
                              <w:pStyle w:val="Heading3"/>
                              <w:rPr>
                                <w:rFonts w:ascii="Trebuchet MS" w:hAnsi="Trebuchet MS"/>
                                <w:szCs w:val="24"/>
                              </w:rPr>
                            </w:pPr>
                            <w:r w:rsidRPr="00DC209A">
                              <w:rPr>
                                <w:rFonts w:ascii="Trebuchet MS" w:hAnsi="Trebuchet MS"/>
                                <w:szCs w:val="24"/>
                              </w:rPr>
                              <w:t xml:space="preserve">NATIONAL VOCATIONAL EDUCATION AND TRAINING RESEARCH PROGRAM </w:t>
                            </w:r>
                          </w:p>
                          <w:p w:rsidR="00DD224E" w:rsidRPr="00DC209A" w:rsidRDefault="00DD224E" w:rsidP="00B22B14">
                            <w:pPr>
                              <w:pStyle w:val="Heading3"/>
                              <w:spacing w:before="80"/>
                              <w:rPr>
                                <w:rFonts w:ascii="Trebuchet MS" w:hAnsi="Trebuchet MS"/>
                                <w:szCs w:val="24"/>
                              </w:rPr>
                            </w:pPr>
                            <w:r>
                              <w:rPr>
                                <w:rFonts w:ascii="Trebuchet MS" w:hAnsi="Trebuchet MS"/>
                                <w:b/>
                                <w:szCs w:val="24"/>
                              </w:rPr>
                              <w:t>RESEARCH REPORT</w:t>
                            </w:r>
                          </w:p>
                          <w:p w:rsidR="00DD224E" w:rsidRDefault="00DD224E" w:rsidP="009E2F64">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80.2pt;margin-top:555.75pt;width:221.3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dquQIAAMM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" filled="f" stroked="f">
                <v:textbox>
                  <w:txbxContent>
                    <w:p w:rsidR="00DD224E" w:rsidRPr="00DC209A" w:rsidRDefault="00DD224E" w:rsidP="00B22B14">
                      <w:pPr>
                        <w:pStyle w:val="Heading3"/>
                        <w:rPr>
                          <w:rFonts w:ascii="Trebuchet MS" w:hAnsi="Trebuchet MS"/>
                          <w:szCs w:val="24"/>
                        </w:rPr>
                      </w:pPr>
                      <w:r w:rsidRPr="00DC209A">
                        <w:rPr>
                          <w:rFonts w:ascii="Trebuchet MS" w:hAnsi="Trebuchet MS"/>
                          <w:szCs w:val="24"/>
                        </w:rPr>
                        <w:t xml:space="preserve">NATIONAL VOCATIONAL EDUCATION AND TRAINING RESEARCH PROGRAM </w:t>
                      </w:r>
                    </w:p>
                    <w:p w:rsidR="00DD224E" w:rsidRPr="00DC209A" w:rsidRDefault="00DD224E" w:rsidP="00B22B14">
                      <w:pPr>
                        <w:pStyle w:val="Heading3"/>
                        <w:spacing w:before="80"/>
                        <w:rPr>
                          <w:rFonts w:ascii="Trebuchet MS" w:hAnsi="Trebuchet MS"/>
                          <w:szCs w:val="24"/>
                        </w:rPr>
                      </w:pPr>
                      <w:r>
                        <w:rPr>
                          <w:rFonts w:ascii="Trebuchet MS" w:hAnsi="Trebuchet MS"/>
                          <w:b/>
                          <w:szCs w:val="24"/>
                        </w:rPr>
                        <w:t>RESEARCH REPORT</w:t>
                      </w:r>
                    </w:p>
                    <w:p w:rsidR="00DD224E" w:rsidRDefault="00DD224E" w:rsidP="009E2F64">
                      <w:pPr>
                        <w:pStyle w:val="Heading3"/>
                      </w:pPr>
                    </w:p>
                  </w:txbxContent>
                </v:textbox>
                <w10:wrap anchory="margin"/>
              </v:shape>
            </w:pict>
          </mc:Fallback>
        </mc:AlternateContent>
      </w:r>
      <w:r w:rsidR="00FE4A2D" w:rsidRPr="005C2FCF">
        <w:br w:type="page"/>
      </w:r>
    </w:p>
    <w:p w:rsidR="00FF5931" w:rsidRDefault="00B20E4A" w:rsidP="00B20E4A">
      <w:pPr>
        <w:pStyle w:val="Heading3"/>
      </w:pPr>
      <w:r w:rsidRPr="008F1463">
        <w:lastRenderedPageBreak/>
        <w:t>Publisher’s note</w:t>
      </w:r>
    </w:p>
    <w:p w:rsidR="008F1463" w:rsidRPr="008F1463" w:rsidRDefault="008F1463" w:rsidP="00930D85">
      <w:pPr>
        <w:pStyle w:val="Imprint"/>
      </w:pPr>
      <w:r w:rsidRPr="008F1463">
        <w:t>This report has been prepared by the National Centre for Vocational Education Research (NCVER) on behalf of the Skills Senior Officials</w:t>
      </w:r>
      <w:r w:rsidR="0081490A">
        <w:t>,</w:t>
      </w:r>
      <w:r w:rsidRPr="008F1463">
        <w:t xml:space="preserve"> under the National Vocational Education and Training Research (NVETR) Program. Funds are set aside to support the provision of research and policy advice to assist </w:t>
      </w:r>
      <w:r w:rsidRPr="00604F17">
        <w:t xml:space="preserve">with the </w:t>
      </w:r>
      <w:r w:rsidR="00604F17">
        <w:t>Australian g</w:t>
      </w:r>
      <w:r w:rsidRPr="00604F17">
        <w:t>overnments</w:t>
      </w:r>
      <w:r w:rsidR="0081490A" w:rsidRPr="00604F17">
        <w:t>’</w:t>
      </w:r>
      <w:r w:rsidRPr="00604F17">
        <w:t xml:space="preserve"> ed</w:t>
      </w:r>
      <w:r w:rsidRPr="008F1463">
        <w:t>ucation and skills reform.</w:t>
      </w:r>
    </w:p>
    <w:p w:rsidR="009E231A" w:rsidRPr="00C77DC6" w:rsidRDefault="00A45AC1" w:rsidP="0049453B">
      <w:pPr>
        <w:pStyle w:val="Abouttheresearch"/>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2016779</wp:posOffset>
                </wp:positionV>
                <wp:extent cx="4865511" cy="5791200"/>
                <wp:effectExtent l="0" t="0" r="1143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511"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24E" w:rsidRPr="00A021FC" w:rsidRDefault="00DD224E" w:rsidP="00B22B14">
                            <w:pPr>
                              <w:pStyle w:val="Imprint"/>
                              <w:rPr>
                                <w:b/>
                              </w:rPr>
                            </w:pPr>
                            <w:r w:rsidRPr="00A021FC">
                              <w:rPr>
                                <w:b/>
                              </w:rPr>
                              <w:t xml:space="preserve">© Commonwealth of Australia, </w:t>
                            </w:r>
                            <w:r>
                              <w:rPr>
                                <w:b/>
                              </w:rPr>
                              <w:t>2015</w:t>
                            </w:r>
                          </w:p>
                          <w:p w:rsidR="00DD224E" w:rsidRDefault="00DD224E" w:rsidP="00B22B14">
                            <w:pPr>
                              <w:pStyle w:val="Imprint"/>
                              <w:rPr>
                                <w:sz w:val="20"/>
                              </w:rPr>
                            </w:pPr>
                            <w:r w:rsidRPr="00E80270">
                              <w:rPr>
                                <w:noProof/>
                                <w:sz w:val="20"/>
                                <w:lang w:eastAsia="en-AU"/>
                              </w:rPr>
                              <w:drawing>
                                <wp:inline distT="0" distB="0" distL="0" distR="0">
                                  <wp:extent cx="850265" cy="302895"/>
                                  <wp:effectExtent l="19050" t="0" r="6985" b="0"/>
                                  <wp:docPr id="6" name="Picture 6"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DD224E" w:rsidRPr="00A021FC" w:rsidRDefault="00DD224E" w:rsidP="00B22B14">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&lt;http://creativecommons.org/licenses/by/3.0/au&gt; licence. </w:t>
                            </w:r>
                          </w:p>
                          <w:p w:rsidR="00DD224E" w:rsidRPr="00A021FC" w:rsidRDefault="00DD224E" w:rsidP="00B22B14">
                            <w:pPr>
                              <w:pStyle w:val="Imprint"/>
                            </w:pPr>
                            <w:r w:rsidRPr="00A021FC">
                              <w:t>The details of the relevant licence conditions are available on the Creative Commons website (accessible</w:t>
                            </w:r>
                            <w:r>
                              <w:t> </w:t>
                            </w:r>
                            <w:r w:rsidRPr="00A021FC">
                              <w:t>using the links provided) as is the full legal code for the CC BY 3.0 AU licence &lt;http://creativecommons.org/licenses/by/3.0/legalcode&gt;.</w:t>
                            </w:r>
                          </w:p>
                          <w:p w:rsidR="00DD224E" w:rsidRPr="00A021FC" w:rsidRDefault="00DD224E" w:rsidP="00B22B14">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DD224E" w:rsidRPr="00B22B14" w:rsidRDefault="00DD224E" w:rsidP="00A30084">
                            <w:pPr>
                              <w:pStyle w:val="Imprint"/>
                            </w:pPr>
                            <w:r w:rsidRPr="00A021FC">
                              <w:t xml:space="preserve">This document should be attributed as </w:t>
                            </w:r>
                            <w:r>
                              <w:t>Misko, J 2015</w:t>
                            </w:r>
                            <w:r w:rsidRPr="00DC209A">
                              <w:t xml:space="preserve">, </w:t>
                            </w:r>
                            <w:proofErr w:type="gramStart"/>
                            <w:r>
                              <w:rPr>
                                <w:i/>
                              </w:rPr>
                              <w:t>Developing</w:t>
                            </w:r>
                            <w:proofErr w:type="gramEnd"/>
                            <w:r>
                              <w:rPr>
                                <w:i/>
                              </w:rPr>
                              <w:t>, approving and maintaining qualifications: selected international approaches</w:t>
                            </w:r>
                            <w:r w:rsidRPr="00A021FC">
                              <w:rPr>
                                <w:i/>
                              </w:rPr>
                              <w:t>,</w:t>
                            </w:r>
                            <w:r w:rsidRPr="00A021FC">
                              <w:t xml:space="preserve"> NCVER, Adelaide.</w:t>
                            </w:r>
                          </w:p>
                          <w:p w:rsidR="00DD224E" w:rsidRPr="005C2FCF" w:rsidRDefault="00DD224E" w:rsidP="00A30084">
                            <w:pPr>
                              <w:pStyle w:val="Imprint"/>
                              <w:rPr>
                                <w:color w:val="000000"/>
                              </w:rPr>
                            </w:pPr>
                            <w:r w:rsidRPr="005C2FCF">
                              <w:rPr>
                                <w:color w:val="000000"/>
                              </w:rPr>
                              <w:t>ISBN</w:t>
                            </w:r>
                            <w:r w:rsidRPr="005C2FCF">
                              <w:rPr>
                                <w:color w:val="000000"/>
                              </w:rPr>
                              <w:tab/>
                            </w:r>
                            <w:r w:rsidRPr="00B22B14">
                              <w:rPr>
                                <w:color w:val="000000"/>
                              </w:rPr>
                              <w:t>978 1 925173 13 0</w:t>
                            </w:r>
                            <w:r w:rsidRPr="005C2FCF">
                              <w:rPr>
                                <w:color w:val="000000"/>
                              </w:rPr>
                              <w:br/>
                              <w:t>TD/TNC</w:t>
                            </w:r>
                            <w:r w:rsidRPr="005C2FCF">
                              <w:rPr>
                                <w:color w:val="000000"/>
                              </w:rPr>
                              <w:tab/>
                            </w:r>
                            <w:r w:rsidRPr="00B22B14">
                              <w:rPr>
                                <w:color w:val="000000"/>
                              </w:rPr>
                              <w:t>118.17</w:t>
                            </w:r>
                          </w:p>
                          <w:p w:rsidR="00DD224E" w:rsidRPr="005C2FCF" w:rsidRDefault="00DD224E" w:rsidP="00A9088D">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DD224E" w:rsidRPr="005C2FCF" w:rsidRDefault="00DD224E" w:rsidP="00A9088D">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DD224E" w:rsidRDefault="00DD224E" w:rsidP="00A9088D">
                            <w:pPr>
                              <w:pStyle w:val="Imprint"/>
                              <w:tabs>
                                <w:tab w:val="left" w:pos="3402"/>
                              </w:tabs>
                            </w:pPr>
                            <w:r w:rsidRPr="00D212FA">
                              <w:rPr>
                                <w:b/>
                              </w:rPr>
                              <w:t>P</w:t>
                            </w:r>
                            <w:r>
                              <w:rPr>
                                <w:b/>
                              </w:rPr>
                              <w:t>hone</w:t>
                            </w:r>
                            <w:r w:rsidRPr="00D212FA">
                              <w:t xml:space="preserve"> +61 8 8230 8400</w:t>
                            </w:r>
                            <w:r>
                              <w:t xml:space="preserve">  </w:t>
                            </w:r>
                            <w:r w:rsidRPr="00D212FA">
                              <w:t xml:space="preserve"> </w:t>
                            </w:r>
                            <w:r>
                              <w:t xml:space="preserve">  </w:t>
                            </w:r>
                            <w:r w:rsidRPr="00D212FA">
                              <w:rPr>
                                <w:b/>
                              </w:rPr>
                              <w:t>F</w:t>
                            </w:r>
                            <w:r>
                              <w:rPr>
                                <w:b/>
                              </w:rPr>
                              <w:t>ax</w:t>
                            </w:r>
                            <w:r w:rsidRPr="00D212FA">
                              <w:t xml:space="preserve"> +61 8 8212 3436</w:t>
                            </w:r>
                          </w:p>
                          <w:p w:rsidR="00DD224E" w:rsidRPr="002C3573" w:rsidRDefault="00DD224E" w:rsidP="00A9088D">
                            <w:pPr>
                              <w:pStyle w:val="Imprint"/>
                              <w:spacing w:before="0"/>
                            </w:pPr>
                            <w:r w:rsidRPr="002C3573">
                              <w:rPr>
                                <w:b/>
                              </w:rPr>
                              <w:t>Email</w:t>
                            </w:r>
                            <w:r w:rsidRPr="002C3573">
                              <w:t xml:space="preserve"> </w:t>
                            </w:r>
                            <w:hyperlink r:id="rId12" w:history="1">
                              <w:r w:rsidRPr="002C3573">
                                <w:rPr>
                                  <w:rStyle w:val="Hyperlink"/>
                                  <w:sz w:val="16"/>
                                </w:rPr>
                                <w:t>ncver@ncver.edu.au</w:t>
                              </w:r>
                            </w:hyperlink>
                            <w:r w:rsidRPr="002C3573">
                              <w:t xml:space="preserve">     </w:t>
                            </w:r>
                            <w:r w:rsidRPr="002C3573">
                              <w:rPr>
                                <w:b/>
                              </w:rPr>
                              <w:t>Web</w:t>
                            </w:r>
                            <w:r w:rsidRPr="002C3573">
                              <w:t xml:space="preserve"> &lt;http://www.ncver.edu.au</w:t>
                            </w:r>
                            <w:proofErr w:type="gramStart"/>
                            <w:r w:rsidRPr="002C3573">
                              <w:t>&gt;  &lt;</w:t>
                            </w:r>
                            <w:proofErr w:type="gramEnd"/>
                            <w:hyperlink r:id="rId13" w:history="1">
                              <w:r w:rsidRPr="002C3573">
                                <w:rPr>
                                  <w:rStyle w:val="Hyperlink"/>
                                  <w:sz w:val="16"/>
                                </w:rPr>
                                <w:t>http://www.lsay.edu.au</w:t>
                              </w:r>
                            </w:hyperlink>
                            <w:r w:rsidRPr="002C3573">
                              <w:t>&gt;</w:t>
                            </w:r>
                          </w:p>
                          <w:p w:rsidR="00DD224E" w:rsidRPr="00D212FA" w:rsidRDefault="00DD224E" w:rsidP="00A9088D">
                            <w:pPr>
                              <w:pStyle w:val="Imprint"/>
                              <w:tabs>
                                <w:tab w:val="left" w:pos="993"/>
                                <w:tab w:val="left" w:pos="3686"/>
                              </w:tabs>
                              <w:spacing w:before="0"/>
                            </w:pPr>
                            <w:r w:rsidRPr="00E65C3B">
                              <w:rPr>
                                <w:b/>
                              </w:rPr>
                              <w:t>Follow us:</w:t>
                            </w:r>
                            <w:r>
                              <w:t xml:space="preserve"> </w:t>
                            </w:r>
                            <w:r>
                              <w:tab/>
                            </w:r>
                            <w:r>
                              <w:rPr>
                                <w:noProof/>
                                <w:lang w:eastAsia="en-AU"/>
                              </w:rPr>
                              <w:drawing>
                                <wp:inline distT="0" distB="0" distL="0" distR="0">
                                  <wp:extent cx="120650" cy="1466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46685"/>
                                          </a:xfrm>
                                          <a:prstGeom prst="rect">
                                            <a:avLst/>
                                          </a:prstGeom>
                                          <a:noFill/>
                                          <a:ln>
                                            <a:noFill/>
                                          </a:ln>
                                        </pic:spPr>
                                      </pic:pic>
                                    </a:graphicData>
                                  </a:graphic>
                                </wp:inline>
                              </w:drawing>
                            </w:r>
                            <w:r>
                              <w:t xml:space="preserve"> &lt;http://twitter.com/ncver&gt;</w:t>
                            </w:r>
                            <w:r>
                              <w:tab/>
                            </w:r>
                            <w:r>
                              <w:rPr>
                                <w:noProof/>
                                <w:lang w:eastAsia="en-AU"/>
                              </w:rPr>
                              <w:drawing>
                                <wp:inline distT="0" distB="0" distL="0" distR="0">
                                  <wp:extent cx="129540" cy="146685"/>
                                  <wp:effectExtent l="0" t="0" r="381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 cy="146685"/>
                                          </a:xfrm>
                                          <a:prstGeom prst="rect">
                                            <a:avLst/>
                                          </a:prstGeom>
                                          <a:noFill/>
                                          <a:ln>
                                            <a:noFill/>
                                          </a:ln>
                                        </pic:spPr>
                                      </pic:pic>
                                    </a:graphicData>
                                  </a:graphic>
                                </wp:inline>
                              </w:drawing>
                            </w:r>
                            <w:r>
                              <w:t xml:space="preserve"> &lt;http://www.linkedin.com/company/ncver&gt;</w:t>
                            </w:r>
                          </w:p>
                          <w:p w:rsidR="00DD224E" w:rsidRDefault="00DD224E" w:rsidP="00A9088D">
                            <w:pPr>
                              <w:pStyle w:val="Imprint"/>
                              <w:ind w:right="1700"/>
                              <w:rPr>
                                <w:color w:val="000000"/>
                              </w:rPr>
                            </w:pP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5pt;margin-top:158.8pt;width:383.1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" filled="f" stroked="f">
                <v:textbox inset="0,,0">
                  <w:txbxContent>
                    <w:p w:rsidR="00DD224E" w:rsidRPr="00A021FC" w:rsidRDefault="00DD224E" w:rsidP="00B22B14">
                      <w:pPr>
                        <w:pStyle w:val="Imprint"/>
                        <w:rPr>
                          <w:b/>
                        </w:rPr>
                      </w:pPr>
                      <w:r w:rsidRPr="00A021FC">
                        <w:rPr>
                          <w:b/>
                        </w:rPr>
                        <w:t xml:space="preserve">© Commonwealth of Australia, </w:t>
                      </w:r>
                      <w:r>
                        <w:rPr>
                          <w:b/>
                        </w:rPr>
                        <w:t>2015</w:t>
                      </w:r>
                    </w:p>
                    <w:p w:rsidR="00DD224E" w:rsidRDefault="00DD224E" w:rsidP="00B22B14">
                      <w:pPr>
                        <w:pStyle w:val="Imprint"/>
                        <w:rPr>
                          <w:sz w:val="20"/>
                        </w:rPr>
                      </w:pPr>
                      <w:r w:rsidRPr="00E80270">
                        <w:rPr>
                          <w:noProof/>
                          <w:sz w:val="20"/>
                          <w:lang w:eastAsia="en-AU"/>
                        </w:rPr>
                        <w:drawing>
                          <wp:inline distT="0" distB="0" distL="0" distR="0">
                            <wp:extent cx="850265" cy="302895"/>
                            <wp:effectExtent l="19050" t="0" r="6985" b="0"/>
                            <wp:docPr id="6" name="Picture 6"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DD224E" w:rsidRPr="00A021FC" w:rsidRDefault="00DD224E" w:rsidP="00B22B14">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&lt;http://creativecommons.org/licenses/by/3.0/au&gt; licence. </w:t>
                      </w:r>
                    </w:p>
                    <w:p w:rsidR="00DD224E" w:rsidRPr="00A021FC" w:rsidRDefault="00DD224E" w:rsidP="00B22B14">
                      <w:pPr>
                        <w:pStyle w:val="Imprint"/>
                      </w:pPr>
                      <w:r w:rsidRPr="00A021FC">
                        <w:t>The details of the relevant licence conditions are available on the Creative Commons website (accessible</w:t>
                      </w:r>
                      <w:r>
                        <w:t> </w:t>
                      </w:r>
                      <w:r w:rsidRPr="00A021FC">
                        <w:t>using the links provided) as is the full legal code for the CC BY 3.0 AU licence &lt;http://creativecommons.org/licenses/by/3.0/legalcode&gt;.</w:t>
                      </w:r>
                    </w:p>
                    <w:p w:rsidR="00DD224E" w:rsidRPr="00A021FC" w:rsidRDefault="00DD224E" w:rsidP="00B22B14">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DD224E" w:rsidRPr="00B22B14" w:rsidRDefault="00DD224E" w:rsidP="00A30084">
                      <w:pPr>
                        <w:pStyle w:val="Imprint"/>
                      </w:pPr>
                      <w:r w:rsidRPr="00A021FC">
                        <w:t xml:space="preserve">This document should be attributed as </w:t>
                      </w:r>
                      <w:r>
                        <w:t>Misko, J 2015</w:t>
                      </w:r>
                      <w:r w:rsidRPr="00DC209A">
                        <w:t xml:space="preserve">, </w:t>
                      </w:r>
                      <w:r>
                        <w:rPr>
                          <w:i/>
                        </w:rPr>
                        <w:t>Developing, approving and maintaining qualifications: selected international approaches</w:t>
                      </w:r>
                      <w:r w:rsidRPr="00A021FC">
                        <w:rPr>
                          <w:i/>
                        </w:rPr>
                        <w:t>,</w:t>
                      </w:r>
                      <w:r w:rsidRPr="00A021FC">
                        <w:t xml:space="preserve"> NCVER, Adelaide.</w:t>
                      </w:r>
                    </w:p>
                    <w:p w:rsidR="00DD224E" w:rsidRPr="005C2FCF" w:rsidRDefault="00DD224E" w:rsidP="00A30084">
                      <w:pPr>
                        <w:pStyle w:val="Imprint"/>
                        <w:rPr>
                          <w:color w:val="000000"/>
                        </w:rPr>
                      </w:pPr>
                      <w:r w:rsidRPr="005C2FCF">
                        <w:rPr>
                          <w:color w:val="000000"/>
                        </w:rPr>
                        <w:t>ISBN</w:t>
                      </w:r>
                      <w:r w:rsidRPr="005C2FCF">
                        <w:rPr>
                          <w:color w:val="000000"/>
                        </w:rPr>
                        <w:tab/>
                      </w:r>
                      <w:r w:rsidRPr="00B22B14">
                        <w:rPr>
                          <w:color w:val="000000"/>
                        </w:rPr>
                        <w:t>978 1 925173 13 0</w:t>
                      </w:r>
                      <w:r w:rsidRPr="005C2FCF">
                        <w:rPr>
                          <w:color w:val="000000"/>
                        </w:rPr>
                        <w:br/>
                        <w:t>TD/TNC</w:t>
                      </w:r>
                      <w:r w:rsidRPr="005C2FCF">
                        <w:rPr>
                          <w:color w:val="000000"/>
                        </w:rPr>
                        <w:tab/>
                      </w:r>
                      <w:r w:rsidRPr="00B22B14">
                        <w:rPr>
                          <w:color w:val="000000"/>
                        </w:rPr>
                        <w:t>118.17</w:t>
                      </w:r>
                    </w:p>
                    <w:p w:rsidR="00DD224E" w:rsidRPr="005C2FCF" w:rsidRDefault="00DD224E" w:rsidP="00A9088D">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DD224E" w:rsidRPr="005C2FCF" w:rsidRDefault="00DD224E" w:rsidP="00A9088D">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DD224E" w:rsidRDefault="00DD224E" w:rsidP="00A9088D">
                      <w:pPr>
                        <w:pStyle w:val="Imprint"/>
                        <w:tabs>
                          <w:tab w:val="left" w:pos="3402"/>
                        </w:tabs>
                      </w:pPr>
                      <w:r w:rsidRPr="00D212FA">
                        <w:rPr>
                          <w:b/>
                        </w:rPr>
                        <w:t>P</w:t>
                      </w:r>
                      <w:r>
                        <w:rPr>
                          <w:b/>
                        </w:rPr>
                        <w:t>hone</w:t>
                      </w:r>
                      <w:r w:rsidRPr="00D212FA">
                        <w:t xml:space="preserve"> +61 8 8230 8400</w:t>
                      </w:r>
                      <w:r>
                        <w:t xml:space="preserve">  </w:t>
                      </w:r>
                      <w:r w:rsidRPr="00D212FA">
                        <w:t xml:space="preserve"> </w:t>
                      </w:r>
                      <w:r>
                        <w:t xml:space="preserve">  </w:t>
                      </w:r>
                      <w:r w:rsidRPr="00D212FA">
                        <w:rPr>
                          <w:b/>
                        </w:rPr>
                        <w:t>F</w:t>
                      </w:r>
                      <w:r>
                        <w:rPr>
                          <w:b/>
                        </w:rPr>
                        <w:t>ax</w:t>
                      </w:r>
                      <w:r w:rsidRPr="00D212FA">
                        <w:t xml:space="preserve"> +61 8 8212 3436</w:t>
                      </w:r>
                    </w:p>
                    <w:p w:rsidR="00DD224E" w:rsidRPr="002C3573" w:rsidRDefault="00DD224E" w:rsidP="00A9088D">
                      <w:pPr>
                        <w:pStyle w:val="Imprint"/>
                        <w:spacing w:before="0"/>
                      </w:pPr>
                      <w:r w:rsidRPr="002C3573">
                        <w:rPr>
                          <w:b/>
                        </w:rPr>
                        <w:t>Email</w:t>
                      </w:r>
                      <w:r w:rsidRPr="002C3573">
                        <w:t xml:space="preserve"> </w:t>
                      </w:r>
                      <w:hyperlink r:id="rId17" w:history="1">
                        <w:r w:rsidRPr="002C3573">
                          <w:rPr>
                            <w:rStyle w:val="Hyperlink"/>
                            <w:sz w:val="16"/>
                          </w:rPr>
                          <w:t>ncver@ncver.edu.au</w:t>
                        </w:r>
                      </w:hyperlink>
                      <w:r w:rsidRPr="002C3573">
                        <w:t xml:space="preserve">     </w:t>
                      </w:r>
                      <w:r w:rsidRPr="002C3573">
                        <w:rPr>
                          <w:b/>
                        </w:rPr>
                        <w:t>Web</w:t>
                      </w:r>
                      <w:r w:rsidRPr="002C3573">
                        <w:t xml:space="preserve"> &lt;http://www.ncver.edu.au&gt;  &lt;</w:t>
                      </w:r>
                      <w:hyperlink r:id="rId18" w:history="1">
                        <w:r w:rsidRPr="002C3573">
                          <w:rPr>
                            <w:rStyle w:val="Hyperlink"/>
                            <w:sz w:val="16"/>
                          </w:rPr>
                          <w:t>http://www.lsay.edu.au</w:t>
                        </w:r>
                      </w:hyperlink>
                      <w:r w:rsidRPr="002C3573">
                        <w:t>&gt;</w:t>
                      </w:r>
                    </w:p>
                    <w:p w:rsidR="00DD224E" w:rsidRPr="00D212FA" w:rsidRDefault="00DD224E" w:rsidP="00A9088D">
                      <w:pPr>
                        <w:pStyle w:val="Imprint"/>
                        <w:tabs>
                          <w:tab w:val="left" w:pos="993"/>
                          <w:tab w:val="left" w:pos="3686"/>
                        </w:tabs>
                        <w:spacing w:before="0"/>
                      </w:pPr>
                      <w:r w:rsidRPr="00E65C3B">
                        <w:rPr>
                          <w:b/>
                        </w:rPr>
                        <w:t>Follow us:</w:t>
                      </w:r>
                      <w:r>
                        <w:t xml:space="preserve"> </w:t>
                      </w:r>
                      <w:r>
                        <w:tab/>
                      </w:r>
                      <w:r>
                        <w:rPr>
                          <w:noProof/>
                          <w:lang w:eastAsia="en-AU"/>
                        </w:rPr>
                        <w:drawing>
                          <wp:inline distT="0" distB="0" distL="0" distR="0">
                            <wp:extent cx="120650" cy="1466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46685"/>
                                    </a:xfrm>
                                    <a:prstGeom prst="rect">
                                      <a:avLst/>
                                    </a:prstGeom>
                                    <a:noFill/>
                                    <a:ln>
                                      <a:noFill/>
                                    </a:ln>
                                  </pic:spPr>
                                </pic:pic>
                              </a:graphicData>
                            </a:graphic>
                          </wp:inline>
                        </w:drawing>
                      </w:r>
                      <w:r>
                        <w:t xml:space="preserve"> &lt;http://twitter.com/ncver&gt;</w:t>
                      </w:r>
                      <w:r>
                        <w:tab/>
                      </w:r>
                      <w:r>
                        <w:rPr>
                          <w:noProof/>
                          <w:lang w:eastAsia="en-AU"/>
                        </w:rPr>
                        <w:drawing>
                          <wp:inline distT="0" distB="0" distL="0" distR="0">
                            <wp:extent cx="129540" cy="146685"/>
                            <wp:effectExtent l="0" t="0" r="381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 cy="146685"/>
                                    </a:xfrm>
                                    <a:prstGeom prst="rect">
                                      <a:avLst/>
                                    </a:prstGeom>
                                    <a:noFill/>
                                    <a:ln>
                                      <a:noFill/>
                                    </a:ln>
                                  </pic:spPr>
                                </pic:pic>
                              </a:graphicData>
                            </a:graphic>
                          </wp:inline>
                        </w:drawing>
                      </w:r>
                      <w:r>
                        <w:t xml:space="preserve"> &lt;http://www.linkedin.com/company/ncver&gt;</w:t>
                      </w:r>
                    </w:p>
                    <w:p w:rsidR="00DD224E" w:rsidRDefault="00DD224E" w:rsidP="00A9088D">
                      <w:pPr>
                        <w:pStyle w:val="Imprint"/>
                        <w:ind w:right="1700"/>
                        <w:rPr>
                          <w:color w:val="000000"/>
                        </w:rPr>
                      </w:pPr>
                    </w:p>
                  </w:txbxContent>
                </v:textbox>
              </v:shape>
            </w:pict>
          </mc:Fallback>
        </mc:AlternateContent>
      </w:r>
      <w:r w:rsidR="00FE4A2D"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r w:rsidR="00FE4A2D"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1B43CF" w:rsidRDefault="008276F2" w:rsidP="00F93048">
      <w:pPr>
        <w:pStyle w:val="Abouttheresearchpubtitle"/>
      </w:pPr>
      <w:bookmarkStart w:id="17" w:name="_Toc296423680"/>
      <w:bookmarkStart w:id="18" w:name="_Toc296497511"/>
      <w:bookmarkStart w:id="19" w:name="_Toc98394877"/>
      <w:r>
        <w:t xml:space="preserve">Developing, approving and maintaining qualifications: selected </w:t>
      </w:r>
      <w:bookmarkEnd w:id="17"/>
      <w:bookmarkEnd w:id="18"/>
      <w:r w:rsidR="00224249">
        <w:t>international approaches</w:t>
      </w:r>
    </w:p>
    <w:p w:rsidR="009E231A" w:rsidRPr="001B43CF" w:rsidRDefault="008276F2" w:rsidP="00DC209A">
      <w:pPr>
        <w:pStyle w:val="Heading3"/>
      </w:pPr>
      <w:bookmarkStart w:id="20" w:name="_Toc296423681"/>
      <w:bookmarkStart w:id="21" w:name="_Toc296497512"/>
      <w:r>
        <w:t xml:space="preserve">Josie </w:t>
      </w:r>
      <w:r w:rsidRPr="00DC209A">
        <w:t>Misko</w:t>
      </w:r>
      <w:r>
        <w:t>, NCVER</w:t>
      </w:r>
      <w:bookmarkEnd w:id="19"/>
      <w:bookmarkEnd w:id="20"/>
      <w:bookmarkEnd w:id="21"/>
    </w:p>
    <w:p w:rsidR="009E231A" w:rsidRPr="00DC209A" w:rsidRDefault="0052219E" w:rsidP="00DC209A">
      <w:pPr>
        <w:pStyle w:val="Text"/>
      </w:pPr>
      <w:r>
        <w:t>There are lessons for Australia in</w:t>
      </w:r>
      <w:r w:rsidR="00CF18BF">
        <w:t xml:space="preserve"> </w:t>
      </w:r>
      <w:r>
        <w:t xml:space="preserve">the </w:t>
      </w:r>
      <w:r w:rsidR="00CF18BF">
        <w:t xml:space="preserve">key approaches </w:t>
      </w:r>
      <w:r w:rsidR="00421151">
        <w:t>to</w:t>
      </w:r>
      <w:r w:rsidR="00CF18BF">
        <w:t xml:space="preserve"> the dev</w:t>
      </w:r>
      <w:r w:rsidR="00421151">
        <w:t xml:space="preserve">elopment, approval, </w:t>
      </w:r>
      <w:proofErr w:type="gramStart"/>
      <w:r w:rsidR="00421151">
        <w:t>maintenance</w:t>
      </w:r>
      <w:proofErr w:type="gramEnd"/>
      <w:r w:rsidR="00CF18BF">
        <w:t xml:space="preserve"> and quality assurance of qualifications</w:t>
      </w:r>
      <w:r w:rsidR="00A54952">
        <w:t xml:space="preserve"> adopted in countries overseas</w:t>
      </w:r>
      <w:r w:rsidR="00CF18BF">
        <w:t xml:space="preserve">. </w:t>
      </w:r>
      <w:r w:rsidR="002D376B">
        <w:t xml:space="preserve">This research takes into account a range of approaches used </w:t>
      </w:r>
      <w:r w:rsidR="008276F2">
        <w:t xml:space="preserve">in </w:t>
      </w:r>
      <w:r w:rsidR="00EF1DC8">
        <w:t>selected</w:t>
      </w:r>
      <w:r w:rsidR="008276F2">
        <w:t xml:space="preserve"> </w:t>
      </w:r>
      <w:r w:rsidR="00421151">
        <w:t>European Union (</w:t>
      </w:r>
      <w:r w:rsidR="008276F2">
        <w:t>EU</w:t>
      </w:r>
      <w:r w:rsidR="00421151">
        <w:t>)</w:t>
      </w:r>
      <w:r w:rsidR="008276F2">
        <w:t xml:space="preserve"> member s</w:t>
      </w:r>
      <w:r w:rsidR="00224249">
        <w:t xml:space="preserve">tates </w:t>
      </w:r>
      <w:r w:rsidR="002A128D">
        <w:t>(Germany, Finland and</w:t>
      </w:r>
      <w:r w:rsidR="00224249">
        <w:t xml:space="preserve"> Sweden</w:t>
      </w:r>
      <w:r w:rsidR="008276F2">
        <w:t>)</w:t>
      </w:r>
      <w:r w:rsidR="00224249">
        <w:t>, the United Kingdom (England, Northern Ireland and Wales, Scotland, and Ireland)</w:t>
      </w:r>
      <w:r w:rsidR="008276F2">
        <w:t xml:space="preserve"> and the na</w:t>
      </w:r>
      <w:r w:rsidR="002A128D">
        <w:t>tions of New Zealand, Singapore</w:t>
      </w:r>
      <w:r w:rsidR="008276F2">
        <w:t xml:space="preserve"> and South Korea. The processes used in Ontario, Canada</w:t>
      </w:r>
      <w:r w:rsidR="00421151">
        <w:t>,</w:t>
      </w:r>
      <w:r w:rsidR="008276F2">
        <w:t xml:space="preserve"> and selected </w:t>
      </w:r>
      <w:r w:rsidR="002A128D">
        <w:t xml:space="preserve">accreditation agencies </w:t>
      </w:r>
      <w:r w:rsidR="008276F2">
        <w:t xml:space="preserve">in the </w:t>
      </w:r>
      <w:r w:rsidR="008276F2" w:rsidRPr="00DC209A">
        <w:t xml:space="preserve">United States </w:t>
      </w:r>
      <w:r w:rsidR="00202294" w:rsidRPr="00DC209A">
        <w:t xml:space="preserve">were also </w:t>
      </w:r>
      <w:r w:rsidR="008276F2" w:rsidRPr="00DC209A">
        <w:t xml:space="preserve">investigated. </w:t>
      </w:r>
    </w:p>
    <w:p w:rsidR="00224249" w:rsidRPr="005C2FCF" w:rsidRDefault="00224249" w:rsidP="00DC209A">
      <w:pPr>
        <w:pStyle w:val="Text"/>
        <w:rPr>
          <w:color w:val="000000"/>
        </w:rPr>
      </w:pPr>
      <w:r w:rsidRPr="00DC209A">
        <w:t xml:space="preserve">This work serves to inform the </w:t>
      </w:r>
      <w:r w:rsidR="00421151" w:rsidRPr="00DC209A">
        <w:t xml:space="preserve">vocational </w:t>
      </w:r>
      <w:r w:rsidR="00421151">
        <w:t>education and training (</w:t>
      </w:r>
      <w:r>
        <w:t>VET</w:t>
      </w:r>
      <w:r w:rsidR="00421151">
        <w:t>)</w:t>
      </w:r>
      <w:r>
        <w:t xml:space="preserve"> sector in Australia </w:t>
      </w:r>
      <w:r w:rsidR="00A54952">
        <w:t>about</w:t>
      </w:r>
      <w:r>
        <w:t xml:space="preserve"> practices used overseas. It provides a useful reference document for agencies charged with developing and reviewing qualifications and showcases </w:t>
      </w:r>
      <w:r w:rsidR="00421151">
        <w:t xml:space="preserve">the </w:t>
      </w:r>
      <w:r>
        <w:t xml:space="preserve">different approaches used </w:t>
      </w:r>
      <w:r w:rsidR="004A7178">
        <w:t>to ensure that qualifications remain current for the industries they serve.</w:t>
      </w:r>
      <w:r w:rsidR="004F7A35">
        <w:t xml:space="preserve"> </w:t>
      </w:r>
    </w:p>
    <w:p w:rsidR="009E231A" w:rsidRPr="005C2FCF" w:rsidRDefault="00FE4A2D" w:rsidP="0049453B">
      <w:pPr>
        <w:pStyle w:val="Keymessages"/>
      </w:pPr>
      <w:bookmarkStart w:id="22" w:name="_Toc98394878"/>
      <w:bookmarkStart w:id="23" w:name="_Toc296423682"/>
      <w:bookmarkStart w:id="24" w:name="_Toc296497513"/>
      <w:r w:rsidRPr="005C2FCF">
        <w:t>Key messages</w:t>
      </w:r>
      <w:bookmarkEnd w:id="22"/>
      <w:bookmarkEnd w:id="23"/>
      <w:bookmarkEnd w:id="24"/>
    </w:p>
    <w:p w:rsidR="000866D9" w:rsidRDefault="000866D9" w:rsidP="00DC209A">
      <w:pPr>
        <w:pStyle w:val="Text"/>
        <w:rPr>
          <w:rFonts w:eastAsiaTheme="minorEastAsia"/>
        </w:rPr>
      </w:pPr>
      <w:r>
        <w:rPr>
          <w:rFonts w:eastAsiaTheme="minorEastAsia"/>
        </w:rPr>
        <w:t xml:space="preserve">The report highlights some important </w:t>
      </w:r>
      <w:r w:rsidR="002A128D">
        <w:rPr>
          <w:rFonts w:eastAsiaTheme="minorEastAsia"/>
        </w:rPr>
        <w:t>issues</w:t>
      </w:r>
      <w:r>
        <w:rPr>
          <w:rFonts w:eastAsiaTheme="minorEastAsia"/>
        </w:rPr>
        <w:t xml:space="preserve"> for Australia, including: </w:t>
      </w:r>
    </w:p>
    <w:p w:rsidR="00A54952" w:rsidRPr="00A54952" w:rsidRDefault="000866D9" w:rsidP="000866D9">
      <w:pPr>
        <w:pStyle w:val="Dotpoint1"/>
      </w:pPr>
      <w:r w:rsidRPr="00A54952">
        <w:rPr>
          <w:rFonts w:eastAsiaTheme="minorEastAsia"/>
        </w:rPr>
        <w:t xml:space="preserve">The introduction of </w:t>
      </w:r>
      <w:r w:rsidR="00BF0E74">
        <w:rPr>
          <w:rFonts w:eastAsiaTheme="minorEastAsia"/>
        </w:rPr>
        <w:t>qualifications framework</w:t>
      </w:r>
      <w:r w:rsidRPr="00A54952">
        <w:rPr>
          <w:rFonts w:eastAsiaTheme="minorEastAsia"/>
        </w:rPr>
        <w:t xml:space="preserve">s, implementation of competency-based or learning outcomes approaches to learning and assessment, recognition of prior learning, and effective regulation and quality assurance processes are </w:t>
      </w:r>
      <w:r w:rsidR="00A54952" w:rsidRPr="00A54952">
        <w:rPr>
          <w:rFonts w:eastAsiaTheme="minorEastAsia"/>
        </w:rPr>
        <w:t xml:space="preserve">all </w:t>
      </w:r>
      <w:r w:rsidRPr="00A54952">
        <w:rPr>
          <w:rFonts w:eastAsiaTheme="minorEastAsia"/>
        </w:rPr>
        <w:t>being debated overseas</w:t>
      </w:r>
      <w:r w:rsidR="00A54952" w:rsidRPr="00A54952">
        <w:rPr>
          <w:rFonts w:eastAsiaTheme="minorEastAsia"/>
        </w:rPr>
        <w:t xml:space="preserve">, with varying solutions to </w:t>
      </w:r>
      <w:r w:rsidR="00E7250E">
        <w:rPr>
          <w:rFonts w:eastAsiaTheme="minorEastAsia"/>
        </w:rPr>
        <w:t xml:space="preserve">the </w:t>
      </w:r>
      <w:r w:rsidR="00A54952" w:rsidRPr="00A54952">
        <w:rPr>
          <w:rFonts w:eastAsiaTheme="minorEastAsia"/>
        </w:rPr>
        <w:t>perceived issues being applied</w:t>
      </w:r>
      <w:r w:rsidR="00A54952">
        <w:rPr>
          <w:rFonts w:eastAsiaTheme="minorEastAsia"/>
        </w:rPr>
        <w:t>.</w:t>
      </w:r>
    </w:p>
    <w:p w:rsidR="000866D9" w:rsidRPr="00382230" w:rsidRDefault="000866D9" w:rsidP="000866D9">
      <w:pPr>
        <w:pStyle w:val="Dotpoint1"/>
      </w:pPr>
      <w:r w:rsidRPr="00A54952">
        <w:rPr>
          <w:rFonts w:eastAsiaTheme="minorEastAsia"/>
        </w:rPr>
        <w:t xml:space="preserve">The development of hierarchical national </w:t>
      </w:r>
      <w:r w:rsidR="00BF0E74">
        <w:rPr>
          <w:rFonts w:eastAsiaTheme="minorEastAsia"/>
        </w:rPr>
        <w:t>qualifications framework</w:t>
      </w:r>
      <w:r w:rsidRPr="00A54952">
        <w:rPr>
          <w:rFonts w:eastAsiaTheme="minorEastAsia"/>
        </w:rPr>
        <w:t>s comprising progressively higher qualification levels is relatively widespread, and increasing. In the main, countries start with existing systems and review these to adapt to new concepts and practice</w:t>
      </w:r>
      <w:r w:rsidR="008F140A">
        <w:rPr>
          <w:rFonts w:eastAsiaTheme="minorEastAsia"/>
        </w:rPr>
        <w:t>s</w:t>
      </w:r>
      <w:r w:rsidRPr="00A54952">
        <w:rPr>
          <w:rFonts w:eastAsiaTheme="minorEastAsia"/>
        </w:rPr>
        <w:t xml:space="preserve">. </w:t>
      </w:r>
      <w:r w:rsidR="00F808D6">
        <w:rPr>
          <w:rFonts w:eastAsiaTheme="minorEastAsia"/>
        </w:rPr>
        <w:t>The use of credit accumulation or credit point systems based on the number of hours typically required for qualification completion is also prevalent.</w:t>
      </w:r>
    </w:p>
    <w:p w:rsidR="000866D9" w:rsidRPr="00EF1DC8" w:rsidRDefault="000866D9" w:rsidP="000866D9">
      <w:pPr>
        <w:pStyle w:val="Dotpoint1"/>
      </w:pPr>
      <w:r>
        <w:rPr>
          <w:rFonts w:eastAsiaTheme="minorEastAsia"/>
        </w:rPr>
        <w:t xml:space="preserve">The referencing of national qualifications to regional framework models, especially in the European Union but increasingly discussed in our own region, is favoured for improving the </w:t>
      </w:r>
      <w:r w:rsidRPr="00B45D30">
        <w:rPr>
          <w:rFonts w:eastAsiaTheme="minorEastAsia"/>
        </w:rPr>
        <w:t>transparency, portability</w:t>
      </w:r>
      <w:r>
        <w:rPr>
          <w:rFonts w:eastAsiaTheme="minorEastAsia"/>
        </w:rPr>
        <w:t xml:space="preserve">, comparability </w:t>
      </w:r>
      <w:r w:rsidRPr="00B45D30">
        <w:rPr>
          <w:rFonts w:eastAsiaTheme="minorEastAsia"/>
        </w:rPr>
        <w:t>and mutual</w:t>
      </w:r>
      <w:r>
        <w:rPr>
          <w:rFonts w:eastAsiaTheme="minorEastAsia"/>
        </w:rPr>
        <w:t xml:space="preserve"> recognition of qualifications. The main aims are to ensure that qualifications coming from overseas are of the same quality as those attained </w:t>
      </w:r>
      <w:r w:rsidR="00362FDF">
        <w:rPr>
          <w:rFonts w:eastAsiaTheme="minorEastAsia"/>
        </w:rPr>
        <w:t>in the home country</w:t>
      </w:r>
      <w:r>
        <w:rPr>
          <w:rFonts w:eastAsiaTheme="minorEastAsia"/>
        </w:rPr>
        <w:t xml:space="preserve"> and to facilitate labo</w:t>
      </w:r>
      <w:r w:rsidR="00362FDF">
        <w:rPr>
          <w:rFonts w:eastAsiaTheme="minorEastAsia"/>
        </w:rPr>
        <w:t>ur and student mobility</w:t>
      </w:r>
      <w:r>
        <w:rPr>
          <w:rFonts w:eastAsiaTheme="minorEastAsia"/>
        </w:rPr>
        <w:t>.</w:t>
      </w:r>
    </w:p>
    <w:p w:rsidR="000866D9" w:rsidRPr="00E11A67" w:rsidRDefault="000866D9" w:rsidP="00DC209A">
      <w:pPr>
        <w:pStyle w:val="Dotpoint1"/>
        <w:ind w:right="-143"/>
        <w:rPr>
          <w:rFonts w:eastAsiaTheme="minorEastAsia"/>
        </w:rPr>
      </w:pPr>
      <w:r>
        <w:t xml:space="preserve">Collaboration between governments (or their delegated agencies) and industry stakeholders </w:t>
      </w:r>
      <w:r w:rsidR="00F65BD6">
        <w:t xml:space="preserve">is </w:t>
      </w:r>
      <w:r>
        <w:t>key to</w:t>
      </w:r>
      <w:r w:rsidR="00DC209A">
        <w:t> </w:t>
      </w:r>
      <w:r>
        <w:t xml:space="preserve">developing </w:t>
      </w:r>
      <w:r w:rsidR="00362FDF">
        <w:t xml:space="preserve">and/or </w:t>
      </w:r>
      <w:r>
        <w:t xml:space="preserve">approving competency standards, educational standards and content that align with labour market needs. </w:t>
      </w:r>
      <w:r w:rsidR="00F0679C">
        <w:t>Stakeholders almost always involve representatives from industry; in some systems representation is also sought from education and training practitioners and experts, academics, professionals and community groups.</w:t>
      </w:r>
    </w:p>
    <w:p w:rsidR="000866D9" w:rsidRPr="004D58EE" w:rsidRDefault="00A62116" w:rsidP="000866D9">
      <w:pPr>
        <w:pStyle w:val="Dotpoint1"/>
      </w:pPr>
      <w:r>
        <w:t>Removing or retiring</w:t>
      </w:r>
      <w:r w:rsidR="000866D9">
        <w:t xml:space="preserve"> qualifications is an</w:t>
      </w:r>
      <w:r w:rsidR="00E7250E">
        <w:t xml:space="preserve"> issue for systems </w:t>
      </w:r>
      <w:r w:rsidR="00E7250E" w:rsidRPr="0054110D">
        <w:t>where there has been</w:t>
      </w:r>
      <w:r w:rsidR="000866D9" w:rsidRPr="0054110D">
        <w:t xml:space="preserve"> a proliferation of qualifications.</w:t>
      </w:r>
      <w:r w:rsidR="000866D9">
        <w:t xml:space="preserve"> New Zealand and the United Kingdom have implemented systematic review processes which target for removal those qualifications that have experienced zero or very low uptake over a specified period of time (usually two years). </w:t>
      </w:r>
    </w:p>
    <w:p w:rsidR="00A62116" w:rsidRPr="00DD224E" w:rsidRDefault="000866D9" w:rsidP="000866D9">
      <w:pPr>
        <w:pStyle w:val="Dotpoint1"/>
      </w:pPr>
      <w:r w:rsidRPr="00A62116">
        <w:rPr>
          <w:rFonts w:eastAsiaTheme="minorEastAsia"/>
        </w:rPr>
        <w:lastRenderedPageBreak/>
        <w:t xml:space="preserve">Regulatory frameworks reflect their cultural and economic environments. </w:t>
      </w:r>
      <w:r w:rsidR="00A62116" w:rsidRPr="00A62116">
        <w:rPr>
          <w:rFonts w:eastAsiaTheme="minorEastAsia"/>
        </w:rPr>
        <w:t>T</w:t>
      </w:r>
      <w:r w:rsidRPr="00A62116">
        <w:rPr>
          <w:rFonts w:eastAsiaTheme="minorEastAsia"/>
        </w:rPr>
        <w:t xml:space="preserve">he focus </w:t>
      </w:r>
      <w:r w:rsidR="00A62116" w:rsidRPr="00A62116">
        <w:rPr>
          <w:rFonts w:eastAsiaTheme="minorEastAsia"/>
        </w:rPr>
        <w:t>is increasingly moving</w:t>
      </w:r>
      <w:r w:rsidRPr="00A62116">
        <w:rPr>
          <w:rFonts w:eastAsiaTheme="minorEastAsia"/>
        </w:rPr>
        <w:t xml:space="preserve"> away from top-down regulation (except for serious transgressions) to a system of collaboration between regulator and provider. Regulators provide advice on what is required to meet specific standards</w:t>
      </w:r>
      <w:r w:rsidR="008F140A">
        <w:rPr>
          <w:rFonts w:eastAsiaTheme="minorEastAsia"/>
        </w:rPr>
        <w:t>,</w:t>
      </w:r>
      <w:r w:rsidRPr="00A62116">
        <w:rPr>
          <w:rFonts w:eastAsiaTheme="minorEastAsia"/>
        </w:rPr>
        <w:t xml:space="preserve"> and providers make internal arrangements to implement and monitor </w:t>
      </w:r>
      <w:r w:rsidR="00362FDF">
        <w:rPr>
          <w:rFonts w:eastAsiaTheme="minorEastAsia"/>
        </w:rPr>
        <w:t>their progress against these standards. S</w:t>
      </w:r>
      <w:r w:rsidRPr="00A62116">
        <w:rPr>
          <w:rFonts w:eastAsiaTheme="minorEastAsia"/>
        </w:rPr>
        <w:t xml:space="preserve">elf-appraisal </w:t>
      </w:r>
      <w:r w:rsidR="008F140A">
        <w:rPr>
          <w:rFonts w:eastAsiaTheme="minorEastAsia"/>
        </w:rPr>
        <w:t>is combined with regular or pre</w:t>
      </w:r>
      <w:r w:rsidRPr="00A62116">
        <w:rPr>
          <w:rFonts w:eastAsiaTheme="minorEastAsia"/>
        </w:rPr>
        <w:t xml:space="preserve">determined external evaluations by the </w:t>
      </w:r>
      <w:r w:rsidR="00A62116" w:rsidRPr="00A62116">
        <w:rPr>
          <w:rFonts w:eastAsiaTheme="minorEastAsia"/>
        </w:rPr>
        <w:t xml:space="preserve">appropriate </w:t>
      </w:r>
      <w:r w:rsidRPr="00A62116">
        <w:rPr>
          <w:rFonts w:eastAsiaTheme="minorEastAsia"/>
        </w:rPr>
        <w:t>government agenc</w:t>
      </w:r>
      <w:r w:rsidR="00A62116" w:rsidRPr="00A62116">
        <w:rPr>
          <w:rFonts w:eastAsiaTheme="minorEastAsia"/>
        </w:rPr>
        <w:t>y</w:t>
      </w:r>
      <w:r w:rsidRPr="00A62116">
        <w:rPr>
          <w:rFonts w:eastAsiaTheme="minorEastAsia"/>
        </w:rPr>
        <w:t xml:space="preserve">. </w:t>
      </w:r>
    </w:p>
    <w:p w:rsidR="00DD224E" w:rsidRPr="00A62116" w:rsidRDefault="00E4619A" w:rsidP="00DD224E">
      <w:pPr>
        <w:pStyle w:val="Dotpoint1"/>
      </w:pPr>
      <w:r>
        <w:t>Countries are keen</w:t>
      </w:r>
      <w:r w:rsidR="00DD224E" w:rsidRPr="00DD224E">
        <w:t xml:space="preserve"> to ensure that qualifications and skills gained are valued in the labour market by employers and students. This is done by aligning national qualifications and training needs with comprehensive labour market analyses, and applying outcomes-based quality assurance and/or inspection frameworks (including for equity groups). Rates of participation, qualification completion, employment, unemployment, movement into higher qualifications and progression through employment are some key indicators.</w:t>
      </w:r>
    </w:p>
    <w:p w:rsidR="000866D9" w:rsidRPr="006179FE" w:rsidRDefault="000866D9" w:rsidP="000866D9">
      <w:pPr>
        <w:pStyle w:val="Dotpoint1"/>
      </w:pPr>
      <w:r w:rsidRPr="00A62116">
        <w:rPr>
          <w:rFonts w:eastAsiaTheme="minorEastAsia"/>
        </w:rPr>
        <w:t xml:space="preserve">There is </w:t>
      </w:r>
      <w:r w:rsidR="00DD224E">
        <w:rPr>
          <w:rFonts w:eastAsiaTheme="minorEastAsia"/>
        </w:rPr>
        <w:t>a</w:t>
      </w:r>
      <w:r w:rsidRPr="00A62116">
        <w:rPr>
          <w:rFonts w:eastAsiaTheme="minorEastAsia"/>
        </w:rPr>
        <w:t xml:space="preserve"> concern about the quality of teachers and teaching, in particular in the European Union states and the United Kingdom, with some countries increasing the level of qualification required for teaching in a VET institution or program. </w:t>
      </w:r>
    </w:p>
    <w:p w:rsidR="000866D9" w:rsidRDefault="000866D9" w:rsidP="00DC209A">
      <w:pPr>
        <w:pStyle w:val="Text"/>
      </w:pPr>
    </w:p>
    <w:p w:rsidR="000866D9" w:rsidRDefault="00C60D82" w:rsidP="00DC209A">
      <w:pPr>
        <w:pStyle w:val="Text"/>
      </w:pPr>
      <w:r>
        <w:t xml:space="preserve">Dr </w:t>
      </w:r>
      <w:r w:rsidR="000866D9">
        <w:t>Craig Fowler</w:t>
      </w:r>
      <w:r w:rsidR="00DC209A">
        <w:br/>
      </w:r>
      <w:r w:rsidR="000866D9">
        <w:t>Managing Director</w:t>
      </w:r>
      <w:r w:rsidR="00DC209A">
        <w:t>, NCVER</w:t>
      </w:r>
    </w:p>
    <w:p w:rsidR="00E57BCF" w:rsidRDefault="00E57BCF" w:rsidP="00DC209A">
      <w:pPr>
        <w:pStyle w:val="Text"/>
      </w:pPr>
    </w:p>
    <w:p w:rsidR="00E57BCF" w:rsidRDefault="00E57BCF" w:rsidP="00DC209A">
      <w:pPr>
        <w:pStyle w:val="Text"/>
        <w:sectPr w:rsidR="00E57BCF" w:rsidSect="00F60BA5">
          <w:headerReference w:type="even" r:id="rId21"/>
          <w:footerReference w:type="even" r:id="rId22"/>
          <w:footerReference w:type="default" r:id="rId23"/>
          <w:pgSz w:w="11907" w:h="16840" w:code="9"/>
          <w:pgMar w:top="1276" w:right="1701" w:bottom="1276" w:left="1418" w:header="709" w:footer="556" w:gutter="0"/>
          <w:cols w:space="708"/>
          <w:docGrid w:linePitch="360"/>
        </w:sectPr>
      </w:pPr>
    </w:p>
    <w:p w:rsidR="00DC209A" w:rsidRDefault="00DC209A" w:rsidP="00DC209A">
      <w:pPr>
        <w:pStyle w:val="Text"/>
      </w:pPr>
    </w:p>
    <w:p w:rsidR="00E57BCF" w:rsidRDefault="00E57BCF">
      <w:pPr>
        <w:spacing w:before="0" w:line="240" w:lineRule="auto"/>
        <w:sectPr w:rsidR="00E57BCF" w:rsidSect="00F71C38">
          <w:footerReference w:type="even" r:id="rId24"/>
          <w:footerReference w:type="default" r:id="rId25"/>
          <w:type w:val="continuous"/>
          <w:pgSz w:w="11907" w:h="16840" w:code="9"/>
          <w:pgMar w:top="1276" w:right="1701" w:bottom="1276" w:left="1418" w:header="709" w:footer="556" w:gutter="0"/>
          <w:cols w:space="708"/>
          <w:docGrid w:linePitch="360"/>
        </w:sectPr>
      </w:pPr>
      <w:bookmarkStart w:id="25" w:name="_Toc98394880"/>
      <w:bookmarkStart w:id="26" w:name="_Toc296423683"/>
      <w:bookmarkStart w:id="27" w:name="_Toc296497514"/>
      <w:r>
        <w:br w:type="page"/>
      </w:r>
    </w:p>
    <w:p w:rsidR="009E231A" w:rsidRPr="00DC5F5C" w:rsidRDefault="00FE4A2D" w:rsidP="00E57BCF">
      <w:pPr>
        <w:pStyle w:val="Contents"/>
      </w:pPr>
      <w:r w:rsidRPr="00DC5F5C">
        <w:lastRenderedPageBreak/>
        <w:t>Contents</w:t>
      </w:r>
      <w:bookmarkEnd w:id="25"/>
      <w:bookmarkEnd w:id="26"/>
      <w:bookmarkEnd w:id="27"/>
    </w:p>
    <w:p w:rsidR="00E57BCF" w:rsidRDefault="00D57BE8">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E57BCF">
        <w:t>Executive summary</w:t>
      </w:r>
      <w:r w:rsidR="00E57BCF">
        <w:tab/>
      </w:r>
      <w:r w:rsidR="00E57BCF">
        <w:fldChar w:fldCharType="begin"/>
      </w:r>
      <w:r w:rsidR="00E57BCF">
        <w:instrText xml:space="preserve"> PAGEREF _Toc406514224 \h </w:instrText>
      </w:r>
      <w:r w:rsidR="00E57BCF">
        <w:fldChar w:fldCharType="separate"/>
      </w:r>
      <w:r w:rsidR="00F808D6">
        <w:t>6</w:t>
      </w:r>
      <w:r w:rsidR="00E57BCF">
        <w:fldChar w:fldCharType="end"/>
      </w:r>
    </w:p>
    <w:p w:rsidR="00E57BCF" w:rsidRDefault="00E57BCF">
      <w:pPr>
        <w:pStyle w:val="TOC1"/>
        <w:rPr>
          <w:rFonts w:asciiTheme="minorHAnsi" w:eastAsiaTheme="minorEastAsia" w:hAnsiTheme="minorHAnsi" w:cstheme="minorBidi"/>
          <w:color w:val="auto"/>
          <w:sz w:val="22"/>
          <w:szCs w:val="22"/>
          <w:lang w:eastAsia="en-AU"/>
        </w:rPr>
      </w:pPr>
      <w:r>
        <w:t>Qualification</w:t>
      </w:r>
      <w:r w:rsidR="00E7250E">
        <w:t>s</w:t>
      </w:r>
      <w:r>
        <w:t xml:space="preserve"> systems and frameworks</w:t>
      </w:r>
      <w:r>
        <w:tab/>
      </w:r>
      <w:r>
        <w:fldChar w:fldCharType="begin"/>
      </w:r>
      <w:r>
        <w:instrText xml:space="preserve"> PAGEREF _Toc406514230 \h </w:instrText>
      </w:r>
      <w:r>
        <w:fldChar w:fldCharType="separate"/>
      </w:r>
      <w:r w:rsidR="00F808D6">
        <w:t>10</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Definitions</w:t>
      </w:r>
      <w:r>
        <w:tab/>
      </w:r>
      <w:r>
        <w:fldChar w:fldCharType="begin"/>
      </w:r>
      <w:r>
        <w:instrText xml:space="preserve"> PAGEREF _Toc406514231 \h </w:instrText>
      </w:r>
      <w:r>
        <w:fldChar w:fldCharType="separate"/>
      </w:r>
      <w:r w:rsidR="00F808D6">
        <w:t>10</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Why we need qualifications and frameworks</w:t>
      </w:r>
      <w:r>
        <w:tab/>
      </w:r>
      <w:r>
        <w:fldChar w:fldCharType="begin"/>
      </w:r>
      <w:r>
        <w:instrText xml:space="preserve"> PAGEREF _Toc406514232 \h </w:instrText>
      </w:r>
      <w:r>
        <w:fldChar w:fldCharType="separate"/>
      </w:r>
      <w:r w:rsidR="00F808D6">
        <w:t>11</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National and international frameworks</w:t>
      </w:r>
      <w:r>
        <w:tab/>
      </w:r>
      <w:r>
        <w:fldChar w:fldCharType="begin"/>
      </w:r>
      <w:r>
        <w:instrText xml:space="preserve"> PAGEREF _Toc406514233 \h </w:instrText>
      </w:r>
      <w:r>
        <w:fldChar w:fldCharType="separate"/>
      </w:r>
      <w:r w:rsidR="00F808D6">
        <w:t>12</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Lessons learned</w:t>
      </w:r>
      <w:r>
        <w:tab/>
      </w:r>
      <w:r>
        <w:fldChar w:fldCharType="begin"/>
      </w:r>
      <w:r>
        <w:instrText xml:space="preserve"> PAGEREF _Toc406514234 \h </w:instrText>
      </w:r>
      <w:r>
        <w:fldChar w:fldCharType="separate"/>
      </w:r>
      <w:r w:rsidR="00F808D6">
        <w:t>18</w:t>
      </w:r>
      <w:r>
        <w:fldChar w:fldCharType="end"/>
      </w:r>
    </w:p>
    <w:p w:rsidR="00E57BCF" w:rsidRDefault="00E57BCF">
      <w:pPr>
        <w:pStyle w:val="TOC1"/>
        <w:rPr>
          <w:rFonts w:asciiTheme="minorHAnsi" w:eastAsiaTheme="minorEastAsia" w:hAnsiTheme="minorHAnsi" w:cstheme="minorBidi"/>
          <w:color w:val="auto"/>
          <w:sz w:val="22"/>
          <w:szCs w:val="22"/>
          <w:lang w:eastAsia="en-AU"/>
        </w:rPr>
      </w:pPr>
      <w:r>
        <w:t>Developing, approving and rationalising qualifications</w:t>
      </w:r>
      <w:r>
        <w:tab/>
      </w:r>
      <w:r>
        <w:fldChar w:fldCharType="begin"/>
      </w:r>
      <w:r>
        <w:instrText xml:space="preserve"> PAGEREF _Toc406514235 \h </w:instrText>
      </w:r>
      <w:r>
        <w:fldChar w:fldCharType="separate"/>
      </w:r>
      <w:r w:rsidR="00F808D6">
        <w:t>19</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Rationalising and removing qualifications</w:t>
      </w:r>
      <w:r>
        <w:tab/>
      </w:r>
      <w:r>
        <w:fldChar w:fldCharType="begin"/>
      </w:r>
      <w:r>
        <w:instrText xml:space="preserve"> PAGEREF _Toc406514236 \h </w:instrText>
      </w:r>
      <w:r>
        <w:fldChar w:fldCharType="separate"/>
      </w:r>
      <w:r w:rsidR="00F808D6">
        <w:t>24</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Lessons learned</w:t>
      </w:r>
      <w:r>
        <w:tab/>
      </w:r>
      <w:r>
        <w:fldChar w:fldCharType="begin"/>
      </w:r>
      <w:r>
        <w:instrText xml:space="preserve"> PAGEREF _Toc406514237 \h </w:instrText>
      </w:r>
      <w:r>
        <w:fldChar w:fldCharType="separate"/>
      </w:r>
      <w:r w:rsidR="00F808D6">
        <w:t>28</w:t>
      </w:r>
      <w:r>
        <w:fldChar w:fldCharType="end"/>
      </w:r>
    </w:p>
    <w:p w:rsidR="00E57BCF" w:rsidRDefault="00E57BCF">
      <w:pPr>
        <w:pStyle w:val="TOC1"/>
        <w:rPr>
          <w:rFonts w:asciiTheme="minorHAnsi" w:eastAsiaTheme="minorEastAsia" w:hAnsiTheme="minorHAnsi" w:cstheme="minorBidi"/>
          <w:color w:val="auto"/>
          <w:sz w:val="22"/>
          <w:szCs w:val="22"/>
          <w:lang w:eastAsia="en-AU"/>
        </w:rPr>
      </w:pPr>
      <w:r>
        <w:t>Implementing quality assurance systems and practices</w:t>
      </w:r>
      <w:r>
        <w:tab/>
      </w:r>
      <w:r>
        <w:fldChar w:fldCharType="begin"/>
      </w:r>
      <w:r>
        <w:instrText xml:space="preserve"> PAGEREF _Toc406514238 \h </w:instrText>
      </w:r>
      <w:r>
        <w:fldChar w:fldCharType="separate"/>
      </w:r>
      <w:r w:rsidR="00F808D6">
        <w:t>30</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Frameworks and standards</w:t>
      </w:r>
      <w:r>
        <w:tab/>
      </w:r>
      <w:r>
        <w:fldChar w:fldCharType="begin"/>
      </w:r>
      <w:r>
        <w:instrText xml:space="preserve"> PAGEREF _Toc406514239 \h </w:instrText>
      </w:r>
      <w:r>
        <w:fldChar w:fldCharType="separate"/>
      </w:r>
      <w:r w:rsidR="00F808D6">
        <w:t>31</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Outcomes and outputs as indicators of quality</w:t>
      </w:r>
      <w:r>
        <w:tab/>
      </w:r>
      <w:r>
        <w:fldChar w:fldCharType="begin"/>
      </w:r>
      <w:r>
        <w:instrText xml:space="preserve"> PAGEREF _Toc406514240 \h </w:instrText>
      </w:r>
      <w:r>
        <w:fldChar w:fldCharType="separate"/>
      </w:r>
      <w:r w:rsidR="00F808D6">
        <w:t>35</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Assuring the quality of teachers and assessment practice</w:t>
      </w:r>
      <w:r>
        <w:tab/>
      </w:r>
      <w:r>
        <w:fldChar w:fldCharType="begin"/>
      </w:r>
      <w:r>
        <w:instrText xml:space="preserve"> PAGEREF _Toc406514241 \h </w:instrText>
      </w:r>
      <w:r>
        <w:fldChar w:fldCharType="separate"/>
      </w:r>
      <w:r w:rsidR="00F808D6">
        <w:t>36</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Involving industry and other stakeholders in decision-making</w:t>
      </w:r>
      <w:r>
        <w:tab/>
      </w:r>
      <w:r>
        <w:fldChar w:fldCharType="begin"/>
      </w:r>
      <w:r>
        <w:instrText xml:space="preserve"> PAGEREF _Toc406514242 \h </w:instrText>
      </w:r>
      <w:r>
        <w:fldChar w:fldCharType="separate"/>
      </w:r>
      <w:r w:rsidR="00F808D6">
        <w:t>37</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Reducing red tape and burea</w:t>
      </w:r>
      <w:r w:rsidR="000B21C6">
        <w:t>u</w:t>
      </w:r>
      <w:r w:rsidR="00E7250E">
        <w:t>cratic processes</w:t>
      </w:r>
      <w:r>
        <w:tab/>
      </w:r>
      <w:r>
        <w:fldChar w:fldCharType="begin"/>
      </w:r>
      <w:r>
        <w:instrText xml:space="preserve"> PAGEREF _Toc406514243 \h </w:instrText>
      </w:r>
      <w:r>
        <w:fldChar w:fldCharType="separate"/>
      </w:r>
      <w:r w:rsidR="00F808D6">
        <w:t>38</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Self-assessments combine</w:t>
      </w:r>
      <w:r w:rsidR="00E7250E">
        <w:t>d</w:t>
      </w:r>
      <w:r>
        <w:t xml:space="preserve"> with external regulation</w:t>
      </w:r>
      <w:r>
        <w:tab/>
      </w:r>
      <w:r>
        <w:fldChar w:fldCharType="begin"/>
      </w:r>
      <w:r>
        <w:instrText xml:space="preserve"> PAGEREF _Toc406514244 \h </w:instrText>
      </w:r>
      <w:r>
        <w:fldChar w:fldCharType="separate"/>
      </w:r>
      <w:r w:rsidR="00F808D6">
        <w:t>40</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Lessons learned</w:t>
      </w:r>
      <w:r>
        <w:tab/>
      </w:r>
      <w:r>
        <w:fldChar w:fldCharType="begin"/>
      </w:r>
      <w:r>
        <w:instrText xml:space="preserve"> PAGEREF _Toc406514245 \h </w:instrText>
      </w:r>
      <w:r>
        <w:fldChar w:fldCharType="separate"/>
      </w:r>
      <w:r w:rsidR="00F808D6">
        <w:t>44</w:t>
      </w:r>
      <w:r>
        <w:fldChar w:fldCharType="end"/>
      </w:r>
    </w:p>
    <w:p w:rsidR="00E57BCF" w:rsidRDefault="00E57BCF">
      <w:pPr>
        <w:pStyle w:val="TOC1"/>
        <w:rPr>
          <w:rFonts w:asciiTheme="minorHAnsi" w:eastAsiaTheme="minorEastAsia" w:hAnsiTheme="minorHAnsi" w:cstheme="minorBidi"/>
          <w:color w:val="auto"/>
          <w:sz w:val="22"/>
          <w:szCs w:val="22"/>
          <w:lang w:eastAsia="en-AU"/>
        </w:rPr>
      </w:pPr>
      <w:r>
        <w:t>Conclusions and future directions</w:t>
      </w:r>
      <w:r>
        <w:tab/>
      </w:r>
      <w:r>
        <w:fldChar w:fldCharType="begin"/>
      </w:r>
      <w:r>
        <w:instrText xml:space="preserve"> PAGEREF _Toc406514246 \h </w:instrText>
      </w:r>
      <w:r>
        <w:fldChar w:fldCharType="separate"/>
      </w:r>
      <w:r w:rsidR="00F808D6">
        <w:t>46</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Qualifications frameworks and qualifications</w:t>
      </w:r>
      <w:r>
        <w:tab/>
      </w:r>
      <w:r>
        <w:fldChar w:fldCharType="begin"/>
      </w:r>
      <w:r>
        <w:instrText xml:space="preserve"> PAGEREF _Toc406514247 \h </w:instrText>
      </w:r>
      <w:r>
        <w:fldChar w:fldCharType="separate"/>
      </w:r>
      <w:r w:rsidR="00F808D6">
        <w:t>46</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Systems for assuring quality</w:t>
      </w:r>
      <w:r>
        <w:tab/>
      </w:r>
      <w:r>
        <w:fldChar w:fldCharType="begin"/>
      </w:r>
      <w:r>
        <w:instrText xml:space="preserve"> PAGEREF _Toc406514248 \h </w:instrText>
      </w:r>
      <w:r>
        <w:fldChar w:fldCharType="separate"/>
      </w:r>
      <w:r w:rsidR="00F808D6">
        <w:t>47</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Regulatory practice</w:t>
      </w:r>
      <w:r>
        <w:tab/>
      </w:r>
      <w:r>
        <w:fldChar w:fldCharType="begin"/>
      </w:r>
      <w:r>
        <w:instrText xml:space="preserve"> PAGEREF _Toc406514249 \h </w:instrText>
      </w:r>
      <w:r>
        <w:fldChar w:fldCharType="separate"/>
      </w:r>
      <w:r w:rsidR="00F808D6">
        <w:t>47</w:t>
      </w:r>
      <w:r>
        <w:fldChar w:fldCharType="end"/>
      </w:r>
    </w:p>
    <w:p w:rsidR="00E57BCF" w:rsidRDefault="00E57BCF">
      <w:pPr>
        <w:pStyle w:val="TOC2"/>
        <w:rPr>
          <w:rFonts w:asciiTheme="minorHAnsi" w:eastAsiaTheme="minorEastAsia" w:hAnsiTheme="minorHAnsi" w:cstheme="minorBidi"/>
          <w:color w:val="auto"/>
          <w:sz w:val="22"/>
          <w:szCs w:val="22"/>
          <w:lang w:eastAsia="en-AU"/>
        </w:rPr>
      </w:pPr>
      <w:r>
        <w:t>Way forward</w:t>
      </w:r>
      <w:r>
        <w:tab/>
      </w:r>
      <w:r>
        <w:fldChar w:fldCharType="begin"/>
      </w:r>
      <w:r>
        <w:instrText xml:space="preserve"> PAGEREF _Toc406514250 \h </w:instrText>
      </w:r>
      <w:r>
        <w:fldChar w:fldCharType="separate"/>
      </w:r>
      <w:r w:rsidR="00F808D6">
        <w:t>48</w:t>
      </w:r>
      <w:r>
        <w:fldChar w:fldCharType="end"/>
      </w:r>
    </w:p>
    <w:p w:rsidR="00E57BCF" w:rsidRDefault="00E57BCF">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_Toc406514251 \h </w:instrText>
      </w:r>
      <w:r>
        <w:fldChar w:fldCharType="separate"/>
      </w:r>
      <w:r w:rsidR="00F808D6">
        <w:t>50</w:t>
      </w:r>
      <w:r>
        <w:fldChar w:fldCharType="end"/>
      </w:r>
    </w:p>
    <w:p w:rsidR="00E57BCF" w:rsidRDefault="00E57BCF">
      <w:pPr>
        <w:pStyle w:val="TOC1"/>
      </w:pPr>
      <w:r>
        <w:t>Appendices</w:t>
      </w:r>
    </w:p>
    <w:p w:rsidR="00E57BCF" w:rsidRDefault="00E57BCF" w:rsidP="00E013A9">
      <w:pPr>
        <w:pStyle w:val="TOC2"/>
        <w:rPr>
          <w:rFonts w:asciiTheme="minorHAnsi" w:eastAsiaTheme="minorEastAsia" w:hAnsiTheme="minorHAnsi" w:cstheme="minorBidi"/>
          <w:color w:val="auto"/>
          <w:sz w:val="22"/>
          <w:szCs w:val="22"/>
          <w:lang w:eastAsia="en-AU"/>
        </w:rPr>
      </w:pPr>
      <w:r>
        <w:t>A</w:t>
      </w:r>
      <w:r w:rsidR="00E013A9">
        <w:t xml:space="preserve">: </w:t>
      </w:r>
      <w:r>
        <w:t>The criteria for SQA accreditation of qualifications</w:t>
      </w:r>
      <w:r>
        <w:tab/>
      </w:r>
      <w:r>
        <w:fldChar w:fldCharType="begin"/>
      </w:r>
      <w:r>
        <w:instrText xml:space="preserve"> PAGEREF _Toc406514253 \h </w:instrText>
      </w:r>
      <w:r>
        <w:fldChar w:fldCharType="separate"/>
      </w:r>
      <w:r w:rsidR="00F808D6">
        <w:t>53</w:t>
      </w:r>
      <w:r>
        <w:fldChar w:fldCharType="end"/>
      </w:r>
    </w:p>
    <w:p w:rsidR="00E57BCF" w:rsidRDefault="00E57BCF" w:rsidP="00E013A9">
      <w:pPr>
        <w:pStyle w:val="TOC2"/>
        <w:rPr>
          <w:rFonts w:asciiTheme="minorHAnsi" w:eastAsiaTheme="minorEastAsia" w:hAnsiTheme="minorHAnsi" w:cstheme="minorBidi"/>
          <w:color w:val="auto"/>
          <w:sz w:val="22"/>
          <w:szCs w:val="22"/>
          <w:lang w:eastAsia="en-AU"/>
        </w:rPr>
      </w:pPr>
      <w:r>
        <w:t>B: Standards for the ACCSC in the United States</w:t>
      </w:r>
      <w:r>
        <w:tab/>
      </w:r>
      <w:r>
        <w:fldChar w:fldCharType="begin"/>
      </w:r>
      <w:r>
        <w:instrText xml:space="preserve"> PAGEREF _Toc406514254 \h </w:instrText>
      </w:r>
      <w:r>
        <w:fldChar w:fldCharType="separate"/>
      </w:r>
      <w:r w:rsidR="00F808D6">
        <w:t>55</w:t>
      </w:r>
      <w:r>
        <w:fldChar w:fldCharType="end"/>
      </w:r>
    </w:p>
    <w:p w:rsidR="004E7227" w:rsidRDefault="00D57BE8"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9E231A" w:rsidRPr="00B86D06" w:rsidRDefault="00FE4A2D" w:rsidP="008C0A74">
      <w:pPr>
        <w:pStyle w:val="Heading1"/>
      </w:pPr>
      <w:bookmarkStart w:id="28" w:name="_Toc406514224"/>
      <w:r w:rsidRPr="00B86D06">
        <w:lastRenderedPageBreak/>
        <w:t>Executive summary</w:t>
      </w:r>
      <w:bookmarkEnd w:id="28"/>
    </w:p>
    <w:p w:rsidR="0033421B" w:rsidRDefault="00362FDF" w:rsidP="0033421B">
      <w:pPr>
        <w:pStyle w:val="Text"/>
      </w:pPr>
      <w:bookmarkStart w:id="29" w:name="_Toc188077642"/>
      <w:r>
        <w:t>T</w:t>
      </w:r>
      <w:r w:rsidR="0033421B">
        <w:t xml:space="preserve">his paper </w:t>
      </w:r>
      <w:r>
        <w:t>investigates</w:t>
      </w:r>
      <w:r w:rsidR="0033421B">
        <w:t xml:space="preserve"> some approaches to the development, approval</w:t>
      </w:r>
      <w:r w:rsidR="004A1D4B">
        <w:t xml:space="preserve">, </w:t>
      </w:r>
      <w:r w:rsidR="0033421B">
        <w:t xml:space="preserve">maintenance </w:t>
      </w:r>
      <w:r w:rsidR="004A1D4B">
        <w:t>and qual</w:t>
      </w:r>
      <w:r w:rsidR="00A62116">
        <w:t>ity assurance of qualifications</w:t>
      </w:r>
      <w:r w:rsidR="004A1D4B">
        <w:t xml:space="preserve"> </w:t>
      </w:r>
      <w:r w:rsidR="0033421B">
        <w:t xml:space="preserve">of </w:t>
      </w:r>
      <w:r w:rsidR="00CE403C">
        <w:t xml:space="preserve">selected </w:t>
      </w:r>
      <w:r w:rsidR="0033421B">
        <w:t xml:space="preserve">international comparators, including </w:t>
      </w:r>
      <w:r w:rsidR="00B6429B">
        <w:t>the European Union (</w:t>
      </w:r>
      <w:r w:rsidR="0033421B">
        <w:t>EU</w:t>
      </w:r>
      <w:r w:rsidR="00B6429B">
        <w:t>)</w:t>
      </w:r>
      <w:r w:rsidR="0033421B">
        <w:t xml:space="preserve"> member nations of Germany, Finland, Sweden, England, North</w:t>
      </w:r>
      <w:r w:rsidR="00CE403C">
        <w:t>ern Ireland and Wales, Scotland</w:t>
      </w:r>
      <w:r w:rsidR="0033421B">
        <w:t xml:space="preserve"> and Ireland, and the nations of New Zealand, Singapore</w:t>
      </w:r>
      <w:r w:rsidR="00474AFB">
        <w:t xml:space="preserve"> and South Korea</w:t>
      </w:r>
      <w:r w:rsidR="0033421B">
        <w:t xml:space="preserve">. The processes </w:t>
      </w:r>
      <w:r w:rsidR="00474AFB">
        <w:t>used in</w:t>
      </w:r>
      <w:r w:rsidR="0033421B">
        <w:t xml:space="preserve"> </w:t>
      </w:r>
      <w:r w:rsidR="00474AFB">
        <w:t>Ontario, Canada</w:t>
      </w:r>
      <w:r w:rsidR="00B6429B">
        <w:t>,</w:t>
      </w:r>
      <w:r w:rsidR="00474AFB">
        <w:t xml:space="preserve"> and </w:t>
      </w:r>
      <w:r w:rsidR="0033421B">
        <w:t xml:space="preserve">selected </w:t>
      </w:r>
      <w:r w:rsidR="00B6429B">
        <w:t xml:space="preserve">accreditation agencies </w:t>
      </w:r>
      <w:r w:rsidR="0033421B">
        <w:t>in the United States</w:t>
      </w:r>
      <w:r w:rsidR="00474AFB">
        <w:t xml:space="preserve"> have also been investigated.</w:t>
      </w:r>
      <w:r w:rsidR="004F7A35">
        <w:t xml:space="preserve"> </w:t>
      </w:r>
    </w:p>
    <w:p w:rsidR="004577EB" w:rsidRDefault="001919DF" w:rsidP="004577EB">
      <w:pPr>
        <w:pStyle w:val="Heading2"/>
      </w:pPr>
      <w:bookmarkStart w:id="30" w:name="_Toc406514225"/>
      <w:r>
        <w:t>Qualifications and frameworks</w:t>
      </w:r>
      <w:bookmarkEnd w:id="30"/>
    </w:p>
    <w:p w:rsidR="00D22339" w:rsidRDefault="00C01471" w:rsidP="00DC209A">
      <w:pPr>
        <w:pStyle w:val="Text"/>
        <w:ind w:right="-143"/>
      </w:pPr>
      <w:r>
        <w:t>Across jurisdictions</w:t>
      </w:r>
      <w:r w:rsidR="00E7250E">
        <w:t>,</w:t>
      </w:r>
      <w:r>
        <w:t xml:space="preserve"> t</w:t>
      </w:r>
      <w:r w:rsidR="00F73DC3">
        <w:t>he</w:t>
      </w:r>
      <w:r w:rsidR="00E23A2B">
        <w:t xml:space="preserve"> design of basic and advanced </w:t>
      </w:r>
      <w:r w:rsidR="00E7250E">
        <w:t>vocational education and training (</w:t>
      </w:r>
      <w:r w:rsidR="00E23A2B">
        <w:t>VET</w:t>
      </w:r>
      <w:r w:rsidR="00E7250E">
        <w:t>)</w:t>
      </w:r>
      <w:r w:rsidR="00E23A2B">
        <w:t xml:space="preserve"> qualifications</w:t>
      </w:r>
      <w:r w:rsidR="00831E24">
        <w:t xml:space="preserve"> is </w:t>
      </w:r>
      <w:r w:rsidR="00B6429B">
        <w:t>focus</w:t>
      </w:r>
      <w:r w:rsidR="00F73DC3">
        <w:t xml:space="preserve">ed on </w:t>
      </w:r>
      <w:r w:rsidR="00B6429B">
        <w:t xml:space="preserve">the </w:t>
      </w:r>
      <w:r w:rsidR="00F73DC3">
        <w:t xml:space="preserve">skills and knowledge required </w:t>
      </w:r>
      <w:r w:rsidR="00831E24">
        <w:t xml:space="preserve">for the current and future world of </w:t>
      </w:r>
      <w:r w:rsidR="00A42AED">
        <w:t xml:space="preserve">work. This comprises developing </w:t>
      </w:r>
      <w:r w:rsidR="00831E24">
        <w:t xml:space="preserve">specific occupational knowledge, skills and </w:t>
      </w:r>
      <w:r w:rsidR="0050098E">
        <w:t>competences</w:t>
      </w:r>
      <w:r w:rsidR="00831E24">
        <w:t xml:space="preserve">, </w:t>
      </w:r>
      <w:r w:rsidR="00A42AED">
        <w:t xml:space="preserve">as well as more generic skills </w:t>
      </w:r>
      <w:r w:rsidR="0050098E">
        <w:t>that can be tr</w:t>
      </w:r>
      <w:r w:rsidR="00CE403C">
        <w:t>ansferred</w:t>
      </w:r>
      <w:r w:rsidR="004F7A35">
        <w:t xml:space="preserve"> </w:t>
      </w:r>
      <w:r w:rsidR="00CE403C">
        <w:t>to different contexts, such as, i</w:t>
      </w:r>
      <w:r w:rsidR="0050098E">
        <w:t>ncrea</w:t>
      </w:r>
      <w:r w:rsidR="00CE403C">
        <w:t>singly,</w:t>
      </w:r>
      <w:r w:rsidR="0050098E">
        <w:t xml:space="preserve"> communi</w:t>
      </w:r>
      <w:r w:rsidR="00E7250E">
        <w:t>cation, technological, team-</w:t>
      </w:r>
      <w:r w:rsidR="0050098E">
        <w:t xml:space="preserve">working and problem-solving skills. </w:t>
      </w:r>
      <w:r w:rsidR="00A42AED">
        <w:t xml:space="preserve">The portability of qualifications </w:t>
      </w:r>
      <w:r w:rsidR="00BA73C9">
        <w:t xml:space="preserve">across national and international jurisdictions </w:t>
      </w:r>
      <w:r w:rsidR="00A42AED">
        <w:t xml:space="preserve">to </w:t>
      </w:r>
      <w:r w:rsidR="006E28EF">
        <w:t>facilitate</w:t>
      </w:r>
      <w:r w:rsidR="00A42AED">
        <w:t xml:space="preserve"> the mobility of workers and students is especially i</w:t>
      </w:r>
      <w:r w:rsidR="00C854F8">
        <w:t xml:space="preserve">mportant </w:t>
      </w:r>
      <w:r w:rsidR="00295A85">
        <w:t>i</w:t>
      </w:r>
      <w:r w:rsidR="00CE403C">
        <w:t>n Europe. S</w:t>
      </w:r>
      <w:r w:rsidR="001909CF">
        <w:t>eamless vertical and horizontal pathways between qualifications (known as permeability of qualifications in Europe</w:t>
      </w:r>
      <w:r w:rsidR="00295A85">
        <w:t>)</w:t>
      </w:r>
      <w:r w:rsidR="001909CF">
        <w:t xml:space="preserve"> </w:t>
      </w:r>
      <w:r w:rsidR="00CE403C">
        <w:t>are</w:t>
      </w:r>
      <w:r w:rsidR="006E28EF">
        <w:t xml:space="preserve"> supported </w:t>
      </w:r>
      <w:r w:rsidR="00C854F8">
        <w:t xml:space="preserve">by </w:t>
      </w:r>
      <w:r w:rsidR="00B6429B">
        <w:t>national qualifications frameworks</w:t>
      </w:r>
      <w:r w:rsidR="00C854F8">
        <w:t xml:space="preserve"> </w:t>
      </w:r>
      <w:r w:rsidR="006E28EF">
        <w:t xml:space="preserve">(NQFs) </w:t>
      </w:r>
      <w:r w:rsidR="000E67A2">
        <w:t xml:space="preserve">in </w:t>
      </w:r>
      <w:r w:rsidR="00295A85">
        <w:t xml:space="preserve">European </w:t>
      </w:r>
      <w:r w:rsidR="001919DF">
        <w:t xml:space="preserve">member states </w:t>
      </w:r>
      <w:r w:rsidR="00C854F8">
        <w:t xml:space="preserve">and the referencing of </w:t>
      </w:r>
      <w:r w:rsidR="00AC5CA4">
        <w:t>th</w:t>
      </w:r>
      <w:r w:rsidR="00AC5CA4" w:rsidRPr="008D6AAF">
        <w:t xml:space="preserve">ese </w:t>
      </w:r>
      <w:r w:rsidR="00CE403C" w:rsidRPr="008D6AAF">
        <w:t>frameworks</w:t>
      </w:r>
      <w:r w:rsidR="009F125A" w:rsidRPr="008D6AAF">
        <w:t xml:space="preserve"> </w:t>
      </w:r>
      <w:r w:rsidR="00C854F8" w:rsidRPr="008D6AAF">
        <w:t>to</w:t>
      </w:r>
      <w:r w:rsidR="00C854F8">
        <w:t xml:space="preserve"> </w:t>
      </w:r>
      <w:r w:rsidR="00E7250E">
        <w:t xml:space="preserve">the </w:t>
      </w:r>
      <w:r w:rsidR="00CE403C">
        <w:t>European Qualifications Framework</w:t>
      </w:r>
      <w:r w:rsidR="006E28EF">
        <w:t xml:space="preserve"> (EQF)</w:t>
      </w:r>
      <w:r w:rsidR="00C854F8">
        <w:t xml:space="preserve">. </w:t>
      </w:r>
    </w:p>
    <w:p w:rsidR="00F73DC3" w:rsidRDefault="00C854F8" w:rsidP="009748E7">
      <w:pPr>
        <w:pStyle w:val="Text"/>
      </w:pPr>
      <w:r>
        <w:t xml:space="preserve">The learning outcomes approach </w:t>
      </w:r>
      <w:r w:rsidR="00F02FBB">
        <w:t>is</w:t>
      </w:r>
      <w:r>
        <w:t xml:space="preserve"> </w:t>
      </w:r>
      <w:r w:rsidR="00F02FBB">
        <w:t xml:space="preserve">currently </w:t>
      </w:r>
      <w:r>
        <w:t xml:space="preserve">being </w:t>
      </w:r>
      <w:r w:rsidR="00F02FBB">
        <w:t xml:space="preserve">adopted in the VET systems of many European </w:t>
      </w:r>
      <w:r>
        <w:t>countries</w:t>
      </w:r>
      <w:r w:rsidR="00F73DC3">
        <w:t xml:space="preserve">. Like </w:t>
      </w:r>
      <w:r w:rsidR="00B6429B">
        <w:t>competency-based training</w:t>
      </w:r>
      <w:r w:rsidR="00F73DC3">
        <w:t xml:space="preserve"> the learnin</w:t>
      </w:r>
      <w:r w:rsidR="00B6429B">
        <w:t>g outcomes approaches</w:t>
      </w:r>
      <w:r w:rsidR="0082137A">
        <w:t xml:space="preserve"> is</w:t>
      </w:r>
      <w:r w:rsidR="00B6429B">
        <w:t xml:space="preserve"> focus</w:t>
      </w:r>
      <w:r w:rsidR="00F73DC3">
        <w:t xml:space="preserve">ed on demonstrated performance </w:t>
      </w:r>
      <w:r w:rsidR="00295A85">
        <w:t xml:space="preserve">(outcomes) </w:t>
      </w:r>
      <w:r w:rsidR="00F73DC3">
        <w:t xml:space="preserve">to denote </w:t>
      </w:r>
      <w:r w:rsidR="00B6429B">
        <w:t xml:space="preserve">the </w:t>
      </w:r>
      <w:r w:rsidR="00F73DC3">
        <w:t>acquisition of skills and knowledge</w:t>
      </w:r>
      <w:r w:rsidR="00BA73C9">
        <w:t xml:space="preserve"> primarily related to the world of work</w:t>
      </w:r>
      <w:r w:rsidR="00F73DC3">
        <w:t xml:space="preserve">. </w:t>
      </w:r>
    </w:p>
    <w:p w:rsidR="00FE6D85" w:rsidRDefault="006E28EF" w:rsidP="009748E7">
      <w:pPr>
        <w:pStyle w:val="Text"/>
      </w:pPr>
      <w:r>
        <w:t>In some countries</w:t>
      </w:r>
      <w:r w:rsidR="00B6429B">
        <w:t>,</w:t>
      </w:r>
      <w:r>
        <w:t xml:space="preserve"> </w:t>
      </w:r>
      <w:r w:rsidR="00B6429B">
        <w:t>such as</w:t>
      </w:r>
      <w:r w:rsidR="008F140A">
        <w:t xml:space="preserve"> England, Scotland, Wales</w:t>
      </w:r>
      <w:r>
        <w:t xml:space="preserve"> </w:t>
      </w:r>
      <w:r w:rsidR="00D22339">
        <w:t xml:space="preserve">and </w:t>
      </w:r>
      <w:r>
        <w:t>Northern Ireland</w:t>
      </w:r>
      <w:r w:rsidR="0082137A">
        <w:t xml:space="preserve">, </w:t>
      </w:r>
      <w:r>
        <w:t xml:space="preserve">VET qualifications </w:t>
      </w:r>
      <w:r w:rsidR="00AD520C">
        <w:t xml:space="preserve">are </w:t>
      </w:r>
      <w:r w:rsidR="0050098E">
        <w:t xml:space="preserve">based on national </w:t>
      </w:r>
      <w:r w:rsidR="00AD520C">
        <w:t xml:space="preserve">occupational or industry competency standards. </w:t>
      </w:r>
      <w:r w:rsidR="001301DB">
        <w:t xml:space="preserve">In </w:t>
      </w:r>
      <w:r w:rsidR="008F140A">
        <w:t>others</w:t>
      </w:r>
      <w:r w:rsidR="001301DB">
        <w:t>, for example,</w:t>
      </w:r>
      <w:r w:rsidR="0050098E">
        <w:t xml:space="preserve"> Germany</w:t>
      </w:r>
      <w:r w:rsidR="001301DB">
        <w:t>,</w:t>
      </w:r>
      <w:r w:rsidR="0050098E">
        <w:t xml:space="preserve"> the training regulations and ordinances spell out what is required for qualifications in the dual system of apprenticeships. Occupational standards </w:t>
      </w:r>
      <w:r w:rsidR="00AD520C">
        <w:t xml:space="preserve">are based on functional analyses of jobs undertaken in certain occupations or workplace </w:t>
      </w:r>
      <w:r w:rsidR="00295A85">
        <w:t>roles</w:t>
      </w:r>
      <w:r w:rsidR="00AD520C">
        <w:t xml:space="preserve">. </w:t>
      </w:r>
      <w:r w:rsidR="00295A85">
        <w:t>Among these t</w:t>
      </w:r>
      <w:r w:rsidR="00AD520C">
        <w:t xml:space="preserve">he </w:t>
      </w:r>
      <w:r w:rsidR="000E67A2">
        <w:t xml:space="preserve">major </w:t>
      </w:r>
      <w:r w:rsidR="00AD520C">
        <w:t>functions are divided into units of competency</w:t>
      </w:r>
      <w:r w:rsidR="0082137A">
        <w:t>,</w:t>
      </w:r>
      <w:r w:rsidR="00AD520C">
        <w:t xml:space="preserve"> </w:t>
      </w:r>
      <w:r w:rsidR="000E67A2">
        <w:t>made up of a set of elements</w:t>
      </w:r>
      <w:r w:rsidR="0082137A">
        <w:t>,</w:t>
      </w:r>
      <w:r w:rsidR="00295A85">
        <w:t xml:space="preserve"> which describe the accomplishment of certain activities</w:t>
      </w:r>
      <w:r w:rsidR="000E67A2">
        <w:t>. P</w:t>
      </w:r>
      <w:r w:rsidR="00AD520C">
        <w:t>erformance criteria identify benchmark</w:t>
      </w:r>
      <w:r w:rsidR="000E67A2">
        <w:t>s</w:t>
      </w:r>
      <w:r w:rsidR="00AD520C">
        <w:t xml:space="preserve"> for assessment. These units of competency can be grouped together to </w:t>
      </w:r>
      <w:r w:rsidR="00295A85">
        <w:t>create</w:t>
      </w:r>
      <w:r w:rsidR="00AD520C">
        <w:t xml:space="preserve"> a broad qualification</w:t>
      </w:r>
      <w:r w:rsidR="00295A85">
        <w:t>,</w:t>
      </w:r>
      <w:r w:rsidR="00AD520C">
        <w:t xml:space="preserve"> as in the case of </w:t>
      </w:r>
      <w:r w:rsidR="00C01471">
        <w:t>Germany</w:t>
      </w:r>
      <w:r w:rsidR="00295A85">
        <w:t>,</w:t>
      </w:r>
      <w:r w:rsidR="001301DB">
        <w:t xml:space="preserve"> or stand-</w:t>
      </w:r>
      <w:r w:rsidR="00AD520C">
        <w:t xml:space="preserve">alone </w:t>
      </w:r>
      <w:r w:rsidR="000E67A2">
        <w:t>qualifications</w:t>
      </w:r>
      <w:r w:rsidR="00E7250E">
        <w:t>,</w:t>
      </w:r>
      <w:r w:rsidR="00AD520C">
        <w:t xml:space="preserve"> </w:t>
      </w:r>
      <w:r w:rsidR="0082137A">
        <w:t>such as</w:t>
      </w:r>
      <w:r w:rsidR="00AD520C">
        <w:t xml:space="preserve"> the </w:t>
      </w:r>
      <w:r w:rsidR="0082137A">
        <w:t xml:space="preserve">national vocational qualifications </w:t>
      </w:r>
      <w:r w:rsidR="00AD520C">
        <w:t xml:space="preserve">(NVQs) in the United Kingdom. </w:t>
      </w:r>
      <w:r w:rsidR="0050098E">
        <w:t>In other countries</w:t>
      </w:r>
      <w:r w:rsidR="00E7250E">
        <w:t>,</w:t>
      </w:r>
      <w:r w:rsidR="0050098E">
        <w:t xml:space="preserve"> education or program standards </w:t>
      </w:r>
      <w:r w:rsidR="00FE6D85">
        <w:t>are used to identify the</w:t>
      </w:r>
      <w:r w:rsidR="0082137A">
        <w:t xml:space="preserve"> content of qualifications. T</w:t>
      </w:r>
      <w:r w:rsidR="00082AE2">
        <w:t xml:space="preserve">hese standards </w:t>
      </w:r>
      <w:r w:rsidR="0082137A">
        <w:t>are</w:t>
      </w:r>
      <w:r w:rsidR="00FE6D85">
        <w:t xml:space="preserve"> commonly </w:t>
      </w:r>
      <w:r w:rsidR="0082137A">
        <w:t>developed through</w:t>
      </w:r>
      <w:r w:rsidR="0050098E">
        <w:t xml:space="preserve"> close collaboration between governments, </w:t>
      </w:r>
      <w:r w:rsidR="001301DB">
        <w:t xml:space="preserve">the </w:t>
      </w:r>
      <w:r w:rsidR="0050098E">
        <w:t>relevant industry stakeholders, professional experts and training providers</w:t>
      </w:r>
      <w:r w:rsidR="00FE6D85">
        <w:t>.</w:t>
      </w:r>
    </w:p>
    <w:p w:rsidR="000E67A2" w:rsidRDefault="00FE6D85" w:rsidP="009748E7">
      <w:pPr>
        <w:pStyle w:val="Text"/>
      </w:pPr>
      <w:r>
        <w:t xml:space="preserve">To ensure that </w:t>
      </w:r>
      <w:r w:rsidR="001301DB">
        <w:t xml:space="preserve">the </w:t>
      </w:r>
      <w:r>
        <w:t>qualifications developed continue to be relevant to the needs of industry and society, and to identify emerging industries or occupation</w:t>
      </w:r>
      <w:r w:rsidR="008A4687">
        <w:t>s</w:t>
      </w:r>
      <w:r w:rsidR="001301DB">
        <w:t>,</w:t>
      </w:r>
      <w:r>
        <w:t xml:space="preserve"> governments and industry bodies </w:t>
      </w:r>
      <w:r w:rsidR="0082137A">
        <w:t>also usually</w:t>
      </w:r>
      <w:r>
        <w:t xml:space="preserve"> undertake comprehensive labour market analyses. In some countries the results of these analyses must be attached to any submissions for </w:t>
      </w:r>
      <w:r w:rsidR="001301DB">
        <w:t xml:space="preserve">the </w:t>
      </w:r>
      <w:r>
        <w:t>development or delivery of new qualifications.</w:t>
      </w:r>
      <w:r w:rsidR="004928F1">
        <w:t xml:space="preserve"> </w:t>
      </w:r>
    </w:p>
    <w:p w:rsidR="006774DC" w:rsidRDefault="007F33CC" w:rsidP="004F7A35">
      <w:pPr>
        <w:pStyle w:val="Text"/>
        <w:ind w:right="-143"/>
      </w:pPr>
      <w:r>
        <w:t xml:space="preserve">Another approach </w:t>
      </w:r>
      <w:r w:rsidR="00E7250E">
        <w:t xml:space="preserve">to ensuring qualification relevance </w:t>
      </w:r>
      <w:r>
        <w:t xml:space="preserve">is to reduce the number of </w:t>
      </w:r>
      <w:r w:rsidR="001301DB">
        <w:t>available qualifications</w:t>
      </w:r>
      <w:r>
        <w:t xml:space="preserve">. It has not been easy to </w:t>
      </w:r>
      <w:r w:rsidR="001301DB">
        <w:t>identify</w:t>
      </w:r>
      <w:r>
        <w:t xml:space="preserve"> </w:t>
      </w:r>
      <w:r w:rsidR="001301DB">
        <w:t xml:space="preserve">the </w:t>
      </w:r>
      <w:r>
        <w:t xml:space="preserve">specific processes used to reduce the number of qualifications </w:t>
      </w:r>
      <w:r w:rsidR="0082137A">
        <w:t>sustained by specific countries</w:t>
      </w:r>
      <w:r w:rsidR="006774DC">
        <w:t xml:space="preserve">, although there is reference to this as a task entrusted to </w:t>
      </w:r>
      <w:r w:rsidR="001301DB">
        <w:t xml:space="preserve">the </w:t>
      </w:r>
      <w:r w:rsidR="006774DC">
        <w:t>committees that develop qualifications.</w:t>
      </w:r>
      <w:r>
        <w:t xml:space="preserve"> We have however been able to identify </w:t>
      </w:r>
      <w:r w:rsidR="001301DB">
        <w:t xml:space="preserve">the </w:t>
      </w:r>
      <w:r>
        <w:t xml:space="preserve">specific </w:t>
      </w:r>
      <w:r>
        <w:lastRenderedPageBreak/>
        <w:t xml:space="preserve">approaches used by the Scottish Qualifications Authority (SQA), the New Zealand Qualifications Authority (NZQA) and </w:t>
      </w:r>
      <w:r w:rsidR="001301DB">
        <w:t xml:space="preserve">the </w:t>
      </w:r>
      <w:r w:rsidR="0082137A">
        <w:t>systems used by the Skills Funding</w:t>
      </w:r>
      <w:r>
        <w:t xml:space="preserve"> Agency in the United Kingdom. The approach is based on identifying for removal qualifications </w:t>
      </w:r>
      <w:r w:rsidR="001301DB">
        <w:t>that,</w:t>
      </w:r>
      <w:r w:rsidR="006774DC">
        <w:t xml:space="preserve"> for two years</w:t>
      </w:r>
      <w:r w:rsidR="001301DB">
        <w:t>,</w:t>
      </w:r>
      <w:r w:rsidR="006774DC">
        <w:t xml:space="preserve"> have had </w:t>
      </w:r>
      <w:r>
        <w:t>zero or very low uptake. The United Kingdom Vocational Qualification</w:t>
      </w:r>
      <w:r w:rsidR="00E7250E">
        <w:t>s</w:t>
      </w:r>
      <w:r>
        <w:t xml:space="preserve"> Reform </w:t>
      </w:r>
      <w:r w:rsidR="00FC7A19">
        <w:t>P</w:t>
      </w:r>
      <w:r w:rsidR="00E7250E">
        <w:t>rogramme</w:t>
      </w:r>
      <w:r>
        <w:t xml:space="preserve"> </w:t>
      </w:r>
      <w:r w:rsidR="006774DC">
        <w:t xml:space="preserve">has </w:t>
      </w:r>
      <w:r>
        <w:t>also use</w:t>
      </w:r>
      <w:r w:rsidR="006774DC">
        <w:t>d</w:t>
      </w:r>
      <w:r>
        <w:t xml:space="preserve"> this approach to identify qualifications for removal</w:t>
      </w:r>
      <w:r w:rsidR="00E7250E">
        <w:t>,</w:t>
      </w:r>
      <w:r w:rsidR="006774DC">
        <w:t xml:space="preserve"> but it has combined</w:t>
      </w:r>
      <w:r w:rsidR="004F7A35">
        <w:t> </w:t>
      </w:r>
      <w:r w:rsidR="0023532F">
        <w:t>this</w:t>
      </w:r>
      <w:r w:rsidR="006774DC">
        <w:t xml:space="preserve"> with </w:t>
      </w:r>
      <w:r>
        <w:t xml:space="preserve">agreement from the relevant </w:t>
      </w:r>
      <w:r w:rsidR="001301DB">
        <w:t>sector skills councils</w:t>
      </w:r>
      <w:r w:rsidR="00E7250E">
        <w:t xml:space="preserve"> (SSCs)</w:t>
      </w:r>
      <w:r w:rsidR="006774DC">
        <w:t>. Selecting zero</w:t>
      </w:r>
      <w:r w:rsidR="0023532F">
        <w:t>- or low-</w:t>
      </w:r>
      <w:r w:rsidR="006774DC">
        <w:t>uptake qualifications for removal may not always be the right solution, especially for those occupations which</w:t>
      </w:r>
      <w:r w:rsidR="004F7A35">
        <w:t> </w:t>
      </w:r>
      <w:r w:rsidR="006774DC">
        <w:t xml:space="preserve">historically have relied on </w:t>
      </w:r>
      <w:r w:rsidR="008A4687">
        <w:t xml:space="preserve">only </w:t>
      </w:r>
      <w:r w:rsidR="006774DC">
        <w:t xml:space="preserve">small numbers of qualified individuals in their </w:t>
      </w:r>
      <w:r w:rsidR="006774DC" w:rsidRPr="00FF777D">
        <w:t>industry (for example, funeral directors, mortuary theatre practitioners, grave diggers).</w:t>
      </w:r>
      <w:r w:rsidR="009F125A" w:rsidRPr="00FF777D">
        <w:t xml:space="preserve"> </w:t>
      </w:r>
      <w:r w:rsidR="006774DC" w:rsidRPr="00FF777D">
        <w:t>This is why</w:t>
      </w:r>
      <w:r w:rsidR="006774DC">
        <w:t xml:space="preserve"> consulting with industry stakeholders about the continued need for </w:t>
      </w:r>
      <w:proofErr w:type="gramStart"/>
      <w:r w:rsidR="006774DC">
        <w:t>par</w:t>
      </w:r>
      <w:r w:rsidR="008A4B2B">
        <w:t xml:space="preserve">ticular </w:t>
      </w:r>
      <w:r w:rsidR="006774DC">
        <w:t>qualifications</w:t>
      </w:r>
      <w:r w:rsidR="008A4B2B">
        <w:t xml:space="preserve"> is</w:t>
      </w:r>
      <w:proofErr w:type="gramEnd"/>
      <w:r w:rsidR="008A4B2B">
        <w:t xml:space="preserve"> important</w:t>
      </w:r>
      <w:r w:rsidR="006774DC">
        <w:t xml:space="preserve">. </w:t>
      </w:r>
    </w:p>
    <w:p w:rsidR="00B94B62" w:rsidRDefault="00AD520C" w:rsidP="009748E7">
      <w:pPr>
        <w:pStyle w:val="Text"/>
      </w:pPr>
      <w:r>
        <w:t xml:space="preserve">There is continuing debate about the quality of qualifications based on </w:t>
      </w:r>
      <w:r w:rsidR="009F4A54">
        <w:t>the</w:t>
      </w:r>
      <w:r>
        <w:t xml:space="preserve"> </w:t>
      </w:r>
      <w:r w:rsidR="009F4A54">
        <w:t xml:space="preserve">principle of </w:t>
      </w:r>
      <w:r>
        <w:t>unitisation</w:t>
      </w:r>
      <w:r w:rsidR="009F4A54">
        <w:t xml:space="preserve">. In the main this </w:t>
      </w:r>
      <w:r w:rsidR="00FE6D85">
        <w:t xml:space="preserve">debate is </w:t>
      </w:r>
      <w:r w:rsidR="008A4B2B">
        <w:t>concerned with</w:t>
      </w:r>
      <w:r w:rsidR="00FE6D85">
        <w:t xml:space="preserve"> </w:t>
      </w:r>
      <w:r w:rsidR="009F4A54">
        <w:t xml:space="preserve">the undermining of </w:t>
      </w:r>
      <w:r w:rsidR="008A4B2B">
        <w:t xml:space="preserve">the </w:t>
      </w:r>
      <w:r w:rsidR="009F4A54">
        <w:t xml:space="preserve">broad qualifications traditionally </w:t>
      </w:r>
      <w:r w:rsidR="00B94B62">
        <w:t xml:space="preserve">perceived to be </w:t>
      </w:r>
      <w:r w:rsidR="009F4A54">
        <w:t xml:space="preserve">required for </w:t>
      </w:r>
      <w:r w:rsidR="00B94B62">
        <w:t>the holistic development of tradesperson</w:t>
      </w:r>
      <w:r w:rsidR="00295A85">
        <w:t>s</w:t>
      </w:r>
      <w:r w:rsidR="009F4A54">
        <w:t xml:space="preserve">. In Germany, </w:t>
      </w:r>
      <w:r w:rsidR="00E81137">
        <w:t xml:space="preserve">the use of the learning outcomes approach </w:t>
      </w:r>
      <w:r w:rsidR="009F4A54">
        <w:t xml:space="preserve">is especially criticised </w:t>
      </w:r>
      <w:r w:rsidR="008A4B2B">
        <w:t>in relation to</w:t>
      </w:r>
      <w:r w:rsidR="009F4A54">
        <w:t xml:space="preserve"> </w:t>
      </w:r>
      <w:r w:rsidR="00FE6D85">
        <w:t xml:space="preserve">entry-level </w:t>
      </w:r>
      <w:r w:rsidR="009F4A54">
        <w:t xml:space="preserve">dual system qualifications. </w:t>
      </w:r>
      <w:r w:rsidR="00B94B62">
        <w:t xml:space="preserve">Although learning outcomes </w:t>
      </w:r>
      <w:r w:rsidR="00BA73C9">
        <w:t xml:space="preserve">have been </w:t>
      </w:r>
      <w:r w:rsidR="0023532F">
        <w:t>generally accepted for pre</w:t>
      </w:r>
      <w:r w:rsidR="00B94B62">
        <w:t>vocational training</w:t>
      </w:r>
      <w:r w:rsidR="00E81137">
        <w:t xml:space="preserve"> and continuing education</w:t>
      </w:r>
      <w:r w:rsidR="00B94B62">
        <w:t xml:space="preserve">, </w:t>
      </w:r>
      <w:r w:rsidR="00E81137">
        <w:t xml:space="preserve">they </w:t>
      </w:r>
      <w:r w:rsidR="00BA73C9">
        <w:t>have been</w:t>
      </w:r>
      <w:r w:rsidR="00B94B62">
        <w:t xml:space="preserve"> criticised for </w:t>
      </w:r>
      <w:r w:rsidR="0023532F">
        <w:t>subverting</w:t>
      </w:r>
      <w:r w:rsidR="00B94B62">
        <w:t xml:space="preserve"> the concept of </w:t>
      </w:r>
      <w:r w:rsidR="00C504E2">
        <w:t>‘</w:t>
      </w:r>
      <w:proofErr w:type="spellStart"/>
      <w:r w:rsidR="00B94B62">
        <w:t>beruf</w:t>
      </w:r>
      <w:proofErr w:type="spellEnd"/>
      <w:r w:rsidR="00C504E2">
        <w:t>’</w:t>
      </w:r>
      <w:r w:rsidR="00B94B62">
        <w:t xml:space="preserve"> or vocation in the </w:t>
      </w:r>
      <w:r w:rsidR="00BA73C9">
        <w:t xml:space="preserve">German </w:t>
      </w:r>
      <w:r w:rsidR="00B94B62">
        <w:t xml:space="preserve">dual system. </w:t>
      </w:r>
      <w:r w:rsidR="00E81137">
        <w:t>The</w:t>
      </w:r>
      <w:r w:rsidR="00FE6D85">
        <w:t xml:space="preserve">re is a </w:t>
      </w:r>
      <w:r w:rsidR="00BA73C9">
        <w:t xml:space="preserve">fear </w:t>
      </w:r>
      <w:r w:rsidR="00FE6D85">
        <w:t xml:space="preserve">in some places </w:t>
      </w:r>
      <w:r w:rsidR="00BA73C9">
        <w:t xml:space="preserve">that unitisation resulting from the learning outcomes approach will </w:t>
      </w:r>
      <w:r w:rsidR="00E81137">
        <w:t xml:space="preserve">open the way to partial qualifications. </w:t>
      </w:r>
      <w:r w:rsidR="00BA73C9">
        <w:t>This fear of partial qualifications seems not to be important in the United Kingdom</w:t>
      </w:r>
      <w:r w:rsidR="001554F9">
        <w:t>,</w:t>
      </w:r>
      <w:r w:rsidR="00BA73C9">
        <w:t xml:space="preserve"> where units can be accumulated over time.</w:t>
      </w:r>
      <w:r w:rsidR="004928F1">
        <w:t xml:space="preserve"> </w:t>
      </w:r>
    </w:p>
    <w:p w:rsidR="00BA73C9" w:rsidRDefault="00BA73C9" w:rsidP="00BA73C9">
      <w:pPr>
        <w:pStyle w:val="Heading2"/>
      </w:pPr>
      <w:bookmarkStart w:id="31" w:name="_Toc406514226"/>
      <w:r>
        <w:t>Stakeholder involvement</w:t>
      </w:r>
      <w:bookmarkEnd w:id="31"/>
    </w:p>
    <w:p w:rsidR="00BA73C9" w:rsidRDefault="003E7C86" w:rsidP="00BA73C9">
      <w:pPr>
        <w:pStyle w:val="Text"/>
      </w:pPr>
      <w:r>
        <w:t xml:space="preserve">Broad </w:t>
      </w:r>
      <w:r w:rsidR="00BE7C34">
        <w:t xml:space="preserve">stakeholder </w:t>
      </w:r>
      <w:r>
        <w:t xml:space="preserve">consultation </w:t>
      </w:r>
      <w:r w:rsidR="000C2F0C">
        <w:t xml:space="preserve">and involvement </w:t>
      </w:r>
      <w:r>
        <w:t xml:space="preserve">in the development of qualifications and </w:t>
      </w:r>
      <w:r w:rsidR="00BF0E74">
        <w:t>qualifications framework</w:t>
      </w:r>
      <w:r>
        <w:t xml:space="preserve">s is observed </w:t>
      </w:r>
      <w:r w:rsidR="00BE7C34">
        <w:t>in many systems</w:t>
      </w:r>
      <w:r w:rsidR="001554F9">
        <w:t>,</w:t>
      </w:r>
      <w:r w:rsidR="00BE7C34">
        <w:t xml:space="preserve"> especially those undergoi</w:t>
      </w:r>
      <w:r w:rsidR="001554F9">
        <w:t>ng qualification-related reform</w:t>
      </w:r>
      <w:r w:rsidR="00BE7C34">
        <w:t xml:space="preserve"> and those hoping to open up access to and movement through different education sectors and qualification types. Such consultations </w:t>
      </w:r>
      <w:r w:rsidR="000C2F0C">
        <w:t>an</w:t>
      </w:r>
      <w:r w:rsidR="001A1F1E">
        <w:t>d</w:t>
      </w:r>
      <w:r w:rsidR="000C2F0C">
        <w:t xml:space="preserve"> activities are generally driven by government </w:t>
      </w:r>
      <w:r>
        <w:t xml:space="preserve">ministries and </w:t>
      </w:r>
      <w:r w:rsidR="000C2F0C">
        <w:t xml:space="preserve">involve a range of </w:t>
      </w:r>
      <w:r>
        <w:t>regulatory agencies</w:t>
      </w:r>
      <w:r w:rsidR="00BA73C9">
        <w:t>, industry</w:t>
      </w:r>
      <w:r>
        <w:t xml:space="preserve"> peak bodies</w:t>
      </w:r>
      <w:r w:rsidR="00BA73C9">
        <w:t xml:space="preserve">, </w:t>
      </w:r>
      <w:r>
        <w:t>trade unions (including students)</w:t>
      </w:r>
      <w:r w:rsidR="00EF6A11">
        <w:t>,</w:t>
      </w:r>
      <w:r>
        <w:t xml:space="preserve"> professional associations, public and private </w:t>
      </w:r>
      <w:r w:rsidR="00EF6A11">
        <w:t>VET</w:t>
      </w:r>
      <w:r w:rsidR="000C2F0C">
        <w:t xml:space="preserve"> providers</w:t>
      </w:r>
      <w:r w:rsidR="00EF6A11">
        <w:t xml:space="preserve">, school and higher </w:t>
      </w:r>
      <w:r>
        <w:t>education sectors</w:t>
      </w:r>
      <w:r w:rsidR="00EF6A11">
        <w:t xml:space="preserve"> (including practitioners)</w:t>
      </w:r>
      <w:r w:rsidR="00FE6D85">
        <w:t>, experts in the field,</w:t>
      </w:r>
      <w:r w:rsidR="00EF6A11">
        <w:t xml:space="preserve"> and</w:t>
      </w:r>
      <w:r>
        <w:t xml:space="preserve"> research </w:t>
      </w:r>
      <w:r w:rsidR="00EF6A11">
        <w:t>agencies</w:t>
      </w:r>
      <w:r>
        <w:t xml:space="preserve">. </w:t>
      </w:r>
      <w:r w:rsidR="001554F9">
        <w:t>The s</w:t>
      </w:r>
      <w:r w:rsidR="001919DF">
        <w:t xml:space="preserve">ector </w:t>
      </w:r>
      <w:r w:rsidR="001554F9">
        <w:t>skills councils in the United Kingdom and the</w:t>
      </w:r>
      <w:r w:rsidR="00FE6D85">
        <w:t xml:space="preserve"> </w:t>
      </w:r>
      <w:r w:rsidR="001554F9">
        <w:t>chambers of commerce and chambers of crafts in Germany</w:t>
      </w:r>
      <w:r w:rsidR="001919DF">
        <w:t xml:space="preserve"> </w:t>
      </w:r>
      <w:r w:rsidR="00FE6D85">
        <w:t xml:space="preserve">formalise the participation of industry in the training system. </w:t>
      </w:r>
      <w:r w:rsidR="006A2C09">
        <w:t xml:space="preserve">In Finland and Sweden industry and community stakeholders are involved in the development of qualifications in </w:t>
      </w:r>
      <w:r w:rsidR="001554F9">
        <w:t>the national and sectoral c</w:t>
      </w:r>
      <w:r w:rsidR="006A2C09">
        <w:t>ommittees charged with this function. They are also involved in the assessments of skills demonstrations</w:t>
      </w:r>
      <w:r w:rsidR="00E7250E">
        <w:t>,</w:t>
      </w:r>
      <w:r w:rsidR="006A2C09">
        <w:t xml:space="preserve"> </w:t>
      </w:r>
      <w:r w:rsidR="00E7250E">
        <w:t>which</w:t>
      </w:r>
      <w:r w:rsidR="006A2C09">
        <w:t xml:space="preserve"> generally take place in workplaces.</w:t>
      </w:r>
    </w:p>
    <w:p w:rsidR="00EF6A11" w:rsidRDefault="00EF6A11" w:rsidP="00EF6A11">
      <w:pPr>
        <w:pStyle w:val="Heading2"/>
      </w:pPr>
      <w:bookmarkStart w:id="32" w:name="_Toc406514227"/>
      <w:r>
        <w:t>Quality assurance</w:t>
      </w:r>
      <w:bookmarkEnd w:id="32"/>
      <w:r>
        <w:t xml:space="preserve"> </w:t>
      </w:r>
    </w:p>
    <w:p w:rsidR="00AC6C5B" w:rsidRDefault="007178A0" w:rsidP="00EF6A11">
      <w:pPr>
        <w:pStyle w:val="Text"/>
      </w:pPr>
      <w:r>
        <w:t>The current move to outcomes</w:t>
      </w:r>
      <w:r w:rsidR="004E6E41">
        <w:t>-</w:t>
      </w:r>
      <w:r>
        <w:t>oriented learning</w:t>
      </w:r>
      <w:r w:rsidR="008A4687">
        <w:t>,</w:t>
      </w:r>
      <w:r>
        <w:t xml:space="preserve"> </w:t>
      </w:r>
      <w:r w:rsidR="004E6E41">
        <w:t>based on learning outcomes, competency standards, or learning objectives</w:t>
      </w:r>
      <w:r w:rsidR="008A4687">
        <w:t>,</w:t>
      </w:r>
      <w:r w:rsidR="004E6E41">
        <w:t xml:space="preserve"> places the focus on assessment activities rather than on delivery or learning techniques. When </w:t>
      </w:r>
      <w:r w:rsidR="00EF6A11">
        <w:t>learners</w:t>
      </w:r>
      <w:r w:rsidR="004E6E41">
        <w:t xml:space="preserve"> </w:t>
      </w:r>
      <w:r w:rsidR="00EF6A11">
        <w:t xml:space="preserve">obtain qualifications for </w:t>
      </w:r>
      <w:r w:rsidR="0023532F">
        <w:t xml:space="preserve">the </w:t>
      </w:r>
      <w:r w:rsidR="00EF6A11">
        <w:t>knowledge, skills and competencies acquire</w:t>
      </w:r>
      <w:r w:rsidR="001554F9">
        <w:t>d</w:t>
      </w:r>
      <w:r w:rsidR="00EF6A11">
        <w:t xml:space="preserve"> in a rang</w:t>
      </w:r>
      <w:r>
        <w:t>e</w:t>
      </w:r>
      <w:r w:rsidR="00EF6A11">
        <w:t xml:space="preserve"> of formal, non-formal and informal situations</w:t>
      </w:r>
      <w:r w:rsidR="001554F9">
        <w:t>,</w:t>
      </w:r>
      <w:r w:rsidR="004E6E41">
        <w:t xml:space="preserve"> uncertainty </w:t>
      </w:r>
      <w:r w:rsidR="0023532F">
        <w:t>may</w:t>
      </w:r>
      <w:r w:rsidR="001554F9">
        <w:t xml:space="preserve"> arise </w:t>
      </w:r>
      <w:r w:rsidR="004E6E41">
        <w:t xml:space="preserve">about the quality of the qualifications obtained. This uncertainty can reduce trust and confidence in the </w:t>
      </w:r>
      <w:r w:rsidR="001919DF">
        <w:t xml:space="preserve">value of the qualification and its acceptance by employers and </w:t>
      </w:r>
      <w:r w:rsidR="0023532F">
        <w:t xml:space="preserve">the </w:t>
      </w:r>
      <w:r w:rsidR="001919DF">
        <w:t xml:space="preserve">individuals themselves. </w:t>
      </w:r>
    </w:p>
    <w:p w:rsidR="004D362A" w:rsidRDefault="001919DF" w:rsidP="004F7A35">
      <w:pPr>
        <w:pStyle w:val="Text"/>
        <w:ind w:right="-143"/>
      </w:pPr>
      <w:r>
        <w:t xml:space="preserve">In traditional education systems the general approach has involved a system of inspection. In </w:t>
      </w:r>
      <w:r w:rsidR="000C2F0C">
        <w:t xml:space="preserve">reformed </w:t>
      </w:r>
      <w:r w:rsidR="007F33CC">
        <w:t xml:space="preserve">or </w:t>
      </w:r>
      <w:r>
        <w:t xml:space="preserve">systems </w:t>
      </w:r>
      <w:r w:rsidR="0023532F">
        <w:t xml:space="preserve">undergoing reform </w:t>
      </w:r>
      <w:r>
        <w:t xml:space="preserve">the inspectorial approach has either been superseded by or </w:t>
      </w:r>
      <w:r w:rsidR="001554F9">
        <w:t xml:space="preserve">been </w:t>
      </w:r>
      <w:r>
        <w:t xml:space="preserve">combined with a quality assurance approach. </w:t>
      </w:r>
      <w:r w:rsidR="0074088D">
        <w:t xml:space="preserve">The inspectorial approach continues to have currency in </w:t>
      </w:r>
      <w:r w:rsidR="0074088D">
        <w:lastRenderedPageBreak/>
        <w:t>many EU member states. The quality assurance approach has generally been adopted in Sou</w:t>
      </w:r>
      <w:r w:rsidR="00E7250E">
        <w:t>th Africa, New Zealand, Ontario in</w:t>
      </w:r>
      <w:r w:rsidR="0074088D">
        <w:t xml:space="preserve"> Canada, and </w:t>
      </w:r>
      <w:r w:rsidR="00B31E28">
        <w:t xml:space="preserve">with </w:t>
      </w:r>
      <w:r w:rsidR="0022270D">
        <w:t xml:space="preserve">accrediting agencies </w:t>
      </w:r>
      <w:r w:rsidR="0074088D">
        <w:t xml:space="preserve">in the </w:t>
      </w:r>
      <w:r w:rsidR="0022270D">
        <w:t>United States</w:t>
      </w:r>
      <w:r w:rsidR="0074088D">
        <w:t>. Concepts of quality assurance have been combined with concepts</w:t>
      </w:r>
      <w:r w:rsidR="0022270D">
        <w:t xml:space="preserve"> of inspections in Scotland</w:t>
      </w:r>
      <w:r w:rsidR="0074088D">
        <w:t xml:space="preserve"> and other parts of the United Kingdom. In Germany </w:t>
      </w:r>
      <w:r w:rsidR="004D362A">
        <w:t xml:space="preserve">quality assurance </w:t>
      </w:r>
      <w:r w:rsidR="0022270D">
        <w:t>has been largely focu</w:t>
      </w:r>
      <w:r w:rsidR="0074088D">
        <w:t xml:space="preserve">sed on continuing education. </w:t>
      </w:r>
    </w:p>
    <w:p w:rsidR="004D362A" w:rsidRDefault="0022270D" w:rsidP="004D362A">
      <w:pPr>
        <w:pStyle w:val="Text"/>
      </w:pPr>
      <w:r>
        <w:t>On the whole</w:t>
      </w:r>
      <w:r w:rsidR="00E7250E">
        <w:t>,</w:t>
      </w:r>
      <w:r>
        <w:t xml:space="preserve"> q</w:t>
      </w:r>
      <w:r w:rsidR="0074088D">
        <w:t>uality assurance and regulatory frameworks have specific requirements that need to be addressed by those seeking initial or</w:t>
      </w:r>
      <w:r>
        <w:t xml:space="preserve"> continuing accreditation</w:t>
      </w:r>
      <w:r w:rsidR="00C748DF">
        <w:t>. These</w:t>
      </w:r>
      <w:r>
        <w:t xml:space="preserve"> </w:t>
      </w:r>
      <w:r w:rsidR="0074088D">
        <w:t xml:space="preserve">are generally </w:t>
      </w:r>
      <w:r w:rsidR="0023532F">
        <w:t>specified</w:t>
      </w:r>
      <w:r w:rsidR="0074088D">
        <w:t xml:space="preserve"> in quality standards, objectives or criteria. Standards-based systems</w:t>
      </w:r>
      <w:r w:rsidR="00C748DF">
        <w:t>,</w:t>
      </w:r>
      <w:r w:rsidR="0074088D">
        <w:t xml:space="preserve"> as well as those based on objectives and criteria</w:t>
      </w:r>
      <w:r w:rsidR="00C748DF">
        <w:t>,</w:t>
      </w:r>
      <w:r w:rsidR="0074088D">
        <w:t xml:space="preserve"> require regulators to have a clear idea about </w:t>
      </w:r>
      <w:r w:rsidR="00C748DF">
        <w:t xml:space="preserve">the </w:t>
      </w:r>
      <w:r w:rsidR="0074088D">
        <w:t>intentions of the standards and objectiv</w:t>
      </w:r>
      <w:r w:rsidR="00C748DF">
        <w:t xml:space="preserve">es </w:t>
      </w:r>
      <w:r w:rsidR="00494A61">
        <w:t>to be applied or pursued</w:t>
      </w:r>
      <w:r w:rsidR="00C748DF">
        <w:t xml:space="preserve">; </w:t>
      </w:r>
      <w:r w:rsidR="00494A61">
        <w:t>regulators</w:t>
      </w:r>
      <w:r w:rsidR="00C748DF">
        <w:t xml:space="preserve"> also need</w:t>
      </w:r>
      <w:r w:rsidR="0074088D">
        <w:t xml:space="preserve"> to ensure that t</w:t>
      </w:r>
      <w:r w:rsidR="00643F0F">
        <w:t>hese are clearly communicated</w:t>
      </w:r>
      <w:r w:rsidR="0074088D">
        <w:t xml:space="preserve"> and </w:t>
      </w:r>
      <w:r w:rsidR="00643F0F">
        <w:t xml:space="preserve">are </w:t>
      </w:r>
      <w:r w:rsidR="0074088D">
        <w:t>understood by those implement</w:t>
      </w:r>
      <w:r w:rsidR="00C748DF">
        <w:t>ing</w:t>
      </w:r>
      <w:r w:rsidR="0074088D">
        <w:t xml:space="preserve"> them. </w:t>
      </w:r>
      <w:r w:rsidR="00C748DF">
        <w:t xml:space="preserve">In many jurisdictions </w:t>
      </w:r>
      <w:r w:rsidR="004D362A">
        <w:t xml:space="preserve">the issues covered </w:t>
      </w:r>
      <w:r w:rsidR="003540C4">
        <w:t>by</w:t>
      </w:r>
      <w:r w:rsidR="004D362A">
        <w:t xml:space="preserve"> quality assurance and </w:t>
      </w:r>
      <w:r w:rsidR="003540C4">
        <w:t xml:space="preserve">those relating to </w:t>
      </w:r>
      <w:r w:rsidR="004D362A">
        <w:t xml:space="preserve">accreditation standards </w:t>
      </w:r>
      <w:r w:rsidR="00C748DF">
        <w:t xml:space="preserve">converge. </w:t>
      </w:r>
    </w:p>
    <w:p w:rsidR="004D362A" w:rsidRDefault="00494A61" w:rsidP="0074088D">
      <w:pPr>
        <w:pStyle w:val="Text"/>
      </w:pPr>
      <w:r>
        <w:t>Regulators and free providers</w:t>
      </w:r>
      <w:r w:rsidR="004D362A">
        <w:t xml:space="preserve"> </w:t>
      </w:r>
      <w:r w:rsidR="003540C4">
        <w:t xml:space="preserve">are increasingly concerned about </w:t>
      </w:r>
      <w:r w:rsidR="004D362A">
        <w:t xml:space="preserve">the bureaucracy </w:t>
      </w:r>
      <w:r w:rsidR="003540C4">
        <w:t>associated with</w:t>
      </w:r>
      <w:r w:rsidR="004D362A">
        <w:t xml:space="preserve"> regulation. The use of risk-based assessment to reduce bureaucratic burden and to provide responsive regulation is also being implemented across systems. </w:t>
      </w:r>
    </w:p>
    <w:p w:rsidR="004C4D7E" w:rsidRDefault="00F067FE" w:rsidP="004C4D7E">
      <w:pPr>
        <w:pStyle w:val="Heading2"/>
      </w:pPr>
      <w:bookmarkStart w:id="33" w:name="_Toc406514228"/>
      <w:r>
        <w:t>Conclusions</w:t>
      </w:r>
      <w:bookmarkEnd w:id="33"/>
    </w:p>
    <w:p w:rsidR="004C4D7E" w:rsidRDefault="00F067FE" w:rsidP="002919BE">
      <w:pPr>
        <w:pStyle w:val="Text"/>
      </w:pPr>
      <w:r>
        <w:t>M</w:t>
      </w:r>
      <w:r w:rsidR="004C4D7E">
        <w:t xml:space="preserve">any of the issues being faced overseas in the </w:t>
      </w:r>
      <w:r w:rsidR="00494A61">
        <w:t>construction</w:t>
      </w:r>
      <w:r w:rsidR="004C4D7E">
        <w:t xml:space="preserve"> of </w:t>
      </w:r>
      <w:r w:rsidR="00BF0E74">
        <w:t>qualifications framework</w:t>
      </w:r>
      <w:r w:rsidR="004C4D7E">
        <w:t xml:space="preserve">s, </w:t>
      </w:r>
      <w:r w:rsidR="003540C4">
        <w:t xml:space="preserve">the development of the </w:t>
      </w:r>
      <w:r w:rsidR="004C4D7E">
        <w:t>qualification</w:t>
      </w:r>
      <w:r w:rsidR="00B31E28">
        <w:t>s</w:t>
      </w:r>
      <w:r w:rsidR="004C4D7E">
        <w:t xml:space="preserve"> </w:t>
      </w:r>
      <w:r w:rsidR="003540C4">
        <w:t xml:space="preserve">themselves </w:t>
      </w:r>
      <w:r w:rsidR="004C4D7E">
        <w:t xml:space="preserve">and quality assurance frameworks have already been debated in the early development and recent revisions of </w:t>
      </w:r>
      <w:r w:rsidR="003540C4">
        <w:t>first-</w:t>
      </w:r>
      <w:r w:rsidR="00D22339">
        <w:t>generation frameworks</w:t>
      </w:r>
      <w:r w:rsidR="004C4D7E">
        <w:t xml:space="preserve">. </w:t>
      </w:r>
      <w:r>
        <w:t>Of interest, however, are the p</w:t>
      </w:r>
      <w:r w:rsidR="004C4D7E">
        <w:t xml:space="preserve">ractices used in </w:t>
      </w:r>
      <w:r w:rsidR="00D22339">
        <w:t xml:space="preserve">some </w:t>
      </w:r>
      <w:r w:rsidR="004C4D7E">
        <w:t xml:space="preserve">jurisdictions </w:t>
      </w:r>
      <w:r>
        <w:t>to prepare providers for</w:t>
      </w:r>
      <w:r w:rsidR="001A1F1E">
        <w:t xml:space="preserve"> accreditation and </w:t>
      </w:r>
      <w:r w:rsidR="004C4D7E">
        <w:t xml:space="preserve">the use of risk-based approaches to identify </w:t>
      </w:r>
      <w:r w:rsidR="004A7178">
        <w:t xml:space="preserve">and apply </w:t>
      </w:r>
      <w:r w:rsidR="004C4D7E">
        <w:t xml:space="preserve">regulatory </w:t>
      </w:r>
      <w:r w:rsidR="004C4D7E" w:rsidRPr="00EB4282">
        <w:t>action</w:t>
      </w:r>
      <w:r w:rsidR="001476B7">
        <w:t>.</w:t>
      </w:r>
      <w:r w:rsidR="004C4D7E">
        <w:t xml:space="preserve"> There is a need to build on </w:t>
      </w:r>
      <w:r w:rsidR="00065099">
        <w:t>earlier</w:t>
      </w:r>
      <w:r w:rsidR="004C4D7E">
        <w:t xml:space="preserve"> </w:t>
      </w:r>
      <w:r w:rsidR="00065099">
        <w:t>reforms; f</w:t>
      </w:r>
      <w:r w:rsidR="0023532F">
        <w:t>or example, there has</w:t>
      </w:r>
      <w:r w:rsidR="004C4D7E">
        <w:t xml:space="preserve"> been a range of national initiatives </w:t>
      </w:r>
      <w:r w:rsidR="00065099">
        <w:t xml:space="preserve">aiming </w:t>
      </w:r>
      <w:r w:rsidR="004C4D7E">
        <w:t xml:space="preserve">to improve the quality of assessments. Findings from these initiatives should be published more widely and </w:t>
      </w:r>
      <w:r w:rsidR="002F1484">
        <w:t>considered</w:t>
      </w:r>
      <w:r w:rsidR="004C4D7E">
        <w:t xml:space="preserve"> when developing guidance and resources for training providers. </w:t>
      </w:r>
      <w:r w:rsidR="00494A61">
        <w:t>The following are the major issues for consideration:</w:t>
      </w:r>
    </w:p>
    <w:p w:rsidR="004C4D7E" w:rsidRDefault="004C4D7E" w:rsidP="004F7A35">
      <w:pPr>
        <w:pStyle w:val="Dotpoint1"/>
        <w:ind w:right="141"/>
      </w:pPr>
      <w:r>
        <w:t>The type</w:t>
      </w:r>
      <w:r w:rsidR="002F1484">
        <w:t>s</w:t>
      </w:r>
      <w:r>
        <w:t xml:space="preserve"> of risk-based quality assurance mechanisms that are based on</w:t>
      </w:r>
      <w:r w:rsidR="002F1484">
        <w:t xml:space="preserve"> decreasing regulation for high-</w:t>
      </w:r>
      <w:r>
        <w:t>performing institutions and increasing investigations for those considered to be of higher risk should be more closely investigated. Risk-based approaches involve the identification of triggers for evaluation</w:t>
      </w:r>
      <w:r w:rsidR="001A1F1E">
        <w:t xml:space="preserve">. </w:t>
      </w:r>
      <w:r w:rsidR="00EB2B97">
        <w:t>D</w:t>
      </w:r>
      <w:r w:rsidR="005934DE">
        <w:t>ifferent systems have identified a range of these triggers</w:t>
      </w:r>
      <w:r>
        <w:t>. T</w:t>
      </w:r>
      <w:r w:rsidR="002F1484">
        <w:t>he t</w:t>
      </w:r>
      <w:r>
        <w:t xml:space="preserve">riggers identified by the Florida Education Department, </w:t>
      </w:r>
      <w:proofErr w:type="spellStart"/>
      <w:r>
        <w:t>Ofqual</w:t>
      </w:r>
      <w:proofErr w:type="spellEnd"/>
      <w:r>
        <w:t xml:space="preserve"> </w:t>
      </w:r>
      <w:r w:rsidR="0045388A">
        <w:t xml:space="preserve">(Office of Qualifications and Examinations Regulation) </w:t>
      </w:r>
      <w:r>
        <w:t xml:space="preserve">in the United Kingdom, and </w:t>
      </w:r>
      <w:r w:rsidR="00B31E28">
        <w:t>the New Zealand Qualifications Authority</w:t>
      </w:r>
      <w:r>
        <w:t xml:space="preserve"> </w:t>
      </w:r>
      <w:proofErr w:type="gramStart"/>
      <w:r>
        <w:t>are</w:t>
      </w:r>
      <w:proofErr w:type="gramEnd"/>
      <w:r>
        <w:t xml:space="preserve"> useful approaches.</w:t>
      </w:r>
    </w:p>
    <w:p w:rsidR="004C4D7E" w:rsidRDefault="004C4D7E" w:rsidP="004F7A35">
      <w:pPr>
        <w:pStyle w:val="Dotpoint1"/>
        <w:ind w:right="141"/>
      </w:pPr>
      <w:r>
        <w:t xml:space="preserve">Involving stakeholders in the design and assessment of qualifications is a feature of many systems at the national level, where it is sometimes legislated. However, it is important to note that stakeholder involvement may be constrained by the ability and availability of stakeholders to meaningfully </w:t>
      </w:r>
      <w:r w:rsidR="00B31E28">
        <w:t>participate in the process</w:t>
      </w:r>
      <w:r>
        <w:t xml:space="preserve">. Identifying the type and extent of involvement that can be reasonably expected from industry, </w:t>
      </w:r>
      <w:r w:rsidR="002F1484">
        <w:t xml:space="preserve">the </w:t>
      </w:r>
      <w:r>
        <w:t xml:space="preserve">community or student stakeholders may be an important step to ensuring </w:t>
      </w:r>
      <w:r w:rsidR="002F1484">
        <w:t>their</w:t>
      </w:r>
      <w:r>
        <w:t xml:space="preserve"> valued input into the design of qualifications, especially where </w:t>
      </w:r>
      <w:r w:rsidR="0023532F">
        <w:t>these</w:t>
      </w:r>
      <w:r>
        <w:t xml:space="preserve"> stakeholders do not have a formal legal role in the education and training system. </w:t>
      </w:r>
      <w:r w:rsidR="0023532F">
        <w:t>This</w:t>
      </w:r>
      <w:r>
        <w:t xml:space="preserve"> approach can also help to identify the role of stakeholders in external assessments </w:t>
      </w:r>
      <w:r w:rsidR="00494A61">
        <w:t>in improving</w:t>
      </w:r>
      <w:r>
        <w:t xml:space="preserve"> the validity and reliability</w:t>
      </w:r>
      <w:r w:rsidR="002F1484">
        <w:t xml:space="preserve"> of assessments. The p</w:t>
      </w:r>
      <w:r>
        <w:t>ractices used for the verification of assessments in the United Kingdom or skills demonstrations in Finland may be useful points for further investigation.</w:t>
      </w:r>
      <w:r w:rsidR="004928F1">
        <w:t xml:space="preserve"> </w:t>
      </w:r>
    </w:p>
    <w:p w:rsidR="007A70A7" w:rsidRDefault="005934DE" w:rsidP="004F7A35">
      <w:pPr>
        <w:pStyle w:val="Dotpoint1"/>
      </w:pPr>
      <w:r>
        <w:lastRenderedPageBreak/>
        <w:t xml:space="preserve">The integrity of qualifications is not only dependent on </w:t>
      </w:r>
      <w:r w:rsidR="004C4D7E">
        <w:t>the capacity o</w:t>
      </w:r>
      <w:r w:rsidR="002F1484">
        <w:t>f teachers, trainers, assessors</w:t>
      </w:r>
      <w:r w:rsidR="004C4D7E">
        <w:t xml:space="preserve"> </w:t>
      </w:r>
      <w:r>
        <w:t xml:space="preserve">and </w:t>
      </w:r>
      <w:r w:rsidR="004C4D7E">
        <w:t xml:space="preserve">verifiers </w:t>
      </w:r>
      <w:r w:rsidR="002F1484">
        <w:t>to make valid and reliable judg</w:t>
      </w:r>
      <w:r>
        <w:t>ments</w:t>
      </w:r>
      <w:r w:rsidR="007A70A7">
        <w:t xml:space="preserve"> about the learning that has occurred, but also </w:t>
      </w:r>
      <w:r w:rsidR="0023532F">
        <w:t>involves ensuring</w:t>
      </w:r>
      <w:r w:rsidR="007A70A7">
        <w:t xml:space="preserve"> </w:t>
      </w:r>
      <w:r w:rsidR="00674307">
        <w:t xml:space="preserve">the </w:t>
      </w:r>
      <w:r w:rsidR="00494A61">
        <w:t>availability</w:t>
      </w:r>
      <w:r w:rsidR="00674307">
        <w:t xml:space="preserve"> of </w:t>
      </w:r>
      <w:r w:rsidR="007A70A7">
        <w:t xml:space="preserve">up-to-date facilities and equipment for learning </w:t>
      </w:r>
      <w:r w:rsidR="00362FDF">
        <w:t xml:space="preserve">and/or </w:t>
      </w:r>
      <w:r w:rsidR="007A70A7">
        <w:t>assessment. All groups need initial and cont</w:t>
      </w:r>
      <w:r w:rsidR="002F1484">
        <w:t>inuing training in their sector-</w:t>
      </w:r>
      <w:r w:rsidR="00674307">
        <w:t>specific knowledge and skills</w:t>
      </w:r>
      <w:r w:rsidR="007A70A7">
        <w:t xml:space="preserve"> and in teaching </w:t>
      </w:r>
      <w:r w:rsidR="00362FDF">
        <w:t xml:space="preserve">and/or </w:t>
      </w:r>
      <w:r w:rsidR="007A70A7">
        <w:t xml:space="preserve">assessment pedagogies. Initial training and continuing professional development of quality auditors and inspectors </w:t>
      </w:r>
      <w:r w:rsidR="0023532F">
        <w:t>is</w:t>
      </w:r>
      <w:r w:rsidR="007A70A7">
        <w:t xml:space="preserve"> also required. </w:t>
      </w:r>
    </w:p>
    <w:p w:rsidR="007A70A7" w:rsidRDefault="009B4BC1" w:rsidP="004F7A35">
      <w:pPr>
        <w:pStyle w:val="Dotpoint1"/>
      </w:pPr>
      <w:r>
        <w:t>Qualification</w:t>
      </w:r>
      <w:r w:rsidR="00494A61">
        <w:t>s</w:t>
      </w:r>
      <w:r>
        <w:t xml:space="preserve"> systems and regulatory approaches reflect the traditions of the cultural con</w:t>
      </w:r>
      <w:r w:rsidR="002F1484">
        <w:t>texts in which they are located; however, t</w:t>
      </w:r>
      <w:r>
        <w:t xml:space="preserve">he need to ensure that qualifications have integrity and currency </w:t>
      </w:r>
      <w:r w:rsidR="002F1484">
        <w:t>holds</w:t>
      </w:r>
      <w:r>
        <w:t xml:space="preserve"> true for all nations in this study. </w:t>
      </w:r>
    </w:p>
    <w:p w:rsidR="004A1D4B" w:rsidRDefault="004A1D4B" w:rsidP="007A70A7">
      <w:pPr>
        <w:pStyle w:val="Heading2"/>
      </w:pPr>
      <w:bookmarkStart w:id="34" w:name="_Toc406514229"/>
      <w:r>
        <w:t>Limitations</w:t>
      </w:r>
      <w:bookmarkEnd w:id="34"/>
      <w:r>
        <w:t xml:space="preserve"> </w:t>
      </w:r>
    </w:p>
    <w:p w:rsidR="006A2C09" w:rsidRDefault="0023532F" w:rsidP="004F7A35">
      <w:pPr>
        <w:pStyle w:val="Text"/>
      </w:pPr>
      <w:r>
        <w:t>T</w:t>
      </w:r>
      <w:r w:rsidR="006A2C09">
        <w:t xml:space="preserve">his paper </w:t>
      </w:r>
      <w:r>
        <w:t>has</w:t>
      </w:r>
      <w:r w:rsidR="006A2C09">
        <w:t xml:space="preserve"> provide</w:t>
      </w:r>
      <w:r w:rsidR="004A1D4B">
        <w:t>d</w:t>
      </w:r>
      <w:r w:rsidR="006A2C09">
        <w:t xml:space="preserve"> information on what selected country comparators do to develop, approve</w:t>
      </w:r>
      <w:r w:rsidR="004A1D4B">
        <w:t>,</w:t>
      </w:r>
      <w:r w:rsidR="006A2C09">
        <w:t xml:space="preserve"> maintain </w:t>
      </w:r>
      <w:r w:rsidR="00A54952">
        <w:t>and quality-</w:t>
      </w:r>
      <w:r w:rsidR="004A1D4B">
        <w:t xml:space="preserve">assure </w:t>
      </w:r>
      <w:r w:rsidR="006A2C09">
        <w:t xml:space="preserve">their qualifications. </w:t>
      </w:r>
      <w:r w:rsidR="00674307">
        <w:t>This has been achieved through</w:t>
      </w:r>
      <w:r w:rsidR="006A2C09">
        <w:t xml:space="preserve"> a desk-top analysis of </w:t>
      </w:r>
      <w:r w:rsidR="00674307">
        <w:t xml:space="preserve">readily available </w:t>
      </w:r>
      <w:r w:rsidR="006A2C09">
        <w:t>information on public websites and publications. Although obtain</w:t>
      </w:r>
      <w:r w:rsidR="00A54952">
        <w:t>ing</w:t>
      </w:r>
      <w:r w:rsidR="006A2C09">
        <w:t xml:space="preserve"> information </w:t>
      </w:r>
      <w:r w:rsidR="002F1484">
        <w:t>in this way</w:t>
      </w:r>
      <w:r w:rsidR="006A2C09">
        <w:t xml:space="preserve"> for some </w:t>
      </w:r>
      <w:r w:rsidR="00522FC6">
        <w:t>areas, for example,</w:t>
      </w:r>
      <w:r w:rsidR="006A2C09">
        <w:t xml:space="preserve"> </w:t>
      </w:r>
      <w:r w:rsidR="00BF0E74">
        <w:t>qualifications framework</w:t>
      </w:r>
      <w:r w:rsidR="006A2C09">
        <w:t>s, qualification approval processes and quality assurance mechanisms</w:t>
      </w:r>
      <w:r w:rsidR="00674307">
        <w:t>,</w:t>
      </w:r>
      <w:r w:rsidR="00A54952">
        <w:t xml:space="preserve"> has been relatively straightforward</w:t>
      </w:r>
      <w:r w:rsidR="006A2C09">
        <w:t xml:space="preserve">, it has been more difficult to obtain information on how different jurisdictions remove qualifications that are either no longer useful or </w:t>
      </w:r>
      <w:r w:rsidR="00A54952">
        <w:t>where</w:t>
      </w:r>
      <w:r w:rsidR="006A2C09">
        <w:t xml:space="preserve"> few or no individuals enrol. </w:t>
      </w:r>
      <w:r w:rsidR="00B4459D">
        <w:t>Furthermore, w</w:t>
      </w:r>
      <w:r w:rsidR="006A2C09">
        <w:t xml:space="preserve">e can never be sure that </w:t>
      </w:r>
      <w:r w:rsidR="00494A61">
        <w:t xml:space="preserve">the </w:t>
      </w:r>
      <w:r w:rsidR="00E62FDF">
        <w:t xml:space="preserve">descriptions of </w:t>
      </w:r>
      <w:r w:rsidR="006A2C09">
        <w:t xml:space="preserve">processes and policies </w:t>
      </w:r>
      <w:r w:rsidR="00E62FDF">
        <w:t>we have sourced from</w:t>
      </w:r>
      <w:r w:rsidR="004F7A35">
        <w:t xml:space="preserve"> </w:t>
      </w:r>
      <w:r w:rsidR="006A2C09">
        <w:t>public</w:t>
      </w:r>
      <w:r w:rsidR="00B4459D">
        <w:t xml:space="preserve"> websites </w:t>
      </w:r>
      <w:r w:rsidR="00E62FDF">
        <w:t xml:space="preserve">at the time of writing </w:t>
      </w:r>
      <w:r w:rsidR="00B4459D">
        <w:t xml:space="preserve">are </w:t>
      </w:r>
      <w:r w:rsidR="00E62FDF">
        <w:t xml:space="preserve">the most accurate, </w:t>
      </w:r>
      <w:r w:rsidR="00B4459D">
        <w:t xml:space="preserve">comprehensive, up to </w:t>
      </w:r>
      <w:r w:rsidR="006A2C09">
        <w:t>date and complete.</w:t>
      </w:r>
      <w:r w:rsidR="004928F1">
        <w:t xml:space="preserve"> </w:t>
      </w:r>
      <w:r w:rsidR="006A2C09">
        <w:t xml:space="preserve">When we rely on descriptions of </w:t>
      </w:r>
      <w:r w:rsidR="00E62FDF">
        <w:t xml:space="preserve">overseas </w:t>
      </w:r>
      <w:r w:rsidR="006A2C09">
        <w:t xml:space="preserve">systems and processes that </w:t>
      </w:r>
      <w:r w:rsidR="00E62FDF">
        <w:t xml:space="preserve">use English terms </w:t>
      </w:r>
      <w:r w:rsidR="001476B7">
        <w:t>that are not easy to interpret</w:t>
      </w:r>
      <w:r w:rsidR="00494A61">
        <w:t>,</w:t>
      </w:r>
      <w:r w:rsidR="001476B7">
        <w:t xml:space="preserve"> there is a danger that </w:t>
      </w:r>
      <w:r w:rsidR="00494A61">
        <w:t xml:space="preserve">the </w:t>
      </w:r>
      <w:r w:rsidR="001476B7">
        <w:t>processes may be misunderstood or misrepre</w:t>
      </w:r>
      <w:r w:rsidR="009F4AFB">
        <w:t>se</w:t>
      </w:r>
      <w:r w:rsidR="001476B7">
        <w:t xml:space="preserve">nted. </w:t>
      </w:r>
      <w:r w:rsidR="006A2C09">
        <w:t>Despite these limitations</w:t>
      </w:r>
      <w:r w:rsidR="00494A61">
        <w:t>,</w:t>
      </w:r>
      <w:r w:rsidR="00674307">
        <w:t xml:space="preserve"> we consider the information we have </w:t>
      </w:r>
      <w:r w:rsidR="00C1258B">
        <w:t>accessed will provide a</w:t>
      </w:r>
      <w:r w:rsidR="00674307">
        <w:t xml:space="preserve"> useful and relevant</w:t>
      </w:r>
      <w:r w:rsidR="00C1258B">
        <w:t xml:space="preserve"> comparative context.</w:t>
      </w:r>
      <w:r w:rsidR="00674307">
        <w:t xml:space="preserve"> </w:t>
      </w:r>
    </w:p>
    <w:p w:rsidR="004A1D4B" w:rsidRDefault="004A1D4B">
      <w:pPr>
        <w:spacing w:before="0" w:line="240" w:lineRule="auto"/>
      </w:pPr>
      <w:r>
        <w:br w:type="page"/>
      </w:r>
      <w:bookmarkStart w:id="35" w:name="_GoBack"/>
      <w:bookmarkEnd w:id="35"/>
    </w:p>
    <w:p w:rsidR="008D3242" w:rsidRDefault="00805125" w:rsidP="008D3242">
      <w:pPr>
        <w:pStyle w:val="Heading1"/>
      </w:pPr>
      <w:bookmarkStart w:id="36" w:name="_Toc406514230"/>
      <w:r>
        <w:lastRenderedPageBreak/>
        <w:t>Qualification</w:t>
      </w:r>
      <w:r w:rsidR="00494A61">
        <w:t>s</w:t>
      </w:r>
      <w:r>
        <w:t xml:space="preserve"> systems and frameworks</w:t>
      </w:r>
      <w:bookmarkEnd w:id="36"/>
    </w:p>
    <w:p w:rsidR="008D3242" w:rsidRDefault="008D3242" w:rsidP="008D3242">
      <w:pPr>
        <w:pStyle w:val="Text"/>
      </w:pPr>
      <w:r>
        <w:t>Qualification</w:t>
      </w:r>
      <w:r w:rsidR="00494A61">
        <w:t>s</w:t>
      </w:r>
      <w:r>
        <w:t xml:space="preserve"> systems reflect the social, economic and cultural traditions of the national or regional situations in which they are located. Qualification</w:t>
      </w:r>
      <w:r w:rsidR="00494A61">
        <w:t>s</w:t>
      </w:r>
      <w:r>
        <w:t xml:space="preserve"> </w:t>
      </w:r>
      <w:r w:rsidR="006D03C7">
        <w:t>frameworks represent a classification of the qualifications available in a qualification</w:t>
      </w:r>
      <w:r w:rsidR="00494A61">
        <w:t>s</w:t>
      </w:r>
      <w:r w:rsidR="006D03C7">
        <w:t xml:space="preserve"> system. </w:t>
      </w:r>
    </w:p>
    <w:p w:rsidR="008D3242" w:rsidRDefault="008D3242" w:rsidP="008D3242">
      <w:pPr>
        <w:pStyle w:val="Heading2"/>
      </w:pPr>
      <w:bookmarkStart w:id="37" w:name="_Toc406514231"/>
      <w:r>
        <w:t>Definitions</w:t>
      </w:r>
      <w:bookmarkEnd w:id="37"/>
    </w:p>
    <w:p w:rsidR="009A320E" w:rsidRDefault="009A320E" w:rsidP="00805125">
      <w:pPr>
        <w:pStyle w:val="Text"/>
      </w:pPr>
      <w:r>
        <w:t>In 2008 t</w:t>
      </w:r>
      <w:r w:rsidR="00805125">
        <w:t>he European Parliament and Council descr</w:t>
      </w:r>
      <w:r>
        <w:t>ibed a qualification</w:t>
      </w:r>
      <w:r w:rsidR="00494A61">
        <w:t>s</w:t>
      </w:r>
      <w:r>
        <w:t xml:space="preserve"> system as:</w:t>
      </w:r>
    </w:p>
    <w:p w:rsidR="00805125" w:rsidRDefault="00805125" w:rsidP="004F7A35">
      <w:pPr>
        <w:pStyle w:val="Quote"/>
      </w:pPr>
      <w:proofErr w:type="gramStart"/>
      <w:r>
        <w:t>including</w:t>
      </w:r>
      <w:proofErr w:type="gramEnd"/>
      <w:r>
        <w:t xml:space="preserve"> all aspects of a country</w:t>
      </w:r>
      <w:r w:rsidR="00C504E2">
        <w:t>’</w:t>
      </w:r>
      <w:r>
        <w:t xml:space="preserve">s activity that result in the recognition of learning. These systems include the means of developing and </w:t>
      </w:r>
      <w:proofErr w:type="spellStart"/>
      <w:r>
        <w:t>operationalising</w:t>
      </w:r>
      <w:proofErr w:type="spellEnd"/>
      <w:r>
        <w:t xml:space="preserve"> national or regional policy on qualifications, institutional arrangements, quality assurance processes, assessment and awarding processes, skills recognition and other mechanisms that link education and training to the labour ma</w:t>
      </w:r>
      <w:r w:rsidR="009A320E">
        <w:t>rket and civil society.</w:t>
      </w:r>
      <w:r w:rsidR="009A320E">
        <w:tab/>
      </w:r>
      <w:r>
        <w:t>(European Parliamen</w:t>
      </w:r>
      <w:r w:rsidR="009A320E">
        <w:t>t and Council, cited by CEDEFOP 2010, p</w:t>
      </w:r>
      <w:r w:rsidR="00C1258B">
        <w:t>.</w:t>
      </w:r>
      <w:r w:rsidR="009A320E">
        <w:t>182)</w:t>
      </w:r>
      <w:r>
        <w:t xml:space="preserve"> </w:t>
      </w:r>
    </w:p>
    <w:p w:rsidR="008D3242" w:rsidRDefault="008D3242" w:rsidP="008D3242">
      <w:pPr>
        <w:pStyle w:val="Text"/>
      </w:pPr>
      <w:r>
        <w:t xml:space="preserve">When we talk about qualifications we are generally referring to formal certifications that confirm </w:t>
      </w:r>
      <w:r w:rsidR="009A320E">
        <w:t xml:space="preserve">that </w:t>
      </w:r>
      <w:r>
        <w:t>an individual has achieved a set of competencies or learning outcomes</w:t>
      </w:r>
      <w:r w:rsidRPr="007B6500">
        <w:t xml:space="preserve"> </w:t>
      </w:r>
      <w:r>
        <w:t xml:space="preserve">in a specific domain to the required standards. Nationally accredited or regulated qualifications are those awarded by a formally registered or approved educational institution or awarding agency with </w:t>
      </w:r>
      <w:r w:rsidR="009A320E">
        <w:t xml:space="preserve">the </w:t>
      </w:r>
      <w:r>
        <w:t xml:space="preserve">power to </w:t>
      </w:r>
      <w:r w:rsidR="009A320E">
        <w:t>confer</w:t>
      </w:r>
      <w:r>
        <w:t xml:space="preserve"> the qualification. Qualifications awarded by institutions outside these formally approved and recognised bodies may also have value in the labour market because they confer specific types of learning and skil</w:t>
      </w:r>
      <w:r w:rsidR="00494A61">
        <w:t>ls</w:t>
      </w:r>
      <w:r>
        <w:t xml:space="preserve"> (for example, music qualifications, actuarial qualifications, specific ICT </w:t>
      </w:r>
      <w:r w:rsidR="009A320E">
        <w:t xml:space="preserve">[information communication technologies] </w:t>
      </w:r>
      <w:r>
        <w:t xml:space="preserve">qualifications and accreditations and so on). </w:t>
      </w:r>
    </w:p>
    <w:p w:rsidR="008D3242" w:rsidRDefault="008D3242" w:rsidP="008D3242">
      <w:pPr>
        <w:pStyle w:val="Text"/>
      </w:pPr>
      <w:r>
        <w:t>Qualification</w:t>
      </w:r>
      <w:r w:rsidR="00494A61">
        <w:t>s</w:t>
      </w:r>
      <w:r>
        <w:t xml:space="preserve"> frameworks represent a hierarchy of qualification types and </w:t>
      </w:r>
      <w:r w:rsidR="009A320E">
        <w:t xml:space="preserve">the </w:t>
      </w:r>
      <w:r>
        <w:t>relationships between them. In</w:t>
      </w:r>
      <w:r w:rsidR="002C7B10">
        <w:t>creasingly in some overseas countries</w:t>
      </w:r>
      <w:r w:rsidR="009A320E">
        <w:t>,</w:t>
      </w:r>
      <w:r>
        <w:t xml:space="preserve"> there has been a move to reorganise </w:t>
      </w:r>
      <w:r w:rsidR="002C7B10">
        <w:t>qualification</w:t>
      </w:r>
      <w:r w:rsidR="00494A61">
        <w:t>s</w:t>
      </w:r>
      <w:r w:rsidR="002C7B10">
        <w:t xml:space="preserve"> systems</w:t>
      </w:r>
      <w:r>
        <w:t xml:space="preserve"> </w:t>
      </w:r>
      <w:r w:rsidR="002E7152">
        <w:t>(</w:t>
      </w:r>
      <w:r>
        <w:t xml:space="preserve">especially </w:t>
      </w:r>
      <w:r w:rsidR="002E7152">
        <w:t xml:space="preserve">in </w:t>
      </w:r>
      <w:r>
        <w:t>EU member states, but also in some countries in the As</w:t>
      </w:r>
      <w:r w:rsidR="00C1258B">
        <w:t xml:space="preserve">ia Pacific, </w:t>
      </w:r>
      <w:r w:rsidR="006D03C7">
        <w:t xml:space="preserve">including </w:t>
      </w:r>
      <w:r w:rsidR="00494A61">
        <w:t>Malaysia, Korea</w:t>
      </w:r>
      <w:r>
        <w:t xml:space="preserve"> </w:t>
      </w:r>
      <w:r w:rsidR="00082AE2">
        <w:t>and Singapore) by</w:t>
      </w:r>
      <w:r w:rsidR="002E7152">
        <w:t xml:space="preserve"> applying the framework concept</w:t>
      </w:r>
      <w:r>
        <w:t xml:space="preserve"> to </w:t>
      </w:r>
      <w:r w:rsidR="00D51E08">
        <w:t>classify</w:t>
      </w:r>
      <w:r>
        <w:t xml:space="preserve"> qualifications.</w:t>
      </w:r>
      <w:r w:rsidR="004F7A35">
        <w:t xml:space="preserve"> </w:t>
      </w:r>
    </w:p>
    <w:p w:rsidR="00805125" w:rsidRDefault="00805125" w:rsidP="00805125">
      <w:pPr>
        <w:pStyle w:val="Heading3"/>
      </w:pPr>
      <w:r>
        <w:t>Similar parameters</w:t>
      </w:r>
    </w:p>
    <w:p w:rsidR="002C7B10" w:rsidRDefault="002C7B10" w:rsidP="004F7A35">
      <w:pPr>
        <w:pStyle w:val="Textlessbefore"/>
      </w:pPr>
      <w:r>
        <w:t>The d</w:t>
      </w:r>
      <w:r w:rsidR="00805125">
        <w:t xml:space="preserve">efinitions of qualifications and frameworks used </w:t>
      </w:r>
      <w:r w:rsidR="00C1258B">
        <w:t>in Australia and overseas</w:t>
      </w:r>
      <w:r w:rsidR="00805125">
        <w:t xml:space="preserve"> have similar parameters. The </w:t>
      </w:r>
      <w:r>
        <w:t>Organisation for Economic Co-operation and Development (</w:t>
      </w:r>
      <w:r w:rsidR="00805125">
        <w:t>OECD</w:t>
      </w:r>
      <w:r>
        <w:t>)</w:t>
      </w:r>
      <w:r w:rsidR="00805125">
        <w:t xml:space="preserve"> defines </w:t>
      </w:r>
      <w:r w:rsidR="00805125" w:rsidRPr="00D65D44">
        <w:t>formal qualification</w:t>
      </w:r>
      <w:r w:rsidR="00805125">
        <w:t>s as</w:t>
      </w:r>
      <w:r>
        <w:t xml:space="preserve">: </w:t>
      </w:r>
    </w:p>
    <w:p w:rsidR="002C7B10" w:rsidRDefault="00805125" w:rsidP="004F7A35">
      <w:pPr>
        <w:pStyle w:val="Quote"/>
      </w:pPr>
      <w:r w:rsidRPr="00D65D44">
        <w:t>the formal outcome (certificate, diploma or title) of an assessment and validation process which is obtained when a competent body determines that an individual has achieved learning outcomes to given standards and/or possesses the necessary competence to do a job in a specific area of work. A qualification confers official recognition of the value of learning outcomes in the labour market and in education and training. A qualification can be a legal entitlement to practi</w:t>
      </w:r>
      <w:r w:rsidR="00494A61">
        <w:t>s</w:t>
      </w:r>
      <w:r w:rsidRPr="00D65D44">
        <w:t>e a trade</w:t>
      </w:r>
      <w:r w:rsidR="002C7B10">
        <w:t>.</w:t>
      </w:r>
      <w:r w:rsidR="004F7A35">
        <w:br/>
      </w:r>
      <w:r w:rsidR="002C7B10">
        <w:tab/>
      </w:r>
      <w:r w:rsidR="002C7B10" w:rsidRPr="004739F8">
        <w:t>(OECD 2007</w:t>
      </w:r>
      <w:r w:rsidR="002C7B10">
        <w:t>, pp.21—2)</w:t>
      </w:r>
    </w:p>
    <w:p w:rsidR="00805125" w:rsidRDefault="002C7B10" w:rsidP="002C7B10">
      <w:pPr>
        <w:pStyle w:val="Text"/>
      </w:pPr>
      <w:r>
        <w:t>The International Standard Classification of Education (</w:t>
      </w:r>
      <w:r w:rsidR="00805125">
        <w:t>ISCED</w:t>
      </w:r>
      <w:r>
        <w:t>;</w:t>
      </w:r>
      <w:r w:rsidR="00805125">
        <w:t xml:space="preserve"> 2011</w:t>
      </w:r>
      <w:r>
        <w:t>)</w:t>
      </w:r>
      <w:r w:rsidR="00805125">
        <w:t xml:space="preserve"> defines a qualification as the </w:t>
      </w:r>
      <w:r w:rsidR="00C504E2">
        <w:t>‘</w:t>
      </w:r>
      <w:r w:rsidR="00805125">
        <w:t>official confirmation, usually in the form of a certified document, of the successful completion of an educational programme or of a stage of a program (intermediate qualifications)</w:t>
      </w:r>
      <w:r w:rsidR="00C504E2">
        <w:t>’</w:t>
      </w:r>
      <w:r w:rsidR="00805125">
        <w:t xml:space="preserve"> (cited in </w:t>
      </w:r>
      <w:r>
        <w:t>European Training Foundation</w:t>
      </w:r>
      <w:r w:rsidR="00805125">
        <w:t xml:space="preserve"> 2012</w:t>
      </w:r>
      <w:r>
        <w:t>,</w:t>
      </w:r>
      <w:r w:rsidR="00A106F5">
        <w:t xml:space="preserve"> </w:t>
      </w:r>
      <w:r w:rsidR="00805125">
        <w:t>p</w:t>
      </w:r>
      <w:r>
        <w:t>.</w:t>
      </w:r>
      <w:r w:rsidR="00805125">
        <w:t>8). The European Qualifications Framework</w:t>
      </w:r>
      <w:r w:rsidR="00494A61">
        <w:t xml:space="preserve"> (EQF)</w:t>
      </w:r>
      <w:r w:rsidR="00805125">
        <w:t xml:space="preserve"> </w:t>
      </w:r>
      <w:r>
        <w:t xml:space="preserve">defines a qualification </w:t>
      </w:r>
      <w:r>
        <w:lastRenderedPageBreak/>
        <w:t xml:space="preserve">as </w:t>
      </w:r>
      <w:r w:rsidR="00C504E2">
        <w:t>‘</w:t>
      </w:r>
      <w:r>
        <w:t xml:space="preserve">the </w:t>
      </w:r>
      <w:r w:rsidR="00805125">
        <w:t>formal outcome of an assessment and validation process which is obtained when a competent body determines that an individual has achieved learning outcomes to given standards</w:t>
      </w:r>
      <w:r w:rsidR="00C504E2">
        <w:t>’</w:t>
      </w:r>
      <w:r w:rsidR="00805125">
        <w:t xml:space="preserve"> (</w:t>
      </w:r>
      <w:r w:rsidR="00C1258B">
        <w:t>European Training Foundation</w:t>
      </w:r>
      <w:r w:rsidR="00805125">
        <w:t xml:space="preserve"> 2012</w:t>
      </w:r>
      <w:r w:rsidR="00494A61">
        <w:t>,</w:t>
      </w:r>
      <w:r w:rsidR="00805125">
        <w:t xml:space="preserve"> p</w:t>
      </w:r>
      <w:r w:rsidR="00C1258B">
        <w:t>.</w:t>
      </w:r>
      <w:r w:rsidR="00805125">
        <w:t xml:space="preserve">9). This definition does not cover the use of the term </w:t>
      </w:r>
      <w:r w:rsidR="00C504E2">
        <w:t>‘</w:t>
      </w:r>
      <w:r w:rsidR="00805125">
        <w:t>qualification</w:t>
      </w:r>
      <w:r w:rsidR="00C504E2">
        <w:t>’</w:t>
      </w:r>
      <w:r w:rsidR="00805125">
        <w:t xml:space="preserve"> to refer to being competent and able to do a job without a formal credential (CEDEFO</w:t>
      </w:r>
      <w:r w:rsidR="00A106F5">
        <w:t>P</w:t>
      </w:r>
      <w:r w:rsidR="00805125">
        <w:t xml:space="preserve"> 2010).</w:t>
      </w:r>
    </w:p>
    <w:p w:rsidR="008D3242" w:rsidRDefault="008D3242" w:rsidP="008D3242">
      <w:pPr>
        <w:pStyle w:val="Heading2"/>
      </w:pPr>
      <w:bookmarkStart w:id="38" w:name="_Toc406514232"/>
      <w:r>
        <w:t>Why we need qualifications</w:t>
      </w:r>
      <w:r w:rsidR="00805125">
        <w:t xml:space="preserve"> and frameworks</w:t>
      </w:r>
      <w:bookmarkEnd w:id="38"/>
    </w:p>
    <w:p w:rsidR="008D3242" w:rsidRDefault="008D3242" w:rsidP="008D3242">
      <w:pPr>
        <w:pStyle w:val="Text"/>
      </w:pPr>
      <w:r>
        <w:t>At home and internationally there is common agreement about the need for qualifications, not only for individual holders of qualifications but also for other stakeholders. Increasingly</w:t>
      </w:r>
      <w:r w:rsidR="00494A61">
        <w:t>,</w:t>
      </w:r>
      <w:r>
        <w:t xml:space="preserve"> there is focus on qualification reforms to improve </w:t>
      </w:r>
      <w:r w:rsidR="002D0144">
        <w:t xml:space="preserve">national </w:t>
      </w:r>
      <w:r>
        <w:t>economic competitiveness. The reform of qualification</w:t>
      </w:r>
      <w:r w:rsidR="00494A61">
        <w:t>s</w:t>
      </w:r>
      <w:r>
        <w:t xml:space="preserve"> systems and structures </w:t>
      </w:r>
      <w:r w:rsidR="006E7247">
        <w:t xml:space="preserve">and the formalisation of classification systems and frameworks </w:t>
      </w:r>
      <w:r w:rsidR="00C1258B">
        <w:t>are</w:t>
      </w:r>
      <w:r>
        <w:t xml:space="preserve"> also</w:t>
      </w:r>
      <w:r w:rsidR="00C1258B">
        <w:t xml:space="preserve"> focu</w:t>
      </w:r>
      <w:r>
        <w:t xml:space="preserve">sed on improving the comparability and transparency of qualifications to </w:t>
      </w:r>
      <w:r w:rsidR="006E7247">
        <w:t>aid</w:t>
      </w:r>
      <w:r>
        <w:t xml:space="preserve"> international or cross-jurisdictional mobility and to enable all types of learning (formal and informal) to contribute to recognised qualifications. </w:t>
      </w:r>
    </w:p>
    <w:p w:rsidR="008D3242" w:rsidRDefault="002E7152" w:rsidP="008D3242">
      <w:pPr>
        <w:pStyle w:val="Text"/>
      </w:pPr>
      <w:r>
        <w:t xml:space="preserve">According to </w:t>
      </w:r>
      <w:r w:rsidR="008D3242">
        <w:t>CEDEFOP (2010)</w:t>
      </w:r>
      <w:r w:rsidR="008F30F8">
        <w:t>:</w:t>
      </w:r>
      <w:r w:rsidR="004928F1">
        <w:t xml:space="preserve"> </w:t>
      </w:r>
    </w:p>
    <w:p w:rsidR="008D3242" w:rsidRDefault="008D3242" w:rsidP="00A12AAC">
      <w:pPr>
        <w:pStyle w:val="Quote"/>
      </w:pPr>
      <w:r>
        <w:t>Qualifications</w:t>
      </w:r>
      <w:r w:rsidR="008F30F8">
        <w:t xml:space="preserve"> </w:t>
      </w:r>
      <w:r>
        <w:t>… [are used] …</w:t>
      </w:r>
      <w:r w:rsidR="008F30F8">
        <w:t xml:space="preserve"> </w:t>
      </w:r>
      <w:r>
        <w:t>to signal [an individual</w:t>
      </w:r>
      <w:r w:rsidR="00C504E2">
        <w:t>’</w:t>
      </w:r>
      <w:r>
        <w:t>s] personal, s</w:t>
      </w:r>
      <w:r w:rsidR="008F30F8">
        <w:t xml:space="preserve">ocial and professional status. </w:t>
      </w:r>
      <w:r>
        <w:t>Employers and recruiters generally use qualifications as proxies for knowledge, skills and wider competence and particularly value initial qualifications with labour market currency awarded at the outset of a person</w:t>
      </w:r>
      <w:r w:rsidR="00C504E2">
        <w:t>’</w:t>
      </w:r>
      <w:r>
        <w:t>s career. To an extent the labour market interacts with education and training through the medium of qualifications. Providers of education and training use qualifications as a measure of output and as a measure of the quality of institutional performance. Increasingly, policymakers are viewing qualifications and qualifications sys</w:t>
      </w:r>
      <w:r w:rsidR="008F30F8">
        <w:t>tems as tools for wider reforms.</w:t>
      </w:r>
      <w:r w:rsidR="008F30F8">
        <w:tab/>
      </w:r>
      <w:r>
        <w:t>(CEDEFOP 2010, p</w:t>
      </w:r>
      <w:r w:rsidR="008F30F8">
        <w:t>.181)</w:t>
      </w:r>
    </w:p>
    <w:p w:rsidR="008D3242" w:rsidRDefault="002D0144" w:rsidP="008D3242">
      <w:pPr>
        <w:pStyle w:val="Text"/>
      </w:pPr>
      <w:r>
        <w:t>The general</w:t>
      </w:r>
      <w:r w:rsidR="008D3242">
        <w:t xml:space="preserve"> concern </w:t>
      </w:r>
      <w:r>
        <w:t xml:space="preserve">is </w:t>
      </w:r>
      <w:r w:rsidR="008D3242">
        <w:t xml:space="preserve">to improve the regulation of qualifications so that countries </w:t>
      </w:r>
      <w:r w:rsidR="008F30F8">
        <w:t>have</w:t>
      </w:r>
      <w:r w:rsidR="008D3242">
        <w:t xml:space="preserve"> trust </w:t>
      </w:r>
      <w:r w:rsidR="008F30F8">
        <w:t xml:space="preserve">in </w:t>
      </w:r>
      <w:r w:rsidR="008D3242">
        <w:t xml:space="preserve">what </w:t>
      </w:r>
      <w:r>
        <w:t xml:space="preserve">specific </w:t>
      </w:r>
      <w:r w:rsidR="00805125">
        <w:t xml:space="preserve">qualifications </w:t>
      </w:r>
      <w:r w:rsidR="008D3242">
        <w:t xml:space="preserve">represent </w:t>
      </w:r>
      <w:r w:rsidR="00805125">
        <w:t>when</w:t>
      </w:r>
      <w:r w:rsidR="008D3242">
        <w:t xml:space="preserve"> making international benchmarks and comparisons. In countries </w:t>
      </w:r>
      <w:r w:rsidR="008F30F8">
        <w:t>with</w:t>
      </w:r>
      <w:r w:rsidR="008D3242">
        <w:t xml:space="preserve"> two or three decades of qualification</w:t>
      </w:r>
      <w:r w:rsidR="00494A61">
        <w:t>s</w:t>
      </w:r>
      <w:r w:rsidR="008D3242">
        <w:t xml:space="preserve"> refo</w:t>
      </w:r>
      <w:r w:rsidR="00C1258B">
        <w:t>rm (for example, United Kingdom</w:t>
      </w:r>
      <w:r w:rsidR="008D3242">
        <w:t xml:space="preserve"> </w:t>
      </w:r>
      <w:r w:rsidR="00C01471">
        <w:t xml:space="preserve">and </w:t>
      </w:r>
      <w:r w:rsidR="008D3242">
        <w:t xml:space="preserve">New Zealand) there is increased </w:t>
      </w:r>
      <w:r w:rsidR="00C1258B">
        <w:t>concern for</w:t>
      </w:r>
      <w:r w:rsidR="008D3242">
        <w:t xml:space="preserve"> ensuring the rigo</w:t>
      </w:r>
      <w:r w:rsidR="008F30F8">
        <w:t>u</w:t>
      </w:r>
      <w:r w:rsidR="008D3242">
        <w:t xml:space="preserve">r and validity of assessments and rationalising the use of qualifications that seem not to be providing individuals or nations with worthwhile outcomes. </w:t>
      </w:r>
      <w:r>
        <w:t>C</w:t>
      </w:r>
      <w:r w:rsidR="008D3242">
        <w:t xml:space="preserve">ountries </w:t>
      </w:r>
      <w:r w:rsidR="008F30F8">
        <w:t>with</w:t>
      </w:r>
      <w:r w:rsidR="008D3242">
        <w:t xml:space="preserve"> long-standing and effective approaches to the entry-level preparation of young people for occupations (</w:t>
      </w:r>
      <w:r>
        <w:t xml:space="preserve">for example, </w:t>
      </w:r>
      <w:r w:rsidR="008D3242">
        <w:t xml:space="preserve">Germany, Austria, Switzerland) </w:t>
      </w:r>
      <w:r>
        <w:t>may be more circumspect</w:t>
      </w:r>
      <w:r w:rsidR="00C1258B">
        <w:t>,</w:t>
      </w:r>
      <w:r>
        <w:t xml:space="preserve"> especially with regard to </w:t>
      </w:r>
      <w:r w:rsidR="008D3242">
        <w:t>qualification</w:t>
      </w:r>
      <w:r w:rsidR="00494A61">
        <w:t>s</w:t>
      </w:r>
      <w:r w:rsidR="008D3242">
        <w:t xml:space="preserve"> reform for </w:t>
      </w:r>
      <w:r w:rsidR="00F131E8">
        <w:t>those parts of vocational education (</w:t>
      </w:r>
      <w:r w:rsidR="00C1258B">
        <w:t>particularly</w:t>
      </w:r>
      <w:r w:rsidR="00F131E8">
        <w:t xml:space="preserve"> apprenticeship systems) </w:t>
      </w:r>
      <w:r w:rsidR="008F30F8">
        <w:t>with</w:t>
      </w:r>
      <w:r w:rsidR="00F131E8">
        <w:t xml:space="preserve"> long histories of success. </w:t>
      </w:r>
    </w:p>
    <w:p w:rsidR="004E5BD0" w:rsidRDefault="002D0144" w:rsidP="008D3242">
      <w:pPr>
        <w:pStyle w:val="Text"/>
      </w:pPr>
      <w:r>
        <w:t xml:space="preserve">A </w:t>
      </w:r>
      <w:r w:rsidR="00BF0E74">
        <w:t>qualifications framework</w:t>
      </w:r>
      <w:r>
        <w:t xml:space="preserve"> can be </w:t>
      </w:r>
      <w:r w:rsidR="008F30F8">
        <w:t>considered</w:t>
      </w:r>
      <w:r>
        <w:t xml:space="preserve"> as a formal classification of qualifications for a national or regional education system. </w:t>
      </w:r>
      <w:r w:rsidR="008D3242">
        <w:t>In the last two decades the concept of frameworks has</w:t>
      </w:r>
      <w:r w:rsidR="0034325B">
        <w:t xml:space="preserve"> increasingly</w:t>
      </w:r>
      <w:r w:rsidR="00A106F5">
        <w:t xml:space="preserve"> been</w:t>
      </w:r>
      <w:r w:rsidR="008D3242">
        <w:t xml:space="preserve"> applied to education and qualification</w:t>
      </w:r>
      <w:r w:rsidR="00494A61">
        <w:t>s</w:t>
      </w:r>
      <w:r w:rsidR="008D3242">
        <w:t xml:space="preserve"> syst</w:t>
      </w:r>
      <w:r>
        <w:t>ems overseas. F</w:t>
      </w:r>
      <w:r w:rsidR="008D3242">
        <w:t>ramework</w:t>
      </w:r>
      <w:r>
        <w:t>s commonly</w:t>
      </w:r>
      <w:r w:rsidR="008D3242">
        <w:t xml:space="preserve"> classif</w:t>
      </w:r>
      <w:r>
        <w:t>y</w:t>
      </w:r>
      <w:r w:rsidR="008D3242">
        <w:t xml:space="preserve"> all qualification levels and types in a system according to what an individual is expected to learn, know and do on completion of the qualification. Frameworks also identify the relationship between qualification types.</w:t>
      </w:r>
      <w:r>
        <w:t xml:space="preserve"> </w:t>
      </w:r>
      <w:r w:rsidR="00BF0E74">
        <w:t>They i</w:t>
      </w:r>
      <w:r>
        <w:t xml:space="preserve">ncreasingly </w:t>
      </w:r>
      <w:r w:rsidR="008F30F8">
        <w:t>include</w:t>
      </w:r>
      <w:r>
        <w:t xml:space="preserve"> indications of </w:t>
      </w:r>
      <w:r w:rsidR="008F30F8">
        <w:t xml:space="preserve">the </w:t>
      </w:r>
      <w:r>
        <w:t xml:space="preserve">hours typically required to complete a qualification. </w:t>
      </w:r>
      <w:r w:rsidR="0034325B">
        <w:t xml:space="preserve">These hours are translated into credit points </w:t>
      </w:r>
      <w:r w:rsidR="008F30F8">
        <w:t>according to the</w:t>
      </w:r>
      <w:r w:rsidR="0034325B">
        <w:t xml:space="preserve"> </w:t>
      </w:r>
      <w:r>
        <w:t xml:space="preserve">typical </w:t>
      </w:r>
      <w:r w:rsidR="008F30F8">
        <w:t xml:space="preserve">number of </w:t>
      </w:r>
      <w:r>
        <w:t>hours required for completion.</w:t>
      </w:r>
      <w:r w:rsidR="004928F1">
        <w:t xml:space="preserve"> </w:t>
      </w:r>
      <w:r w:rsidR="008D3242">
        <w:t>Frameworks can be comprehensive</w:t>
      </w:r>
      <w:r w:rsidR="008F30F8">
        <w:t>,</w:t>
      </w:r>
      <w:r w:rsidR="008D3242">
        <w:t xml:space="preserve"> in that they encompass all qualifications, or they can be </w:t>
      </w:r>
      <w:r w:rsidR="006B1B18">
        <w:t xml:space="preserve">education </w:t>
      </w:r>
      <w:r w:rsidR="008D3242">
        <w:t>sector-specific a</w:t>
      </w:r>
      <w:r w:rsidR="004928F1">
        <w:t>nd apply</w:t>
      </w:r>
      <w:r w:rsidR="00BF0E74">
        <w:t xml:space="preserve"> only</w:t>
      </w:r>
      <w:r w:rsidR="004928F1">
        <w:t xml:space="preserve"> to certain sector</w:t>
      </w:r>
      <w:r w:rsidR="008D3242">
        <w:t>s, for example</w:t>
      </w:r>
      <w:r w:rsidR="006B1B18">
        <w:t>,</w:t>
      </w:r>
      <w:r w:rsidR="008D3242">
        <w:t xml:space="preserve"> post-compulsory vocational education and training. </w:t>
      </w:r>
    </w:p>
    <w:p w:rsidR="002D0144" w:rsidRDefault="008D3242" w:rsidP="008D3242">
      <w:pPr>
        <w:pStyle w:val="Text"/>
      </w:pPr>
      <w:r>
        <w:t xml:space="preserve">The concept of </w:t>
      </w:r>
      <w:r w:rsidR="00BF0E74">
        <w:t>qualifications framework</w:t>
      </w:r>
      <w:r>
        <w:t>s has gained increased traction in OECD and developing countries. Increasingly</w:t>
      </w:r>
      <w:r w:rsidR="004928F1">
        <w:t>,</w:t>
      </w:r>
      <w:r>
        <w:t xml:space="preserve"> </w:t>
      </w:r>
      <w:r w:rsidR="00BF0E74">
        <w:t>qualifications framework</w:t>
      </w:r>
      <w:r>
        <w:t>s are being established to enable transparency, comparability, and national and international portability and mobility. Since 2008</w:t>
      </w:r>
      <w:r w:rsidR="004928F1">
        <w:t>,</w:t>
      </w:r>
      <w:r>
        <w:t xml:space="preserve"> with the launching </w:t>
      </w:r>
      <w:r>
        <w:lastRenderedPageBreak/>
        <w:t xml:space="preserve">of the European </w:t>
      </w:r>
      <w:r w:rsidR="00F00649">
        <w:t>Qualifications F</w:t>
      </w:r>
      <w:r w:rsidR="00BF0E74">
        <w:t>ramework</w:t>
      </w:r>
      <w:r w:rsidR="002D0144">
        <w:t>,</w:t>
      </w:r>
      <w:r>
        <w:t xml:space="preserve"> European member states have been developing national </w:t>
      </w:r>
      <w:r w:rsidR="00BF0E74">
        <w:t>qualifications framework</w:t>
      </w:r>
      <w:r w:rsidR="00F00649">
        <w:t>s and referencing these to this</w:t>
      </w:r>
      <w:r>
        <w:t xml:space="preserve"> overarching </w:t>
      </w:r>
      <w:r w:rsidR="00F00649">
        <w:t>f</w:t>
      </w:r>
      <w:r w:rsidR="00BF0E74" w:rsidRPr="00F00649">
        <w:t>ramework</w:t>
      </w:r>
      <w:r>
        <w:t xml:space="preserve">. </w:t>
      </w:r>
      <w:r w:rsidR="004E5BD0">
        <w:t xml:space="preserve">There have also been moves to introduce an Asia-Pacific </w:t>
      </w:r>
      <w:r w:rsidR="00F00649">
        <w:t xml:space="preserve">qualifications framework </w:t>
      </w:r>
      <w:r w:rsidR="00494A61">
        <w:t>(</w:t>
      </w:r>
      <w:r w:rsidR="00A106F5">
        <w:t>APEC 2009)</w:t>
      </w:r>
      <w:r w:rsidR="004E5BD0">
        <w:t>.</w:t>
      </w:r>
      <w:r w:rsidR="002D0144">
        <w:t xml:space="preserve"> </w:t>
      </w:r>
    </w:p>
    <w:p w:rsidR="008D3242" w:rsidRDefault="00805125" w:rsidP="008D3242">
      <w:pPr>
        <w:pStyle w:val="Heading2"/>
      </w:pPr>
      <w:bookmarkStart w:id="39" w:name="_Toc406514233"/>
      <w:r>
        <w:t>National and i</w:t>
      </w:r>
      <w:r w:rsidR="008D3242">
        <w:t>nternational frameworks</w:t>
      </w:r>
      <w:bookmarkEnd w:id="39"/>
    </w:p>
    <w:p w:rsidR="00251EE6" w:rsidRDefault="00251EE6" w:rsidP="00251EE6">
      <w:pPr>
        <w:pStyle w:val="Text"/>
      </w:pPr>
      <w:r>
        <w:t>Scot</w:t>
      </w:r>
      <w:r w:rsidR="004928F1">
        <w:t>land, New Zealand, South Africa</w:t>
      </w:r>
      <w:r>
        <w:t xml:space="preserve"> and countries in the United Kingdom have been classified as having </w:t>
      </w:r>
      <w:r w:rsidR="004928F1">
        <w:t>first-</w:t>
      </w:r>
      <w:r>
        <w:t xml:space="preserve">generation </w:t>
      </w:r>
      <w:r w:rsidR="00BF0E74">
        <w:t>qualifications framework</w:t>
      </w:r>
      <w:r>
        <w:t>s, not</w:t>
      </w:r>
      <w:r w:rsidR="00D51E08">
        <w:t xml:space="preserve"> only</w:t>
      </w:r>
      <w:r>
        <w:t xml:space="preserve"> because they were early adopters of the framework concept, but because the</w:t>
      </w:r>
      <w:r w:rsidR="00D51E08">
        <w:t>ir frameworks</w:t>
      </w:r>
      <w:r>
        <w:t xml:space="preserve"> were developed from </w:t>
      </w:r>
      <w:r w:rsidR="00C504E2">
        <w:t>‘</w:t>
      </w:r>
      <w:r>
        <w:t xml:space="preserve">national perceptions, mainly determined by internal drivers, </w:t>
      </w:r>
      <w:r w:rsidRPr="004739F8">
        <w:t>and often using experimental approaches</w:t>
      </w:r>
      <w:r w:rsidR="00C504E2">
        <w:t>’</w:t>
      </w:r>
      <w:r w:rsidRPr="004739F8">
        <w:t xml:space="preserve"> (presumably</w:t>
      </w:r>
      <w:r w:rsidR="00494A61">
        <w:t>,</w:t>
      </w:r>
      <w:r>
        <w:t xml:space="preserve"> experimental approaches refer to the concept of piloting a </w:t>
      </w:r>
      <w:r w:rsidR="004928F1">
        <w:t xml:space="preserve">specific program or approach). </w:t>
      </w:r>
      <w:r w:rsidR="00494A61">
        <w:t xml:space="preserve">Other frameworks </w:t>
      </w:r>
      <w:r>
        <w:t xml:space="preserve">that precede the development of the </w:t>
      </w:r>
      <w:r w:rsidR="006A5E8D">
        <w:t xml:space="preserve">2008 </w:t>
      </w:r>
      <w:r w:rsidR="00CE403C">
        <w:t>Eur</w:t>
      </w:r>
      <w:r w:rsidR="00F00649">
        <w:t xml:space="preserve">opean Qualifications </w:t>
      </w:r>
      <w:r w:rsidR="00494A61">
        <w:t>Framework</w:t>
      </w:r>
      <w:r>
        <w:t xml:space="preserve"> but </w:t>
      </w:r>
      <w:r w:rsidR="006A5E8D">
        <w:t xml:space="preserve">came after </w:t>
      </w:r>
      <w:r>
        <w:t xml:space="preserve">the </w:t>
      </w:r>
      <w:r w:rsidR="00A6485A">
        <w:t>first-</w:t>
      </w:r>
      <w:r>
        <w:t>generation frameworks</w:t>
      </w:r>
      <w:r w:rsidR="00A6485A">
        <w:t xml:space="preserve"> have been classified as second-generation and third-</w:t>
      </w:r>
      <w:r>
        <w:t xml:space="preserve">generation frameworks. </w:t>
      </w:r>
      <w:r w:rsidR="00C504E2">
        <w:t>‘</w:t>
      </w:r>
      <w:r>
        <w:t>Second generation frameworks have tried to learn from the first generation frameworks in terms of design and processes …</w:t>
      </w:r>
      <w:r w:rsidR="006A5E8D">
        <w:t xml:space="preserve"> </w:t>
      </w:r>
      <w:r>
        <w:t>[but]</w:t>
      </w:r>
      <w:r w:rsidR="00A6485A">
        <w:t xml:space="preserve"> </w:t>
      </w:r>
      <w:r>
        <w:t xml:space="preserve">… the influence of external </w:t>
      </w:r>
      <w:r w:rsidRPr="004739F8">
        <w:t>drivers is low</w:t>
      </w:r>
      <w:r w:rsidR="00C504E2">
        <w:t>’</w:t>
      </w:r>
      <w:r w:rsidRPr="004739F8">
        <w:t xml:space="preserve">. In </w:t>
      </w:r>
      <w:r w:rsidR="00C504E2">
        <w:t>‘</w:t>
      </w:r>
      <w:r w:rsidRPr="004739F8">
        <w:t>third</w:t>
      </w:r>
      <w:r>
        <w:t xml:space="preserve"> generation frameworks internal drivers remain important but external drivers have a significant impact on the technical design of the frameworks and the quality assurance arrangements</w:t>
      </w:r>
      <w:r w:rsidR="00494A61">
        <w:t xml:space="preserve">’ </w:t>
      </w:r>
      <w:r>
        <w:t>(Tuck 2007</w:t>
      </w:r>
      <w:r w:rsidR="008A43E9">
        <w:t xml:space="preserve"> </w:t>
      </w:r>
      <w:r w:rsidR="0024354B">
        <w:t>cited by European Training Foundation 2012, p</w:t>
      </w:r>
      <w:r w:rsidR="00A6485A">
        <w:t>.</w:t>
      </w:r>
      <w:r w:rsidR="0024354B">
        <w:t>11)</w:t>
      </w:r>
      <w:r w:rsidR="00494A61">
        <w:t>.</w:t>
      </w:r>
    </w:p>
    <w:p w:rsidR="006D03C7" w:rsidRDefault="006D03C7" w:rsidP="00A12AAC">
      <w:pPr>
        <w:pStyle w:val="Text"/>
        <w:ind w:right="-143"/>
      </w:pPr>
      <w:r>
        <w:t xml:space="preserve">The learning outcomes approach and the concept of levels </w:t>
      </w:r>
      <w:r w:rsidR="00CF18BF">
        <w:t>have</w:t>
      </w:r>
      <w:r>
        <w:t xml:space="preserve"> been widely adopted in those countries that have or are developing these frameworks.</w:t>
      </w:r>
      <w:r w:rsidR="00A6485A">
        <w:t xml:space="preserve"> The following is a summary of these countries.</w:t>
      </w:r>
      <w:r>
        <w:t xml:space="preserve"> </w:t>
      </w:r>
    </w:p>
    <w:p w:rsidR="00A6485A" w:rsidRDefault="008D3242" w:rsidP="00A6485A">
      <w:pPr>
        <w:pStyle w:val="Heading3"/>
      </w:pPr>
      <w:r w:rsidRPr="00D70F08">
        <w:t>European Union</w:t>
      </w:r>
    </w:p>
    <w:p w:rsidR="006D03C7" w:rsidRDefault="008D3242" w:rsidP="00A12AAC">
      <w:pPr>
        <w:pStyle w:val="Textlessbefore"/>
      </w:pPr>
      <w:r>
        <w:t xml:space="preserve">The </w:t>
      </w:r>
      <w:r w:rsidR="00CE403C">
        <w:t xml:space="preserve">European Qualifications Framework </w:t>
      </w:r>
      <w:r w:rsidR="00F00649">
        <w:t>for life-long learning</w:t>
      </w:r>
      <w:r>
        <w:t xml:space="preserve"> was endorsed on 23 April 2008 by the European Parliament and Council. The aim was to enable </w:t>
      </w:r>
      <w:r w:rsidR="00A6485A">
        <w:t>a</w:t>
      </w:r>
      <w:r>
        <w:t xml:space="preserve"> comparison of </w:t>
      </w:r>
      <w:r w:rsidR="00A6485A">
        <w:t xml:space="preserve">the </w:t>
      </w:r>
      <w:r>
        <w:t>qualifications and</w:t>
      </w:r>
      <w:r w:rsidR="00F00649">
        <w:t xml:space="preserve"> levels of different countries</w:t>
      </w:r>
      <w:r w:rsidR="00A6485A">
        <w:t xml:space="preserve"> </w:t>
      </w:r>
      <w:r>
        <w:t xml:space="preserve">to facilitate </w:t>
      </w:r>
      <w:r w:rsidR="00A6485A">
        <w:t xml:space="preserve">the </w:t>
      </w:r>
      <w:r>
        <w:t xml:space="preserve">international </w:t>
      </w:r>
      <w:r w:rsidR="00A670E0">
        <w:t>mobility of labour and students and life</w:t>
      </w:r>
      <w:r w:rsidR="00F00649">
        <w:t xml:space="preserve">long learning. </w:t>
      </w:r>
      <w:r w:rsidR="00C45A6F">
        <w:t>Comprising</w:t>
      </w:r>
      <w:r w:rsidR="00F00649">
        <w:t xml:space="preserve"> eight levels</w:t>
      </w:r>
      <w:r w:rsidR="00C45A6F">
        <w:t>,</w:t>
      </w:r>
      <w:r w:rsidR="00F00649">
        <w:t xml:space="preserve"> t</w:t>
      </w:r>
      <w:r>
        <w:t xml:space="preserve">he </w:t>
      </w:r>
      <w:r w:rsidR="00A670E0">
        <w:t>framework</w:t>
      </w:r>
      <w:r>
        <w:t xml:space="preserve"> </w:t>
      </w:r>
      <w:r w:rsidR="00A670E0">
        <w:t>covers all general education and</w:t>
      </w:r>
      <w:r>
        <w:t xml:space="preserve"> vocational and higher education qualifications, as well as those acquired through continuing education. </w:t>
      </w:r>
      <w:r w:rsidR="00095806">
        <w:t xml:space="preserve">Each </w:t>
      </w:r>
      <w:r>
        <w:t xml:space="preserve">level has a descriptor which identifies the learning outcomes (knowledge, skills and competences) for that level. From 2008 onwards EU member states were asked to develop their own national </w:t>
      </w:r>
      <w:r w:rsidR="00BF0E74">
        <w:t>qualifications framework</w:t>
      </w:r>
      <w:r>
        <w:t xml:space="preserve">s and to reference these to the </w:t>
      </w:r>
      <w:r w:rsidR="00CE403C">
        <w:t>European Qualifications Framework</w:t>
      </w:r>
      <w:r>
        <w:t xml:space="preserve">. </w:t>
      </w:r>
      <w:r w:rsidRPr="006D03C7">
        <w:t xml:space="preserve">By </w:t>
      </w:r>
      <w:r w:rsidR="006D03C7">
        <w:t xml:space="preserve">2013 many EU member states </w:t>
      </w:r>
      <w:r w:rsidR="00A670E0">
        <w:t xml:space="preserve">were </w:t>
      </w:r>
      <w:r w:rsidR="001476B7">
        <w:t xml:space="preserve">in this process but at various stages of acceptance, development and implementation. </w:t>
      </w:r>
      <w:r w:rsidR="006D03C7">
        <w:t xml:space="preserve">Countries </w:t>
      </w:r>
      <w:r w:rsidR="00A670E0">
        <w:t>with</w:t>
      </w:r>
      <w:r w:rsidR="006D03C7">
        <w:t xml:space="preserve"> frameworks </w:t>
      </w:r>
      <w:r w:rsidR="00A670E0">
        <w:t xml:space="preserve">already </w:t>
      </w:r>
      <w:r w:rsidR="006D03C7">
        <w:t>in place (including</w:t>
      </w:r>
      <w:r w:rsidRPr="006D03C7">
        <w:t xml:space="preserve"> England, Northern Ireland, Wales</w:t>
      </w:r>
      <w:r w:rsidR="00A670E0">
        <w:t xml:space="preserve"> and</w:t>
      </w:r>
      <w:r w:rsidR="006D03C7">
        <w:t xml:space="preserve"> Scotland</w:t>
      </w:r>
      <w:r w:rsidR="00A670E0">
        <w:t>)</w:t>
      </w:r>
      <w:r w:rsidR="006D03C7">
        <w:t xml:space="preserve"> had revised their approaches</w:t>
      </w:r>
      <w:r w:rsidR="00A670E0">
        <w:t>.</w:t>
      </w:r>
    </w:p>
    <w:p w:rsidR="008B4CFD" w:rsidRDefault="008D3242" w:rsidP="008B4CFD">
      <w:pPr>
        <w:pStyle w:val="Heading3"/>
      </w:pPr>
      <w:r w:rsidRPr="00AC6C5B">
        <w:t>Finland</w:t>
      </w:r>
    </w:p>
    <w:p w:rsidR="008D3242" w:rsidRDefault="008D3242" w:rsidP="00A12AAC">
      <w:pPr>
        <w:pStyle w:val="Textlessbefore"/>
      </w:pPr>
      <w:r>
        <w:t xml:space="preserve">The Finnish national </w:t>
      </w:r>
      <w:r w:rsidR="00BF0E74">
        <w:t>qualifications framework</w:t>
      </w:r>
      <w:r w:rsidR="00A670E0">
        <w:t xml:space="preserve"> (NQF) is also an eight-</w:t>
      </w:r>
      <w:r>
        <w:t xml:space="preserve">level framework, referenced to the </w:t>
      </w:r>
      <w:r w:rsidR="00CE403C">
        <w:t>European Qualifications Framework</w:t>
      </w:r>
      <w:r w:rsidR="00A670E0">
        <w:t>.</w:t>
      </w:r>
      <w:r w:rsidR="00FD7E02">
        <w:rPr>
          <w:rStyle w:val="FootnoteReference"/>
        </w:rPr>
        <w:footnoteReference w:id="1"/>
      </w:r>
      <w:r>
        <w:t xml:space="preserve"> </w:t>
      </w:r>
      <w:r w:rsidR="006024DF">
        <w:t>I</w:t>
      </w:r>
      <w:r>
        <w:t xml:space="preserve">t comprises general, </w:t>
      </w:r>
      <w:r w:rsidR="00494A61">
        <w:t>VET</w:t>
      </w:r>
      <w:r>
        <w:t xml:space="preserve"> and higher education </w:t>
      </w:r>
      <w:r w:rsidR="006A5E8D">
        <w:t xml:space="preserve">qualifications. It also includes qualifications </w:t>
      </w:r>
      <w:r>
        <w:t xml:space="preserve">awarded by prisons, </w:t>
      </w:r>
      <w:r w:rsidR="00A670E0">
        <w:t xml:space="preserve">the </w:t>
      </w:r>
      <w:r>
        <w:t>police force, res</w:t>
      </w:r>
      <w:r w:rsidR="006A5E8D">
        <w:t>cue operations and the military</w:t>
      </w:r>
      <w:r w:rsidR="00A670E0">
        <w:t>. Its k</w:t>
      </w:r>
      <w:r>
        <w:t>ey aims are to connect education and training to the labour market and society, improve transparency and enable the comparability of qualifications</w:t>
      </w:r>
      <w:r w:rsidR="0024354B">
        <w:t xml:space="preserve"> (Fin</w:t>
      </w:r>
      <w:r w:rsidR="00A670E0">
        <w:t>nish Ministry of Education 2009</w:t>
      </w:r>
      <w:r w:rsidR="00C45A6F">
        <w:t>;</w:t>
      </w:r>
      <w:r w:rsidR="0024354B">
        <w:t xml:space="preserve"> </w:t>
      </w:r>
      <w:r w:rsidR="00CC3FB1">
        <w:t>CEDEFOP 2012</w:t>
      </w:r>
      <w:r w:rsidR="00D4456E">
        <w:t>h</w:t>
      </w:r>
      <w:r w:rsidR="0024354B">
        <w:t>)</w:t>
      </w:r>
      <w:r>
        <w:t xml:space="preserve">. </w:t>
      </w:r>
      <w:r w:rsidR="00D4456E">
        <w:t xml:space="preserve">Its </w:t>
      </w:r>
      <w:r w:rsidR="00D4456E" w:rsidRPr="004739F8">
        <w:t>focus is on</w:t>
      </w:r>
      <w:r w:rsidRPr="004739F8">
        <w:t xml:space="preserve"> identify</w:t>
      </w:r>
      <w:r w:rsidR="00D4456E" w:rsidRPr="004739F8">
        <w:t>ing</w:t>
      </w:r>
      <w:r w:rsidRPr="004739F8">
        <w:t xml:space="preserve"> the level of knowledge</w:t>
      </w:r>
      <w:r w:rsidR="00D4456E" w:rsidRPr="004739F8">
        <w:t>,</w:t>
      </w:r>
      <w:r w:rsidRPr="004739F8">
        <w:t xml:space="preserve"> skills and </w:t>
      </w:r>
      <w:r w:rsidR="00C504E2">
        <w:t>‘</w:t>
      </w:r>
      <w:r w:rsidRPr="004739F8">
        <w:t>competences</w:t>
      </w:r>
      <w:r w:rsidR="00C504E2">
        <w:t>’</w:t>
      </w:r>
      <w:r w:rsidRPr="004739F8">
        <w:t xml:space="preserve"> required for each qualification, as well as </w:t>
      </w:r>
      <w:r w:rsidR="00C504E2">
        <w:t>‘</w:t>
      </w:r>
      <w:r w:rsidRPr="004739F8">
        <w:t>extensive competence modules</w:t>
      </w:r>
      <w:r w:rsidR="00C504E2">
        <w:t>’</w:t>
      </w:r>
      <w:r w:rsidRPr="004739F8">
        <w:t xml:space="preserve"> </w:t>
      </w:r>
      <w:r w:rsidR="003A2407" w:rsidRPr="004739F8">
        <w:t>(p</w:t>
      </w:r>
      <w:r w:rsidR="002206A7" w:rsidRPr="004739F8">
        <w:t xml:space="preserve">resumably this refers to comprehensive treatment of the broad range of generic and professional skills, knowledge and attributes required for an occupation) </w:t>
      </w:r>
      <w:r w:rsidRPr="004739F8">
        <w:t xml:space="preserve">that are acquired in </w:t>
      </w:r>
      <w:r w:rsidR="00D4456E" w:rsidRPr="004739F8">
        <w:t xml:space="preserve">the </w:t>
      </w:r>
      <w:r w:rsidRPr="004739F8">
        <w:t xml:space="preserve">continuing education </w:t>
      </w:r>
      <w:r w:rsidR="006A5E8D" w:rsidRPr="004739F8">
        <w:t>programs</w:t>
      </w:r>
      <w:r w:rsidR="009F125A" w:rsidRPr="004739F8">
        <w:t xml:space="preserve"> </w:t>
      </w:r>
      <w:r w:rsidRPr="004739F8">
        <w:lastRenderedPageBreak/>
        <w:t>undertaken by g</w:t>
      </w:r>
      <w:r>
        <w:t xml:space="preserve">raduates of universities and polytechnics. Recognition of prior learning </w:t>
      </w:r>
      <w:r w:rsidR="006A5E8D">
        <w:t xml:space="preserve">(incorporated into EU concepts about the validation of non-formal and informal learning) </w:t>
      </w:r>
      <w:r>
        <w:t xml:space="preserve">is also a key </w:t>
      </w:r>
      <w:r w:rsidR="00D51E08">
        <w:t>feature</w:t>
      </w:r>
      <w:r>
        <w:t xml:space="preserve">. </w:t>
      </w:r>
      <w:r w:rsidR="00C45A6F">
        <w:t>During</w:t>
      </w:r>
      <w:r w:rsidR="00D4456E">
        <w:t xml:space="preserve"> its </w:t>
      </w:r>
      <w:r>
        <w:t>development the framework adopted an inclusive approach to consultation</w:t>
      </w:r>
      <w:r w:rsidR="006A5E8D">
        <w:t xml:space="preserve">, </w:t>
      </w:r>
      <w:r>
        <w:t>involv</w:t>
      </w:r>
      <w:r w:rsidR="006A5E8D">
        <w:t>ing</w:t>
      </w:r>
      <w:r w:rsidR="00D4456E">
        <w:t xml:space="preserve"> relevant government ministries</w:t>
      </w:r>
      <w:r>
        <w:t xml:space="preserve"> and peak bodies for employers, unions (including university and secondary students), professions, adult education, vocational adult education centres, principals, vocational education providers, universities of applied sciences, and </w:t>
      </w:r>
      <w:r w:rsidR="006A5E8D">
        <w:t xml:space="preserve">traditional </w:t>
      </w:r>
      <w:r>
        <w:t>universities.</w:t>
      </w:r>
    </w:p>
    <w:p w:rsidR="008D3242" w:rsidRDefault="008D3242" w:rsidP="008D3242">
      <w:pPr>
        <w:pStyle w:val="Text"/>
      </w:pPr>
      <w:r>
        <w:t xml:space="preserve">The concept of competency adopted in Finland covers knowledge, skills and competence. In the Finnish approach the concept of competence also includes aspects </w:t>
      </w:r>
      <w:r w:rsidR="00D4456E">
        <w:t>such as</w:t>
      </w:r>
      <w:r>
        <w:t xml:space="preserve"> entrepreneurship, responsibility, ma</w:t>
      </w:r>
      <w:r w:rsidR="00C45A6F">
        <w:t>nagement</w:t>
      </w:r>
      <w:r>
        <w:t xml:space="preserve"> and languages. A principle of </w:t>
      </w:r>
      <w:r w:rsidR="00C504E2">
        <w:t>‘</w:t>
      </w:r>
      <w:r w:rsidR="00D4456E">
        <w:t xml:space="preserve">best </w:t>
      </w:r>
      <w:r>
        <w:t>fit</w:t>
      </w:r>
      <w:r w:rsidR="00C504E2">
        <w:t>’</w:t>
      </w:r>
      <w:r>
        <w:t xml:space="preserve"> has been applied to </w:t>
      </w:r>
      <w:r w:rsidR="00D4456E">
        <w:t>locate</w:t>
      </w:r>
      <w:r>
        <w:t xml:space="preserve"> qualifications at different levels. For example, basic vocational qualifications are placed at level 4 but there is also </w:t>
      </w:r>
      <w:r w:rsidR="00D4456E">
        <w:t xml:space="preserve">an </w:t>
      </w:r>
      <w:r>
        <w:t xml:space="preserve">opportunity for them to be placed at a higher level if the skills and knowledge are more complex. </w:t>
      </w:r>
    </w:p>
    <w:p w:rsidR="008D3242" w:rsidRDefault="0034325B" w:rsidP="008D3242">
      <w:pPr>
        <w:pStyle w:val="Text"/>
      </w:pPr>
      <w:r>
        <w:t xml:space="preserve">The </w:t>
      </w:r>
      <w:r w:rsidR="008D3242">
        <w:t>Finnish NQF has adopted a learning outcomes approach</w:t>
      </w:r>
      <w:r w:rsidR="00D4456E">
        <w:t>,</w:t>
      </w:r>
      <w:r w:rsidR="008D3242">
        <w:t xml:space="preserve"> with level descriptors identifying the complexity of the skills and knowledge to be acquired. This approach makes it possible to implement systems for the assessment and recognition of formal and informal learning. </w:t>
      </w:r>
      <w:r w:rsidR="0079201A">
        <w:t xml:space="preserve">Qualifications are divided into units. Initial VET qualifications prepare students for a variety of </w:t>
      </w:r>
      <w:r w:rsidR="00C504E2">
        <w:t>‘</w:t>
      </w:r>
      <w:r w:rsidR="0079201A">
        <w:t>professions</w:t>
      </w:r>
      <w:r w:rsidR="00C504E2">
        <w:t>’</w:t>
      </w:r>
      <w:r w:rsidR="0079201A">
        <w:t xml:space="preserve"> or occupations. </w:t>
      </w:r>
      <w:r w:rsidR="008D3242">
        <w:t>The national core curriculum is determined by the Finnish National B</w:t>
      </w:r>
      <w:r w:rsidR="00D4456E">
        <w:t>oard of Education</w:t>
      </w:r>
      <w:r w:rsidR="00494A61">
        <w:t xml:space="preserve"> (FNBE)</w:t>
      </w:r>
      <w:r w:rsidR="00D4456E">
        <w:t>. In this the b</w:t>
      </w:r>
      <w:r w:rsidR="008D3242">
        <w:t xml:space="preserve">oard seeks the cooperation of employer organisations, trade </w:t>
      </w:r>
      <w:r w:rsidR="00D4456E">
        <w:t>unions and student unions. The b</w:t>
      </w:r>
      <w:r w:rsidR="008D3242">
        <w:t>oard also decides on the national core curriculum for each vocational qualification, including the structure of programs and objectives, the core contents and the assessment criteria. National qualification req</w:t>
      </w:r>
      <w:r w:rsidR="00D4456E">
        <w:t>uirements are established in co</w:t>
      </w:r>
      <w:r w:rsidR="008D3242">
        <w:t>operation with employers</w:t>
      </w:r>
      <w:r w:rsidR="00C504E2">
        <w:t>’</w:t>
      </w:r>
      <w:r w:rsidR="008D3242">
        <w:t xml:space="preserve"> organisations, trade unions, the Trade Union of Education and student unions. The Finnish National Board of Education prepares the national qualification requirements for upper secondary </w:t>
      </w:r>
      <w:r w:rsidR="00C45A6F">
        <w:t xml:space="preserve">vocational </w:t>
      </w:r>
      <w:r w:rsidR="008D3242">
        <w:t>qualifications, further vocational qualifications and specialist vocational qualifications. Education providers and schools draw up their own local curricula based on the national curricula.</w:t>
      </w:r>
    </w:p>
    <w:p w:rsidR="008B4CFD" w:rsidRDefault="008D3242" w:rsidP="008B4CFD">
      <w:pPr>
        <w:pStyle w:val="Heading3"/>
      </w:pPr>
      <w:r w:rsidRPr="00005EA4">
        <w:t>Germany</w:t>
      </w:r>
    </w:p>
    <w:p w:rsidR="008D3242" w:rsidRDefault="008D3242" w:rsidP="00A04FAB">
      <w:pPr>
        <w:pStyle w:val="Textlessbefore"/>
      </w:pPr>
      <w:r>
        <w:t xml:space="preserve">The German Qualifications Framework </w:t>
      </w:r>
      <w:r w:rsidR="00251EE6">
        <w:t xml:space="preserve">(DKR) </w:t>
      </w:r>
      <w:r>
        <w:t>is a comprehensiv</w:t>
      </w:r>
      <w:r w:rsidR="00D4456E">
        <w:t>e eight</w:t>
      </w:r>
      <w:r>
        <w:t>-level framework</w:t>
      </w:r>
      <w:r w:rsidR="00D4456E">
        <w:t xml:space="preserve"> that</w:t>
      </w:r>
      <w:r>
        <w:t xml:space="preserve"> includ</w:t>
      </w:r>
      <w:r w:rsidR="00D4456E">
        <w:t>es</w:t>
      </w:r>
      <w:r>
        <w:t xml:space="preserve"> qualifications in general education, higher education and vocational education and training. Like other NQFs in Europe the key objectives of the </w:t>
      </w:r>
      <w:r w:rsidR="00D4456E">
        <w:t>German framework</w:t>
      </w:r>
      <w:r>
        <w:t xml:space="preserve"> are </w:t>
      </w:r>
      <w:r w:rsidR="00D4456E">
        <w:t>concerned with</w:t>
      </w:r>
      <w:r>
        <w:t xml:space="preserve"> enhancing </w:t>
      </w:r>
      <w:r w:rsidR="00E03ABD">
        <w:t xml:space="preserve">the </w:t>
      </w:r>
      <w:r>
        <w:t>transparency, comparability and portability of qualificat</w:t>
      </w:r>
      <w:r w:rsidR="00E03ABD">
        <w:t>ions</w:t>
      </w:r>
      <w:r>
        <w:t xml:space="preserve"> and improving </w:t>
      </w:r>
      <w:r w:rsidR="00E03ABD">
        <w:t xml:space="preserve">the </w:t>
      </w:r>
      <w:r>
        <w:t xml:space="preserve">employability and mobility of workers and learners in Germany and in other European countries. The </w:t>
      </w:r>
      <w:r w:rsidR="00E03ABD">
        <w:t>framework</w:t>
      </w:r>
      <w:r>
        <w:t xml:space="preserve"> is based on learning outcomes</w:t>
      </w:r>
      <w:r w:rsidR="00E03ABD">
        <w:t>,</w:t>
      </w:r>
      <w:r>
        <w:t xml:space="preserve"> which enables German qualifications to be more aptly classified according to the </w:t>
      </w:r>
      <w:r w:rsidR="00C504E2">
        <w:t>‘</w:t>
      </w:r>
      <w:r>
        <w:t>real value of what somebody knows, understands and can do</w:t>
      </w:r>
      <w:r w:rsidR="00C504E2">
        <w:t>’</w:t>
      </w:r>
      <w:r>
        <w:t xml:space="preserve">. </w:t>
      </w:r>
      <w:r w:rsidR="00E03ABD">
        <w:t>The framework</w:t>
      </w:r>
      <w:r>
        <w:t xml:space="preserve"> enables vertical and horizontal pathways between qualifications to aid </w:t>
      </w:r>
      <w:r w:rsidR="00C504E2">
        <w:t>‘</w:t>
      </w:r>
      <w:r>
        <w:t>permeability</w:t>
      </w:r>
      <w:r w:rsidR="00C504E2">
        <w:t>’</w:t>
      </w:r>
      <w:r w:rsidR="006D03C7">
        <w:rPr>
          <w:rStyle w:val="FootnoteReference"/>
        </w:rPr>
        <w:footnoteReference w:id="2"/>
      </w:r>
      <w:r>
        <w:t xml:space="preserve"> (CEDEFOP 2012</w:t>
      </w:r>
      <w:r w:rsidR="00E03ABD">
        <w:t>h</w:t>
      </w:r>
      <w:r>
        <w:t>, p</w:t>
      </w:r>
      <w:r w:rsidR="00E03ABD">
        <w:t>.</w:t>
      </w:r>
      <w:r>
        <w:t xml:space="preserve">113). </w:t>
      </w:r>
      <w:r w:rsidR="00494A61">
        <w:t>The</w:t>
      </w:r>
      <w:r>
        <w:t xml:space="preserve"> comprehensive </w:t>
      </w:r>
      <w:r w:rsidR="00E03ABD">
        <w:t>German Qualifications Framework</w:t>
      </w:r>
      <w:r>
        <w:t xml:space="preserve"> is felt to enable a better comparison of qualifications from different sectors. The </w:t>
      </w:r>
      <w:r w:rsidR="00E03ABD">
        <w:t>framework is the result of broad-</w:t>
      </w:r>
      <w:r>
        <w:t>ranging consultations betwee</w:t>
      </w:r>
      <w:r w:rsidR="00E03ABD">
        <w:t>n federal and state governments</w:t>
      </w:r>
      <w:r>
        <w:t xml:space="preserve"> and representatives of the social partners, higher education institutions and other experts, including rese</w:t>
      </w:r>
      <w:r w:rsidR="00B64818">
        <w:t>archers and practitioners</w:t>
      </w:r>
      <w:r w:rsidR="004739F8">
        <w:t xml:space="preserve">. </w:t>
      </w:r>
      <w:r>
        <w:t>The German Qualifications Framework Working Group has an advisory function. A secretariat has been set up to provide technical and administrative support.</w:t>
      </w:r>
    </w:p>
    <w:p w:rsidR="008D3242" w:rsidRDefault="008D3242" w:rsidP="008D3242">
      <w:pPr>
        <w:pStyle w:val="Text"/>
      </w:pPr>
      <w:r>
        <w:lastRenderedPageBreak/>
        <w:t xml:space="preserve">The </w:t>
      </w:r>
      <w:r w:rsidR="00E03ABD">
        <w:t>German framework</w:t>
      </w:r>
      <w:r>
        <w:t xml:space="preserve"> has been referenced to the </w:t>
      </w:r>
      <w:r w:rsidR="00CE403C">
        <w:t>European Qualifications Framework</w:t>
      </w:r>
      <w:r>
        <w:t>. Qualifications are aligned to the same level on the basis of their equivalence. This enables the operation of different pathways to the same qualification. Qualification</w:t>
      </w:r>
      <w:r w:rsidR="006D03C7">
        <w:t xml:space="preserve"> </w:t>
      </w:r>
      <w:r>
        <w:t>level descriptors refer to two major forms of competences: professional and personal competences. Professional competence r</w:t>
      </w:r>
      <w:r w:rsidR="00E03ABD">
        <w:t>efers to knowledge and skills; p</w:t>
      </w:r>
      <w:r>
        <w:t>ersonal competence refers to social competence (team or leadership skills,</w:t>
      </w:r>
      <w:r w:rsidR="00494A61">
        <w:t xml:space="preserve"> involvement and communication)</w:t>
      </w:r>
      <w:r>
        <w:t xml:space="preserve"> and autonomy competence (including independence, responsibility. reflectiveness and learning competence). </w:t>
      </w:r>
    </w:p>
    <w:p w:rsidR="008D3242" w:rsidRDefault="008D3242" w:rsidP="008D3242">
      <w:pPr>
        <w:pStyle w:val="Text"/>
      </w:pPr>
      <w:r>
        <w:t>The introduction of learning outcomes approaches has led to some debate among VET educators, mainly about the fragmentation of broad vocational or occupational qualifications. Some of these debate</w:t>
      </w:r>
      <w:r w:rsidR="006A5E8D">
        <w:t>s</w:t>
      </w:r>
      <w:r>
        <w:t xml:space="preserve"> are also observed </w:t>
      </w:r>
      <w:r w:rsidR="00C45A6F">
        <w:t>in Australia</w:t>
      </w:r>
      <w:r>
        <w:t xml:space="preserve"> </w:t>
      </w:r>
      <w:r w:rsidR="006A5E8D">
        <w:t>(mainl</w:t>
      </w:r>
      <w:r w:rsidR="00494A61">
        <w:t>y concerned with</w:t>
      </w:r>
      <w:r w:rsidR="00251EE6">
        <w:t xml:space="preserve"> the </w:t>
      </w:r>
      <w:r>
        <w:t xml:space="preserve">suitability of skill sets </w:t>
      </w:r>
      <w:r w:rsidR="006A5E8D">
        <w:t>as</w:t>
      </w:r>
      <w:r>
        <w:t xml:space="preserve"> entry-level qualifications</w:t>
      </w:r>
      <w:r w:rsidR="00251EE6">
        <w:t>)</w:t>
      </w:r>
      <w:r>
        <w:t>. Nevertheless</w:t>
      </w:r>
      <w:r w:rsidR="008B4CFD">
        <w:t>,</w:t>
      </w:r>
      <w:r>
        <w:t xml:space="preserve"> th</w:t>
      </w:r>
      <w:r w:rsidR="006A5E8D">
        <w:t xml:space="preserve">e concept of </w:t>
      </w:r>
      <w:r w:rsidR="00C504E2">
        <w:t>‘</w:t>
      </w:r>
      <w:proofErr w:type="spellStart"/>
      <w:r w:rsidR="006A5E8D">
        <w:t>Handlungskompetenz</w:t>
      </w:r>
      <w:proofErr w:type="spellEnd"/>
      <w:r w:rsidR="00C504E2">
        <w:t>’</w:t>
      </w:r>
      <w:r w:rsidR="006A5E8D">
        <w:t xml:space="preserve"> </w:t>
      </w:r>
      <w:r>
        <w:t xml:space="preserve">(the ability to take action), along with the identification of location, duration and learning content </w:t>
      </w:r>
      <w:r w:rsidR="00056F50">
        <w:t>are key elements</w:t>
      </w:r>
      <w:r>
        <w:t xml:space="preserve"> of qualification</w:t>
      </w:r>
      <w:r w:rsidR="00056F50">
        <w:t>s</w:t>
      </w:r>
      <w:r w:rsidR="008B4CFD">
        <w:t xml:space="preserve"> (CEDEFOP</w:t>
      </w:r>
      <w:r>
        <w:t xml:space="preserve"> 2012</w:t>
      </w:r>
      <w:r w:rsidR="008B4CFD">
        <w:t>h</w:t>
      </w:r>
      <w:r w:rsidR="00494A61">
        <w:t>). Curricula which aim</w:t>
      </w:r>
      <w:r>
        <w:t xml:space="preserve"> to bridge the gap between what students learn at school and what they can expect to do at work have been developed for different vocational streams. This has meant a move away fro</w:t>
      </w:r>
      <w:r w:rsidR="00494A61">
        <w:t>m discipline-oriented curricula</w:t>
      </w:r>
      <w:r>
        <w:t xml:space="preserve"> towards a work-oriented </w:t>
      </w:r>
      <w:r w:rsidR="00494A61">
        <w:t>‘</w:t>
      </w:r>
      <w:r w:rsidRPr="00494A61">
        <w:t>learning fields</w:t>
      </w:r>
      <w:r w:rsidR="00494A61">
        <w:t>’</w:t>
      </w:r>
      <w:r>
        <w:t xml:space="preserve"> approach</w:t>
      </w:r>
      <w:r w:rsidR="008B4CFD">
        <w:t>,</w:t>
      </w:r>
      <w:r>
        <w:t xml:space="preserve"> where the content of learning is </w:t>
      </w:r>
      <w:r w:rsidR="00C45A6F">
        <w:t>concerned with</w:t>
      </w:r>
      <w:r>
        <w:t xml:space="preserve"> developing students</w:t>
      </w:r>
      <w:r w:rsidR="00C504E2">
        <w:t>’</w:t>
      </w:r>
      <w:r>
        <w:t xml:space="preserve"> knowledge and skill in work-related processes. Competence-based approaches are being introduced into the reforms of general education and </w:t>
      </w:r>
      <w:r w:rsidR="00494A61">
        <w:t xml:space="preserve">into </w:t>
      </w:r>
      <w:r>
        <w:t xml:space="preserve">national education standards. Training regulations are also competence-based. </w:t>
      </w:r>
    </w:p>
    <w:p w:rsidR="008B4CFD" w:rsidRDefault="008D3242" w:rsidP="008B4CFD">
      <w:pPr>
        <w:pStyle w:val="Heading3"/>
      </w:pPr>
      <w:r w:rsidRPr="00005EA4">
        <w:t>Sweden</w:t>
      </w:r>
    </w:p>
    <w:p w:rsidR="008D3242" w:rsidRDefault="008D3242" w:rsidP="00A04FAB">
      <w:pPr>
        <w:pStyle w:val="Textlessbefore"/>
      </w:pPr>
      <w:r>
        <w:t xml:space="preserve">The Swedish </w:t>
      </w:r>
      <w:r w:rsidR="006D242C">
        <w:t>National Qualification F</w:t>
      </w:r>
      <w:r w:rsidR="00C45A6F">
        <w:t>ramework</w:t>
      </w:r>
      <w:r w:rsidR="006D242C">
        <w:t xml:space="preserve"> (SNQF)</w:t>
      </w:r>
      <w:r>
        <w:t xml:space="preserve"> is a comprehensive or inclusive national framework covering all sectors of public education, and </w:t>
      </w:r>
      <w:r w:rsidR="008B4CFD">
        <w:t xml:space="preserve">it </w:t>
      </w:r>
      <w:r>
        <w:t>aim</w:t>
      </w:r>
      <w:r w:rsidR="008B4CFD">
        <w:t>s</w:t>
      </w:r>
      <w:r>
        <w:t xml:space="preserve"> to include qualifications by other public entities (includ</w:t>
      </w:r>
      <w:r w:rsidR="008B4CFD">
        <w:t>ing police and custom services)</w:t>
      </w:r>
      <w:r>
        <w:t xml:space="preserve"> and</w:t>
      </w:r>
      <w:r w:rsidR="008B4CFD">
        <w:t>,</w:t>
      </w:r>
      <w:r>
        <w:t xml:space="preserve"> gradually</w:t>
      </w:r>
      <w:r w:rsidR="008B4CFD">
        <w:t>,</w:t>
      </w:r>
      <w:r>
        <w:t xml:space="preserve"> those outside the public system, especially those from adult/popular education and the labour market itself</w:t>
      </w:r>
      <w:r w:rsidR="008B4CFD">
        <w:t>.</w:t>
      </w:r>
      <w:r>
        <w:t xml:space="preserve"> (Sweden has a long history of adult education</w:t>
      </w:r>
      <w:r w:rsidR="008B4CFD">
        <w:t>.)</w:t>
      </w:r>
      <w:r>
        <w:t xml:space="preserve"> Vocational education is provided by enterprises and industry sectors. Ministerial responsibility for the development of the framework is undertaken by the Ministry of Education and Research, with the National Agency for Higher Vocational Education taking carriage of the development of the </w:t>
      </w:r>
      <w:r w:rsidR="006D242C">
        <w:t>framework</w:t>
      </w:r>
      <w:r>
        <w:t>. A broad range of stakeholders ha</w:t>
      </w:r>
      <w:r w:rsidR="006D242C">
        <w:t>s</w:t>
      </w:r>
      <w:r>
        <w:t xml:space="preserve"> participated in the development of the framework either in an advisory or consultative capacity, reflecting the aim of the government to open up the framework to qualifications provided outside the public sector. They include representatives from general education and higher education agencies, </w:t>
      </w:r>
      <w:r w:rsidR="008B4CFD">
        <w:t xml:space="preserve">the </w:t>
      </w:r>
      <w:r>
        <w:t>employers</w:t>
      </w:r>
      <w:r w:rsidR="00C504E2">
        <w:t>’</w:t>
      </w:r>
      <w:r>
        <w:t xml:space="preserve"> federation, regional authorities, key trade union associations and public employment services. Other stakeholders representing public education are from public education organisations and agencies</w:t>
      </w:r>
      <w:r w:rsidR="006D242C">
        <w:t xml:space="preserve"> and</w:t>
      </w:r>
      <w:r>
        <w:t xml:space="preserve"> include the Swedish University Association, the Swedish Student Association and the Swedish Association for popular education. A series of public consultations and national conferences and events have also fed into the development of the framework. </w:t>
      </w:r>
      <w:r w:rsidR="0083469E">
        <w:t>In common with</w:t>
      </w:r>
      <w:r>
        <w:t xml:space="preserve"> other national frameworks</w:t>
      </w:r>
      <w:r w:rsidR="0083469E">
        <w:t>,</w:t>
      </w:r>
      <w:r>
        <w:t xml:space="preserve"> the Swedish NQF aims to improve the transparency and comparability of qualifications</w:t>
      </w:r>
      <w:r w:rsidR="00CC3FB1">
        <w:t xml:space="preserve"> (CED</w:t>
      </w:r>
      <w:r w:rsidR="008C4214">
        <w:t>E</w:t>
      </w:r>
      <w:r w:rsidR="00CC3FB1">
        <w:t>FOP 2012</w:t>
      </w:r>
      <w:r w:rsidR="006D242C">
        <w:t>h</w:t>
      </w:r>
      <w:r w:rsidR="00CC3FB1">
        <w:t>)</w:t>
      </w:r>
      <w:r>
        <w:t xml:space="preserve">. </w:t>
      </w:r>
    </w:p>
    <w:p w:rsidR="008D3242" w:rsidRDefault="008D3242" w:rsidP="008D3242">
      <w:pPr>
        <w:pStyle w:val="Text"/>
      </w:pPr>
      <w:r>
        <w:t xml:space="preserve">There has also been a move to include academic and non-academic qualifications </w:t>
      </w:r>
      <w:r w:rsidR="00760BC0">
        <w:t>in the framework</w:t>
      </w:r>
      <w:r w:rsidR="0083469E">
        <w:t>, the aim being</w:t>
      </w:r>
      <w:r w:rsidR="004E7CD6">
        <w:t xml:space="preserve"> </w:t>
      </w:r>
      <w:r>
        <w:t>to recognise that there are qualifications at the higher education levels (</w:t>
      </w:r>
      <w:r w:rsidR="0083469E">
        <w:t>6—</w:t>
      </w:r>
      <w:r>
        <w:t xml:space="preserve">8) </w:t>
      </w:r>
      <w:r w:rsidR="004E7CD6">
        <w:t xml:space="preserve">offered </w:t>
      </w:r>
      <w:r w:rsidR="00EB2B97">
        <w:t xml:space="preserve">in </w:t>
      </w:r>
      <w:r w:rsidR="0083469E">
        <w:t>non-university institutions</w:t>
      </w:r>
      <w:r w:rsidR="004E7CD6">
        <w:t xml:space="preserve">. </w:t>
      </w:r>
      <w:r>
        <w:t>Th</w:t>
      </w:r>
      <w:r w:rsidR="004E7CD6">
        <w:t>is has led to tension within the higher educational fraternity</w:t>
      </w:r>
      <w:r w:rsidR="0083469E">
        <w:t>,</w:t>
      </w:r>
      <w:r w:rsidR="004E7CD6">
        <w:t xml:space="preserve"> driven by </w:t>
      </w:r>
      <w:r>
        <w:t xml:space="preserve">the fear </w:t>
      </w:r>
      <w:r w:rsidR="004E7CD6">
        <w:t>that expanding the type of ins</w:t>
      </w:r>
      <w:r w:rsidR="0083469E">
        <w:t>titution to award level 6—</w:t>
      </w:r>
      <w:r w:rsidR="004E7CD6">
        <w:t xml:space="preserve">8 qualifications may lead to a </w:t>
      </w:r>
      <w:r>
        <w:t xml:space="preserve">diminishing status </w:t>
      </w:r>
      <w:r w:rsidR="004E7CD6">
        <w:t xml:space="preserve">for </w:t>
      </w:r>
      <w:r>
        <w:t xml:space="preserve">Swedish higher education qualifications. A separate framework for higher education qualifications with opportunities for self-certification has also been developed. </w:t>
      </w:r>
    </w:p>
    <w:p w:rsidR="008D3242" w:rsidRDefault="008D3242" w:rsidP="00A04FAB">
      <w:pPr>
        <w:pStyle w:val="Text"/>
        <w:ind w:right="-143"/>
      </w:pPr>
      <w:r>
        <w:lastRenderedPageBreak/>
        <w:t xml:space="preserve">Where the EQF identifies knowledge as theory or facts, the Swedish </w:t>
      </w:r>
      <w:r w:rsidR="009528CD">
        <w:t xml:space="preserve">NQF </w:t>
      </w:r>
      <w:r>
        <w:t xml:space="preserve">identifies knowledge as theory or experience. Skills are defined as the ability to carry out tasks and to solve problems. Competence is the ability to take responsibility, </w:t>
      </w:r>
      <w:r w:rsidR="0083469E">
        <w:t xml:space="preserve">display </w:t>
      </w:r>
      <w:r>
        <w:t>independence in taking action and making decisions, and work in cooperation with others. The introduction of learning outcomes approaches has also led to questioning traditional way</w:t>
      </w:r>
      <w:r w:rsidR="0083469E">
        <w:t>s of higher education provision</w:t>
      </w:r>
      <w:r>
        <w:t xml:space="preserve"> and the need for quality assurance. </w:t>
      </w:r>
    </w:p>
    <w:p w:rsidR="0083469E" w:rsidRDefault="008D3242" w:rsidP="0083469E">
      <w:pPr>
        <w:pStyle w:val="Heading3"/>
      </w:pPr>
      <w:r w:rsidRPr="00AC6C5B">
        <w:t>England, Northern Ireland and Wales</w:t>
      </w:r>
    </w:p>
    <w:p w:rsidR="008D3242" w:rsidRDefault="008D3242" w:rsidP="00A04FAB">
      <w:pPr>
        <w:pStyle w:val="Textlessbefore"/>
      </w:pPr>
      <w:r>
        <w:t xml:space="preserve">The </w:t>
      </w:r>
      <w:r w:rsidR="00BF0E74">
        <w:t>qualifications framework</w:t>
      </w:r>
      <w:r>
        <w:t xml:space="preserve">s for </w:t>
      </w:r>
      <w:r w:rsidR="0083469E">
        <w:t>England, Northern Ireland</w:t>
      </w:r>
      <w:r>
        <w:t xml:space="preserve"> and Wales, comprise: the Qualification</w:t>
      </w:r>
      <w:r w:rsidR="00494A61">
        <w:t>s</w:t>
      </w:r>
      <w:r>
        <w:t xml:space="preserve"> and Credit Framework (QCF) in England and Northern Ireland, the C</w:t>
      </w:r>
      <w:r w:rsidR="0083469E">
        <w:t>redit</w:t>
      </w:r>
      <w:r w:rsidR="00494A61">
        <w:t xml:space="preserve"> and</w:t>
      </w:r>
      <w:r w:rsidR="0083469E">
        <w:t xml:space="preserve"> Qualifications Framework f</w:t>
      </w:r>
      <w:r>
        <w:t xml:space="preserve">or Wales (CQFW) in Wales, and the Framework for Higher Education Qualifications (FHEQ). </w:t>
      </w:r>
    </w:p>
    <w:p w:rsidR="008D3242" w:rsidRDefault="00542AB7" w:rsidP="00A04FAB">
      <w:pPr>
        <w:pStyle w:val="Dotpoint1"/>
      </w:pPr>
      <w:r>
        <w:t xml:space="preserve">The </w:t>
      </w:r>
      <w:r w:rsidR="0083469E">
        <w:t>Qualification</w:t>
      </w:r>
      <w:r w:rsidR="00494A61">
        <w:t>s</w:t>
      </w:r>
      <w:r w:rsidR="0083469E">
        <w:t xml:space="preserve"> and Credit Framework</w:t>
      </w:r>
      <w:r w:rsidR="004E7CD6">
        <w:t xml:space="preserve"> includes regulated vocational qualifications</w:t>
      </w:r>
      <w:r>
        <w:t>,</w:t>
      </w:r>
      <w:r w:rsidR="004E7CD6">
        <w:t xml:space="preserve"> where</w:t>
      </w:r>
      <w:r w:rsidR="0083469E">
        <w:t>by</w:t>
      </w:r>
      <w:r w:rsidR="004E7CD6">
        <w:t xml:space="preserve"> individuals can accrue units and qualifications at their own pace</w:t>
      </w:r>
      <w:r w:rsidR="0083469E">
        <w:t>.</w:t>
      </w:r>
      <w:r w:rsidR="0018485E">
        <w:rPr>
          <w:rStyle w:val="FootnoteReference"/>
        </w:rPr>
        <w:footnoteReference w:id="3"/>
      </w:r>
      <w:r w:rsidR="004E7CD6">
        <w:t xml:space="preserve"> It is a regulatory framework for vocational education in England, Wales and Northern Ireland. The</w:t>
      </w:r>
      <w:r w:rsidR="008D3242">
        <w:t xml:space="preserve"> </w:t>
      </w:r>
      <w:r>
        <w:t>framework</w:t>
      </w:r>
      <w:r w:rsidR="008D3242">
        <w:t xml:space="preserve"> lead</w:t>
      </w:r>
      <w:r w:rsidR="004E7CD6">
        <w:t>s</w:t>
      </w:r>
      <w:r w:rsidR="008D3242">
        <w:t xml:space="preserve"> to qu</w:t>
      </w:r>
      <w:r w:rsidR="00494A61">
        <w:t xml:space="preserve">alifications ranging from entry </w:t>
      </w:r>
      <w:r w:rsidR="008D3242">
        <w:t>level to level 8 and aim</w:t>
      </w:r>
      <w:r>
        <w:t>s</w:t>
      </w:r>
      <w:r w:rsidR="008D3242">
        <w:t xml:space="preserve"> to provide information o</w:t>
      </w:r>
      <w:r>
        <w:t>n</w:t>
      </w:r>
      <w:r w:rsidR="008D3242">
        <w:t xml:space="preserve"> what an individual has learnt and can do. The</w:t>
      </w:r>
      <w:r>
        <w:t xml:space="preserve"> qualifications</w:t>
      </w:r>
      <w:r w:rsidR="008D3242">
        <w:t xml:space="preserve"> are classified according to their complexity or level of difficulty, size (that is, number of credits) and their content. The size of a qualification refers to its credit value</w:t>
      </w:r>
      <w:r>
        <w:t>,</w:t>
      </w:r>
      <w:r w:rsidR="008D3242">
        <w:t xml:space="preserve"> where one credit is classified as </w:t>
      </w:r>
      <w:r>
        <w:t>ten</w:t>
      </w:r>
      <w:r w:rsidR="008D3242">
        <w:t xml:space="preserve"> hours of </w:t>
      </w:r>
      <w:r w:rsidR="00C504E2">
        <w:t>‘</w:t>
      </w:r>
      <w:r w:rsidR="008D3242">
        <w:t>guided learning</w:t>
      </w:r>
      <w:r w:rsidR="00C504E2">
        <w:t>’</w:t>
      </w:r>
      <w:r w:rsidR="008D3242">
        <w:t xml:space="preserve">. The size comprises the length of learning </w:t>
      </w:r>
      <w:r w:rsidR="008D3242" w:rsidRPr="00FC7A19">
        <w:t xml:space="preserve">time expected </w:t>
      </w:r>
      <w:r w:rsidR="00FC7A19" w:rsidRPr="00FC7A19">
        <w:t>for</w:t>
      </w:r>
      <w:r w:rsidR="00FC7A19">
        <w:t xml:space="preserve"> completing</w:t>
      </w:r>
      <w:r w:rsidR="008D3242">
        <w:t xml:space="preserve"> a</w:t>
      </w:r>
      <w:r>
        <w:t xml:space="preserve"> qualification. An </w:t>
      </w:r>
      <w:r w:rsidR="00C504E2">
        <w:t>‘</w:t>
      </w:r>
      <w:r>
        <w:t>award</w:t>
      </w:r>
      <w:r w:rsidR="00C504E2">
        <w:t>’</w:t>
      </w:r>
      <w:r>
        <w:t xml:space="preserve"> has one</w:t>
      </w:r>
      <w:r w:rsidR="008D3242">
        <w:t xml:space="preserve"> to 12 credits, a certificate has 13 to 36 credits and a diploma has 37 credits or more. </w:t>
      </w:r>
    </w:p>
    <w:p w:rsidR="00542AB7" w:rsidRDefault="008D3242" w:rsidP="00A04FAB">
      <w:pPr>
        <w:pStyle w:val="Dotpoint1"/>
      </w:pPr>
      <w:r>
        <w:t>The Credit and Qualifications Frame</w:t>
      </w:r>
      <w:r w:rsidR="00542AB7">
        <w:t>work for Wales is an all-</w:t>
      </w:r>
      <w:r>
        <w:t xml:space="preserve">inclusive voluntary framework </w:t>
      </w:r>
      <w:r w:rsidR="006D242C">
        <w:t>that</w:t>
      </w:r>
      <w:r>
        <w:t xml:space="preserve"> recognises full qualifications, partial achievement of qualifications, and awards achieved in other areas</w:t>
      </w:r>
      <w:r w:rsidR="00542AB7">
        <w:t>.</w:t>
      </w:r>
      <w:r w:rsidR="0018485E">
        <w:rPr>
          <w:rStyle w:val="FootnoteReference"/>
        </w:rPr>
        <w:footnoteReference w:id="4"/>
      </w:r>
      <w:r>
        <w:t xml:space="preserve"> The framework comprises </w:t>
      </w:r>
      <w:r w:rsidR="00542AB7">
        <w:t>eight</w:t>
      </w:r>
      <w:r>
        <w:t xml:space="preserve"> lev</w:t>
      </w:r>
      <w:r w:rsidR="00542AB7">
        <w:t>els plus entry or access levels</w:t>
      </w:r>
      <w:r>
        <w:t xml:space="preserve"> </w:t>
      </w:r>
      <w:r w:rsidR="00056F50">
        <w:t xml:space="preserve">and </w:t>
      </w:r>
      <w:r>
        <w:t>is supported by a CQFW Common Accord</w:t>
      </w:r>
      <w:r w:rsidR="00542AB7">
        <w:t>,</w:t>
      </w:r>
      <w:r>
        <w:t xml:space="preserve"> which sets out agreed terminology, principles, and quality assurance arrangements. The accord has been developed by regulatory authorities working in conjunction with awarding </w:t>
      </w:r>
      <w:r w:rsidR="009528CD">
        <w:t>o</w:t>
      </w:r>
      <w:r>
        <w:t xml:space="preserve">rganisations, national and regional credit bodies, and organisations with knowledge about how credit systems work. The key principles used to classify qualifications are learning outcomes, levels of difficulty, and volume of learning (that is, credit). The </w:t>
      </w:r>
      <w:r w:rsidR="00542AB7">
        <w:t>Welsh framework</w:t>
      </w:r>
      <w:r>
        <w:t xml:space="preserve"> includes all recognised credit-based learning </w:t>
      </w:r>
      <w:r w:rsidR="00542AB7">
        <w:t xml:space="preserve">in </w:t>
      </w:r>
      <w:r>
        <w:t>higher education, regulated general and vocational qualificat</w:t>
      </w:r>
      <w:r w:rsidR="006D242C">
        <w:t>ions, and quality-</w:t>
      </w:r>
      <w:r w:rsidR="00542AB7">
        <w:t>assured life</w:t>
      </w:r>
      <w:r>
        <w:t xml:space="preserve">long learning. This means that it applies to all learners over the ages of 14 years and to learning in the workplace, community, </w:t>
      </w:r>
      <w:r w:rsidR="00542AB7">
        <w:t>school, college and university.</w:t>
      </w:r>
    </w:p>
    <w:p w:rsidR="00542AB7" w:rsidRDefault="00542AB7" w:rsidP="00A04FAB">
      <w:pPr>
        <w:pStyle w:val="Dotpoint1"/>
      </w:pPr>
      <w:r>
        <w:t>The Framework for Higher Education Qualifications is a voluntary framework that sets out some benchmarks for higher education qualifications at FHEQ levels 4 to 8, including certificates of higher education, diploma</w:t>
      </w:r>
      <w:r w:rsidR="00313387">
        <w:t>s</w:t>
      </w:r>
      <w:r>
        <w:t xml:space="preserve"> of higher education, bachelor</w:t>
      </w:r>
      <w:r w:rsidR="00C504E2">
        <w:t>’</w:t>
      </w:r>
      <w:r>
        <w:t>s degrees, master</w:t>
      </w:r>
      <w:r w:rsidR="00C504E2">
        <w:t>’</w:t>
      </w:r>
      <w:r>
        <w:t>s degrees and doctorates. Bachelor degrees represent first-cycle qualifications, master</w:t>
      </w:r>
      <w:r w:rsidR="00C504E2">
        <w:t>’</w:t>
      </w:r>
      <w:r>
        <w:t xml:space="preserve">s degree are second-cycle qualifications and doctorates represent third-cycle qualifications. The Quality Assurance Agency (QAA) is </w:t>
      </w:r>
      <w:r w:rsidR="00313387">
        <w:t>responsible for the Framework for</w:t>
      </w:r>
      <w:r>
        <w:t xml:space="preserve"> Higher</w:t>
      </w:r>
      <w:r w:rsidR="00FB525A">
        <w:t xml:space="preserve"> Education Qualifications</w:t>
      </w:r>
      <w:r>
        <w:t>.</w:t>
      </w:r>
      <w:r>
        <w:rPr>
          <w:rStyle w:val="FootnoteReference"/>
        </w:rPr>
        <w:footnoteReference w:id="5"/>
      </w:r>
      <w:r>
        <w:t xml:space="preserve"> </w:t>
      </w:r>
    </w:p>
    <w:p w:rsidR="00FB525A" w:rsidRDefault="008D3242" w:rsidP="00A04FAB">
      <w:pPr>
        <w:pStyle w:val="Heading3"/>
      </w:pPr>
      <w:r w:rsidRPr="00005EA4">
        <w:t>Scotland</w:t>
      </w:r>
    </w:p>
    <w:p w:rsidR="008D3242" w:rsidRDefault="008D3242" w:rsidP="00A04FAB">
      <w:pPr>
        <w:pStyle w:val="Textlessbefore"/>
      </w:pPr>
      <w:r>
        <w:t xml:space="preserve">The Scottish Qualifications and Credit Framework (SQCF) contains qualifications </w:t>
      </w:r>
      <w:r w:rsidR="00FB525A">
        <w:t>whose</w:t>
      </w:r>
      <w:r>
        <w:t xml:space="preserve"> aim </w:t>
      </w:r>
      <w:r w:rsidR="00FB525A">
        <w:t xml:space="preserve">is </w:t>
      </w:r>
      <w:r>
        <w:t xml:space="preserve">to help individuals of </w:t>
      </w:r>
      <w:r w:rsidR="00C504E2">
        <w:t>‘</w:t>
      </w:r>
      <w:r>
        <w:t xml:space="preserve">all ages and circumstances access appropriate education and training so they can meet </w:t>
      </w:r>
      <w:r>
        <w:lastRenderedPageBreak/>
        <w:t>their full potential</w:t>
      </w:r>
      <w:r w:rsidR="00C504E2">
        <w:t>’</w:t>
      </w:r>
      <w:r w:rsidR="00FB525A">
        <w:t>.</w:t>
      </w:r>
      <w:r w:rsidR="0018485E">
        <w:rPr>
          <w:rStyle w:val="FootnoteReference"/>
        </w:rPr>
        <w:footnoteReference w:id="6"/>
      </w:r>
      <w:r>
        <w:t xml:space="preserve"> </w:t>
      </w:r>
      <w:r w:rsidR="00FB525A">
        <w:t>Similar to</w:t>
      </w:r>
      <w:r>
        <w:t xml:space="preserve"> other frameworks</w:t>
      </w:r>
      <w:r w:rsidR="00FB525A">
        <w:t>,</w:t>
      </w:r>
      <w:r>
        <w:t xml:space="preserve"> it aims to promote transparency about the </w:t>
      </w:r>
      <w:r w:rsidR="00FB525A">
        <w:t xml:space="preserve">available </w:t>
      </w:r>
      <w:r>
        <w:t>qualifications and how they relate to each other and to other learning. The S</w:t>
      </w:r>
      <w:r w:rsidR="006D242C">
        <w:t>cottish f</w:t>
      </w:r>
      <w:r w:rsidR="00FB525A">
        <w:t>ramework</w:t>
      </w:r>
      <w:r>
        <w:t xml:space="preserve"> </w:t>
      </w:r>
      <w:r w:rsidR="00760BC0">
        <w:t>is</w:t>
      </w:r>
      <w:r w:rsidR="009528CD">
        <w:t xml:space="preserve"> </w:t>
      </w:r>
      <w:r>
        <w:t>a 12-level framework incorporating higher educ</w:t>
      </w:r>
      <w:r w:rsidR="004E5BD0">
        <w:t xml:space="preserve">ation qualifications, Scottish </w:t>
      </w:r>
      <w:r w:rsidR="00C564D3">
        <w:t>vocational qualifications</w:t>
      </w:r>
      <w:r w:rsidR="004E5BD0">
        <w:t xml:space="preserve"> (SVQs)</w:t>
      </w:r>
      <w:r w:rsidR="00FB525A">
        <w:t xml:space="preserve"> and</w:t>
      </w:r>
      <w:r>
        <w:t xml:space="preserve"> national and higher national qualifications. It also incorporates access or entry-level qualifications (level</w:t>
      </w:r>
      <w:r w:rsidR="00FB525A">
        <w:t>s</w:t>
      </w:r>
      <w:r>
        <w:t xml:space="preserve"> 1 to 3). The framework uses levels and credit points to differentiate between qualifications. Levels refer to level of difficulty</w:t>
      </w:r>
      <w:r w:rsidR="00FB525A">
        <w:t>,</w:t>
      </w:r>
      <w:r>
        <w:t xml:space="preserve"> while credit refers to the length of time required to complete the qualification. A credit point is equal to </w:t>
      </w:r>
      <w:r w:rsidR="00FB525A">
        <w:t>ten</w:t>
      </w:r>
      <w:r>
        <w:t xml:space="preserve"> hours of learning. </w:t>
      </w:r>
      <w:r w:rsidR="00CF18BF">
        <w:t>The level 1 qualification is the</w:t>
      </w:r>
      <w:r w:rsidR="003A2407">
        <w:t xml:space="preserve"> </w:t>
      </w:r>
      <w:r w:rsidR="00313387">
        <w:t>lease complex, and level 12</w:t>
      </w:r>
      <w:r w:rsidR="00CF18BF">
        <w:t xml:space="preserve"> the most complex. </w:t>
      </w:r>
      <w:r>
        <w:t>Level descriptors for each qualification level use a learning outcomes approach</w:t>
      </w:r>
      <w:r w:rsidR="00FB525A">
        <w:t>,</w:t>
      </w:r>
      <w:r>
        <w:t xml:space="preserve"> including the use of recognition of prior learning. The </w:t>
      </w:r>
      <w:r w:rsidR="00FB525A">
        <w:t>framework</w:t>
      </w:r>
      <w:r>
        <w:t xml:space="preserve"> is not a regulatory framework and is maintained by the Scottish Credit and Qualifications Partnership</w:t>
      </w:r>
      <w:r w:rsidR="004E5BD0">
        <w:t>,</w:t>
      </w:r>
      <w:r>
        <w:t xml:space="preserve"> a company limit</w:t>
      </w:r>
      <w:r w:rsidR="00FB525A">
        <w:t xml:space="preserve">ed by guarantee and </w:t>
      </w:r>
      <w:r w:rsidR="00FB525A" w:rsidRPr="00313387">
        <w:t>a Scottish c</w:t>
      </w:r>
      <w:r w:rsidRPr="00313387">
        <w:t>harity</w:t>
      </w:r>
      <w:r w:rsidR="006403A5" w:rsidRPr="00313387">
        <w:t>.</w:t>
      </w:r>
      <w:r w:rsidR="006403A5">
        <w:t xml:space="preserve"> The p</w:t>
      </w:r>
      <w:r>
        <w:t>artnership co</w:t>
      </w:r>
      <w:r w:rsidR="006403A5">
        <w:t>mprises</w:t>
      </w:r>
      <w:r>
        <w:t xml:space="preserve"> the Quality Assura</w:t>
      </w:r>
      <w:r w:rsidR="006403A5">
        <w:t>nce Agency for Higher Education, Colleges Scotland,</w:t>
      </w:r>
      <w:r>
        <w:t xml:space="preserve"> the Sc</w:t>
      </w:r>
      <w:r w:rsidR="006403A5">
        <w:t>ottish Qualifications Authority,</w:t>
      </w:r>
      <w:r>
        <w:t xml:space="preserve"> and Universities Scotland.</w:t>
      </w:r>
    </w:p>
    <w:p w:rsidR="006403A5" w:rsidRDefault="008D3242" w:rsidP="006403A5">
      <w:pPr>
        <w:pStyle w:val="Heading3"/>
      </w:pPr>
      <w:r w:rsidRPr="00D70F08">
        <w:t>New Zealand</w:t>
      </w:r>
    </w:p>
    <w:p w:rsidR="0099162A" w:rsidRDefault="008D3242" w:rsidP="00A04FAB">
      <w:pPr>
        <w:pStyle w:val="Textlessbefore"/>
        <w:ind w:right="-143"/>
      </w:pPr>
      <w:r>
        <w:t xml:space="preserve">The New Zealand </w:t>
      </w:r>
      <w:r w:rsidR="0099162A">
        <w:t>Qualifications F</w:t>
      </w:r>
      <w:r w:rsidR="00BF0E74">
        <w:t>ramework</w:t>
      </w:r>
      <w:r>
        <w:t xml:space="preserve"> </w:t>
      </w:r>
      <w:r w:rsidR="007411A6">
        <w:t xml:space="preserve">(NZQF) </w:t>
      </w:r>
      <w:r>
        <w:t>is comprised of ten levels</w:t>
      </w:r>
      <w:r w:rsidR="006403A5">
        <w:t>,</w:t>
      </w:r>
      <w:r>
        <w:t xml:space="preserve"> with certificates having the lowest level of complexity (levels </w:t>
      </w:r>
      <w:r w:rsidR="006403A5">
        <w:t>1</w:t>
      </w:r>
      <w:r>
        <w:t xml:space="preserve"> to </w:t>
      </w:r>
      <w:r w:rsidR="006403A5">
        <w:t>3</w:t>
      </w:r>
      <w:r>
        <w:t xml:space="preserve"> refer to certificates from secondary education) and doctoral degrees the highest level of complexity</w:t>
      </w:r>
      <w:r w:rsidR="006403A5">
        <w:t>.</w:t>
      </w:r>
      <w:r w:rsidR="00BA048A">
        <w:rPr>
          <w:rStyle w:val="FootnoteReference"/>
        </w:rPr>
        <w:footnoteReference w:id="7"/>
      </w:r>
      <w:r w:rsidR="00BA048A">
        <w:t xml:space="preserve"> </w:t>
      </w:r>
      <w:r>
        <w:t>Each qualification type has an agreed set of criteria</w:t>
      </w:r>
      <w:r w:rsidR="006403A5">
        <w:t>,</w:t>
      </w:r>
      <w:r>
        <w:t xml:space="preserve"> including its level and the number of credits required at each level. One credit refers to </w:t>
      </w:r>
      <w:r w:rsidR="006403A5">
        <w:t>ten</w:t>
      </w:r>
      <w:r>
        <w:t xml:space="preserve"> notional hours of learning</w:t>
      </w:r>
      <w:r w:rsidR="006403A5">
        <w:t>,</w:t>
      </w:r>
      <w:r>
        <w:t xml:space="preserve"> which are based on estimations of direct contact time, time spent on self-directed learning (studying or doing assignments)</w:t>
      </w:r>
      <w:r w:rsidR="00056F50">
        <w:t xml:space="preserve"> </w:t>
      </w:r>
      <w:r>
        <w:t xml:space="preserve">or on practical tasks, and time in undertaking assessments. A full-time equivalent year is 120 credits (mainly used for government funding requirements). </w:t>
      </w:r>
    </w:p>
    <w:p w:rsidR="009528CD" w:rsidRDefault="008D3242" w:rsidP="008D3242">
      <w:pPr>
        <w:pStyle w:val="Text"/>
      </w:pPr>
      <w:r>
        <w:t xml:space="preserve">Qualifications can include credits that have been obtained at levels above and below the level in which the qualification is listed. The framework </w:t>
      </w:r>
      <w:r w:rsidR="00251EE6">
        <w:t xml:space="preserve">comprises </w:t>
      </w:r>
      <w:r w:rsidR="006403A5">
        <w:t xml:space="preserve">the </w:t>
      </w:r>
      <w:r>
        <w:t>knowledge, skills and application</w:t>
      </w:r>
      <w:r w:rsidR="0065338B">
        <w:t xml:space="preserve"> required for qualifications. Knowledge and skills are </w:t>
      </w:r>
      <w:r w:rsidR="006403A5">
        <w:t>concerned with</w:t>
      </w:r>
      <w:r w:rsidR="0065338B">
        <w:t xml:space="preserve"> </w:t>
      </w:r>
      <w:r>
        <w:t xml:space="preserve">what an individual is expected to </w:t>
      </w:r>
      <w:r w:rsidR="00C504E2">
        <w:t>‘</w:t>
      </w:r>
      <w:r>
        <w:t>know, do and be</w:t>
      </w:r>
      <w:r w:rsidR="00C504E2">
        <w:t>’</w:t>
      </w:r>
      <w:r>
        <w:t xml:space="preserve">. Application </w:t>
      </w:r>
      <w:r w:rsidR="0065338B">
        <w:t xml:space="preserve">is </w:t>
      </w:r>
      <w:r w:rsidR="006403A5">
        <w:t>concerned with</w:t>
      </w:r>
      <w:r w:rsidR="0065338B">
        <w:t xml:space="preserve"> </w:t>
      </w:r>
      <w:r>
        <w:t>responsibility, ways of behaving, attitudes, attributes and competence. New Zealand qualifications also have an outcomes statement</w:t>
      </w:r>
      <w:r w:rsidR="006403A5">
        <w:t>,</w:t>
      </w:r>
      <w:r>
        <w:t xml:space="preserve"> which describes </w:t>
      </w:r>
      <w:r w:rsidR="006403A5">
        <w:t xml:space="preserve">the </w:t>
      </w:r>
      <w:r>
        <w:t>knowledge, skills and attributes of the graduate. The graduate profile lists the learning outcomes</w:t>
      </w:r>
      <w:r w:rsidR="0065338B">
        <w:t xml:space="preserve"> and</w:t>
      </w:r>
      <w:r>
        <w:t xml:space="preserve"> education pathways </w:t>
      </w:r>
      <w:r w:rsidR="0065338B">
        <w:t xml:space="preserve">(that is, the </w:t>
      </w:r>
      <w:r>
        <w:t xml:space="preserve">qualifications </w:t>
      </w:r>
      <w:r w:rsidR="00462BCC">
        <w:t>in which the holder</w:t>
      </w:r>
      <w:r w:rsidR="0065338B">
        <w:t xml:space="preserve"> </w:t>
      </w:r>
      <w:r>
        <w:t>can be enrolled as a result of this qualification</w:t>
      </w:r>
      <w:r w:rsidR="0065338B">
        <w:t>). S</w:t>
      </w:r>
      <w:r w:rsidR="00462BCC">
        <w:t>tand-</w:t>
      </w:r>
      <w:r>
        <w:t>alone qualifications</w:t>
      </w:r>
      <w:r w:rsidR="00462BCC">
        <w:t>,</w:t>
      </w:r>
      <w:r>
        <w:t xml:space="preserve"> which do not lead to further qualifications</w:t>
      </w:r>
      <w:r w:rsidR="00462BCC">
        <w:t>,</w:t>
      </w:r>
      <w:r>
        <w:t xml:space="preserve"> must be described as such. The outcomes statement also identifies the areas in which the individual is qualified to work or to contribute to the community. Qualifications listed on the </w:t>
      </w:r>
      <w:r w:rsidR="00462BCC">
        <w:t>New Zealand framework</w:t>
      </w:r>
      <w:r>
        <w:t xml:space="preserve"> are described either as being current, expiring, or discontinued. Current qualific</w:t>
      </w:r>
      <w:r w:rsidR="00462BCC">
        <w:t>ations can be offered for study;</w:t>
      </w:r>
      <w:r>
        <w:t xml:space="preserve"> expiring qualifications are those being replaced by a new qualification, or those closed to new student enrolments. Discontinued qualifications are those that have been closed. Closed and expiring qualifications obtain that status generally as the result of a </w:t>
      </w:r>
      <w:r w:rsidR="0065338B">
        <w:t xml:space="preserve">mandatory and periodic </w:t>
      </w:r>
      <w:r>
        <w:t xml:space="preserve">review. </w:t>
      </w:r>
    </w:p>
    <w:p w:rsidR="00462BCC" w:rsidRDefault="009B3377" w:rsidP="00462BCC">
      <w:pPr>
        <w:pStyle w:val="Heading3"/>
      </w:pPr>
      <w:r w:rsidRPr="009B3377">
        <w:t>Singapore</w:t>
      </w:r>
    </w:p>
    <w:p w:rsidR="0099162A" w:rsidRDefault="009B3377" w:rsidP="00A04FAB">
      <w:pPr>
        <w:pStyle w:val="Textlessbefore"/>
      </w:pPr>
      <w:r w:rsidRPr="00F0679C">
        <w:t>The Singapore Workforce Skills Qualifications</w:t>
      </w:r>
      <w:r w:rsidR="00313387" w:rsidRPr="00F0679C">
        <w:t xml:space="preserve"> (WSQ)</w:t>
      </w:r>
      <w:r w:rsidRPr="00F0679C">
        <w:t xml:space="preserve"> </w:t>
      </w:r>
      <w:r w:rsidR="00607DC3" w:rsidRPr="00F0679C">
        <w:t xml:space="preserve">Framework </w:t>
      </w:r>
      <w:r w:rsidR="00313387" w:rsidRPr="00F0679C">
        <w:t>comprises</w:t>
      </w:r>
      <w:r w:rsidRPr="00F0679C">
        <w:t xml:space="preserve"> framework</w:t>
      </w:r>
      <w:r w:rsidR="00313387" w:rsidRPr="00F0679C">
        <w:t>s</w:t>
      </w:r>
      <w:r>
        <w:t xml:space="preserve"> of qualifications</w:t>
      </w:r>
      <w:r w:rsidR="00607DC3">
        <w:t xml:space="preserve"> for different industry sectors</w:t>
      </w:r>
      <w:r>
        <w:t xml:space="preserve">. </w:t>
      </w:r>
      <w:r w:rsidR="004E7C65">
        <w:t xml:space="preserve">Each framework comprises WSQ certificates, WSQ higher certificates, WSQ advanced certificates, WSQ diplomas, WSQ specialist diploma, WSQ graduate </w:t>
      </w:r>
      <w:r w:rsidR="004E7C65">
        <w:lastRenderedPageBreak/>
        <w:t xml:space="preserve">diploma/graduate certificate. Each </w:t>
      </w:r>
      <w:r w:rsidR="00BF0E74">
        <w:t>qualifications framework</w:t>
      </w:r>
      <w:r w:rsidR="004E7C65">
        <w:t xml:space="preserve"> </w:t>
      </w:r>
      <w:r>
        <w:t>is based on national standards developed by the Workforce Development Agency in consultation with industry sectors. The WSQ is an occupational and competency-based system aimed at all professionals and workers</w:t>
      </w:r>
      <w:r w:rsidR="00C00708">
        <w:t xml:space="preserve"> (Singapore Workforce Development Agency)</w:t>
      </w:r>
      <w:r w:rsidR="00462BCC">
        <w:t>.</w:t>
      </w:r>
      <w:r w:rsidR="00C00708" w:rsidRPr="00AF48A3">
        <w:rPr>
          <w:rStyle w:val="FootnoteReference"/>
        </w:rPr>
        <w:footnoteReference w:id="8"/>
      </w:r>
      <w:r w:rsidR="00AF48A3" w:rsidRPr="00AF48A3">
        <w:rPr>
          <w:vertAlign w:val="superscript"/>
        </w:rPr>
        <w:t>,</w:t>
      </w:r>
      <w:r w:rsidR="0018485E" w:rsidRPr="00AF48A3">
        <w:rPr>
          <w:rStyle w:val="FootnoteReference"/>
        </w:rPr>
        <w:footnoteReference w:id="9"/>
      </w:r>
      <w:r>
        <w:t xml:space="preserve"> The WSQ makes single modules or groups of modules </w:t>
      </w:r>
      <w:r w:rsidR="00462BCC">
        <w:t xml:space="preserve">available </w:t>
      </w:r>
      <w:r w:rsidR="0099162A">
        <w:t>for use</w:t>
      </w:r>
      <w:r w:rsidR="00462BCC">
        <w:t xml:space="preserve"> as stand-</w:t>
      </w:r>
      <w:r>
        <w:t>alone modules or</w:t>
      </w:r>
      <w:r w:rsidR="0099162A">
        <w:t xml:space="preserve"> for the construction of</w:t>
      </w:r>
      <w:r>
        <w:t xml:space="preserve"> full qualifications. Recognition of prior learning (including work experience) and prior credentials can also be used. Assessment is based on demonstrated performance of competencie</w:t>
      </w:r>
      <w:r w:rsidR="0099162A">
        <w:t>s to industry agreed standards.</w:t>
      </w:r>
    </w:p>
    <w:p w:rsidR="00243D99" w:rsidRDefault="009B3377" w:rsidP="00243D99">
      <w:pPr>
        <w:pStyle w:val="Text"/>
      </w:pPr>
      <w:r>
        <w:t xml:space="preserve">The framework comprises </w:t>
      </w:r>
      <w:r w:rsidR="00056F50">
        <w:t>foundation competencies and industry and occupational competencies. F</w:t>
      </w:r>
      <w:r>
        <w:t>oundation competencies</w:t>
      </w:r>
      <w:r w:rsidR="00056F50">
        <w:t xml:space="preserve"> are those</w:t>
      </w:r>
      <w:r>
        <w:t xml:space="preserve"> that can be transferred to different occupations and industry sectors</w:t>
      </w:r>
      <w:r w:rsidR="00056F50">
        <w:t xml:space="preserve">, including </w:t>
      </w:r>
      <w:r w:rsidR="00462BCC">
        <w:t xml:space="preserve">the </w:t>
      </w:r>
      <w:r w:rsidR="0051237D">
        <w:t xml:space="preserve">skills, knowledge and attributes that </w:t>
      </w:r>
      <w:r w:rsidR="00056F50">
        <w:t xml:space="preserve">help workers </w:t>
      </w:r>
      <w:r w:rsidR="0051237D">
        <w:t>to adapt to new challenges in the workplace</w:t>
      </w:r>
      <w:r w:rsidR="00056F50">
        <w:t xml:space="preserve"> </w:t>
      </w:r>
      <w:r w:rsidR="00462BCC">
        <w:t xml:space="preserve">in </w:t>
      </w:r>
      <w:r w:rsidR="00056F50">
        <w:t>their progression through employment</w:t>
      </w:r>
      <w:r w:rsidR="0051237D">
        <w:t>. I</w:t>
      </w:r>
      <w:r>
        <w:t xml:space="preserve">ndustry </w:t>
      </w:r>
      <w:r w:rsidR="0051237D">
        <w:t xml:space="preserve">and occupational </w:t>
      </w:r>
      <w:r>
        <w:t>competencies</w:t>
      </w:r>
      <w:r w:rsidR="0051237D">
        <w:t xml:space="preserve"> identify </w:t>
      </w:r>
      <w:r w:rsidR="00405784">
        <w:t xml:space="preserve">the </w:t>
      </w:r>
      <w:r w:rsidR="0051237D">
        <w:t>different industry capabilities</w:t>
      </w:r>
      <w:r>
        <w:t xml:space="preserve"> and </w:t>
      </w:r>
      <w:r w:rsidR="0051237D">
        <w:t xml:space="preserve">skills required to </w:t>
      </w:r>
      <w:r w:rsidR="00405784">
        <w:t>undertake</w:t>
      </w:r>
      <w:r w:rsidR="0051237D">
        <w:t xml:space="preserve"> specific jobs. </w:t>
      </w:r>
      <w:r w:rsidR="0099162A">
        <w:t>Thirty-three</w:t>
      </w:r>
      <w:r w:rsidR="0051237D">
        <w:t xml:space="preserve"> WSQ frameworks </w:t>
      </w:r>
      <w:r w:rsidR="0024046D">
        <w:t xml:space="preserve">for </w:t>
      </w:r>
      <w:r w:rsidR="00056F50">
        <w:t>qualification</w:t>
      </w:r>
      <w:r w:rsidR="00405784">
        <w:t>s</w:t>
      </w:r>
      <w:r w:rsidR="00056F50">
        <w:t xml:space="preserve"> </w:t>
      </w:r>
      <w:r w:rsidR="0051237D">
        <w:t>have been developed by government</w:t>
      </w:r>
      <w:r w:rsidR="00313387">
        <w:t>,</w:t>
      </w:r>
      <w:r w:rsidR="0051237D">
        <w:t xml:space="preserve"> in conjunction with </w:t>
      </w:r>
      <w:r w:rsidR="00405784">
        <w:t xml:space="preserve">the </w:t>
      </w:r>
      <w:r w:rsidR="0051237D">
        <w:t>Industry Skills and Training Council (comprising employers, industry associations, training organisations and unions</w:t>
      </w:r>
      <w:r w:rsidR="0024046D">
        <w:t>)</w:t>
      </w:r>
      <w:r w:rsidR="0051237D">
        <w:t xml:space="preserve">. Employability skills </w:t>
      </w:r>
      <w:r w:rsidR="00243D99">
        <w:t xml:space="preserve">identified for the WSQ comprise </w:t>
      </w:r>
      <w:r w:rsidR="00405784">
        <w:t>higher-</w:t>
      </w:r>
      <w:r w:rsidR="00243D99" w:rsidRPr="00243D99">
        <w:t>order thinking skill</w:t>
      </w:r>
      <w:r w:rsidR="00313387">
        <w:t>s</w:t>
      </w:r>
      <w:r w:rsidR="00243D99" w:rsidRPr="00243D99">
        <w:t xml:space="preserve"> for </w:t>
      </w:r>
      <w:r w:rsidR="00243D99">
        <w:t>professionals, managers and executives (PMEs)</w:t>
      </w:r>
      <w:r w:rsidR="00243D99" w:rsidRPr="00243D99">
        <w:t xml:space="preserve">, </w:t>
      </w:r>
      <w:r w:rsidR="00056F50">
        <w:t xml:space="preserve">and </w:t>
      </w:r>
      <w:r w:rsidR="00243D99" w:rsidRPr="00243D99">
        <w:t>critical workplace skills</w:t>
      </w:r>
      <w:r w:rsidR="00405784">
        <w:t>,</w:t>
      </w:r>
      <w:r w:rsidR="00243D99">
        <w:t xml:space="preserve"> including workplace English and mathematics</w:t>
      </w:r>
      <w:r w:rsidR="00243D99" w:rsidRPr="00243D99">
        <w:t xml:space="preserve"> for </w:t>
      </w:r>
      <w:r w:rsidR="00243D99">
        <w:t>ordinary workers</w:t>
      </w:r>
      <w:r w:rsidR="00056F50">
        <w:t xml:space="preserve">. </w:t>
      </w:r>
      <w:r w:rsidR="00CF18BF">
        <w:t>Other employability skills include Chinese business language skills</w:t>
      </w:r>
      <w:r w:rsidR="00CF18BF" w:rsidRPr="00243D99">
        <w:t>.</w:t>
      </w:r>
    </w:p>
    <w:p w:rsidR="004E7C65" w:rsidRDefault="004E7C65" w:rsidP="00243D99">
      <w:pPr>
        <w:pStyle w:val="Text"/>
      </w:pPr>
      <w:r>
        <w:t xml:space="preserve">Recently there has been an attempt to use the structures of other </w:t>
      </w:r>
      <w:r w:rsidR="00BF0E74">
        <w:t>qualifications framework</w:t>
      </w:r>
      <w:r>
        <w:t>s to develop some level descriptors for the WSQ qualifications: certificates, higher certificates, advanced certificates, professional diplomas, specialist diplomas, and graduate certificates and diplomas</w:t>
      </w:r>
      <w:r w:rsidR="00405784">
        <w:t>.</w:t>
      </w:r>
      <w:r w:rsidR="0018485E">
        <w:rPr>
          <w:rStyle w:val="FootnoteReference"/>
        </w:rPr>
        <w:footnoteReference w:id="10"/>
      </w:r>
      <w:r>
        <w:t xml:space="preserve"> Certifica</w:t>
      </w:r>
      <w:r w:rsidR="00405784">
        <w:t>tes have been placed at level 1;</w:t>
      </w:r>
      <w:r>
        <w:t xml:space="preserve"> graduate certificates and diplomas at level 6. </w:t>
      </w:r>
      <w:r w:rsidR="005129ED">
        <w:t>L</w:t>
      </w:r>
      <w:r>
        <w:t xml:space="preserve">earning outcomes and level descriptors </w:t>
      </w:r>
      <w:r w:rsidR="005129ED">
        <w:t>have also</w:t>
      </w:r>
      <w:r w:rsidR="0099162A">
        <w:t xml:space="preserve"> been draf</w:t>
      </w:r>
      <w:r w:rsidR="005129ED">
        <w:t xml:space="preserve">ted to </w:t>
      </w:r>
      <w:r>
        <w:t>describe what an individual needs to be able to know and do</w:t>
      </w:r>
      <w:r w:rsidR="00405784">
        <w:t>,</w:t>
      </w:r>
      <w:r>
        <w:t xml:space="preserve"> with level 1 representing the lowest complexity and level 6 the highest complexity. The </w:t>
      </w:r>
      <w:r w:rsidR="005129ED">
        <w:t>W</w:t>
      </w:r>
      <w:r w:rsidR="0024046D">
        <w:t>S</w:t>
      </w:r>
      <w:r w:rsidR="005129ED">
        <w:t xml:space="preserve">Q </w:t>
      </w:r>
      <w:r>
        <w:t>learning outcomes</w:t>
      </w:r>
      <w:r w:rsidR="0099162A">
        <w:t xml:space="preserve"> are</w:t>
      </w:r>
      <w:r w:rsidR="005129ED">
        <w:t xml:space="preserve">: </w:t>
      </w:r>
      <w:r>
        <w:t>application of skills/nature of work, knowledge, work activities and accountability, supervision, and problem-solving.</w:t>
      </w:r>
    </w:p>
    <w:p w:rsidR="00405784" w:rsidRDefault="00474AFB" w:rsidP="00405784">
      <w:pPr>
        <w:pStyle w:val="Heading3"/>
      </w:pPr>
      <w:r w:rsidRPr="00474AFB">
        <w:t>Ontario, Canada</w:t>
      </w:r>
    </w:p>
    <w:p w:rsidR="00474AFB" w:rsidRPr="004739F8" w:rsidRDefault="00474AFB" w:rsidP="00A04FAB">
      <w:pPr>
        <w:pStyle w:val="Textlessbefore"/>
      </w:pPr>
      <w:r w:rsidRPr="00E0408B">
        <w:t>The Ontario Qualifications Framework (OQF)</w:t>
      </w:r>
      <w:r>
        <w:t>, developed by</w:t>
      </w:r>
      <w:r w:rsidR="00313387">
        <w:t xml:space="preserve"> the</w:t>
      </w:r>
      <w:r>
        <w:t xml:space="preserve"> government, has 13 levels covering all post-secondary qualifications and apprenticeship certificates</w:t>
      </w:r>
      <w:r w:rsidR="00405784">
        <w:t>.</w:t>
      </w:r>
      <w:r>
        <w:rPr>
          <w:rStyle w:val="FootnoteReference"/>
        </w:rPr>
        <w:footnoteReference w:id="11"/>
      </w:r>
      <w:r>
        <w:t xml:space="preserve"> </w:t>
      </w:r>
      <w:r w:rsidRPr="00E0408B">
        <w:t xml:space="preserve">The </w:t>
      </w:r>
      <w:r w:rsidR="00405784">
        <w:t>framework</w:t>
      </w:r>
      <w:r w:rsidRPr="00E0408B">
        <w:t xml:space="preserve"> includes the qualifications for private career colleges, </w:t>
      </w:r>
      <w:r>
        <w:t>those</w:t>
      </w:r>
      <w:r w:rsidR="00405784">
        <w:t xml:space="preserve"> awarded by publicly </w:t>
      </w:r>
      <w:r w:rsidRPr="00E0408B">
        <w:t>assisted colleges of applied arts and technolog</w:t>
      </w:r>
      <w:r>
        <w:t>ies</w:t>
      </w:r>
      <w:r w:rsidRPr="00E0408B">
        <w:t xml:space="preserve"> (CAATs) </w:t>
      </w:r>
      <w:r w:rsidR="00405784">
        <w:t xml:space="preserve">and degrees offered by publicly </w:t>
      </w:r>
      <w:r w:rsidRPr="00E0408B">
        <w:t>assisted</w:t>
      </w:r>
      <w:r w:rsidR="00405784">
        <w:t xml:space="preserve"> universities and other authoris</w:t>
      </w:r>
      <w:r w:rsidRPr="00E0408B">
        <w:t>ed providers.</w:t>
      </w:r>
      <w:r>
        <w:t xml:space="preserve"> </w:t>
      </w:r>
      <w:r w:rsidRPr="00E0408B">
        <w:t>The O</w:t>
      </w:r>
      <w:r w:rsidR="00405784">
        <w:t>ntario framework</w:t>
      </w:r>
      <w:r w:rsidRPr="00E0408B">
        <w:t xml:space="preserve"> describes the main purposes and </w:t>
      </w:r>
      <w:r>
        <w:t>characteristics</w:t>
      </w:r>
      <w:r w:rsidRPr="00E0408B">
        <w:t xml:space="preserve"> of each credential</w:t>
      </w:r>
      <w:r>
        <w:t xml:space="preserve">, including </w:t>
      </w:r>
      <w:r w:rsidRPr="00E0408B">
        <w:t xml:space="preserve">the knowledge and skills expected of </w:t>
      </w:r>
      <w:r>
        <w:t xml:space="preserve">qualification holders, and the relationship between the qualifications. Qualification levels in the </w:t>
      </w:r>
      <w:r w:rsidR="00405784">
        <w:t>framework</w:t>
      </w:r>
      <w:r>
        <w:t xml:space="preserve"> comprise increasingly more complex cognitive knowledge and skills than the levels preceding. Qualifications are described in terms of overall program design and outcome emphasis, preparation for employment and further study, typical duration, admission requirements, provider, and qualification awarded. The </w:t>
      </w:r>
      <w:r w:rsidR="00405784">
        <w:t>framework</w:t>
      </w:r>
      <w:r>
        <w:t xml:space="preserve"> also identifies </w:t>
      </w:r>
      <w:r>
        <w:lastRenderedPageBreak/>
        <w:t>the skill and knowledge require</w:t>
      </w:r>
      <w:r w:rsidR="0099162A">
        <w:t>ments for trades or occupations</w:t>
      </w:r>
      <w:r>
        <w:t xml:space="preserve"> </w:t>
      </w:r>
      <w:r w:rsidR="0099162A">
        <w:t>(</w:t>
      </w:r>
      <w:r>
        <w:t>as described in national or provincial training or occupational standards</w:t>
      </w:r>
      <w:r w:rsidR="0099162A">
        <w:t>)</w:t>
      </w:r>
      <w:r>
        <w:t xml:space="preserve">, conceptual and </w:t>
      </w:r>
      <w:r w:rsidRPr="004739F8">
        <w:t xml:space="preserve">methodological awareness, communication skills, </w:t>
      </w:r>
      <w:r w:rsidR="00DB5583" w:rsidRPr="004739F8">
        <w:t xml:space="preserve">and </w:t>
      </w:r>
      <w:r w:rsidRPr="004739F8">
        <w:t>application of knowledge</w:t>
      </w:r>
      <w:r w:rsidR="00DB5583" w:rsidRPr="004739F8">
        <w:t>. It also describes</w:t>
      </w:r>
      <w:r w:rsidR="00313387">
        <w:t xml:space="preserve"> the</w:t>
      </w:r>
      <w:r w:rsidR="00DB5583" w:rsidRPr="004739F8">
        <w:t xml:space="preserve"> requirements for</w:t>
      </w:r>
      <w:r w:rsidR="004F7A35">
        <w:t xml:space="preserve"> </w:t>
      </w:r>
      <w:r w:rsidRPr="004739F8">
        <w:t xml:space="preserve">professional capacity/autonomy, </w:t>
      </w:r>
      <w:r w:rsidR="00DB5583" w:rsidRPr="004739F8">
        <w:t xml:space="preserve">and </w:t>
      </w:r>
      <w:r w:rsidRPr="004739F8">
        <w:t>awareness of limits of knowledge</w:t>
      </w:r>
      <w:r w:rsidR="00DB5583" w:rsidRPr="004739F8">
        <w:t>.</w:t>
      </w:r>
      <w:r w:rsidR="004F7A35">
        <w:t xml:space="preserve"> </w:t>
      </w:r>
      <w:r w:rsidR="00313387">
        <w:t>The q</w:t>
      </w:r>
      <w:r w:rsidRPr="004739F8">
        <w:t xml:space="preserve">ualification standards </w:t>
      </w:r>
      <w:r w:rsidR="00DB5583" w:rsidRPr="004739F8">
        <w:t xml:space="preserve">also </w:t>
      </w:r>
      <w:r w:rsidRPr="004739F8">
        <w:t xml:space="preserve">refer to the </w:t>
      </w:r>
      <w:r w:rsidR="0024046D" w:rsidRPr="004739F8">
        <w:t>generic competencies</w:t>
      </w:r>
      <w:r w:rsidR="00E72B49" w:rsidRPr="004739F8">
        <w:t>,</w:t>
      </w:r>
      <w:r w:rsidR="0024046D" w:rsidRPr="004739F8">
        <w:t xml:space="preserve"> including </w:t>
      </w:r>
      <w:r w:rsidR="00E72B49" w:rsidRPr="004739F8">
        <w:t xml:space="preserve">the </w:t>
      </w:r>
      <w:r w:rsidRPr="004739F8">
        <w:t xml:space="preserve">depth and breadth of knowledge defined in </w:t>
      </w:r>
      <w:r w:rsidR="00DB5583" w:rsidRPr="004739F8">
        <w:t xml:space="preserve">the </w:t>
      </w:r>
      <w:r w:rsidRPr="004739F8">
        <w:t>provincial standards</w:t>
      </w:r>
      <w:r w:rsidR="00DB5583" w:rsidRPr="004739F8">
        <w:t>.</w:t>
      </w:r>
      <w:r w:rsidRPr="004739F8">
        <w:t xml:space="preserve"> </w:t>
      </w:r>
    </w:p>
    <w:p w:rsidR="00474AFB" w:rsidRPr="00E0408B" w:rsidRDefault="00474AFB" w:rsidP="00474AFB">
      <w:pPr>
        <w:pStyle w:val="Text"/>
      </w:pPr>
      <w:r w:rsidRPr="004739F8">
        <w:t>The Ministry of Training, Colleges and Universities awards the Certificate of Apprenticeship and</w:t>
      </w:r>
      <w:r w:rsidRPr="00E0408B">
        <w:t xml:space="preserve"> Certificate of Qualification as a part of the </w:t>
      </w:r>
      <w:r w:rsidRPr="00E72B49">
        <w:rPr>
          <w:i/>
        </w:rPr>
        <w:t>Trades Quali</w:t>
      </w:r>
      <w:r w:rsidR="00E72B49" w:rsidRPr="00E72B49">
        <w:rPr>
          <w:i/>
        </w:rPr>
        <w:t>fication and Apprenticeship Act</w:t>
      </w:r>
      <w:r w:rsidRPr="00E72B49">
        <w:rPr>
          <w:i/>
        </w:rPr>
        <w:t xml:space="preserve"> 1990</w:t>
      </w:r>
      <w:r w:rsidRPr="00E0408B">
        <w:t xml:space="preserve"> and the </w:t>
      </w:r>
      <w:r w:rsidRPr="00E72B49">
        <w:rPr>
          <w:i/>
        </w:rPr>
        <w:t>Appre</w:t>
      </w:r>
      <w:r w:rsidR="00E72B49" w:rsidRPr="00E72B49">
        <w:rPr>
          <w:i/>
        </w:rPr>
        <w:t>nticeship and Certification Act</w:t>
      </w:r>
      <w:r w:rsidRPr="00E72B49">
        <w:rPr>
          <w:i/>
        </w:rPr>
        <w:t xml:space="preserve"> 1998</w:t>
      </w:r>
      <w:r w:rsidRPr="00E0408B">
        <w:t>. Approved training</w:t>
      </w:r>
      <w:r w:rsidR="00E72B49">
        <w:t xml:space="preserve"> delivery providers are authoris</w:t>
      </w:r>
      <w:r w:rsidRPr="00E0408B">
        <w:t>ed to deliver apprenticeship programs.</w:t>
      </w:r>
    </w:p>
    <w:p w:rsidR="005129ED" w:rsidRDefault="005129ED" w:rsidP="005129ED">
      <w:pPr>
        <w:pStyle w:val="Heading2"/>
      </w:pPr>
      <w:bookmarkStart w:id="40" w:name="_Toc406514234"/>
      <w:r>
        <w:t>Lessons learned</w:t>
      </w:r>
      <w:bookmarkEnd w:id="40"/>
    </w:p>
    <w:p w:rsidR="00A2239A" w:rsidRDefault="00AE7D4A" w:rsidP="00A04FAB">
      <w:pPr>
        <w:pStyle w:val="Text"/>
        <w:ind w:right="-143"/>
      </w:pPr>
      <w:r>
        <w:t>The f</w:t>
      </w:r>
      <w:r w:rsidR="005129ED">
        <w:t xml:space="preserve">ormal frameworks developed or being developed </w:t>
      </w:r>
      <w:r w:rsidR="00A97996">
        <w:t xml:space="preserve">overseas and </w:t>
      </w:r>
      <w:r w:rsidR="00E72B49">
        <w:t>in Australia</w:t>
      </w:r>
      <w:r w:rsidR="00A97996">
        <w:t xml:space="preserve"> have similar characteristics. </w:t>
      </w:r>
      <w:r w:rsidR="00E72B49">
        <w:t>In the main t</w:t>
      </w:r>
      <w:r w:rsidR="00A97996">
        <w:t>hey have adopted learning outcomes and descriptors for different qualification types and levels</w:t>
      </w:r>
      <w:r w:rsidR="00022DC5">
        <w:t xml:space="preserve"> and have identified the relationships between different qualifications</w:t>
      </w:r>
      <w:r w:rsidR="00A97996">
        <w:t xml:space="preserve">. </w:t>
      </w:r>
      <w:r>
        <w:t>Having</w:t>
      </w:r>
      <w:r w:rsidR="00A97996">
        <w:t xml:space="preserve"> frameworks </w:t>
      </w:r>
      <w:r>
        <w:t>in place</w:t>
      </w:r>
      <w:r w:rsidR="00A97996">
        <w:t xml:space="preserve"> enables jurisdictions to reflect on the currency of their qualifications</w:t>
      </w:r>
      <w:r w:rsidR="00313387">
        <w:t>,</w:t>
      </w:r>
      <w:r w:rsidR="00022DC5">
        <w:t xml:space="preserve"> and in</w:t>
      </w:r>
      <w:r w:rsidR="00A04FAB">
        <w:t> </w:t>
      </w:r>
      <w:r w:rsidR="00022DC5">
        <w:t xml:space="preserve">some regions </w:t>
      </w:r>
      <w:r>
        <w:t>such as</w:t>
      </w:r>
      <w:r w:rsidR="00022DC5">
        <w:t xml:space="preserve"> the European Union </w:t>
      </w:r>
      <w:r w:rsidR="00E72B49">
        <w:t xml:space="preserve">they </w:t>
      </w:r>
      <w:r w:rsidR="00022DC5">
        <w:t>reference their systems to an overarching framework</w:t>
      </w:r>
      <w:r w:rsidR="00951B3E">
        <w:t xml:space="preserve">. </w:t>
      </w:r>
    </w:p>
    <w:p w:rsidR="00A2239A" w:rsidRDefault="00951B3E" w:rsidP="00A2239A">
      <w:pPr>
        <w:pStyle w:val="Text"/>
      </w:pPr>
      <w:r>
        <w:t xml:space="preserve">The </w:t>
      </w:r>
      <w:r w:rsidR="00AE7D4A">
        <w:t>role</w:t>
      </w:r>
      <w:r>
        <w:t xml:space="preserve"> of level descriptors is </w:t>
      </w:r>
      <w:r w:rsidR="00313387">
        <w:t xml:space="preserve">to signal </w:t>
      </w:r>
      <w:r>
        <w:t xml:space="preserve">what a graduate of a qualification </w:t>
      </w:r>
      <w:r w:rsidR="00AE7D4A">
        <w:t>should</w:t>
      </w:r>
      <w:r>
        <w:t xml:space="preserve"> </w:t>
      </w:r>
      <w:r w:rsidR="00022DC5">
        <w:t xml:space="preserve">know and </w:t>
      </w:r>
      <w:r w:rsidR="00AE7D4A">
        <w:t>be able to accomplish</w:t>
      </w:r>
      <w:r w:rsidR="00022DC5">
        <w:t xml:space="preserve">. </w:t>
      </w:r>
      <w:r w:rsidR="00313387">
        <w:t>Nevertheless,</w:t>
      </w:r>
      <w:r w:rsidR="00E72B49">
        <w:t xml:space="preserve"> high-</w:t>
      </w:r>
      <w:r>
        <w:t>level descriptors</w:t>
      </w:r>
      <w:r w:rsidR="00E72B49">
        <w:t>,</w:t>
      </w:r>
      <w:r>
        <w:t xml:space="preserve"> </w:t>
      </w:r>
      <w:r w:rsidR="00022DC5">
        <w:t>although providing some important signposts</w:t>
      </w:r>
      <w:r w:rsidR="00E72B49">
        <w:t>,</w:t>
      </w:r>
      <w:r w:rsidR="00022DC5">
        <w:t xml:space="preserve"> </w:t>
      </w:r>
      <w:r>
        <w:t xml:space="preserve">cannot </w:t>
      </w:r>
      <w:r w:rsidR="00022DC5">
        <w:t xml:space="preserve">fully describe what can </w:t>
      </w:r>
      <w:r w:rsidR="00E72B49">
        <w:t xml:space="preserve">be </w:t>
      </w:r>
      <w:r w:rsidR="00022DC5">
        <w:t>expect</w:t>
      </w:r>
      <w:r w:rsidR="00E72B49">
        <w:t>ed</w:t>
      </w:r>
      <w:r w:rsidR="00022DC5">
        <w:t xml:space="preserve"> from an individual </w:t>
      </w:r>
      <w:r w:rsidR="00E72B49">
        <w:t>who has gained the qualification. Furthermore, it is not possible for t</w:t>
      </w:r>
      <w:r w:rsidR="00022DC5">
        <w:t>he</w:t>
      </w:r>
      <w:r w:rsidR="00E72B49">
        <w:t xml:space="preserve"> descriptors</w:t>
      </w:r>
      <w:r w:rsidR="00022DC5">
        <w:t xml:space="preserve"> to provide enough information for </w:t>
      </w:r>
      <w:r w:rsidR="009E3303">
        <w:t xml:space="preserve">training practitioners in the classroom or workplace. This is because </w:t>
      </w:r>
      <w:r w:rsidR="00022DC5">
        <w:t>m</w:t>
      </w:r>
      <w:r>
        <w:t xml:space="preserve">ore detailed specifications are required to </w:t>
      </w:r>
      <w:r w:rsidR="00AE7D4A">
        <w:t>completely</w:t>
      </w:r>
      <w:r>
        <w:t xml:space="preserve"> signal what is </w:t>
      </w:r>
      <w:r w:rsidR="00AE7D4A">
        <w:t>encapsulated by</w:t>
      </w:r>
      <w:r>
        <w:t xml:space="preserve"> </w:t>
      </w:r>
      <w:r w:rsidR="00022DC5">
        <w:t>a q</w:t>
      </w:r>
      <w:r w:rsidR="00AE7D4A">
        <w:t>ualification</w:t>
      </w:r>
      <w:r w:rsidR="00022DC5">
        <w:t xml:space="preserve">. </w:t>
      </w:r>
      <w:r>
        <w:t xml:space="preserve">In some countries </w:t>
      </w:r>
      <w:r w:rsidR="00742B84">
        <w:t>these</w:t>
      </w:r>
      <w:r>
        <w:t xml:space="preserve"> specifications are found in </w:t>
      </w:r>
      <w:r w:rsidR="009E3303">
        <w:t xml:space="preserve">occupational and industry standards; in others they are based on </w:t>
      </w:r>
      <w:r>
        <w:t>educational standards</w:t>
      </w:r>
      <w:r w:rsidR="009E3303">
        <w:t xml:space="preserve"> or embedded in national core curricula. </w:t>
      </w:r>
      <w:r>
        <w:t xml:space="preserve">In </w:t>
      </w:r>
      <w:r w:rsidR="009E3303">
        <w:t xml:space="preserve">the majority of </w:t>
      </w:r>
      <w:r>
        <w:t xml:space="preserve">cases the involvement of industry stakeholder groups </w:t>
      </w:r>
      <w:r w:rsidR="009E3303">
        <w:t>in the development of standards is required.</w:t>
      </w:r>
    </w:p>
    <w:p w:rsidR="0033421B" w:rsidRDefault="0033421B" w:rsidP="00A2239A">
      <w:pPr>
        <w:pStyle w:val="Text"/>
      </w:pPr>
    </w:p>
    <w:p w:rsidR="008D3242" w:rsidRDefault="008D3242">
      <w:pPr>
        <w:spacing w:before="0" w:line="240" w:lineRule="auto"/>
        <w:rPr>
          <w:rFonts w:ascii="Tahoma" w:hAnsi="Tahoma" w:cs="Tahoma"/>
          <w:color w:val="000000"/>
          <w:kern w:val="28"/>
          <w:sz w:val="56"/>
          <w:szCs w:val="56"/>
        </w:rPr>
      </w:pPr>
      <w:r>
        <w:br w:type="page"/>
      </w:r>
    </w:p>
    <w:p w:rsidR="00F14316" w:rsidRPr="00CD7D23" w:rsidRDefault="004200B5" w:rsidP="00CD7D23">
      <w:pPr>
        <w:pStyle w:val="Heading1"/>
        <w:rPr>
          <w:sz w:val="28"/>
        </w:rPr>
      </w:pPr>
      <w:bookmarkStart w:id="41" w:name="_Toc406514235"/>
      <w:r>
        <w:lastRenderedPageBreak/>
        <w:t>Develop</w:t>
      </w:r>
      <w:r w:rsidR="00BA44A8">
        <w:t>ing</w:t>
      </w:r>
      <w:r w:rsidR="00AD0DB2">
        <w:t xml:space="preserve">, </w:t>
      </w:r>
      <w:r>
        <w:t>approving</w:t>
      </w:r>
      <w:r w:rsidR="0089721C">
        <w:t xml:space="preserve"> </w:t>
      </w:r>
      <w:r w:rsidR="00AD0DB2">
        <w:t>and rationalising</w:t>
      </w:r>
      <w:r w:rsidR="002D0279">
        <w:t xml:space="preserve"> </w:t>
      </w:r>
      <w:r w:rsidR="0065338B">
        <w:t>q</w:t>
      </w:r>
      <w:r w:rsidR="00CE2203">
        <w:t>u</w:t>
      </w:r>
      <w:r w:rsidR="00F14316">
        <w:t>alification</w:t>
      </w:r>
      <w:r w:rsidR="0018006E">
        <w:t>s</w:t>
      </w:r>
      <w:bookmarkEnd w:id="41"/>
      <w:r w:rsidR="0018006E">
        <w:t xml:space="preserve"> </w:t>
      </w:r>
    </w:p>
    <w:p w:rsidR="00C32532" w:rsidRDefault="008D3242" w:rsidP="00C32532">
      <w:pPr>
        <w:pStyle w:val="Text"/>
      </w:pPr>
      <w:r>
        <w:t xml:space="preserve">The development and approval of qualifications refers to how qualifications are created and endorsed by governments or bodies that have been delegated this responsibility. </w:t>
      </w:r>
      <w:r w:rsidR="0089721C">
        <w:t xml:space="preserve">The rationalising of qualifications refers to the </w:t>
      </w:r>
      <w:r w:rsidR="00742B84">
        <w:t xml:space="preserve">process of </w:t>
      </w:r>
      <w:r w:rsidR="00313387">
        <w:t>combining</w:t>
      </w:r>
      <w:r w:rsidR="0089721C">
        <w:t xml:space="preserve"> similar qualifications and the removal of qualifications no longer </w:t>
      </w:r>
      <w:r w:rsidR="00156019">
        <w:t>required</w:t>
      </w:r>
      <w:r w:rsidR="0089721C">
        <w:t xml:space="preserve">. </w:t>
      </w:r>
      <w:r>
        <w:t>Although we are mainly interested in accredited qualifications</w:t>
      </w:r>
      <w:r w:rsidR="00156019">
        <w:t>,</w:t>
      </w:r>
      <w:r>
        <w:t xml:space="preserve"> it is important to note that increasingly there is a move in some European member states (for example, Finland and France) to expand the scope of recognised qualifications so that </w:t>
      </w:r>
      <w:r w:rsidR="00156019">
        <w:t xml:space="preserve">the </w:t>
      </w:r>
      <w:r>
        <w:t xml:space="preserve">qualifications and learning </w:t>
      </w:r>
      <w:r w:rsidR="00742B84">
        <w:t>gained in</w:t>
      </w:r>
      <w:r>
        <w:t xml:space="preserve"> non-regulated sectors can also form part of </w:t>
      </w:r>
      <w:r w:rsidR="004E5BD0">
        <w:t xml:space="preserve">accredited </w:t>
      </w:r>
      <w:r>
        <w:t>qualification</w:t>
      </w:r>
      <w:r w:rsidR="00313387">
        <w:t>s</w:t>
      </w:r>
      <w:r>
        <w:t xml:space="preserve"> systems and frameworks</w:t>
      </w:r>
      <w:r w:rsidR="004E5BD0">
        <w:t>, mainly through the recognition</w:t>
      </w:r>
      <w:r w:rsidR="00A2239A">
        <w:t xml:space="preserve"> (the term </w:t>
      </w:r>
      <w:r w:rsidR="00C504E2">
        <w:t>‘</w:t>
      </w:r>
      <w:r w:rsidR="004E5BD0">
        <w:t>validation</w:t>
      </w:r>
      <w:r w:rsidR="00C504E2">
        <w:t>’</w:t>
      </w:r>
      <w:r w:rsidR="004E5BD0">
        <w:t xml:space="preserve"> </w:t>
      </w:r>
      <w:r w:rsidR="00A2239A">
        <w:t>is also</w:t>
      </w:r>
      <w:r w:rsidR="00156019">
        <w:t xml:space="preserve"> used</w:t>
      </w:r>
      <w:r w:rsidR="00A2239A">
        <w:t xml:space="preserve">) </w:t>
      </w:r>
      <w:r w:rsidR="004E5BD0">
        <w:t xml:space="preserve">of non-formal and informal </w:t>
      </w:r>
      <w:r w:rsidR="00E80933">
        <w:t xml:space="preserve">prior </w:t>
      </w:r>
      <w:r w:rsidR="004E5BD0">
        <w:t>learning and experience</w:t>
      </w:r>
      <w:r>
        <w:t xml:space="preserve">. </w:t>
      </w:r>
    </w:p>
    <w:p w:rsidR="005A2502" w:rsidRDefault="001C6A73" w:rsidP="001F4059">
      <w:pPr>
        <w:pStyle w:val="Text"/>
      </w:pPr>
      <w:r>
        <w:t xml:space="preserve">For most jurisdictions the first step in the creation of a formal qualification </w:t>
      </w:r>
      <w:r w:rsidR="00742B84">
        <w:t>to</w:t>
      </w:r>
      <w:r>
        <w:t xml:space="preserve"> be presented for accreditation will be to establish </w:t>
      </w:r>
      <w:r w:rsidR="00AC2F43">
        <w:t>the</w:t>
      </w:r>
      <w:r>
        <w:t xml:space="preserve"> need for the q</w:t>
      </w:r>
      <w:r w:rsidR="00156019">
        <w:t>ualification. J</w:t>
      </w:r>
      <w:r>
        <w:t>urisdictions</w:t>
      </w:r>
      <w:r w:rsidR="00742B84">
        <w:t xml:space="preserve"> wishing to en</w:t>
      </w:r>
      <w:r w:rsidR="002F086C" w:rsidRPr="00005EA4">
        <w:t xml:space="preserve">sure they are well prepared to </w:t>
      </w:r>
      <w:r w:rsidR="00156019">
        <w:t>deal with changing skill needs commonly</w:t>
      </w:r>
      <w:r>
        <w:t xml:space="preserve"> </w:t>
      </w:r>
      <w:r w:rsidR="007E2786">
        <w:t xml:space="preserve">gather labour market data </w:t>
      </w:r>
      <w:r w:rsidR="002F086C" w:rsidRPr="00005EA4">
        <w:t>to identify skill shortages and work requirements</w:t>
      </w:r>
      <w:r w:rsidR="00313387">
        <w:t>. Dialogue</w:t>
      </w:r>
      <w:r w:rsidR="007E2786">
        <w:t xml:space="preserve"> with </w:t>
      </w:r>
      <w:r w:rsidR="00A2239A">
        <w:t>industry and other stakeholders</w:t>
      </w:r>
      <w:r w:rsidR="007E2786">
        <w:t xml:space="preserve"> </w:t>
      </w:r>
      <w:r w:rsidR="00156019">
        <w:t>is another means for establishing a need</w:t>
      </w:r>
      <w:r w:rsidR="002F086C" w:rsidRPr="00005EA4">
        <w:t xml:space="preserve">. These </w:t>
      </w:r>
      <w:r w:rsidR="00A2239A">
        <w:t xml:space="preserve">activities are used to gather labour market intelligence </w:t>
      </w:r>
      <w:r w:rsidR="002F086C" w:rsidRPr="00005EA4">
        <w:t>to justify th</w:t>
      </w:r>
      <w:r w:rsidR="001C7B7E">
        <w:t>e need for new qualifications</w:t>
      </w:r>
      <w:r w:rsidR="00A2239A">
        <w:t xml:space="preserve"> or </w:t>
      </w:r>
      <w:r w:rsidR="00742B84">
        <w:t xml:space="preserve">the </w:t>
      </w:r>
      <w:r w:rsidR="00A2239A">
        <w:t>continuation of old ones</w:t>
      </w:r>
      <w:r w:rsidR="001C7B7E">
        <w:t xml:space="preserve">. </w:t>
      </w:r>
    </w:p>
    <w:p w:rsidR="0093135A" w:rsidRDefault="007B74BC" w:rsidP="008D07DC">
      <w:pPr>
        <w:pStyle w:val="Text"/>
        <w:ind w:right="-143"/>
      </w:pPr>
      <w:r>
        <w:t xml:space="preserve">It is also common to base qualifications on industry or occupational competency standards and to involve industry in the development of these standards. </w:t>
      </w:r>
      <w:r w:rsidR="000D2624">
        <w:t xml:space="preserve">There are also wide differences </w:t>
      </w:r>
      <w:r w:rsidR="0093135A">
        <w:t>in the range of</w:t>
      </w:r>
      <w:r w:rsidR="008D07DC">
        <w:t> </w:t>
      </w:r>
      <w:r w:rsidR="0093135A">
        <w:t>qualifications developed</w:t>
      </w:r>
      <w:r w:rsidR="00156019">
        <w:t>,</w:t>
      </w:r>
      <w:r w:rsidR="0093135A">
        <w:t xml:space="preserve"> with some countries preferring to have a range of highly specialised qualifications (for example, United Kingdom) and others a small number of general and broad qualifications (for example, Sweden</w:t>
      </w:r>
      <w:r w:rsidR="001E76EE">
        <w:t xml:space="preserve"> and</w:t>
      </w:r>
      <w:r w:rsidR="005A2502">
        <w:t xml:space="preserve"> Finland</w:t>
      </w:r>
      <w:r w:rsidR="0093135A">
        <w:t>)</w:t>
      </w:r>
      <w:r w:rsidR="001E76EE">
        <w:t>, the latter being</w:t>
      </w:r>
      <w:r w:rsidR="0093135A">
        <w:t xml:space="preserve"> considered to be a more flexible approach. Another approach is to leave decisions about qualification building to the industry sectors</w:t>
      </w:r>
      <w:r w:rsidR="00313387">
        <w:t>,</w:t>
      </w:r>
      <w:r w:rsidR="0093135A">
        <w:t xml:space="preserve"> by </w:t>
      </w:r>
      <w:r w:rsidR="001E76EE">
        <w:t>establishing</w:t>
      </w:r>
      <w:r w:rsidR="0093135A">
        <w:t xml:space="preserve"> banks of units that can be </w:t>
      </w:r>
      <w:r w:rsidR="00742B84">
        <w:t>accessed</w:t>
      </w:r>
      <w:r w:rsidR="0093135A">
        <w:t xml:space="preserve"> to create specific qualifications for different needs.</w:t>
      </w:r>
      <w:r w:rsidR="004928F1">
        <w:t xml:space="preserve"> </w:t>
      </w:r>
    </w:p>
    <w:p w:rsidR="001E76EE" w:rsidRDefault="009E3303" w:rsidP="001E76EE">
      <w:pPr>
        <w:pStyle w:val="Heading3"/>
      </w:pPr>
      <w:r w:rsidRPr="0065338B">
        <w:t>EU member states</w:t>
      </w:r>
    </w:p>
    <w:p w:rsidR="009E3303" w:rsidRDefault="009E3303" w:rsidP="008D07DC">
      <w:pPr>
        <w:pStyle w:val="Textlessbefore"/>
      </w:pPr>
      <w:r>
        <w:t>The CEDEFOP reviews of qualification</w:t>
      </w:r>
      <w:r w:rsidR="00313387">
        <w:t>s</w:t>
      </w:r>
      <w:r>
        <w:t xml:space="preserve"> systems of EU member states (</w:t>
      </w:r>
      <w:r w:rsidR="00DD383E">
        <w:t xml:space="preserve">including </w:t>
      </w:r>
      <w:r>
        <w:t>CEDEFOP 2009</w:t>
      </w:r>
      <w:r w:rsidR="008E2143">
        <w:t>a</w:t>
      </w:r>
      <w:r>
        <w:t xml:space="preserve">, 2010, </w:t>
      </w:r>
      <w:r w:rsidR="001E76EE">
        <w:t>2012a—</w:t>
      </w:r>
      <w:r w:rsidR="000C07E1">
        <w:t>f</w:t>
      </w:r>
      <w:r w:rsidR="00DD383E">
        <w:t xml:space="preserve">, </w:t>
      </w:r>
      <w:r w:rsidR="001E76EE">
        <w:t xml:space="preserve">2012h, </w:t>
      </w:r>
      <w:r w:rsidR="00C04F41">
        <w:t>2014</w:t>
      </w:r>
      <w:r>
        <w:t xml:space="preserve">) have </w:t>
      </w:r>
      <w:r w:rsidR="008C4214">
        <w:t xml:space="preserve">all </w:t>
      </w:r>
      <w:r>
        <w:t>identifie</w:t>
      </w:r>
      <w:r w:rsidR="001E76EE">
        <w:t>d the increased use of outcomes-</w:t>
      </w:r>
      <w:r>
        <w:t xml:space="preserve">oriented or learning outcomes approaches </w:t>
      </w:r>
      <w:r w:rsidR="001E76EE">
        <w:t>in</w:t>
      </w:r>
      <w:r>
        <w:t xml:space="preserve"> the design of qualification</w:t>
      </w:r>
      <w:r w:rsidR="00742B84">
        <w:t>s</w:t>
      </w:r>
      <w:r>
        <w:t xml:space="preserve"> and frameworks.</w:t>
      </w:r>
      <w:r w:rsidR="00742B84">
        <w:t xml:space="preserve"> T</w:t>
      </w:r>
      <w:r>
        <w:t xml:space="preserve">hese outcomes are </w:t>
      </w:r>
      <w:r w:rsidR="00742B84">
        <w:t xml:space="preserve">increasingly being </w:t>
      </w:r>
      <w:r>
        <w:t xml:space="preserve">aligned to standards (including occupational standards or industry standards) </w:t>
      </w:r>
      <w:r w:rsidR="001E76EE">
        <w:t>indicating</w:t>
      </w:r>
      <w:r>
        <w:t xml:space="preserve"> what the </w:t>
      </w:r>
      <w:r w:rsidRPr="004739F8">
        <w:t xml:space="preserve">learner should know and be able to do on the completion of a qualification. Despite the debates </w:t>
      </w:r>
      <w:r w:rsidR="001E76EE" w:rsidRPr="004739F8">
        <w:t xml:space="preserve">in some systems </w:t>
      </w:r>
      <w:r w:rsidR="004739F8" w:rsidRPr="004739F8">
        <w:t>(</w:t>
      </w:r>
      <w:r w:rsidR="00C45F1E" w:rsidRPr="004739F8">
        <w:t xml:space="preserve">for example, </w:t>
      </w:r>
      <w:r w:rsidR="00313387">
        <w:t xml:space="preserve">in </w:t>
      </w:r>
      <w:r w:rsidR="00C45F1E" w:rsidRPr="004739F8">
        <w:t>Australia</w:t>
      </w:r>
      <w:r w:rsidR="00313387">
        <w:t>n systems</w:t>
      </w:r>
      <w:r w:rsidR="00C45F1E" w:rsidRPr="004739F8">
        <w:t>)</w:t>
      </w:r>
      <w:r w:rsidR="009F125A" w:rsidRPr="004739F8">
        <w:t xml:space="preserve"> </w:t>
      </w:r>
      <w:r w:rsidRPr="004739F8">
        <w:t>about the differences between learning outcomes and competency standards, these debates have not been major overseas.</w:t>
      </w:r>
      <w:r w:rsidR="004928F1" w:rsidRPr="004739F8">
        <w:t xml:space="preserve"> </w:t>
      </w:r>
      <w:r w:rsidRPr="004739F8">
        <w:t>Learning outcomes and competencies are used to identify the results of training that aims to prepare individuals with the knowledge and skills that will enable them to successfully enter and progre</w:t>
      </w:r>
      <w:r w:rsidR="00605C17" w:rsidRPr="004739F8">
        <w:t>ss</w:t>
      </w:r>
      <w:r w:rsidR="00605C17">
        <w:t xml:space="preserve"> through employment. While</w:t>
      </w:r>
      <w:r>
        <w:t xml:space="preserve"> occupational standards define what </w:t>
      </w:r>
      <w:r w:rsidR="00605C17">
        <w:t xml:space="preserve">should be encompassed by </w:t>
      </w:r>
      <w:r>
        <w:t>a certain ro</w:t>
      </w:r>
      <w:r w:rsidR="00605C17">
        <w:t>le</w:t>
      </w:r>
      <w:r>
        <w:t>,</w:t>
      </w:r>
      <w:r w:rsidR="00605C17">
        <w:t xml:space="preserve"> educational standards are focu</w:t>
      </w:r>
      <w:r>
        <w:t>sed on inputs</w:t>
      </w:r>
      <w:r w:rsidR="00605C17">
        <w:t>;</w:t>
      </w:r>
      <w:r>
        <w:t xml:space="preserve"> for example, </w:t>
      </w:r>
      <w:r w:rsidR="00605C17">
        <w:t xml:space="preserve">the </w:t>
      </w:r>
      <w:r>
        <w:t xml:space="preserve">teaching and qualifications specifications </w:t>
      </w:r>
      <w:r w:rsidR="00605C17">
        <w:t xml:space="preserve">relating to </w:t>
      </w:r>
      <w:r>
        <w:t xml:space="preserve">the content of the training, the delivery of the training and the assessment of the training. </w:t>
      </w:r>
    </w:p>
    <w:p w:rsidR="00F41C67" w:rsidRPr="008D07DC" w:rsidRDefault="00F41C67" w:rsidP="008D07DC">
      <w:pPr>
        <w:pStyle w:val="Text"/>
      </w:pPr>
      <w:r>
        <w:t>The use of occupational standards to inform the development of qualifications and educational standard</w:t>
      </w:r>
      <w:r w:rsidR="00F07FBD">
        <w:t>s</w:t>
      </w:r>
      <w:r>
        <w:t xml:space="preserve"> is relatively widespread. According to CEDEFOP (2010</w:t>
      </w:r>
      <w:r w:rsidR="00605C17">
        <w:t>h</w:t>
      </w:r>
      <w:r>
        <w:t xml:space="preserve">) occupational standards </w:t>
      </w:r>
      <w:r w:rsidR="00C504E2">
        <w:t>‘</w:t>
      </w:r>
      <w:r>
        <w:t xml:space="preserve">exist in one way or another in all European countries, but each nation has its own style of derivation and </w:t>
      </w:r>
      <w:r>
        <w:lastRenderedPageBreak/>
        <w:t>presentation of the standards</w:t>
      </w:r>
      <w:r w:rsidR="00C504E2">
        <w:t>’</w:t>
      </w:r>
      <w:r>
        <w:t xml:space="preserve"> (CEDEFOP 2010</w:t>
      </w:r>
      <w:r w:rsidR="00605C17">
        <w:t>h,</w:t>
      </w:r>
      <w:r>
        <w:t xml:space="preserve"> p</w:t>
      </w:r>
      <w:r w:rsidR="00605C17">
        <w:t>.</w:t>
      </w:r>
      <w:r>
        <w:t xml:space="preserve">147). Occupational standards are generally based on a functional analysis of </w:t>
      </w:r>
      <w:r w:rsidR="00605C17">
        <w:t>the required</w:t>
      </w:r>
      <w:r>
        <w:t xml:space="preserve"> roles and </w:t>
      </w:r>
      <w:r w:rsidR="00742B84">
        <w:t xml:space="preserve">the </w:t>
      </w:r>
      <w:r>
        <w:t>associat</w:t>
      </w:r>
      <w:r w:rsidR="00605C17">
        <w:t xml:space="preserve">ed responsibilities. </w:t>
      </w:r>
      <w:r>
        <w:t xml:space="preserve">Occupational and educational standards </w:t>
      </w:r>
      <w:r w:rsidR="00605C17">
        <w:t>combine</w:t>
      </w:r>
      <w:r>
        <w:t xml:space="preserve"> to form what CEDEFOP (2010</w:t>
      </w:r>
      <w:r w:rsidR="00605C17">
        <w:t>h</w:t>
      </w:r>
      <w:r>
        <w:t>) calls qualification standards</w:t>
      </w:r>
      <w:r w:rsidR="00605C17">
        <w:t>,</w:t>
      </w:r>
      <w:r>
        <w:t xml:space="preserve"> which are the </w:t>
      </w:r>
      <w:r w:rsidR="00C504E2">
        <w:t>‘</w:t>
      </w:r>
      <w:r>
        <w:t xml:space="preserve">the result of interaction between the world of work (embodied by social partners) and the world of education (education </w:t>
      </w:r>
      <w:r w:rsidRPr="008D07DC">
        <w:t>professionals, including teachers)</w:t>
      </w:r>
      <w:r w:rsidR="00C504E2">
        <w:t>’</w:t>
      </w:r>
      <w:r w:rsidRPr="008D07DC">
        <w:t xml:space="preserve">. </w:t>
      </w:r>
    </w:p>
    <w:p w:rsidR="00D11C4B" w:rsidRDefault="00D11C4B" w:rsidP="008D07DC">
      <w:pPr>
        <w:pStyle w:val="Text"/>
      </w:pPr>
      <w:r w:rsidRPr="008D07DC">
        <w:t>Across many systems in t</w:t>
      </w:r>
      <w:r>
        <w:t xml:space="preserve">he EU the setting of occupational standards and educational standards for VET involves the formal participation of the social partners (including relevant industry/professional bodies, trade unions, government representatives and in some countries community groups and students). </w:t>
      </w:r>
      <w:r w:rsidR="00742B84">
        <w:t>C</w:t>
      </w:r>
      <w:r w:rsidR="00391B8E">
        <w:t>lose partnerships with stakeholders enable</w:t>
      </w:r>
      <w:r w:rsidR="00313387">
        <w:t xml:space="preserve"> a</w:t>
      </w:r>
      <w:r w:rsidR="00391B8E">
        <w:t xml:space="preserve"> better understanding of labour market needs</w:t>
      </w:r>
      <w:r w:rsidR="00313387">
        <w:t xml:space="preserve"> and</w:t>
      </w:r>
      <w:r w:rsidR="00391B8E">
        <w:t xml:space="preserve"> </w:t>
      </w:r>
      <w:r w:rsidR="00313387">
        <w:t>in</w:t>
      </w:r>
      <w:r w:rsidR="00391B8E">
        <w:t>for</w:t>
      </w:r>
      <w:r w:rsidR="00313387">
        <w:t>m</w:t>
      </w:r>
      <w:r w:rsidR="00391B8E">
        <w:t xml:space="preserve"> the development of </w:t>
      </w:r>
      <w:r w:rsidR="00313387">
        <w:t xml:space="preserve">the </w:t>
      </w:r>
      <w:r w:rsidR="00391B8E">
        <w:t>knowl</w:t>
      </w:r>
      <w:r w:rsidR="00313387">
        <w:t>edge, skills and competences of</w:t>
      </w:r>
      <w:r w:rsidR="00391B8E">
        <w:t xml:space="preserve"> qualifications </w:t>
      </w:r>
      <w:r w:rsidR="00742B84">
        <w:t xml:space="preserve">and </w:t>
      </w:r>
      <w:r>
        <w:t xml:space="preserve">is a key approach recommended by the </w:t>
      </w:r>
      <w:r>
        <w:rPr>
          <w:rStyle w:val="groupname"/>
        </w:rPr>
        <w:t xml:space="preserve">European </w:t>
      </w:r>
      <w:r w:rsidR="00901114">
        <w:rPr>
          <w:rStyle w:val="groupname"/>
        </w:rPr>
        <w:t>ministers for vocational education and training</w:t>
      </w:r>
      <w:r>
        <w:rPr>
          <w:rStyle w:val="groupname"/>
        </w:rPr>
        <w:t xml:space="preserve">, </w:t>
      </w:r>
      <w:r w:rsidR="00901114">
        <w:rPr>
          <w:rStyle w:val="groupname"/>
        </w:rPr>
        <w:t>the European social partners</w:t>
      </w:r>
      <w:r>
        <w:rPr>
          <w:rStyle w:val="groupname"/>
        </w:rPr>
        <w:t xml:space="preserve"> </w:t>
      </w:r>
      <w:r w:rsidR="00605C17">
        <w:rPr>
          <w:rStyle w:val="groupname"/>
        </w:rPr>
        <w:t>and the</w:t>
      </w:r>
      <w:r>
        <w:rPr>
          <w:rStyle w:val="groupname"/>
        </w:rPr>
        <w:t xml:space="preserve"> European Commission</w:t>
      </w:r>
      <w:r w:rsidR="00901114">
        <w:rPr>
          <w:rStyle w:val="groupname"/>
        </w:rPr>
        <w:t>,</w:t>
      </w:r>
      <w:r w:rsidR="00742B84">
        <w:rPr>
          <w:rStyle w:val="groupname"/>
        </w:rPr>
        <w:t xml:space="preserve"> via</w:t>
      </w:r>
      <w:r>
        <w:rPr>
          <w:rStyle w:val="groupname"/>
        </w:rPr>
        <w:t xml:space="preserve"> </w:t>
      </w:r>
      <w:r w:rsidR="00742B84">
        <w:rPr>
          <w:rStyle w:val="groupname"/>
        </w:rPr>
        <w:t xml:space="preserve">the </w:t>
      </w:r>
      <w:r>
        <w:t xml:space="preserve">Bruges Communiqué </w:t>
      </w:r>
      <w:r w:rsidR="00742B84">
        <w:t xml:space="preserve">of </w:t>
      </w:r>
      <w:r>
        <w:t>2010</w:t>
      </w:r>
      <w:r w:rsidR="00742B84" w:rsidRPr="00742B84">
        <w:rPr>
          <w:rStyle w:val="groupname"/>
        </w:rPr>
        <w:t xml:space="preserve"> </w:t>
      </w:r>
      <w:r w:rsidR="00742B84">
        <w:rPr>
          <w:rStyle w:val="groupname"/>
        </w:rPr>
        <w:t>(European Commission 2010</w:t>
      </w:r>
      <w:r>
        <w:t>)</w:t>
      </w:r>
      <w:r w:rsidR="00381A4F">
        <w:t>.</w:t>
      </w:r>
      <w:r>
        <w:rPr>
          <w:rStyle w:val="FootnoteReference"/>
        </w:rPr>
        <w:footnoteReference w:id="12"/>
      </w:r>
      <w:r>
        <w:t xml:space="preserve"> The stakeholders include</w:t>
      </w:r>
      <w:r w:rsidR="00381A4F">
        <w:t>d</w:t>
      </w:r>
      <w:r>
        <w:t xml:space="preserve"> in these partnerships are broader </w:t>
      </w:r>
      <w:r w:rsidR="00381A4F">
        <w:t>than just industry stakeholders and</w:t>
      </w:r>
      <w:r>
        <w:t xml:space="preserve"> compris</w:t>
      </w:r>
      <w:r w:rsidR="00381A4F">
        <w:t>e</w:t>
      </w:r>
      <w:r>
        <w:t xml:space="preserve"> training providers, enterprises, social partners, employme</w:t>
      </w:r>
      <w:r w:rsidR="00381A4F">
        <w:t>nt services, public authorities</w:t>
      </w:r>
      <w:r w:rsidR="00391B8E">
        <w:t xml:space="preserve"> and</w:t>
      </w:r>
      <w:r w:rsidR="00C564D3">
        <w:t xml:space="preserve"> research organisations. The e</w:t>
      </w:r>
      <w:r>
        <w:t xml:space="preserve">mployers and social partners are also asked to </w:t>
      </w:r>
      <w:r w:rsidR="00313387">
        <w:t>specifically</w:t>
      </w:r>
      <w:r w:rsidR="007D78C5">
        <w:t xml:space="preserve"> defin</w:t>
      </w:r>
      <w:r w:rsidR="00313387">
        <w:t>e the</w:t>
      </w:r>
      <w:r>
        <w:t xml:space="preserve"> competences and qualifications required across sectors for now and </w:t>
      </w:r>
      <w:r w:rsidR="00381A4F">
        <w:t>into</w:t>
      </w:r>
      <w:r>
        <w:t xml:space="preserve"> the future</w:t>
      </w:r>
      <w:r w:rsidR="00381A4F">
        <w:t xml:space="preserve"> (</w:t>
      </w:r>
      <w:r w:rsidR="00C564D3">
        <w:rPr>
          <w:rStyle w:val="groupname"/>
        </w:rPr>
        <w:t xml:space="preserve">European Commission </w:t>
      </w:r>
      <w:r w:rsidR="00381A4F">
        <w:t>2010). The c</w:t>
      </w:r>
      <w:r>
        <w:t xml:space="preserve">ommuniqué also supports the need for EU member states to invest in VET and to promote </w:t>
      </w:r>
      <w:r w:rsidR="00391B8E">
        <w:t xml:space="preserve">these </w:t>
      </w:r>
      <w:r>
        <w:t>partnerships</w:t>
      </w:r>
      <w:r w:rsidR="00391B8E">
        <w:t>.</w:t>
      </w:r>
      <w:r>
        <w:t xml:space="preserve"> </w:t>
      </w:r>
    </w:p>
    <w:p w:rsidR="00605C17" w:rsidRDefault="007B74BC" w:rsidP="00605C17">
      <w:pPr>
        <w:pStyle w:val="Heading3"/>
      </w:pPr>
      <w:r>
        <w:t>United Kingdom</w:t>
      </w:r>
    </w:p>
    <w:p w:rsidR="00F2081E" w:rsidRDefault="007B74BC" w:rsidP="008D07DC">
      <w:pPr>
        <w:pStyle w:val="Textlessbefore"/>
        <w:rPr>
          <w:b/>
        </w:rPr>
      </w:pPr>
      <w:r w:rsidRPr="003B7077">
        <w:t>Qualifications</w:t>
      </w:r>
      <w:r w:rsidR="00C564D3">
        <w:t>,</w:t>
      </w:r>
      <w:r w:rsidRPr="003B7077">
        <w:t xml:space="preserve"> </w:t>
      </w:r>
      <w:r w:rsidR="003B7077">
        <w:t xml:space="preserve">their </w:t>
      </w:r>
      <w:r w:rsidR="00C504E2">
        <w:t>‘</w:t>
      </w:r>
      <w:r w:rsidR="003B7077">
        <w:t>broad content, unit and credit structure, learning outcomes and assessment standards</w:t>
      </w:r>
      <w:r w:rsidR="00C504E2">
        <w:t>’</w:t>
      </w:r>
      <w:r w:rsidR="00C564D3">
        <w:t>,</w:t>
      </w:r>
      <w:r w:rsidR="003B7077">
        <w:t xml:space="preserve"> are developed </w:t>
      </w:r>
      <w:r w:rsidRPr="003B7077">
        <w:t xml:space="preserve">in the United Kingdom (England, Northern Ireland, Wales and Scotland) by awarding bodies </w:t>
      </w:r>
      <w:r w:rsidR="00777E58">
        <w:t>(AOs)</w:t>
      </w:r>
      <w:r w:rsidR="00313387">
        <w:t xml:space="preserve"> </w:t>
      </w:r>
      <w:r w:rsidRPr="003B7077">
        <w:t xml:space="preserve">regulated by </w:t>
      </w:r>
      <w:r w:rsidR="00C504E2">
        <w:t>‘</w:t>
      </w:r>
      <w:r w:rsidRPr="003B7077">
        <w:t>competent authorities</w:t>
      </w:r>
      <w:r w:rsidR="00C504E2">
        <w:t>’</w:t>
      </w:r>
      <w:r w:rsidR="003B7077">
        <w:t xml:space="preserve"> </w:t>
      </w:r>
      <w:r w:rsidR="00777E58">
        <w:t>(</w:t>
      </w:r>
      <w:r w:rsidR="003B7077">
        <w:t>CED</w:t>
      </w:r>
      <w:r w:rsidR="00C04F41">
        <w:t>E</w:t>
      </w:r>
      <w:r w:rsidR="003B7077">
        <w:t>FOP 2012</w:t>
      </w:r>
      <w:r w:rsidR="000C07E1">
        <w:t>g</w:t>
      </w:r>
      <w:r w:rsidR="0042300B">
        <w:t>,</w:t>
      </w:r>
      <w:r w:rsidR="003B7077">
        <w:t xml:space="preserve"> p</w:t>
      </w:r>
      <w:r w:rsidR="00381A4F">
        <w:t>.</w:t>
      </w:r>
      <w:r w:rsidR="00C564D3">
        <w:t>28)</w:t>
      </w:r>
      <w:r w:rsidRPr="003B7077">
        <w:t xml:space="preserve">. </w:t>
      </w:r>
      <w:r w:rsidR="00F235D7" w:rsidRPr="003B7077">
        <w:t xml:space="preserve">Sector </w:t>
      </w:r>
      <w:r w:rsidR="00381A4F" w:rsidRPr="003B7077">
        <w:t xml:space="preserve">skills councils </w:t>
      </w:r>
      <w:r w:rsidR="00F235D7">
        <w:t>(SSCs)</w:t>
      </w:r>
      <w:r w:rsidR="00381A4F">
        <w:t>,</w:t>
      </w:r>
      <w:r w:rsidR="00F235D7">
        <w:t xml:space="preserve"> </w:t>
      </w:r>
      <w:r w:rsidR="00313387">
        <w:t>working with other standard-</w:t>
      </w:r>
      <w:r w:rsidRPr="003B7077">
        <w:t>setting bodies and employers</w:t>
      </w:r>
      <w:r w:rsidR="00381A4F">
        <w:t>, are responsible for developing and</w:t>
      </w:r>
      <w:r w:rsidRPr="003B7077">
        <w:t xml:space="preserve"> mai</w:t>
      </w:r>
      <w:r w:rsidR="003B7077">
        <w:t>ntaining occupational standards to inform</w:t>
      </w:r>
      <w:r w:rsidRPr="003B7077">
        <w:t xml:space="preserve"> </w:t>
      </w:r>
      <w:r w:rsidR="003B7077">
        <w:t xml:space="preserve">the </w:t>
      </w:r>
      <w:r w:rsidRPr="003B7077">
        <w:t>development of qualifications.</w:t>
      </w:r>
      <w:r w:rsidR="00777E58">
        <w:t xml:space="preserve"> </w:t>
      </w:r>
      <w:r w:rsidRPr="003B7077">
        <w:t xml:space="preserve">The National Occupational Standards comprise units based on </w:t>
      </w:r>
      <w:r w:rsidR="003B7077">
        <w:t>learning outcomes</w:t>
      </w:r>
      <w:r w:rsidR="003B7077" w:rsidRPr="003B7077">
        <w:t xml:space="preserve"> (that is</w:t>
      </w:r>
      <w:r w:rsidR="00381A4F">
        <w:t>,</w:t>
      </w:r>
      <w:r w:rsidR="003B7077" w:rsidRPr="003B7077">
        <w:t xml:space="preserve"> what a learner </w:t>
      </w:r>
      <w:r w:rsidR="00381A4F">
        <w:t>do</w:t>
      </w:r>
      <w:r w:rsidR="00EF0370">
        <w:t>es,</w:t>
      </w:r>
      <w:r w:rsidR="00381A4F">
        <w:t xml:space="preserve"> know</w:t>
      </w:r>
      <w:r w:rsidR="00EF0370">
        <w:t>s</w:t>
      </w:r>
      <w:r w:rsidR="00381A4F">
        <w:t xml:space="preserve"> and understand</w:t>
      </w:r>
      <w:r w:rsidR="00EF0370">
        <w:t>s</w:t>
      </w:r>
      <w:r w:rsidR="003B7077" w:rsidRPr="003B7077">
        <w:t xml:space="preserve"> to perform specific jobs</w:t>
      </w:r>
      <w:r w:rsidR="003B7077">
        <w:t>)</w:t>
      </w:r>
      <w:r w:rsidR="003B7077" w:rsidRPr="003B7077">
        <w:t xml:space="preserve">. The </w:t>
      </w:r>
      <w:r w:rsidR="00C564D3" w:rsidRPr="003B7077">
        <w:t>nat</w:t>
      </w:r>
      <w:r w:rsidR="00F2081E">
        <w:t>ional vocational qualifications</w:t>
      </w:r>
      <w:r w:rsidR="003B7077" w:rsidRPr="003B7077">
        <w:t xml:space="preserve"> and the Scottish </w:t>
      </w:r>
      <w:r w:rsidR="00F2081E">
        <w:t>vocational qualifications</w:t>
      </w:r>
      <w:r w:rsidR="003B7077" w:rsidRPr="003B7077">
        <w:t xml:space="preserve"> and other vocational qualifications are based on these occupational standards, or </w:t>
      </w:r>
      <w:r w:rsidR="00EF0370">
        <w:t xml:space="preserve">the </w:t>
      </w:r>
      <w:r w:rsidR="003B7077" w:rsidRPr="003B7077">
        <w:t>learning outcomes in these standards.</w:t>
      </w:r>
    </w:p>
    <w:p w:rsidR="007B74BC" w:rsidRPr="00D1397B" w:rsidRDefault="00F2081E" w:rsidP="00CB29AE">
      <w:pPr>
        <w:pStyle w:val="Text"/>
        <w:ind w:right="-143"/>
      </w:pPr>
      <w:r w:rsidRPr="004739F8">
        <w:t>Sector skills councils</w:t>
      </w:r>
      <w:r w:rsidR="004F7A35">
        <w:t xml:space="preserve"> </w:t>
      </w:r>
      <w:r w:rsidR="00777E58">
        <w:t xml:space="preserve">also develop </w:t>
      </w:r>
      <w:r w:rsidR="00EF0370">
        <w:t>sector qualification strategies</w:t>
      </w:r>
      <w:r w:rsidR="00777E58" w:rsidRPr="003B7077">
        <w:t xml:space="preserve"> </w:t>
      </w:r>
      <w:r w:rsidR="00777E58">
        <w:t>(SQS)</w:t>
      </w:r>
      <w:r w:rsidR="00313387">
        <w:t>,</w:t>
      </w:r>
      <w:r w:rsidR="00777E58">
        <w:t xml:space="preserve"> </w:t>
      </w:r>
      <w:r w:rsidR="00313387">
        <w:t>which</w:t>
      </w:r>
      <w:r w:rsidR="00777E58">
        <w:t xml:space="preserve"> group qualifications into low</w:t>
      </w:r>
      <w:r w:rsidR="00EF0370">
        <w:t>- and high-scrutiny categories</w:t>
      </w:r>
      <w:r w:rsidR="00313387">
        <w:t>,</w:t>
      </w:r>
      <w:r w:rsidR="00777E58">
        <w:t xml:space="preserve"> and </w:t>
      </w:r>
      <w:r w:rsidR="00EF0370" w:rsidRPr="003B7077">
        <w:t>sector qualification priority lists</w:t>
      </w:r>
      <w:r w:rsidR="00313387">
        <w:t>,</w:t>
      </w:r>
      <w:r w:rsidR="00777E58">
        <w:t xml:space="preserve"> </w:t>
      </w:r>
      <w:r w:rsidR="00777E58" w:rsidRPr="003B7077">
        <w:t>based on relevant employment</w:t>
      </w:r>
      <w:r w:rsidR="00777E58">
        <w:t xml:space="preserve"> information</w:t>
      </w:r>
      <w:r w:rsidR="00777E58" w:rsidRPr="003B7077">
        <w:t xml:space="preserve"> and identif</w:t>
      </w:r>
      <w:r w:rsidR="00777E58">
        <w:t>ied</w:t>
      </w:r>
      <w:r w:rsidR="00777E58" w:rsidRPr="003B7077">
        <w:t xml:space="preserve"> skill shortages.</w:t>
      </w:r>
      <w:r w:rsidR="00777E58">
        <w:t xml:space="preserve"> </w:t>
      </w:r>
      <w:r w:rsidR="00777E58" w:rsidRPr="00D1397B">
        <w:t xml:space="preserve">All vocational qualifications </w:t>
      </w:r>
      <w:r w:rsidR="00313387">
        <w:t>are</w:t>
      </w:r>
      <w:r w:rsidR="00777E58" w:rsidRPr="00D1397B">
        <w:t xml:space="preserve"> approved by the relevant </w:t>
      </w:r>
      <w:r w:rsidR="00EF0370">
        <w:t>s</w:t>
      </w:r>
      <w:r w:rsidR="00EF0370" w:rsidRPr="003B7077">
        <w:t xml:space="preserve">ector </w:t>
      </w:r>
      <w:r w:rsidR="00EF0370">
        <w:t>skills council</w:t>
      </w:r>
      <w:r>
        <w:t>,</w:t>
      </w:r>
      <w:r w:rsidR="00777E58" w:rsidRPr="00D1397B">
        <w:t xml:space="preserve"> who must do this generally within </w:t>
      </w:r>
      <w:r w:rsidR="00EF0370">
        <w:t>ten</w:t>
      </w:r>
      <w:r w:rsidR="00777E58" w:rsidRPr="00D1397B">
        <w:t xml:space="preserve"> days or sometimes 20 days of </w:t>
      </w:r>
      <w:r w:rsidR="00EF0370">
        <w:t>awarding body</w:t>
      </w:r>
      <w:r w:rsidR="00777E58" w:rsidRPr="00D1397B">
        <w:t xml:space="preserve"> requests for approval. Awarding bodies must show evidence of </w:t>
      </w:r>
      <w:r w:rsidR="00EF0370">
        <w:t>s</w:t>
      </w:r>
      <w:r w:rsidR="00EF0370" w:rsidRPr="003B7077">
        <w:t xml:space="preserve">ector </w:t>
      </w:r>
      <w:r w:rsidR="00EF0370">
        <w:t>skills council</w:t>
      </w:r>
      <w:r w:rsidR="00777E58" w:rsidRPr="00D1397B">
        <w:t xml:space="preserve"> support for all </w:t>
      </w:r>
      <w:r w:rsidR="00EF0370">
        <w:t>Qualification</w:t>
      </w:r>
      <w:r w:rsidR="00313387">
        <w:t>s</w:t>
      </w:r>
      <w:r w:rsidR="00EF0370">
        <w:t xml:space="preserve"> and Credit </w:t>
      </w:r>
      <w:r w:rsidR="00EF0370" w:rsidRPr="008D07DC">
        <w:t>Framework</w:t>
      </w:r>
      <w:r w:rsidR="00777E58" w:rsidRPr="00D1397B">
        <w:t xml:space="preserve"> qualifications</w:t>
      </w:r>
      <w:r w:rsidR="00617AE4" w:rsidRPr="00D1397B">
        <w:t>, e</w:t>
      </w:r>
      <w:r w:rsidR="00EF0370">
        <w:t>specially those defined as high-</w:t>
      </w:r>
      <w:r w:rsidR="00617AE4" w:rsidRPr="00D1397B">
        <w:t>scrutiny qualifications (generally around 20% of all qualifications</w:t>
      </w:r>
      <w:r w:rsidR="00BD022A">
        <w:t>)</w:t>
      </w:r>
      <w:r w:rsidR="00EF0370">
        <w:t>. A</w:t>
      </w:r>
      <w:r w:rsidR="00777E58" w:rsidRPr="00D1397B">
        <w:t xml:space="preserve"> </w:t>
      </w:r>
      <w:r w:rsidR="00EF0370">
        <w:t>s</w:t>
      </w:r>
      <w:r w:rsidR="00EF0370" w:rsidRPr="003B7077">
        <w:t xml:space="preserve">ector </w:t>
      </w:r>
      <w:r w:rsidR="00EF0370">
        <w:t>skills council</w:t>
      </w:r>
      <w:r w:rsidR="00777E58" w:rsidRPr="00D1397B">
        <w:t xml:space="preserve"> approval process has been</w:t>
      </w:r>
      <w:r>
        <w:t xml:space="preserve"> developed to provide guidance, with this</w:t>
      </w:r>
      <w:r w:rsidR="00617AE4" w:rsidRPr="00D1397B">
        <w:t xml:space="preserve"> guidance </w:t>
      </w:r>
      <w:r w:rsidR="00EF0370">
        <w:t>related to</w:t>
      </w:r>
      <w:r w:rsidR="00617AE4" w:rsidRPr="00D1397B">
        <w:t xml:space="preserve"> the type of dialogue that must occur between </w:t>
      </w:r>
      <w:r w:rsidR="00EF0370">
        <w:t>awarding bodies and sector skills councils</w:t>
      </w:r>
      <w:r w:rsidR="00617AE4" w:rsidRPr="00D1397B">
        <w:t>. During the early dialogue phase agreement is sought on w</w:t>
      </w:r>
      <w:r w:rsidR="00DF0006">
        <w:t>hich qualifications will be low-</w:t>
      </w:r>
      <w:r w:rsidR="00617AE4" w:rsidRPr="00D1397B">
        <w:t>scrutiny qualifications</w:t>
      </w:r>
      <w:r w:rsidR="00DF0006">
        <w:t>. Low-</w:t>
      </w:r>
      <w:r w:rsidR="00D1397B" w:rsidRPr="00D1397B">
        <w:t xml:space="preserve">scrutiny qualifications are those which </w:t>
      </w:r>
      <w:r w:rsidR="00DF0006">
        <w:t>it is</w:t>
      </w:r>
      <w:r w:rsidR="00D1397B" w:rsidRPr="00D1397B">
        <w:t xml:space="preserve"> agreed have high employment demand and </w:t>
      </w:r>
      <w:r w:rsidR="00DF0006">
        <w:t xml:space="preserve">where </w:t>
      </w:r>
      <w:r w:rsidR="00D1397B" w:rsidRPr="00D1397B">
        <w:t xml:space="preserve">the proposal meets </w:t>
      </w:r>
      <w:r w:rsidR="0024046D">
        <w:t xml:space="preserve">the requirements of the </w:t>
      </w:r>
      <w:r w:rsidR="00DF0006">
        <w:t>national occupational standards—sector qualification strategies action plan. High-</w:t>
      </w:r>
      <w:r w:rsidR="00D1397B" w:rsidRPr="00D1397B">
        <w:t xml:space="preserve">scrutiny qualifications </w:t>
      </w:r>
      <w:r w:rsidR="0024046D">
        <w:t>include</w:t>
      </w:r>
      <w:r w:rsidR="00D1397B" w:rsidRPr="00D1397B">
        <w:t xml:space="preserve"> </w:t>
      </w:r>
      <w:r w:rsidR="00C504E2">
        <w:t>‘</w:t>
      </w:r>
      <w:r w:rsidR="00D1397B" w:rsidRPr="00D1397B">
        <w:t>licence to practice</w:t>
      </w:r>
      <w:r w:rsidR="00C504E2">
        <w:t>’</w:t>
      </w:r>
      <w:r w:rsidR="00D1397B" w:rsidRPr="00D1397B">
        <w:t xml:space="preserve"> qualifications, defined in legislation, or </w:t>
      </w:r>
      <w:r w:rsidR="0024046D">
        <w:t xml:space="preserve">those </w:t>
      </w:r>
      <w:r w:rsidR="00D1397B" w:rsidRPr="00D1397B">
        <w:t xml:space="preserve">where there </w:t>
      </w:r>
      <w:r w:rsidR="00D1397B" w:rsidRPr="00D1397B">
        <w:lastRenderedPageBreak/>
        <w:t xml:space="preserve">has been insufficient dialogue between </w:t>
      </w:r>
      <w:r w:rsidR="00DF0006">
        <w:t>the awarding bodies</w:t>
      </w:r>
      <w:r w:rsidR="00D1397B" w:rsidRPr="00D1397B">
        <w:t xml:space="preserve"> and </w:t>
      </w:r>
      <w:r w:rsidR="00DF0006">
        <w:t>the sector skills councils</w:t>
      </w:r>
      <w:r w:rsidR="00D1397B" w:rsidRPr="00D1397B">
        <w:t xml:space="preserve">. </w:t>
      </w:r>
      <w:r w:rsidR="00617AE4" w:rsidRPr="00D1397B">
        <w:t>The regulator undertake</w:t>
      </w:r>
      <w:r w:rsidR="00313387">
        <w:t>s</w:t>
      </w:r>
      <w:r w:rsidR="00617AE4" w:rsidRPr="00D1397B">
        <w:t xml:space="preserve"> an inspection of a random sample of these approvals to ensure that the procedures have been followed and that the qualifications contain the </w:t>
      </w:r>
      <w:r w:rsidR="00DF0006">
        <w:t xml:space="preserve">agreed </w:t>
      </w:r>
      <w:r w:rsidR="00617AE4" w:rsidRPr="00D1397B">
        <w:t>features. If there is a discrepancy the regulator seek</w:t>
      </w:r>
      <w:r w:rsidR="00313387">
        <w:t>s</w:t>
      </w:r>
      <w:r w:rsidR="00617AE4" w:rsidRPr="00D1397B">
        <w:t xml:space="preserve"> reasons for th</w:t>
      </w:r>
      <w:r w:rsidR="00313387">
        <w:t>is</w:t>
      </w:r>
      <w:r w:rsidR="00617AE4" w:rsidRPr="00D1397B">
        <w:t xml:space="preserve"> and will not accredit the qualification until the approval has been confirmed. </w:t>
      </w:r>
      <w:r w:rsidR="00B64818">
        <w:t>When</w:t>
      </w:r>
      <w:r w:rsidR="00617AE4" w:rsidRPr="00D1397B">
        <w:t xml:space="preserve"> </w:t>
      </w:r>
      <w:r w:rsidR="0048780E">
        <w:t xml:space="preserve">regulators notice </w:t>
      </w:r>
      <w:r w:rsidR="00617AE4" w:rsidRPr="00D1397B">
        <w:t xml:space="preserve">submissions that regularly attract </w:t>
      </w:r>
      <w:r w:rsidR="0048780E">
        <w:t xml:space="preserve">regulator requests for </w:t>
      </w:r>
      <w:r w:rsidR="00617AE4" w:rsidRPr="00D1397B">
        <w:t>further clarification</w:t>
      </w:r>
      <w:r w:rsidR="00DF0006">
        <w:t>,</w:t>
      </w:r>
      <w:r w:rsidR="00617AE4" w:rsidRPr="00D1397B">
        <w:t xml:space="preserve"> </w:t>
      </w:r>
      <w:r w:rsidR="00DF0006" w:rsidRPr="00D1397B">
        <w:t xml:space="preserve">scrutiny </w:t>
      </w:r>
      <w:r w:rsidR="00B64818">
        <w:t>is</w:t>
      </w:r>
      <w:r w:rsidR="00617AE4" w:rsidRPr="00D1397B">
        <w:t xml:space="preserve"> increased. In some cases the </w:t>
      </w:r>
      <w:r w:rsidR="00DF0006">
        <w:t>awarding body</w:t>
      </w:r>
      <w:r w:rsidR="00617AE4" w:rsidRPr="00D1397B">
        <w:t xml:space="preserve"> can submit applications directly to the regulator if </w:t>
      </w:r>
      <w:r w:rsidR="00DF0006">
        <w:t>it is</w:t>
      </w:r>
      <w:r w:rsidR="00617AE4" w:rsidRPr="00D1397B">
        <w:t xml:space="preserve"> believe</w:t>
      </w:r>
      <w:r w:rsidR="00DF0006">
        <w:t>d</w:t>
      </w:r>
      <w:r w:rsidR="00617AE4" w:rsidRPr="00D1397B">
        <w:t xml:space="preserve"> there is sufficient evidence justifying the qualification. </w:t>
      </w:r>
      <w:r w:rsidR="00D1397B" w:rsidRPr="00D1397B">
        <w:t xml:space="preserve">The </w:t>
      </w:r>
      <w:r w:rsidR="00DF0006">
        <w:t>sector skills council</w:t>
      </w:r>
      <w:r w:rsidR="00D1397B" w:rsidRPr="00D1397B">
        <w:t xml:space="preserve"> approval process applies only to vocational qualifications. Approvals for non-vocational qualifications will also require evidence </w:t>
      </w:r>
      <w:r w:rsidR="0048780E">
        <w:t xml:space="preserve">from </w:t>
      </w:r>
      <w:r w:rsidR="00D1397B" w:rsidRPr="00D1397B">
        <w:t>other relevant organisations.</w:t>
      </w:r>
      <w:r w:rsidR="004928F1">
        <w:t xml:space="preserve"> </w:t>
      </w:r>
    </w:p>
    <w:p w:rsidR="00DF0006" w:rsidRDefault="007B2E29" w:rsidP="00DF0006">
      <w:pPr>
        <w:pStyle w:val="Heading3"/>
      </w:pPr>
      <w:r w:rsidRPr="007B2E29">
        <w:t>Scotland</w:t>
      </w:r>
    </w:p>
    <w:p w:rsidR="00B64818" w:rsidRDefault="00055E26" w:rsidP="00CB29AE">
      <w:pPr>
        <w:pStyle w:val="Textlessbefore"/>
      </w:pPr>
      <w:r>
        <w:t xml:space="preserve">In Scotland qualifications are developed by awarding bodies and are </w:t>
      </w:r>
      <w:r w:rsidR="00C71EBF">
        <w:t xml:space="preserve">accredited </w:t>
      </w:r>
      <w:r>
        <w:t xml:space="preserve">by the </w:t>
      </w:r>
      <w:r w:rsidR="002A128D">
        <w:t>Scottish Qualifications Authority</w:t>
      </w:r>
      <w:r w:rsidR="00E45572">
        <w:t xml:space="preserve"> (SQA) through its Accreditation Committee</w:t>
      </w:r>
      <w:r w:rsidR="00DF0006">
        <w:t>.</w:t>
      </w:r>
      <w:r w:rsidR="00C04F41">
        <w:rPr>
          <w:rStyle w:val="FootnoteReference"/>
        </w:rPr>
        <w:footnoteReference w:id="13"/>
      </w:r>
      <w:r w:rsidR="00E45572">
        <w:t xml:space="preserve"> </w:t>
      </w:r>
      <w:r w:rsidR="001F24CB">
        <w:t>Assessment s</w:t>
      </w:r>
      <w:r w:rsidR="00B0189E">
        <w:t xml:space="preserve">trategies comprise </w:t>
      </w:r>
      <w:r w:rsidR="001F24CB">
        <w:t xml:space="preserve">the </w:t>
      </w:r>
      <w:r w:rsidR="00B0189E">
        <w:t xml:space="preserve">requirements and recommendations </w:t>
      </w:r>
      <w:r w:rsidR="001F24CB">
        <w:t>relating to</w:t>
      </w:r>
      <w:r w:rsidR="00B0189E">
        <w:t xml:space="preserve"> assessment and </w:t>
      </w:r>
      <w:r w:rsidR="00313387">
        <w:t xml:space="preserve">the </w:t>
      </w:r>
      <w:r w:rsidR="00B0189E">
        <w:t>external quality control</w:t>
      </w:r>
      <w:r w:rsidR="00B64818">
        <w:t>s</w:t>
      </w:r>
      <w:r w:rsidR="00B0189E">
        <w:t xml:space="preserve"> developed by </w:t>
      </w:r>
      <w:r w:rsidR="001F24CB">
        <w:t>sector skills councils. Assessment s</w:t>
      </w:r>
      <w:r w:rsidR="00E80933">
        <w:t xml:space="preserve">trategies </w:t>
      </w:r>
      <w:r w:rsidR="00B0189E">
        <w:t xml:space="preserve">are mandatory for Scottish </w:t>
      </w:r>
      <w:r w:rsidR="00C564D3">
        <w:t xml:space="preserve">vocational qualifications </w:t>
      </w:r>
      <w:r w:rsidR="00B0189E">
        <w:t>but can also be used for other qualifi</w:t>
      </w:r>
      <w:r w:rsidR="00586EE5">
        <w:t xml:space="preserve">cations. </w:t>
      </w:r>
      <w:r w:rsidR="00C71EBF">
        <w:t xml:space="preserve">The </w:t>
      </w:r>
      <w:r w:rsidR="002A128D">
        <w:t>Scottish Qualifications Authority</w:t>
      </w:r>
      <w:r w:rsidR="001F24CB">
        <w:t xml:space="preserve"> is sponsored by the Scottish G</w:t>
      </w:r>
      <w:r w:rsidR="00C71EBF">
        <w:t xml:space="preserve">overnment to </w:t>
      </w:r>
      <w:r w:rsidR="00C71EBF" w:rsidRPr="00C71EBF">
        <w:t xml:space="preserve">accredit vocational qualifications offered across Scotland, including Scottish </w:t>
      </w:r>
      <w:r w:rsidR="00C564D3" w:rsidRPr="00C71EBF">
        <w:t>vocational qualifications</w:t>
      </w:r>
      <w:r w:rsidR="001F24CB">
        <w:t>,</w:t>
      </w:r>
      <w:r w:rsidR="00C71EBF" w:rsidRPr="00C71EBF">
        <w:t xml:space="preserve"> and</w:t>
      </w:r>
      <w:r w:rsidR="00C71EBF">
        <w:t xml:space="preserve"> to approve</w:t>
      </w:r>
      <w:r w:rsidR="00C71EBF" w:rsidRPr="00C71EBF">
        <w:t xml:space="preserve"> </w:t>
      </w:r>
      <w:r w:rsidR="001F24CB">
        <w:t xml:space="preserve">the </w:t>
      </w:r>
      <w:r w:rsidR="00C71EBF" w:rsidRPr="00C71EBF">
        <w:t>awarding bodies wish</w:t>
      </w:r>
      <w:r w:rsidR="001F24CB">
        <w:t>ing</w:t>
      </w:r>
      <w:r w:rsidR="00C71EBF" w:rsidRPr="00C71EBF">
        <w:t xml:space="preserve"> to award them</w:t>
      </w:r>
      <w:r w:rsidR="00C71EBF">
        <w:t xml:space="preserve">. </w:t>
      </w:r>
      <w:r w:rsidR="00B0189E">
        <w:t xml:space="preserve">The </w:t>
      </w:r>
      <w:r w:rsidR="001F24CB">
        <w:t>authority</w:t>
      </w:r>
      <w:r w:rsidR="00B0189E">
        <w:t xml:space="preserve"> </w:t>
      </w:r>
      <w:r w:rsidR="001F24CB">
        <w:t>claims that</w:t>
      </w:r>
      <w:r w:rsidR="00B0189E">
        <w:t xml:space="preserve"> it is keen to </w:t>
      </w:r>
      <w:r w:rsidR="001F24CB">
        <w:t>reduce bureaucracy and</w:t>
      </w:r>
      <w:r w:rsidR="00ED19F0">
        <w:t xml:space="preserve"> acc</w:t>
      </w:r>
      <w:r w:rsidR="001F24CB">
        <w:t>elerate accreditation processes</w:t>
      </w:r>
      <w:r w:rsidR="00AF7175">
        <w:t xml:space="preserve"> </w:t>
      </w:r>
      <w:r w:rsidR="003A2407">
        <w:t xml:space="preserve">so that qualifications </w:t>
      </w:r>
      <w:r w:rsidR="002206A7">
        <w:t xml:space="preserve">can become available </w:t>
      </w:r>
      <w:r w:rsidR="00313387">
        <w:t>to</w:t>
      </w:r>
      <w:r w:rsidR="002206A7">
        <w:t xml:space="preserve"> students</w:t>
      </w:r>
      <w:r w:rsidR="00313387">
        <w:t xml:space="preserve"> more quickly</w:t>
      </w:r>
      <w:r w:rsidR="00B0189E">
        <w:t xml:space="preserve">. For this reason the </w:t>
      </w:r>
      <w:r w:rsidR="002A128D">
        <w:t>Scottish Qualifications Authority</w:t>
      </w:r>
      <w:r w:rsidR="00ED19F0">
        <w:t xml:space="preserve"> wants </w:t>
      </w:r>
      <w:r w:rsidR="001F24CB">
        <w:t xml:space="preserve">those </w:t>
      </w:r>
      <w:r w:rsidR="00ED19F0">
        <w:t xml:space="preserve">awarding bodies submitting qualifications for accreditation </w:t>
      </w:r>
      <w:r w:rsidR="00C45F1E">
        <w:t xml:space="preserve">to </w:t>
      </w:r>
      <w:r w:rsidR="00B64818">
        <w:t>refrain from duplicating</w:t>
      </w:r>
      <w:r w:rsidR="00ED19F0">
        <w:t xml:space="preserve"> any material </w:t>
      </w:r>
      <w:r w:rsidR="001F24CB">
        <w:t>provided to the authority before</w:t>
      </w:r>
      <w:r w:rsidR="00ED19F0">
        <w:t>hand</w:t>
      </w:r>
      <w:r w:rsidR="00B0189E">
        <w:t xml:space="preserve"> (only quoting</w:t>
      </w:r>
      <w:r w:rsidR="000C1EBC">
        <w:t xml:space="preserve"> </w:t>
      </w:r>
      <w:r w:rsidR="00930D85" w:rsidRPr="00930D85">
        <w:t>the</w:t>
      </w:r>
      <w:r w:rsidR="00B0189E">
        <w:t xml:space="preserve"> reference numbers of documents that reside in the SQA data repositories)</w:t>
      </w:r>
      <w:r w:rsidR="00B64818">
        <w:t>.</w:t>
      </w:r>
    </w:p>
    <w:p w:rsidR="00AD0DB2" w:rsidRDefault="00AF7175" w:rsidP="00CB29AE">
      <w:pPr>
        <w:pStyle w:val="Text"/>
      </w:pPr>
      <w:r>
        <w:t xml:space="preserve">A </w:t>
      </w:r>
      <w:r w:rsidR="00ED19F0">
        <w:t>maximum of five years is allowed for accreditation periods</w:t>
      </w:r>
      <w:r w:rsidR="001F24CB">
        <w:t>,</w:t>
      </w:r>
      <w:r w:rsidR="00ED19F0">
        <w:t xml:space="preserve"> with the SQA identifying the period in which this duration is to commence (generally the date of the meeting of the Accreditation Coordination Group</w:t>
      </w:r>
      <w:r w:rsidR="001F24CB">
        <w:t>,</w:t>
      </w:r>
      <w:r w:rsidR="00ED19F0">
        <w:t xml:space="preserve"> where decisions about accreditation approval are made). </w:t>
      </w:r>
      <w:r w:rsidR="00E45572">
        <w:t>The</w:t>
      </w:r>
      <w:r w:rsidR="00C71EBF">
        <w:t>re are six key criteria use</w:t>
      </w:r>
      <w:r w:rsidR="00CE0A7A">
        <w:t>d</w:t>
      </w:r>
      <w:r w:rsidR="00C71EBF">
        <w:t xml:space="preserve"> for accrediting qualifications. Awarding bodies must </w:t>
      </w:r>
      <w:r w:rsidR="00C504E2">
        <w:t>‘</w:t>
      </w:r>
      <w:r w:rsidR="00ED19F0">
        <w:t>demonstrate that their systems and processes are robust and meet the demands of the Criteria</w:t>
      </w:r>
      <w:r w:rsidR="00AC7CA5">
        <w:rPr>
          <w:rStyle w:val="FootnoteReference"/>
        </w:rPr>
        <w:footnoteReference w:id="14"/>
      </w:r>
      <w:r w:rsidR="00ED19F0">
        <w:t xml:space="preserve"> for Accredited Qualifications</w:t>
      </w:r>
      <w:r w:rsidR="00C504E2">
        <w:t>’</w:t>
      </w:r>
      <w:r w:rsidR="00586EE5">
        <w:t xml:space="preserve">. </w:t>
      </w:r>
      <w:r w:rsidR="001F24CB">
        <w:t>The</w:t>
      </w:r>
      <w:r w:rsidR="00586EE5">
        <w:t xml:space="preserve"> bodies need to have in place </w:t>
      </w:r>
      <w:r w:rsidR="007D203F">
        <w:t xml:space="preserve">measures </w:t>
      </w:r>
      <w:r w:rsidR="001F24CB">
        <w:t xml:space="preserve">that </w:t>
      </w:r>
      <w:r w:rsidR="007D203F">
        <w:t xml:space="preserve">will enable them to </w:t>
      </w:r>
      <w:r w:rsidR="00586EE5">
        <w:t xml:space="preserve">meet the accreditation criteria. The criteria </w:t>
      </w:r>
      <w:r w:rsidR="001F24CB">
        <w:t xml:space="preserve">are </w:t>
      </w:r>
      <w:r w:rsidR="00586EE5">
        <w:t>concern</w:t>
      </w:r>
      <w:r w:rsidR="001F24CB">
        <w:t>ed with</w:t>
      </w:r>
      <w:r w:rsidR="00586EE5">
        <w:t xml:space="preserve"> processes for:</w:t>
      </w:r>
      <w:r w:rsidR="00251B6B">
        <w:t xml:space="preserve"> identifying the </w:t>
      </w:r>
      <w:r w:rsidR="001F24CB">
        <w:t>need/demand for a qualification;</w:t>
      </w:r>
      <w:r w:rsidR="00251B6B">
        <w:t xml:space="preserve"> designin</w:t>
      </w:r>
      <w:r w:rsidR="001F24CB">
        <w:t>g and developing qualifications;</w:t>
      </w:r>
      <w:r w:rsidR="00251B6B">
        <w:t xml:space="preserve"> maintaini</w:t>
      </w:r>
      <w:r w:rsidR="001F24CB">
        <w:t>ng and reviewing qualifications; designing assessment methods;</w:t>
      </w:r>
      <w:r w:rsidR="00251B6B">
        <w:t xml:space="preserve"> and designing quality assurance systems </w:t>
      </w:r>
      <w:r w:rsidR="001F24CB">
        <w:t>to</w:t>
      </w:r>
      <w:r w:rsidR="00251B6B">
        <w:t xml:space="preserve"> ensure the quality and consistency of assessment. They </w:t>
      </w:r>
      <w:r w:rsidR="00203AA5">
        <w:t>must also implement and quality-</w:t>
      </w:r>
      <w:r w:rsidR="00251B6B">
        <w:t>assure the assessment methods and delivery. (Detailed information on what is required to meet the different c</w:t>
      </w:r>
      <w:r w:rsidR="009E3303">
        <w:t>riteria ap</w:t>
      </w:r>
      <w:r w:rsidR="00B64818">
        <w:t>pears in a</w:t>
      </w:r>
      <w:r w:rsidR="009E3303">
        <w:t>ppendix A</w:t>
      </w:r>
      <w:r w:rsidR="00203AA5">
        <w:t>.</w:t>
      </w:r>
      <w:r w:rsidR="009E3303">
        <w:t>)</w:t>
      </w:r>
      <w:r w:rsidR="00251B6B">
        <w:t xml:space="preserve"> </w:t>
      </w:r>
    </w:p>
    <w:p w:rsidR="00203AA5" w:rsidRDefault="0089721C" w:rsidP="00203AA5">
      <w:pPr>
        <w:pStyle w:val="Heading3"/>
      </w:pPr>
      <w:r w:rsidRPr="0089721C">
        <w:t>South Korea</w:t>
      </w:r>
    </w:p>
    <w:p w:rsidR="00AD0DB2" w:rsidRDefault="00AD0DB2" w:rsidP="00CB29AE">
      <w:pPr>
        <w:pStyle w:val="Textlessbefore"/>
      </w:pPr>
      <w:r w:rsidRPr="00AD0DB2">
        <w:t xml:space="preserve">VET in South Korea comes under the responsibility of the Ministry of Employment and Labour. Qualifications are established under the </w:t>
      </w:r>
      <w:r w:rsidRPr="00203AA5">
        <w:rPr>
          <w:i/>
        </w:rPr>
        <w:t>National Technical Qualification Act</w:t>
      </w:r>
      <w:r w:rsidR="00AC7CA5" w:rsidRPr="00203AA5">
        <w:rPr>
          <w:i/>
        </w:rPr>
        <w:t xml:space="preserve"> </w:t>
      </w:r>
      <w:r w:rsidR="00AC7CA5">
        <w:t>(NTQC Act)</w:t>
      </w:r>
      <w:r w:rsidRPr="00AD0DB2">
        <w:t xml:space="preserve">. When professional organisations or related organisations want to develop new qualifications a request </w:t>
      </w:r>
      <w:r w:rsidR="00203AA5">
        <w:t xml:space="preserve">is made </w:t>
      </w:r>
      <w:r w:rsidR="00B64818">
        <w:t>to the m</w:t>
      </w:r>
      <w:r w:rsidRPr="00AD0DB2">
        <w:t>inistry.</w:t>
      </w:r>
      <w:r w:rsidR="00203AA5">
        <w:t xml:space="preserve"> The normal process is for the m</w:t>
      </w:r>
      <w:r w:rsidRPr="00AD0DB2">
        <w:t>inistry to ask th</w:t>
      </w:r>
      <w:r w:rsidR="00AC7CA5">
        <w:t xml:space="preserve">e Korea Research Institute for </w:t>
      </w:r>
      <w:r w:rsidRPr="00AD0DB2">
        <w:t xml:space="preserve">Vocational Education and Training (KRIVET) to review the need for such a qualification by surveying </w:t>
      </w:r>
      <w:r w:rsidR="00AC7CA5">
        <w:t xml:space="preserve">or </w:t>
      </w:r>
      <w:r w:rsidR="00AC7CA5">
        <w:lastRenderedPageBreak/>
        <w:t xml:space="preserve">consulting with </w:t>
      </w:r>
      <w:r w:rsidRPr="00AD0DB2">
        <w:t xml:space="preserve">relevant industry sectors for their </w:t>
      </w:r>
      <w:r w:rsidR="00AC7CA5">
        <w:t>views</w:t>
      </w:r>
      <w:r w:rsidRPr="00AD0DB2">
        <w:t>. The results of the</w:t>
      </w:r>
      <w:r w:rsidR="00203AA5">
        <w:t>se reviews are provided to the ministry. The m</w:t>
      </w:r>
      <w:r w:rsidRPr="00AD0DB2">
        <w:t>inistry will consult with other ministries that may be affected</w:t>
      </w:r>
      <w:r w:rsidR="00AC7CA5">
        <w:t xml:space="preserve"> by the introduction of the qualification</w:t>
      </w:r>
      <w:r w:rsidRPr="00AD0DB2">
        <w:t xml:space="preserve">. The NTQ Policy Deliberation Committee will make the final decision </w:t>
      </w:r>
      <w:r w:rsidR="00B64818">
        <w:t>on</w:t>
      </w:r>
      <w:r w:rsidRPr="00AD0DB2">
        <w:t xml:space="preserve"> whether or not to approve the qualification.</w:t>
      </w:r>
      <w:r w:rsidR="008C4214">
        <w:rPr>
          <w:rStyle w:val="FootnoteReference"/>
        </w:rPr>
        <w:footnoteReference w:id="15"/>
      </w:r>
      <w:r w:rsidRPr="00AD0DB2">
        <w:t xml:space="preserve"> </w:t>
      </w:r>
    </w:p>
    <w:p w:rsidR="00203AA5" w:rsidRDefault="00B86EB2" w:rsidP="00203AA5">
      <w:pPr>
        <w:pStyle w:val="Heading3"/>
      </w:pPr>
      <w:r w:rsidRPr="00423A9D">
        <w:t>Finland</w:t>
      </w:r>
    </w:p>
    <w:p w:rsidR="00B64818" w:rsidRDefault="002A188B" w:rsidP="00CB29AE">
      <w:pPr>
        <w:pStyle w:val="Textlessbefore"/>
        <w:ind w:right="-143"/>
      </w:pPr>
      <w:r w:rsidRPr="00012675">
        <w:t>The Finnish Nation</w:t>
      </w:r>
      <w:r w:rsidR="000C1EBC">
        <w:t xml:space="preserve">al Board of Education, which </w:t>
      </w:r>
      <w:r w:rsidRPr="00012675">
        <w:t>report</w:t>
      </w:r>
      <w:r w:rsidR="000C1EBC">
        <w:t>s</w:t>
      </w:r>
      <w:r w:rsidRPr="00012675">
        <w:t xml:space="preserve"> to the Ministry of Education and Culture</w:t>
      </w:r>
      <w:r w:rsidR="000C1EBC">
        <w:t>,</w:t>
      </w:r>
      <w:r w:rsidRPr="00012675">
        <w:t xml:space="preserve"> is responsible for identifying short</w:t>
      </w:r>
      <w:r w:rsidR="00203AA5">
        <w:t>-</w:t>
      </w:r>
      <w:r w:rsidRPr="00012675">
        <w:t xml:space="preserve"> and long-term demand for labour and qualifications</w:t>
      </w:r>
      <w:r w:rsidR="004714FF">
        <w:t xml:space="preserve"> (CEDEF</w:t>
      </w:r>
      <w:r w:rsidR="007C6FFC">
        <w:t>O</w:t>
      </w:r>
      <w:r w:rsidR="004714FF">
        <w:t>P 2012</w:t>
      </w:r>
      <w:r w:rsidR="000C07E1">
        <w:t>d</w:t>
      </w:r>
      <w:r w:rsidR="004714FF">
        <w:t>)</w:t>
      </w:r>
      <w:r w:rsidRPr="00012675">
        <w:t xml:space="preserve">. </w:t>
      </w:r>
      <w:r w:rsidR="00203AA5">
        <w:t>During</w:t>
      </w:r>
      <w:r w:rsidRPr="00012675">
        <w:t xml:space="preserve"> this </w:t>
      </w:r>
      <w:r w:rsidR="00203AA5">
        <w:t xml:space="preserve">process </w:t>
      </w:r>
      <w:r w:rsidRPr="00012675">
        <w:t>substantial cooperation with different ministries, research institutes, regional authorities and employer and trade union</w:t>
      </w:r>
      <w:r w:rsidR="00423C2D" w:rsidRPr="00012675">
        <w:t xml:space="preserve"> organisations</w:t>
      </w:r>
      <w:r w:rsidR="00203AA5">
        <w:t xml:space="preserve"> occurs</w:t>
      </w:r>
      <w:r w:rsidRPr="00012675">
        <w:t xml:space="preserve">. </w:t>
      </w:r>
      <w:r w:rsidR="00423C2D" w:rsidRPr="00012675">
        <w:t xml:space="preserve">The </w:t>
      </w:r>
      <w:r w:rsidR="00203AA5" w:rsidRPr="00012675">
        <w:t>Finnish National Board of Education</w:t>
      </w:r>
      <w:r w:rsidR="00423C2D" w:rsidRPr="00012675">
        <w:t xml:space="preserve">, higher education institutes and education providers are responsible for </w:t>
      </w:r>
      <w:r w:rsidR="00567F93">
        <w:t>investigating</w:t>
      </w:r>
      <w:r w:rsidR="00423C2D" w:rsidRPr="00012675">
        <w:t xml:space="preserve"> how changes in work practices impac</w:t>
      </w:r>
      <w:r w:rsidR="000C1EBC">
        <w:t>t on curricula</w:t>
      </w:r>
      <w:r w:rsidR="00203AA5">
        <w:t xml:space="preserve"> and qualifications. Government-</w:t>
      </w:r>
      <w:r w:rsidR="00423C2D" w:rsidRPr="00012675">
        <w:t xml:space="preserve">appointed </w:t>
      </w:r>
      <w:r w:rsidR="00734C8C" w:rsidRPr="00012675">
        <w:t xml:space="preserve">tripartite </w:t>
      </w:r>
      <w:r w:rsidR="00203AA5" w:rsidRPr="00012675">
        <w:t xml:space="preserve">national education and training committees </w:t>
      </w:r>
      <w:r w:rsidR="00734C8C" w:rsidRPr="00012675">
        <w:t>a</w:t>
      </w:r>
      <w:r w:rsidR="002C3B25" w:rsidRPr="00012675">
        <w:t xml:space="preserve">re given an </w:t>
      </w:r>
      <w:r w:rsidR="00734C8C" w:rsidRPr="00012675">
        <w:t>advisory role in ensuring effective cooperation between industr</w:t>
      </w:r>
      <w:r w:rsidR="00203AA5">
        <w:t>y and the VET sector nationally</w:t>
      </w:r>
      <w:r w:rsidR="00734C8C" w:rsidRPr="00012675">
        <w:t xml:space="preserve"> and are also invol</w:t>
      </w:r>
      <w:r w:rsidR="00B64818">
        <w:t>ved in identifying skill needs.</w:t>
      </w:r>
    </w:p>
    <w:p w:rsidR="00B64818" w:rsidRPr="00CB29AE" w:rsidRDefault="00734C8C" w:rsidP="00CB29AE">
      <w:pPr>
        <w:pStyle w:val="Text"/>
      </w:pPr>
      <w:r w:rsidRPr="00012675">
        <w:t>Since the 1990s education providers have been required to understand and respond to the skill demands of indu</w:t>
      </w:r>
      <w:r w:rsidR="00203AA5">
        <w:t xml:space="preserve">stry and </w:t>
      </w:r>
      <w:r w:rsidR="00B64818">
        <w:t xml:space="preserve">to </w:t>
      </w:r>
      <w:r w:rsidR="00203AA5">
        <w:t>regional development. The r</w:t>
      </w:r>
      <w:r w:rsidRPr="00012675">
        <w:t xml:space="preserve">esults of skills demand </w:t>
      </w:r>
      <w:r w:rsidR="002C3B25" w:rsidRPr="00012675">
        <w:t xml:space="preserve">analyses </w:t>
      </w:r>
      <w:r w:rsidRPr="00012675">
        <w:t xml:space="preserve">and </w:t>
      </w:r>
      <w:r w:rsidR="002C3B25" w:rsidRPr="00012675">
        <w:t xml:space="preserve">consultations on the </w:t>
      </w:r>
      <w:r w:rsidRPr="00012675">
        <w:t xml:space="preserve">impact </w:t>
      </w:r>
      <w:r w:rsidR="002C3B25" w:rsidRPr="00012675">
        <w:t xml:space="preserve">of skills demands </w:t>
      </w:r>
      <w:r w:rsidRPr="00012675">
        <w:t xml:space="preserve">on </w:t>
      </w:r>
      <w:r w:rsidR="000C1EBC">
        <w:t xml:space="preserve">the </w:t>
      </w:r>
      <w:r w:rsidRPr="00012675">
        <w:t>curricul</w:t>
      </w:r>
      <w:r w:rsidR="000C1EBC">
        <w:t>a</w:t>
      </w:r>
      <w:r w:rsidRPr="00012675">
        <w:t xml:space="preserve"> and qualifications are used </w:t>
      </w:r>
      <w:r w:rsidR="002C3B25" w:rsidRPr="00012675">
        <w:t>to develop</w:t>
      </w:r>
      <w:r w:rsidR="00012675" w:rsidRPr="00012675">
        <w:t xml:space="preserve"> national core curricula</w:t>
      </w:r>
      <w:r w:rsidR="00567F93">
        <w:t xml:space="preserve"> (in certain areas)</w:t>
      </w:r>
      <w:r w:rsidR="00012675" w:rsidRPr="00012675">
        <w:t xml:space="preserve"> and in </w:t>
      </w:r>
      <w:r w:rsidRPr="00012675">
        <w:t xml:space="preserve">curriculum planning and the development of the content of education and training. The </w:t>
      </w:r>
      <w:r w:rsidR="00203AA5" w:rsidRPr="00012675">
        <w:t>Finnish National Board of Education</w:t>
      </w:r>
      <w:r w:rsidRPr="00012675">
        <w:t xml:space="preserve"> </w:t>
      </w:r>
      <w:r w:rsidR="002C3B25" w:rsidRPr="00012675">
        <w:t xml:space="preserve">takes a lead role in the </w:t>
      </w:r>
      <w:r w:rsidRPr="00012675">
        <w:t xml:space="preserve">development of qualification requirements and carries out this role in conjunction with representatives of employers, employees and the education </w:t>
      </w:r>
      <w:r w:rsidRPr="00CB29AE">
        <w:t xml:space="preserve">sector. Where self-employment is </w:t>
      </w:r>
      <w:r w:rsidR="002C3B25" w:rsidRPr="00CB29AE">
        <w:t>common in</w:t>
      </w:r>
      <w:r w:rsidRPr="00CB29AE">
        <w:t xml:space="preserve"> an industry sector </w:t>
      </w:r>
      <w:r w:rsidR="002C3B25" w:rsidRPr="00CB29AE">
        <w:t>or occupation</w:t>
      </w:r>
      <w:r w:rsidR="00203AA5" w:rsidRPr="00CB29AE">
        <w:t>,</w:t>
      </w:r>
      <w:r w:rsidR="002C3B25" w:rsidRPr="00CB29AE">
        <w:t xml:space="preserve"> </w:t>
      </w:r>
      <w:r w:rsidR="00203AA5" w:rsidRPr="00CB29AE">
        <w:t>independent self-</w:t>
      </w:r>
      <w:r w:rsidRPr="00CB29AE">
        <w:t xml:space="preserve">employed persons </w:t>
      </w:r>
      <w:r w:rsidR="00B64818" w:rsidRPr="00CB29AE">
        <w:t>are involved</w:t>
      </w:r>
      <w:r w:rsidRPr="00CB29AE">
        <w:t xml:space="preserve">. </w:t>
      </w:r>
    </w:p>
    <w:p w:rsidR="005A2502" w:rsidRDefault="00203AA5" w:rsidP="00CB29AE">
      <w:pPr>
        <w:pStyle w:val="Text"/>
      </w:pPr>
      <w:r w:rsidRPr="00CB29AE">
        <w:t>Vocational e</w:t>
      </w:r>
      <w:r w:rsidR="00567F93" w:rsidRPr="00CB29AE">
        <w:t xml:space="preserve">ducation is based on modules. </w:t>
      </w:r>
      <w:r w:rsidR="002C3B25" w:rsidRPr="00CB29AE">
        <w:t>The qualification requirements</w:t>
      </w:r>
      <w:r w:rsidR="002C3B25" w:rsidRPr="00012675">
        <w:t xml:space="preserve"> are used to decide the modules in a qualification or in any specialisations. The requirements also spell out the composition of the qualification, the vocational skills required for each module, guidelines for assessment</w:t>
      </w:r>
      <w:r>
        <w:t>,</w:t>
      </w:r>
      <w:r w:rsidR="002C3B25" w:rsidRPr="00012675">
        <w:t xml:space="preserve"> including targets and criteria, and the ways for demonstrating vocational skills. The requirements and the competences </w:t>
      </w:r>
      <w:r w:rsidR="000C1EBC">
        <w:t>specified</w:t>
      </w:r>
      <w:r w:rsidR="002C3B25" w:rsidRPr="00012675">
        <w:t xml:space="preserve"> are used to identify how vocational skills can be demonstrated and assessed. The qualification requirements must be adhered to </w:t>
      </w:r>
      <w:r w:rsidR="00B64818">
        <w:t>by VET providers and competence test organisers</w:t>
      </w:r>
      <w:r w:rsidR="002C3B25" w:rsidRPr="00012675">
        <w:t xml:space="preserve"> or </w:t>
      </w:r>
      <w:r w:rsidRPr="00012675">
        <w:t xml:space="preserve">qualification committees </w:t>
      </w:r>
      <w:r w:rsidR="00012675" w:rsidRPr="00012675">
        <w:t xml:space="preserve">appointed by the </w:t>
      </w:r>
      <w:r w:rsidRPr="00012675">
        <w:t>Finnish National Board of Education</w:t>
      </w:r>
      <w:r w:rsidR="00012675" w:rsidRPr="00012675">
        <w:t xml:space="preserve">. These field-specific committees have representation from employers, employees, teachers and professionals. The committees monitor competence testing and award certificates. </w:t>
      </w:r>
    </w:p>
    <w:p w:rsidR="00203AA5" w:rsidRDefault="003B7077" w:rsidP="00203AA5">
      <w:pPr>
        <w:pStyle w:val="Heading3"/>
      </w:pPr>
      <w:r>
        <w:t>Germany</w:t>
      </w:r>
    </w:p>
    <w:p w:rsidR="005E054E" w:rsidRDefault="003B7077" w:rsidP="00CB29AE">
      <w:pPr>
        <w:pStyle w:val="Textlessbefore"/>
      </w:pPr>
      <w:r w:rsidRPr="00BD265C">
        <w:t xml:space="preserve">The development of </w:t>
      </w:r>
      <w:r w:rsidR="005E054E" w:rsidRPr="00BD265C">
        <w:t xml:space="preserve">VET </w:t>
      </w:r>
      <w:r w:rsidRPr="00BD265C">
        <w:t xml:space="preserve">qualifications </w:t>
      </w:r>
      <w:r w:rsidR="00B22A06" w:rsidRPr="00BD265C">
        <w:t xml:space="preserve">in Germany </w:t>
      </w:r>
      <w:r w:rsidRPr="00BD265C">
        <w:t xml:space="preserve">is based on standards for </w:t>
      </w:r>
      <w:r w:rsidR="00EE57C3">
        <w:t>state-</w:t>
      </w:r>
      <w:r w:rsidRPr="00BD265C">
        <w:t>recognised training occupations or vocational education</w:t>
      </w:r>
      <w:r w:rsidR="002F1950">
        <w:t xml:space="preserve"> (CEDEFOP 2010)</w:t>
      </w:r>
      <w:r w:rsidRPr="00BD265C">
        <w:t xml:space="preserve">. </w:t>
      </w:r>
      <w:r w:rsidR="00B22A06" w:rsidRPr="00BD265C">
        <w:t xml:space="preserve">These standards are developed through collaboration between </w:t>
      </w:r>
      <w:r w:rsidR="00EE57C3">
        <w:t xml:space="preserve">the </w:t>
      </w:r>
      <w:r w:rsidR="00B22A06" w:rsidRPr="00BD265C">
        <w:t>government and the social partners</w:t>
      </w:r>
      <w:r w:rsidR="00EE57C3">
        <w:t>,</w:t>
      </w:r>
      <w:r w:rsidR="00B22A06" w:rsidRPr="00BD265C">
        <w:t xml:space="preserve"> with employers coming together to determine the employment requirements for the standard. </w:t>
      </w:r>
      <w:r w:rsidR="005E054E" w:rsidRPr="00BD265C">
        <w:t>The training standards set out the specificati</w:t>
      </w:r>
      <w:r w:rsidR="00EE57C3">
        <w:t>ons and assessment requirements</w:t>
      </w:r>
      <w:r w:rsidR="005E054E" w:rsidRPr="00BD265C">
        <w:t xml:space="preserve"> and the time to be spent in training. These are incorporated into </w:t>
      </w:r>
      <w:r w:rsidR="00BD265C" w:rsidRPr="00BD265C">
        <w:t xml:space="preserve">vocational </w:t>
      </w:r>
      <w:r w:rsidR="005E054E" w:rsidRPr="00BD265C">
        <w:t>training regulations and approved by the Federal-</w:t>
      </w:r>
      <w:proofErr w:type="spellStart"/>
      <w:r w:rsidR="005E054E" w:rsidRPr="00BD265C">
        <w:t>Länder</w:t>
      </w:r>
      <w:proofErr w:type="spellEnd"/>
      <w:r w:rsidR="00673EC3">
        <w:t xml:space="preserve"> </w:t>
      </w:r>
      <w:r w:rsidR="005E054E" w:rsidRPr="00BD265C">
        <w:t>Coordination Committee for Vocational Training Regulations/Framework Curricula</w:t>
      </w:r>
      <w:r w:rsidR="00BD265C" w:rsidRPr="00BD265C">
        <w:t xml:space="preserve">. The </w:t>
      </w:r>
      <w:proofErr w:type="spellStart"/>
      <w:r w:rsidR="00BD265C" w:rsidRPr="00BD265C">
        <w:t>Länder</w:t>
      </w:r>
      <w:proofErr w:type="spellEnd"/>
      <w:r w:rsidR="00BD265C" w:rsidRPr="00BD265C">
        <w:t xml:space="preserve"> adopt the framework curricul</w:t>
      </w:r>
      <w:r w:rsidR="000C1EBC">
        <w:t>a</w:t>
      </w:r>
      <w:r w:rsidR="00BD265C" w:rsidRPr="00BD265C">
        <w:t xml:space="preserve"> for incorporation into </w:t>
      </w:r>
      <w:r w:rsidR="000C1EBC">
        <w:t>the curriculum of part-time vocational schools</w:t>
      </w:r>
      <w:r w:rsidR="00BD265C" w:rsidRPr="00BD265C">
        <w:t>.</w:t>
      </w:r>
      <w:r w:rsidR="005E054E" w:rsidRPr="00BD265C">
        <w:t xml:space="preserve"> </w:t>
      </w:r>
      <w:r w:rsidR="00BD265C">
        <w:t>Industry associations, trad</w:t>
      </w:r>
      <w:r w:rsidR="00B64818">
        <w:t>e unions, peak employer bodies</w:t>
      </w:r>
      <w:r w:rsidR="00BD265C">
        <w:t xml:space="preserve"> and the Federal Institute for Vocation</w:t>
      </w:r>
      <w:r w:rsidR="00DA3594">
        <w:t>al Education and Training</w:t>
      </w:r>
      <w:r w:rsidR="000C1EBC">
        <w:t xml:space="preserve"> (BIBB)</w:t>
      </w:r>
      <w:r w:rsidR="00BD265C">
        <w:t xml:space="preserve"> may initiate moves for</w:t>
      </w:r>
      <w:r w:rsidR="000C1EBC">
        <w:t xml:space="preserve"> the</w:t>
      </w:r>
      <w:r w:rsidR="00BD265C">
        <w:t xml:space="preserve"> development of new training occupations or </w:t>
      </w:r>
      <w:r w:rsidR="00BD265C">
        <w:lastRenderedPageBreak/>
        <w:t xml:space="preserve">modifications to existing ones. The </w:t>
      </w:r>
      <w:r w:rsidR="00DA3594">
        <w:t>federal ministry</w:t>
      </w:r>
      <w:r w:rsidR="00EE57C3">
        <w:t>,</w:t>
      </w:r>
      <w:r w:rsidR="00BD265C">
        <w:t xml:space="preserve"> in conjunction with </w:t>
      </w:r>
      <w:proofErr w:type="spellStart"/>
      <w:r w:rsidR="00BD265C" w:rsidRPr="00BD265C">
        <w:t>Länder</w:t>
      </w:r>
      <w:proofErr w:type="spellEnd"/>
      <w:r w:rsidR="00BD265C">
        <w:t xml:space="preserve"> governments</w:t>
      </w:r>
      <w:r w:rsidR="00EE57C3">
        <w:t>,</w:t>
      </w:r>
      <w:r w:rsidR="00BD265C">
        <w:t xml:space="preserve"> will decide whether or not to go ahead with the changes. BIBB wi</w:t>
      </w:r>
      <w:r w:rsidR="00EE57C3">
        <w:t>ll act in an advisory role and</w:t>
      </w:r>
      <w:r w:rsidR="00BD265C">
        <w:t xml:space="preserve"> will also undertake research to justify claims for the changes prior to governments making final decisions. </w:t>
      </w:r>
    </w:p>
    <w:p w:rsidR="00EE57C3" w:rsidRDefault="000A126C" w:rsidP="00DA3594">
      <w:pPr>
        <w:pStyle w:val="Heading3"/>
      </w:pPr>
      <w:r w:rsidRPr="00467A3C">
        <w:t>Sweden</w:t>
      </w:r>
    </w:p>
    <w:p w:rsidR="00DA3594" w:rsidRDefault="004629AC" w:rsidP="00A95601">
      <w:pPr>
        <w:pStyle w:val="Textlessbefore"/>
      </w:pPr>
      <w:r>
        <w:rPr>
          <w:b/>
        </w:rPr>
        <w:t>S</w:t>
      </w:r>
      <w:r w:rsidR="00467A3C">
        <w:t xml:space="preserve">econdary </w:t>
      </w:r>
      <w:r w:rsidR="00BD3B03">
        <w:t xml:space="preserve">VET </w:t>
      </w:r>
      <w:r>
        <w:t xml:space="preserve">diploma </w:t>
      </w:r>
      <w:r w:rsidR="00BD3B03">
        <w:t xml:space="preserve">qualifications </w:t>
      </w:r>
      <w:r w:rsidR="00467A3C">
        <w:t xml:space="preserve">(including </w:t>
      </w:r>
      <w:r w:rsidR="00BD3B03">
        <w:t xml:space="preserve">for </w:t>
      </w:r>
      <w:r w:rsidR="00467A3C">
        <w:t xml:space="preserve">apprenticeships) </w:t>
      </w:r>
      <w:r w:rsidR="00EE57C3">
        <w:t>— government-</w:t>
      </w:r>
      <w:r w:rsidR="00EE57C3" w:rsidRPr="00EE57C3">
        <w:t>regulated upper-VET qualifications</w:t>
      </w:r>
      <w:r w:rsidR="00EE57C3">
        <w:t xml:space="preserve"> —</w:t>
      </w:r>
      <w:r w:rsidR="00EE57C3">
        <w:rPr>
          <w:b/>
        </w:rPr>
        <w:t xml:space="preserve"> </w:t>
      </w:r>
      <w:r w:rsidR="00BD3B03">
        <w:t xml:space="preserve">are those </w:t>
      </w:r>
      <w:r w:rsidR="00EE57C3">
        <w:t xml:space="preserve">undertaken in upper </w:t>
      </w:r>
      <w:r w:rsidR="00BD3B03">
        <w:t>secondary schools or</w:t>
      </w:r>
      <w:r w:rsidR="000C1EBC">
        <w:t xml:space="preserve"> via</w:t>
      </w:r>
      <w:r w:rsidR="00BD3B03">
        <w:t xml:space="preserve"> municipal adult education. Accredited </w:t>
      </w:r>
      <w:r w:rsidR="00467A3C">
        <w:t xml:space="preserve">higher advanced vocational </w:t>
      </w:r>
      <w:r w:rsidR="009648E1">
        <w:t xml:space="preserve">qualifications can be undertaken in </w:t>
      </w:r>
      <w:r w:rsidR="00BD3B03">
        <w:t>institutions for advanced higher vocational education</w:t>
      </w:r>
      <w:r w:rsidR="00A049E9">
        <w:t>.</w:t>
      </w:r>
      <w:r w:rsidR="009648E1">
        <w:t xml:space="preserve"> They are regulated through relevant acts and ordinances. </w:t>
      </w:r>
      <w:r>
        <w:t>These qualifications are based on a</w:t>
      </w:r>
      <w:r w:rsidR="009648E1">
        <w:t xml:space="preserve"> modularised approach to enable students to build up </w:t>
      </w:r>
      <w:r w:rsidR="00C53ABD">
        <w:t xml:space="preserve">credit for </w:t>
      </w:r>
      <w:r w:rsidR="009648E1">
        <w:t xml:space="preserve">qualifications. An upper secondary diploma </w:t>
      </w:r>
      <w:r w:rsidR="00475137">
        <w:t>requires</w:t>
      </w:r>
      <w:r w:rsidR="00EE57C3">
        <w:t xml:space="preserve"> around 2500 credits;</w:t>
      </w:r>
      <w:r w:rsidR="00BD3B03">
        <w:t xml:space="preserve"> one </w:t>
      </w:r>
      <w:r>
        <w:t xml:space="preserve">from </w:t>
      </w:r>
      <w:r w:rsidR="00BD3B03">
        <w:t xml:space="preserve">municipal adult education </w:t>
      </w:r>
      <w:r>
        <w:t>requires</w:t>
      </w:r>
      <w:r w:rsidR="00EE57C3">
        <w:t xml:space="preserve"> around 2</w:t>
      </w:r>
      <w:r w:rsidR="00BD3B03">
        <w:t>400 credits</w:t>
      </w:r>
      <w:r w:rsidR="00EE57C3">
        <w:t>;</w:t>
      </w:r>
      <w:r>
        <w:t xml:space="preserve"> diplomas and advanced diplomas of higher VET require 200</w:t>
      </w:r>
      <w:r w:rsidR="008C4214">
        <w:t xml:space="preserve"> </w:t>
      </w:r>
      <w:r>
        <w:t>credits and 400 credits respectively</w:t>
      </w:r>
      <w:r w:rsidR="00503C7E">
        <w:t xml:space="preserve"> (CEDEFOP 2014</w:t>
      </w:r>
      <w:r w:rsidR="00EE57C3">
        <w:t>h</w:t>
      </w:r>
      <w:r w:rsidR="00503C7E">
        <w:t>)</w:t>
      </w:r>
      <w:r w:rsidR="004714FF">
        <w:t>.</w:t>
      </w:r>
      <w:r w:rsidR="00475137">
        <w:t xml:space="preserve"> Work-based learning is included as a component of all vocational qualifications and for the upper secondary qualification requires around 15 weeks over three years</w:t>
      </w:r>
      <w:r>
        <w:t xml:space="preserve">. The higher VET diplomas and advanced diplomas require around a quarter of the time to </w:t>
      </w:r>
      <w:r w:rsidR="00DA3594">
        <w:t>be spent in workplace learning.</w:t>
      </w:r>
    </w:p>
    <w:p w:rsidR="00DA3594" w:rsidRPr="00A95601" w:rsidRDefault="00467A3C" w:rsidP="00A95601">
      <w:pPr>
        <w:pStyle w:val="Text"/>
      </w:pPr>
      <w:r>
        <w:t xml:space="preserve">Responsibility for identifying and developing goals and syllabi for </w:t>
      </w:r>
      <w:r w:rsidR="002B134B">
        <w:t xml:space="preserve">different subjects leading to </w:t>
      </w:r>
      <w:r w:rsidR="00DA3594">
        <w:t xml:space="preserve">the upper </w:t>
      </w:r>
      <w:r>
        <w:t>secondary vocational qualification (the diploma) is the responsibility of the government</w:t>
      </w:r>
      <w:r w:rsidR="000C1EBC">
        <w:t>,</w:t>
      </w:r>
      <w:r>
        <w:t xml:space="preserve"> through the National Agency for Education</w:t>
      </w:r>
      <w:r w:rsidR="00EE57C3">
        <w:t xml:space="preserve"> (CEDEFOP</w:t>
      </w:r>
      <w:r w:rsidR="004714FF">
        <w:t xml:space="preserve"> 2012</w:t>
      </w:r>
      <w:r w:rsidR="000C07E1">
        <w:t>e</w:t>
      </w:r>
      <w:r w:rsidR="004714FF">
        <w:t>)</w:t>
      </w:r>
      <w:r>
        <w:t xml:space="preserve">. </w:t>
      </w:r>
      <w:r w:rsidR="002B134B">
        <w:t xml:space="preserve">The </w:t>
      </w:r>
      <w:r w:rsidR="004629AC">
        <w:t xml:space="preserve">identification and </w:t>
      </w:r>
      <w:r w:rsidR="002B134B">
        <w:t>development of these aims, core contents and knowledge requirements is done via in-person and online consultation with relevant stakeholder groups (including teachers, resear</w:t>
      </w:r>
      <w:r w:rsidR="00DA3594">
        <w:t>chers, industry representatives</w:t>
      </w:r>
      <w:r w:rsidR="004629AC">
        <w:t xml:space="preserve"> and</w:t>
      </w:r>
      <w:r w:rsidR="002B134B">
        <w:t xml:space="preserve"> </w:t>
      </w:r>
      <w:r w:rsidR="00DA3594">
        <w:t xml:space="preserve">the </w:t>
      </w:r>
      <w:r w:rsidR="002B134B">
        <w:t xml:space="preserve">labour market partners). There is also </w:t>
      </w:r>
      <w:r w:rsidR="00EE57C3">
        <w:t xml:space="preserve">an </w:t>
      </w:r>
      <w:r w:rsidR="002B134B">
        <w:t xml:space="preserve">opportunity for </w:t>
      </w:r>
      <w:r w:rsidR="002B134B" w:rsidRPr="00A95601">
        <w:t xml:space="preserve">schools to request approval for </w:t>
      </w:r>
      <w:r w:rsidR="00EE57C3" w:rsidRPr="00A95601">
        <w:t xml:space="preserve">a </w:t>
      </w:r>
      <w:r w:rsidR="002B134B" w:rsidRPr="00A95601">
        <w:t>variation of content to suit local need.</w:t>
      </w:r>
    </w:p>
    <w:p w:rsidR="00DA3594" w:rsidRPr="00A95601" w:rsidRDefault="00DA3594" w:rsidP="00A95601">
      <w:pPr>
        <w:pStyle w:val="Text"/>
      </w:pPr>
      <w:r w:rsidRPr="00A95601">
        <w:t>T</w:t>
      </w:r>
      <w:r w:rsidR="00467A3C" w:rsidRPr="00A95601">
        <w:t>he</w:t>
      </w:r>
      <w:r w:rsidR="002B134B" w:rsidRPr="00A95601">
        <w:t xml:space="preserve"> development of goals, syllabi and education plans </w:t>
      </w:r>
      <w:r w:rsidR="00467A3C" w:rsidRPr="00A95601">
        <w:t>in higher vocational education is the responsibility of the training providers themselves and the Swedish National Agency for Vocational Higher Education</w:t>
      </w:r>
      <w:r w:rsidR="00B05CEF" w:rsidRPr="00A95601">
        <w:t xml:space="preserve">. </w:t>
      </w:r>
      <w:r w:rsidR="00EE57C3" w:rsidRPr="00A95601">
        <w:t>This a</w:t>
      </w:r>
      <w:r w:rsidR="00B05CEF" w:rsidRPr="00A95601">
        <w:t xml:space="preserve">gency also makes </w:t>
      </w:r>
      <w:r w:rsidR="002B134B" w:rsidRPr="00A95601">
        <w:t>information</w:t>
      </w:r>
      <w:r w:rsidR="00B05CEF" w:rsidRPr="00A95601">
        <w:t xml:space="preserve"> </w:t>
      </w:r>
      <w:r w:rsidR="002B134B" w:rsidRPr="00A95601">
        <w:t>on labour market needs for different fields and regions</w:t>
      </w:r>
      <w:r w:rsidR="00EE57C3" w:rsidRPr="00A95601">
        <w:t xml:space="preserve"> available to providers</w:t>
      </w:r>
      <w:r w:rsidR="00B05CEF" w:rsidRPr="00A95601">
        <w:t xml:space="preserve">. </w:t>
      </w:r>
      <w:r w:rsidR="004629AC" w:rsidRPr="00A95601">
        <w:t>Providers must develop e</w:t>
      </w:r>
      <w:r w:rsidR="002B134B" w:rsidRPr="00A95601">
        <w:t xml:space="preserve">ducation plans </w:t>
      </w:r>
      <w:r w:rsidR="004629AC" w:rsidRPr="00A95601">
        <w:t xml:space="preserve">to </w:t>
      </w:r>
      <w:r w:rsidR="002B134B" w:rsidRPr="00A95601">
        <w:t>describe t</w:t>
      </w:r>
      <w:r w:rsidR="00A049E9" w:rsidRPr="00A95601">
        <w:t xml:space="preserve">he learning outcomes (that is, </w:t>
      </w:r>
      <w:r w:rsidR="002B134B" w:rsidRPr="00A95601">
        <w:t>kn</w:t>
      </w:r>
      <w:r w:rsidR="00B5249B" w:rsidRPr="00A95601">
        <w:t>owledge, skills and competence) and</w:t>
      </w:r>
      <w:r w:rsidR="002B134B" w:rsidRPr="00A95601">
        <w:t xml:space="preserve"> </w:t>
      </w:r>
      <w:r w:rsidR="00EE57C3" w:rsidRPr="00A95601">
        <w:t xml:space="preserve">provide </w:t>
      </w:r>
      <w:r w:rsidR="002B134B" w:rsidRPr="00A95601">
        <w:t xml:space="preserve">information on courses </w:t>
      </w:r>
      <w:r w:rsidR="00B5249B" w:rsidRPr="00A95601">
        <w:t>and assessment for students</w:t>
      </w:r>
      <w:r w:rsidR="002B134B" w:rsidRPr="00A95601">
        <w:t xml:space="preserve"> </w:t>
      </w:r>
      <w:r w:rsidR="006A1B59" w:rsidRPr="00A95601">
        <w:t xml:space="preserve">and </w:t>
      </w:r>
      <w:r w:rsidR="0048780E" w:rsidRPr="00A95601">
        <w:t xml:space="preserve">a list of </w:t>
      </w:r>
      <w:r w:rsidR="00B5249B" w:rsidRPr="00A95601">
        <w:t xml:space="preserve">the </w:t>
      </w:r>
      <w:r w:rsidR="006A1B59" w:rsidRPr="00A95601">
        <w:t>o</w:t>
      </w:r>
      <w:r w:rsidR="002B134B" w:rsidRPr="00A95601">
        <w:t>rganisation</w:t>
      </w:r>
      <w:r w:rsidR="0048780E" w:rsidRPr="00A95601">
        <w:t>s</w:t>
      </w:r>
      <w:r w:rsidR="002B134B" w:rsidRPr="00A95601">
        <w:t xml:space="preserve"> that have been involved in the development of these plans. </w:t>
      </w:r>
      <w:r w:rsidR="006A1B59" w:rsidRPr="00A95601">
        <w:t>Applications for approval to run the programs are to be accompanied by the labour market information provided by National Agency for Vocatio</w:t>
      </w:r>
      <w:r w:rsidR="00B5249B" w:rsidRPr="00A95601">
        <w:t>nal Higher Education. The a</w:t>
      </w:r>
      <w:r w:rsidR="006A1B59" w:rsidRPr="00A95601">
        <w:t xml:space="preserve">gency also specifies the knowledge, skills and competence requirements for those programs </w:t>
      </w:r>
      <w:r w:rsidR="00B5249B" w:rsidRPr="00A95601">
        <w:t>and these</w:t>
      </w:r>
      <w:r w:rsidR="006A1B59" w:rsidRPr="00A95601">
        <w:t xml:space="preserve"> ne</w:t>
      </w:r>
      <w:r w:rsidRPr="00A95601">
        <w:t>ed to be nationally consistent.</w:t>
      </w:r>
    </w:p>
    <w:p w:rsidR="000A126C" w:rsidRDefault="006A1B59" w:rsidP="00A95601">
      <w:pPr>
        <w:pStyle w:val="Text"/>
      </w:pPr>
      <w:r w:rsidRPr="00A95601">
        <w:t xml:space="preserve">Close collaboration between </w:t>
      </w:r>
      <w:r w:rsidR="00DA3594" w:rsidRPr="00A95601">
        <w:t xml:space="preserve">the </w:t>
      </w:r>
      <w:r w:rsidRPr="00A95601">
        <w:t>government and</w:t>
      </w:r>
      <w:r>
        <w:t xml:space="preserve"> the </w:t>
      </w:r>
      <w:r w:rsidR="00B5249B">
        <w:t xml:space="preserve">social partners </w:t>
      </w:r>
      <w:r>
        <w:t xml:space="preserve">(including </w:t>
      </w:r>
      <w:r w:rsidR="00B5249B">
        <w:t>six to ten</w:t>
      </w:r>
      <w:r>
        <w:t xml:space="preserve"> representatives from industry, employers and employee organisations and authorities) is reflec</w:t>
      </w:r>
      <w:r w:rsidR="004629AC">
        <w:t xml:space="preserve">ted in the establishment of 12 </w:t>
      </w:r>
      <w:r w:rsidR="00B5249B">
        <w:t xml:space="preserve">national program councils </w:t>
      </w:r>
      <w:r>
        <w:t xml:space="preserve">with advisory responsibilities for </w:t>
      </w:r>
      <w:r w:rsidR="00B5249B">
        <w:t xml:space="preserve">upper </w:t>
      </w:r>
      <w:r w:rsidR="004629AC">
        <w:t xml:space="preserve">secondary qualifications, including </w:t>
      </w:r>
      <w:r w:rsidR="00B5249B">
        <w:t>the contents of syllabi</w:t>
      </w:r>
      <w:r>
        <w:t xml:space="preserve"> and courses, in</w:t>
      </w:r>
      <w:r w:rsidR="00B05CEF">
        <w:t>-</w:t>
      </w:r>
      <w:r>
        <w:t>service training for teachers, educational contracts (apprenticeships</w:t>
      </w:r>
      <w:r w:rsidR="00B05CEF">
        <w:t>)</w:t>
      </w:r>
      <w:r w:rsidR="00B5249B">
        <w:t>,</w:t>
      </w:r>
      <w:r w:rsidR="00B05CEF">
        <w:t xml:space="preserve"> vocational education for adults, and labour market trends</w:t>
      </w:r>
      <w:r w:rsidR="004C670A">
        <w:t>.</w:t>
      </w:r>
      <w:r w:rsidR="00B05CEF">
        <w:t xml:space="preserve"> </w:t>
      </w:r>
      <w:r w:rsidR="00A049E9">
        <w:t xml:space="preserve">Stakeholder collaboration in making decisions about the content and direction </w:t>
      </w:r>
      <w:r w:rsidR="000C1EBC">
        <w:t>of</w:t>
      </w:r>
      <w:r w:rsidR="00A049E9">
        <w:t xml:space="preserve"> higher vocational education is also observed in the composition of </w:t>
      </w:r>
      <w:r w:rsidR="00B5249B">
        <w:t xml:space="preserve">the </w:t>
      </w:r>
      <w:r w:rsidR="00A049E9">
        <w:t>Labour Market Council</w:t>
      </w:r>
      <w:r w:rsidR="000C1EBC">
        <w:t>,</w:t>
      </w:r>
      <w:r w:rsidR="00A049E9">
        <w:t xml:space="preserve"> attached to the Swedish Agency for Vocational Highe</w:t>
      </w:r>
      <w:r w:rsidR="00DA3594">
        <w:t>r Education. The c</w:t>
      </w:r>
      <w:r w:rsidR="00A049E9">
        <w:t>ouncil</w:t>
      </w:r>
      <w:r w:rsidR="00B5249B">
        <w:t>,</w:t>
      </w:r>
      <w:r w:rsidR="00A049E9">
        <w:t xml:space="preserve"> with representation from public employment services and the social partners</w:t>
      </w:r>
      <w:r w:rsidR="004C670A">
        <w:t>,</w:t>
      </w:r>
      <w:r w:rsidR="004928F1">
        <w:t xml:space="preserve"> </w:t>
      </w:r>
      <w:r w:rsidR="00A049E9">
        <w:t xml:space="preserve">analyses industry trends to identify emerging industries or occupations, demands for new qualifications, and qualifications to be phased out. </w:t>
      </w:r>
    </w:p>
    <w:p w:rsidR="00A95601" w:rsidRDefault="00A95601">
      <w:pPr>
        <w:spacing w:before="0" w:line="240" w:lineRule="auto"/>
        <w:rPr>
          <w:rFonts w:ascii="Tahoma" w:hAnsi="Tahoma" w:cs="Tahoma"/>
          <w:color w:val="000000"/>
          <w:sz w:val="24"/>
        </w:rPr>
      </w:pPr>
      <w:r>
        <w:br w:type="page"/>
      </w:r>
    </w:p>
    <w:p w:rsidR="00B5249B" w:rsidRDefault="00E0408B" w:rsidP="00DA3594">
      <w:pPr>
        <w:pStyle w:val="Heading3"/>
      </w:pPr>
      <w:r w:rsidRPr="00E0408B">
        <w:lastRenderedPageBreak/>
        <w:t>Ontario, Canada</w:t>
      </w:r>
    </w:p>
    <w:p w:rsidR="00DA3594" w:rsidRDefault="00B5249B" w:rsidP="00A95601">
      <w:pPr>
        <w:pStyle w:val="Textlessbefore"/>
      </w:pPr>
      <w:r>
        <w:t>Ontario has a multi-</w:t>
      </w:r>
      <w:r w:rsidR="00E0408B">
        <w:t xml:space="preserve">layered approach to the development and approval of qualifications. Government and stakeholder groups (representatives from industry, professional associations, graduates of programs working in the field, universities, secondary schools, and students, faculty and </w:t>
      </w:r>
      <w:r w:rsidR="00E96BB6">
        <w:t xml:space="preserve">administrators at the colleges) </w:t>
      </w:r>
      <w:r w:rsidR="00E0408B">
        <w:t>work together to agree on program standards for different vocational qualifications. These standards must contain vocational skills, essential employability skills, and general education</w:t>
      </w:r>
      <w:r>
        <w:t>.</w:t>
      </w:r>
      <w:r w:rsidR="00DF5DA5">
        <w:rPr>
          <w:rStyle w:val="FootnoteReference"/>
        </w:rPr>
        <w:footnoteReference w:id="16"/>
      </w:r>
      <w:r w:rsidR="00E0408B">
        <w:t xml:space="preserve"> They </w:t>
      </w:r>
      <w:r w:rsidR="0048780E">
        <w:t xml:space="preserve">are </w:t>
      </w:r>
      <w:r w:rsidR="00E0408B">
        <w:t xml:space="preserve">written in terms of </w:t>
      </w:r>
      <w:r>
        <w:t xml:space="preserve">the </w:t>
      </w:r>
      <w:r w:rsidR="00E0408B">
        <w:t xml:space="preserve">learning outcomes required to ensure </w:t>
      </w:r>
      <w:r>
        <w:t xml:space="preserve">the </w:t>
      </w:r>
      <w:r w:rsidR="00E0408B">
        <w:t>relevant skills and knowledge required for graduates to enter employment. These program standards are legislated and must be applied in the programs of instruction developed by training providers. Before training providers can submit these programs for government approval (in order to deliver them) they must have them externally validated</w:t>
      </w:r>
      <w:r>
        <w:t>,</w:t>
      </w:r>
      <w:r w:rsidR="00E0408B">
        <w:t xml:space="preserve"> either by appropriately qualified and experienced external assessors in the case of private providers (private career colleges)</w:t>
      </w:r>
      <w:r>
        <w:t>,</w:t>
      </w:r>
      <w:r w:rsidR="00E0408B">
        <w:t xml:space="preserve"> or the </w:t>
      </w:r>
      <w:r w:rsidR="00C1319A">
        <w:t>Credential</w:t>
      </w:r>
      <w:r w:rsidR="00E0408B">
        <w:t xml:space="preserve"> Validation Service </w:t>
      </w:r>
      <w:r>
        <w:t>(Ontario C</w:t>
      </w:r>
      <w:r w:rsidR="00C1319A">
        <w:t>ollege Quality Assurance Services)</w:t>
      </w:r>
      <w:r w:rsidR="004714FF">
        <w:rPr>
          <w:rStyle w:val="FootnoteReference"/>
        </w:rPr>
        <w:footnoteReference w:id="17"/>
      </w:r>
      <w:r w:rsidR="00C1319A">
        <w:t xml:space="preserve"> </w:t>
      </w:r>
      <w:r w:rsidR="00E0408B">
        <w:t>for publically assisted colleges. This validation is used to assess the feasibility of delivery, their a</w:t>
      </w:r>
      <w:r w:rsidR="000C1EBC">
        <w:t>lignment with program standards</w:t>
      </w:r>
      <w:r w:rsidR="00E0408B">
        <w:t xml:space="preserve"> and the sound</w:t>
      </w:r>
      <w:r w:rsidR="00DA3594">
        <w:t>ness of the pedagogical approaches.</w:t>
      </w:r>
    </w:p>
    <w:p w:rsidR="00E0408B" w:rsidRDefault="00E0408B" w:rsidP="00A95601">
      <w:pPr>
        <w:pStyle w:val="Text"/>
      </w:pPr>
      <w:r>
        <w:t xml:space="preserve">The programs of instruction (for specific qualifications in specific fields) identify the minimum requirements for credentials to be awarded, the scope of the curriculum outcomes and </w:t>
      </w:r>
      <w:r w:rsidR="000C1EBC">
        <w:t xml:space="preserve">the </w:t>
      </w:r>
      <w:r>
        <w:t xml:space="preserve">breadth and depth of knowledge required </w:t>
      </w:r>
      <w:r w:rsidR="000C1EBC">
        <w:t>(</w:t>
      </w:r>
      <w:r>
        <w:t>acc</w:t>
      </w:r>
      <w:r w:rsidR="00B5249B">
        <w:t>ording to qualification level</w:t>
      </w:r>
      <w:r w:rsidR="000C1EBC">
        <w:t>)</w:t>
      </w:r>
      <w:r w:rsidR="00B5249B">
        <w:t>. The p</w:t>
      </w:r>
      <w:r>
        <w:t>rograms of instruction must provide information on the: complexity of knowledge and vocational outcomes</w:t>
      </w:r>
      <w:r w:rsidR="00B5249B">
        <w:t>,</w:t>
      </w:r>
      <w:r>
        <w:t xml:space="preserve"> including the</w:t>
      </w:r>
      <w:r w:rsidR="000C1EBC">
        <w:t xml:space="preserve"> essential employability skills</w:t>
      </w:r>
      <w:r>
        <w:t xml:space="preserve"> and </w:t>
      </w:r>
      <w:r w:rsidRPr="00A95601">
        <w:t>general</w:t>
      </w:r>
      <w:r>
        <w:t xml:space="preserve"> education requirements; typical duration for com</w:t>
      </w:r>
      <w:r w:rsidR="00B5249B">
        <w:t>pletion; admission requirements;</w:t>
      </w:r>
      <w:r>
        <w:t xml:space="preserve"> and </w:t>
      </w:r>
      <w:r w:rsidR="00B5249B">
        <w:t xml:space="preserve">the </w:t>
      </w:r>
      <w:r>
        <w:t xml:space="preserve">name of </w:t>
      </w:r>
      <w:r w:rsidR="00DA3594">
        <w:t xml:space="preserve">the </w:t>
      </w:r>
      <w:r>
        <w:t>credential to be applied. Features for not-for-credit qualif</w:t>
      </w:r>
      <w:r w:rsidR="00B5249B">
        <w:t>ications are locally determined;</w:t>
      </w:r>
      <w:r>
        <w:t xml:space="preserve"> however</w:t>
      </w:r>
      <w:r w:rsidR="00B5249B">
        <w:t>,</w:t>
      </w:r>
      <w:r>
        <w:t xml:space="preserve"> any qualifications awarded in these not-for-credit programs must not bear the name of approved qualifications. All other programs must meet all the learning outcomes specified in the program standards. </w:t>
      </w:r>
    </w:p>
    <w:p w:rsidR="002F086C" w:rsidRPr="002F086C" w:rsidRDefault="002F086C" w:rsidP="0089721C">
      <w:pPr>
        <w:pStyle w:val="Heading2"/>
      </w:pPr>
      <w:bookmarkStart w:id="42" w:name="_Toc406514236"/>
      <w:r w:rsidRPr="002F086C">
        <w:t>R</w:t>
      </w:r>
      <w:r>
        <w:t>ationalising and removing</w:t>
      </w:r>
      <w:r w:rsidRPr="002F086C">
        <w:t xml:space="preserve"> qualifications</w:t>
      </w:r>
      <w:bookmarkEnd w:id="42"/>
    </w:p>
    <w:p w:rsidR="000C20C8" w:rsidRDefault="00BA44A8" w:rsidP="00AC2F43">
      <w:pPr>
        <w:pStyle w:val="Text"/>
      </w:pPr>
      <w:r>
        <w:t xml:space="preserve">The issue of the </w:t>
      </w:r>
      <w:r w:rsidR="000C1EBC">
        <w:t>appropriate</w:t>
      </w:r>
      <w:r>
        <w:t xml:space="preserve"> number of qualifications is concerning many EU states (CEDEFOP 2010)</w:t>
      </w:r>
      <w:r w:rsidR="005D401B">
        <w:t>,</w:t>
      </w:r>
      <w:r>
        <w:t xml:space="preserve"> with </w:t>
      </w:r>
      <w:r w:rsidR="00DA3594">
        <w:t>similar</w:t>
      </w:r>
      <w:r>
        <w:t xml:space="preserve"> </w:t>
      </w:r>
      <w:r w:rsidR="00DA3594">
        <w:t>numbe</w:t>
      </w:r>
      <w:r w:rsidR="00EA06FB">
        <w:t>r</w:t>
      </w:r>
      <w:r w:rsidR="000C1EBC">
        <w:t>s</w:t>
      </w:r>
      <w:r w:rsidR="00DA3594">
        <w:t xml:space="preserve"> </w:t>
      </w:r>
      <w:r>
        <w:t xml:space="preserve">arguing for more qualifications </w:t>
      </w:r>
      <w:r w:rsidR="00EA06FB">
        <w:t>as</w:t>
      </w:r>
      <w:r>
        <w:t xml:space="preserve"> arguing for </w:t>
      </w:r>
      <w:r w:rsidR="005D401B">
        <w:t>fewer</w:t>
      </w:r>
      <w:r>
        <w:t xml:space="preserve">. </w:t>
      </w:r>
      <w:r w:rsidR="00EA06FB">
        <w:t>One of the aims of this</w:t>
      </w:r>
      <w:r w:rsidR="002F086C">
        <w:t xml:space="preserve"> paper is to investigate </w:t>
      </w:r>
      <w:r w:rsidR="00EA06FB">
        <w:t xml:space="preserve">how </w:t>
      </w:r>
      <w:r w:rsidR="005D401B">
        <w:t xml:space="preserve">unused </w:t>
      </w:r>
      <w:r w:rsidR="00D51D8D">
        <w:t>qualifications are</w:t>
      </w:r>
      <w:r w:rsidR="005D401B">
        <w:t xml:space="preserve"> removed</w:t>
      </w:r>
      <w:r w:rsidR="002F086C">
        <w:t xml:space="preserve">. The concern is that having too many qualifications or qualifications that duplicate </w:t>
      </w:r>
      <w:r w:rsidR="000C1EBC">
        <w:t>those</w:t>
      </w:r>
      <w:r w:rsidR="002F086C">
        <w:t xml:space="preserve"> already available clogs up systems</w:t>
      </w:r>
      <w:r w:rsidR="007D203F">
        <w:t xml:space="preserve"> and</w:t>
      </w:r>
      <w:r w:rsidR="002F086C">
        <w:t xml:space="preserve"> makes pathways less easy to interpret. </w:t>
      </w:r>
    </w:p>
    <w:p w:rsidR="002F086C" w:rsidRDefault="002F086C" w:rsidP="00AC2F43">
      <w:pPr>
        <w:pStyle w:val="Text"/>
      </w:pPr>
      <w:r>
        <w:t>Although recent reviews of European member state qualification</w:t>
      </w:r>
      <w:r w:rsidR="000C1EBC">
        <w:t>s</w:t>
      </w:r>
      <w:r>
        <w:t xml:space="preserve"> systems and frameworks by CEDEFOP (2010, 2012, 201</w:t>
      </w:r>
      <w:r w:rsidR="002E7CCC">
        <w:t>4</w:t>
      </w:r>
      <w:r>
        <w:t xml:space="preserve">) do not specifically describe the processes of </w:t>
      </w:r>
      <w:r w:rsidR="005D401B">
        <w:t>how</w:t>
      </w:r>
      <w:r>
        <w:t xml:space="preserve"> qualifications </w:t>
      </w:r>
      <w:r w:rsidR="00EA06FB">
        <w:t xml:space="preserve">that are </w:t>
      </w:r>
      <w:r>
        <w:t>no longer current or needed</w:t>
      </w:r>
      <w:r w:rsidR="005D401B">
        <w:t xml:space="preserve"> are dealt with</w:t>
      </w:r>
      <w:r>
        <w:t>, a number point to the use of reviews at around the four</w:t>
      </w:r>
      <w:r w:rsidR="005D401B">
        <w:t>- or five-</w:t>
      </w:r>
      <w:r>
        <w:t>year mark. Such reviews are informed by consultations with key stakeholders (including the social partners, educational institutions, professional associations, industry groups and</w:t>
      </w:r>
      <w:r w:rsidR="005D401B">
        <w:t>,</w:t>
      </w:r>
      <w:r>
        <w:t xml:space="preserve"> in some cases</w:t>
      </w:r>
      <w:r w:rsidR="005D401B">
        <w:t>,</w:t>
      </w:r>
      <w:r>
        <w:t xml:space="preserve"> students). </w:t>
      </w:r>
      <w:r w:rsidR="00823BC5">
        <w:t>In Sweden the Labour Market Council</w:t>
      </w:r>
      <w:r w:rsidR="002B65C2">
        <w:t>,</w:t>
      </w:r>
      <w:r w:rsidR="00823BC5">
        <w:t xml:space="preserve"> which is attached to the National Agency for Higher Vocational Education</w:t>
      </w:r>
      <w:r w:rsidR="002B65C2">
        <w:t>,</w:t>
      </w:r>
      <w:r w:rsidR="00823BC5">
        <w:t xml:space="preserve"> analyse</w:t>
      </w:r>
      <w:r w:rsidR="00EA06FB">
        <w:t>s</w:t>
      </w:r>
      <w:r w:rsidR="00823BC5">
        <w:t xml:space="preserve"> labour market trends to identify which qualifications are required and which are no longer in demand</w:t>
      </w:r>
      <w:r w:rsidR="000C07E1">
        <w:t xml:space="preserve"> (</w:t>
      </w:r>
      <w:r w:rsidR="00EA06FB">
        <w:t xml:space="preserve">CEDEFOP </w:t>
      </w:r>
      <w:r w:rsidR="000C07E1">
        <w:t>2012e</w:t>
      </w:r>
      <w:r w:rsidR="00163629">
        <w:t>)</w:t>
      </w:r>
      <w:r w:rsidR="00823BC5">
        <w:t xml:space="preserve">. </w:t>
      </w:r>
    </w:p>
    <w:p w:rsidR="000056DE" w:rsidRDefault="002F086C" w:rsidP="00AC2F43">
      <w:pPr>
        <w:pStyle w:val="Text"/>
      </w:pPr>
      <w:r>
        <w:lastRenderedPageBreak/>
        <w:t>Some systems use beginning dates to refer to when qualifications are created or become available, and end dates to refer to the date at which a qualification can no longer be used, or when the</w:t>
      </w:r>
      <w:r w:rsidR="00EA06FB">
        <w:t>y</w:t>
      </w:r>
      <w:r>
        <w:t xml:space="preserve"> expire. The end and expiry dates in this case do not mean that the qualification is no longer useful but </w:t>
      </w:r>
      <w:r w:rsidR="00AC7CA5">
        <w:t xml:space="preserve">merely that accreditation has run out. </w:t>
      </w:r>
      <w:r w:rsidR="00EA06FB">
        <w:t xml:space="preserve">For example, an </w:t>
      </w:r>
      <w:proofErr w:type="spellStart"/>
      <w:r w:rsidR="00EA06FB">
        <w:t>Ofqual</w:t>
      </w:r>
      <w:proofErr w:type="spellEnd"/>
      <w:r w:rsidR="00EA06FB">
        <w:t>-</w:t>
      </w:r>
      <w:r w:rsidR="00082AE2">
        <w:t>regulated qualification</w:t>
      </w:r>
      <w:r>
        <w:t xml:space="preserve"> takes five years to reach its end date. It has been difficult to find specific reasons for why the term of five years has been </w:t>
      </w:r>
      <w:r w:rsidR="000C1EBC">
        <w:t>adopted</w:t>
      </w:r>
      <w:r w:rsidR="006024DF">
        <w:t>.</w:t>
      </w:r>
      <w:r>
        <w:t xml:space="preserve"> </w:t>
      </w:r>
    </w:p>
    <w:p w:rsidR="002F086C" w:rsidRDefault="00EA06FB" w:rsidP="00AC2F43">
      <w:pPr>
        <w:pStyle w:val="Text"/>
      </w:pPr>
      <w:r>
        <w:t>From the available sources i</w:t>
      </w:r>
      <w:r w:rsidR="000056DE">
        <w:t xml:space="preserve">t has been difficult to find </w:t>
      </w:r>
      <w:r>
        <w:t>much</w:t>
      </w:r>
      <w:r w:rsidR="007411A6">
        <w:t xml:space="preserve"> information on</w:t>
      </w:r>
      <w:r w:rsidR="000056DE">
        <w:t xml:space="preserve"> the removal of qualifications. </w:t>
      </w:r>
      <w:r w:rsidR="002F086C">
        <w:t xml:space="preserve">The </w:t>
      </w:r>
      <w:r w:rsidR="002A128D">
        <w:t>Scottish Qualifications Authority</w:t>
      </w:r>
      <w:r w:rsidR="002F086C">
        <w:t xml:space="preserve"> and the </w:t>
      </w:r>
      <w:r w:rsidR="002A128D">
        <w:t>New Zealand Qualifications Authority</w:t>
      </w:r>
      <w:r w:rsidR="002F086C">
        <w:t xml:space="preserve"> have some clear directions about when and how qualifications are reviewed and removed. For example</w:t>
      </w:r>
      <w:r w:rsidR="000C1EBC">
        <w:t>,</w:t>
      </w:r>
      <w:r w:rsidR="002F086C">
        <w:t xml:space="preserve"> the </w:t>
      </w:r>
      <w:r w:rsidR="002A128D">
        <w:t>Scottish Qualifications Authority</w:t>
      </w:r>
      <w:r w:rsidR="002F086C">
        <w:t xml:space="preserve"> has a </w:t>
      </w:r>
      <w:r w:rsidR="00C504E2">
        <w:t>‘</w:t>
      </w:r>
      <w:r>
        <w:t>zero uptake</w:t>
      </w:r>
      <w:r w:rsidR="00C504E2">
        <w:t>’</w:t>
      </w:r>
      <w:r>
        <w:t xml:space="preserve"> </w:t>
      </w:r>
      <w:r w:rsidR="002F086C">
        <w:t>policy</w:t>
      </w:r>
      <w:r w:rsidR="002B65C2">
        <w:t>.</w:t>
      </w:r>
      <w:r w:rsidR="002E7CCC">
        <w:rPr>
          <w:rStyle w:val="FootnoteReference"/>
        </w:rPr>
        <w:footnoteReference w:id="18"/>
      </w:r>
      <w:r w:rsidR="002F086C">
        <w:t xml:space="preserve"> </w:t>
      </w:r>
      <w:r w:rsidR="00AC7CA5">
        <w:t xml:space="preserve">This states that </w:t>
      </w:r>
      <w:r w:rsidR="00C504E2">
        <w:t>‘</w:t>
      </w:r>
      <w:r w:rsidR="00AC7CA5">
        <w:t>the</w:t>
      </w:r>
      <w:r w:rsidR="002F086C">
        <w:t xml:space="preserve"> Accreditation Committ</w:t>
      </w:r>
      <w:r w:rsidR="000C1EBC">
        <w:t>ee [</w:t>
      </w:r>
      <w:r>
        <w:t>the body that oversees the a</w:t>
      </w:r>
      <w:r w:rsidR="000C1EBC">
        <w:t>ccreditation function]</w:t>
      </w:r>
      <w:r w:rsidR="002F086C">
        <w:t xml:space="preserve"> will remove the accreditation of any qualifications that have no uptake where there is no clear justifiable evidence from the awarding body of candidate demand for the qualification for a period of two years</w:t>
      </w:r>
      <w:r w:rsidR="00C504E2">
        <w:t>’</w:t>
      </w:r>
      <w:r w:rsidR="002F086C">
        <w:t>. In New Zealand</w:t>
      </w:r>
      <w:r w:rsidR="00BB74CC">
        <w:t>,</w:t>
      </w:r>
      <w:r w:rsidR="002F086C">
        <w:t xml:space="preserve"> qualifications are identified for formal review</w:t>
      </w:r>
      <w:r w:rsidR="00BB74CC">
        <w:t>,</w:t>
      </w:r>
      <w:r w:rsidR="002F086C">
        <w:t xml:space="preserve"> which may result in the</w:t>
      </w:r>
      <w:r>
        <w:t>ir</w:t>
      </w:r>
      <w:r w:rsidR="002F086C">
        <w:t xml:space="preserve"> b</w:t>
      </w:r>
      <w:r w:rsidR="00BB74CC">
        <w:t>eing removed from the NZQF data</w:t>
      </w:r>
      <w:r w:rsidR="002F086C">
        <w:t>base</w:t>
      </w:r>
      <w:r w:rsidR="00BB74CC">
        <w:t>.</w:t>
      </w:r>
      <w:r w:rsidR="00163629">
        <w:rPr>
          <w:rStyle w:val="FootnoteReference"/>
        </w:rPr>
        <w:footnoteReference w:id="19"/>
      </w:r>
      <w:r w:rsidR="002F086C">
        <w:t xml:space="preserve"> </w:t>
      </w:r>
      <w:r w:rsidR="007D203F">
        <w:t xml:space="preserve">The UK Vocational Qualifications Reform </w:t>
      </w:r>
      <w:r w:rsidR="000C1EBC">
        <w:t>Programme (UKVQRP) has</w:t>
      </w:r>
      <w:r w:rsidR="007D203F">
        <w:t xml:space="preserve"> also introduced processes to </w:t>
      </w:r>
      <w:r w:rsidR="00BB74CC">
        <w:t>en</w:t>
      </w:r>
      <w:r w:rsidR="007D203F">
        <w:t xml:space="preserve">sure that </w:t>
      </w:r>
      <w:r w:rsidR="00BB74CC">
        <w:t xml:space="preserve">the </w:t>
      </w:r>
      <w:r w:rsidR="007D203F">
        <w:t>qualifications being offered are still required by industry</w:t>
      </w:r>
      <w:r w:rsidR="00BB74CC">
        <w:t>;</w:t>
      </w:r>
      <w:r w:rsidR="000056DE">
        <w:t xml:space="preserve"> the </w:t>
      </w:r>
      <w:r w:rsidR="000B3062">
        <w:t xml:space="preserve">UK Skills Funding Agency has begun a process </w:t>
      </w:r>
      <w:r w:rsidR="000056DE">
        <w:t>of</w:t>
      </w:r>
      <w:r w:rsidR="000B3062">
        <w:t xml:space="preserve"> rationalis</w:t>
      </w:r>
      <w:r w:rsidR="000056DE">
        <w:t>ing</w:t>
      </w:r>
      <w:r w:rsidR="000B3062">
        <w:t xml:space="preserve"> qualifications for funding purposes by </w:t>
      </w:r>
      <w:r w:rsidR="00BB74CC">
        <w:t>examining</w:t>
      </w:r>
      <w:r w:rsidR="000B3062">
        <w:t xml:space="preserve"> low</w:t>
      </w:r>
      <w:r>
        <w:t>- and zero-</w:t>
      </w:r>
      <w:r w:rsidR="000B3062">
        <w:t>uptake</w:t>
      </w:r>
      <w:r w:rsidR="00BB74CC">
        <w:t xml:space="preserve"> qualifications</w:t>
      </w:r>
      <w:r w:rsidR="000B3062">
        <w:t xml:space="preserve">. </w:t>
      </w:r>
    </w:p>
    <w:p w:rsidR="00BB74CC" w:rsidRDefault="000056DE" w:rsidP="00EA06FB">
      <w:pPr>
        <w:pStyle w:val="Heading3"/>
      </w:pPr>
      <w:r w:rsidRPr="000056DE">
        <w:t>Scotland</w:t>
      </w:r>
    </w:p>
    <w:p w:rsidR="002F086C" w:rsidRDefault="002F086C" w:rsidP="00A95601">
      <w:pPr>
        <w:pStyle w:val="Textlessbefore"/>
      </w:pPr>
      <w:r>
        <w:t>Each quarter</w:t>
      </w:r>
      <w:r w:rsidR="00BB74CC">
        <w:t>,</w:t>
      </w:r>
      <w:r>
        <w:t xml:space="preserve"> </w:t>
      </w:r>
      <w:r w:rsidR="007411A6">
        <w:t xml:space="preserve">the </w:t>
      </w:r>
      <w:r w:rsidR="002A128D">
        <w:t>Scottish Qualifications Authority</w:t>
      </w:r>
      <w:r w:rsidR="00C504E2">
        <w:t>’</w:t>
      </w:r>
      <w:r w:rsidR="007411A6">
        <w:t>s</w:t>
      </w:r>
      <w:r>
        <w:t xml:space="preserve"> Accreditation </w:t>
      </w:r>
      <w:r w:rsidR="007411A6">
        <w:t xml:space="preserve">Committee </w:t>
      </w:r>
      <w:r>
        <w:t>review</w:t>
      </w:r>
      <w:r w:rsidR="007411A6">
        <w:t>s</w:t>
      </w:r>
      <w:r>
        <w:t xml:space="preserve"> registration</w:t>
      </w:r>
      <w:r w:rsidR="007411A6">
        <w:t xml:space="preserve"> and certifications and identifies</w:t>
      </w:r>
      <w:r>
        <w:t xml:space="preserve"> those accredited qualifications </w:t>
      </w:r>
      <w:r w:rsidR="000C1EBC">
        <w:t>with</w:t>
      </w:r>
      <w:r w:rsidR="007411A6">
        <w:t xml:space="preserve"> </w:t>
      </w:r>
      <w:r>
        <w:t xml:space="preserve">no candidate uptake for a period of two </w:t>
      </w:r>
      <w:r w:rsidR="003A2407">
        <w:t xml:space="preserve">consecutive </w:t>
      </w:r>
      <w:r>
        <w:t>years</w:t>
      </w:r>
      <w:r w:rsidR="00D56292">
        <w:t>.</w:t>
      </w:r>
      <w:r w:rsidR="00062504">
        <w:rPr>
          <w:rStyle w:val="FootnoteReference"/>
        </w:rPr>
        <w:footnoteReference w:id="20"/>
      </w:r>
      <w:r>
        <w:t xml:space="preserve"> These qualifications are identified for review. The awarding body will then be informed that SQA Accreditation will be reviewing the qualification</w:t>
      </w:r>
      <w:r w:rsidR="00F0679C">
        <w:t xml:space="preserve">; it will also be asked to </w:t>
      </w:r>
      <w:r>
        <w:t xml:space="preserve">justify why the qualification should </w:t>
      </w:r>
      <w:r w:rsidR="007411A6">
        <w:t>remain</w:t>
      </w:r>
      <w:r>
        <w:t xml:space="preserve">. </w:t>
      </w:r>
      <w:r w:rsidR="007411A6">
        <w:t>The</w:t>
      </w:r>
      <w:r>
        <w:t xml:space="preserve"> Accreditation </w:t>
      </w:r>
      <w:r w:rsidR="007411A6">
        <w:t xml:space="preserve">Committee </w:t>
      </w:r>
      <w:r>
        <w:t xml:space="preserve">will investigate further by </w:t>
      </w:r>
      <w:r w:rsidR="00D56292">
        <w:t>examining</w:t>
      </w:r>
      <w:r>
        <w:t xml:space="preserve"> </w:t>
      </w:r>
      <w:r w:rsidR="007411A6">
        <w:t xml:space="preserve">the </w:t>
      </w:r>
      <w:r>
        <w:t xml:space="preserve">information originally provided for </w:t>
      </w:r>
      <w:r w:rsidR="00D56292">
        <w:t xml:space="preserve">the </w:t>
      </w:r>
      <w:r>
        <w:t xml:space="preserve">accreditation of the qualification and </w:t>
      </w:r>
      <w:r w:rsidR="007411A6">
        <w:t xml:space="preserve">look for </w:t>
      </w:r>
      <w:r>
        <w:t>evidence of uptake at the unit level rather than at the full qualification level. A report which takes all this information into account will be provided to the Accreditation Coordination Group (the group that approves awarding bodies and accredits qualifications on behalf of the Accreditation Committee). This group will make a decision about continuation, further review down the track or removal of accreditation. If the intention is to withdraw the qualification</w:t>
      </w:r>
      <w:r w:rsidR="00D56292">
        <w:t>,</w:t>
      </w:r>
      <w:r>
        <w:t xml:space="preserve"> the awarding body is given three months warning of the </w:t>
      </w:r>
      <w:r w:rsidR="00D56292">
        <w:t>Accreditation Coordination Group</w:t>
      </w:r>
      <w:r w:rsidR="00C504E2">
        <w:t>’</w:t>
      </w:r>
      <w:r>
        <w:t xml:space="preserve">s intention to do so. If </w:t>
      </w:r>
      <w:r w:rsidR="00D56292">
        <w:t>it is decided</w:t>
      </w:r>
      <w:r>
        <w:t xml:space="preserve"> to continue the qualification</w:t>
      </w:r>
      <w:r w:rsidR="008A1A65">
        <w:t>,</w:t>
      </w:r>
      <w:r>
        <w:t xml:space="preserve"> the </w:t>
      </w:r>
      <w:r w:rsidR="00D56292">
        <w:t>group</w:t>
      </w:r>
      <w:r>
        <w:t xml:space="preserve"> may impose some sanctions within certain timelines. If these obligations are not </w:t>
      </w:r>
      <w:r w:rsidR="00D56292">
        <w:t>met,</w:t>
      </w:r>
      <w:r>
        <w:t xml:space="preserve"> then the </w:t>
      </w:r>
      <w:r w:rsidR="00D56292">
        <w:t>Accreditation Coordination Group</w:t>
      </w:r>
      <w:r>
        <w:t xml:space="preserve"> may automatically withdraw the accreditation. Awarding bodies have the right to appeal </w:t>
      </w:r>
      <w:r w:rsidR="007411A6">
        <w:t xml:space="preserve">against </w:t>
      </w:r>
      <w:r>
        <w:t xml:space="preserve">such decisions. </w:t>
      </w:r>
    </w:p>
    <w:p w:rsidR="00D56292" w:rsidRDefault="000056DE" w:rsidP="00D56292">
      <w:pPr>
        <w:pStyle w:val="Heading3"/>
      </w:pPr>
      <w:r w:rsidRPr="000056DE">
        <w:t>New Zealand</w:t>
      </w:r>
    </w:p>
    <w:p w:rsidR="002F086C" w:rsidRDefault="002F086C" w:rsidP="00A95601">
      <w:pPr>
        <w:pStyle w:val="Textlessbefore"/>
      </w:pPr>
      <w:r>
        <w:t>The New Zealand Qualification</w:t>
      </w:r>
      <w:r w:rsidR="002A128D">
        <w:t>s</w:t>
      </w:r>
      <w:r>
        <w:t xml:space="preserve"> Auth</w:t>
      </w:r>
      <w:r w:rsidR="002A128D">
        <w:t>ority</w:t>
      </w:r>
      <w:r w:rsidR="00D56292">
        <w:t xml:space="preserve"> requires all level</w:t>
      </w:r>
      <w:r>
        <w:t xml:space="preserve"> 1 to 6 qualifications to be listed on the New Zealand </w:t>
      </w:r>
      <w:r w:rsidR="007411A6">
        <w:t>Qualifications F</w:t>
      </w:r>
      <w:r w:rsidR="00BF0E74">
        <w:t>ramework</w:t>
      </w:r>
      <w:r w:rsidR="00D56292">
        <w:t xml:space="preserve"> data</w:t>
      </w:r>
      <w:r>
        <w:t xml:space="preserve">base, a change that has facilitated easy access to information on qualifications. The </w:t>
      </w:r>
      <w:r w:rsidR="00D56292">
        <w:t>New Zealand authority</w:t>
      </w:r>
      <w:r>
        <w:t xml:space="preserve"> has also created rules for describing the status of qualifications. Current qualification</w:t>
      </w:r>
      <w:r w:rsidR="00BE4682">
        <w:t>s</w:t>
      </w:r>
      <w:r>
        <w:t xml:space="preserve"> are those that </w:t>
      </w:r>
      <w:r w:rsidR="00BE4682">
        <w:t xml:space="preserve">are </w:t>
      </w:r>
      <w:r>
        <w:t xml:space="preserve">accredited and listed on the NZQF </w:t>
      </w:r>
      <w:r>
        <w:lastRenderedPageBreak/>
        <w:t xml:space="preserve">and can be offered to candidates. Expiring qualifications are those </w:t>
      </w:r>
      <w:r w:rsidR="008A1A65">
        <w:t>to</w:t>
      </w:r>
      <w:r>
        <w:t xml:space="preserve"> be replace</w:t>
      </w:r>
      <w:r w:rsidR="008A1A65">
        <w:t>d by a new qualification or</w:t>
      </w:r>
      <w:r>
        <w:t xml:space="preserve"> be </w:t>
      </w:r>
      <w:r w:rsidR="00D56292">
        <w:t>discontinued</w:t>
      </w:r>
      <w:r>
        <w:t xml:space="preserve">. Discontinued qualifications are those that </w:t>
      </w:r>
      <w:r w:rsidR="008A1A65">
        <w:t xml:space="preserve">are no longer </w:t>
      </w:r>
      <w:r>
        <w:t xml:space="preserve">available. The status of qualifications is based on the results of a periodic and mandatory review process. The aim of this review is to ensure that qualifications remain fit for purpose. These arrangements have helped to prevent the </w:t>
      </w:r>
      <w:r w:rsidR="00C504E2">
        <w:t>‘</w:t>
      </w:r>
      <w:r>
        <w:t>duplication and proliferation</w:t>
      </w:r>
      <w:r w:rsidR="00C504E2">
        <w:t>’</w:t>
      </w:r>
      <w:r>
        <w:t xml:space="preserve"> of qualifications. The NZQA maintains that </w:t>
      </w:r>
      <w:r w:rsidR="008A1A65">
        <w:t>it has</w:t>
      </w:r>
      <w:r>
        <w:t xml:space="preserve"> actually reduced the number of available qualificatio</w:t>
      </w:r>
      <w:r w:rsidR="002E7CCC">
        <w:t>ns to around 1000.</w:t>
      </w:r>
      <w:r w:rsidR="002E7CCC">
        <w:rPr>
          <w:rStyle w:val="FootnoteReference"/>
        </w:rPr>
        <w:footnoteReference w:id="21"/>
      </w:r>
    </w:p>
    <w:p w:rsidR="002F086C" w:rsidRDefault="002F086C" w:rsidP="00AC2F43">
      <w:pPr>
        <w:pStyle w:val="Text"/>
      </w:pPr>
      <w:r>
        <w:t xml:space="preserve">The mandatory review can be thought of as </w:t>
      </w:r>
      <w:r w:rsidR="00C504E2">
        <w:t>‘</w:t>
      </w:r>
      <w:r>
        <w:t xml:space="preserve">part of the </w:t>
      </w:r>
      <w:r w:rsidR="00FE5632">
        <w:t xml:space="preserve">life cycle </w:t>
      </w:r>
      <w:r w:rsidR="00FE5632" w:rsidRPr="004739F8">
        <w:t>of the qualification</w:t>
      </w:r>
      <w:r w:rsidR="00C504E2">
        <w:t>’</w:t>
      </w:r>
      <w:r w:rsidRPr="004739F8">
        <w:t>. Factors which trigger the mandatory review include: the review date</w:t>
      </w:r>
      <w:r w:rsidR="00FE5632" w:rsidRPr="004739F8">
        <w:t xml:space="preserve"> of an individual qualification</w:t>
      </w:r>
      <w:r w:rsidR="008A1A65">
        <w:t>;</w:t>
      </w:r>
      <w:r w:rsidR="005A7B5E" w:rsidRPr="004739F8">
        <w:t xml:space="preserve"> </w:t>
      </w:r>
      <w:r w:rsidRPr="004739F8">
        <w:t>groups of qualifications that have been identified as dupl</w:t>
      </w:r>
      <w:r w:rsidR="00FE5632" w:rsidRPr="004739F8">
        <w:t>icating or proliferating</w:t>
      </w:r>
      <w:r w:rsidR="008A1A65">
        <w:t>;</w:t>
      </w:r>
      <w:r w:rsidR="00AF7175" w:rsidRPr="004739F8">
        <w:t xml:space="preserve"> </w:t>
      </w:r>
      <w:r w:rsidR="005A7B5E" w:rsidRPr="004739F8">
        <w:t xml:space="preserve">and </w:t>
      </w:r>
      <w:r w:rsidRPr="004739F8">
        <w:t xml:space="preserve">groups of qualifications </w:t>
      </w:r>
      <w:r w:rsidR="00FE5632" w:rsidRPr="004739F8">
        <w:t>with</w:t>
      </w:r>
      <w:r w:rsidRPr="004739F8">
        <w:t xml:space="preserve"> a direct relationship to each other.</w:t>
      </w:r>
      <w:r w:rsidR="009F125A" w:rsidRPr="004739F8">
        <w:t xml:space="preserve"> </w:t>
      </w:r>
      <w:r w:rsidRPr="004739F8">
        <w:t xml:space="preserve">A review can also be triggered if there is a request by a qualification developer or accredited user </w:t>
      </w:r>
      <w:r w:rsidR="00FE5632" w:rsidRPr="004739F8">
        <w:t xml:space="preserve">who seeks </w:t>
      </w:r>
      <w:r w:rsidRPr="004739F8">
        <w:t>a review because</w:t>
      </w:r>
      <w:r>
        <w:t xml:space="preserve"> of major workforce, social, technological, legislative or policy change. Another trigger for review is </w:t>
      </w:r>
      <w:r w:rsidR="00FE5632">
        <w:t>a</w:t>
      </w:r>
      <w:r>
        <w:t xml:space="preserve"> lack of enrolment activity in the qualification after two years. </w:t>
      </w:r>
    </w:p>
    <w:p w:rsidR="002F086C" w:rsidRDefault="002F086C" w:rsidP="00AC2F43">
      <w:pPr>
        <w:pStyle w:val="Text"/>
      </w:pPr>
      <w:r>
        <w:t xml:space="preserve">The purpose of the mandatory review is </w:t>
      </w:r>
      <w:r w:rsidR="00BE4682">
        <w:t xml:space="preserve">to </w:t>
      </w:r>
      <w:r>
        <w:t xml:space="preserve">ensure that the qualifications remain </w:t>
      </w:r>
      <w:r w:rsidR="00C504E2">
        <w:t>‘</w:t>
      </w:r>
      <w:r>
        <w:t>useful, relevant and fit for purpose</w:t>
      </w:r>
      <w:r w:rsidR="00C504E2">
        <w:t>’</w:t>
      </w:r>
      <w:r>
        <w:t xml:space="preserve"> for the learners, industry and stakeholders for </w:t>
      </w:r>
      <w:r w:rsidR="00AF7175">
        <w:t>which</w:t>
      </w:r>
      <w:r w:rsidR="008C14B3">
        <w:t xml:space="preserve"> </w:t>
      </w:r>
      <w:r>
        <w:t xml:space="preserve">they were </w:t>
      </w:r>
      <w:r w:rsidR="008C14B3">
        <w:t xml:space="preserve">first </w:t>
      </w:r>
      <w:r>
        <w:t>developed. The NZQA publishes a</w:t>
      </w:r>
      <w:r w:rsidR="00BE4682">
        <w:t>n annual</w:t>
      </w:r>
      <w:r>
        <w:t xml:space="preserve"> review schedule for qualificati</w:t>
      </w:r>
      <w:r w:rsidR="00FE5632">
        <w:t>ons to be reviewed, grouping</w:t>
      </w:r>
      <w:r>
        <w:t xml:space="preserve"> similar qualifications</w:t>
      </w:r>
      <w:r w:rsidR="00FE5632" w:rsidRPr="00FE5632">
        <w:t xml:space="preserve"> </w:t>
      </w:r>
      <w:r w:rsidR="00FE5632">
        <w:t>together</w:t>
      </w:r>
      <w:r w:rsidR="00BE4682">
        <w:t>. F</w:t>
      </w:r>
      <w:r>
        <w:t xml:space="preserve">or example, the qualifications scheduled for review in 2014 include </w:t>
      </w:r>
      <w:r w:rsidR="00BE4682">
        <w:t xml:space="preserve">qualifications in </w:t>
      </w:r>
      <w:r>
        <w:t xml:space="preserve">agrichemical application, architectural design, casino operations, communication and media, complementary medicine, creative writing, early childhood education, foundation and bridging, health care, interior landscape design, languages, librarianship, maritime engineering and marine studies, plastics, real estate, security, teacher education and miscellaneous (representing a mixture of different qualifications). </w:t>
      </w:r>
    </w:p>
    <w:p w:rsidR="002F086C" w:rsidRDefault="002F086C" w:rsidP="00AC2F43">
      <w:pPr>
        <w:pStyle w:val="Text"/>
      </w:pPr>
      <w:r>
        <w:t>The NZQA provide</w:t>
      </w:r>
      <w:r w:rsidR="008A1A65">
        <w:t>s</w:t>
      </w:r>
      <w:r>
        <w:t xml:space="preserve"> a training workshop</w:t>
      </w:r>
      <w:r w:rsidR="00FE5632">
        <w:t xml:space="preserve"> to explain review requirements</w:t>
      </w:r>
      <w:r>
        <w:t xml:space="preserve"> and advisory support services to help qualification developers conduct the review. </w:t>
      </w:r>
      <w:r w:rsidR="005A7B5E">
        <w:t>Qualification developers</w:t>
      </w:r>
      <w:r w:rsidR="008A1A65">
        <w:t>,</w:t>
      </w:r>
      <w:r w:rsidR="005A7B5E">
        <w:t xml:space="preserve"> jointly with stakeholders</w:t>
      </w:r>
      <w:r w:rsidR="008A1A65">
        <w:t>,</w:t>
      </w:r>
      <w:r w:rsidR="005A7B5E">
        <w:t xml:space="preserve"> must meet the costs of the review</w:t>
      </w:r>
      <w:r w:rsidR="008C14B3">
        <w:t>, with costs for any new qualification that results from a review being met by the qualification developer.</w:t>
      </w:r>
      <w:r>
        <w:t xml:space="preserve"> </w:t>
      </w:r>
    </w:p>
    <w:p w:rsidR="002F086C" w:rsidRDefault="002F086C" w:rsidP="00AC2F43">
      <w:pPr>
        <w:pStyle w:val="Text"/>
      </w:pPr>
      <w:r>
        <w:t>The qualification developer</w:t>
      </w:r>
      <w:r>
        <w:rPr>
          <w:rStyle w:val="FootnoteReference"/>
        </w:rPr>
        <w:footnoteReference w:id="22"/>
      </w:r>
      <w:r>
        <w:t xml:space="preserve"> must first submit a plan for each review to the NZQA (for information)</w:t>
      </w:r>
      <w:r w:rsidR="00FE5632">
        <w:t>, t</w:t>
      </w:r>
      <w:r>
        <w:t xml:space="preserve">aking care to ensure that the review is </w:t>
      </w:r>
      <w:r w:rsidR="00FE5632">
        <w:t>conducted in a cost-</w:t>
      </w:r>
      <w:r>
        <w:t>effective way</w:t>
      </w:r>
      <w:r w:rsidR="00FE5632">
        <w:t>,</w:t>
      </w:r>
      <w:r>
        <w:t xml:space="preserve"> </w:t>
      </w:r>
      <w:r w:rsidR="00FE5632">
        <w:t>such that</w:t>
      </w:r>
      <w:r>
        <w:t xml:space="preserve"> an adequate number of appropriate stakeholders participate</w:t>
      </w:r>
      <w:r w:rsidR="008A1A65">
        <w:t>s</w:t>
      </w:r>
      <w:r>
        <w:t xml:space="preserve"> in the review</w:t>
      </w:r>
      <w:r w:rsidRPr="009C47E5">
        <w:t>.</w:t>
      </w:r>
      <w:r>
        <w:t xml:space="preserve"> The qualification developer must consult with relevant mandatory stakeholders or their delegates (defined as qualificatio</w:t>
      </w:r>
      <w:r w:rsidR="008A1A65">
        <w:t>n developers, relevant standard-</w:t>
      </w:r>
      <w:r>
        <w:t xml:space="preserve">setting bodies and/or regulatory bodies, and </w:t>
      </w:r>
      <w:r w:rsidR="00FE5632">
        <w:t xml:space="preserve">the </w:t>
      </w:r>
      <w:r>
        <w:t>education prov</w:t>
      </w:r>
      <w:r w:rsidR="00FE5632">
        <w:t>iders that provide the program</w:t>
      </w:r>
      <w:r>
        <w:t xml:space="preserve">s leading to the qualification). Should they not be able to get the cooperation of mandatory stakeholders or their delegates, they must report this to the NZQA. The qualification developer must also consult with industry/community sectors to identify </w:t>
      </w:r>
      <w:r w:rsidR="008A1A65">
        <w:t xml:space="preserve">the </w:t>
      </w:r>
      <w:r>
        <w:t xml:space="preserve">sector leaders required to support the review. </w:t>
      </w:r>
    </w:p>
    <w:p w:rsidR="002F086C" w:rsidRDefault="002F086C" w:rsidP="00AC2F43">
      <w:pPr>
        <w:pStyle w:val="Text"/>
      </w:pPr>
      <w:r>
        <w:lastRenderedPageBreak/>
        <w:t>An important part of the review is map</w:t>
      </w:r>
      <w:r w:rsidR="005E3F18">
        <w:t>ping</w:t>
      </w:r>
      <w:r>
        <w:t xml:space="preserve"> existing qualifications to </w:t>
      </w:r>
      <w:r w:rsidR="008C14B3">
        <w:t xml:space="preserve">current and future </w:t>
      </w:r>
      <w:r>
        <w:t xml:space="preserve">workforce </w:t>
      </w:r>
      <w:r w:rsidR="008C14B3">
        <w:t xml:space="preserve">needs and </w:t>
      </w:r>
      <w:r>
        <w:t>roles</w:t>
      </w:r>
      <w:r w:rsidR="008C14B3">
        <w:t>.</w:t>
      </w:r>
      <w:r w:rsidR="004F7A35">
        <w:t xml:space="preserve"> </w:t>
      </w:r>
      <w:r>
        <w:t xml:space="preserve">The map </w:t>
      </w:r>
      <w:r w:rsidR="008A1A65">
        <w:t>identifies</w:t>
      </w:r>
      <w:r>
        <w:t xml:space="preserve"> the current roles in the sector and any typical progression routes from entry-level to advanced positions</w:t>
      </w:r>
      <w:r w:rsidR="00BE4682">
        <w:t>.</w:t>
      </w:r>
      <w:r>
        <w:t xml:space="preserve"> Existing qualifications are mapped to the roles or skill sets. The qualification developer must also identify any roles that are no longer current or </w:t>
      </w:r>
      <w:r w:rsidR="005E3F18">
        <w:t xml:space="preserve">which </w:t>
      </w:r>
      <w:r>
        <w:t xml:space="preserve">are being </w:t>
      </w:r>
      <w:r w:rsidR="00C504E2">
        <w:t>‘</w:t>
      </w:r>
      <w:r>
        <w:t>phased out</w:t>
      </w:r>
      <w:r w:rsidR="00C504E2">
        <w:t>’</w:t>
      </w:r>
      <w:r w:rsidR="008A1A65">
        <w:t>,</w:t>
      </w:r>
      <w:r>
        <w:t xml:space="preserve"> new roles which do not currently have a qualification, and qualifications that are not matched to a role or skill set. Whether the map </w:t>
      </w:r>
      <w:r w:rsidR="00BE4682">
        <w:t>covers the current and future</w:t>
      </w:r>
      <w:r>
        <w:t xml:space="preserve"> roles </w:t>
      </w:r>
      <w:r w:rsidR="00BE4682">
        <w:t xml:space="preserve">in the sector needs to be </w:t>
      </w:r>
      <w:r>
        <w:t xml:space="preserve">confirmed in consultations with relevant stakeholders. This information is then used to develop and </w:t>
      </w:r>
      <w:r w:rsidR="00C504E2">
        <w:t>‘</w:t>
      </w:r>
      <w:r>
        <w:t>scope</w:t>
      </w:r>
      <w:r w:rsidR="00C504E2">
        <w:t>’</w:t>
      </w:r>
      <w:r>
        <w:t xml:space="preserve"> </w:t>
      </w:r>
      <w:r w:rsidR="005E3F18">
        <w:t>the</w:t>
      </w:r>
      <w:r>
        <w:t xml:space="preserve"> suite of qualifications required. At this stage the scoping of the qualification only requires information on the qualification title, level, and type, a strategic purpose statement, and an outcome statement. These qualifications are also confirmed with stakeholders. Decisions are also made about whether qualifications should be identified as </w:t>
      </w:r>
      <w:r w:rsidR="00C504E2">
        <w:t>‘</w:t>
      </w:r>
      <w:r>
        <w:t>expiring</w:t>
      </w:r>
      <w:r w:rsidR="00C504E2">
        <w:t>’</w:t>
      </w:r>
      <w:r>
        <w:t xml:space="preserve"> or </w:t>
      </w:r>
      <w:r w:rsidR="00C504E2">
        <w:t>‘</w:t>
      </w:r>
      <w:r>
        <w:t>discontinued</w:t>
      </w:r>
      <w:r w:rsidR="00C504E2">
        <w:t>’</w:t>
      </w:r>
      <w:r>
        <w:t xml:space="preserve">. </w:t>
      </w:r>
    </w:p>
    <w:p w:rsidR="002F086C" w:rsidRDefault="002F086C" w:rsidP="00AC2F43">
      <w:pPr>
        <w:pStyle w:val="Text"/>
      </w:pPr>
      <w:r>
        <w:t xml:space="preserve">Once the review </w:t>
      </w:r>
      <w:r w:rsidR="005E3F18">
        <w:t>has been</w:t>
      </w:r>
      <w:r>
        <w:t xml:space="preserve"> complete</w:t>
      </w:r>
      <w:r w:rsidR="005E3F18">
        <w:t>d</w:t>
      </w:r>
      <w:r w:rsidR="008A1A65">
        <w:t>,</w:t>
      </w:r>
      <w:r>
        <w:t xml:space="preserve"> a report on the results of the review, including any changes required, will </w:t>
      </w:r>
      <w:r w:rsidR="00FC7A19">
        <w:t>be forwarded</w:t>
      </w:r>
      <w:r>
        <w:t xml:space="preserve"> to the NZQA. The NZQA will also require evidence of the final workforce map and </w:t>
      </w:r>
      <w:r w:rsidR="005E3F18">
        <w:t xml:space="preserve">the </w:t>
      </w:r>
      <w:r>
        <w:t xml:space="preserve">new qualifications map, a completed form for changing the status of </w:t>
      </w:r>
      <w:r w:rsidR="008A1A65">
        <w:t xml:space="preserve">the </w:t>
      </w:r>
      <w:r>
        <w:t xml:space="preserve">current qualifications included in the review, and </w:t>
      </w:r>
      <w:r w:rsidR="005E3F18">
        <w:t xml:space="preserve">a </w:t>
      </w:r>
      <w:r>
        <w:t xml:space="preserve">completed application for approval to develop a qualification for each new qualification, with evidence </w:t>
      </w:r>
      <w:r w:rsidR="005E3F18">
        <w:t>of</w:t>
      </w:r>
      <w:r>
        <w:t xml:space="preserve"> the need for the qualification and confirmation of this need from stakeholders. </w:t>
      </w:r>
    </w:p>
    <w:p w:rsidR="002F086C" w:rsidRDefault="002F086C" w:rsidP="008E0FBB">
      <w:pPr>
        <w:pStyle w:val="Text"/>
        <w:ind w:right="-143"/>
      </w:pPr>
      <w:r>
        <w:t xml:space="preserve">As the NZQA is responsible for qualifications listed on the NZQF </w:t>
      </w:r>
      <w:r w:rsidR="00BE4682">
        <w:t>it</w:t>
      </w:r>
      <w:r w:rsidR="008A1A65">
        <w:t xml:space="preserve"> is the final decision-</w:t>
      </w:r>
      <w:r>
        <w:t>maker on the outcome of the review process. When recommendations for changes are approved by the NZQA the qualification developer must impleme</w:t>
      </w:r>
      <w:r w:rsidR="008A1A65">
        <w:t>nt the approved recommendations</w:t>
      </w:r>
      <w:r>
        <w:t xml:space="preserve"> and agree to accept the results of the review, including the need to change the status of their qualifications, if this is required. </w:t>
      </w:r>
    </w:p>
    <w:p w:rsidR="00527DAA" w:rsidRDefault="000056DE" w:rsidP="00527DAA">
      <w:pPr>
        <w:pStyle w:val="Heading3"/>
      </w:pPr>
      <w:r w:rsidRPr="000056DE">
        <w:t>United Kingdom Vocational Qualification Reform</w:t>
      </w:r>
      <w:r w:rsidR="008A1A65">
        <w:t xml:space="preserve"> Programme</w:t>
      </w:r>
    </w:p>
    <w:p w:rsidR="000B3062" w:rsidRDefault="000B3062" w:rsidP="008E0FBB">
      <w:pPr>
        <w:pStyle w:val="Textlessbefore"/>
      </w:pPr>
      <w:r>
        <w:t xml:space="preserve">The </w:t>
      </w:r>
      <w:r w:rsidR="005E3F18">
        <w:t>United Kingdom</w:t>
      </w:r>
      <w:r w:rsidR="00527DAA">
        <w:t xml:space="preserve"> </w:t>
      </w:r>
      <w:r>
        <w:t xml:space="preserve">Department of Business, Innovation and Skills (2014) notes </w:t>
      </w:r>
      <w:r w:rsidR="005E3F18">
        <w:t xml:space="preserve">that </w:t>
      </w:r>
      <w:r>
        <w:t>the current (adult) vocational qualification</w:t>
      </w:r>
      <w:r w:rsidR="008A1A65">
        <w:t>s</w:t>
      </w:r>
      <w:r>
        <w:t xml:space="preserve"> system (th</w:t>
      </w:r>
      <w:r w:rsidR="00527DAA">
        <w:t>e Qualification</w:t>
      </w:r>
      <w:r w:rsidR="008A1A65">
        <w:t>s</w:t>
      </w:r>
      <w:r w:rsidR="00527DAA">
        <w:t xml:space="preserve"> and Credit Framework) has over 15 800 qualifications, with 11 </w:t>
      </w:r>
      <w:r>
        <w:t xml:space="preserve">000 </w:t>
      </w:r>
      <w:r w:rsidR="00C1738A">
        <w:t xml:space="preserve">of these eligible </w:t>
      </w:r>
      <w:r w:rsidR="00AF7175">
        <w:t xml:space="preserve">for public funding. </w:t>
      </w:r>
      <w:r w:rsidR="00BE4682">
        <w:t>It reports that m</w:t>
      </w:r>
      <w:r>
        <w:t>any of th</w:t>
      </w:r>
      <w:r w:rsidR="00BE4682">
        <w:t>e qualifications</w:t>
      </w:r>
      <w:r>
        <w:t xml:space="preserve"> eligible for public funding </w:t>
      </w:r>
      <w:r w:rsidR="001709B6">
        <w:t xml:space="preserve">offers </w:t>
      </w:r>
      <w:r>
        <w:t>had not been used</w:t>
      </w:r>
      <w:r w:rsidR="00BE4682">
        <w:t>, and that r</w:t>
      </w:r>
      <w:r>
        <w:t xml:space="preserve">ecently </w:t>
      </w:r>
      <w:r w:rsidR="00527DAA">
        <w:t>t</w:t>
      </w:r>
      <w:r w:rsidR="00D62AE8">
        <w:t>he Skills Funding Agency had remove</w:t>
      </w:r>
      <w:r w:rsidR="0074129A">
        <w:t>d</w:t>
      </w:r>
      <w:r w:rsidR="00D62AE8">
        <w:t xml:space="preserve"> </w:t>
      </w:r>
      <w:r>
        <w:t xml:space="preserve">3000 </w:t>
      </w:r>
      <w:r w:rsidR="00D62AE8">
        <w:t xml:space="preserve">qualifications </w:t>
      </w:r>
      <w:r>
        <w:t xml:space="preserve">from the publicly funded </w:t>
      </w:r>
      <w:r w:rsidR="001709B6">
        <w:t xml:space="preserve">offers </w:t>
      </w:r>
      <w:r>
        <w:t xml:space="preserve">list. The rule for </w:t>
      </w:r>
      <w:r w:rsidR="001709B6">
        <w:t xml:space="preserve">the </w:t>
      </w:r>
      <w:r>
        <w:t xml:space="preserve">removal of qualifications </w:t>
      </w:r>
      <w:r w:rsidR="008A1A65">
        <w:t xml:space="preserve">was </w:t>
      </w:r>
      <w:r w:rsidR="00242824">
        <w:t xml:space="preserve">a </w:t>
      </w:r>
      <w:r>
        <w:t xml:space="preserve">low or zero uptake for a </w:t>
      </w:r>
      <w:r w:rsidR="005E3F18">
        <w:t>period of two years. The</w:t>
      </w:r>
      <w:r>
        <w:t xml:space="preserve"> intention </w:t>
      </w:r>
      <w:r w:rsidR="005E3F18">
        <w:t xml:space="preserve">is </w:t>
      </w:r>
      <w:r>
        <w:t xml:space="preserve">to remove </w:t>
      </w:r>
      <w:r w:rsidR="00953427">
        <w:t>a further</w:t>
      </w:r>
      <w:r>
        <w:t xml:space="preserve"> 5000 qualifications </w:t>
      </w:r>
      <w:r w:rsidR="001709B6">
        <w:t>over</w:t>
      </w:r>
      <w:r w:rsidR="00242824">
        <w:t xml:space="preserve"> the</w:t>
      </w:r>
      <w:r w:rsidR="00527DAA">
        <w:t xml:space="preserve"> 2014—</w:t>
      </w:r>
      <w:r w:rsidR="001709B6">
        <w:t xml:space="preserve">15 </w:t>
      </w:r>
      <w:r w:rsidR="00242824">
        <w:t xml:space="preserve">period </w:t>
      </w:r>
      <w:r>
        <w:t>from funding offer</w:t>
      </w:r>
      <w:r w:rsidR="00242824">
        <w:t xml:space="preserve"> lists</w:t>
      </w:r>
      <w:r>
        <w:t xml:space="preserve">. The aim is </w:t>
      </w:r>
      <w:r w:rsidR="00242824">
        <w:t xml:space="preserve">also </w:t>
      </w:r>
      <w:r w:rsidR="001709B6">
        <w:t xml:space="preserve">to review and </w:t>
      </w:r>
      <w:r>
        <w:t xml:space="preserve">rationalise those areas which have traditionally been developed as qualifications for accreditation in order to access funding (for example, </w:t>
      </w:r>
      <w:r w:rsidR="00242824">
        <w:t xml:space="preserve">activities like </w:t>
      </w:r>
      <w:r>
        <w:t xml:space="preserve">work experience, resume writing, </w:t>
      </w:r>
      <w:r w:rsidR="001709B6">
        <w:t xml:space="preserve">or </w:t>
      </w:r>
      <w:r w:rsidR="00242824">
        <w:t xml:space="preserve">developing </w:t>
      </w:r>
      <w:r>
        <w:t>interview skills).</w:t>
      </w:r>
      <w:r w:rsidR="004928F1">
        <w:t xml:space="preserve"> </w:t>
      </w:r>
    </w:p>
    <w:p w:rsidR="00527DAA" w:rsidRDefault="000B3062" w:rsidP="00527DAA">
      <w:pPr>
        <w:pStyle w:val="Heading4"/>
      </w:pPr>
      <w:r>
        <w:t xml:space="preserve">The experience of </w:t>
      </w:r>
      <w:r w:rsidRPr="0033024A">
        <w:t>Strand 4 of the UKVQR</w:t>
      </w:r>
      <w:r w:rsidR="008A1A65">
        <w:t>P</w:t>
      </w:r>
    </w:p>
    <w:p w:rsidR="00953427" w:rsidRDefault="000B3062" w:rsidP="008E0FBB">
      <w:pPr>
        <w:pStyle w:val="Textlessbefore"/>
      </w:pPr>
      <w:r>
        <w:t xml:space="preserve">The UKVQR </w:t>
      </w:r>
      <w:r w:rsidR="008A1A65">
        <w:t>Programme</w:t>
      </w:r>
      <w:r>
        <w:t xml:space="preserve"> comprises </w:t>
      </w:r>
      <w:r w:rsidR="00507730">
        <w:t>five</w:t>
      </w:r>
      <w:r>
        <w:t xml:space="preserve"> strands</w:t>
      </w:r>
      <w:r w:rsidR="00507730">
        <w:t>,</w:t>
      </w:r>
      <w:r>
        <w:t xml:space="preserve"> with</w:t>
      </w:r>
      <w:r w:rsidR="004928F1">
        <w:t xml:space="preserve"> </w:t>
      </w:r>
      <w:r>
        <w:t>Strand 4 (led</w:t>
      </w:r>
      <w:r w:rsidR="00953427">
        <w:t xml:space="preserve"> by the Federation of Awarding B</w:t>
      </w:r>
      <w:r>
        <w:t xml:space="preserve">odies and the Joint Council for Qualifications) being responsible for investigating the rationalisation of existing qualifications in preparation for the introduction of national reforms to </w:t>
      </w:r>
      <w:r w:rsidR="00BF0E74">
        <w:t>qualifications framework</w:t>
      </w:r>
      <w:r>
        <w:t>s and qualifications.</w:t>
      </w:r>
      <w:r w:rsidR="00797632">
        <w:rPr>
          <w:rStyle w:val="FootnoteReference"/>
        </w:rPr>
        <w:footnoteReference w:id="23"/>
      </w:r>
      <w:r w:rsidR="004928F1">
        <w:t xml:space="preserve"> </w:t>
      </w:r>
      <w:r w:rsidR="00507730">
        <w:t xml:space="preserve">The aim of </w:t>
      </w:r>
      <w:r>
        <w:t>Strand 4 was to investigate the qualifications counted on the Qualifications and Curriculum Authority</w:t>
      </w:r>
      <w:r w:rsidR="00C504E2">
        <w:t>’</w:t>
      </w:r>
      <w:r>
        <w:t xml:space="preserve">s National Database of Approved Qualifications (NDAQ) and to suggest areas where these could be removed. The idea was to help </w:t>
      </w:r>
      <w:r w:rsidR="00507730">
        <w:t xml:space="preserve">to </w:t>
      </w:r>
      <w:r>
        <w:t xml:space="preserve">identify </w:t>
      </w:r>
      <w:r w:rsidR="004B6A20">
        <w:t xml:space="preserve">and </w:t>
      </w:r>
      <w:r w:rsidR="008A1A65">
        <w:t xml:space="preserve">to </w:t>
      </w:r>
      <w:r w:rsidR="004B6A20">
        <w:t xml:space="preserve">make suggestions to sector skills councils about </w:t>
      </w:r>
      <w:r>
        <w:t>which low-uptake</w:t>
      </w:r>
      <w:r w:rsidR="00507730">
        <w:t xml:space="preserve"> or zero-</w:t>
      </w:r>
      <w:r>
        <w:t xml:space="preserve">uptake qualifications could be </w:t>
      </w:r>
      <w:r>
        <w:lastRenderedPageBreak/>
        <w:t xml:space="preserve">removed. The first list </w:t>
      </w:r>
      <w:r w:rsidR="004B6A20">
        <w:t xml:space="preserve">of suggestions </w:t>
      </w:r>
      <w:r>
        <w:t xml:space="preserve">comprised 1412 qualifications; this </w:t>
      </w:r>
      <w:r w:rsidR="004B6A20">
        <w:t xml:space="preserve">list </w:t>
      </w:r>
      <w:r>
        <w:t xml:space="preserve">was reduced to 554 </w:t>
      </w:r>
      <w:r w:rsidR="00242824">
        <w:t xml:space="preserve">qualifications </w:t>
      </w:r>
      <w:r>
        <w:t xml:space="preserve">because of </w:t>
      </w:r>
      <w:r w:rsidR="004B6A20">
        <w:t xml:space="preserve">issues with the </w:t>
      </w:r>
      <w:r>
        <w:t xml:space="preserve">certification data. After consultation with </w:t>
      </w:r>
      <w:r w:rsidR="008A1A65">
        <w:t xml:space="preserve">sector skills </w:t>
      </w:r>
      <w:r w:rsidR="008A1A65" w:rsidRPr="00FC7A19">
        <w:t>councils</w:t>
      </w:r>
      <w:r w:rsidRPr="00FC7A19">
        <w:t xml:space="preserve"> </w:t>
      </w:r>
      <w:r w:rsidR="00FC7A19" w:rsidRPr="00FC7A19">
        <w:t xml:space="preserve">the </w:t>
      </w:r>
      <w:r w:rsidRPr="00FC7A19">
        <w:t xml:space="preserve">list of 554 was </w:t>
      </w:r>
      <w:r w:rsidR="00507730" w:rsidRPr="00FC7A19">
        <w:t xml:space="preserve">further </w:t>
      </w:r>
      <w:r w:rsidRPr="00FC7A19">
        <w:t>reduced to 304</w:t>
      </w:r>
      <w:r w:rsidR="00507730" w:rsidRPr="00FC7A19">
        <w:t>,</w:t>
      </w:r>
      <w:r w:rsidRPr="00FC7A19">
        <w:t xml:space="preserve"> with </w:t>
      </w:r>
      <w:r w:rsidR="00507730" w:rsidRPr="00FC7A19">
        <w:t xml:space="preserve">the </w:t>
      </w:r>
      <w:r w:rsidR="004B6A20" w:rsidRPr="00FC7A19">
        <w:t xml:space="preserve">sector </w:t>
      </w:r>
      <w:r w:rsidR="00507730" w:rsidRPr="00FC7A19">
        <w:t>skills councils</w:t>
      </w:r>
      <w:r w:rsidRPr="00FC7A19">
        <w:t xml:space="preserve"> making a case to</w:t>
      </w:r>
      <w:r>
        <w:t xml:space="preserve"> </w:t>
      </w:r>
      <w:r w:rsidR="008A1A65">
        <w:t>retain</w:t>
      </w:r>
      <w:r>
        <w:t xml:space="preserve"> many qualifications identified by Strand 4 for withdrawal. Of 104 NVQ </w:t>
      </w:r>
      <w:r w:rsidR="00D84E92">
        <w:t>qualifications</w:t>
      </w:r>
      <w:r>
        <w:t xml:space="preserve"> put to </w:t>
      </w:r>
      <w:r w:rsidR="00507730">
        <w:t>skills councils</w:t>
      </w:r>
      <w:r>
        <w:t xml:space="preserve"> just </w:t>
      </w:r>
      <w:r w:rsidR="00507730">
        <w:t>seven</w:t>
      </w:r>
      <w:r>
        <w:t xml:space="preserve"> were recommended for removal. The key reasons given by </w:t>
      </w:r>
      <w:r w:rsidR="004B6A20">
        <w:t xml:space="preserve">sector </w:t>
      </w:r>
      <w:r w:rsidR="00507730">
        <w:t>skills councils</w:t>
      </w:r>
      <w:r>
        <w:t xml:space="preserve"> </w:t>
      </w:r>
      <w:r w:rsidR="00953427">
        <w:t>for</w:t>
      </w:r>
      <w:r>
        <w:t xml:space="preserve"> retain</w:t>
      </w:r>
      <w:r w:rsidR="00953427">
        <w:t>ing</w:t>
      </w:r>
      <w:r>
        <w:t xml:space="preserve"> qualifications were </w:t>
      </w:r>
      <w:r w:rsidR="008A1A65">
        <w:t xml:space="preserve">that </w:t>
      </w:r>
      <w:r>
        <w:t xml:space="preserve">qualifications </w:t>
      </w:r>
      <w:r w:rsidR="008A1A65">
        <w:t>were</w:t>
      </w:r>
      <w:r>
        <w:t xml:space="preserve"> require</w:t>
      </w:r>
      <w:r w:rsidR="00507730">
        <w:t>d to meet labour market demands</w:t>
      </w:r>
      <w:r>
        <w:t xml:space="preserve"> and being necessary for progression to other quali</w:t>
      </w:r>
      <w:r w:rsidR="00953427">
        <w:t>fications.</w:t>
      </w:r>
    </w:p>
    <w:p w:rsidR="000B3062" w:rsidRDefault="000B3062" w:rsidP="00527DAA">
      <w:pPr>
        <w:pStyle w:val="Text"/>
      </w:pPr>
      <w:r>
        <w:t xml:space="preserve">The inability to identify which </w:t>
      </w:r>
      <w:r w:rsidR="004B6A20">
        <w:t xml:space="preserve">sector </w:t>
      </w:r>
      <w:r w:rsidR="00507730">
        <w:t>skills councils</w:t>
      </w:r>
      <w:r>
        <w:t xml:space="preserve"> owned the identified qualifications and the administrative complexity of accessing comprehensive information on certification to enable </w:t>
      </w:r>
      <w:r w:rsidR="00507730">
        <w:t xml:space="preserve">the </w:t>
      </w:r>
      <w:r w:rsidR="004B6A20">
        <w:t xml:space="preserve">sector </w:t>
      </w:r>
      <w:r w:rsidR="00507730">
        <w:t>skills councils to make informed decisions</w:t>
      </w:r>
      <w:r>
        <w:t xml:space="preserve"> also m</w:t>
      </w:r>
      <w:r w:rsidR="00507730">
        <w:t>eant that</w:t>
      </w:r>
      <w:r>
        <w:t xml:space="preserve"> the whole process </w:t>
      </w:r>
      <w:r w:rsidR="00507730">
        <w:t xml:space="preserve">became </w:t>
      </w:r>
      <w:r>
        <w:t xml:space="preserve">cumbersome. For awarding bodies it seemed to be easier and less costly to let the qualification </w:t>
      </w:r>
      <w:r w:rsidR="00953427">
        <w:t>reach</w:t>
      </w:r>
      <w:r>
        <w:t xml:space="preserve"> its expiry date than to make arrangements </w:t>
      </w:r>
      <w:r w:rsidR="00507730">
        <w:t>to</w:t>
      </w:r>
      <w:r>
        <w:t xml:space="preserve"> obtain different </w:t>
      </w:r>
      <w:r w:rsidR="00507730">
        <w:t>types of regulatory permissions</w:t>
      </w:r>
      <w:r w:rsidR="00953427">
        <w:t>.</w:t>
      </w:r>
      <w:r>
        <w:t xml:space="preserve"> </w:t>
      </w:r>
      <w:r w:rsidR="00953427">
        <w:t>Protecting</w:t>
      </w:r>
      <w:r>
        <w:t xml:space="preserve"> the rights of providers and existing candidates</w:t>
      </w:r>
      <w:r w:rsidR="00953427">
        <w:t xml:space="preserve"> was also a consideration</w:t>
      </w:r>
      <w:r>
        <w:t>.</w:t>
      </w:r>
    </w:p>
    <w:p w:rsidR="00507730" w:rsidRDefault="000056DE" w:rsidP="00507730">
      <w:pPr>
        <w:pStyle w:val="Heading3"/>
        <w:rPr>
          <w:rFonts w:eastAsia="Malgun Gothic"/>
          <w:lang w:val="en-US"/>
        </w:rPr>
      </w:pPr>
      <w:r w:rsidRPr="000056DE">
        <w:rPr>
          <w:rFonts w:eastAsia="Malgun Gothic"/>
          <w:lang w:val="en-US"/>
        </w:rPr>
        <w:t>South Korea</w:t>
      </w:r>
    </w:p>
    <w:p w:rsidR="009831DF" w:rsidRDefault="009831DF" w:rsidP="008E0FBB">
      <w:pPr>
        <w:pStyle w:val="Textlessbefore"/>
        <w:rPr>
          <w:rFonts w:eastAsia="Malgun Gothic"/>
          <w:lang w:val="en-US"/>
        </w:rPr>
      </w:pPr>
      <w:r>
        <w:rPr>
          <w:rFonts w:eastAsia="Malgun Gothic" w:hint="eastAsia"/>
          <w:lang w:val="en-US"/>
        </w:rPr>
        <w:t xml:space="preserve">The </w:t>
      </w:r>
      <w:r>
        <w:rPr>
          <w:rFonts w:eastAsia="Malgun Gothic"/>
          <w:lang w:val="en-US"/>
        </w:rPr>
        <w:t xml:space="preserve">Korean </w:t>
      </w:r>
      <w:r>
        <w:rPr>
          <w:rFonts w:eastAsia="Malgun Gothic" w:hint="eastAsia"/>
          <w:lang w:val="en-US"/>
        </w:rPr>
        <w:t>Ministry</w:t>
      </w:r>
      <w:r w:rsidR="0089721C">
        <w:rPr>
          <w:rFonts w:eastAsia="Malgun Gothic"/>
          <w:lang w:val="en-US"/>
        </w:rPr>
        <w:t xml:space="preserve"> for E</w:t>
      </w:r>
      <w:r w:rsidR="000B3062">
        <w:rPr>
          <w:rFonts w:eastAsia="Malgun Gothic"/>
          <w:lang w:val="en-US"/>
        </w:rPr>
        <w:t xml:space="preserve">mployment and </w:t>
      </w:r>
      <w:proofErr w:type="spellStart"/>
      <w:r w:rsidR="000B3062">
        <w:rPr>
          <w:rFonts w:eastAsia="Malgun Gothic"/>
          <w:lang w:val="en-US"/>
        </w:rPr>
        <w:t>Labour</w:t>
      </w:r>
      <w:proofErr w:type="spellEnd"/>
      <w:r w:rsidR="000B3062">
        <w:rPr>
          <w:rFonts w:eastAsia="Malgun Gothic"/>
          <w:lang w:val="en-US"/>
        </w:rPr>
        <w:t xml:space="preserve"> </w:t>
      </w:r>
      <w:r>
        <w:rPr>
          <w:rFonts w:eastAsia="Malgun Gothic"/>
          <w:lang w:val="en-US"/>
        </w:rPr>
        <w:t>commission</w:t>
      </w:r>
      <w:r w:rsidR="008A1A65">
        <w:rPr>
          <w:rFonts w:eastAsia="Malgun Gothic"/>
          <w:lang w:val="en-US"/>
        </w:rPr>
        <w:t>s</w:t>
      </w:r>
      <w:r>
        <w:rPr>
          <w:rFonts w:eastAsia="Malgun Gothic"/>
          <w:lang w:val="en-US"/>
        </w:rPr>
        <w:t xml:space="preserve"> </w:t>
      </w:r>
      <w:proofErr w:type="spellStart"/>
      <w:r>
        <w:rPr>
          <w:rFonts w:eastAsia="Malgun Gothic"/>
          <w:lang w:val="en-US"/>
        </w:rPr>
        <w:t>organisations</w:t>
      </w:r>
      <w:proofErr w:type="spellEnd"/>
      <w:r>
        <w:rPr>
          <w:rFonts w:eastAsia="Malgun Gothic"/>
          <w:lang w:val="en-US"/>
        </w:rPr>
        <w:t xml:space="preserve"> </w:t>
      </w:r>
      <w:r w:rsidR="00C96D81">
        <w:rPr>
          <w:rFonts w:eastAsia="Malgun Gothic"/>
          <w:lang w:val="en-US"/>
        </w:rPr>
        <w:t>such as</w:t>
      </w:r>
      <w:r>
        <w:rPr>
          <w:rFonts w:eastAsia="Malgun Gothic"/>
          <w:lang w:val="en-US"/>
        </w:rPr>
        <w:t xml:space="preserve"> </w:t>
      </w:r>
      <w:r w:rsidR="000B3062">
        <w:rPr>
          <w:rFonts w:eastAsia="Malgun Gothic"/>
          <w:lang w:val="en-US"/>
        </w:rPr>
        <w:t xml:space="preserve">the </w:t>
      </w:r>
      <w:r>
        <w:rPr>
          <w:rFonts w:eastAsia="Malgun Gothic"/>
          <w:lang w:val="en-US"/>
        </w:rPr>
        <w:t>K</w:t>
      </w:r>
      <w:r w:rsidR="000B3062">
        <w:rPr>
          <w:rFonts w:eastAsia="Malgun Gothic"/>
          <w:lang w:val="en-US"/>
        </w:rPr>
        <w:t xml:space="preserve">orean </w:t>
      </w:r>
      <w:r>
        <w:rPr>
          <w:rFonts w:eastAsia="Malgun Gothic"/>
          <w:lang w:val="en-US"/>
        </w:rPr>
        <w:t>R</w:t>
      </w:r>
      <w:r w:rsidR="000B3062">
        <w:rPr>
          <w:rFonts w:eastAsia="Malgun Gothic"/>
          <w:lang w:val="en-US"/>
        </w:rPr>
        <w:t xml:space="preserve">esearch Institute for Vocational Education and Training </w:t>
      </w:r>
      <w:r>
        <w:rPr>
          <w:rFonts w:eastAsia="Malgun Gothic"/>
          <w:lang w:val="en-US"/>
        </w:rPr>
        <w:t xml:space="preserve">to evaluate the performance of the </w:t>
      </w:r>
      <w:r w:rsidR="00953427">
        <w:rPr>
          <w:rFonts w:eastAsia="Malgun Gothic"/>
          <w:lang w:val="en-US"/>
        </w:rPr>
        <w:t>national training qualifications</w:t>
      </w:r>
      <w:r>
        <w:rPr>
          <w:rFonts w:eastAsia="Malgun Gothic"/>
          <w:lang w:val="en-US"/>
        </w:rPr>
        <w:t>. If the evidence suggests that qualifications are no longer serving their specific purposes</w:t>
      </w:r>
      <w:r w:rsidR="008A1A65">
        <w:rPr>
          <w:rFonts w:eastAsia="Malgun Gothic"/>
          <w:lang w:val="en-US"/>
        </w:rPr>
        <w:t>,</w:t>
      </w:r>
      <w:r>
        <w:rPr>
          <w:rFonts w:eastAsia="Malgun Gothic"/>
          <w:lang w:val="en-US"/>
        </w:rPr>
        <w:t xml:space="preserve"> the ministry also has the power to order the </w:t>
      </w:r>
      <w:r w:rsidR="00C96D81">
        <w:rPr>
          <w:rFonts w:eastAsia="Malgun Gothic"/>
          <w:lang w:val="en-US"/>
        </w:rPr>
        <w:t xml:space="preserve">amalgamation or </w:t>
      </w:r>
      <w:proofErr w:type="spellStart"/>
      <w:r w:rsidR="00C96D81">
        <w:rPr>
          <w:rFonts w:eastAsia="Malgun Gothic"/>
          <w:lang w:val="en-US"/>
        </w:rPr>
        <w:t>rationalisation</w:t>
      </w:r>
      <w:proofErr w:type="spellEnd"/>
      <w:r w:rsidR="00C96D81">
        <w:rPr>
          <w:rFonts w:eastAsia="Malgun Gothic"/>
          <w:lang w:val="en-US"/>
        </w:rPr>
        <w:t xml:space="preserve"> of similar qualifications</w:t>
      </w:r>
      <w:r>
        <w:rPr>
          <w:rFonts w:eastAsia="Malgun Gothic"/>
          <w:lang w:val="en-US"/>
        </w:rPr>
        <w:t xml:space="preserve"> and the cancellation of obsolete qualifications. These decisions are made by the NTQ Deliberation Committee after review </w:t>
      </w:r>
      <w:r w:rsidR="00953427">
        <w:rPr>
          <w:rFonts w:eastAsia="Malgun Gothic"/>
          <w:lang w:val="en-US"/>
        </w:rPr>
        <w:t xml:space="preserve">of </w:t>
      </w:r>
      <w:r>
        <w:rPr>
          <w:rFonts w:eastAsia="Malgun Gothic"/>
          <w:lang w:val="en-US"/>
        </w:rPr>
        <w:t>relevant evidence about a qualification</w:t>
      </w:r>
      <w:r w:rsidR="00C504E2">
        <w:rPr>
          <w:rFonts w:eastAsia="Malgun Gothic"/>
          <w:lang w:val="en-US"/>
        </w:rPr>
        <w:t>’</w:t>
      </w:r>
      <w:r>
        <w:rPr>
          <w:rFonts w:eastAsia="Malgun Gothic"/>
          <w:lang w:val="en-US"/>
        </w:rPr>
        <w:t>s performance.</w:t>
      </w:r>
      <w:r w:rsidR="00163629">
        <w:rPr>
          <w:rStyle w:val="FootnoteReference"/>
          <w:rFonts w:eastAsia="Malgun Gothic"/>
          <w:lang w:val="en-US"/>
        </w:rPr>
        <w:footnoteReference w:id="24"/>
      </w:r>
      <w:r>
        <w:rPr>
          <w:rFonts w:eastAsia="Malgun Gothic"/>
          <w:lang w:val="en-US"/>
        </w:rPr>
        <w:t xml:space="preserve"> </w:t>
      </w:r>
    </w:p>
    <w:p w:rsidR="00C96D81" w:rsidRDefault="00012675" w:rsidP="00C96D81">
      <w:pPr>
        <w:pStyle w:val="Heading3"/>
        <w:rPr>
          <w:rFonts w:eastAsia="Malgun Gothic"/>
          <w:lang w:val="en-US"/>
        </w:rPr>
      </w:pPr>
      <w:r w:rsidRPr="00F67669">
        <w:rPr>
          <w:rFonts w:eastAsia="Malgun Gothic"/>
          <w:lang w:val="en-US"/>
        </w:rPr>
        <w:t>Finland</w:t>
      </w:r>
    </w:p>
    <w:p w:rsidR="00012675" w:rsidRDefault="00012675" w:rsidP="008E0FBB">
      <w:pPr>
        <w:pStyle w:val="Textlessbefore"/>
        <w:rPr>
          <w:rFonts w:ascii="Arial"/>
          <w:sz w:val="20"/>
        </w:rPr>
      </w:pPr>
      <w:r>
        <w:rPr>
          <w:rFonts w:eastAsia="Malgun Gothic"/>
          <w:lang w:val="en-US"/>
        </w:rPr>
        <w:t>The Finnish National Board of Education is responsible for review</w:t>
      </w:r>
      <w:r w:rsidR="00F67669">
        <w:rPr>
          <w:rFonts w:eastAsia="Malgun Gothic"/>
          <w:lang w:val="en-US"/>
        </w:rPr>
        <w:t>ing qualification requirements</w:t>
      </w:r>
      <w:r w:rsidR="00C96D81">
        <w:rPr>
          <w:rFonts w:eastAsia="Malgun Gothic"/>
          <w:lang w:val="en-US"/>
        </w:rPr>
        <w:t>,</w:t>
      </w:r>
      <w:r w:rsidR="00F67669">
        <w:rPr>
          <w:rFonts w:eastAsia="Malgun Gothic"/>
          <w:lang w:val="en-US"/>
        </w:rPr>
        <w:t xml:space="preserve"> which can be </w:t>
      </w:r>
      <w:r w:rsidR="007D1339">
        <w:rPr>
          <w:rFonts w:eastAsia="Malgun Gothic"/>
          <w:lang w:val="en-US"/>
        </w:rPr>
        <w:t>revised</w:t>
      </w:r>
      <w:r w:rsidR="00F67669">
        <w:rPr>
          <w:rFonts w:eastAsia="Malgun Gothic"/>
          <w:lang w:val="en-US"/>
        </w:rPr>
        <w:t xml:space="preserve"> as required and at least every </w:t>
      </w:r>
      <w:r w:rsidR="00C96D81">
        <w:rPr>
          <w:rFonts w:eastAsia="Malgun Gothic"/>
          <w:lang w:val="en-US"/>
        </w:rPr>
        <w:t>five</w:t>
      </w:r>
      <w:r w:rsidR="00F67669">
        <w:rPr>
          <w:rFonts w:eastAsia="Malgun Gothic"/>
          <w:lang w:val="en-US"/>
        </w:rPr>
        <w:t xml:space="preserve"> or </w:t>
      </w:r>
      <w:r w:rsidR="00C96D81">
        <w:rPr>
          <w:rFonts w:eastAsia="Malgun Gothic"/>
          <w:lang w:val="en-US"/>
        </w:rPr>
        <w:t>ten</w:t>
      </w:r>
      <w:r w:rsidR="00F67669">
        <w:rPr>
          <w:rFonts w:eastAsia="Malgun Gothic"/>
          <w:lang w:val="en-US"/>
        </w:rPr>
        <w:t xml:space="preserve"> years</w:t>
      </w:r>
      <w:r w:rsidR="00797632">
        <w:rPr>
          <w:rFonts w:eastAsia="Malgun Gothic"/>
          <w:lang w:val="en-US"/>
        </w:rPr>
        <w:t xml:space="preserve"> (CEDEFOP 2012</w:t>
      </w:r>
      <w:r w:rsidR="000C07E1">
        <w:rPr>
          <w:rFonts w:eastAsia="Malgun Gothic"/>
          <w:lang w:val="en-US"/>
        </w:rPr>
        <w:t>d</w:t>
      </w:r>
      <w:r w:rsidR="00797632">
        <w:rPr>
          <w:rFonts w:eastAsia="Malgun Gothic"/>
          <w:lang w:val="en-US"/>
        </w:rPr>
        <w:t>)</w:t>
      </w:r>
      <w:r w:rsidR="00F67669">
        <w:rPr>
          <w:rFonts w:eastAsia="Malgun Gothic"/>
          <w:lang w:val="en-US"/>
        </w:rPr>
        <w:t>. These reforms are driven by legislative cha</w:t>
      </w:r>
      <w:r w:rsidR="00C96D81">
        <w:rPr>
          <w:rFonts w:eastAsia="Malgun Gothic"/>
          <w:lang w:val="en-US"/>
        </w:rPr>
        <w:t>nges, qualifications structures</w:t>
      </w:r>
      <w:r w:rsidR="00F67669">
        <w:rPr>
          <w:rFonts w:eastAsia="Malgun Gothic"/>
          <w:lang w:val="en-US"/>
        </w:rPr>
        <w:t xml:space="preserve"> and occupational and industry shifts. </w:t>
      </w:r>
      <w:r w:rsidR="007D1339">
        <w:rPr>
          <w:rFonts w:eastAsia="Malgun Gothic"/>
          <w:lang w:val="en-US"/>
        </w:rPr>
        <w:t xml:space="preserve">The </w:t>
      </w:r>
      <w:r w:rsidR="00C96D81">
        <w:rPr>
          <w:rFonts w:eastAsia="Malgun Gothic"/>
          <w:lang w:val="en-US"/>
        </w:rPr>
        <w:t>board</w:t>
      </w:r>
      <w:r w:rsidR="007D1339">
        <w:rPr>
          <w:rFonts w:eastAsia="Malgun Gothic"/>
          <w:lang w:val="en-US"/>
        </w:rPr>
        <w:t xml:space="preserve"> set</w:t>
      </w:r>
      <w:r w:rsidR="00953427">
        <w:rPr>
          <w:rFonts w:eastAsia="Malgun Gothic"/>
          <w:lang w:val="en-US"/>
        </w:rPr>
        <w:t>s</w:t>
      </w:r>
      <w:r w:rsidR="007D1339">
        <w:rPr>
          <w:rFonts w:eastAsia="Malgun Gothic"/>
          <w:lang w:val="en-US"/>
        </w:rPr>
        <w:t xml:space="preserve"> up a qualification project </w:t>
      </w:r>
      <w:r w:rsidR="00C96D81">
        <w:rPr>
          <w:rFonts w:eastAsia="Malgun Gothic"/>
          <w:lang w:val="en-US"/>
        </w:rPr>
        <w:t xml:space="preserve">that </w:t>
      </w:r>
      <w:r w:rsidR="007D1339">
        <w:rPr>
          <w:rFonts w:eastAsia="Malgun Gothic"/>
          <w:lang w:val="en-US"/>
        </w:rPr>
        <w:t>includ</w:t>
      </w:r>
      <w:r w:rsidR="00C96D81">
        <w:rPr>
          <w:rFonts w:eastAsia="Malgun Gothic"/>
          <w:lang w:val="en-US"/>
        </w:rPr>
        <w:t>es</w:t>
      </w:r>
      <w:r w:rsidR="007D1339">
        <w:rPr>
          <w:rFonts w:eastAsia="Malgun Gothic"/>
          <w:lang w:val="en-US"/>
        </w:rPr>
        <w:t xml:space="preserve"> expert representatives of employers, employees and teachers in the specific qualification field. The National Education and Training Committee </w:t>
      </w:r>
      <w:r w:rsidR="00953427">
        <w:rPr>
          <w:rFonts w:eastAsia="Malgun Gothic"/>
          <w:lang w:val="en-US"/>
        </w:rPr>
        <w:t>may</w:t>
      </w:r>
      <w:r w:rsidR="007D1339">
        <w:rPr>
          <w:rFonts w:eastAsia="Malgun Gothic"/>
          <w:lang w:val="en-US"/>
        </w:rPr>
        <w:t xml:space="preserve"> also appoint an expert. When the new requirements have been determined and drafted by the qualification project</w:t>
      </w:r>
      <w:r w:rsidR="008A1A65">
        <w:rPr>
          <w:rFonts w:eastAsia="Malgun Gothic"/>
          <w:lang w:val="en-US"/>
        </w:rPr>
        <w:t>,</w:t>
      </w:r>
      <w:r w:rsidR="007D1339">
        <w:rPr>
          <w:rFonts w:eastAsia="Malgun Gothic"/>
          <w:lang w:val="en-US"/>
        </w:rPr>
        <w:t xml:space="preserve"> the draft requirements are sent out for consultation to representatives of unions, </w:t>
      </w:r>
      <w:proofErr w:type="spellStart"/>
      <w:r w:rsidR="007D1339">
        <w:rPr>
          <w:rFonts w:eastAsia="Malgun Gothic"/>
          <w:lang w:val="en-US"/>
        </w:rPr>
        <w:t>organisations</w:t>
      </w:r>
      <w:proofErr w:type="spellEnd"/>
      <w:r w:rsidR="007D1339">
        <w:rPr>
          <w:rFonts w:eastAsia="Malgun Gothic"/>
          <w:lang w:val="en-US"/>
        </w:rPr>
        <w:t xml:space="preserve">, industry and VET providers, before the </w:t>
      </w:r>
      <w:r w:rsidR="00C96D81">
        <w:rPr>
          <w:rFonts w:eastAsia="Malgun Gothic"/>
          <w:lang w:val="en-US"/>
        </w:rPr>
        <w:t>board</w:t>
      </w:r>
      <w:r w:rsidR="007D1339">
        <w:rPr>
          <w:rFonts w:eastAsia="Malgun Gothic"/>
          <w:lang w:val="en-US"/>
        </w:rPr>
        <w:t xml:space="preserve"> endorses and adopts them as legal regulations. </w:t>
      </w:r>
      <w:r w:rsidR="00567F93">
        <w:rPr>
          <w:rFonts w:eastAsia="Malgun Gothic"/>
          <w:lang w:val="en-US"/>
        </w:rPr>
        <w:t xml:space="preserve">These requirements </w:t>
      </w:r>
      <w:r w:rsidR="008A1A65">
        <w:rPr>
          <w:rFonts w:eastAsia="Malgun Gothic"/>
          <w:lang w:val="en-US"/>
        </w:rPr>
        <w:t>then</w:t>
      </w:r>
      <w:r w:rsidR="00567F93">
        <w:rPr>
          <w:rFonts w:eastAsia="Malgun Gothic"/>
          <w:lang w:val="en-US"/>
        </w:rPr>
        <w:t xml:space="preserve"> </w:t>
      </w:r>
      <w:r w:rsidR="00F67669">
        <w:rPr>
          <w:rFonts w:eastAsia="Malgun Gothic"/>
          <w:lang w:val="en-US"/>
        </w:rPr>
        <w:t xml:space="preserve">supersede the </w:t>
      </w:r>
      <w:r w:rsidR="00892858">
        <w:rPr>
          <w:rFonts w:eastAsia="Malgun Gothic"/>
          <w:lang w:val="en-US"/>
        </w:rPr>
        <w:t xml:space="preserve">previous qualifications, </w:t>
      </w:r>
      <w:r w:rsidR="00F67669">
        <w:rPr>
          <w:rFonts w:eastAsia="Malgun Gothic"/>
          <w:lang w:val="en-US"/>
        </w:rPr>
        <w:t xml:space="preserve">with provision </w:t>
      </w:r>
      <w:r w:rsidR="00953427">
        <w:rPr>
          <w:rFonts w:eastAsia="Malgun Gothic"/>
          <w:lang w:val="en-US"/>
        </w:rPr>
        <w:t xml:space="preserve">made </w:t>
      </w:r>
      <w:r w:rsidR="008A1A65">
        <w:rPr>
          <w:rFonts w:eastAsia="Malgun Gothic"/>
          <w:lang w:val="en-US"/>
        </w:rPr>
        <w:t>to allow</w:t>
      </w:r>
      <w:r w:rsidR="00F67669">
        <w:rPr>
          <w:rFonts w:eastAsia="Malgun Gothic"/>
          <w:lang w:val="en-US"/>
        </w:rPr>
        <w:t xml:space="preserve"> students </w:t>
      </w:r>
      <w:r w:rsidR="00892858">
        <w:rPr>
          <w:rFonts w:eastAsia="Malgun Gothic"/>
          <w:lang w:val="en-US"/>
        </w:rPr>
        <w:t xml:space="preserve">to </w:t>
      </w:r>
      <w:r w:rsidR="00F67669">
        <w:rPr>
          <w:rFonts w:eastAsia="Malgun Gothic"/>
          <w:lang w:val="en-US"/>
        </w:rPr>
        <w:t xml:space="preserve">complete </w:t>
      </w:r>
      <w:r w:rsidR="00892858">
        <w:rPr>
          <w:rFonts w:eastAsia="Malgun Gothic"/>
          <w:lang w:val="en-US"/>
        </w:rPr>
        <w:t xml:space="preserve">the </w:t>
      </w:r>
      <w:r w:rsidR="00F67669">
        <w:rPr>
          <w:rFonts w:eastAsia="Malgun Gothic"/>
          <w:lang w:val="en-US"/>
        </w:rPr>
        <w:t xml:space="preserve">qualifications in which they </w:t>
      </w:r>
      <w:r w:rsidR="00892858">
        <w:rPr>
          <w:rFonts w:eastAsia="Malgun Gothic"/>
          <w:lang w:val="en-US"/>
        </w:rPr>
        <w:t>were</w:t>
      </w:r>
      <w:r w:rsidR="00F67669">
        <w:rPr>
          <w:rFonts w:eastAsia="Malgun Gothic"/>
          <w:lang w:val="en-US"/>
        </w:rPr>
        <w:t xml:space="preserve"> originally enrolled. These qualifications however must be completed within </w:t>
      </w:r>
      <w:r w:rsidR="00892858">
        <w:rPr>
          <w:rFonts w:eastAsia="Malgun Gothic"/>
          <w:lang w:val="en-US"/>
        </w:rPr>
        <w:t>ten</w:t>
      </w:r>
      <w:r w:rsidR="00F67669">
        <w:rPr>
          <w:rFonts w:eastAsia="Malgun Gothic"/>
          <w:lang w:val="en-US"/>
        </w:rPr>
        <w:t xml:space="preserve"> years for upper secondary vocational qualifications and </w:t>
      </w:r>
      <w:r w:rsidR="008A1A65">
        <w:rPr>
          <w:rFonts w:eastAsia="Malgun Gothic"/>
          <w:lang w:val="en-US"/>
        </w:rPr>
        <w:t xml:space="preserve">within </w:t>
      </w:r>
      <w:r w:rsidR="00F67669">
        <w:rPr>
          <w:rFonts w:eastAsia="Malgun Gothic"/>
          <w:lang w:val="en-US"/>
        </w:rPr>
        <w:t xml:space="preserve">two years for further and specialist qualifications. These </w:t>
      </w:r>
      <w:r w:rsidR="00953427">
        <w:rPr>
          <w:rFonts w:eastAsia="Malgun Gothic"/>
          <w:lang w:val="en-US"/>
        </w:rPr>
        <w:t>periods</w:t>
      </w:r>
      <w:r w:rsidR="00F67669">
        <w:rPr>
          <w:rFonts w:eastAsia="Malgun Gothic"/>
          <w:lang w:val="en-US"/>
        </w:rPr>
        <w:t xml:space="preserve"> are also subject to other regulations. The</w:t>
      </w:r>
      <w:r w:rsidR="00892858">
        <w:rPr>
          <w:rFonts w:eastAsia="Malgun Gothic"/>
          <w:lang w:val="en-US"/>
        </w:rPr>
        <w:t xml:space="preserve"> Finnish National Board of Education</w:t>
      </w:r>
      <w:r w:rsidR="00F67669">
        <w:rPr>
          <w:rFonts w:eastAsia="Malgun Gothic"/>
          <w:lang w:val="en-US"/>
        </w:rPr>
        <w:t xml:space="preserve"> also conducts follow-up surveys on the implementation of new qualification requirements. </w:t>
      </w:r>
      <w:r w:rsidR="00892858">
        <w:rPr>
          <w:rFonts w:eastAsia="Malgun Gothic"/>
          <w:lang w:val="en-US"/>
        </w:rPr>
        <w:t>The aim</w:t>
      </w:r>
      <w:r w:rsidR="00CF18BF">
        <w:rPr>
          <w:rFonts w:eastAsia="Malgun Gothic"/>
          <w:lang w:val="en-US"/>
        </w:rPr>
        <w:t xml:space="preserve"> of these follow-up activities </w:t>
      </w:r>
      <w:r w:rsidR="00892858">
        <w:rPr>
          <w:rFonts w:eastAsia="Malgun Gothic"/>
          <w:lang w:val="en-US"/>
        </w:rPr>
        <w:t>is</w:t>
      </w:r>
      <w:r w:rsidR="00CF18BF">
        <w:rPr>
          <w:rFonts w:eastAsia="Malgun Gothic"/>
          <w:lang w:val="en-US"/>
        </w:rPr>
        <w:t xml:space="preserve"> to determine whether changes to </w:t>
      </w:r>
      <w:r w:rsidR="00892858">
        <w:rPr>
          <w:rFonts w:eastAsia="Malgun Gothic"/>
          <w:lang w:val="en-US"/>
        </w:rPr>
        <w:t xml:space="preserve">the </w:t>
      </w:r>
      <w:r w:rsidR="00CF18BF">
        <w:rPr>
          <w:rFonts w:eastAsia="Malgun Gothic"/>
          <w:lang w:val="en-US"/>
        </w:rPr>
        <w:t xml:space="preserve">requirements are </w:t>
      </w:r>
      <w:r w:rsidR="00953427">
        <w:rPr>
          <w:rFonts w:eastAsia="Malgun Gothic"/>
          <w:lang w:val="en-US"/>
        </w:rPr>
        <w:t>necessary</w:t>
      </w:r>
      <w:r w:rsidR="00CF18BF">
        <w:rPr>
          <w:rFonts w:eastAsia="Malgun Gothic"/>
          <w:lang w:val="en-US"/>
        </w:rPr>
        <w:t xml:space="preserve"> in the future.</w:t>
      </w:r>
      <w:r w:rsidR="004F7A35">
        <w:rPr>
          <w:rFonts w:eastAsia="Malgun Gothic"/>
          <w:lang w:val="en-US"/>
        </w:rPr>
        <w:t xml:space="preserve"> </w:t>
      </w:r>
    </w:p>
    <w:p w:rsidR="0089721C" w:rsidRDefault="0089721C" w:rsidP="009748E7">
      <w:pPr>
        <w:pStyle w:val="Heading2"/>
      </w:pPr>
      <w:bookmarkStart w:id="43" w:name="_Toc406514237"/>
      <w:bookmarkEnd w:id="29"/>
      <w:r>
        <w:t>Lessons learned</w:t>
      </w:r>
      <w:bookmarkEnd w:id="43"/>
      <w:r>
        <w:t xml:space="preserve"> </w:t>
      </w:r>
    </w:p>
    <w:p w:rsidR="00130735" w:rsidRDefault="008317F2" w:rsidP="008317F2">
      <w:pPr>
        <w:pStyle w:val="Text"/>
      </w:pPr>
      <w:r>
        <w:t xml:space="preserve">Across jurisdictions there is a clear desire to develop and approve qualifications that are relevant </w:t>
      </w:r>
      <w:r w:rsidR="007F3C25">
        <w:t xml:space="preserve">and credible </w:t>
      </w:r>
      <w:r w:rsidR="00730017">
        <w:t>for individuals, for workplaces and for society in general.</w:t>
      </w:r>
      <w:r w:rsidR="004928F1">
        <w:t xml:space="preserve"> </w:t>
      </w:r>
      <w:r w:rsidR="00892858">
        <w:t>In the main</w:t>
      </w:r>
      <w:r w:rsidR="00953427">
        <w:t>,</w:t>
      </w:r>
      <w:r w:rsidR="00892858">
        <w:t xml:space="preserve"> s</w:t>
      </w:r>
      <w:r w:rsidR="007F3C25">
        <w:t xml:space="preserve">ubstantial </w:t>
      </w:r>
      <w:r w:rsidR="00730017">
        <w:t xml:space="preserve">labour </w:t>
      </w:r>
      <w:r w:rsidR="00730017">
        <w:lastRenderedPageBreak/>
        <w:t xml:space="preserve">market </w:t>
      </w:r>
      <w:r w:rsidR="00892858">
        <w:t>intelligence-</w:t>
      </w:r>
      <w:r w:rsidR="007F3C25">
        <w:t xml:space="preserve">gathering </w:t>
      </w:r>
      <w:r w:rsidR="00730017">
        <w:t xml:space="preserve">precedes the development of </w:t>
      </w:r>
      <w:r w:rsidR="00130735">
        <w:t xml:space="preserve">new </w:t>
      </w:r>
      <w:r w:rsidR="00730017">
        <w:t xml:space="preserve">qualifications or evaluations of the </w:t>
      </w:r>
      <w:r w:rsidR="008A1A65">
        <w:t>ongoing</w:t>
      </w:r>
      <w:r w:rsidR="00730017">
        <w:t xml:space="preserve"> importance</w:t>
      </w:r>
      <w:r w:rsidR="00130735">
        <w:t xml:space="preserve"> of old qualifications</w:t>
      </w:r>
      <w:r w:rsidR="00730017">
        <w:t xml:space="preserve">. </w:t>
      </w:r>
      <w:r w:rsidR="00130735">
        <w:t>This</w:t>
      </w:r>
      <w:r w:rsidR="00730017">
        <w:t xml:space="preserve"> is often driven by governments </w:t>
      </w:r>
      <w:r w:rsidR="00892858">
        <w:t>who require</w:t>
      </w:r>
      <w:r w:rsidR="007F3C25">
        <w:t xml:space="preserve"> information on the types of jobs</w:t>
      </w:r>
      <w:r w:rsidR="00730017">
        <w:t>,</w:t>
      </w:r>
      <w:r w:rsidR="007F3C25">
        <w:t xml:space="preserve"> occupations </w:t>
      </w:r>
      <w:r w:rsidR="00730017">
        <w:t xml:space="preserve">and skills </w:t>
      </w:r>
      <w:r w:rsidR="007F3C25">
        <w:t>in demand</w:t>
      </w:r>
      <w:r w:rsidR="00130735">
        <w:t>, which in turn identifies the need for qualifications</w:t>
      </w:r>
      <w:r w:rsidR="00730017">
        <w:t xml:space="preserve">. </w:t>
      </w:r>
    </w:p>
    <w:p w:rsidR="00367008" w:rsidRDefault="00130735" w:rsidP="008317F2">
      <w:pPr>
        <w:pStyle w:val="Text"/>
      </w:pPr>
      <w:r>
        <w:t xml:space="preserve">Qualification development is rarely </w:t>
      </w:r>
      <w:r w:rsidR="00953427">
        <w:t>undertaken solely</w:t>
      </w:r>
      <w:r>
        <w:t xml:space="preserve"> by government bureaucracies in charge of employment and education and training. Increasingly</w:t>
      </w:r>
      <w:r w:rsidR="008A1A65">
        <w:t>,</w:t>
      </w:r>
      <w:r w:rsidR="00953427">
        <w:t xml:space="preserve"> the government</w:t>
      </w:r>
      <w:r>
        <w:t xml:space="preserve"> takes into account the views of </w:t>
      </w:r>
      <w:r w:rsidR="00D628A7">
        <w:t xml:space="preserve">other </w:t>
      </w:r>
      <w:r>
        <w:t>relevant stakeholders and experts.</w:t>
      </w:r>
      <w:r w:rsidR="004928F1">
        <w:t xml:space="preserve"> </w:t>
      </w:r>
      <w:r w:rsidR="00730017">
        <w:t xml:space="preserve">Some countries prefer to use tripartite approaches involving governments, unions, and employers and other social partners; </w:t>
      </w:r>
      <w:r w:rsidR="00D628A7">
        <w:t xml:space="preserve">others use </w:t>
      </w:r>
      <w:r w:rsidR="00E46E10">
        <w:t xml:space="preserve">the </w:t>
      </w:r>
      <w:r w:rsidR="00D628A7">
        <w:t>sector-</w:t>
      </w:r>
      <w:r w:rsidR="00730017">
        <w:t xml:space="preserve">specific industry bodies entrusted to undertake these roles. Although the rhetoric of industry leadership is more important in some countries than </w:t>
      </w:r>
      <w:r w:rsidR="00D628A7">
        <w:t>in</w:t>
      </w:r>
      <w:r w:rsidR="00460360">
        <w:t xml:space="preserve"> </w:t>
      </w:r>
      <w:r w:rsidR="00730017">
        <w:t>others, it is clear that government</w:t>
      </w:r>
      <w:r w:rsidR="00367008">
        <w:t xml:space="preserve"> policy plays a major role </w:t>
      </w:r>
      <w:r>
        <w:t xml:space="preserve">for </w:t>
      </w:r>
      <w:r w:rsidR="00367008">
        <w:t>jurisdictions wanting to ensure the credibility of national qualifications</w:t>
      </w:r>
      <w:r>
        <w:t>, and especially VET qualifications</w:t>
      </w:r>
      <w:r w:rsidR="00367008">
        <w:t xml:space="preserve">. </w:t>
      </w:r>
    </w:p>
    <w:p w:rsidR="00C26500" w:rsidRDefault="00367008" w:rsidP="008317F2">
      <w:pPr>
        <w:pStyle w:val="Text"/>
      </w:pPr>
      <w:r>
        <w:t xml:space="preserve">Information on the </w:t>
      </w:r>
      <w:r w:rsidR="00130735">
        <w:t xml:space="preserve">specific </w:t>
      </w:r>
      <w:r>
        <w:t>processes used for the removal of qualifications from a sector</w:t>
      </w:r>
      <w:r w:rsidR="00C504E2">
        <w:t>’</w:t>
      </w:r>
      <w:r>
        <w:t>s qualification</w:t>
      </w:r>
      <w:r w:rsidR="008A1A65">
        <w:t>s</w:t>
      </w:r>
      <w:r>
        <w:t xml:space="preserve"> profile has not been easy </w:t>
      </w:r>
      <w:r w:rsidR="00130735">
        <w:t>to come by. However, where it has been available it points to some clear rules for removal, generally concerning a history of low or zero uptake.</w:t>
      </w:r>
      <w:r w:rsidR="004928F1">
        <w:t xml:space="preserve"> </w:t>
      </w:r>
      <w:r w:rsidR="00460360">
        <w:t>The two-year low</w:t>
      </w:r>
      <w:r w:rsidR="00E46E10">
        <w:t>- or zero-</w:t>
      </w:r>
      <w:r w:rsidR="00460360">
        <w:t>uptake criteria have</w:t>
      </w:r>
      <w:r w:rsidR="00130735">
        <w:t xml:space="preserve"> been identified for New Zealand, Scotland and the Skills Funding Agency of the Department of Business</w:t>
      </w:r>
      <w:r w:rsidR="00E46E10">
        <w:t>,</w:t>
      </w:r>
      <w:r w:rsidR="00130735">
        <w:t xml:space="preserve"> Innovation </w:t>
      </w:r>
      <w:r w:rsidR="00E46E10">
        <w:t xml:space="preserve">and Skills </w:t>
      </w:r>
      <w:r w:rsidR="00130735">
        <w:t xml:space="preserve">in the United Kingdom. </w:t>
      </w:r>
      <w:r w:rsidR="006024DF">
        <w:t>Such a rule</w:t>
      </w:r>
      <w:r w:rsidR="00460360">
        <w:t xml:space="preserve"> could be used in other systems;</w:t>
      </w:r>
      <w:r w:rsidR="006024DF">
        <w:t xml:space="preserve"> </w:t>
      </w:r>
      <w:r w:rsidR="00130735">
        <w:t xml:space="preserve">however, it is important to </w:t>
      </w:r>
      <w:r w:rsidR="00C26500">
        <w:t xml:space="preserve">understand that there may be </w:t>
      </w:r>
      <w:r w:rsidR="00C504E2">
        <w:t>‘</w:t>
      </w:r>
      <w:r w:rsidR="00C26500">
        <w:t>niche</w:t>
      </w:r>
      <w:r w:rsidR="00C504E2">
        <w:t>’</w:t>
      </w:r>
      <w:r w:rsidR="00C26500">
        <w:t xml:space="preserve"> occupations that do not require </w:t>
      </w:r>
      <w:r w:rsidR="00FD49C6">
        <w:t xml:space="preserve">a </w:t>
      </w:r>
      <w:r w:rsidR="00C26500">
        <w:t xml:space="preserve">high uptake of qualifications. Any mechanism would have to take this into account. </w:t>
      </w:r>
    </w:p>
    <w:p w:rsidR="00C26500" w:rsidRDefault="00C26500" w:rsidP="008317F2">
      <w:pPr>
        <w:pStyle w:val="Text"/>
      </w:pPr>
    </w:p>
    <w:p w:rsidR="0089721C" w:rsidRDefault="0089721C">
      <w:pPr>
        <w:spacing w:before="0" w:line="240" w:lineRule="auto"/>
        <w:rPr>
          <w:rFonts w:ascii="Tahoma" w:hAnsi="Tahoma" w:cs="Tahoma"/>
          <w:color w:val="000000"/>
          <w:kern w:val="28"/>
          <w:sz w:val="56"/>
          <w:szCs w:val="56"/>
        </w:rPr>
      </w:pPr>
      <w:r>
        <w:br w:type="page"/>
      </w:r>
    </w:p>
    <w:p w:rsidR="00504F7C" w:rsidRDefault="00C754DD" w:rsidP="00504F7C">
      <w:pPr>
        <w:pStyle w:val="Heading1"/>
      </w:pPr>
      <w:bookmarkStart w:id="44" w:name="_Toc406514238"/>
      <w:r>
        <w:lastRenderedPageBreak/>
        <w:t>Implementing quality assurance systems and practices</w:t>
      </w:r>
      <w:bookmarkEnd w:id="44"/>
    </w:p>
    <w:p w:rsidR="00DF2C7E" w:rsidRDefault="009B1F8C" w:rsidP="00504F7C">
      <w:pPr>
        <w:pStyle w:val="Text"/>
      </w:pPr>
      <w:r>
        <w:t xml:space="preserve">When learners </w:t>
      </w:r>
      <w:r w:rsidR="00FD49C6">
        <w:t>acquire</w:t>
      </w:r>
      <w:r>
        <w:t xml:space="preserve"> qualifications for knowledge, skills and competencies </w:t>
      </w:r>
      <w:r w:rsidR="00FD49C6">
        <w:t>gained</w:t>
      </w:r>
      <w:r>
        <w:t xml:space="preserve"> in a range of formal, non-formal and informal situations (including school, the community, the workplace, insti</w:t>
      </w:r>
      <w:r w:rsidR="008A1A65">
        <w:t>tutions of vocational education</w:t>
      </w:r>
      <w:r>
        <w:t xml:space="preserve"> and further and higher education, and other non-formal and informal </w:t>
      </w:r>
      <w:r w:rsidR="00C85C9C">
        <w:t>events</w:t>
      </w:r>
      <w:r>
        <w:t xml:space="preserve">) </w:t>
      </w:r>
      <w:r w:rsidR="00460360">
        <w:t>there are</w:t>
      </w:r>
      <w:r w:rsidR="00C85C9C">
        <w:t xml:space="preserve"> implications for the integrity of </w:t>
      </w:r>
      <w:r w:rsidR="00460360">
        <w:t xml:space="preserve">the </w:t>
      </w:r>
      <w:r w:rsidR="00C85C9C">
        <w:t>qualification</w:t>
      </w:r>
      <w:r w:rsidR="00DF2C7E">
        <w:t>s awarded</w:t>
      </w:r>
      <w:r w:rsidR="00C85C9C">
        <w:t xml:space="preserve">. Questions </w:t>
      </w:r>
      <w:r w:rsidR="00FD49C6">
        <w:t>over</w:t>
      </w:r>
      <w:r w:rsidR="00C85C9C">
        <w:t xml:space="preserve"> integrity can lead to uncertainty and reduce the </w:t>
      </w:r>
      <w:r>
        <w:t xml:space="preserve">trust and confidence </w:t>
      </w:r>
      <w:r w:rsidR="00C85C9C">
        <w:t>of employers and students</w:t>
      </w:r>
      <w:r w:rsidR="00C754DD">
        <w:t xml:space="preserve"> </w:t>
      </w:r>
      <w:r>
        <w:t xml:space="preserve">in the value of </w:t>
      </w:r>
      <w:r w:rsidR="00DF2C7E">
        <w:t>such</w:t>
      </w:r>
      <w:r>
        <w:t xml:space="preserve"> qualification</w:t>
      </w:r>
      <w:r w:rsidR="00DF2C7E">
        <w:t>s</w:t>
      </w:r>
      <w:r>
        <w:t xml:space="preserve">. </w:t>
      </w:r>
    </w:p>
    <w:p w:rsidR="009A0ABF" w:rsidRDefault="000432D0" w:rsidP="00504F7C">
      <w:pPr>
        <w:pStyle w:val="Text"/>
      </w:pPr>
      <w:r>
        <w:t xml:space="preserve">Traditionally the general approach </w:t>
      </w:r>
      <w:r w:rsidR="00C754DD">
        <w:t xml:space="preserve">to quality </w:t>
      </w:r>
      <w:r>
        <w:t xml:space="preserve">has been to use </w:t>
      </w:r>
      <w:r w:rsidR="009B1F8C">
        <w:t>a system of inspection</w:t>
      </w:r>
      <w:r w:rsidR="00204434">
        <w:t>,</w:t>
      </w:r>
      <w:r>
        <w:t xml:space="preserve"> where</w:t>
      </w:r>
      <w:r w:rsidR="00460360">
        <w:t>by</w:t>
      </w:r>
      <w:r>
        <w:t xml:space="preserve"> government inspectors visit institutions to inspect the provision of </w:t>
      </w:r>
      <w:r w:rsidR="006B7D73">
        <w:t xml:space="preserve">training and </w:t>
      </w:r>
      <w:r w:rsidR="00204434">
        <w:t>the organisation</w:t>
      </w:r>
      <w:r w:rsidR="00C504E2">
        <w:t>’</w:t>
      </w:r>
      <w:r w:rsidR="00204434">
        <w:t xml:space="preserve">s </w:t>
      </w:r>
      <w:r w:rsidR="006B7D73">
        <w:t xml:space="preserve">administrative </w:t>
      </w:r>
      <w:r>
        <w:t>services</w:t>
      </w:r>
      <w:r w:rsidR="006B7D73">
        <w:t xml:space="preserve">. Such inspections </w:t>
      </w:r>
      <w:r>
        <w:t xml:space="preserve">provide evaluations </w:t>
      </w:r>
      <w:r w:rsidR="00460360">
        <w:t>on</w:t>
      </w:r>
      <w:r>
        <w:t xml:space="preserve"> the extent to which </w:t>
      </w:r>
      <w:r w:rsidR="006B7D73">
        <w:t xml:space="preserve">training </w:t>
      </w:r>
      <w:r>
        <w:t>institutions implement</w:t>
      </w:r>
      <w:r w:rsidR="008A1A65">
        <w:t xml:space="preserve"> the</w:t>
      </w:r>
      <w:r>
        <w:t xml:space="preserve"> </w:t>
      </w:r>
      <w:r w:rsidR="006B7D73">
        <w:t>defined</w:t>
      </w:r>
      <w:r>
        <w:t xml:space="preserve"> </w:t>
      </w:r>
      <w:r w:rsidR="006B7D73">
        <w:t xml:space="preserve">curriculum and </w:t>
      </w:r>
      <w:r w:rsidR="007D390E">
        <w:t xml:space="preserve">fulfil </w:t>
      </w:r>
      <w:r w:rsidR="00204434">
        <w:t xml:space="preserve">their </w:t>
      </w:r>
      <w:r w:rsidR="006B7D73">
        <w:t>administrative obligations</w:t>
      </w:r>
      <w:r w:rsidR="00DF2C7E">
        <w:t>. Student</w:t>
      </w:r>
      <w:r>
        <w:t xml:space="preserve"> results in formal external assessments </w:t>
      </w:r>
      <w:r w:rsidR="00C754DD">
        <w:t>are</w:t>
      </w:r>
      <w:r>
        <w:t xml:space="preserve"> also taken into account. </w:t>
      </w:r>
      <w:r w:rsidR="00C754DD">
        <w:t>T</w:t>
      </w:r>
      <w:r w:rsidR="00B12521">
        <w:t>his</w:t>
      </w:r>
      <w:r w:rsidR="009B1F8C">
        <w:t xml:space="preserve"> inspectorial approach </w:t>
      </w:r>
      <w:r w:rsidR="00C754DD">
        <w:t xml:space="preserve">is gradually being </w:t>
      </w:r>
      <w:r w:rsidR="009B1F8C">
        <w:t>superseded or combined with a quality assurance approach</w:t>
      </w:r>
      <w:r w:rsidR="00B12521">
        <w:t>,</w:t>
      </w:r>
      <w:r w:rsidR="00C85C9C">
        <w:t xml:space="preserve"> which includes regulation and accreditation</w:t>
      </w:r>
      <w:r>
        <w:t xml:space="preserve"> of the providers of training and of </w:t>
      </w:r>
      <w:r w:rsidR="00204434">
        <w:t xml:space="preserve">the </w:t>
      </w:r>
      <w:r>
        <w:t xml:space="preserve">bodies responsible for awarding qualifications. </w:t>
      </w:r>
      <w:r w:rsidR="00955901">
        <w:t>Nevertheless</w:t>
      </w:r>
      <w:r w:rsidR="00B12521">
        <w:t>,</w:t>
      </w:r>
      <w:r w:rsidR="00955901">
        <w:t xml:space="preserve"> many countries in the EU continue to use inspection as </w:t>
      </w:r>
      <w:r w:rsidR="00C754DD">
        <w:t xml:space="preserve">part of their </w:t>
      </w:r>
      <w:r w:rsidR="00955901">
        <w:t>quality assurance process</w:t>
      </w:r>
      <w:r w:rsidR="00C754DD">
        <w:t>es</w:t>
      </w:r>
      <w:r w:rsidR="00955901">
        <w:t xml:space="preserve"> (EU Commission 2014).</w:t>
      </w:r>
    </w:p>
    <w:p w:rsidR="0003006F" w:rsidRDefault="00C754DD" w:rsidP="00797712">
      <w:pPr>
        <w:pStyle w:val="Text"/>
        <w:rPr>
          <w:lang w:val="en-US"/>
        </w:rPr>
      </w:pPr>
      <w:r>
        <w:rPr>
          <w:lang w:val="en-US"/>
        </w:rPr>
        <w:t xml:space="preserve">The focus of </w:t>
      </w:r>
      <w:r w:rsidR="00D84E92">
        <w:rPr>
          <w:lang w:val="en-US"/>
        </w:rPr>
        <w:t xml:space="preserve">VET </w:t>
      </w:r>
      <w:r>
        <w:rPr>
          <w:lang w:val="en-US"/>
        </w:rPr>
        <w:t xml:space="preserve">quality assurance </w:t>
      </w:r>
      <w:r w:rsidR="00D84E92">
        <w:rPr>
          <w:lang w:val="en-US"/>
        </w:rPr>
        <w:t xml:space="preserve">and regulatory </w:t>
      </w:r>
      <w:r>
        <w:rPr>
          <w:lang w:val="en-US"/>
        </w:rPr>
        <w:t xml:space="preserve">processes in many countries is </w:t>
      </w:r>
      <w:r w:rsidR="00D84E92">
        <w:rPr>
          <w:lang w:val="en-US"/>
        </w:rPr>
        <w:t xml:space="preserve">mostly </w:t>
      </w:r>
      <w:r>
        <w:rPr>
          <w:lang w:val="en-US"/>
        </w:rPr>
        <w:t xml:space="preserve">directed </w:t>
      </w:r>
      <w:r w:rsidR="00CC102A">
        <w:rPr>
          <w:lang w:val="en-US"/>
        </w:rPr>
        <w:t>at</w:t>
      </w:r>
      <w:r>
        <w:rPr>
          <w:lang w:val="en-US"/>
        </w:rPr>
        <w:t xml:space="preserve"> the training </w:t>
      </w:r>
      <w:r w:rsidR="00CC102A">
        <w:rPr>
          <w:lang w:val="en-US"/>
        </w:rPr>
        <w:t xml:space="preserve">providers </w:t>
      </w:r>
      <w:r>
        <w:rPr>
          <w:lang w:val="en-US"/>
        </w:rPr>
        <w:t xml:space="preserve">that deliver </w:t>
      </w:r>
      <w:r w:rsidR="00362FDF">
        <w:rPr>
          <w:lang w:val="en-US"/>
        </w:rPr>
        <w:t xml:space="preserve">and/or </w:t>
      </w:r>
      <w:r>
        <w:rPr>
          <w:lang w:val="en-US"/>
        </w:rPr>
        <w:t>award qualifications or the awarding bodies who award qualifications. The</w:t>
      </w:r>
      <w:r w:rsidR="006B7D73">
        <w:rPr>
          <w:lang w:val="en-US"/>
        </w:rPr>
        <w:t xml:space="preserve"> quality of qualifications is judged by the effectiveness and efficiency of those </w:t>
      </w:r>
      <w:r w:rsidR="00B12521">
        <w:rPr>
          <w:lang w:val="en-US"/>
        </w:rPr>
        <w:t xml:space="preserve">who </w:t>
      </w:r>
      <w:r w:rsidR="006B7D73">
        <w:rPr>
          <w:lang w:val="en-US"/>
        </w:rPr>
        <w:t xml:space="preserve">deliver </w:t>
      </w:r>
      <w:r w:rsidR="00362FDF">
        <w:rPr>
          <w:lang w:val="en-US"/>
        </w:rPr>
        <w:t xml:space="preserve">and/or </w:t>
      </w:r>
      <w:r w:rsidR="006B7D73">
        <w:rPr>
          <w:lang w:val="en-US"/>
        </w:rPr>
        <w:t>award them</w:t>
      </w:r>
      <w:r>
        <w:rPr>
          <w:lang w:val="en-US"/>
        </w:rPr>
        <w:t xml:space="preserve">. </w:t>
      </w:r>
      <w:r w:rsidR="004C6E0A">
        <w:rPr>
          <w:lang w:val="en-US"/>
        </w:rPr>
        <w:t>The premise</w:t>
      </w:r>
      <w:r w:rsidR="00B12521">
        <w:rPr>
          <w:lang w:val="en-US"/>
        </w:rPr>
        <w:t xml:space="preserve"> is that if the training </w:t>
      </w:r>
      <w:proofErr w:type="spellStart"/>
      <w:r w:rsidR="00B12521">
        <w:rPr>
          <w:lang w:val="en-US"/>
        </w:rPr>
        <w:t>organis</w:t>
      </w:r>
      <w:r w:rsidR="004C6E0A">
        <w:rPr>
          <w:lang w:val="en-US"/>
        </w:rPr>
        <w:t>ation</w:t>
      </w:r>
      <w:proofErr w:type="spellEnd"/>
      <w:r w:rsidR="004C6E0A">
        <w:rPr>
          <w:lang w:val="en-US"/>
        </w:rPr>
        <w:t xml:space="preserve"> </w:t>
      </w:r>
      <w:r w:rsidR="00D84E92">
        <w:rPr>
          <w:lang w:val="en-US"/>
        </w:rPr>
        <w:t xml:space="preserve">or awarding body </w:t>
      </w:r>
      <w:r>
        <w:rPr>
          <w:lang w:val="en-US"/>
        </w:rPr>
        <w:t xml:space="preserve">can </w:t>
      </w:r>
      <w:r w:rsidR="00B12521">
        <w:rPr>
          <w:lang w:val="en-US"/>
        </w:rPr>
        <w:t>meet pre</w:t>
      </w:r>
      <w:r w:rsidR="004C6E0A">
        <w:rPr>
          <w:lang w:val="en-US"/>
        </w:rPr>
        <w:t>determined standards or criteria for accreditation or registration</w:t>
      </w:r>
      <w:r w:rsidR="00B12521">
        <w:rPr>
          <w:lang w:val="en-US"/>
        </w:rPr>
        <w:t>,</w:t>
      </w:r>
      <w:r w:rsidR="004C6E0A">
        <w:rPr>
          <w:lang w:val="en-US"/>
        </w:rPr>
        <w:t xml:space="preserve"> then the qualifications </w:t>
      </w:r>
      <w:r w:rsidR="00B12521">
        <w:rPr>
          <w:lang w:val="en-US"/>
        </w:rPr>
        <w:t>being</w:t>
      </w:r>
      <w:r w:rsidR="004C6E0A">
        <w:rPr>
          <w:lang w:val="en-US"/>
        </w:rPr>
        <w:t xml:space="preserve"> delivered </w:t>
      </w:r>
      <w:r>
        <w:rPr>
          <w:lang w:val="en-US"/>
        </w:rPr>
        <w:t xml:space="preserve">must also be of value. </w:t>
      </w:r>
      <w:r w:rsidR="0003006F">
        <w:rPr>
          <w:lang w:val="en-US"/>
        </w:rPr>
        <w:t xml:space="preserve">There are few places where the focus is </w:t>
      </w:r>
      <w:r w:rsidR="00B12521">
        <w:rPr>
          <w:lang w:val="en-US"/>
        </w:rPr>
        <w:t>on</w:t>
      </w:r>
      <w:r w:rsidR="0003006F">
        <w:rPr>
          <w:lang w:val="en-US"/>
        </w:rPr>
        <w:t xml:space="preserve"> the design of the qualifications themselves. In fact the </w:t>
      </w:r>
      <w:r w:rsidR="0003006F">
        <w:t xml:space="preserve">EU Commission (2014) reports that </w:t>
      </w:r>
      <w:r w:rsidR="00B12521">
        <w:t>the European Quality Assurance Framework for Vocational Education and Training</w:t>
      </w:r>
      <w:r w:rsidR="0003006F">
        <w:t xml:space="preserve"> principles adopted in 2009 had not been applied to evaluate the quality of qualification</w:t>
      </w:r>
      <w:r w:rsidR="007D390E">
        <w:t>s</w:t>
      </w:r>
      <w:r w:rsidR="0003006F">
        <w:t xml:space="preserve"> design, assessment and certification</w:t>
      </w:r>
      <w:r w:rsidR="00B12521">
        <w:t>.</w:t>
      </w:r>
      <w:r w:rsidR="0003006F">
        <w:rPr>
          <w:lang w:val="en-US"/>
        </w:rPr>
        <w:t xml:space="preserve"> </w:t>
      </w:r>
    </w:p>
    <w:p w:rsidR="004C6E0A" w:rsidRDefault="00C754DD" w:rsidP="00797712">
      <w:pPr>
        <w:pStyle w:val="Text"/>
      </w:pPr>
      <w:r>
        <w:rPr>
          <w:lang w:val="en-US"/>
        </w:rPr>
        <w:t>In many systems the value</w:t>
      </w:r>
      <w:r w:rsidR="0003006F">
        <w:rPr>
          <w:lang w:val="en-US"/>
        </w:rPr>
        <w:t xml:space="preserve"> and relevance</w:t>
      </w:r>
      <w:r>
        <w:rPr>
          <w:lang w:val="en-US"/>
        </w:rPr>
        <w:t xml:space="preserve"> of qualification</w:t>
      </w:r>
      <w:r w:rsidR="0003006F">
        <w:rPr>
          <w:lang w:val="en-US"/>
        </w:rPr>
        <w:t>s</w:t>
      </w:r>
      <w:r>
        <w:rPr>
          <w:lang w:val="en-US"/>
        </w:rPr>
        <w:t xml:space="preserve"> is measured by the extent to which </w:t>
      </w:r>
      <w:r w:rsidR="00B12521">
        <w:rPr>
          <w:lang w:val="en-US"/>
        </w:rPr>
        <w:t>they address</w:t>
      </w:r>
      <w:r>
        <w:rPr>
          <w:lang w:val="en-US"/>
        </w:rPr>
        <w:t xml:space="preserve"> the skill needs of industry</w:t>
      </w:r>
      <w:r w:rsidR="00B12521">
        <w:rPr>
          <w:lang w:val="en-US"/>
        </w:rPr>
        <w:t xml:space="preserve"> and provide</w:t>
      </w:r>
      <w:r w:rsidR="009B3EE1">
        <w:rPr>
          <w:lang w:val="en-US"/>
        </w:rPr>
        <w:t xml:space="preserve"> successful pathways to employment or to further study. </w:t>
      </w:r>
      <w:r w:rsidR="00CA43D1">
        <w:t>Our review of the literature has found that</w:t>
      </w:r>
      <w:r w:rsidR="00B12521">
        <w:t>,</w:t>
      </w:r>
      <w:r w:rsidR="00CA43D1">
        <w:t xml:space="preserve"> although the details of the regulatory </w:t>
      </w:r>
      <w:r w:rsidR="009B3EE1">
        <w:t xml:space="preserve">or quality assurance </w:t>
      </w:r>
      <w:r w:rsidR="00CA43D1">
        <w:t xml:space="preserve">processes followed may differ </w:t>
      </w:r>
      <w:r w:rsidR="00DF2C7E">
        <w:t>across jurisdictions</w:t>
      </w:r>
      <w:r w:rsidR="00B12521">
        <w:t>,</w:t>
      </w:r>
      <w:r w:rsidR="00DF2C7E">
        <w:t xml:space="preserve"> </w:t>
      </w:r>
      <w:r w:rsidR="00CA43D1">
        <w:t xml:space="preserve">many of the </w:t>
      </w:r>
      <w:r w:rsidR="00797712">
        <w:t xml:space="preserve">key </w:t>
      </w:r>
      <w:r w:rsidR="00CA43D1">
        <w:t xml:space="preserve">issues confronted by and important to VET regulation </w:t>
      </w:r>
      <w:r w:rsidR="006024DF">
        <w:t>overseas are similar</w:t>
      </w:r>
      <w:r w:rsidR="00CA43D1">
        <w:t xml:space="preserve">. </w:t>
      </w:r>
    </w:p>
    <w:p w:rsidR="00D84E92" w:rsidRDefault="009B3EE1" w:rsidP="00E935E0">
      <w:pPr>
        <w:pStyle w:val="Text"/>
      </w:pPr>
      <w:r>
        <w:t>T</w:t>
      </w:r>
      <w:r w:rsidR="00797712">
        <w:t xml:space="preserve">here is a </w:t>
      </w:r>
      <w:r w:rsidR="004C6E0A">
        <w:t xml:space="preserve">desire to </w:t>
      </w:r>
      <w:r w:rsidR="00797712">
        <w:rPr>
          <w:lang w:val="en-US"/>
        </w:rPr>
        <w:t xml:space="preserve">ensure </w:t>
      </w:r>
      <w:r w:rsidR="00797712" w:rsidRPr="007774F2">
        <w:rPr>
          <w:lang w:val="en-US"/>
        </w:rPr>
        <w:t xml:space="preserve">that the providers of training have appropriate and adequate </w:t>
      </w:r>
      <w:r w:rsidR="00D84E92">
        <w:rPr>
          <w:lang w:val="en-US"/>
        </w:rPr>
        <w:t xml:space="preserve">business and financial </w:t>
      </w:r>
      <w:r w:rsidR="00797712" w:rsidRPr="007774F2">
        <w:rPr>
          <w:lang w:val="en-US"/>
        </w:rPr>
        <w:t>processes</w:t>
      </w:r>
      <w:r w:rsidR="00D84E92">
        <w:rPr>
          <w:lang w:val="en-US"/>
        </w:rPr>
        <w:t xml:space="preserve">, adequate and up-to-date </w:t>
      </w:r>
      <w:r w:rsidR="00D84E92" w:rsidRPr="007774F2">
        <w:rPr>
          <w:lang w:val="en-US"/>
        </w:rPr>
        <w:t xml:space="preserve">physical </w:t>
      </w:r>
      <w:r w:rsidR="00D84E92">
        <w:rPr>
          <w:lang w:val="en-US"/>
        </w:rPr>
        <w:t>facilities and equipment</w:t>
      </w:r>
      <w:r w:rsidR="007D390E">
        <w:rPr>
          <w:lang w:val="en-US"/>
        </w:rPr>
        <w:t>,</w:t>
      </w:r>
      <w:r w:rsidR="00D84E92">
        <w:rPr>
          <w:lang w:val="en-US"/>
        </w:rPr>
        <w:t xml:space="preserve"> </w:t>
      </w:r>
      <w:r w:rsidR="00797712" w:rsidRPr="007774F2">
        <w:rPr>
          <w:lang w:val="en-US"/>
        </w:rPr>
        <w:t xml:space="preserve">and </w:t>
      </w:r>
      <w:r w:rsidR="00D84E92">
        <w:rPr>
          <w:lang w:val="en-US"/>
        </w:rPr>
        <w:t xml:space="preserve">appropriately qualified and competent staff for the delivery of </w:t>
      </w:r>
      <w:r w:rsidR="00204434">
        <w:rPr>
          <w:lang w:val="en-US"/>
        </w:rPr>
        <w:t xml:space="preserve">the </w:t>
      </w:r>
      <w:r w:rsidR="004C6E0A">
        <w:rPr>
          <w:lang w:val="en-US"/>
        </w:rPr>
        <w:t>necessary</w:t>
      </w:r>
      <w:r w:rsidR="00797712" w:rsidRPr="007774F2">
        <w:rPr>
          <w:lang w:val="en-US"/>
        </w:rPr>
        <w:t xml:space="preserve"> and relevant skills and knowledge</w:t>
      </w:r>
      <w:r w:rsidR="004C6E0A">
        <w:rPr>
          <w:lang w:val="en-US"/>
        </w:rPr>
        <w:t xml:space="preserve"> </w:t>
      </w:r>
      <w:r w:rsidR="00797712">
        <w:rPr>
          <w:lang w:val="en-US"/>
        </w:rPr>
        <w:t xml:space="preserve">for </w:t>
      </w:r>
      <w:r w:rsidR="00204434">
        <w:rPr>
          <w:lang w:val="en-US"/>
        </w:rPr>
        <w:t xml:space="preserve">the </w:t>
      </w:r>
      <w:r w:rsidR="00797712">
        <w:rPr>
          <w:lang w:val="en-US"/>
        </w:rPr>
        <w:t xml:space="preserve">qualifications. </w:t>
      </w:r>
      <w:r w:rsidR="00CA43D1">
        <w:t>Common in many</w:t>
      </w:r>
      <w:r w:rsidR="007D390E">
        <w:t xml:space="preserve"> of the</w:t>
      </w:r>
      <w:r w:rsidR="00CA43D1">
        <w:t xml:space="preserve"> </w:t>
      </w:r>
      <w:r w:rsidR="003023C3">
        <w:t xml:space="preserve">education </w:t>
      </w:r>
      <w:r w:rsidR="00CA43D1">
        <w:t>systems</w:t>
      </w:r>
      <w:r w:rsidR="003023C3">
        <w:t xml:space="preserve"> that have adopted quality assurance approaches</w:t>
      </w:r>
      <w:r w:rsidR="00CA43D1">
        <w:t xml:space="preserve"> </w:t>
      </w:r>
      <w:r w:rsidR="003023C3">
        <w:t xml:space="preserve">to regulation </w:t>
      </w:r>
      <w:r w:rsidR="00CA43D1">
        <w:t xml:space="preserve">are </w:t>
      </w:r>
      <w:r w:rsidR="00955901">
        <w:t>standards</w:t>
      </w:r>
      <w:r w:rsidR="00CA43D1">
        <w:t xml:space="preserve"> for initial </w:t>
      </w:r>
      <w:r w:rsidR="00E55E24">
        <w:t xml:space="preserve">and continuing </w:t>
      </w:r>
      <w:r w:rsidR="00CA43D1">
        <w:t>registration</w:t>
      </w:r>
      <w:r w:rsidR="00E55E24">
        <w:t xml:space="preserve"> or </w:t>
      </w:r>
      <w:r w:rsidR="00CA43D1">
        <w:t>accreditation</w:t>
      </w:r>
      <w:r w:rsidR="003023C3">
        <w:t xml:space="preserve"> </w:t>
      </w:r>
      <w:r w:rsidR="00CA43D1">
        <w:t>(including provisional registration or equivalent)</w:t>
      </w:r>
      <w:r w:rsidR="00591145">
        <w:t>. There is also a desire to ensure that these standards are not too complex</w:t>
      </w:r>
      <w:r w:rsidR="00A0507E">
        <w:t>,</w:t>
      </w:r>
      <w:r w:rsidR="00591145">
        <w:t xml:space="preserve"> numerous</w:t>
      </w:r>
      <w:r w:rsidR="00A0507E">
        <w:t xml:space="preserve"> or prescriptive</w:t>
      </w:r>
      <w:r w:rsidR="00591145">
        <w:t xml:space="preserve">. </w:t>
      </w:r>
      <w:r w:rsidR="00A0507E">
        <w:t xml:space="preserve">Connected to quality assurance frameworks and processes are </w:t>
      </w:r>
      <w:r w:rsidR="00BF0E74">
        <w:t>qualifications framework</w:t>
      </w:r>
      <w:r w:rsidR="00591145">
        <w:t xml:space="preserve">s </w:t>
      </w:r>
      <w:r w:rsidR="00204434">
        <w:t>that</w:t>
      </w:r>
      <w:r w:rsidR="00A0507E">
        <w:t xml:space="preserve"> </w:t>
      </w:r>
      <w:r w:rsidR="00591145">
        <w:t xml:space="preserve">classify types of qualifications and levels and </w:t>
      </w:r>
      <w:r w:rsidR="00204434">
        <w:t xml:space="preserve">the </w:t>
      </w:r>
      <w:r w:rsidR="00591145">
        <w:t xml:space="preserve">relationships between them. </w:t>
      </w:r>
    </w:p>
    <w:p w:rsidR="00E935E0" w:rsidRDefault="00D84E92" w:rsidP="00E935E0">
      <w:pPr>
        <w:pStyle w:val="Text"/>
      </w:pPr>
      <w:r>
        <w:lastRenderedPageBreak/>
        <w:t>Increasingly</w:t>
      </w:r>
      <w:r w:rsidR="00B12521">
        <w:t>,</w:t>
      </w:r>
      <w:r>
        <w:t xml:space="preserve"> qu</w:t>
      </w:r>
      <w:r w:rsidR="00591145">
        <w:t xml:space="preserve">ality assurance systems comprise a combination of internal quality </w:t>
      </w:r>
      <w:r>
        <w:t xml:space="preserve">review </w:t>
      </w:r>
      <w:r w:rsidR="00591145">
        <w:t xml:space="preserve">mechanisms (for example, </w:t>
      </w:r>
      <w:r w:rsidR="00CA43D1">
        <w:t>institutional self-</w:t>
      </w:r>
      <w:r w:rsidR="00955901">
        <w:t>assessments</w:t>
      </w:r>
      <w:r w:rsidR="00591145">
        <w:t xml:space="preserve">, </w:t>
      </w:r>
      <w:r w:rsidR="00CA43D1">
        <w:t>self</w:t>
      </w:r>
      <w:r w:rsidR="003023C3">
        <w:t>-</w:t>
      </w:r>
      <w:r w:rsidR="00CA43D1">
        <w:t>stud</w:t>
      </w:r>
      <w:r w:rsidR="00591145">
        <w:t xml:space="preserve">ies or </w:t>
      </w:r>
      <w:r w:rsidR="00955901">
        <w:t>internal review</w:t>
      </w:r>
      <w:r w:rsidR="00591145">
        <w:t>s</w:t>
      </w:r>
      <w:r w:rsidR="00CA43D1">
        <w:t xml:space="preserve">) </w:t>
      </w:r>
      <w:r w:rsidR="00591145">
        <w:t>and</w:t>
      </w:r>
      <w:r w:rsidR="00CA43D1">
        <w:t xml:space="preserve"> external reviews (often </w:t>
      </w:r>
      <w:r w:rsidR="003023C3">
        <w:t xml:space="preserve">accompanied by </w:t>
      </w:r>
      <w:r w:rsidR="00B12521">
        <w:t>desk-top audits, on-site visits</w:t>
      </w:r>
      <w:r w:rsidR="00CA43D1">
        <w:t xml:space="preserve"> and third-party assessments). </w:t>
      </w:r>
    </w:p>
    <w:p w:rsidR="00A0507E" w:rsidRDefault="00D84E92" w:rsidP="00425623">
      <w:pPr>
        <w:pStyle w:val="Text"/>
      </w:pPr>
      <w:r>
        <w:t>For some accreditation agencies (</w:t>
      </w:r>
      <w:r w:rsidR="00C60357">
        <w:t>for example,</w:t>
      </w:r>
      <w:r w:rsidR="00204434">
        <w:t xml:space="preserve"> in the US</w:t>
      </w:r>
      <w:r>
        <w:t xml:space="preserve"> where accreditation is voluntary but required for those institutions wanting to access government funding) there </w:t>
      </w:r>
      <w:r w:rsidR="00A0507E">
        <w:t>may be</w:t>
      </w:r>
      <w:r>
        <w:t xml:space="preserve"> requirements for providers intending to apply for accreditation</w:t>
      </w:r>
      <w:r w:rsidR="00204434">
        <w:t>. T</w:t>
      </w:r>
      <w:r w:rsidR="009E3F0D">
        <w:t>hese might include</w:t>
      </w:r>
      <w:r>
        <w:t xml:space="preserve"> </w:t>
      </w:r>
      <w:r w:rsidR="009E3F0D">
        <w:t>attendance at</w:t>
      </w:r>
      <w:r>
        <w:t xml:space="preserve"> pre-accreditation workshops and </w:t>
      </w:r>
      <w:r w:rsidR="00204434">
        <w:t>participation in</w:t>
      </w:r>
      <w:r>
        <w:t xml:space="preserve"> relatively intensive processes</w:t>
      </w:r>
      <w:r w:rsidR="00A0507E">
        <w:t xml:space="preserve"> before full accreditation is awarded</w:t>
      </w:r>
      <w:r>
        <w:t>. Some countries require providers wanting to offer programs for accreditation to have these programs evaluated via external reviews prior to accreditation (for example, Ireland)</w:t>
      </w:r>
      <w:r w:rsidR="00A0507E">
        <w:t xml:space="preserve"> to justify claims that they are indeed required and useful</w:t>
      </w:r>
      <w:r w:rsidR="00204434">
        <w:t>. Q</w:t>
      </w:r>
      <w:r>
        <w:t>uality assurance mechanisms to regulate</w:t>
      </w:r>
      <w:r w:rsidR="009E3F0D">
        <w:t xml:space="preserve"> and quality-</w:t>
      </w:r>
      <w:r>
        <w:t xml:space="preserve">assure providers eligible for government funding </w:t>
      </w:r>
      <w:r w:rsidR="00204434">
        <w:t>are</w:t>
      </w:r>
      <w:r>
        <w:t xml:space="preserve"> also commonly </w:t>
      </w:r>
      <w:r w:rsidR="00204434">
        <w:t>used</w:t>
      </w:r>
      <w:r>
        <w:t xml:space="preserve">. </w:t>
      </w:r>
    </w:p>
    <w:p w:rsidR="00425623" w:rsidRDefault="00A0507E" w:rsidP="00425623">
      <w:pPr>
        <w:pStyle w:val="Text"/>
      </w:pPr>
      <w:r>
        <w:t>The concept of user pays has also been applied to many quality assurance or regulatory systems. A</w:t>
      </w:r>
      <w:r w:rsidR="00425623">
        <w:t xml:space="preserve"> variety of fees </w:t>
      </w:r>
      <w:r w:rsidR="00591145">
        <w:t xml:space="preserve">for services </w:t>
      </w:r>
      <w:r w:rsidR="00425623">
        <w:t>(including annual dues)</w:t>
      </w:r>
      <w:r>
        <w:t xml:space="preserve"> </w:t>
      </w:r>
      <w:r w:rsidR="009E3F0D">
        <w:t>is also a common practice</w:t>
      </w:r>
      <w:r>
        <w:t>. T</w:t>
      </w:r>
      <w:r w:rsidR="00591145">
        <w:t xml:space="preserve">he </w:t>
      </w:r>
      <w:r>
        <w:t xml:space="preserve">amounts and </w:t>
      </w:r>
      <w:r w:rsidR="00591145">
        <w:t xml:space="preserve">details of these </w:t>
      </w:r>
      <w:r>
        <w:t xml:space="preserve">fees and charges </w:t>
      </w:r>
      <w:r w:rsidR="00591145">
        <w:t xml:space="preserve">may vary </w:t>
      </w:r>
      <w:r>
        <w:t xml:space="preserve">but they often cover similar types of </w:t>
      </w:r>
      <w:r w:rsidR="00082AE2">
        <w:t>services</w:t>
      </w:r>
      <w:r w:rsidR="00425623">
        <w:t xml:space="preserve">. </w:t>
      </w:r>
      <w:r w:rsidR="00FE58B3">
        <w:t>They may include fees</w:t>
      </w:r>
      <w:r w:rsidR="00425623">
        <w:t xml:space="preserve"> for the lodgement of applications for initial, provisional and renewa</w:t>
      </w:r>
      <w:r w:rsidR="002F18FE">
        <w:t>l of or continuing registration</w:t>
      </w:r>
      <w:r w:rsidR="00425623">
        <w:t xml:space="preserve"> and the assessment of supporting documentation. </w:t>
      </w:r>
      <w:r w:rsidR="00FE58B3">
        <w:t xml:space="preserve">Fees may also be charged </w:t>
      </w:r>
      <w:r w:rsidR="00425623">
        <w:t xml:space="preserve">according to the volume of qualifications, courses or units to be accredited, or </w:t>
      </w:r>
      <w:r w:rsidR="002F18FE">
        <w:t xml:space="preserve">the </w:t>
      </w:r>
      <w:r w:rsidR="00425623">
        <w:t xml:space="preserve">locations of delivery sites. There </w:t>
      </w:r>
      <w:r w:rsidR="00FE58B3">
        <w:t xml:space="preserve">may be </w:t>
      </w:r>
      <w:r w:rsidR="00425623">
        <w:t xml:space="preserve">charges for </w:t>
      </w:r>
      <w:r w:rsidR="002F18FE">
        <w:t xml:space="preserve">the </w:t>
      </w:r>
      <w:r w:rsidR="00425623">
        <w:t xml:space="preserve">costs associated with conducting on-site visits </w:t>
      </w:r>
      <w:r w:rsidR="00204434">
        <w:t>by</w:t>
      </w:r>
      <w:r w:rsidR="00425623">
        <w:t xml:space="preserve"> evaluators or auditors on external review teams or panels (called </w:t>
      </w:r>
      <w:r w:rsidR="00C504E2">
        <w:t>‘</w:t>
      </w:r>
      <w:r w:rsidR="00425623">
        <w:t>visiting</w:t>
      </w:r>
      <w:r w:rsidR="00C504E2">
        <w:t>’</w:t>
      </w:r>
      <w:r w:rsidR="00425623">
        <w:t xml:space="preserve"> teams in some systems). There </w:t>
      </w:r>
      <w:r w:rsidR="00FE58B3">
        <w:t>may be</w:t>
      </w:r>
      <w:r w:rsidR="00425623">
        <w:t xml:space="preserve"> fees for applications requesting </w:t>
      </w:r>
      <w:r w:rsidR="007D390E">
        <w:t xml:space="preserve">a change in </w:t>
      </w:r>
      <w:r w:rsidR="00425623">
        <w:t xml:space="preserve">scope of registration or accreditation. In some systems warnings and other types of orders </w:t>
      </w:r>
      <w:r w:rsidR="002F18FE">
        <w:t>are issued</w:t>
      </w:r>
      <w:r w:rsidR="00204434">
        <w:t>,</w:t>
      </w:r>
      <w:r w:rsidR="002F18FE">
        <w:t xml:space="preserve"> </w:t>
      </w:r>
      <w:r w:rsidR="00425623">
        <w:t xml:space="preserve">generally </w:t>
      </w:r>
      <w:r w:rsidR="002F18FE">
        <w:t>relating</w:t>
      </w:r>
      <w:r w:rsidR="00425623">
        <w:t xml:space="preserve"> to those who are found to be non-complying or defaulting, and organisations that attract such warnings</w:t>
      </w:r>
      <w:r w:rsidR="002F18FE" w:rsidRPr="002F18FE">
        <w:t xml:space="preserve"> </w:t>
      </w:r>
      <w:r w:rsidR="002F18FE">
        <w:t>may be charged for those</w:t>
      </w:r>
      <w:r w:rsidR="00425623">
        <w:t xml:space="preserve">. </w:t>
      </w:r>
    </w:p>
    <w:p w:rsidR="00E55E24" w:rsidRDefault="0003006F" w:rsidP="00E01AF1">
      <w:pPr>
        <w:pStyle w:val="Heading2"/>
      </w:pPr>
      <w:bookmarkStart w:id="45" w:name="_Toc406514239"/>
      <w:r>
        <w:t>Frameworks and standards</w:t>
      </w:r>
      <w:bookmarkEnd w:id="45"/>
      <w:r>
        <w:t xml:space="preserve"> </w:t>
      </w:r>
    </w:p>
    <w:p w:rsidR="00B4557F" w:rsidRDefault="002679A6" w:rsidP="0003006F">
      <w:pPr>
        <w:pStyle w:val="Text"/>
      </w:pPr>
      <w:r>
        <w:t xml:space="preserve">Quality assurance and regulatory frameworks </w:t>
      </w:r>
      <w:r w:rsidR="004A5A52">
        <w:t xml:space="preserve">generally </w:t>
      </w:r>
      <w:r w:rsidR="00085B2C">
        <w:t>have specific requirements that</w:t>
      </w:r>
      <w:r>
        <w:t xml:space="preserve"> need to be addressed by those seeking initial or continuing accreditation</w:t>
      </w:r>
      <w:r w:rsidR="00085B2C">
        <w:t xml:space="preserve">. </w:t>
      </w:r>
      <w:r w:rsidR="00DB5BE4">
        <w:t xml:space="preserve">These are </w:t>
      </w:r>
      <w:r w:rsidR="00204434">
        <w:t>normally</w:t>
      </w:r>
      <w:r w:rsidR="00DB5BE4">
        <w:t xml:space="preserve"> set out in quality standards, objectives or criteria. </w:t>
      </w:r>
      <w:r w:rsidR="00085B2C">
        <w:t>Standards-based systems</w:t>
      </w:r>
      <w:r w:rsidR="007D390E">
        <w:t>,</w:t>
      </w:r>
      <w:r w:rsidR="00085B2C">
        <w:t xml:space="preserve"> as well as those based on objectives </w:t>
      </w:r>
      <w:r w:rsidR="0056669D">
        <w:t>and criteria</w:t>
      </w:r>
      <w:r w:rsidR="007D390E">
        <w:t>,</w:t>
      </w:r>
      <w:r w:rsidR="0056669D">
        <w:t xml:space="preserve"> </w:t>
      </w:r>
      <w:r w:rsidR="00085B2C">
        <w:t xml:space="preserve">require regulators to have a clear idea </w:t>
      </w:r>
      <w:r w:rsidR="00204434">
        <w:t>of</w:t>
      </w:r>
      <w:r w:rsidR="00085B2C">
        <w:t xml:space="preserve"> </w:t>
      </w:r>
      <w:r w:rsidR="002F18FE">
        <w:t xml:space="preserve">the </w:t>
      </w:r>
      <w:r w:rsidR="00085B2C">
        <w:t xml:space="preserve">intentions of the standards and objectives they want to apply or pursue, and to ensure that these are </w:t>
      </w:r>
      <w:r w:rsidR="004A5A52">
        <w:t xml:space="preserve">clearly </w:t>
      </w:r>
      <w:r w:rsidR="00085B2C">
        <w:t xml:space="preserve">communicated </w:t>
      </w:r>
      <w:r w:rsidR="004A5A52">
        <w:t xml:space="preserve">and </w:t>
      </w:r>
      <w:r w:rsidR="00643F0F">
        <w:t xml:space="preserve">are </w:t>
      </w:r>
      <w:r w:rsidR="004A5A52">
        <w:t xml:space="preserve">understood </w:t>
      </w:r>
      <w:r w:rsidR="008B34A1">
        <w:t>by</w:t>
      </w:r>
      <w:r w:rsidR="00085B2C">
        <w:t xml:space="preserve"> those </w:t>
      </w:r>
      <w:r w:rsidR="00643F0F">
        <w:t>who</w:t>
      </w:r>
      <w:r w:rsidR="00085B2C">
        <w:t xml:space="preserve"> need to implement </w:t>
      </w:r>
      <w:r w:rsidR="004A5A52">
        <w:t>them</w:t>
      </w:r>
      <w:r w:rsidR="00085B2C">
        <w:t xml:space="preserve">. </w:t>
      </w:r>
    </w:p>
    <w:p w:rsidR="00780340" w:rsidRDefault="00643F0F" w:rsidP="00780340">
      <w:pPr>
        <w:pStyle w:val="Text"/>
        <w:rPr>
          <w:rFonts w:cs="Courier New"/>
        </w:rPr>
      </w:pPr>
      <w:r>
        <w:t>T</w:t>
      </w:r>
      <w:r w:rsidR="00DB1222">
        <w:t>he issues covered in q</w:t>
      </w:r>
      <w:r w:rsidR="00780340">
        <w:t xml:space="preserve">uality assurance and </w:t>
      </w:r>
      <w:r w:rsidR="007D390E">
        <w:t xml:space="preserve">in the </w:t>
      </w:r>
      <w:r w:rsidR="00D51D8D">
        <w:t>accreditation standards of many jurisdictions converge</w:t>
      </w:r>
      <w:r w:rsidR="00780340">
        <w:t>.</w:t>
      </w:r>
      <w:r w:rsidR="004928F1">
        <w:t xml:space="preserve"> </w:t>
      </w:r>
      <w:r w:rsidR="00FE58B3">
        <w:t xml:space="preserve">Bateman, Keating and Vickers </w:t>
      </w:r>
      <w:r w:rsidR="004A4D65">
        <w:t xml:space="preserve">undertook an international comparison study for the </w:t>
      </w:r>
      <w:r w:rsidR="00E01AF1">
        <w:t xml:space="preserve">Australian </w:t>
      </w:r>
      <w:r w:rsidR="004A4D65">
        <w:t xml:space="preserve">Department of Education, Employment and Workplace </w:t>
      </w:r>
      <w:r w:rsidR="004A4D65" w:rsidRPr="004739F8">
        <w:t xml:space="preserve">Relations </w:t>
      </w:r>
      <w:r w:rsidR="00FE58B3" w:rsidRPr="004739F8">
        <w:t>(</w:t>
      </w:r>
      <w:r w:rsidR="0074129A" w:rsidRPr="004739F8">
        <w:t>Australian</w:t>
      </w:r>
      <w:r w:rsidR="00F1213E" w:rsidRPr="004739F8">
        <w:t xml:space="preserve"> </w:t>
      </w:r>
      <w:r w:rsidR="0074129A" w:rsidRPr="004739F8">
        <w:t xml:space="preserve">Government </w:t>
      </w:r>
      <w:r w:rsidR="00FE58B3" w:rsidRPr="004739F8">
        <w:t>2009</w:t>
      </w:r>
      <w:r w:rsidR="00F1213E" w:rsidRPr="004739F8">
        <w:t>).</w:t>
      </w:r>
      <w:r w:rsidR="00A45AC1" w:rsidRPr="004739F8">
        <w:t xml:space="preserve"> </w:t>
      </w:r>
      <w:r w:rsidR="004A4D65" w:rsidRPr="004739F8">
        <w:t xml:space="preserve">They </w:t>
      </w:r>
      <w:r w:rsidR="00FE58B3" w:rsidRPr="004739F8">
        <w:rPr>
          <w:rFonts w:cs="Courier New"/>
        </w:rPr>
        <w:t xml:space="preserve">note that </w:t>
      </w:r>
      <w:r w:rsidR="00E01AF1" w:rsidRPr="004739F8">
        <w:rPr>
          <w:rFonts w:cs="Courier New"/>
        </w:rPr>
        <w:t xml:space="preserve">the </w:t>
      </w:r>
      <w:r w:rsidR="00FE58B3" w:rsidRPr="004739F8">
        <w:rPr>
          <w:rFonts w:cs="Courier New"/>
        </w:rPr>
        <w:t xml:space="preserve">standards of </w:t>
      </w:r>
      <w:r w:rsidR="00E01AF1" w:rsidRPr="004739F8">
        <w:rPr>
          <w:rFonts w:cs="Courier New"/>
        </w:rPr>
        <w:t xml:space="preserve">the </w:t>
      </w:r>
      <w:r w:rsidR="00780340" w:rsidRPr="004739F8">
        <w:t>quality assurance frameworks for Australia, United Kingdom, Canada</w:t>
      </w:r>
      <w:r w:rsidR="00780340">
        <w:t xml:space="preserve"> (Ontario), Singapore, New Zealand, and Germany</w:t>
      </w:r>
      <w:r w:rsidR="00FE58B3">
        <w:t xml:space="preserve"> </w:t>
      </w:r>
      <w:r w:rsidR="00FE58B3">
        <w:rPr>
          <w:rFonts w:cs="Courier New"/>
        </w:rPr>
        <w:t>had</w:t>
      </w:r>
      <w:r w:rsidR="00E01AF1">
        <w:rPr>
          <w:rFonts w:cs="Courier New"/>
        </w:rPr>
        <w:t xml:space="preserve"> similar coverage and generally</w:t>
      </w:r>
      <w:r w:rsidR="00210EEB">
        <w:rPr>
          <w:rFonts w:cs="Courier New"/>
        </w:rPr>
        <w:t xml:space="preserve"> </w:t>
      </w:r>
      <w:r w:rsidR="00E01AF1">
        <w:rPr>
          <w:rFonts w:cs="Courier New"/>
        </w:rPr>
        <w:t>encompassed</w:t>
      </w:r>
      <w:r w:rsidR="00210EEB">
        <w:rPr>
          <w:rFonts w:cs="Courier New"/>
        </w:rPr>
        <w:t xml:space="preserve"> </w:t>
      </w:r>
      <w:r w:rsidR="00780340">
        <w:rPr>
          <w:rFonts w:cs="Courier New"/>
        </w:rPr>
        <w:t>issues of</w:t>
      </w:r>
      <w:r w:rsidR="00E01AF1">
        <w:rPr>
          <w:rFonts w:cs="Courier New"/>
        </w:rPr>
        <w:t>:</w:t>
      </w:r>
      <w:r w:rsidR="00780340">
        <w:rPr>
          <w:rFonts w:cs="Courier New"/>
        </w:rPr>
        <w:t xml:space="preserve"> probi</w:t>
      </w:r>
      <w:r w:rsidR="00E01AF1">
        <w:rPr>
          <w:rFonts w:cs="Courier New"/>
        </w:rPr>
        <w:t>ty and financial accountability; health and duty of care;</w:t>
      </w:r>
      <w:r w:rsidR="00780340">
        <w:rPr>
          <w:rFonts w:cs="Courier New"/>
        </w:rPr>
        <w:t xml:space="preserve"> </w:t>
      </w:r>
      <w:r w:rsidR="00E01AF1">
        <w:rPr>
          <w:rFonts w:cs="Courier New"/>
        </w:rPr>
        <w:t>user protection;</w:t>
      </w:r>
      <w:r w:rsidR="00780340">
        <w:rPr>
          <w:rFonts w:cs="Courier New"/>
        </w:rPr>
        <w:t xml:space="preserve"> quality impro</w:t>
      </w:r>
      <w:r w:rsidR="00E01AF1">
        <w:rPr>
          <w:rFonts w:cs="Courier New"/>
        </w:rPr>
        <w:t>vement and system effectiveness; social and economic objectives;</w:t>
      </w:r>
      <w:r w:rsidR="00780340">
        <w:rPr>
          <w:rFonts w:cs="Courier New"/>
        </w:rPr>
        <w:t xml:space="preserve"> quality of the qualification and </w:t>
      </w:r>
      <w:r w:rsidR="00E01AF1">
        <w:rPr>
          <w:rFonts w:cs="Courier New"/>
        </w:rPr>
        <w:t>the training outcomes;</w:t>
      </w:r>
      <w:r w:rsidR="00780340">
        <w:rPr>
          <w:rFonts w:cs="Courier New"/>
        </w:rPr>
        <w:t xml:space="preserve"> recognition of the quality of a VET prov</w:t>
      </w:r>
      <w:r w:rsidR="00E01AF1">
        <w:rPr>
          <w:rFonts w:cs="Courier New"/>
        </w:rPr>
        <w:t>ider or sector and its products;</w:t>
      </w:r>
      <w:r w:rsidR="00780340">
        <w:rPr>
          <w:rFonts w:cs="Courier New"/>
        </w:rPr>
        <w:t xml:space="preserve"> and recognition of </w:t>
      </w:r>
      <w:r>
        <w:rPr>
          <w:rFonts w:cs="Courier New"/>
        </w:rPr>
        <w:t xml:space="preserve">the </w:t>
      </w:r>
      <w:r w:rsidR="00780340">
        <w:rPr>
          <w:rFonts w:cs="Courier New"/>
        </w:rPr>
        <w:t>quality of a VET system and its products.</w:t>
      </w:r>
      <w:r w:rsidR="004928F1">
        <w:rPr>
          <w:rFonts w:cs="Courier New"/>
        </w:rPr>
        <w:t xml:space="preserve"> </w:t>
      </w:r>
      <w:r w:rsidR="00780340">
        <w:rPr>
          <w:rFonts w:cs="Courier New"/>
        </w:rPr>
        <w:t>The autho</w:t>
      </w:r>
      <w:r w:rsidR="00E01AF1">
        <w:rPr>
          <w:rFonts w:cs="Courier New"/>
        </w:rPr>
        <w:t xml:space="preserve">rs note that such frameworks are integral to the </w:t>
      </w:r>
      <w:r w:rsidR="00780340">
        <w:rPr>
          <w:rFonts w:cs="Courier New"/>
        </w:rPr>
        <w:t>cultural contexts and the national governance cultures in which they are located</w:t>
      </w:r>
      <w:r w:rsidR="00E01AF1">
        <w:rPr>
          <w:rFonts w:cs="Courier New"/>
        </w:rPr>
        <w:t>, which</w:t>
      </w:r>
      <w:r w:rsidR="00780340">
        <w:rPr>
          <w:rFonts w:cs="Courier New"/>
        </w:rPr>
        <w:t xml:space="preserve"> can lead to variations in emphasis.</w:t>
      </w:r>
      <w:r w:rsidR="00C62892">
        <w:rPr>
          <w:rFonts w:cs="Courier New"/>
          <w:color w:val="FF0000"/>
        </w:rPr>
        <w:t xml:space="preserve"> </w:t>
      </w:r>
      <w:r w:rsidR="00780340">
        <w:rPr>
          <w:rFonts w:cs="Courier New"/>
        </w:rPr>
        <w:t>For example</w:t>
      </w:r>
      <w:r w:rsidR="00E01AF1">
        <w:rPr>
          <w:rFonts w:cs="Courier New"/>
        </w:rPr>
        <w:t>,</w:t>
      </w:r>
      <w:r w:rsidR="00780340">
        <w:rPr>
          <w:rFonts w:cs="Courier New"/>
        </w:rPr>
        <w:t xml:space="preserve"> where some countries </w:t>
      </w:r>
      <w:r>
        <w:rPr>
          <w:rFonts w:cs="Courier New"/>
        </w:rPr>
        <w:t>such as</w:t>
      </w:r>
      <w:r w:rsidR="00E01AF1">
        <w:rPr>
          <w:rFonts w:cs="Courier New"/>
        </w:rPr>
        <w:t xml:space="preserve"> </w:t>
      </w:r>
      <w:r w:rsidR="00780340">
        <w:rPr>
          <w:rFonts w:cs="Courier New"/>
        </w:rPr>
        <w:t>Australia</w:t>
      </w:r>
      <w:r w:rsidR="00BB1B1C">
        <w:rPr>
          <w:rFonts w:cs="Courier New"/>
        </w:rPr>
        <w:t xml:space="preserve"> might</w:t>
      </w:r>
      <w:r w:rsidR="00780340">
        <w:rPr>
          <w:rFonts w:cs="Courier New"/>
        </w:rPr>
        <w:t xml:space="preserve"> focus on the processes that are to be implemented to ensure quality t</w:t>
      </w:r>
      <w:r w:rsidR="00E01AF1">
        <w:rPr>
          <w:rFonts w:cs="Courier New"/>
        </w:rPr>
        <w:t>eaching and assessment services</w:t>
      </w:r>
      <w:r w:rsidR="00780340">
        <w:rPr>
          <w:rFonts w:cs="Courier New"/>
        </w:rPr>
        <w:t xml:space="preserve"> and continuing improvement (for both private and public </w:t>
      </w:r>
      <w:r w:rsidR="00E01AF1">
        <w:rPr>
          <w:rFonts w:cs="Courier New"/>
        </w:rPr>
        <w:t>registered training organisations</w:t>
      </w:r>
      <w:r w:rsidR="00780340">
        <w:rPr>
          <w:rFonts w:cs="Courier New"/>
        </w:rPr>
        <w:t xml:space="preserve">), the Ontario approach has a </w:t>
      </w:r>
      <w:r w:rsidR="007D390E">
        <w:rPr>
          <w:rFonts w:cs="Courier New"/>
        </w:rPr>
        <w:t>more prominent</w:t>
      </w:r>
      <w:r w:rsidR="00780340">
        <w:rPr>
          <w:rFonts w:cs="Courier New"/>
        </w:rPr>
        <w:t xml:space="preserve"> focus on consumer protection (especially for private providers). Where Australia, Singapore, and Ontario focus on the minimum qualifications </w:t>
      </w:r>
      <w:r w:rsidR="00780340">
        <w:rPr>
          <w:rFonts w:cs="Courier New"/>
        </w:rPr>
        <w:lastRenderedPageBreak/>
        <w:t>for teachers and trainers, the United Kingdom directs it</w:t>
      </w:r>
      <w:r w:rsidR="007D390E">
        <w:rPr>
          <w:rFonts w:cs="Courier New"/>
        </w:rPr>
        <w:t>s</w:t>
      </w:r>
      <w:r w:rsidR="00780340">
        <w:rPr>
          <w:rFonts w:cs="Courier New"/>
        </w:rPr>
        <w:t xml:space="preserve"> attention more to the capabilities of assessors and verifiers. These are useful reference points for the creation or modification of regulatory or quality assurance frameworks.</w:t>
      </w:r>
      <w:r w:rsidR="00C62892">
        <w:rPr>
          <w:rFonts w:cs="Courier New"/>
        </w:rPr>
        <w:t xml:space="preserve"> </w:t>
      </w:r>
    </w:p>
    <w:p w:rsidR="00E01AF1" w:rsidRDefault="0003006F" w:rsidP="00E01AF1">
      <w:pPr>
        <w:pStyle w:val="Heading3"/>
      </w:pPr>
      <w:r w:rsidRPr="0003006F">
        <w:t>European Union</w:t>
      </w:r>
    </w:p>
    <w:p w:rsidR="0003006F" w:rsidRDefault="0003006F" w:rsidP="008E0FBB">
      <w:pPr>
        <w:pStyle w:val="Textlessbefore"/>
      </w:pPr>
      <w:r>
        <w:t xml:space="preserve">In 2009 the European Quality Assurance Framework for Vocational Education and Training (EQAVET) was adopted by the EU Parliament and Council. </w:t>
      </w:r>
      <w:r w:rsidR="003713A4">
        <w:t>It was intended that t</w:t>
      </w:r>
      <w:r>
        <w:t xml:space="preserve">he framework would provide states with a reference framework to help them monitor and implement </w:t>
      </w:r>
      <w:r w:rsidR="003713A4">
        <w:t>quality assurance</w:t>
      </w:r>
      <w:r>
        <w:t xml:space="preserve"> processes for continuous improvement. The main aim was to increase the transparency and consis</w:t>
      </w:r>
      <w:r w:rsidR="003713A4">
        <w:t>tency of VET policy development</w:t>
      </w:r>
      <w:r>
        <w:t xml:space="preserve"> and to promote mutual trust, stude</w:t>
      </w:r>
      <w:r w:rsidR="003713A4">
        <w:t>nt and labour mobility</w:t>
      </w:r>
      <w:r w:rsidR="00643F0F">
        <w:t>,</w:t>
      </w:r>
      <w:r w:rsidR="003713A4">
        <w:t xml:space="preserve"> and life</w:t>
      </w:r>
      <w:r>
        <w:t xml:space="preserve">long learning. In 2010 the Bruges Communiqué </w:t>
      </w:r>
      <w:r w:rsidR="00FE58B3">
        <w:t xml:space="preserve">announced </w:t>
      </w:r>
      <w:r>
        <w:t xml:space="preserve">that </w:t>
      </w:r>
      <w:r w:rsidR="00C504E2">
        <w:t>‘</w:t>
      </w:r>
      <w:r>
        <w:t>transparency and a common approach to quality assurance are necessary to build up mutual trust which will facilitate mobility and recognition of skills and com</w:t>
      </w:r>
      <w:r w:rsidR="00FE58B3">
        <w:t>petences between those systems</w:t>
      </w:r>
      <w:r w:rsidR="00C504E2">
        <w:t>’</w:t>
      </w:r>
      <w:r w:rsidR="00FE58B3">
        <w:t xml:space="preserve"> </w:t>
      </w:r>
      <w:r>
        <w:t>(</w:t>
      </w:r>
      <w:r w:rsidR="004A4D65">
        <w:t>European Commission</w:t>
      </w:r>
      <w:r>
        <w:t xml:space="preserve"> 2010</w:t>
      </w:r>
      <w:r w:rsidR="004A4D65">
        <w:t>, p</w:t>
      </w:r>
      <w:r w:rsidR="003713A4">
        <w:t>.</w:t>
      </w:r>
      <w:r w:rsidR="004A4D65">
        <w:t>3</w:t>
      </w:r>
      <w:r>
        <w:t>).</w:t>
      </w:r>
      <w:r w:rsidR="004F7A35">
        <w:rPr>
          <w:lang w:val="en-US"/>
        </w:rPr>
        <w:t xml:space="preserve"> </w:t>
      </w:r>
      <w:r w:rsidR="00823D61">
        <w:rPr>
          <w:lang w:val="en-US"/>
        </w:rPr>
        <w:t>M</w:t>
      </w:r>
      <w:proofErr w:type="spellStart"/>
      <w:r w:rsidR="00823D61">
        <w:t>ore</w:t>
      </w:r>
      <w:proofErr w:type="spellEnd"/>
      <w:r w:rsidR="00823D61">
        <w:t xml:space="preserve"> than 20 countries had implemented quality assurance reforms by 2013 and had </w:t>
      </w:r>
      <w:r w:rsidR="00643F0F">
        <w:t>established</w:t>
      </w:r>
      <w:r w:rsidR="00823D61">
        <w:t xml:space="preserve"> quality standards for</w:t>
      </w:r>
      <w:r w:rsidR="003713A4">
        <w:t xml:space="preserve"> providers (European Commission</w:t>
      </w:r>
      <w:r w:rsidR="00823D61">
        <w:t xml:space="preserve"> 2014).</w:t>
      </w:r>
    </w:p>
    <w:p w:rsidR="003713A4" w:rsidRDefault="005F5C05" w:rsidP="003713A4">
      <w:pPr>
        <w:pStyle w:val="Heading3"/>
      </w:pPr>
      <w:r w:rsidRPr="005F5C05">
        <w:t>United States</w:t>
      </w:r>
    </w:p>
    <w:p w:rsidR="008E2D1A" w:rsidRPr="00EC1A52" w:rsidRDefault="00C62892" w:rsidP="008E0FBB">
      <w:pPr>
        <w:pStyle w:val="Textlessbefore"/>
      </w:pPr>
      <w:r>
        <w:t xml:space="preserve">There is no national system of </w:t>
      </w:r>
      <w:r w:rsidR="00FE58B3">
        <w:t xml:space="preserve">VET </w:t>
      </w:r>
      <w:r>
        <w:t>accreditation in the United States, and there is no mandator</w:t>
      </w:r>
      <w:r w:rsidR="003713A4">
        <w:t>y expectation for accreditation;</w:t>
      </w:r>
      <w:r>
        <w:t xml:space="preserve"> however</w:t>
      </w:r>
      <w:r w:rsidR="003713A4">
        <w:t>,</w:t>
      </w:r>
      <w:r>
        <w:t xml:space="preserve"> if institutions want to access </w:t>
      </w:r>
      <w:r w:rsidR="00FE58B3">
        <w:t xml:space="preserve">federal </w:t>
      </w:r>
      <w:r>
        <w:t xml:space="preserve">government funding for education and training </w:t>
      </w:r>
      <w:r w:rsidR="00FE58B3">
        <w:t xml:space="preserve">(including for </w:t>
      </w:r>
      <w:r w:rsidR="003713A4">
        <w:t>career and technical education [VET]</w:t>
      </w:r>
      <w:r w:rsidR="00FE58B3">
        <w:t xml:space="preserve">) </w:t>
      </w:r>
      <w:r>
        <w:t>they have to be accredited by agencies that are listed with the federal department of education. The standard</w:t>
      </w:r>
      <w:r w:rsidR="002679A6">
        <w:t>s of the</w:t>
      </w:r>
      <w:r w:rsidR="008E2D1A" w:rsidRPr="008E2D1A">
        <w:t xml:space="preserve"> Accrediting Commission of Career Schools and Colleges</w:t>
      </w:r>
      <w:r w:rsidR="003713A4">
        <w:rPr>
          <w:rStyle w:val="FootnoteReference"/>
        </w:rPr>
        <w:footnoteReference w:id="25"/>
      </w:r>
      <w:r w:rsidR="008E2D1A" w:rsidRPr="008E2D1A">
        <w:t xml:space="preserve"> (ACCSC) in </w:t>
      </w:r>
      <w:r w:rsidR="003713A4">
        <w:t>the United States</w:t>
      </w:r>
      <w:r w:rsidR="008E2D1A">
        <w:t xml:space="preserve"> </w:t>
      </w:r>
      <w:r w:rsidR="002679A6">
        <w:t>cover a broad range of areas</w:t>
      </w:r>
      <w:r w:rsidR="007D390E">
        <w:t>,</w:t>
      </w:r>
      <w:r w:rsidR="003713A4">
        <w:t xml:space="preserve"> basically</w:t>
      </w:r>
      <w:r w:rsidR="00780340">
        <w:t xml:space="preserve"> cover</w:t>
      </w:r>
      <w:r w:rsidR="00643F0F">
        <w:t>ing</w:t>
      </w:r>
      <w:r w:rsidR="00780340">
        <w:t xml:space="preserve"> similar areas as those already discussed</w:t>
      </w:r>
      <w:r w:rsidR="002679A6">
        <w:t xml:space="preserve">. Each standard is preceded by a statement of purpose and is followed by detailed elements of the standard. The standards </w:t>
      </w:r>
      <w:r w:rsidR="003713A4">
        <w:t>relate to</w:t>
      </w:r>
      <w:r w:rsidR="002679A6">
        <w:t>:</w:t>
      </w:r>
      <w:r w:rsidR="00EC1A52">
        <w:t xml:space="preserve"> </w:t>
      </w:r>
      <w:r w:rsidR="00780340">
        <w:t>management and administrative operations p</w:t>
      </w:r>
      <w:r w:rsidR="008E2D1A" w:rsidRPr="00EC1A52">
        <w:t>rogram requirements</w:t>
      </w:r>
      <w:r w:rsidR="00EC1A52" w:rsidRPr="00EC1A52">
        <w:t>; e</w:t>
      </w:r>
      <w:r w:rsidR="008E2D1A" w:rsidRPr="00EC1A52">
        <w:t xml:space="preserve">ducational administration and </w:t>
      </w:r>
      <w:r w:rsidR="00EC1A52" w:rsidRPr="00EC1A52">
        <w:t>f</w:t>
      </w:r>
      <w:r w:rsidR="008E2D1A" w:rsidRPr="00EC1A52">
        <w:t>aculty qualifications</w:t>
      </w:r>
      <w:r w:rsidR="00EC1A52" w:rsidRPr="00EC1A52">
        <w:t>; s</w:t>
      </w:r>
      <w:r w:rsidR="008E2D1A" w:rsidRPr="00EC1A52">
        <w:t xml:space="preserve">tudent </w:t>
      </w:r>
      <w:r w:rsidR="00EC1A52" w:rsidRPr="00EC1A52">
        <w:t>r</w:t>
      </w:r>
      <w:r w:rsidR="008E2D1A" w:rsidRPr="00EC1A52">
        <w:t>ecruitment, advertising and disclosures</w:t>
      </w:r>
      <w:r w:rsidR="00EC1A52" w:rsidRPr="00EC1A52">
        <w:t>; a</w:t>
      </w:r>
      <w:r w:rsidR="008E2D1A" w:rsidRPr="00EC1A52">
        <w:t>dmissions, policies and practices</w:t>
      </w:r>
      <w:r w:rsidR="00EC1A52" w:rsidRPr="00EC1A52">
        <w:t>; s</w:t>
      </w:r>
      <w:r w:rsidR="00780340">
        <w:t>tudent s</w:t>
      </w:r>
      <w:r w:rsidR="008E2D1A" w:rsidRPr="00EC1A52">
        <w:t>ervices</w:t>
      </w:r>
      <w:r w:rsidR="00EC1A52" w:rsidRPr="00EC1A52">
        <w:t>; s</w:t>
      </w:r>
      <w:r w:rsidR="008E2D1A" w:rsidRPr="00EC1A52">
        <w:t>tudent learning, assessment, progress and achievement</w:t>
      </w:r>
      <w:r w:rsidR="00EC1A52" w:rsidRPr="00EC1A52">
        <w:t>; a</w:t>
      </w:r>
      <w:r w:rsidR="008E2D1A" w:rsidRPr="00EC1A52">
        <w:t>dditional criteria for separate facilities</w:t>
      </w:r>
      <w:r w:rsidR="00EC1A52" w:rsidRPr="00EC1A52">
        <w:t>; and d</w:t>
      </w:r>
      <w:r w:rsidR="00780340">
        <w:t>istance e</w:t>
      </w:r>
      <w:r w:rsidR="008E2D1A" w:rsidRPr="00EC1A52">
        <w:t>ducation</w:t>
      </w:r>
      <w:r w:rsidR="003713A4">
        <w:t>. (A</w:t>
      </w:r>
      <w:r w:rsidR="00780340">
        <w:t xml:space="preserve"> more detailed treatment </w:t>
      </w:r>
      <w:r>
        <w:t xml:space="preserve">of the standards </w:t>
      </w:r>
      <w:r w:rsidR="003713A4">
        <w:t xml:space="preserve">is provided </w:t>
      </w:r>
      <w:r w:rsidR="003713A4" w:rsidRPr="00BC474D">
        <w:t>in a</w:t>
      </w:r>
      <w:r w:rsidR="00780340" w:rsidRPr="00BC474D">
        <w:t>ppendix B</w:t>
      </w:r>
      <w:r w:rsidR="00BC474D" w:rsidRPr="00BC474D">
        <w:t>.</w:t>
      </w:r>
      <w:r w:rsidR="00780340" w:rsidRPr="00BC474D">
        <w:t>)</w:t>
      </w:r>
    </w:p>
    <w:p w:rsidR="002679A6" w:rsidRPr="00F02D31" w:rsidRDefault="003713A4" w:rsidP="00F02D31">
      <w:pPr>
        <w:pStyle w:val="Text"/>
      </w:pPr>
      <w:r>
        <w:t>T</w:t>
      </w:r>
      <w:r w:rsidR="002679A6">
        <w:t>he s</w:t>
      </w:r>
      <w:r w:rsidR="002679A6" w:rsidRPr="009779CB">
        <w:t>tandards for accreditat</w:t>
      </w:r>
      <w:r w:rsidR="0091761B">
        <w:t>ion and related criteria of the</w:t>
      </w:r>
      <w:r w:rsidR="002679A6">
        <w:t xml:space="preserve"> </w:t>
      </w:r>
      <w:r w:rsidR="002679A6" w:rsidRPr="00EC1A52">
        <w:t>Council for Occupational Education</w:t>
      </w:r>
      <w:r w:rsidR="00EC1A52">
        <w:t xml:space="preserve"> (COE)</w:t>
      </w:r>
      <w:r w:rsidR="00EC1A52">
        <w:rPr>
          <w:rStyle w:val="FootnoteReference"/>
          <w:i/>
        </w:rPr>
        <w:footnoteReference w:id="26"/>
      </w:r>
      <w:r w:rsidR="0091761B">
        <w:t xml:space="preserve"> in the United States have a</w:t>
      </w:r>
      <w:r>
        <w:t xml:space="preserve"> similar coverage </w:t>
      </w:r>
      <w:r w:rsidR="00CB3CC6">
        <w:t>and</w:t>
      </w:r>
      <w:r w:rsidR="00C62892">
        <w:t xml:space="preserve"> address</w:t>
      </w:r>
      <w:r w:rsidR="00F02D31">
        <w:t xml:space="preserve">: </w:t>
      </w:r>
      <w:r w:rsidR="00EC1A52">
        <w:t>i</w:t>
      </w:r>
      <w:r w:rsidR="002679A6" w:rsidRPr="00F02D31">
        <w:t xml:space="preserve">nstitutional </w:t>
      </w:r>
      <w:r w:rsidR="00EC1A52">
        <w:t>m</w:t>
      </w:r>
      <w:r w:rsidR="002679A6" w:rsidRPr="00F02D31">
        <w:t>ission</w:t>
      </w:r>
      <w:r w:rsidR="008E2D1A">
        <w:t>;</w:t>
      </w:r>
      <w:r w:rsidR="00F02D31" w:rsidRPr="00F02D31">
        <w:t xml:space="preserve"> </w:t>
      </w:r>
      <w:r w:rsidR="00EC1A52">
        <w:t>e</w:t>
      </w:r>
      <w:r w:rsidR="002679A6" w:rsidRPr="00F02D31">
        <w:t xml:space="preserve">ducational </w:t>
      </w:r>
      <w:r w:rsidR="00EC1A52">
        <w:t>p</w:t>
      </w:r>
      <w:r w:rsidR="002679A6" w:rsidRPr="00F02D31">
        <w:t>rograms (</w:t>
      </w:r>
      <w:r w:rsidR="00EC1A52">
        <w:t>a</w:t>
      </w:r>
      <w:r w:rsidR="002679A6" w:rsidRPr="00F02D31">
        <w:t>dmissions/recruiting, programs, instruction)</w:t>
      </w:r>
      <w:r w:rsidR="008E2D1A">
        <w:t xml:space="preserve">; </w:t>
      </w:r>
      <w:r w:rsidR="00EC1A52">
        <w:t>p</w:t>
      </w:r>
      <w:r w:rsidR="002679A6" w:rsidRPr="00F02D31">
        <w:t xml:space="preserve">rogram and </w:t>
      </w:r>
      <w:r w:rsidR="00EC1A52">
        <w:t>i</w:t>
      </w:r>
      <w:r w:rsidR="002679A6" w:rsidRPr="00F02D31">
        <w:t xml:space="preserve">nstitutional </w:t>
      </w:r>
      <w:r w:rsidR="00EC1A52">
        <w:t>o</w:t>
      </w:r>
      <w:r w:rsidR="002679A6" w:rsidRPr="00F02D31">
        <w:t>utcomes</w:t>
      </w:r>
      <w:r w:rsidR="008E2D1A">
        <w:t>;</w:t>
      </w:r>
      <w:r w:rsidR="00F02D31" w:rsidRPr="00F02D31">
        <w:t xml:space="preserve"> </w:t>
      </w:r>
      <w:r w:rsidR="00EC1A52">
        <w:t>strategic p</w:t>
      </w:r>
      <w:r w:rsidR="002679A6" w:rsidRPr="00F02D31">
        <w:t>lanning</w:t>
      </w:r>
      <w:r w:rsidR="008E2D1A">
        <w:t xml:space="preserve">; </w:t>
      </w:r>
      <w:r w:rsidR="00EC1A52">
        <w:t>learning resources (m</w:t>
      </w:r>
      <w:r w:rsidR="002679A6" w:rsidRPr="00F02D31">
        <w:t>edia services, instructional equipment, instructional supplies)</w:t>
      </w:r>
      <w:r w:rsidR="008E2D1A">
        <w:t>;</w:t>
      </w:r>
      <w:r w:rsidR="00F02D31" w:rsidRPr="00F02D31">
        <w:t xml:space="preserve"> </w:t>
      </w:r>
      <w:r w:rsidR="00EC1A52">
        <w:t>physical r</w:t>
      </w:r>
      <w:r w:rsidR="002679A6" w:rsidRPr="00F02D31">
        <w:t>esources</w:t>
      </w:r>
      <w:r w:rsidR="008E2D1A">
        <w:t>;</w:t>
      </w:r>
      <w:r w:rsidR="00F02D31" w:rsidRPr="00F02D31">
        <w:t xml:space="preserve"> </w:t>
      </w:r>
      <w:r w:rsidR="00EC1A52">
        <w:t>financial r</w:t>
      </w:r>
      <w:r w:rsidR="002679A6" w:rsidRPr="00F02D31">
        <w:t>esources</w:t>
      </w:r>
      <w:r w:rsidR="008E2D1A">
        <w:t>;</w:t>
      </w:r>
      <w:r w:rsidR="00F02D31" w:rsidRPr="00F02D31">
        <w:t xml:space="preserve"> </w:t>
      </w:r>
      <w:r w:rsidR="00EC1A52">
        <w:t>human r</w:t>
      </w:r>
      <w:r w:rsidR="002679A6" w:rsidRPr="00F02D31">
        <w:t>esources (general, faculty, administrative and supervisory personnel, instructional support staff, non-instructional support staff/services</w:t>
      </w:r>
      <w:r w:rsidR="00F02D31" w:rsidRPr="00F02D31">
        <w:t>)</w:t>
      </w:r>
      <w:r w:rsidR="008E2D1A">
        <w:t>;</w:t>
      </w:r>
      <w:r w:rsidR="00F02D31" w:rsidRPr="00F02D31">
        <w:t xml:space="preserve"> </w:t>
      </w:r>
      <w:r w:rsidR="00EC1A52">
        <w:t>o</w:t>
      </w:r>
      <w:r w:rsidR="002679A6" w:rsidRPr="00F02D31">
        <w:t>rganisational structure</w:t>
      </w:r>
      <w:r w:rsidR="008E2D1A">
        <w:t>;</w:t>
      </w:r>
      <w:r w:rsidR="00F02D31" w:rsidRPr="00F02D31">
        <w:t xml:space="preserve"> </w:t>
      </w:r>
      <w:r w:rsidR="00EC1A52">
        <w:t>student s</w:t>
      </w:r>
      <w:r w:rsidR="002679A6" w:rsidRPr="00F02D31">
        <w:t>erv</w:t>
      </w:r>
      <w:r w:rsidR="00EC1A52">
        <w:t>ices and a</w:t>
      </w:r>
      <w:r w:rsidR="002679A6" w:rsidRPr="00F02D31">
        <w:t>ctivities</w:t>
      </w:r>
      <w:r w:rsidR="008E2D1A">
        <w:t>; and</w:t>
      </w:r>
      <w:r w:rsidR="00F02D31" w:rsidRPr="00F02D31">
        <w:t xml:space="preserve"> </w:t>
      </w:r>
      <w:r w:rsidR="00EC1A52">
        <w:t>d</w:t>
      </w:r>
      <w:r w:rsidR="00210EEB">
        <w:t>istance e</w:t>
      </w:r>
      <w:r w:rsidR="002679A6" w:rsidRPr="00F02D31">
        <w:t>ducation</w:t>
      </w:r>
      <w:r w:rsidR="00CB3CC6">
        <w:t>.</w:t>
      </w:r>
      <w:r w:rsidR="00210EEB">
        <w:rPr>
          <w:rStyle w:val="FootnoteReference"/>
        </w:rPr>
        <w:footnoteReference w:id="27"/>
      </w:r>
      <w:r w:rsidR="00F02D31" w:rsidRPr="00F02D31">
        <w:t xml:space="preserve"> </w:t>
      </w:r>
    </w:p>
    <w:p w:rsidR="008E0FBB" w:rsidRDefault="008E0FBB">
      <w:pPr>
        <w:spacing w:before="0" w:line="240" w:lineRule="auto"/>
        <w:rPr>
          <w:rFonts w:ascii="Tahoma" w:hAnsi="Tahoma" w:cs="Tahoma"/>
          <w:color w:val="000000"/>
          <w:sz w:val="24"/>
        </w:rPr>
      </w:pPr>
      <w:r>
        <w:br w:type="page"/>
      </w:r>
    </w:p>
    <w:p w:rsidR="00CB3CC6" w:rsidRDefault="005F5C05" w:rsidP="00CB3CC6">
      <w:pPr>
        <w:pStyle w:val="Heading3"/>
      </w:pPr>
      <w:r w:rsidRPr="005F5C05">
        <w:lastRenderedPageBreak/>
        <w:t>Ireland</w:t>
      </w:r>
    </w:p>
    <w:p w:rsidR="008E2D1A" w:rsidRDefault="002679A6" w:rsidP="008E0FBB">
      <w:pPr>
        <w:pStyle w:val="Textlessbefore"/>
        <w:rPr>
          <w:rFonts w:cs="Courier New"/>
        </w:rPr>
      </w:pPr>
      <w:r>
        <w:t>Although not specifically set out as formal standards</w:t>
      </w:r>
      <w:r w:rsidR="00CB3CC6">
        <w:t>,</w:t>
      </w:r>
      <w:r>
        <w:t xml:space="preserve"> the criteria used by </w:t>
      </w:r>
      <w:r>
        <w:rPr>
          <w:rFonts w:cs="Courier New"/>
        </w:rPr>
        <w:t xml:space="preserve">the Further Education and </w:t>
      </w:r>
      <w:r w:rsidRPr="00EB4282">
        <w:rPr>
          <w:rFonts w:cs="Courier New"/>
        </w:rPr>
        <w:t xml:space="preserve">Training </w:t>
      </w:r>
      <w:r w:rsidRPr="00F0679C">
        <w:rPr>
          <w:rFonts w:cs="Courier New"/>
        </w:rPr>
        <w:t xml:space="preserve">Awards Council (FETAC) </w:t>
      </w:r>
      <w:r w:rsidRPr="00F0679C">
        <w:t xml:space="preserve">for judging the effectiveness of colleges in Ireland </w:t>
      </w:r>
      <w:r w:rsidR="00643F0F" w:rsidRPr="00F0679C">
        <w:t>provide</w:t>
      </w:r>
      <w:r w:rsidR="008E2D1A" w:rsidRPr="00F0679C">
        <w:t xml:space="preserve"> a similar </w:t>
      </w:r>
      <w:r w:rsidR="00F02D31" w:rsidRPr="00F0679C">
        <w:t>coverage</w:t>
      </w:r>
      <w:r w:rsidRPr="00F0679C">
        <w:rPr>
          <w:rStyle w:val="FootnoteReference"/>
          <w:rFonts w:cs="Courier New"/>
        </w:rPr>
        <w:footnoteReference w:id="28"/>
      </w:r>
      <w:r w:rsidRPr="00F0679C">
        <w:t xml:space="preserve"> (</w:t>
      </w:r>
      <w:r w:rsidR="00DB0B5B" w:rsidRPr="00F0679C">
        <w:t>Q</w:t>
      </w:r>
      <w:r w:rsidR="00F1213E" w:rsidRPr="00F0679C">
        <w:t>ua</w:t>
      </w:r>
      <w:r w:rsidR="007D390E" w:rsidRPr="00F0679C">
        <w:t>lity and Qualifications Ireland</w:t>
      </w:r>
      <w:r w:rsidR="00F1213E" w:rsidRPr="00F0679C">
        <w:t xml:space="preserve"> </w:t>
      </w:r>
      <w:r w:rsidR="00DB0B5B" w:rsidRPr="00F0679C">
        <w:t>2013)</w:t>
      </w:r>
      <w:r w:rsidRPr="00F0679C">
        <w:rPr>
          <w:rFonts w:cs="Courier New"/>
        </w:rPr>
        <w:t>.</w:t>
      </w:r>
      <w:r w:rsidRPr="00EB4282">
        <w:rPr>
          <w:rFonts w:cs="Courier New"/>
        </w:rPr>
        <w:t xml:space="preserve"> These include: communications with staff, learners and other stakeholders; equality planning and delivery; staff recruitment, induction a</w:t>
      </w:r>
      <w:r w:rsidR="00643F0F" w:rsidRPr="00EB4282">
        <w:rPr>
          <w:rFonts w:cs="Courier New"/>
        </w:rPr>
        <w:t>nd development; program</w:t>
      </w:r>
      <w:r w:rsidRPr="00EB4282">
        <w:rPr>
          <w:rFonts w:cs="Courier New"/>
        </w:rPr>
        <w:t xml:space="preserve"> design, delivery and review; assessment</w:t>
      </w:r>
      <w:r>
        <w:rPr>
          <w:rFonts w:cs="Courier New"/>
        </w:rPr>
        <w:t xml:space="preserve"> arrangements (including security, internal coordination and consistency with national standards, feedback to learners and appeals); access, transfer and progression, including entry equality and arrangements for recognition of prior learning; protection for lear</w:t>
      </w:r>
      <w:r w:rsidR="00643F0F">
        <w:rPr>
          <w:rFonts w:cs="Courier New"/>
        </w:rPr>
        <w:t>ners in the event of a program ceasing; and self-</w:t>
      </w:r>
      <w:r>
        <w:rPr>
          <w:rFonts w:cs="Courier New"/>
        </w:rPr>
        <w:t>evaluation and review</w:t>
      </w:r>
      <w:r w:rsidR="00EC1A52">
        <w:rPr>
          <w:rFonts w:cs="Courier New"/>
        </w:rPr>
        <w:t xml:space="preserve"> (</w:t>
      </w:r>
      <w:r>
        <w:rPr>
          <w:rFonts w:cs="Courier New"/>
        </w:rPr>
        <w:t>including learner involvement and external evaluation</w:t>
      </w:r>
      <w:r w:rsidR="00EC1A52">
        <w:rPr>
          <w:rFonts w:cs="Courier New"/>
        </w:rPr>
        <w:t>)</w:t>
      </w:r>
      <w:r>
        <w:rPr>
          <w:rFonts w:cs="Courier New"/>
        </w:rPr>
        <w:t xml:space="preserve">. </w:t>
      </w:r>
    </w:p>
    <w:p w:rsidR="00CB3CC6" w:rsidRDefault="00D71B30" w:rsidP="00643F0F">
      <w:pPr>
        <w:pStyle w:val="Heading3"/>
      </w:pPr>
      <w:r w:rsidRPr="0074115D">
        <w:t>Sweden</w:t>
      </w:r>
    </w:p>
    <w:p w:rsidR="00D71B30" w:rsidRDefault="00D71B30" w:rsidP="00555AF2">
      <w:pPr>
        <w:pStyle w:val="Textlessbefore"/>
      </w:pPr>
      <w:r>
        <w:t xml:space="preserve">The Swedish Agency for Advanced Vocational </w:t>
      </w:r>
      <w:r w:rsidR="00127EA6">
        <w:t xml:space="preserve">Education </w:t>
      </w:r>
      <w:r>
        <w:t>uses a</w:t>
      </w:r>
      <w:r w:rsidR="0074115D">
        <w:t>n up-front</w:t>
      </w:r>
      <w:r>
        <w:t xml:space="preserve"> standards-based approach to approve</w:t>
      </w:r>
      <w:r w:rsidR="0074115D">
        <w:t xml:space="preserve"> and </w:t>
      </w:r>
      <w:r>
        <w:t xml:space="preserve">accredit courses </w:t>
      </w:r>
      <w:r w:rsidR="0074115D">
        <w:t>and provide funding for students and providers</w:t>
      </w:r>
      <w:r>
        <w:t xml:space="preserve"> </w:t>
      </w:r>
      <w:r w:rsidR="00127EA6">
        <w:t xml:space="preserve">for </w:t>
      </w:r>
      <w:r>
        <w:t xml:space="preserve">continuing training. Before </w:t>
      </w:r>
      <w:r w:rsidR="0074115D">
        <w:t xml:space="preserve">being </w:t>
      </w:r>
      <w:r>
        <w:t>approved for accreditation</w:t>
      </w:r>
      <w:r w:rsidR="00CB3CC6">
        <w:t>,</w:t>
      </w:r>
      <w:r>
        <w:t xml:space="preserve"> </w:t>
      </w:r>
      <w:r w:rsidR="0074115D">
        <w:t>providers must undertake an i</w:t>
      </w:r>
      <w:r w:rsidR="00CB3CC6">
        <w:t>nternal self-assessment process</w:t>
      </w:r>
      <w:r w:rsidR="0074115D">
        <w:t xml:space="preserve"> and provide the agency with evidence of program content</w:t>
      </w:r>
      <w:r w:rsidR="0074115D">
        <w:rPr>
          <w:rStyle w:val="FootnoteReference"/>
          <w:rFonts w:cs="Courier New"/>
        </w:rPr>
        <w:footnoteReference w:id="29"/>
      </w:r>
      <w:r w:rsidR="0074115D">
        <w:t xml:space="preserve"> </w:t>
      </w:r>
      <w:r w:rsidR="00CB3CC6">
        <w:t xml:space="preserve">and </w:t>
      </w:r>
      <w:r w:rsidR="0074115D">
        <w:t xml:space="preserve">governance structures and processes (including recruitment strategies) for addressing gender equity issues and the needs of disadvantaged groups. Providers are required to </w:t>
      </w:r>
      <w:r w:rsidR="00CB3CC6">
        <w:t>establish</w:t>
      </w:r>
      <w:r>
        <w:t xml:space="preserve"> </w:t>
      </w:r>
      <w:r w:rsidR="0074115D">
        <w:t>suitable governance structures</w:t>
      </w:r>
      <w:r w:rsidR="00CB3CC6">
        <w:t>,</w:t>
      </w:r>
      <w:r w:rsidR="0074115D">
        <w:t xml:space="preserve"> including an educational board </w:t>
      </w:r>
      <w:r w:rsidR="00CB3CC6">
        <w:t>with</w:t>
      </w:r>
      <w:r w:rsidR="0074115D">
        <w:t xml:space="preserve"> representation from </w:t>
      </w:r>
      <w:r>
        <w:t xml:space="preserve">students and external stakeholders. </w:t>
      </w:r>
      <w:r w:rsidR="00EF6B4A">
        <w:t>After 12 months the agency conduct</w:t>
      </w:r>
      <w:r w:rsidR="00643F0F">
        <w:t xml:space="preserve">s an inspection of the provider, whereby </w:t>
      </w:r>
      <w:r w:rsidR="00EF6B4A">
        <w:t>it takes into account the findings of the self-assessment, feedback from students, and reports from the education board. Any complaints received by the agency about the provider are also considered. Once the course has</w:t>
      </w:r>
      <w:r w:rsidR="00CB3CC6">
        <w:t xml:space="preserve"> been completed there is </w:t>
      </w:r>
      <w:r w:rsidR="007D390E">
        <w:t xml:space="preserve">a </w:t>
      </w:r>
      <w:r w:rsidR="00CB3CC6">
        <w:t>follow-</w:t>
      </w:r>
      <w:r w:rsidR="00EF6B4A">
        <w:t>up survey of students to ascertain their destinations, their satisfaction with the course, and the usefulness of</w:t>
      </w:r>
      <w:r w:rsidR="00643F0F">
        <w:t xml:space="preserve"> the</w:t>
      </w:r>
      <w:r w:rsidR="00EF6B4A">
        <w:t xml:space="preserve"> skills acquired during the course. This information is taken into account </w:t>
      </w:r>
      <w:r w:rsidR="007D390E">
        <w:t>when making</w:t>
      </w:r>
      <w:r w:rsidR="00EF6B4A">
        <w:t xml:space="preserve"> funding decisions about whether the course will continue</w:t>
      </w:r>
      <w:r w:rsidR="006668B5">
        <w:t xml:space="preserve"> (CEDEFOP 2009</w:t>
      </w:r>
      <w:r w:rsidR="008E2143">
        <w:t>a</w:t>
      </w:r>
      <w:r w:rsidR="006668B5">
        <w:t>)</w:t>
      </w:r>
      <w:r w:rsidR="00EF6B4A">
        <w:t>.</w:t>
      </w:r>
      <w:r w:rsidR="004928F1">
        <w:t xml:space="preserve"> </w:t>
      </w:r>
    </w:p>
    <w:p w:rsidR="00CB3CC6" w:rsidRDefault="005F5C05" w:rsidP="00CB3CC6">
      <w:pPr>
        <w:pStyle w:val="Heading3"/>
      </w:pPr>
      <w:r w:rsidRPr="005F5C05">
        <w:t>New Zealand</w:t>
      </w:r>
    </w:p>
    <w:p w:rsidR="001913FC" w:rsidRDefault="00823D61" w:rsidP="00555AF2">
      <w:pPr>
        <w:pStyle w:val="Textlessbefore"/>
      </w:pPr>
      <w:r>
        <w:t xml:space="preserve">The New Zealand tertiary sector covers tertiary education organisations, including private training establishments (PTEs), institutes of technology and polytechnics (ITPs), </w:t>
      </w:r>
      <w:proofErr w:type="spellStart"/>
      <w:r>
        <w:t>wananga</w:t>
      </w:r>
      <w:proofErr w:type="spellEnd"/>
      <w:r>
        <w:t>, universities and workplace training. The New Zealand Qualifications Authority approves all qualifications and is the quality assurance body for a</w:t>
      </w:r>
      <w:r w:rsidR="000E4C77">
        <w:t xml:space="preserve">ll these institutions (but not </w:t>
      </w:r>
      <w:r>
        <w:t>universities</w:t>
      </w:r>
      <w:r w:rsidR="000E4C77">
        <w:t>)</w:t>
      </w:r>
      <w:r>
        <w:t>.</w:t>
      </w:r>
      <w:r>
        <w:rPr>
          <w:rStyle w:val="FootnoteReference"/>
        </w:rPr>
        <w:footnoteReference w:id="30"/>
      </w:r>
      <w:r w:rsidR="004928F1">
        <w:t xml:space="preserve"> </w:t>
      </w:r>
      <w:r>
        <w:t>P</w:t>
      </w:r>
      <w:r w:rsidR="002679A6">
        <w:t>rivate training establishments who want to be registered with the New Zealand Qualifications Authority</w:t>
      </w:r>
      <w:r w:rsidR="002F74EF">
        <w:rPr>
          <w:rStyle w:val="FootnoteReference"/>
        </w:rPr>
        <w:footnoteReference w:id="31"/>
      </w:r>
      <w:r w:rsidR="002679A6">
        <w:t xml:space="preserve"> must demonstrate that they have policies and procedures for:</w:t>
      </w:r>
      <w:r w:rsidR="00C328A9">
        <w:t xml:space="preserve"> </w:t>
      </w:r>
      <w:r w:rsidR="000E4C77">
        <w:t>institutional self-</w:t>
      </w:r>
      <w:r w:rsidR="002679A6">
        <w:t xml:space="preserve">assessment under the </w:t>
      </w:r>
      <w:r w:rsidR="00643F0F">
        <w:t xml:space="preserve">external evaluation and review </w:t>
      </w:r>
      <w:r w:rsidR="002679A6">
        <w:t xml:space="preserve">(EER) rules; decision-making; financial delegations and financial controls; </w:t>
      </w:r>
      <w:r w:rsidR="002679A6" w:rsidRPr="00B85C7B">
        <w:t>personnel recruitment and management</w:t>
      </w:r>
      <w:r w:rsidR="002679A6">
        <w:t xml:space="preserve">; </w:t>
      </w:r>
      <w:r w:rsidR="002679A6" w:rsidRPr="00B85C7B">
        <w:t>information management, including systems for the collection, recording and transfer of student records</w:t>
      </w:r>
      <w:r w:rsidR="002679A6">
        <w:t xml:space="preserve">; </w:t>
      </w:r>
      <w:r w:rsidR="002679A6" w:rsidRPr="00B85C7B">
        <w:t>and financial, statistical and other information</w:t>
      </w:r>
      <w:r w:rsidR="000E4C77">
        <w:t>. In relation to the last,</w:t>
      </w:r>
      <w:r w:rsidR="002679A6" w:rsidRPr="00B85C7B">
        <w:t xml:space="preserve"> the PTE must supply to, or keep available for, government agencies</w:t>
      </w:r>
      <w:r w:rsidR="001913FC">
        <w:t xml:space="preserve"> information on:</w:t>
      </w:r>
      <w:r w:rsidR="00C328A9">
        <w:t xml:space="preserve"> </w:t>
      </w:r>
      <w:r w:rsidR="002679A6" w:rsidRPr="00B85C7B">
        <w:t>enrolment procedures</w:t>
      </w:r>
      <w:r w:rsidR="002679A6">
        <w:t>;</w:t>
      </w:r>
      <w:r w:rsidR="002679A6" w:rsidRPr="00B85C7B">
        <w:t xml:space="preserve"> management of risks</w:t>
      </w:r>
      <w:r w:rsidR="002679A6">
        <w:t>;</w:t>
      </w:r>
      <w:r w:rsidR="002679A6" w:rsidRPr="00B85C7B">
        <w:t xml:space="preserve"> </w:t>
      </w:r>
      <w:r w:rsidR="001913FC">
        <w:t xml:space="preserve">and </w:t>
      </w:r>
      <w:r w:rsidR="002679A6" w:rsidRPr="00B85C7B">
        <w:t xml:space="preserve">student complaints, student </w:t>
      </w:r>
      <w:r w:rsidR="002679A6" w:rsidRPr="00B85C7B">
        <w:lastRenderedPageBreak/>
        <w:t xml:space="preserve">discipline and appeals, </w:t>
      </w:r>
      <w:r w:rsidR="001913FC">
        <w:t xml:space="preserve">to </w:t>
      </w:r>
      <w:r w:rsidR="002679A6" w:rsidRPr="00B85C7B">
        <w:t>ensur</w:t>
      </w:r>
      <w:r w:rsidR="001913FC">
        <w:t>e</w:t>
      </w:r>
      <w:r w:rsidR="002679A6" w:rsidRPr="00B85C7B">
        <w:t xml:space="preserve"> the policies and procedures are fair and equitable</w:t>
      </w:r>
      <w:r w:rsidR="002679A6">
        <w:t>; and</w:t>
      </w:r>
      <w:r w:rsidR="002679A6" w:rsidRPr="00B85C7B">
        <w:t xml:space="preserve"> compliance with the Student Fee Protection Rules 2013.</w:t>
      </w:r>
    </w:p>
    <w:p w:rsidR="001913FC" w:rsidRDefault="0082084A" w:rsidP="00672F08">
      <w:pPr>
        <w:pStyle w:val="Text"/>
      </w:pPr>
      <w:r>
        <w:t>Private training establishments</w:t>
      </w:r>
      <w:r w:rsidR="002679A6">
        <w:t xml:space="preserve"> who want to maintain their registration need to meet the following requirements:</w:t>
      </w:r>
      <w:r w:rsidR="00C328A9">
        <w:t xml:space="preserve"> transparency, currency and accuracy </w:t>
      </w:r>
      <w:r>
        <w:t>of the</w:t>
      </w:r>
      <w:r w:rsidR="00C328A9">
        <w:t xml:space="preserve"> information provided to the public; </w:t>
      </w:r>
      <w:r w:rsidR="00833CC2">
        <w:t xml:space="preserve">and </w:t>
      </w:r>
      <w:r w:rsidR="00C328A9">
        <w:t xml:space="preserve">evidence of </w:t>
      </w:r>
      <w:r w:rsidR="00833CC2">
        <w:t>b</w:t>
      </w:r>
      <w:r w:rsidR="002679A6" w:rsidRPr="00C328A9">
        <w:t>usiness management</w:t>
      </w:r>
      <w:r w:rsidR="00C328A9">
        <w:t xml:space="preserve"> processes </w:t>
      </w:r>
      <w:r w:rsidR="00833CC2">
        <w:t>(</w:t>
      </w:r>
      <w:r w:rsidR="00C328A9">
        <w:t>including</w:t>
      </w:r>
      <w:r w:rsidR="002679A6">
        <w:t xml:space="preserve"> compliance with rules for submission of annual returns, sub-contracting to other organisations, financial reporting standards, financial controls, financial sustainability, </w:t>
      </w:r>
      <w:r w:rsidR="00833CC2">
        <w:t xml:space="preserve">and </w:t>
      </w:r>
      <w:r w:rsidR="002679A6">
        <w:t>meeting the needs of stakeholders</w:t>
      </w:r>
      <w:r w:rsidR="00833CC2">
        <w:t>)</w:t>
      </w:r>
      <w:r w:rsidR="00C328A9">
        <w:t xml:space="preserve">. They must also ensure that </w:t>
      </w:r>
      <w:r>
        <w:t xml:space="preserve">the </w:t>
      </w:r>
      <w:r w:rsidR="00C328A9" w:rsidRPr="00833CC2">
        <w:t>i</w:t>
      </w:r>
      <w:r w:rsidR="002679A6" w:rsidRPr="00833CC2">
        <w:t xml:space="preserve">nformation </w:t>
      </w:r>
      <w:r w:rsidR="00C328A9" w:rsidRPr="00833CC2">
        <w:t xml:space="preserve">provided </w:t>
      </w:r>
      <w:r w:rsidR="002679A6" w:rsidRPr="00833CC2">
        <w:t xml:space="preserve">to students </w:t>
      </w:r>
      <w:r w:rsidR="00C328A9" w:rsidRPr="00833CC2">
        <w:t xml:space="preserve">enables them to make </w:t>
      </w:r>
      <w:r w:rsidR="002679A6" w:rsidRPr="00833CC2">
        <w:t xml:space="preserve">relevant and timely informed </w:t>
      </w:r>
      <w:r w:rsidR="002679A6" w:rsidRPr="00EB4282">
        <w:t>choices</w:t>
      </w:r>
      <w:r w:rsidR="00833CC2" w:rsidRPr="00EB4282">
        <w:t>.</w:t>
      </w:r>
      <w:r w:rsidR="00DB0B5B" w:rsidRPr="00EB4282">
        <w:t xml:space="preserve"> This means that students must h</w:t>
      </w:r>
      <w:r w:rsidR="00EB4282">
        <w:t>ave access to information about</w:t>
      </w:r>
      <w:r w:rsidR="00833CC2" w:rsidRPr="00EB4282">
        <w:t xml:space="preserve"> </w:t>
      </w:r>
      <w:r w:rsidRPr="00EB4282">
        <w:t xml:space="preserve">the </w:t>
      </w:r>
      <w:r w:rsidR="002679A6" w:rsidRPr="00EB4282">
        <w:t xml:space="preserve">results of </w:t>
      </w:r>
      <w:r w:rsidR="00833CC2" w:rsidRPr="00EB4282">
        <w:t xml:space="preserve">institutional </w:t>
      </w:r>
      <w:r w:rsidRPr="00EB4282">
        <w:t>external evaluations; entry and selection criteria;</w:t>
      </w:r>
      <w:r w:rsidR="002679A6" w:rsidRPr="00EB4282">
        <w:t xml:space="preserve"> </w:t>
      </w:r>
      <w:r w:rsidR="00833CC2" w:rsidRPr="00EB4282">
        <w:t xml:space="preserve">institutional </w:t>
      </w:r>
      <w:r w:rsidR="002679A6" w:rsidRPr="00EB4282">
        <w:t>intentions to continue or otherwise w</w:t>
      </w:r>
      <w:r w:rsidR="002679A6">
        <w:t>ith program provisi</w:t>
      </w:r>
      <w:r>
        <w:t>on;</w:t>
      </w:r>
      <w:r w:rsidR="002679A6">
        <w:t xml:space="preserve"> complaints and grievance procedures f</w:t>
      </w:r>
      <w:r>
        <w:t>or the institution and the NZQA; and</w:t>
      </w:r>
      <w:r w:rsidR="002679A6">
        <w:t xml:space="preserve"> ready access to enrolment and academic information and relevant regulations</w:t>
      </w:r>
      <w:r w:rsidR="001913FC">
        <w:t>.</w:t>
      </w:r>
    </w:p>
    <w:p w:rsidR="002679A6" w:rsidRDefault="001913FC" w:rsidP="00672F08">
      <w:pPr>
        <w:pStyle w:val="Text"/>
        <w:rPr>
          <w:rStyle w:val="TextChar"/>
        </w:rPr>
      </w:pPr>
      <w:r>
        <w:t>P</w:t>
      </w:r>
      <w:r w:rsidR="0082084A">
        <w:t>rivate training establishments</w:t>
      </w:r>
      <w:r w:rsidR="00C328A9">
        <w:t xml:space="preserve"> must </w:t>
      </w:r>
      <w:r w:rsidR="00833CC2">
        <w:t xml:space="preserve">also </w:t>
      </w:r>
      <w:r w:rsidR="00C328A9">
        <w:t xml:space="preserve">protect student interests </w:t>
      </w:r>
      <w:r w:rsidR="00833CC2">
        <w:t>by ensuring</w:t>
      </w:r>
      <w:r w:rsidR="007D390E">
        <w:t>:</w:t>
      </w:r>
      <w:r w:rsidR="00833CC2">
        <w:t xml:space="preserve"> </w:t>
      </w:r>
      <w:r w:rsidR="002679A6">
        <w:t>ready access to complaints processes</w:t>
      </w:r>
      <w:r w:rsidR="00C328A9">
        <w:t>;</w:t>
      </w:r>
      <w:r w:rsidR="00833CC2">
        <w:t xml:space="preserve"> fairness, </w:t>
      </w:r>
      <w:r w:rsidR="002679A6">
        <w:t>equity</w:t>
      </w:r>
      <w:r>
        <w:t xml:space="preserve"> and cultural appropriateness</w:t>
      </w:r>
      <w:r w:rsidR="00833CC2">
        <w:t xml:space="preserve"> </w:t>
      </w:r>
      <w:r w:rsidR="002679A6">
        <w:t>in dealing with complaints, discipline, and appeals processes and procedures</w:t>
      </w:r>
      <w:r w:rsidR="00833CC2">
        <w:t>;</w:t>
      </w:r>
      <w:r w:rsidR="002679A6">
        <w:t xml:space="preserve"> educational and non-educational support and</w:t>
      </w:r>
      <w:r w:rsidR="00FB3D29">
        <w:t xml:space="preserve"> guidance to meet student needs; and</w:t>
      </w:r>
      <w:r w:rsidR="002679A6">
        <w:t xml:space="preserve"> currency and quality </w:t>
      </w:r>
      <w:r w:rsidR="00FB3D29">
        <w:t xml:space="preserve">of </w:t>
      </w:r>
      <w:r w:rsidR="002679A6">
        <w:t>educational resources and equipment</w:t>
      </w:r>
      <w:r w:rsidR="00833CC2">
        <w:t xml:space="preserve">. Teaching staff </w:t>
      </w:r>
      <w:r w:rsidR="00833CC2" w:rsidRPr="0082084A">
        <w:t>need to be</w:t>
      </w:r>
      <w:r w:rsidR="00833CC2">
        <w:rPr>
          <w:b/>
        </w:rPr>
        <w:t xml:space="preserve"> </w:t>
      </w:r>
      <w:r w:rsidR="002679A6">
        <w:t xml:space="preserve">competent, </w:t>
      </w:r>
      <w:r w:rsidR="0082084A">
        <w:t xml:space="preserve">up to </w:t>
      </w:r>
      <w:r w:rsidR="00833CC2">
        <w:t xml:space="preserve">date and </w:t>
      </w:r>
      <w:r w:rsidR="002679A6">
        <w:t xml:space="preserve">appropriately experienced and qualified </w:t>
      </w:r>
      <w:r w:rsidR="00833CC2">
        <w:t xml:space="preserve">to teach in their areas. Management and administrative staff </w:t>
      </w:r>
      <w:r w:rsidR="0082084A">
        <w:t>also need to be competent and t</w:t>
      </w:r>
      <w:r w:rsidR="00833CC2">
        <w:t xml:space="preserve">he organisation chart needs to be current. </w:t>
      </w:r>
      <w:r w:rsidR="00D27911">
        <w:t>PTEs must have in place a quality manage</w:t>
      </w:r>
      <w:r w:rsidR="0082084A">
        <w:t xml:space="preserve">ment system that is up to </w:t>
      </w:r>
      <w:r w:rsidR="00D27911">
        <w:t xml:space="preserve">date and systematically implemented. </w:t>
      </w:r>
      <w:r w:rsidR="00D27911" w:rsidRPr="00D27911">
        <w:rPr>
          <w:rStyle w:val="TextChar"/>
        </w:rPr>
        <w:t>Effective a</w:t>
      </w:r>
      <w:r w:rsidR="002679A6" w:rsidRPr="00D27911">
        <w:rPr>
          <w:rStyle w:val="TextChar"/>
        </w:rPr>
        <w:t>ssessment and moderation</w:t>
      </w:r>
      <w:r w:rsidR="00D27911" w:rsidRPr="00D27911">
        <w:rPr>
          <w:rStyle w:val="TextChar"/>
        </w:rPr>
        <w:t xml:space="preserve"> processes need to be implemented </w:t>
      </w:r>
      <w:r w:rsidR="002679A6" w:rsidRPr="00D27911">
        <w:rPr>
          <w:rStyle w:val="TextChar"/>
        </w:rPr>
        <w:t>across all accredited education and training programs</w:t>
      </w:r>
      <w:r w:rsidR="00D27911">
        <w:rPr>
          <w:rStyle w:val="TextChar"/>
        </w:rPr>
        <w:t xml:space="preserve">. The institution must participate in self-assessment and </w:t>
      </w:r>
      <w:r w:rsidR="00F00893">
        <w:t>external evaluation and review</w:t>
      </w:r>
      <w:r w:rsidR="00D27911">
        <w:rPr>
          <w:rStyle w:val="TextChar"/>
        </w:rPr>
        <w:t xml:space="preserve"> quality assurance mechanisms. It </w:t>
      </w:r>
      <w:r w:rsidR="005003A2">
        <w:rPr>
          <w:rStyle w:val="TextChar"/>
        </w:rPr>
        <w:t xml:space="preserve">must also </w:t>
      </w:r>
      <w:r w:rsidR="00D27911">
        <w:rPr>
          <w:rStyle w:val="TextChar"/>
        </w:rPr>
        <w:t xml:space="preserve">address </w:t>
      </w:r>
      <w:r w:rsidR="00F00893">
        <w:t>external evaluation and review</w:t>
      </w:r>
      <w:r w:rsidR="00D27911">
        <w:rPr>
          <w:rStyle w:val="TextChar"/>
        </w:rPr>
        <w:t xml:space="preserve"> requirements, and plan for and implement </w:t>
      </w:r>
      <w:r w:rsidR="00FB3D29">
        <w:rPr>
          <w:rStyle w:val="TextChar"/>
        </w:rPr>
        <w:t xml:space="preserve">the </w:t>
      </w:r>
      <w:r w:rsidR="00D27911">
        <w:rPr>
          <w:rStyle w:val="TextChar"/>
        </w:rPr>
        <w:t xml:space="preserve">improvement actions that have been recommended as a result. </w:t>
      </w:r>
    </w:p>
    <w:p w:rsidR="00F00893" w:rsidRPr="00FB3D29" w:rsidRDefault="006668B5" w:rsidP="00FB3D29">
      <w:pPr>
        <w:pStyle w:val="Heading3"/>
        <w:rPr>
          <w:rStyle w:val="TextChar"/>
          <w:rFonts w:ascii="Tahoma" w:hAnsi="Tahoma"/>
          <w:sz w:val="24"/>
        </w:rPr>
      </w:pPr>
      <w:r w:rsidRPr="00FB3D29">
        <w:rPr>
          <w:rStyle w:val="TextChar"/>
          <w:rFonts w:ascii="Tahoma" w:hAnsi="Tahoma"/>
          <w:sz w:val="24"/>
        </w:rPr>
        <w:t>Germany</w:t>
      </w:r>
    </w:p>
    <w:p w:rsidR="006668B5" w:rsidRDefault="006668B5" w:rsidP="00555AF2">
      <w:pPr>
        <w:pStyle w:val="Textlessbefore"/>
        <w:rPr>
          <w:rStyle w:val="TextChar"/>
        </w:rPr>
      </w:pPr>
      <w:r>
        <w:rPr>
          <w:rStyle w:val="TextChar"/>
        </w:rPr>
        <w:t xml:space="preserve">VET providers who want to access </w:t>
      </w:r>
      <w:r w:rsidR="00FB3D29">
        <w:rPr>
          <w:rStyle w:val="TextChar"/>
        </w:rPr>
        <w:t xml:space="preserve">the </w:t>
      </w:r>
      <w:r>
        <w:rPr>
          <w:rStyle w:val="TextChar"/>
        </w:rPr>
        <w:t xml:space="preserve">public funds </w:t>
      </w:r>
      <w:r w:rsidR="00FB3D29">
        <w:rPr>
          <w:rStyle w:val="TextChar"/>
        </w:rPr>
        <w:t>available for</w:t>
      </w:r>
      <w:r>
        <w:rPr>
          <w:rStyle w:val="TextChar"/>
        </w:rPr>
        <w:t xml:space="preserve"> continuing </w:t>
      </w:r>
      <w:r w:rsidR="009B52D9">
        <w:rPr>
          <w:rStyle w:val="TextChar"/>
        </w:rPr>
        <w:t>training must</w:t>
      </w:r>
      <w:r>
        <w:rPr>
          <w:rStyle w:val="TextChar"/>
        </w:rPr>
        <w:t xml:space="preserve"> be certified by an accredited certification agency</w:t>
      </w:r>
      <w:r w:rsidR="000B097C">
        <w:rPr>
          <w:rStyle w:val="TextChar"/>
        </w:rPr>
        <w:t xml:space="preserve"> (CEDEFOP 2009b)</w:t>
      </w:r>
      <w:r>
        <w:rPr>
          <w:rStyle w:val="TextChar"/>
        </w:rPr>
        <w:t xml:space="preserve">. To be certified they need to prove their financial status and capacity to provide training. They must show that they can meet </w:t>
      </w:r>
      <w:r w:rsidR="00F00893">
        <w:rPr>
          <w:rStyle w:val="TextChar"/>
        </w:rPr>
        <w:t>the requirements for</w:t>
      </w:r>
      <w:r>
        <w:rPr>
          <w:rStyle w:val="TextChar"/>
        </w:rPr>
        <w:t xml:space="preserve"> integ</w:t>
      </w:r>
      <w:r w:rsidR="00F00893">
        <w:rPr>
          <w:rStyle w:val="TextChar"/>
        </w:rPr>
        <w:t>rating students into employment</w:t>
      </w:r>
      <w:r w:rsidR="00823D61">
        <w:rPr>
          <w:rStyle w:val="TextChar"/>
        </w:rPr>
        <w:t xml:space="preserve"> and </w:t>
      </w:r>
      <w:r w:rsidR="007D390E">
        <w:rPr>
          <w:rStyle w:val="TextChar"/>
        </w:rPr>
        <w:t xml:space="preserve">that they meet the requirements for staff qualifications including their </w:t>
      </w:r>
      <w:r>
        <w:rPr>
          <w:rStyle w:val="TextChar"/>
        </w:rPr>
        <w:t>professional experience and engagement in further training. They must also have in place an efficient system for quality assurance and quality development. This includes customer orientation, continuous evaluation of training courses using indicators and measures</w:t>
      </w:r>
      <w:r w:rsidR="00F00893">
        <w:rPr>
          <w:rStyle w:val="TextChar"/>
        </w:rPr>
        <w:t>,</w:t>
      </w:r>
      <w:r>
        <w:rPr>
          <w:rStyle w:val="TextChar"/>
        </w:rPr>
        <w:t xml:space="preserve"> and proce</w:t>
      </w:r>
      <w:r w:rsidR="009816CB">
        <w:rPr>
          <w:rStyle w:val="TextChar"/>
        </w:rPr>
        <w:t>sses for continuous improvement</w:t>
      </w:r>
      <w:r>
        <w:rPr>
          <w:rStyle w:val="TextChar"/>
        </w:rPr>
        <w:t xml:space="preserve">. </w:t>
      </w:r>
      <w:r w:rsidR="00066E93">
        <w:rPr>
          <w:rStyle w:val="TextChar"/>
        </w:rPr>
        <w:t xml:space="preserve">They must also provide evidence of cooperation with external experts </w:t>
      </w:r>
      <w:r w:rsidR="00FB3D29">
        <w:rPr>
          <w:rStyle w:val="TextChar"/>
        </w:rPr>
        <w:t xml:space="preserve">in efforts </w:t>
      </w:r>
      <w:r w:rsidR="00066E93">
        <w:rPr>
          <w:rStyle w:val="TextChar"/>
        </w:rPr>
        <w:t>to improve their quality systems. Providers have to show they have taken into account the existing skills, knowledge and experience of target groups,</w:t>
      </w:r>
      <w:r w:rsidR="00DB0B5B">
        <w:rPr>
          <w:rStyle w:val="TextChar"/>
        </w:rPr>
        <w:t xml:space="preserve"> and their training and employment aspirations.</w:t>
      </w:r>
      <w:r w:rsidR="004F7A35">
        <w:rPr>
          <w:rStyle w:val="TextChar"/>
        </w:rPr>
        <w:t xml:space="preserve"> </w:t>
      </w:r>
    </w:p>
    <w:p w:rsidR="00F00893" w:rsidRPr="00F00893" w:rsidRDefault="00313BFA" w:rsidP="00F00893">
      <w:pPr>
        <w:pStyle w:val="Heading3"/>
        <w:rPr>
          <w:rStyle w:val="TextChar"/>
          <w:rFonts w:ascii="Tahoma" w:hAnsi="Tahoma"/>
          <w:sz w:val="24"/>
        </w:rPr>
      </w:pPr>
      <w:r w:rsidRPr="00F00893">
        <w:rPr>
          <w:rStyle w:val="TextChar"/>
          <w:rFonts w:ascii="Tahoma" w:hAnsi="Tahoma"/>
          <w:sz w:val="24"/>
        </w:rPr>
        <w:t>Ontario</w:t>
      </w:r>
      <w:r w:rsidR="00BF7555" w:rsidRPr="00F00893">
        <w:rPr>
          <w:rStyle w:val="TextChar"/>
          <w:rFonts w:ascii="Tahoma" w:hAnsi="Tahoma"/>
          <w:sz w:val="24"/>
        </w:rPr>
        <w:t xml:space="preserve">: </w:t>
      </w:r>
      <w:r w:rsidR="00F00893" w:rsidRPr="00F00893">
        <w:rPr>
          <w:rStyle w:val="TextChar"/>
          <w:rFonts w:ascii="Tahoma" w:hAnsi="Tahoma"/>
          <w:sz w:val="24"/>
        </w:rPr>
        <w:t>public colleges of applied arts and technology</w:t>
      </w:r>
    </w:p>
    <w:p w:rsidR="00FB3D29" w:rsidRDefault="00BF7555" w:rsidP="00555AF2">
      <w:pPr>
        <w:pStyle w:val="Textlessbefore"/>
      </w:pPr>
      <w:r w:rsidRPr="00BF7555">
        <w:rPr>
          <w:rStyle w:val="TextChar"/>
        </w:rPr>
        <w:t>These public</w:t>
      </w:r>
      <w:r>
        <w:rPr>
          <w:rStyle w:val="TextChar"/>
          <w:b/>
        </w:rPr>
        <w:t xml:space="preserve"> </w:t>
      </w:r>
      <w:r w:rsidR="00313BFA">
        <w:t xml:space="preserve">VET post-secondary colleges and their boards are responsible for the quality assurance of their programs. </w:t>
      </w:r>
      <w:r w:rsidR="00F00893">
        <w:t>T</w:t>
      </w:r>
      <w:r w:rsidR="00313BFA">
        <w:t xml:space="preserve">hey </w:t>
      </w:r>
      <w:r w:rsidR="00F00893">
        <w:t xml:space="preserve">currently </w:t>
      </w:r>
      <w:r w:rsidR="007D390E">
        <w:t>apply</w:t>
      </w:r>
      <w:r w:rsidR="00313BFA">
        <w:t xml:space="preserve"> the Program Quality Assurance Process Audits (PQAPA)</w:t>
      </w:r>
      <w:r w:rsidR="000B097C">
        <w:rPr>
          <w:rStyle w:val="FootnoteReference"/>
        </w:rPr>
        <w:footnoteReference w:id="32"/>
      </w:r>
      <w:r w:rsidR="00313BFA">
        <w:t xml:space="preserve"> standards to guide their processes for quality assurance and continuous improvement. These standards are also used in external audits</w:t>
      </w:r>
      <w:r w:rsidR="00F00893">
        <w:t>,</w:t>
      </w:r>
      <w:r w:rsidR="00313BFA">
        <w:t xml:space="preserve"> which are conducted </w:t>
      </w:r>
      <w:r w:rsidR="00C504E2">
        <w:t>‘</w:t>
      </w:r>
      <w:r w:rsidR="00313BFA">
        <w:t>cyclically</w:t>
      </w:r>
      <w:r w:rsidR="00C504E2">
        <w:t>’</w:t>
      </w:r>
      <w:r w:rsidR="00370395">
        <w:t xml:space="preserve"> </w:t>
      </w:r>
      <w:r w:rsidR="00313BFA">
        <w:t xml:space="preserve">every five years. The audits identify </w:t>
      </w:r>
      <w:r w:rsidR="00313BFA">
        <w:lastRenderedPageBreak/>
        <w:t xml:space="preserve">whether or not </w:t>
      </w:r>
      <w:r w:rsidR="007D390E">
        <w:t xml:space="preserve">the </w:t>
      </w:r>
      <w:r w:rsidR="00FB3D29">
        <w:t>quality assurance</w:t>
      </w:r>
      <w:r w:rsidR="00313BFA">
        <w:t xml:space="preserve"> processes align with the criteria that have been defined for </w:t>
      </w:r>
      <w:r w:rsidR="00C504E2">
        <w:t>‘</w:t>
      </w:r>
      <w:r w:rsidR="00313BFA">
        <w:t>exemplary performance</w:t>
      </w:r>
      <w:r w:rsidR="00C504E2">
        <w:t>’</w:t>
      </w:r>
      <w:r w:rsidR="00313BFA">
        <w:t xml:space="preserve"> and </w:t>
      </w:r>
      <w:r w:rsidR="00FB3D29">
        <w:t xml:space="preserve">the </w:t>
      </w:r>
      <w:r w:rsidR="00C504E2">
        <w:t>‘</w:t>
      </w:r>
      <w:r w:rsidR="00313BFA">
        <w:t>recommendations for improvement</w:t>
      </w:r>
      <w:r w:rsidR="00C504E2">
        <w:t>’</w:t>
      </w:r>
      <w:r w:rsidR="00370395">
        <w:t xml:space="preserve"> </w:t>
      </w:r>
      <w:r w:rsidR="00313BFA">
        <w:t xml:space="preserve">or </w:t>
      </w:r>
      <w:r w:rsidR="00C504E2">
        <w:t>‘</w:t>
      </w:r>
      <w:r w:rsidR="00313BFA">
        <w:t>enhanced compliance</w:t>
      </w:r>
      <w:r w:rsidR="00C504E2">
        <w:t>’</w:t>
      </w:r>
      <w:r w:rsidR="00313BFA">
        <w:t xml:space="preserve">. A report of these results is </w:t>
      </w:r>
      <w:r w:rsidR="00370395">
        <w:t>made publically available on line</w:t>
      </w:r>
      <w:r w:rsidR="00313BFA">
        <w:t>. Prior to the audit</w:t>
      </w:r>
      <w:r w:rsidR="00F00893">
        <w:t>,</w:t>
      </w:r>
      <w:r w:rsidR="00313BFA">
        <w:t xml:space="preserve"> colleges prepare a self-study report. The Ontario College Quality Assurance Service (OCQAS) is an independent agency </w:t>
      </w:r>
      <w:r w:rsidR="00313BFA" w:rsidRPr="0003570C">
        <w:t>established to</w:t>
      </w:r>
      <w:r w:rsidR="00313BFA">
        <w:t xml:space="preserve"> provide colleges with </w:t>
      </w:r>
      <w:r w:rsidR="007D78C5">
        <w:t xml:space="preserve">advisory assistance, including tools and materials </w:t>
      </w:r>
      <w:r w:rsidR="00313BFA">
        <w:t xml:space="preserve">to help them </w:t>
      </w:r>
      <w:r w:rsidR="007D390E">
        <w:t xml:space="preserve">to </w:t>
      </w:r>
      <w:r w:rsidR="00313BFA">
        <w:t xml:space="preserve">meet the </w:t>
      </w:r>
      <w:r w:rsidR="00FB3D29">
        <w:t xml:space="preserve">required </w:t>
      </w:r>
      <w:r w:rsidR="00313BFA">
        <w:t>quality standards</w:t>
      </w:r>
      <w:r w:rsidR="00FB3D29">
        <w:t>.</w:t>
      </w:r>
    </w:p>
    <w:p w:rsidR="00FB3D29" w:rsidRDefault="007D390E" w:rsidP="00313BFA">
      <w:pPr>
        <w:pStyle w:val="Text"/>
      </w:pPr>
      <w:r>
        <w:t xml:space="preserve">From </w:t>
      </w:r>
      <w:r w:rsidR="00313BFA">
        <w:t xml:space="preserve">September 2015 the colleges will be required to move from this system of audits to </w:t>
      </w:r>
      <w:r w:rsidR="000B097C">
        <w:t xml:space="preserve">a </w:t>
      </w:r>
      <w:r w:rsidR="00F00893">
        <w:t>system of a</w:t>
      </w:r>
      <w:r w:rsidR="00313BFA">
        <w:t xml:space="preserve">ccreditation. </w:t>
      </w:r>
      <w:r w:rsidR="00F00893">
        <w:t>The Ontario College Quality Assurance Service</w:t>
      </w:r>
      <w:r w:rsidR="00BF7555">
        <w:t xml:space="preserve"> w</w:t>
      </w:r>
      <w:r w:rsidR="00FB3D29">
        <w:t xml:space="preserve">ill become an accrediting body. </w:t>
      </w:r>
      <w:r w:rsidR="00F00893">
        <w:t>The standards for a</w:t>
      </w:r>
      <w:r w:rsidR="00313BFA">
        <w:t xml:space="preserve">ccreditation reflect the standards of the </w:t>
      </w:r>
      <w:r w:rsidR="00F00893">
        <w:t>Program Quality Assurance Process Audits</w:t>
      </w:r>
      <w:r w:rsidR="00313BFA">
        <w:t xml:space="preserve"> and provide a framework for assessing the extent to which colleges</w:t>
      </w:r>
      <w:r w:rsidR="00C504E2">
        <w:t>’</w:t>
      </w:r>
      <w:r w:rsidR="00313BFA">
        <w:t xml:space="preserve"> quality assurance processes </w:t>
      </w:r>
      <w:r>
        <w:t>meet</w:t>
      </w:r>
      <w:r w:rsidR="00313BFA">
        <w:t xml:space="preserve"> the required standards. There are six broad accreditation standards with a set of specific associated requirements</w:t>
      </w:r>
      <w:r w:rsidR="00F00893">
        <w:t>.</w:t>
      </w:r>
      <w:r w:rsidR="000B097C">
        <w:rPr>
          <w:rStyle w:val="FootnoteReference"/>
        </w:rPr>
        <w:footnoteReference w:id="33"/>
      </w:r>
      <w:r w:rsidR="00313BFA">
        <w:t xml:space="preserve"> </w:t>
      </w:r>
      <w:r w:rsidR="00F00893">
        <w:t>The standards comprise:</w:t>
      </w:r>
      <w:r w:rsidR="00CF18BF">
        <w:t xml:space="preserve"> quality management system (</w:t>
      </w:r>
      <w:r w:rsidR="00D57EF5">
        <w:t xml:space="preserve">six associated requirements); </w:t>
      </w:r>
      <w:r w:rsidR="00CF18BF">
        <w:t>existence and communication of policies and practices (</w:t>
      </w:r>
      <w:r w:rsidR="00D57EF5">
        <w:t>seven associated requirements); program d</w:t>
      </w:r>
      <w:r w:rsidR="00CF18BF">
        <w:t>esign (</w:t>
      </w:r>
      <w:r w:rsidR="00D57EF5">
        <w:t>eight</w:t>
      </w:r>
      <w:r w:rsidR="00CF18BF">
        <w:t xml:space="preserve"> associated requirements); </w:t>
      </w:r>
      <w:r w:rsidR="00D57EF5">
        <w:t>program delivery and assessmen</w:t>
      </w:r>
      <w:r w:rsidR="00CF18BF">
        <w:t xml:space="preserve">t </w:t>
      </w:r>
      <w:r w:rsidR="00E14863">
        <w:t>(</w:t>
      </w:r>
      <w:r w:rsidR="00D57EF5">
        <w:t>five associated requirements); c</w:t>
      </w:r>
      <w:r w:rsidR="00CF18BF">
        <w:t>onformity with government requirements (</w:t>
      </w:r>
      <w:r w:rsidR="00D57EF5">
        <w:t xml:space="preserve">four </w:t>
      </w:r>
      <w:r w:rsidR="00CF18BF">
        <w:t>associated requirements</w:t>
      </w:r>
      <w:r w:rsidR="00E14863">
        <w:t>)</w:t>
      </w:r>
      <w:r w:rsidR="00D57EF5">
        <w:t>; and</w:t>
      </w:r>
      <w:r w:rsidR="00CF18BF">
        <w:t xml:space="preserve"> </w:t>
      </w:r>
      <w:r w:rsidR="00D57EF5">
        <w:t xml:space="preserve">availability and allocation </w:t>
      </w:r>
      <w:r w:rsidR="00CF18BF">
        <w:t>of college-wide resources (</w:t>
      </w:r>
      <w:r w:rsidR="00D57EF5">
        <w:t>four</w:t>
      </w:r>
      <w:r w:rsidR="00CF18BF">
        <w:t xml:space="preserve"> associated requirements). </w:t>
      </w:r>
      <w:r w:rsidR="007D75A4">
        <w:t xml:space="preserve">It is the associated requirements which spell out the requirements for each broad standard and </w:t>
      </w:r>
      <w:r w:rsidR="00D57EF5">
        <w:t>which</w:t>
      </w:r>
      <w:r w:rsidR="00FB3D29">
        <w:t xml:space="preserve"> must be met.</w:t>
      </w:r>
    </w:p>
    <w:p w:rsidR="00BF7555" w:rsidRPr="00BF7555" w:rsidRDefault="007D75A4" w:rsidP="00313BFA">
      <w:pPr>
        <w:pStyle w:val="Text"/>
      </w:pPr>
      <w:r>
        <w:t xml:space="preserve">Colleges need to provide a good evidence base to justify their claims for the quality of their programs and student learning. If a college </w:t>
      </w:r>
      <w:r w:rsidR="00EB0AD6">
        <w:t>is judged as meeting</w:t>
      </w:r>
      <w:r>
        <w:t xml:space="preserve"> all requirements for all six standards then it will be awarded </w:t>
      </w:r>
      <w:r w:rsidRPr="00D57EF5">
        <w:t>full accreditation</w:t>
      </w:r>
      <w:r w:rsidR="00D57EF5">
        <w:t>, while</w:t>
      </w:r>
      <w:r>
        <w:t xml:space="preserve"> meeting four or five standards will attract </w:t>
      </w:r>
      <w:r w:rsidR="00EB0AD6">
        <w:t xml:space="preserve">a status of </w:t>
      </w:r>
      <w:r w:rsidRPr="00D57EF5">
        <w:t>conditional accreditation</w:t>
      </w:r>
      <w:r w:rsidR="00EB0AD6">
        <w:rPr>
          <w:i/>
        </w:rPr>
        <w:t xml:space="preserve">. </w:t>
      </w:r>
      <w:r w:rsidR="00EB0AD6" w:rsidRPr="00EB0AD6">
        <w:t xml:space="preserve">If a college is judged as meeting </w:t>
      </w:r>
      <w:r w:rsidR="00D57EF5">
        <w:t>fewer</w:t>
      </w:r>
      <w:r w:rsidR="00EB0AD6" w:rsidRPr="00EB0AD6">
        <w:t xml:space="preserve"> than three of the standards and their requirements</w:t>
      </w:r>
      <w:r w:rsidR="00D57EF5">
        <w:t>,</w:t>
      </w:r>
      <w:r w:rsidR="00EB0AD6" w:rsidRPr="00EB0AD6">
        <w:t xml:space="preserve"> it will receive a</w:t>
      </w:r>
      <w:r w:rsidR="00D57EF5">
        <w:rPr>
          <w:i/>
        </w:rPr>
        <w:t xml:space="preserve"> </w:t>
      </w:r>
      <w:r w:rsidR="00D57EF5" w:rsidRPr="00D57EF5">
        <w:t>n</w:t>
      </w:r>
      <w:r w:rsidR="00FB3D29">
        <w:t>on-a</w:t>
      </w:r>
      <w:r w:rsidR="00EB0AD6" w:rsidRPr="00D57EF5">
        <w:t>ccreditation result</w:t>
      </w:r>
      <w:r w:rsidR="00EB0AD6">
        <w:rPr>
          <w:i/>
        </w:rPr>
        <w:t xml:space="preserve">. </w:t>
      </w:r>
      <w:r w:rsidR="00CF18BF" w:rsidRPr="00EB0AD6">
        <w:t>Colleges with full accreditation will be reviewed after five years</w:t>
      </w:r>
      <w:r w:rsidR="00CF18BF">
        <w:t>;</w:t>
      </w:r>
      <w:r w:rsidR="00CF18BF" w:rsidRPr="00EB0AD6">
        <w:t xml:space="preserve"> those with conditional accredita</w:t>
      </w:r>
      <w:r w:rsidR="00D57EF5">
        <w:t>tion will need to provide an 18-</w:t>
      </w:r>
      <w:r w:rsidR="00CF18BF" w:rsidRPr="00EB0AD6">
        <w:t xml:space="preserve">month follow-up report. </w:t>
      </w:r>
      <w:r w:rsidR="00EB0AD6" w:rsidRPr="00EB0AD6">
        <w:t xml:space="preserve">This report will be used to determine </w:t>
      </w:r>
      <w:r w:rsidR="00FB3D29">
        <w:t>whether</w:t>
      </w:r>
      <w:r w:rsidR="00EB0AD6" w:rsidRPr="00EB0AD6">
        <w:t xml:space="preserve"> the college </w:t>
      </w:r>
      <w:r w:rsidR="007D390E">
        <w:t>moves</w:t>
      </w:r>
      <w:r w:rsidR="00EB0AD6" w:rsidRPr="00EB0AD6">
        <w:t xml:space="preserve"> from conditional to full accreditation status.</w:t>
      </w:r>
      <w:r w:rsidR="00EB0AD6">
        <w:rPr>
          <w:i/>
        </w:rPr>
        <w:t xml:space="preserve"> </w:t>
      </w:r>
      <w:r w:rsidR="00EB0AD6" w:rsidRPr="00EB0AD6">
        <w:t>Those with non-accreditation status will need to address specific plans of action to improve their status. Re-evaluation would take place between 18 months and 36 months</w:t>
      </w:r>
      <w:r w:rsidR="00EB0AD6">
        <w:rPr>
          <w:i/>
        </w:rPr>
        <w:t xml:space="preserve">. </w:t>
      </w:r>
      <w:r w:rsidR="00BF7555" w:rsidRPr="00BF7555">
        <w:t xml:space="preserve">Private </w:t>
      </w:r>
      <w:r w:rsidR="00D57EF5" w:rsidRPr="00BF7555">
        <w:t xml:space="preserve">career colleges </w:t>
      </w:r>
      <w:r w:rsidR="00BF7555" w:rsidRPr="00BF7555">
        <w:t xml:space="preserve">in Ontario (similar to our private providers) must be registered </w:t>
      </w:r>
      <w:r w:rsidR="002F5089">
        <w:t xml:space="preserve">by law </w:t>
      </w:r>
      <w:r w:rsidR="00BF7555" w:rsidRPr="00BF7555">
        <w:t xml:space="preserve">and have their programs approved by the Superintendent of Private Career Colleges. </w:t>
      </w:r>
      <w:r w:rsidR="002F5089">
        <w:t>If they offer post-secondary courses</w:t>
      </w:r>
      <w:r w:rsidR="00E14863">
        <w:t xml:space="preserve"> without this approval</w:t>
      </w:r>
      <w:r w:rsidR="002F5089">
        <w:t xml:space="preserve"> they are in violation of the law. </w:t>
      </w:r>
    </w:p>
    <w:p w:rsidR="00D27911" w:rsidRDefault="005003A2" w:rsidP="009A0ABF">
      <w:pPr>
        <w:pStyle w:val="Heading2"/>
      </w:pPr>
      <w:bookmarkStart w:id="46" w:name="_Toc406514240"/>
      <w:r>
        <w:t xml:space="preserve">Outcomes </w:t>
      </w:r>
      <w:r w:rsidR="00672F08">
        <w:t xml:space="preserve">and outputs </w:t>
      </w:r>
      <w:r>
        <w:t>as indicators of quality</w:t>
      </w:r>
      <w:bookmarkEnd w:id="46"/>
    </w:p>
    <w:p w:rsidR="006C5A6F" w:rsidRDefault="006C5A6F" w:rsidP="006C5A6F">
      <w:pPr>
        <w:pStyle w:val="Text"/>
      </w:pPr>
      <w:r>
        <w:t xml:space="preserve">The adoption of objective measures on outcomes of performance for systems, providers and students as indicators of quality is also gaining traction. These indicators include student learning and competency </w:t>
      </w:r>
      <w:r w:rsidR="00D57EF5">
        <w:t>outcomes, graduate destinations,</w:t>
      </w:r>
      <w:r>
        <w:t xml:space="preserve"> and employer and student satisfaction with training. In some countries output measures (</w:t>
      </w:r>
      <w:r w:rsidR="00D57EF5">
        <w:t>for example,</w:t>
      </w:r>
      <w:r>
        <w:t xml:space="preserve"> </w:t>
      </w:r>
      <w:r w:rsidR="00FB3D29">
        <w:t xml:space="preserve">the </w:t>
      </w:r>
      <w:r>
        <w:t xml:space="preserve">numbers of participating students, teachers and employers and hours of training delivery) continue to be used </w:t>
      </w:r>
      <w:r w:rsidR="000E109F">
        <w:t>as quality indicators</w:t>
      </w:r>
      <w:r>
        <w:t xml:space="preserve">. </w:t>
      </w:r>
    </w:p>
    <w:p w:rsidR="009816CB" w:rsidRDefault="00D57EF5" w:rsidP="009816CB">
      <w:pPr>
        <w:pStyle w:val="Text"/>
      </w:pPr>
      <w:r>
        <w:t>In Australia</w:t>
      </w:r>
      <w:r w:rsidR="009816CB">
        <w:t xml:space="preserve"> and abroad there is a move towards improving transparency across a range of industry sectors and education and training systems, including VET. Transparency is especially reliant on the generation and publication (often in online formats) of data about performance. The aim is to improve the provision of information to enable clients and consumers (including students and their parents, workers and employers) to make better choices </w:t>
      </w:r>
      <w:r w:rsidR="007D390E">
        <w:t>about</w:t>
      </w:r>
      <w:r>
        <w:t xml:space="preserve"> where to purchase services</w:t>
      </w:r>
      <w:r w:rsidR="009816CB">
        <w:t xml:space="preserve"> and what </w:t>
      </w:r>
      <w:r w:rsidR="00FB3D29">
        <w:lastRenderedPageBreak/>
        <w:t>action to take</w:t>
      </w:r>
      <w:r w:rsidR="009816CB">
        <w:t xml:space="preserve"> if the services they purchase</w:t>
      </w:r>
      <w:r w:rsidR="00FB3D29">
        <w:t xml:space="preserve"> are not provided</w:t>
      </w:r>
      <w:r w:rsidR="009816CB">
        <w:t xml:space="preserve">. Transparency of information </w:t>
      </w:r>
      <w:r w:rsidR="0045388A">
        <w:t>relating to</w:t>
      </w:r>
      <w:r w:rsidR="009816CB">
        <w:t xml:space="preserve"> the outcomes delivered also enable</w:t>
      </w:r>
      <w:r w:rsidR="0045388A">
        <w:t>s</w:t>
      </w:r>
      <w:r w:rsidR="009816CB">
        <w:t xml:space="preserve"> governments to make suitable funding decisions. </w:t>
      </w:r>
    </w:p>
    <w:p w:rsidR="00433035" w:rsidRDefault="000B47F5" w:rsidP="00433035">
      <w:pPr>
        <w:pStyle w:val="Heading3"/>
      </w:pPr>
      <w:r w:rsidRPr="000B47F5">
        <w:t>European Union</w:t>
      </w:r>
    </w:p>
    <w:p w:rsidR="0045388A" w:rsidRDefault="002679A6" w:rsidP="00555AF2">
      <w:pPr>
        <w:pStyle w:val="Textlessbefore"/>
      </w:pPr>
      <w:r>
        <w:t xml:space="preserve">European countries are moving towards outcomes-based standards to assure the quality </w:t>
      </w:r>
      <w:r w:rsidR="0045388A">
        <w:t>of their VET systems</w:t>
      </w:r>
      <w:r>
        <w:t xml:space="preserve"> and away from system</w:t>
      </w:r>
      <w:r w:rsidR="0045388A">
        <w:t>s that merely define and monitor</w:t>
      </w:r>
      <w:r>
        <w:t xml:space="preserve"> input, resources, procedures and processes (</w:t>
      </w:r>
      <w:r w:rsidR="007E323F">
        <w:t>European Commission 2014)</w:t>
      </w:r>
      <w:r>
        <w:t xml:space="preserve">. </w:t>
      </w:r>
      <w:r w:rsidR="000E109F">
        <w:t xml:space="preserve">The </w:t>
      </w:r>
      <w:r w:rsidR="00433035">
        <w:t>European Quality Assurance Framework for Vocational Education and Training</w:t>
      </w:r>
      <w:r w:rsidR="000E109F">
        <w:t xml:space="preserve"> recommendations </w:t>
      </w:r>
      <w:r w:rsidR="007E323F">
        <w:t xml:space="preserve">identified a number of key quality </w:t>
      </w:r>
      <w:r w:rsidR="00823D61">
        <w:t xml:space="preserve">output and outcome </w:t>
      </w:r>
      <w:r w:rsidR="007E323F">
        <w:t>indicators to be used in national systems for quality assurance systems. These were</w:t>
      </w:r>
      <w:r w:rsidR="00433035">
        <w:t>:</w:t>
      </w:r>
      <w:r w:rsidR="007E323F">
        <w:t xml:space="preserve"> investment in teacher and trainer development, participation, completion and p</w:t>
      </w:r>
      <w:r w:rsidR="00433035">
        <w:t xml:space="preserve">lacement rates; workplace utilisation of skills acquired; </w:t>
      </w:r>
      <w:r w:rsidR="007D390E">
        <w:t xml:space="preserve">the </w:t>
      </w:r>
      <w:r w:rsidR="00433035">
        <w:t>unemployment rate;</w:t>
      </w:r>
      <w:r w:rsidR="007E323F">
        <w:t xml:space="preserve"> prevalence</w:t>
      </w:r>
      <w:r w:rsidR="00433035">
        <w:t xml:space="preserve"> of vulnerable (at risk) groups;</w:t>
      </w:r>
      <w:r w:rsidR="007E323F">
        <w:t xml:space="preserve"> mechan</w:t>
      </w:r>
      <w:r w:rsidR="00433035">
        <w:t>isms to identify training needs;</w:t>
      </w:r>
      <w:r w:rsidR="007E323F">
        <w:t xml:space="preserve"> and schemes to promote access to VET. The report of the European Commission (</w:t>
      </w:r>
      <w:r w:rsidR="00433035">
        <w:t>2014</w:t>
      </w:r>
      <w:r w:rsidR="007E323F">
        <w:t xml:space="preserve">) noted that more than 20 countries had implemented quality assurance reforms by 2013 and that most had in place quality standards for providers. In practice the indicators </w:t>
      </w:r>
      <w:r w:rsidR="000E109F">
        <w:t xml:space="preserve">commonly </w:t>
      </w:r>
      <w:r w:rsidR="0045388A">
        <w:t>adopted</w:t>
      </w:r>
      <w:r w:rsidR="00433035">
        <w:t xml:space="preserve"> </w:t>
      </w:r>
      <w:r w:rsidR="007E323F">
        <w:t xml:space="preserve">centred around participation in and completion of VET programs. </w:t>
      </w:r>
      <w:r w:rsidR="000E109F">
        <w:t>This was mainly because it was difficult to obtain data on s</w:t>
      </w:r>
      <w:r w:rsidR="007E323F">
        <w:t>kills utilisat</w:t>
      </w:r>
      <w:r w:rsidR="0045388A">
        <w:t>ion or employment destinations.</w:t>
      </w:r>
    </w:p>
    <w:p w:rsidR="009816CB" w:rsidRDefault="000E109F" w:rsidP="0003006F">
      <w:pPr>
        <w:pStyle w:val="Text"/>
      </w:pPr>
      <w:r>
        <w:t xml:space="preserve">The use of targets and outcomes standards as important elements in quality assurance is increasing in </w:t>
      </w:r>
      <w:r w:rsidR="002679A6">
        <w:t>VET systems in Italy, France, the United Kingdom, Germany, Ireland, Denmark and the Netherlands</w:t>
      </w:r>
      <w:r>
        <w:t xml:space="preserve">. </w:t>
      </w:r>
      <w:r w:rsidR="002679A6">
        <w:t xml:space="preserve">Stated outcomes can be used </w:t>
      </w:r>
      <w:r w:rsidR="009A0ABF">
        <w:t xml:space="preserve">to </w:t>
      </w:r>
      <w:r w:rsidR="002679A6">
        <w:t>manage VET systems and act as crucial steps to assuring the quality of the system. At the national level targets play an important role in driving and monitoring the progress of the system. Keeping standards to a minimum, making sure th</w:t>
      </w:r>
      <w:r w:rsidR="00EE0538">
        <w:t>at they identify clear and easy-to-</w:t>
      </w:r>
      <w:r w:rsidR="0045388A">
        <w:t>measure outcomes</w:t>
      </w:r>
      <w:r w:rsidR="002679A6">
        <w:t xml:space="preserve"> and articulating their nature and intent to stakeholders and participants are also favoured. Some countries </w:t>
      </w:r>
      <w:r w:rsidR="00EE0538">
        <w:t>such as</w:t>
      </w:r>
      <w:r w:rsidR="002679A6">
        <w:t xml:space="preserve"> Italy, France and Germany make </w:t>
      </w:r>
      <w:r w:rsidR="007D390E">
        <w:t>use of externally set curricula</w:t>
      </w:r>
      <w:r w:rsidR="002679A6">
        <w:t xml:space="preserve"> and examinations. Such an approach improves the comparability of learning outcomes at the national, regional or industry-sector level.</w:t>
      </w:r>
    </w:p>
    <w:p w:rsidR="009816CB" w:rsidRDefault="009816CB" w:rsidP="009816CB">
      <w:pPr>
        <w:pStyle w:val="Text"/>
      </w:pPr>
      <w:r>
        <w:t xml:space="preserve">The Bruges Communiqué </w:t>
      </w:r>
      <w:r w:rsidR="00A249A1">
        <w:t>(</w:t>
      </w:r>
      <w:r w:rsidR="00EE0538">
        <w:t xml:space="preserve">European Commission </w:t>
      </w:r>
      <w:r w:rsidR="00A249A1">
        <w:t xml:space="preserve">2010) </w:t>
      </w:r>
      <w:r w:rsidR="00EE0538">
        <w:t>also emphasis</w:t>
      </w:r>
      <w:r>
        <w:t xml:space="preserve">ed the need for the adoption of </w:t>
      </w:r>
      <w:r w:rsidR="00EE0538">
        <w:t>an outcomes-based curriculum</w:t>
      </w:r>
      <w:r w:rsidR="0045388A">
        <w:t>,</w:t>
      </w:r>
      <w:r>
        <w:t xml:space="preserve"> re</w:t>
      </w:r>
      <w:r w:rsidR="00EE0538">
        <w:t>sponsive to labour market needs</w:t>
      </w:r>
      <w:r w:rsidR="0045388A">
        <w:t>,</w:t>
      </w:r>
      <w:r>
        <w:t xml:space="preserve"> and increased cooperation between VET institutions and employers</w:t>
      </w:r>
      <w:r w:rsidR="0045388A">
        <w:t>, the aim being</w:t>
      </w:r>
      <w:r>
        <w:t xml:space="preserve"> </w:t>
      </w:r>
      <w:r w:rsidR="00EE0538">
        <w:t>to enable</w:t>
      </w:r>
      <w:r>
        <w:t xml:space="preserve"> providers </w:t>
      </w:r>
      <w:r w:rsidR="00EE0538">
        <w:t>to</w:t>
      </w:r>
      <w:r>
        <w:t xml:space="preserve"> understand the employability and employment rates of VET graduates. Work-based learning in enterpris</w:t>
      </w:r>
      <w:r w:rsidR="00EE0538">
        <w:t>es and not-for-profit companies</w:t>
      </w:r>
      <w:r>
        <w:t xml:space="preserve"> and apprenticeship-type training w</w:t>
      </w:r>
      <w:r w:rsidR="00EE0538">
        <w:t>ere</w:t>
      </w:r>
      <w:r>
        <w:t xml:space="preserve"> to be expanded.</w:t>
      </w:r>
    </w:p>
    <w:p w:rsidR="00EE0538" w:rsidRDefault="000B47F5" w:rsidP="00EE0538">
      <w:pPr>
        <w:pStyle w:val="Heading3"/>
      </w:pPr>
      <w:r w:rsidRPr="000B47F5">
        <w:t>United Kingdom</w:t>
      </w:r>
    </w:p>
    <w:p w:rsidR="00D27911" w:rsidRDefault="00D27911" w:rsidP="00555AF2">
      <w:pPr>
        <w:pStyle w:val="Textlessbefore"/>
      </w:pPr>
      <w:r>
        <w:t>In England the Office for Standards in Education, Children</w:t>
      </w:r>
      <w:r w:rsidR="00C504E2">
        <w:t>’</w:t>
      </w:r>
      <w:r>
        <w:t>s Services and Skills (</w:t>
      </w:r>
      <w:proofErr w:type="spellStart"/>
      <w:r w:rsidRPr="00EE0538">
        <w:t>Ofsted</w:t>
      </w:r>
      <w:proofErr w:type="spellEnd"/>
      <w:r>
        <w:t xml:space="preserve">) uses a </w:t>
      </w:r>
      <w:r w:rsidR="00EE0538">
        <w:t xml:space="preserve">common inspection framework </w:t>
      </w:r>
      <w:r>
        <w:t xml:space="preserve">to look at the experience of individual students </w:t>
      </w:r>
      <w:r w:rsidR="0045388A">
        <w:t>and</w:t>
      </w:r>
      <w:r>
        <w:t xml:space="preserve"> judge the effectiveness and efficiency of the college under review. The </w:t>
      </w:r>
      <w:r w:rsidR="00EE0538">
        <w:t xml:space="preserve">specific </w:t>
      </w:r>
      <w:r>
        <w:t xml:space="preserve">college will be given a rating based on the results of the inspection. These ratings will inform the frequency and timing of future audits. The body which evaluates and monitors the compliance of awarding bodies in England is </w:t>
      </w:r>
      <w:proofErr w:type="spellStart"/>
      <w:r w:rsidRPr="00EE0538">
        <w:t>Ofqual</w:t>
      </w:r>
      <w:proofErr w:type="spellEnd"/>
      <w:r>
        <w:t>. It, too, uses a risk-based program</w:t>
      </w:r>
      <w:r w:rsidR="000E109F">
        <w:t xml:space="preserve"> </w:t>
      </w:r>
      <w:r w:rsidR="00CF7805">
        <w:t>examining</w:t>
      </w:r>
      <w:r w:rsidR="000E109F">
        <w:t xml:space="preserve"> outcomes</w:t>
      </w:r>
      <w:r>
        <w:t xml:space="preserve"> to carry out its auditing activities. </w:t>
      </w:r>
    </w:p>
    <w:p w:rsidR="002679A6" w:rsidRDefault="00D06DC1" w:rsidP="00EE0538">
      <w:pPr>
        <w:pStyle w:val="Heading2"/>
      </w:pPr>
      <w:bookmarkStart w:id="47" w:name="_Toc406514241"/>
      <w:r>
        <w:t>Assuring</w:t>
      </w:r>
      <w:r w:rsidR="001179EB">
        <w:t xml:space="preserve"> the </w:t>
      </w:r>
      <w:r>
        <w:t>quality of teachers and assessment practice</w:t>
      </w:r>
      <w:bookmarkEnd w:id="47"/>
      <w:r w:rsidR="004928F1">
        <w:t xml:space="preserve"> </w:t>
      </w:r>
    </w:p>
    <w:p w:rsidR="00DD6ACF" w:rsidRDefault="000E109F" w:rsidP="00A85614">
      <w:pPr>
        <w:pStyle w:val="Text"/>
      </w:pPr>
      <w:r>
        <w:t xml:space="preserve">The quality of instruction is commonly accepted as being a </w:t>
      </w:r>
      <w:r w:rsidR="00CF7805">
        <w:t xml:space="preserve">major </w:t>
      </w:r>
      <w:r>
        <w:t xml:space="preserve">key to understanding the performance of students in learning tasks. </w:t>
      </w:r>
      <w:r w:rsidR="00DD6ACF">
        <w:t>Across the board</w:t>
      </w:r>
      <w:r w:rsidR="007D390E">
        <w:t>,</w:t>
      </w:r>
      <w:r w:rsidR="00DD6ACF">
        <w:t xml:space="preserve"> s</w:t>
      </w:r>
      <w:r w:rsidR="00D06DC1">
        <w:t xml:space="preserve">tandards commonly address the </w:t>
      </w:r>
      <w:r w:rsidR="00CF7805">
        <w:t>requirement</w:t>
      </w:r>
      <w:r w:rsidR="00D06DC1">
        <w:t xml:space="preserve"> for institutions to have competent and appropriately qualified teachers. </w:t>
      </w:r>
      <w:r w:rsidR="006C371C">
        <w:t xml:space="preserve">The need to improve the </w:t>
      </w:r>
      <w:r w:rsidR="001179EB">
        <w:t xml:space="preserve">quality of </w:t>
      </w:r>
      <w:r w:rsidR="006C371C">
        <w:t xml:space="preserve">VET teachers has been a concern of governments and educators in </w:t>
      </w:r>
      <w:r w:rsidR="00A01350">
        <w:t xml:space="preserve">EU member states, </w:t>
      </w:r>
      <w:r w:rsidR="00EE0538">
        <w:t>including</w:t>
      </w:r>
      <w:r w:rsidR="00C01471">
        <w:t xml:space="preserve"> </w:t>
      </w:r>
      <w:r w:rsidR="006C371C">
        <w:t>the United Kingdom.</w:t>
      </w:r>
      <w:r w:rsidR="00A01350">
        <w:t xml:space="preserve"> </w:t>
      </w:r>
    </w:p>
    <w:p w:rsidR="00A01350" w:rsidRDefault="00A01350" w:rsidP="00A85614">
      <w:pPr>
        <w:pStyle w:val="Text"/>
      </w:pPr>
      <w:r>
        <w:lastRenderedPageBreak/>
        <w:t>The Bruges Communiqué</w:t>
      </w:r>
      <w:r w:rsidR="00685036">
        <w:t xml:space="preserve"> </w:t>
      </w:r>
      <w:r w:rsidR="00EE0538">
        <w:t xml:space="preserve">(European Commission 2010), </w:t>
      </w:r>
      <w:r w:rsidR="00685036">
        <w:t xml:space="preserve">which sets out a strategy for cooperation </w:t>
      </w:r>
      <w:r w:rsidR="00DD6ACF">
        <w:t xml:space="preserve">in Europe </w:t>
      </w:r>
      <w:r w:rsidR="00685036">
        <w:t>for the next decade</w:t>
      </w:r>
      <w:r w:rsidR="00EE0538">
        <w:t>,</w:t>
      </w:r>
      <w:r w:rsidR="00685036">
        <w:t xml:space="preserve"> also refers to the need for participating countries to invest in the initial and continuing training of teachers, trainers, mentors and counsellors. It suggests flexible training provision and increased investment to attract the best and most talented to the occupation. </w:t>
      </w:r>
    </w:p>
    <w:p w:rsidR="006C371C" w:rsidRDefault="006C371C" w:rsidP="00A85614">
      <w:pPr>
        <w:pStyle w:val="Text"/>
      </w:pPr>
      <w:r>
        <w:t>A</w:t>
      </w:r>
      <w:r w:rsidR="00EE0538">
        <w:t xml:space="preserve">n </w:t>
      </w:r>
      <w:r w:rsidR="00A85614">
        <w:t xml:space="preserve">inquiry </w:t>
      </w:r>
      <w:r w:rsidR="00EE0538">
        <w:t xml:space="preserve">in the UK </w:t>
      </w:r>
      <w:r w:rsidR="00C37DFE">
        <w:t xml:space="preserve">into teacher training in vocational education </w:t>
      </w:r>
      <w:r w:rsidR="00DD6ACF">
        <w:t>(</w:t>
      </w:r>
      <w:r w:rsidR="00A85614">
        <w:t>U</w:t>
      </w:r>
      <w:r w:rsidR="00EE0538">
        <w:t xml:space="preserve">nited Kingdom </w:t>
      </w:r>
      <w:r w:rsidR="00A85614">
        <w:t>Skills Commission</w:t>
      </w:r>
      <w:r>
        <w:t xml:space="preserve"> </w:t>
      </w:r>
      <w:r w:rsidR="00A85614">
        <w:t>2010)</w:t>
      </w:r>
      <w:r>
        <w:t xml:space="preserve"> affirmed the key role that te</w:t>
      </w:r>
      <w:r w:rsidR="00EE0538">
        <w:t>achers play in student learning</w:t>
      </w:r>
      <w:r>
        <w:t xml:space="preserve"> and made recommendations for expanding the</w:t>
      </w:r>
      <w:r w:rsidR="00CF7805">
        <w:t xml:space="preserve"> status of existing teachers,</w:t>
      </w:r>
      <w:r>
        <w:t xml:space="preserve"> head teachers and college princip</w:t>
      </w:r>
      <w:r w:rsidR="000E109F">
        <w:t>als</w:t>
      </w:r>
      <w:r w:rsidR="000977EC">
        <w:t xml:space="preserve"> to enable them to work across different education sectors and levels</w:t>
      </w:r>
      <w:r>
        <w:t xml:space="preserve">. It </w:t>
      </w:r>
      <w:r w:rsidR="00C37DFE">
        <w:t>recommend</w:t>
      </w:r>
      <w:r w:rsidR="00A85614">
        <w:t>ed</w:t>
      </w:r>
      <w:r w:rsidR="00C37DFE">
        <w:t xml:space="preserve"> the development of convergence courses (between general education and vocational education) to allow those with </w:t>
      </w:r>
      <w:r w:rsidR="00E274AA">
        <w:t xml:space="preserve">qualified teacher status </w:t>
      </w:r>
      <w:r w:rsidR="00C37DFE">
        <w:t xml:space="preserve">(QTS) to acquire </w:t>
      </w:r>
      <w:r w:rsidR="00E274AA">
        <w:t xml:space="preserve">qualified teacher learning and skills status </w:t>
      </w:r>
      <w:r w:rsidR="00C37DFE">
        <w:t>(QTLS)</w:t>
      </w:r>
      <w:r>
        <w:t xml:space="preserve">. It also suggested that </w:t>
      </w:r>
      <w:r w:rsidR="00C37DFE">
        <w:t xml:space="preserve">head teachers and college principals </w:t>
      </w:r>
      <w:r>
        <w:t xml:space="preserve">needed </w:t>
      </w:r>
      <w:r w:rsidR="00C37DFE">
        <w:t xml:space="preserve">to acquire </w:t>
      </w:r>
      <w:r w:rsidR="00DD6ACF">
        <w:t xml:space="preserve">both </w:t>
      </w:r>
      <w:r w:rsidR="00C37DFE">
        <w:t xml:space="preserve">school and college leader status. </w:t>
      </w:r>
      <w:r>
        <w:t>I</w:t>
      </w:r>
      <w:r w:rsidR="00C37DFE">
        <w:t>ncreased flexibility in initial teacher training courses to meet the needs of different categories of teacher, e</w:t>
      </w:r>
      <w:r w:rsidR="001179EB">
        <w:t>specially work-based teachers</w:t>
      </w:r>
      <w:r w:rsidR="00E274AA">
        <w:t>,</w:t>
      </w:r>
      <w:r>
        <w:t xml:space="preserve"> w</w:t>
      </w:r>
      <w:r w:rsidR="00E274AA">
        <w:t>as</w:t>
      </w:r>
      <w:r>
        <w:t xml:space="preserve"> also recommended</w:t>
      </w:r>
      <w:r w:rsidR="001179EB">
        <w:t xml:space="preserve">. </w:t>
      </w:r>
      <w:r w:rsidR="00C37DFE">
        <w:t xml:space="preserve">Suggestions </w:t>
      </w:r>
      <w:r>
        <w:t xml:space="preserve">were </w:t>
      </w:r>
      <w:r w:rsidR="00C37DFE">
        <w:t>made</w:t>
      </w:r>
      <w:r w:rsidR="00D06DC1">
        <w:t xml:space="preserve"> to expand </w:t>
      </w:r>
      <w:r w:rsidR="00C37DFE">
        <w:t xml:space="preserve">teacher recruitment campaigns </w:t>
      </w:r>
      <w:r w:rsidR="00D06DC1">
        <w:t xml:space="preserve">and to pitch these </w:t>
      </w:r>
      <w:proofErr w:type="spellStart"/>
      <w:r w:rsidR="00D06DC1">
        <w:t>to</w:t>
      </w:r>
      <w:proofErr w:type="spellEnd"/>
      <w:r w:rsidR="00C37DFE">
        <w:t xml:space="preserve"> part-time lecturers and professionals (under the Teach Too, Teach Next, and Teach Later Schemes). </w:t>
      </w:r>
    </w:p>
    <w:p w:rsidR="00E935E0" w:rsidRDefault="00C37DFE" w:rsidP="00E55E24">
      <w:pPr>
        <w:pStyle w:val="Text"/>
      </w:pPr>
      <w:r>
        <w:t>Debates about the quality of assessment</w:t>
      </w:r>
      <w:r w:rsidR="00F030A0">
        <w:t>s</w:t>
      </w:r>
      <w:r>
        <w:t xml:space="preserve"> are generally </w:t>
      </w:r>
      <w:r w:rsidR="00E274AA">
        <w:t>concerned with</w:t>
      </w:r>
      <w:r>
        <w:t xml:space="preserve"> the lack of adequate mechanisms to ensure the consistency, comparability and quality of assessments </w:t>
      </w:r>
      <w:r w:rsidR="007D390E">
        <w:t>across</w:t>
      </w:r>
      <w:r>
        <w:t xml:space="preserve"> </w:t>
      </w:r>
      <w:r w:rsidR="00E274AA">
        <w:t>registered training organisations</w:t>
      </w:r>
      <w:r>
        <w:t xml:space="preserve"> or training providers, assessors and industry sectors. </w:t>
      </w:r>
      <w:r w:rsidR="00E935E0">
        <w:t xml:space="preserve">The use of external verifiers is common for systems </w:t>
      </w:r>
      <w:r w:rsidR="00BA6381">
        <w:t xml:space="preserve">like </w:t>
      </w:r>
      <w:r w:rsidR="00CF7805">
        <w:t xml:space="preserve">those of </w:t>
      </w:r>
      <w:r w:rsidR="00BA6381">
        <w:t>the United Kingdom</w:t>
      </w:r>
      <w:r w:rsidR="00E274AA">
        <w:t>,</w:t>
      </w:r>
      <w:r w:rsidR="00BA6381">
        <w:t xml:space="preserve"> in </w:t>
      </w:r>
      <w:r w:rsidR="00E935E0">
        <w:t xml:space="preserve">which the delivery of the qualification is undertaken by a training provider and the awarding of the qualification is undertaken by a body that has been approved to award the qualification. </w:t>
      </w:r>
      <w:r w:rsidR="00E274AA">
        <w:t>The a</w:t>
      </w:r>
      <w:r w:rsidR="00223BCD">
        <w:t>ssessment burden and cost are identified as key disadvantages for systems which rely heavily on external assessments.</w:t>
      </w:r>
    </w:p>
    <w:p w:rsidR="006C5A6F" w:rsidRDefault="006C5A6F" w:rsidP="006C5A6F">
      <w:pPr>
        <w:pStyle w:val="Text"/>
      </w:pPr>
      <w:r>
        <w:t>An investigation into the various workplace assessment models being used in New Zealand and internationally (Vaughan 2010) notes inadequac</w:t>
      </w:r>
      <w:r w:rsidR="00DD6ACF">
        <w:t>ies</w:t>
      </w:r>
      <w:r>
        <w:t xml:space="preserve"> in assessor training and the unit of study used to accredit assessors. It looks at the practical implementation of moderation and verification procedures</w:t>
      </w:r>
      <w:r w:rsidR="00E274AA">
        <w:t>,</w:t>
      </w:r>
      <w:r>
        <w:t xml:space="preserve"> includ</w:t>
      </w:r>
      <w:r w:rsidR="007454AE">
        <w:t>ing</w:t>
      </w:r>
      <w:r>
        <w:t xml:space="preserve"> the need to reduce the pool of </w:t>
      </w:r>
      <w:r w:rsidR="00082AE2">
        <w:t>assessors</w:t>
      </w:r>
      <w:r w:rsidR="00E274AA">
        <w:t>,</w:t>
      </w:r>
      <w:r>
        <w:t xml:space="preserve"> provide ongoing professional development to maintain competency levels</w:t>
      </w:r>
      <w:r w:rsidR="00E274AA">
        <w:t>,</w:t>
      </w:r>
      <w:r>
        <w:t xml:space="preserve"> and develop </w:t>
      </w:r>
      <w:r w:rsidR="007454AE">
        <w:t xml:space="preserve">assessor </w:t>
      </w:r>
      <w:r>
        <w:t xml:space="preserve">career pathways. These issues are not unlike issues in </w:t>
      </w:r>
      <w:r w:rsidR="00DC6FA4">
        <w:t xml:space="preserve">other </w:t>
      </w:r>
      <w:r>
        <w:t xml:space="preserve">VET </w:t>
      </w:r>
      <w:r w:rsidR="00DC6FA4">
        <w:t>systems</w:t>
      </w:r>
      <w:r w:rsidR="00CF7805">
        <w:t>,</w:t>
      </w:r>
      <w:r w:rsidR="00DC6FA4">
        <w:t xml:space="preserve"> </w:t>
      </w:r>
      <w:r>
        <w:t xml:space="preserve">and the New Zealand approach could be used to inform the development of standards for the training and accreditation </w:t>
      </w:r>
      <w:r w:rsidR="007454AE">
        <w:t>of practitioners responsible for conducting assessments</w:t>
      </w:r>
      <w:r>
        <w:t xml:space="preserve">. </w:t>
      </w:r>
      <w:r w:rsidR="000977EC">
        <w:t xml:space="preserve">In Scotland there is a requirement for institutions and agencies </w:t>
      </w:r>
      <w:r w:rsidR="007D390E">
        <w:t xml:space="preserve">seeking accreditation renewals </w:t>
      </w:r>
      <w:r w:rsidR="000977EC">
        <w:t xml:space="preserve">to provide evidence </w:t>
      </w:r>
      <w:r w:rsidR="007454AE">
        <w:t xml:space="preserve">that they have referred </w:t>
      </w:r>
      <w:r w:rsidR="000977EC">
        <w:t xml:space="preserve">to </w:t>
      </w:r>
      <w:r w:rsidR="00CF7805">
        <w:t xml:space="preserve">the </w:t>
      </w:r>
      <w:r w:rsidR="00E274AA">
        <w:t>assessment strategies developed by sector skills councils</w:t>
      </w:r>
      <w:r w:rsidR="00CF7805">
        <w:t xml:space="preserve"> in their conduct of</w:t>
      </w:r>
      <w:r w:rsidR="007454AE">
        <w:t xml:space="preserve"> assessments</w:t>
      </w:r>
      <w:r w:rsidR="000977EC">
        <w:t xml:space="preserve">. </w:t>
      </w:r>
    </w:p>
    <w:p w:rsidR="00A37247" w:rsidRDefault="00A37247" w:rsidP="00555AF2">
      <w:pPr>
        <w:pStyle w:val="Text"/>
        <w:ind w:right="-143"/>
      </w:pPr>
      <w:r>
        <w:t xml:space="preserve">In Finland skills demonstrations </w:t>
      </w:r>
      <w:r w:rsidR="000977EC">
        <w:t>(</w:t>
      </w:r>
      <w:r>
        <w:t xml:space="preserve">where the performance of students is assessed by teachers and </w:t>
      </w:r>
      <w:r w:rsidR="007D390E">
        <w:t xml:space="preserve">students and </w:t>
      </w:r>
      <w:r>
        <w:t>representatives of enterprises</w:t>
      </w:r>
      <w:r w:rsidR="00E14863">
        <w:t>)</w:t>
      </w:r>
      <w:r>
        <w:t xml:space="preserve"> </w:t>
      </w:r>
      <w:r w:rsidR="00D51D8D">
        <w:t>are used</w:t>
      </w:r>
      <w:r>
        <w:t xml:space="preserve"> to confirm the validity and reliability of assessments in terms of </w:t>
      </w:r>
      <w:r w:rsidR="00E274AA">
        <w:t xml:space="preserve">the </w:t>
      </w:r>
      <w:r>
        <w:t>set objectives and levels of prof</w:t>
      </w:r>
      <w:r w:rsidR="00E274AA">
        <w:t>iciency expected in industry. The r</w:t>
      </w:r>
      <w:r>
        <w:t>esults of</w:t>
      </w:r>
      <w:r w:rsidR="00555AF2">
        <w:t> </w:t>
      </w:r>
      <w:r>
        <w:t xml:space="preserve">these skill demonstrations </w:t>
      </w:r>
      <w:r w:rsidR="005C235D">
        <w:t xml:space="preserve">for all students (not a sample of students) </w:t>
      </w:r>
      <w:r>
        <w:t>are used to indicate the quality</w:t>
      </w:r>
      <w:r w:rsidR="00555AF2">
        <w:t xml:space="preserve"> </w:t>
      </w:r>
      <w:r>
        <w:t>of the learning outcomes ac</w:t>
      </w:r>
      <w:r w:rsidR="00E274AA">
        <w:t>hieved nationally and</w:t>
      </w:r>
      <w:r>
        <w:t xml:space="preserve"> are published</w:t>
      </w:r>
      <w:r w:rsidR="005C235D">
        <w:t xml:space="preserve">. </w:t>
      </w:r>
      <w:r w:rsidR="000977EC">
        <w:t>External assessments conducted by the</w:t>
      </w:r>
      <w:r w:rsidR="00555AF2">
        <w:t> </w:t>
      </w:r>
      <w:r w:rsidR="00E274AA">
        <w:t xml:space="preserve">chambers of commerce and chambers of crafts </w:t>
      </w:r>
      <w:r w:rsidR="00AC7CA5">
        <w:t xml:space="preserve">(for traditional apprenticeships) </w:t>
      </w:r>
      <w:r w:rsidR="000977EC">
        <w:t>in Germany help to</w:t>
      </w:r>
      <w:r w:rsidR="00555AF2">
        <w:t> </w:t>
      </w:r>
      <w:r w:rsidR="000977EC">
        <w:t xml:space="preserve">provide external validation of the knowledge and skills of apprentices in </w:t>
      </w:r>
      <w:r w:rsidR="00AC7CA5">
        <w:t>the dual sector</w:t>
      </w:r>
      <w:r w:rsidR="000977EC">
        <w:t xml:space="preserve">. </w:t>
      </w:r>
    </w:p>
    <w:p w:rsidR="00943181" w:rsidRDefault="008E6EA9" w:rsidP="00943181">
      <w:pPr>
        <w:pStyle w:val="Heading2"/>
      </w:pPr>
      <w:bookmarkStart w:id="48" w:name="_Toc406514242"/>
      <w:r>
        <w:t>Involving industry and other stakeholders in decision</w:t>
      </w:r>
      <w:r w:rsidR="00A01350">
        <w:t>-</w:t>
      </w:r>
      <w:r>
        <w:t>making</w:t>
      </w:r>
      <w:bookmarkEnd w:id="48"/>
    </w:p>
    <w:p w:rsidR="006C0E4A" w:rsidRDefault="00CF7805" w:rsidP="006C0E4A">
      <w:pPr>
        <w:pStyle w:val="Text"/>
      </w:pPr>
      <w:r>
        <w:t>Consultation</w:t>
      </w:r>
      <w:r w:rsidR="00E55E24">
        <w:t xml:space="preserve"> with industry stakeholders is considered to </w:t>
      </w:r>
      <w:r w:rsidR="007D390E">
        <w:t>be a key element</w:t>
      </w:r>
      <w:r w:rsidR="00E55E24">
        <w:t xml:space="preserve"> in the development and implementation of quality systems and associated quality standards and/or objectives at both regulator and provider level</w:t>
      </w:r>
      <w:r w:rsidR="00E274AA">
        <w:t>s</w:t>
      </w:r>
      <w:r w:rsidR="00E55E24">
        <w:t>. In some countries there is a formal role for industry</w:t>
      </w:r>
      <w:r w:rsidR="00421A91">
        <w:t>,</w:t>
      </w:r>
      <w:r w:rsidR="00E55E24">
        <w:t xml:space="preserve"> not only in the </w:t>
      </w:r>
      <w:r w:rsidR="00E55E24">
        <w:lastRenderedPageBreak/>
        <w:t>setting of examinations</w:t>
      </w:r>
      <w:r w:rsidR="00421A91">
        <w:t>,</w:t>
      </w:r>
      <w:r w:rsidR="00E55E24">
        <w:t xml:space="preserve"> but also in the assessment of </w:t>
      </w:r>
      <w:r w:rsidR="00E55E24" w:rsidRPr="00EB4282">
        <w:t xml:space="preserve">outcomes. Involving </w:t>
      </w:r>
      <w:r w:rsidR="00DB0B5B" w:rsidRPr="00EB4282">
        <w:t xml:space="preserve">organisations </w:t>
      </w:r>
      <w:r w:rsidR="00E55E24" w:rsidRPr="00EB4282">
        <w:t xml:space="preserve">to be regulated in the development or reviewing of standards is also being practised </w:t>
      </w:r>
      <w:r w:rsidR="00362FDF" w:rsidRPr="00EB4282">
        <w:t xml:space="preserve">and/or </w:t>
      </w:r>
      <w:r w:rsidR="00E55E24" w:rsidRPr="00EB4282">
        <w:t xml:space="preserve">promoted. </w:t>
      </w:r>
      <w:r w:rsidR="00A01350" w:rsidRPr="00EB4282">
        <w:t xml:space="preserve">The Bruges Communiqué </w:t>
      </w:r>
      <w:r w:rsidR="00421A91" w:rsidRPr="00EB4282">
        <w:t>(European Commission 2010)</w:t>
      </w:r>
      <w:r w:rsidR="00A01350" w:rsidRPr="00EB4282">
        <w:t xml:space="preserve"> also supports</w:t>
      </w:r>
      <w:r w:rsidR="00A01350">
        <w:t xml:space="preserve"> </w:t>
      </w:r>
      <w:r w:rsidR="007454AE">
        <w:t xml:space="preserve">substantial </w:t>
      </w:r>
      <w:r w:rsidR="00A01350">
        <w:t>cooperation between national governments</w:t>
      </w:r>
      <w:r w:rsidR="007454AE">
        <w:t xml:space="preserve"> and stakeholders</w:t>
      </w:r>
      <w:r>
        <w:t>,</w:t>
      </w:r>
      <w:r w:rsidR="007454AE">
        <w:t xml:space="preserve"> including</w:t>
      </w:r>
      <w:r w:rsidR="00421A91">
        <w:t xml:space="preserve"> the</w:t>
      </w:r>
      <w:r w:rsidR="00A01350">
        <w:t xml:space="preserve"> social partners, VET providers, teachers, trainers, and learners. </w:t>
      </w:r>
      <w:r w:rsidR="006C0E4A">
        <w:t xml:space="preserve">The European Commission (2014) reports that the majority of EU member states had mechanisms in place to identify training needs for initial VET, with some also having such mechanisms in place for continuing VET. </w:t>
      </w:r>
    </w:p>
    <w:p w:rsidR="00421A91" w:rsidRDefault="00C21688" w:rsidP="00421A91">
      <w:pPr>
        <w:pStyle w:val="Heading3"/>
      </w:pPr>
      <w:r w:rsidRPr="00C21688">
        <w:t>Germany</w:t>
      </w:r>
    </w:p>
    <w:p w:rsidR="006C5A6F" w:rsidRDefault="00F741F3" w:rsidP="00555AF2">
      <w:pPr>
        <w:pStyle w:val="Textlessbefore"/>
      </w:pPr>
      <w:r>
        <w:t xml:space="preserve">A good </w:t>
      </w:r>
      <w:r w:rsidR="006C5A6F">
        <w:t>example of formal and strong involvement for industry in VET is provided by the German dual system for vocational education and training, where</w:t>
      </w:r>
      <w:r w:rsidR="007D390E">
        <w:t>by</w:t>
      </w:r>
      <w:r w:rsidR="006C5A6F">
        <w:t xml:space="preserve"> industry, government and unions (called the social partners) collaborate to </w:t>
      </w:r>
      <w:r w:rsidR="007454AE">
        <w:t>ensure</w:t>
      </w:r>
      <w:r w:rsidR="006C5A6F">
        <w:t xml:space="preserve"> qua</w:t>
      </w:r>
      <w:r w:rsidR="00421A91">
        <w:t>lity training and assessment</w:t>
      </w:r>
      <w:r w:rsidR="00223BCD">
        <w:t xml:space="preserve">. </w:t>
      </w:r>
      <w:r w:rsidR="006C5A6F">
        <w:t xml:space="preserve">Industry also works collaboratively with the federal government to develop vocational training regulations and to specify trainee occupations and the period of training. Industry </w:t>
      </w:r>
      <w:r w:rsidR="007454AE">
        <w:t>and</w:t>
      </w:r>
      <w:r w:rsidR="006C5A6F">
        <w:t xml:space="preserve"> state governments </w:t>
      </w:r>
      <w:r w:rsidR="00CF7805">
        <w:t xml:space="preserve">collaborate in the development of the </w:t>
      </w:r>
      <w:r w:rsidR="00421A91">
        <w:t xml:space="preserve">curriculum, which </w:t>
      </w:r>
      <w:r w:rsidR="006C5A6F">
        <w:t>describes the skills and knowledge to be developed as a result of the training. The Federal Institute for Vocational Educatio</w:t>
      </w:r>
      <w:r w:rsidR="00421A91">
        <w:t>n and Training</w:t>
      </w:r>
      <w:r w:rsidR="006C5A6F">
        <w:t xml:space="preserve"> performs an advisory role. </w:t>
      </w:r>
      <w:r w:rsidR="006C5A6F" w:rsidRPr="007A7AA8">
        <w:t xml:space="preserve">The </w:t>
      </w:r>
      <w:r w:rsidR="007A7AA8" w:rsidRPr="007A7AA8">
        <w:t>‘</w:t>
      </w:r>
      <w:r w:rsidR="006C5A6F" w:rsidRPr="007A7AA8">
        <w:t>chambers</w:t>
      </w:r>
      <w:r w:rsidR="007A7AA8" w:rsidRPr="007A7AA8">
        <w:t>’</w:t>
      </w:r>
      <w:r w:rsidR="006C5A6F" w:rsidRPr="007A7AA8">
        <w:t xml:space="preserve"> </w:t>
      </w:r>
      <w:r w:rsidR="00FC7A19" w:rsidRPr="007A7AA8">
        <w:t xml:space="preserve">of commerce </w:t>
      </w:r>
      <w:r w:rsidR="007A7AA8">
        <w:t xml:space="preserve">and </w:t>
      </w:r>
      <w:r w:rsidR="00FC7A19" w:rsidRPr="007A7AA8">
        <w:t>craft</w:t>
      </w:r>
      <w:r w:rsidR="00FC7A19">
        <w:t xml:space="preserve"> </w:t>
      </w:r>
      <w:r w:rsidR="006C5A6F">
        <w:t xml:space="preserve">cover occupations </w:t>
      </w:r>
      <w:r w:rsidR="00CF7805">
        <w:t>in</w:t>
      </w:r>
      <w:r w:rsidR="006C5A6F">
        <w:t xml:space="preserve"> the categories of industry and trades, craft trades, public service, liberal professions, domestic service, agriculture, and maritime and shipping. The role of the chambers is to provide advice to companies, to register trainees, to certify the technical aptitude of trainers and to hold examinations. When apprentices have completed their training, they undertake examinations set by these chambers or other </w:t>
      </w:r>
      <w:r w:rsidR="00C504E2">
        <w:t>‘</w:t>
      </w:r>
      <w:r w:rsidR="006C5A6F">
        <w:t>competent bodies</w:t>
      </w:r>
      <w:r w:rsidR="00C504E2">
        <w:t>’</w:t>
      </w:r>
      <w:r w:rsidR="006C5A6F">
        <w:t xml:space="preserve">. Such </w:t>
      </w:r>
      <w:r w:rsidR="00CF7805">
        <w:t xml:space="preserve">involvement </w:t>
      </w:r>
      <w:r w:rsidR="006C5A6F">
        <w:t>enable</w:t>
      </w:r>
      <w:r w:rsidR="00CF7805">
        <w:t>s</w:t>
      </w:r>
      <w:r w:rsidR="006C5A6F">
        <w:t xml:space="preserve"> industry to have a powerful influence on</w:t>
      </w:r>
      <w:r w:rsidR="007D390E">
        <w:t xml:space="preserve"> the</w:t>
      </w:r>
      <w:r w:rsidR="006C5A6F">
        <w:t xml:space="preserve"> curriculum. The chambers also monitor the performance of c</w:t>
      </w:r>
      <w:r w:rsidR="00CF7805">
        <w:t xml:space="preserve">ompanies providing training </w:t>
      </w:r>
      <w:r w:rsidR="006C5A6F">
        <w:t>in their districts or regions and review their ability to provide or continue to provide training. In addition, there are employee works councils</w:t>
      </w:r>
      <w:r w:rsidR="00421A91">
        <w:t>,</w:t>
      </w:r>
      <w:r w:rsidR="006C5A6F">
        <w:t xml:space="preserve"> which may also participate in the planning and conduct of vocational training and </w:t>
      </w:r>
      <w:r w:rsidR="004A53B9">
        <w:t xml:space="preserve">the </w:t>
      </w:r>
      <w:r w:rsidR="006C5A6F">
        <w:t xml:space="preserve">hiring </w:t>
      </w:r>
      <w:r w:rsidR="004A53B9">
        <w:t xml:space="preserve">of </w:t>
      </w:r>
      <w:r w:rsidR="006C5A6F">
        <w:t xml:space="preserve">trainers. Where training companies </w:t>
      </w:r>
      <w:r w:rsidR="004A53B9">
        <w:t xml:space="preserve">(especially small companies) </w:t>
      </w:r>
      <w:r w:rsidR="006C5A6F">
        <w:t>cannot provide all the training</w:t>
      </w:r>
      <w:r w:rsidR="00421A91">
        <w:t>,</w:t>
      </w:r>
      <w:r w:rsidR="006C5A6F">
        <w:t xml:space="preserve"> special training workshops give trainee</w:t>
      </w:r>
      <w:r w:rsidR="00421A91">
        <w:t>s access to these ski</w:t>
      </w:r>
      <w:r w:rsidR="004A53B9">
        <w:t>lls:</w:t>
      </w:r>
      <w:r w:rsidR="00421A91">
        <w:t xml:space="preserve"> </w:t>
      </w:r>
      <w:r w:rsidR="006C5A6F">
        <w:t xml:space="preserve">training workshops are </w:t>
      </w:r>
      <w:r w:rsidR="00421A91">
        <w:t>established</w:t>
      </w:r>
      <w:r w:rsidR="006C5A6F">
        <w:t xml:space="preserve"> by the chambers and professional associations. Small companies can also collaborate to provide joint apprenticeships. </w:t>
      </w:r>
    </w:p>
    <w:p w:rsidR="00B4557F" w:rsidRDefault="00421A91" w:rsidP="00B4557F">
      <w:pPr>
        <w:pStyle w:val="Heading2"/>
      </w:pPr>
      <w:bookmarkStart w:id="49" w:name="_Toc406514243"/>
      <w:r>
        <w:t xml:space="preserve">Reducing red </w:t>
      </w:r>
      <w:r w:rsidR="00B4557F">
        <w:t xml:space="preserve">tape and </w:t>
      </w:r>
      <w:bookmarkEnd w:id="49"/>
      <w:r w:rsidR="007D390E">
        <w:t>bureaucratic processes</w:t>
      </w:r>
    </w:p>
    <w:p w:rsidR="00B4557F" w:rsidRPr="005F59B2" w:rsidRDefault="00B4557F" w:rsidP="00B4557F">
      <w:pPr>
        <w:pStyle w:val="Text"/>
      </w:pPr>
      <w:r>
        <w:t>The</w:t>
      </w:r>
      <w:r w:rsidR="008E6EA9">
        <w:t>re is a</w:t>
      </w:r>
      <w:r>
        <w:t xml:space="preserve"> concern about too much </w:t>
      </w:r>
      <w:r w:rsidR="008E6EA9">
        <w:t>red tape and bureaucra</w:t>
      </w:r>
      <w:r w:rsidR="002E3A43">
        <w:t>tic processes</w:t>
      </w:r>
      <w:r>
        <w:t xml:space="preserve"> </w:t>
      </w:r>
      <w:r w:rsidR="008E6EA9">
        <w:t>across</w:t>
      </w:r>
      <w:r>
        <w:t xml:space="preserve"> regulatory systems </w:t>
      </w:r>
      <w:r w:rsidR="004A53B9">
        <w:t>in Australia</w:t>
      </w:r>
      <w:r w:rsidR="008E6EA9">
        <w:t xml:space="preserve"> and </w:t>
      </w:r>
      <w:r w:rsidR="004A53B9">
        <w:t>internationally</w:t>
      </w:r>
      <w:r>
        <w:t xml:space="preserve">. </w:t>
      </w:r>
      <w:r w:rsidR="004A53B9">
        <w:t>In relation to this issue</w:t>
      </w:r>
      <w:r>
        <w:t xml:space="preserve"> experts</w:t>
      </w:r>
      <w:r w:rsidRPr="00716616">
        <w:t xml:space="preserve"> </w:t>
      </w:r>
      <w:r w:rsidR="00421A91">
        <w:t>in regulatory behaviour</w:t>
      </w:r>
      <w:r>
        <w:t xml:space="preserve"> </w:t>
      </w:r>
      <w:r w:rsidR="007454AE">
        <w:t xml:space="preserve">(Braithwaite </w:t>
      </w:r>
      <w:r w:rsidR="00637506">
        <w:t>2012</w:t>
      </w:r>
      <w:r w:rsidR="007454AE">
        <w:t>,</w:t>
      </w:r>
      <w:r w:rsidR="00637506">
        <w:t xml:space="preserve"> 2010;</w:t>
      </w:r>
      <w:r w:rsidR="007454AE">
        <w:t xml:space="preserve"> </w:t>
      </w:r>
      <w:r w:rsidR="007454AE" w:rsidRPr="00EB4282">
        <w:t>Sparrow</w:t>
      </w:r>
      <w:r w:rsidR="009E442C">
        <w:t xml:space="preserve"> 2000;</w:t>
      </w:r>
      <w:r w:rsidR="007454AE">
        <w:t xml:space="preserve"> Roche</w:t>
      </w:r>
      <w:r w:rsidR="00B31400">
        <w:t xml:space="preserve"> </w:t>
      </w:r>
      <w:r w:rsidR="00637506">
        <w:t>2006</w:t>
      </w:r>
      <w:r w:rsidR="009E442C" w:rsidRPr="005F59B2">
        <w:t>;</w:t>
      </w:r>
      <w:r w:rsidR="007454AE" w:rsidRPr="005F59B2">
        <w:t xml:space="preserve"> Cowan 2007)</w:t>
      </w:r>
      <w:r w:rsidRPr="005F59B2">
        <w:t xml:space="preserve"> have recommended the application of responsive regulation</w:t>
      </w:r>
      <w:r w:rsidR="007454AE" w:rsidRPr="005F59B2">
        <w:t xml:space="preserve"> and </w:t>
      </w:r>
      <w:r w:rsidRPr="005F59B2">
        <w:t xml:space="preserve">risk-based </w:t>
      </w:r>
      <w:r w:rsidR="007454AE" w:rsidRPr="005F59B2">
        <w:t xml:space="preserve">evaluations for regulating service provision. </w:t>
      </w:r>
    </w:p>
    <w:p w:rsidR="00B4557F" w:rsidRDefault="00B4557F" w:rsidP="00B4557F">
      <w:pPr>
        <w:pStyle w:val="Text"/>
      </w:pPr>
      <w:r w:rsidRPr="005F59B2">
        <w:t xml:space="preserve">Responsive regulation is mainly </w:t>
      </w:r>
      <w:r w:rsidR="009E442C" w:rsidRPr="005F59B2">
        <w:t>concerned with</w:t>
      </w:r>
      <w:r w:rsidRPr="005F59B2">
        <w:t xml:space="preserve"> applying regulatory measures </w:t>
      </w:r>
      <w:r w:rsidR="007454AE" w:rsidRPr="005F59B2">
        <w:t>to fit</w:t>
      </w:r>
      <w:r w:rsidRPr="005F59B2">
        <w:t xml:space="preserve"> the </w:t>
      </w:r>
      <w:r w:rsidR="008E6EA9" w:rsidRPr="005F59B2">
        <w:t xml:space="preserve">compliance </w:t>
      </w:r>
      <w:r w:rsidRPr="005F59B2">
        <w:t xml:space="preserve">behaviours of regulated populations or sectors. </w:t>
      </w:r>
      <w:r w:rsidR="008E6EA9" w:rsidRPr="005F59B2">
        <w:t xml:space="preserve">A </w:t>
      </w:r>
      <w:r w:rsidR="009E442C" w:rsidRPr="005F59B2">
        <w:t>light-</w:t>
      </w:r>
      <w:r w:rsidRPr="005F59B2">
        <w:t xml:space="preserve">touch approach </w:t>
      </w:r>
      <w:r w:rsidR="008E6EA9" w:rsidRPr="005F59B2">
        <w:t xml:space="preserve">is </w:t>
      </w:r>
      <w:r w:rsidRPr="005F59B2">
        <w:t>characterised by increasingly more favourable treatment for compliant behaviour and increasingly more severe sanct</w:t>
      </w:r>
      <w:r w:rsidR="009E442C" w:rsidRPr="005F59B2">
        <w:t>ions for transgressions. A firm-</w:t>
      </w:r>
      <w:r w:rsidRPr="005F59B2">
        <w:t>touch approach is characterised by punitive measures</w:t>
      </w:r>
      <w:r w:rsidR="00396A10" w:rsidRPr="005F59B2">
        <w:t>, especially</w:t>
      </w:r>
      <w:r w:rsidRPr="005F59B2">
        <w:t xml:space="preserve"> for unacceptable tr</w:t>
      </w:r>
      <w:r w:rsidR="009E442C" w:rsidRPr="005F59B2">
        <w:t>ansgressions. The general light-</w:t>
      </w:r>
      <w:r w:rsidRPr="005F59B2">
        <w:t xml:space="preserve">touch practice </w:t>
      </w:r>
      <w:r w:rsidR="009E442C" w:rsidRPr="005F59B2">
        <w:t>involves addressing</w:t>
      </w:r>
      <w:r w:rsidRPr="005F59B2">
        <w:t xml:space="preserve"> non-compliant behaviour (</w:t>
      </w:r>
      <w:r w:rsidR="004A53B9" w:rsidRPr="005F59B2">
        <w:t>with the exception of</w:t>
      </w:r>
      <w:r w:rsidRPr="005F59B2">
        <w:t xml:space="preserve"> unacceptable transgressions) when it first appears</w:t>
      </w:r>
      <w:r w:rsidR="009E442C" w:rsidRPr="005F59B2">
        <w:t xml:space="preserve"> through</w:t>
      </w:r>
      <w:r w:rsidRPr="005F59B2">
        <w:t xml:space="preserve"> efforts to understand why the behaviour is occurring and to provide support to </w:t>
      </w:r>
      <w:r w:rsidR="004A53B9" w:rsidRPr="005F59B2">
        <w:t>return</w:t>
      </w:r>
      <w:r w:rsidRPr="005F59B2">
        <w:t xml:space="preserve"> the behaviour</w:t>
      </w:r>
      <w:r w:rsidR="009E442C" w:rsidRPr="005F59B2">
        <w:t xml:space="preserve"> </w:t>
      </w:r>
      <w:r w:rsidR="004A53B9" w:rsidRPr="005F59B2">
        <w:t>to that required</w:t>
      </w:r>
      <w:r w:rsidRPr="005F59B2">
        <w:t xml:space="preserve">. Such an approach depends on clarity of purpose, transparency of expectations, trust between regulators and the communities they regulate, and clearly defined and consistently applied regulatory sanctions of increasing severity for transgressions. The application of these approaches is </w:t>
      </w:r>
      <w:r w:rsidRPr="005F59B2">
        <w:lastRenderedPageBreak/>
        <w:t xml:space="preserve">promoted as helping to reduce both regulatory effort and </w:t>
      </w:r>
      <w:r w:rsidR="009E442C" w:rsidRPr="005F59B2">
        <w:t xml:space="preserve">the </w:t>
      </w:r>
      <w:r w:rsidRPr="005F59B2">
        <w:t>costs of compliance. Nevertheless</w:t>
      </w:r>
      <w:r w:rsidR="009E442C" w:rsidRPr="005F59B2">
        <w:t>,</w:t>
      </w:r>
      <w:r w:rsidRPr="005F59B2">
        <w:t xml:space="preserve"> there are circumstances where the firm touch, that is punitive </w:t>
      </w:r>
      <w:r w:rsidR="004A53B9" w:rsidRPr="005F59B2">
        <w:t>action</w:t>
      </w:r>
      <w:r w:rsidRPr="005F59B2">
        <w:t>, is applied for unacceptable transgressions. Cowan (2007)</w:t>
      </w:r>
      <w:r w:rsidR="00A45AC1" w:rsidRPr="005F59B2">
        <w:t xml:space="preserve"> </w:t>
      </w:r>
      <w:r w:rsidRPr="005F59B2">
        <w:t xml:space="preserve">claims that </w:t>
      </w:r>
      <w:r w:rsidR="007454AE" w:rsidRPr="005F59B2">
        <w:t xml:space="preserve">a light-handed approach </w:t>
      </w:r>
      <w:r w:rsidRPr="005F59B2">
        <w:t>saves on the costs of more prescriptive regulation. He also makes the point that the threat of regulation may achieve what a regulator might want to achieve, wit</w:t>
      </w:r>
      <w:r>
        <w:t>hout actual</w:t>
      </w:r>
      <w:r w:rsidR="00637506">
        <w:t>ly</w:t>
      </w:r>
      <w:r>
        <w:t xml:space="preserve"> regulating for it. The</w:t>
      </w:r>
      <w:r w:rsidR="009E442C">
        <w:t xml:space="preserve"> downside to this light-</w:t>
      </w:r>
      <w:r>
        <w:t xml:space="preserve">touch regulation is that </w:t>
      </w:r>
      <w:r w:rsidR="009E442C">
        <w:t>the</w:t>
      </w:r>
      <w:r>
        <w:t xml:space="preserve"> regulated parties </w:t>
      </w:r>
      <w:r w:rsidR="009E442C">
        <w:t xml:space="preserve">cannot be relied upon </w:t>
      </w:r>
      <w:r>
        <w:t xml:space="preserve">to </w:t>
      </w:r>
      <w:r w:rsidR="004A53B9">
        <w:t xml:space="preserve">abide </w:t>
      </w:r>
      <w:r>
        <w:t xml:space="preserve">by the rules to achieve efficient outcomes. </w:t>
      </w:r>
    </w:p>
    <w:p w:rsidR="00396A10" w:rsidRDefault="00396A10" w:rsidP="00396A10">
      <w:pPr>
        <w:pStyle w:val="Text"/>
      </w:pPr>
      <w:r>
        <w:t xml:space="preserve">The adoption of risk-based approaches </w:t>
      </w:r>
      <w:r w:rsidR="00B31400">
        <w:t>is</w:t>
      </w:r>
      <w:r>
        <w:t xml:space="preserve"> commonly applied in domestic and overseas quality assurance systems and regulatory frameworks</w:t>
      </w:r>
      <w:r w:rsidR="00B31400">
        <w:t xml:space="preserve">. </w:t>
      </w:r>
      <w:r w:rsidR="009E442C">
        <w:t>This approach</w:t>
      </w:r>
      <w:r w:rsidR="00B31400">
        <w:t xml:space="preserve"> represents a </w:t>
      </w:r>
      <w:r>
        <w:t xml:space="preserve">practical solution </w:t>
      </w:r>
      <w:r w:rsidR="009E442C">
        <w:t>to r</w:t>
      </w:r>
      <w:r w:rsidR="004A53B9">
        <w:t>educing regulatory burden;</w:t>
      </w:r>
      <w:r w:rsidR="009E442C">
        <w:t xml:space="preserve"> t</w:t>
      </w:r>
      <w:r>
        <w:t xml:space="preserve">he streamlining of standards may be </w:t>
      </w:r>
      <w:r w:rsidRPr="00EB4282">
        <w:t xml:space="preserve">another. The first is dependent on </w:t>
      </w:r>
      <w:r w:rsidR="00571134" w:rsidRPr="00EB4282">
        <w:t xml:space="preserve">regulators </w:t>
      </w:r>
      <w:r w:rsidRPr="00EB4282">
        <w:t xml:space="preserve">having sufficient information for identifying high and low risk; the second </w:t>
      </w:r>
      <w:r w:rsidR="00571134" w:rsidRPr="00EB4282">
        <w:t xml:space="preserve">requires </w:t>
      </w:r>
      <w:r w:rsidRPr="00EB4282">
        <w:t>a</w:t>
      </w:r>
      <w:r>
        <w:t xml:space="preserve"> clear and exhaustive picture of all of the other standards and regulatory requirements that might apply. It is also important to understand whether condensing standards in the pursuit of </w:t>
      </w:r>
      <w:r w:rsidR="00C504E2">
        <w:t>‘</w:t>
      </w:r>
      <w:r>
        <w:t>streamlining</w:t>
      </w:r>
      <w:r w:rsidR="00C504E2">
        <w:t>’</w:t>
      </w:r>
      <w:r>
        <w:t xml:space="preserve"> may introduce more rather than less complexity. </w:t>
      </w:r>
    </w:p>
    <w:p w:rsidR="00F309AF" w:rsidRDefault="00854A5F" w:rsidP="00F309AF">
      <w:pPr>
        <w:pStyle w:val="Text"/>
      </w:pPr>
      <w:r>
        <w:t>The assessment of risk and the application of sanctions and rewards (</w:t>
      </w:r>
      <w:r w:rsidR="00F309AF">
        <w:t xml:space="preserve">for example, autonomy for colleges </w:t>
      </w:r>
      <w:r>
        <w:t xml:space="preserve">to run their own affairs) </w:t>
      </w:r>
      <w:r w:rsidR="004A53B9">
        <w:t>are</w:t>
      </w:r>
      <w:r w:rsidR="002E3389">
        <w:t xml:space="preserve"> </w:t>
      </w:r>
      <w:r w:rsidR="00396A10">
        <w:t xml:space="preserve">supported </w:t>
      </w:r>
      <w:r w:rsidR="00F309AF">
        <w:t xml:space="preserve">in the study conducted by </w:t>
      </w:r>
      <w:proofErr w:type="spellStart"/>
      <w:r w:rsidR="00F309AF">
        <w:t>Collinson</w:t>
      </w:r>
      <w:proofErr w:type="spellEnd"/>
      <w:r w:rsidR="00F309AF">
        <w:t xml:space="preserve"> (2009)</w:t>
      </w:r>
      <w:r w:rsidR="009E442C">
        <w:t>,</w:t>
      </w:r>
      <w:r w:rsidR="00F309AF">
        <w:t xml:space="preserve"> which found that </w:t>
      </w:r>
      <w:r w:rsidR="002D1643">
        <w:t xml:space="preserve">responding </w:t>
      </w:r>
      <w:r w:rsidR="009E442C">
        <w:t xml:space="preserve">further education college </w:t>
      </w:r>
      <w:r w:rsidR="00637506">
        <w:t xml:space="preserve">principals </w:t>
      </w:r>
      <w:r w:rsidR="00396A10">
        <w:t>i</w:t>
      </w:r>
      <w:r w:rsidR="009E442C">
        <w:t xml:space="preserve">n the United Kingdom </w:t>
      </w:r>
      <w:r w:rsidR="00F309AF">
        <w:t>believed that a college</w:t>
      </w:r>
      <w:r w:rsidR="00C504E2">
        <w:t>’</w:t>
      </w:r>
      <w:r w:rsidR="00F309AF">
        <w:t xml:space="preserve">s compliance history should be taken into account to </w:t>
      </w:r>
      <w:r w:rsidR="00396A10">
        <w:t>determine the</w:t>
      </w:r>
      <w:r w:rsidR="004A53B9">
        <w:t>ir</w:t>
      </w:r>
      <w:r w:rsidR="00396A10">
        <w:t xml:space="preserve"> level of future regulation and monitoring. </w:t>
      </w:r>
      <w:r w:rsidR="00F309AF">
        <w:t>Colleges found</w:t>
      </w:r>
      <w:r w:rsidR="00396A10">
        <w:t xml:space="preserve"> to </w:t>
      </w:r>
      <w:r>
        <w:t xml:space="preserve">meet or exceed </w:t>
      </w:r>
      <w:r w:rsidR="00396A10">
        <w:t xml:space="preserve">regulatory </w:t>
      </w:r>
      <w:r>
        <w:t xml:space="preserve">standards </w:t>
      </w:r>
      <w:r w:rsidR="00396A10">
        <w:t xml:space="preserve">should </w:t>
      </w:r>
      <w:r w:rsidR="002E3A43">
        <w:t>have autonomy</w:t>
      </w:r>
      <w:r w:rsidR="00396A10">
        <w:t xml:space="preserve"> to </w:t>
      </w:r>
      <w:r w:rsidR="00F309AF">
        <w:t xml:space="preserve">run </w:t>
      </w:r>
      <w:r>
        <w:t xml:space="preserve">their own affairs; </w:t>
      </w:r>
      <w:r w:rsidR="00F309AF">
        <w:t xml:space="preserve">colleges found not to meet the standards </w:t>
      </w:r>
      <w:r w:rsidR="002D1643">
        <w:t xml:space="preserve">should </w:t>
      </w:r>
      <w:r w:rsidR="00F309AF">
        <w:t xml:space="preserve">receive </w:t>
      </w:r>
      <w:r>
        <w:t>help</w:t>
      </w:r>
      <w:r w:rsidR="00F309AF">
        <w:t xml:space="preserve"> from peers</w:t>
      </w:r>
      <w:r>
        <w:t xml:space="preserve"> (acting as critical friends) or </w:t>
      </w:r>
      <w:r w:rsidR="002D1643">
        <w:t>be</w:t>
      </w:r>
      <w:r>
        <w:t xml:space="preserve"> required to have professional intervention. Serious transgressions </w:t>
      </w:r>
      <w:r w:rsidR="002D1643">
        <w:t>would r</w:t>
      </w:r>
      <w:r>
        <w:t xml:space="preserve">equire more serious action by regulators. Such examples have direct relevance </w:t>
      </w:r>
      <w:r w:rsidRPr="00FC7A19">
        <w:t xml:space="preserve">for VET </w:t>
      </w:r>
      <w:r w:rsidR="002E3A43" w:rsidRPr="00FC7A19">
        <w:t>with their</w:t>
      </w:r>
      <w:r w:rsidRPr="00FC7A19">
        <w:t xml:space="preserve"> </w:t>
      </w:r>
      <w:r w:rsidR="00FC7A19" w:rsidRPr="00FC7A19">
        <w:t xml:space="preserve">combination of </w:t>
      </w:r>
      <w:r w:rsidRPr="00FC7A19">
        <w:t>self-regulation</w:t>
      </w:r>
      <w:r w:rsidR="004A53B9" w:rsidRPr="00FC7A19">
        <w:t>,</w:t>
      </w:r>
      <w:r w:rsidRPr="00FC7A19">
        <w:t xml:space="preserve"> backed up by collaboration with </w:t>
      </w:r>
      <w:r w:rsidR="004A53B9" w:rsidRPr="00FC7A19">
        <w:t>critical friends, and</w:t>
      </w:r>
      <w:r>
        <w:t xml:space="preserve"> external accountability.</w:t>
      </w:r>
      <w:r w:rsidR="002D1643">
        <w:t xml:space="preserve"> Risk</w:t>
      </w:r>
      <w:r w:rsidR="00F309AF">
        <w:t>-based approach</w:t>
      </w:r>
      <w:r w:rsidR="002D1643">
        <w:t>es such as these</w:t>
      </w:r>
      <w:r w:rsidR="00F309AF">
        <w:t xml:space="preserve"> ensure that complying providers are not subject to unnecessary regulatory burden and </w:t>
      </w:r>
      <w:r w:rsidR="002E3389">
        <w:t>that</w:t>
      </w:r>
      <w:r w:rsidR="004A53B9">
        <w:t xml:space="preserve"> </w:t>
      </w:r>
      <w:r w:rsidR="00F309AF">
        <w:t xml:space="preserve">resources </w:t>
      </w:r>
      <w:r w:rsidR="002E3389">
        <w:t xml:space="preserve">are concentrated </w:t>
      </w:r>
      <w:r w:rsidR="00F309AF">
        <w:t xml:space="preserve">where they are most needed. The identification of </w:t>
      </w:r>
      <w:r w:rsidR="004A53B9">
        <w:t xml:space="preserve">the </w:t>
      </w:r>
      <w:r w:rsidR="00F309AF">
        <w:t>key risk factors helps regulators to establish audit or review schedules and to focus reviews on specific issues.</w:t>
      </w:r>
      <w:r w:rsidR="00F309AF" w:rsidRPr="00F309AF">
        <w:t xml:space="preserve"> </w:t>
      </w:r>
    </w:p>
    <w:p w:rsidR="00E55E24" w:rsidRDefault="00E55E24" w:rsidP="00E55E24">
      <w:pPr>
        <w:pStyle w:val="Text"/>
      </w:pPr>
      <w:r>
        <w:t>The Florida Department of Education in the U</w:t>
      </w:r>
      <w:r w:rsidR="00047C6C">
        <w:t>nited States</w:t>
      </w:r>
      <w:r w:rsidR="0067755B">
        <w:rPr>
          <w:rStyle w:val="FootnoteReference"/>
        </w:rPr>
        <w:footnoteReference w:id="34"/>
      </w:r>
      <w:r>
        <w:t xml:space="preserve"> </w:t>
      </w:r>
      <w:r w:rsidR="002E3389">
        <w:t>explains</w:t>
      </w:r>
      <w:r>
        <w:t xml:space="preserve"> how </w:t>
      </w:r>
      <w:r w:rsidR="002E3389">
        <w:t>it</w:t>
      </w:r>
      <w:r>
        <w:t xml:space="preserve"> applies a risk-based rating system to monitor </w:t>
      </w:r>
      <w:r w:rsidR="002E3389">
        <w:t xml:space="preserve">the </w:t>
      </w:r>
      <w:r>
        <w:t xml:space="preserve">compliance </w:t>
      </w:r>
      <w:r w:rsidR="002E3389">
        <w:t xml:space="preserve">of public providers of career and technical education (VET) and adult education </w:t>
      </w:r>
      <w:r>
        <w:t xml:space="preserve">with state and federal funding requirements. A </w:t>
      </w:r>
      <w:r w:rsidRPr="004F58CF">
        <w:rPr>
          <w:bCs/>
          <w:szCs w:val="19"/>
        </w:rPr>
        <w:t xml:space="preserve">risk rating </w:t>
      </w:r>
      <w:r>
        <w:rPr>
          <w:bCs/>
          <w:szCs w:val="19"/>
        </w:rPr>
        <w:t xml:space="preserve">is assigned </w:t>
      </w:r>
      <w:r w:rsidRPr="004F58CF">
        <w:rPr>
          <w:bCs/>
          <w:szCs w:val="19"/>
        </w:rPr>
        <w:t>to each provider</w:t>
      </w:r>
      <w:r w:rsidR="00047C6C">
        <w:rPr>
          <w:bCs/>
          <w:szCs w:val="19"/>
        </w:rPr>
        <w:t>, based on some pre</w:t>
      </w:r>
      <w:r w:rsidRPr="004F58CF">
        <w:rPr>
          <w:bCs/>
          <w:szCs w:val="19"/>
        </w:rPr>
        <w:t>determined risk factors</w:t>
      </w:r>
      <w:r>
        <w:rPr>
          <w:bCs/>
          <w:szCs w:val="19"/>
        </w:rPr>
        <w:t xml:space="preserve">, and this risk rating is used to identify </w:t>
      </w:r>
      <w:r w:rsidRPr="004F58CF">
        <w:rPr>
          <w:bCs/>
          <w:szCs w:val="19"/>
        </w:rPr>
        <w:t>appropriate monitoring strateg</w:t>
      </w:r>
      <w:r>
        <w:rPr>
          <w:bCs/>
          <w:szCs w:val="19"/>
        </w:rPr>
        <w:t xml:space="preserve">ies. </w:t>
      </w:r>
      <w:r w:rsidRPr="004F58CF">
        <w:rPr>
          <w:bCs/>
          <w:szCs w:val="19"/>
        </w:rPr>
        <w:t xml:space="preserve">The risk factors </w:t>
      </w:r>
      <w:r>
        <w:rPr>
          <w:bCs/>
          <w:szCs w:val="19"/>
        </w:rPr>
        <w:t>include volume of learning</w:t>
      </w:r>
      <w:r w:rsidR="0067755B">
        <w:rPr>
          <w:bCs/>
          <w:szCs w:val="19"/>
        </w:rPr>
        <w:t xml:space="preserve"> (higher funding equals higher risk)</w:t>
      </w:r>
      <w:r>
        <w:rPr>
          <w:bCs/>
          <w:szCs w:val="19"/>
        </w:rPr>
        <w:t>, number of programs</w:t>
      </w:r>
      <w:r w:rsidR="0067755B">
        <w:rPr>
          <w:bCs/>
          <w:szCs w:val="19"/>
        </w:rPr>
        <w:t xml:space="preserve"> (higher number equals higher risk)</w:t>
      </w:r>
      <w:r>
        <w:rPr>
          <w:bCs/>
          <w:szCs w:val="19"/>
        </w:rPr>
        <w:t>, complexity of grants</w:t>
      </w:r>
      <w:r w:rsidR="0067755B">
        <w:rPr>
          <w:bCs/>
          <w:szCs w:val="19"/>
        </w:rPr>
        <w:t xml:space="preserve"> (consortia of grantees equals higher risk)</w:t>
      </w:r>
      <w:r>
        <w:rPr>
          <w:bCs/>
          <w:szCs w:val="19"/>
        </w:rPr>
        <w:t xml:space="preserve">, </w:t>
      </w:r>
      <w:r w:rsidR="0067755B">
        <w:rPr>
          <w:bCs/>
          <w:szCs w:val="19"/>
        </w:rPr>
        <w:t xml:space="preserve">number of grants with 10% </w:t>
      </w:r>
      <w:r>
        <w:rPr>
          <w:bCs/>
          <w:szCs w:val="19"/>
        </w:rPr>
        <w:t xml:space="preserve">proportion of </w:t>
      </w:r>
      <w:r w:rsidR="002D1643">
        <w:rPr>
          <w:bCs/>
          <w:szCs w:val="19"/>
        </w:rPr>
        <w:t xml:space="preserve">funds </w:t>
      </w:r>
      <w:r>
        <w:rPr>
          <w:bCs/>
          <w:szCs w:val="19"/>
        </w:rPr>
        <w:t xml:space="preserve">unspent </w:t>
      </w:r>
      <w:r w:rsidR="0067755B">
        <w:rPr>
          <w:bCs/>
          <w:szCs w:val="19"/>
        </w:rPr>
        <w:t>(more such grants equals higher risk)</w:t>
      </w:r>
      <w:r>
        <w:rPr>
          <w:bCs/>
          <w:szCs w:val="19"/>
        </w:rPr>
        <w:t>, results of prior reviews</w:t>
      </w:r>
      <w:r w:rsidR="0067755B">
        <w:rPr>
          <w:bCs/>
          <w:szCs w:val="19"/>
        </w:rPr>
        <w:t xml:space="preserve"> (negative findings equals higher risk)</w:t>
      </w:r>
      <w:r>
        <w:rPr>
          <w:bCs/>
          <w:szCs w:val="19"/>
        </w:rPr>
        <w:t>, and number of uncorrected actions</w:t>
      </w:r>
      <w:r w:rsidR="0067755B">
        <w:rPr>
          <w:bCs/>
          <w:szCs w:val="19"/>
        </w:rPr>
        <w:t xml:space="preserve"> (</w:t>
      </w:r>
      <w:r w:rsidR="0067755B">
        <w:t xml:space="preserve">history of repeated and uncorrected actions equals greater risk). </w:t>
      </w:r>
    </w:p>
    <w:p w:rsidR="00AD303E" w:rsidRDefault="002E3389" w:rsidP="0067755B">
      <w:pPr>
        <w:pStyle w:val="Text"/>
      </w:pPr>
      <w:r>
        <w:t>A r</w:t>
      </w:r>
      <w:r w:rsidR="00AD303E">
        <w:t xml:space="preserve">isk-based approach to inspection is also employed by the </w:t>
      </w:r>
      <w:r w:rsidR="007A2240">
        <w:t xml:space="preserve">province of </w:t>
      </w:r>
      <w:r w:rsidR="00AD303E">
        <w:t xml:space="preserve">Ontario </w:t>
      </w:r>
      <w:r w:rsidR="007A2240">
        <w:t xml:space="preserve">in Canada </w:t>
      </w:r>
      <w:r w:rsidR="00AD303E">
        <w:t>to monitor the performance of its private career colleges. The risk factors included: newly registered priv</w:t>
      </w:r>
      <w:r w:rsidR="00047C6C">
        <w:t>ate career colleges;</w:t>
      </w:r>
      <w:r w:rsidR="00AD303E">
        <w:t xml:space="preserve"> colleges </w:t>
      </w:r>
      <w:r w:rsidR="00047C6C">
        <w:t>submitting</w:t>
      </w:r>
      <w:r w:rsidR="00AD303E">
        <w:t xml:space="preserve"> problematic audited financial statements for the Ontario Student </w:t>
      </w:r>
      <w:r w:rsidR="00047C6C">
        <w:t>Assistance Program;</w:t>
      </w:r>
      <w:r w:rsidR="00AD303E">
        <w:t xml:space="preserve"> colleges with a large i</w:t>
      </w:r>
      <w:r w:rsidR="00047C6C">
        <w:t>nternational student population;</w:t>
      </w:r>
      <w:r w:rsidR="00AD303E">
        <w:t xml:space="preserve"> colleges providing truck d</w:t>
      </w:r>
      <w:r w:rsidR="00047C6C">
        <w:t>riving/heavy equipment training;</w:t>
      </w:r>
      <w:r w:rsidR="00AD303E">
        <w:t xml:space="preserve"> colleges of</w:t>
      </w:r>
      <w:r w:rsidR="00047C6C">
        <w:t>fering dental hygiene programs;</w:t>
      </w:r>
      <w:r w:rsidR="00AD303E">
        <w:t xml:space="preserve"> colleges with a high volume of student complaints, and colleges with a history of non-compliance</w:t>
      </w:r>
      <w:r w:rsidR="0045442F">
        <w:t xml:space="preserve"> (Ontario case study in </w:t>
      </w:r>
      <w:r w:rsidR="00EC7F98" w:rsidRPr="00EB4282">
        <w:t>Australian</w:t>
      </w:r>
      <w:r w:rsidR="00571134" w:rsidRPr="00EB4282">
        <w:t xml:space="preserve"> </w:t>
      </w:r>
      <w:r w:rsidR="0045442F" w:rsidRPr="00EB4282">
        <w:t>Government 2009</w:t>
      </w:r>
      <w:r w:rsidR="00047C6C" w:rsidRPr="00EB4282">
        <w:t>,</w:t>
      </w:r>
      <w:r w:rsidR="0045442F" w:rsidRPr="00EB4282">
        <w:t xml:space="preserve"> p</w:t>
      </w:r>
      <w:r w:rsidR="00047C6C" w:rsidRPr="00EB4282">
        <w:t>.</w:t>
      </w:r>
      <w:r w:rsidR="0045442F" w:rsidRPr="00EB4282">
        <w:t>79)</w:t>
      </w:r>
      <w:r w:rsidR="00AD303E" w:rsidRPr="00EB4282">
        <w:t>.</w:t>
      </w:r>
      <w:r w:rsidR="00AD303E">
        <w:t xml:space="preserve"> </w:t>
      </w:r>
    </w:p>
    <w:p w:rsidR="00281357" w:rsidRDefault="00281357" w:rsidP="00281357">
      <w:pPr>
        <w:pStyle w:val="Text"/>
      </w:pPr>
      <w:r>
        <w:lastRenderedPageBreak/>
        <w:t xml:space="preserve">The embedding of minimum requirements (compliance with employment-related regulations and industry codes of practice) into government procurement contracts is another example of how regulatory burden can be </w:t>
      </w:r>
      <w:r w:rsidRPr="00EB4282">
        <w:t xml:space="preserve">reduced (Howe </w:t>
      </w:r>
      <w:r w:rsidR="00047C6C" w:rsidRPr="00EB4282">
        <w:t>&amp;</w:t>
      </w:r>
      <w:r w:rsidRPr="00EB4282">
        <w:t xml:space="preserve"> Landau 2009</w:t>
      </w:r>
      <w:r w:rsidR="00736E30" w:rsidRPr="00EB4282">
        <w:t>). C</w:t>
      </w:r>
      <w:r w:rsidRPr="00EB4282">
        <w:t>ontracts</w:t>
      </w:r>
      <w:r>
        <w:t xml:space="preserve"> can be used to regulate other activities </w:t>
      </w:r>
      <w:r w:rsidR="00047C6C">
        <w:t>such as</w:t>
      </w:r>
      <w:r>
        <w:t xml:space="preserve"> labour standards. As well as helping to reduce the burden of regulation, these regulatory mechanisms can also </w:t>
      </w:r>
      <w:r w:rsidR="00736E30">
        <w:t>assist in</w:t>
      </w:r>
      <w:r>
        <w:t xml:space="preserve"> decisions on who can or can</w:t>
      </w:r>
      <w:r w:rsidR="00854A5F">
        <w:t xml:space="preserve">not gain government contracts. </w:t>
      </w:r>
    </w:p>
    <w:p w:rsidR="008E41E3" w:rsidRDefault="008E41E3" w:rsidP="008E41E3">
      <w:pPr>
        <w:pStyle w:val="Text"/>
      </w:pPr>
      <w:r>
        <w:t xml:space="preserve">In </w:t>
      </w:r>
      <w:r w:rsidRPr="00C27EA6">
        <w:t xml:space="preserve">2014 </w:t>
      </w:r>
      <w:proofErr w:type="spellStart"/>
      <w:r w:rsidRPr="00C27EA6">
        <w:t>Ofqual</w:t>
      </w:r>
      <w:proofErr w:type="spellEnd"/>
      <w:r w:rsidR="00224BD9" w:rsidRPr="00C27EA6">
        <w:t>,</w:t>
      </w:r>
      <w:r>
        <w:t xml:space="preserve"> the </w:t>
      </w:r>
      <w:r w:rsidR="00224BD9">
        <w:t>United Kingdom</w:t>
      </w:r>
      <w:r w:rsidR="00C504E2">
        <w:t>’</w:t>
      </w:r>
      <w:r w:rsidR="00224BD9">
        <w:t>s vocational education regulator,</w:t>
      </w:r>
      <w:r>
        <w:t xml:space="preserve"> announced that it was re-assessing </w:t>
      </w:r>
      <w:r w:rsidR="00224BD9">
        <w:t>its</w:t>
      </w:r>
      <w:r>
        <w:t xml:space="preserve"> regulations to ensure that the system awarded </w:t>
      </w:r>
      <w:r w:rsidR="00736E30">
        <w:t>high-</w:t>
      </w:r>
      <w:r>
        <w:t xml:space="preserve">quality qualifications. </w:t>
      </w:r>
      <w:proofErr w:type="spellStart"/>
      <w:r w:rsidR="00736E30">
        <w:t>Ofqual</w:t>
      </w:r>
      <w:proofErr w:type="spellEnd"/>
      <w:r>
        <w:t xml:space="preserve"> also noted its intention to remove organisations that did not comply. It stated:</w:t>
      </w:r>
      <w:r w:rsidR="004928F1">
        <w:t xml:space="preserve"> </w:t>
      </w:r>
    </w:p>
    <w:p w:rsidR="008E41E3" w:rsidRDefault="00224BD9" w:rsidP="00555AF2">
      <w:pPr>
        <w:pStyle w:val="Quote"/>
      </w:pPr>
      <w:r>
        <w:t>W</w:t>
      </w:r>
      <w:r w:rsidR="008E41E3" w:rsidRPr="0003696E">
        <w:t>e are strengthening the way we regulate to help improve the quality of qualifications. We will change the rules so that they promote good qualifications that we can all trust and value, and make it much harder for awarding organisations to get away with poor quality: we will consult on these changes in the spring. Where awarding organisations already offer good, valued qualifications, we will not force them to change for the sake of it. We also intend to make sure that all of the organisations we regulate take responsibility and properly focus on the quality of the qualifications; where they fail to do so we will take firm action. We will meet each of the awarding organisations to set out the detail of our plans and provide more guidance to enable them, where necessary, to improve the qualifications they offer.</w:t>
      </w:r>
      <w:r w:rsidR="008E41E3">
        <w:t xml:space="preserve"> </w:t>
      </w:r>
      <w:r w:rsidR="008E41E3" w:rsidRPr="0003696E">
        <w:t>We expect the organisations we regulate to consider carefully whether all the qualifications they offer are truly valid and reliable. Where they do not have this confidence they should consider whether the qualification should continue to be offered or how the shortcomings can be addressed to improve the quality</w:t>
      </w:r>
      <w:r w:rsidR="008E41E3">
        <w:t>.</w:t>
      </w:r>
    </w:p>
    <w:p w:rsidR="008E41E3" w:rsidRDefault="001179EB" w:rsidP="00AE7F42">
      <w:pPr>
        <w:pStyle w:val="Heading2"/>
      </w:pPr>
      <w:bookmarkStart w:id="50" w:name="_Toc406514244"/>
      <w:r>
        <w:t xml:space="preserve">Self-assessments </w:t>
      </w:r>
      <w:r w:rsidR="00120037">
        <w:t>combine</w:t>
      </w:r>
      <w:r w:rsidR="002E3A43">
        <w:t>d</w:t>
      </w:r>
      <w:r w:rsidR="00120037">
        <w:t xml:space="preserve"> with </w:t>
      </w:r>
      <w:r w:rsidR="00AE7F42">
        <w:t xml:space="preserve">external </w:t>
      </w:r>
      <w:r w:rsidR="00120037">
        <w:t>regulation</w:t>
      </w:r>
      <w:bookmarkEnd w:id="50"/>
    </w:p>
    <w:p w:rsidR="008E41E3" w:rsidRDefault="008E41E3" w:rsidP="00555AF2">
      <w:pPr>
        <w:pStyle w:val="Text"/>
      </w:pPr>
      <w:r>
        <w:t xml:space="preserve">Reviews or audits of institutional performance at regular or targeted periods are common </w:t>
      </w:r>
      <w:r w:rsidR="00224BD9">
        <w:t>approaches</w:t>
      </w:r>
      <w:r>
        <w:t xml:space="preserve"> for ensuring the quality of a training system and </w:t>
      </w:r>
      <w:r w:rsidR="00736E30">
        <w:t>the</w:t>
      </w:r>
      <w:r>
        <w:t xml:space="preserve"> products (including qualifications) it delivers. In some systems (used by a</w:t>
      </w:r>
      <w:r w:rsidR="00D55949">
        <w:t>ccreditation agencies in the US</w:t>
      </w:r>
      <w:r>
        <w:t xml:space="preserve">) reviews may precede the awarding </w:t>
      </w:r>
      <w:r w:rsidR="00D55949">
        <w:t>of initial accreditation status</w:t>
      </w:r>
      <w:r>
        <w:t xml:space="preserve"> and </w:t>
      </w:r>
      <w:r w:rsidR="00D55949">
        <w:t>occur</w:t>
      </w:r>
      <w:r>
        <w:t xml:space="preserve"> </w:t>
      </w:r>
      <w:r w:rsidR="00D55949">
        <w:t xml:space="preserve">again </w:t>
      </w:r>
      <w:r>
        <w:t>at requests for continuing accreditation. In some systems a combination of internal reviews (generally resulting in a self-study report) and external reviews (conducted by auditors from external accreditation agencies or government regulators)</w:t>
      </w:r>
      <w:r w:rsidR="00D55949">
        <w:t xml:space="preserve"> is used</w:t>
      </w:r>
      <w:r>
        <w:t>. Internal reviews generally precede external ones. Where required</w:t>
      </w:r>
      <w:r w:rsidR="00D55949">
        <w:t>,</w:t>
      </w:r>
      <w:r>
        <w:t xml:space="preserve"> the external review will make recommendations for improvement or for compliance with standards. </w:t>
      </w:r>
      <w:r w:rsidR="00A0237A">
        <w:t xml:space="preserve">There are also legislated requirements for self-assessments. </w:t>
      </w:r>
    </w:p>
    <w:p w:rsidR="00736E30" w:rsidRDefault="00D55949" w:rsidP="00555AF2">
      <w:pPr>
        <w:pStyle w:val="Text"/>
      </w:pPr>
      <w:r>
        <w:t>C</w:t>
      </w:r>
      <w:r w:rsidR="008E41E3">
        <w:t>ombining self-assessment or self-review processes with external review</w:t>
      </w:r>
      <w:r w:rsidR="00A0237A">
        <w:t>s</w:t>
      </w:r>
      <w:r w:rsidR="008E41E3">
        <w:t xml:space="preserve"> by regulators and other third parties is also promoted as a way of reducing unnecessary burden. In other systems </w:t>
      </w:r>
      <w:r w:rsidR="002E3A43">
        <w:t>that</w:t>
      </w:r>
      <w:r w:rsidR="008E41E3">
        <w:t xml:space="preserve"> make significant use of a self-review or self-study process (Ontario, New Zealand, United Kingdom, South Africa, accrediting agencies in the United States</w:t>
      </w:r>
      <w:r w:rsidR="00A0237A">
        <w:t>, EU member states</w:t>
      </w:r>
      <w:r w:rsidR="008E41E3">
        <w:t xml:space="preserve">) the training organisation must undergo self-review to identify </w:t>
      </w:r>
      <w:r>
        <w:t>the ways by which</w:t>
      </w:r>
      <w:r w:rsidR="008E41E3">
        <w:t xml:space="preserve"> it believes it has complied with requirements. In preparing the self-review the institution may be asked to respond to a number of review or evaluation questions and criteria posed by an external reviewer panel. When </w:t>
      </w:r>
      <w:r w:rsidR="00A0237A">
        <w:t>the self</w:t>
      </w:r>
      <w:r>
        <w:t>-</w:t>
      </w:r>
      <w:r w:rsidR="00A0237A">
        <w:t xml:space="preserve">assessment </w:t>
      </w:r>
      <w:r>
        <w:t>has been</w:t>
      </w:r>
      <w:r w:rsidR="00A0237A">
        <w:t xml:space="preserve"> </w:t>
      </w:r>
      <w:r w:rsidR="008E41E3">
        <w:t xml:space="preserve">completed </w:t>
      </w:r>
      <w:r w:rsidR="00A0237A">
        <w:t>and reported</w:t>
      </w:r>
      <w:r>
        <w:t>,</w:t>
      </w:r>
      <w:r w:rsidR="00A0237A">
        <w:t xml:space="preserve"> </w:t>
      </w:r>
      <w:r w:rsidR="008E41E3">
        <w:t>the institution undergoing review will provide the self-review or self-assessment repor</w:t>
      </w:r>
      <w:r w:rsidR="00736E30">
        <w:t>t to the external review panel.</w:t>
      </w:r>
    </w:p>
    <w:p w:rsidR="008E41E3" w:rsidRDefault="008E41E3" w:rsidP="00555AF2">
      <w:pPr>
        <w:pStyle w:val="Text"/>
      </w:pPr>
      <w:r>
        <w:t>The external review panel (which often include</w:t>
      </w:r>
      <w:r w:rsidR="00A0237A">
        <w:t>s</w:t>
      </w:r>
      <w:r>
        <w:t xml:space="preserve"> auditors appointed by or from the regulating agency) undertakes a desk-top audit prior to a site visit. In the United Kingdom the </w:t>
      </w:r>
      <w:r w:rsidR="00571134">
        <w:t xml:space="preserve">college </w:t>
      </w:r>
      <w:r>
        <w:t>self-review c</w:t>
      </w:r>
      <w:r w:rsidR="00826EB7">
        <w:t>an also be combined with a peer-</w:t>
      </w:r>
      <w:r>
        <w:t xml:space="preserve">review process </w:t>
      </w:r>
      <w:r w:rsidRPr="00EB4282">
        <w:t>before it is</w:t>
      </w:r>
      <w:r w:rsidR="00537865" w:rsidRPr="00EB4282">
        <w:t xml:space="preserve"> </w:t>
      </w:r>
      <w:r w:rsidRPr="00EB4282">
        <w:t>presented</w:t>
      </w:r>
      <w:r>
        <w:t xml:space="preserve"> for external review. </w:t>
      </w:r>
      <w:r w:rsidR="00736E30">
        <w:t>In this instance</w:t>
      </w:r>
      <w:r>
        <w:t xml:space="preserve"> the organisation conducts a self-assessment and shares this with a group of peers (preferably </w:t>
      </w:r>
      <w:r>
        <w:lastRenderedPageBreak/>
        <w:t>other organisations with which it is not in direct competition). These peers</w:t>
      </w:r>
      <w:r w:rsidR="00826EB7">
        <w:t>,</w:t>
      </w:r>
      <w:r>
        <w:t xml:space="preserve"> act</w:t>
      </w:r>
      <w:r w:rsidR="00BC211D">
        <w:t>ing</w:t>
      </w:r>
      <w:r>
        <w:t xml:space="preserve"> as critical friends</w:t>
      </w:r>
      <w:r w:rsidR="00826EB7">
        <w:t>,</w:t>
      </w:r>
      <w:r>
        <w:t xml:space="preserve"> giv</w:t>
      </w:r>
      <w:r w:rsidR="00BC211D">
        <w:t>e</w:t>
      </w:r>
      <w:r>
        <w:t xml:space="preserve"> feedback on the review and suggest where improvements can be made. </w:t>
      </w:r>
      <w:r w:rsidR="002E3A43">
        <w:t>In some systems (including the quality assurance</w:t>
      </w:r>
      <w:r>
        <w:t xml:space="preserve"> systems of some accrediting organisations in the United States) the provider must also prepare an annual report addressing key outcomes.</w:t>
      </w:r>
      <w:r w:rsidR="004928F1">
        <w:t xml:space="preserve"> </w:t>
      </w:r>
    </w:p>
    <w:p w:rsidR="002D1643" w:rsidRDefault="002D1643" w:rsidP="002D1643">
      <w:pPr>
        <w:pStyle w:val="Text"/>
      </w:pPr>
      <w:r>
        <w:t xml:space="preserve">The consistent interpretation and implementation of standards </w:t>
      </w:r>
      <w:r w:rsidR="00826EB7">
        <w:t>is</w:t>
      </w:r>
      <w:r>
        <w:t xml:space="preserve"> critical to quality ass</w:t>
      </w:r>
      <w:r w:rsidR="00736E30">
        <w:t>urance review processes and is</w:t>
      </w:r>
      <w:r>
        <w:t xml:space="preserve"> facilitated by clearly articulated standards (or their equivalents) presented in accessible formats</w:t>
      </w:r>
      <w:r w:rsidR="00736E30">
        <w:t>. This ensures that</w:t>
      </w:r>
      <w:r w:rsidR="00826EB7">
        <w:t xml:space="preserve"> </w:t>
      </w:r>
      <w:r>
        <w:t xml:space="preserve">auditors and those to be audited are adequately prepared for their respective roles. In some international systems students become part of the review </w:t>
      </w:r>
      <w:r w:rsidR="00736E30">
        <w:t>process. The use of peers</w:t>
      </w:r>
      <w:r>
        <w:t xml:space="preserve"> is also being practised. </w:t>
      </w:r>
      <w:r w:rsidR="00736E30">
        <w:t>Having</w:t>
      </w:r>
      <w:r>
        <w:t xml:space="preserve"> teaching staff </w:t>
      </w:r>
      <w:r w:rsidR="00C504E2">
        <w:t>‘</w:t>
      </w:r>
      <w:r>
        <w:t>deeply engaged</w:t>
      </w:r>
      <w:r w:rsidR="00C504E2">
        <w:t>’</w:t>
      </w:r>
      <w:r>
        <w:t xml:space="preserve"> in the process by giving them a greater role in the preparation of </w:t>
      </w:r>
      <w:r w:rsidR="00826EB7">
        <w:t xml:space="preserve">the </w:t>
      </w:r>
      <w:r>
        <w:t xml:space="preserve">documentation to be presented to auditors, especially in </w:t>
      </w:r>
      <w:r w:rsidR="00826EB7">
        <w:t>relation to</w:t>
      </w:r>
      <w:r>
        <w:t xml:space="preserve"> addressing </w:t>
      </w:r>
      <w:r w:rsidR="00736E30">
        <w:t>the key audit criteria, is also suggested</w:t>
      </w:r>
      <w:r w:rsidR="002E3A43">
        <w:t>.</w:t>
      </w:r>
      <w:r w:rsidR="00826EB7">
        <w:t xml:space="preserve"> In o</w:t>
      </w:r>
      <w:r>
        <w:t xml:space="preserve">ther examples staff participate in the development of criteria and the conduct of </w:t>
      </w:r>
      <w:r w:rsidR="00A4678F">
        <w:t xml:space="preserve">the </w:t>
      </w:r>
      <w:r>
        <w:t xml:space="preserve">internal review processes </w:t>
      </w:r>
      <w:r w:rsidR="00736E30">
        <w:t>preceding</w:t>
      </w:r>
      <w:r>
        <w:t xml:space="preserve"> the external review visit. </w:t>
      </w:r>
    </w:p>
    <w:p w:rsidR="00A4678F" w:rsidRDefault="008E41E3" w:rsidP="00A4678F">
      <w:pPr>
        <w:pStyle w:val="Heading3"/>
      </w:pPr>
      <w:r w:rsidRPr="008E41E3">
        <w:t>European Union</w:t>
      </w:r>
    </w:p>
    <w:p w:rsidR="008E41E3" w:rsidRDefault="008E41E3" w:rsidP="00555AF2">
      <w:pPr>
        <w:pStyle w:val="Textlessbefore"/>
      </w:pPr>
      <w:r>
        <w:t>The auditing or reviewing of institutional performance to assess the quality of provision is a key feature of quality assurance systems</w:t>
      </w:r>
      <w:r w:rsidR="00A0237A">
        <w:t xml:space="preserve"> in the EU</w:t>
      </w:r>
      <w:r>
        <w:t xml:space="preserve">. The European Commission reports that in 2013 most EU member states had </w:t>
      </w:r>
      <w:r w:rsidR="00736E30">
        <w:t>established</w:t>
      </w:r>
      <w:r>
        <w:t xml:space="preserve"> statutory requirements for</w:t>
      </w:r>
      <w:r w:rsidR="00736E30">
        <w:t xml:space="preserve"> the </w:t>
      </w:r>
      <w:r>
        <w:t xml:space="preserve">external evaluation of providers, with 22 countries </w:t>
      </w:r>
      <w:r w:rsidR="007D78C5">
        <w:t>having requirements for</w:t>
      </w:r>
      <w:r>
        <w:t xml:space="preserve"> </w:t>
      </w:r>
      <w:r w:rsidR="00BD02D6">
        <w:t>institutions</w:t>
      </w:r>
      <w:r w:rsidR="002E3A43">
        <w:t xml:space="preserve"> to establish and </w:t>
      </w:r>
      <w:r w:rsidR="00BD02D6">
        <w:t xml:space="preserve">implement </w:t>
      </w:r>
      <w:r>
        <w:t xml:space="preserve">internal quality assurance </w:t>
      </w:r>
      <w:r w:rsidR="00BD02D6">
        <w:t xml:space="preserve">systems and </w:t>
      </w:r>
      <w:r>
        <w:t xml:space="preserve">processes. </w:t>
      </w:r>
      <w:r w:rsidR="00A4678F">
        <w:t>A</w:t>
      </w:r>
      <w:r>
        <w:t xml:space="preserve"> handful of countries made </w:t>
      </w:r>
      <w:r w:rsidR="00BD02D6">
        <w:t>the establishment of such systems and processes</w:t>
      </w:r>
      <w:r w:rsidR="004F7A35">
        <w:t xml:space="preserve"> </w:t>
      </w:r>
      <w:r>
        <w:t>voluntary. The most frequent of the external reviews were inspections, especially for initial VET</w:t>
      </w:r>
      <w:r w:rsidR="00A4678F">
        <w:t>. The use of o</w:t>
      </w:r>
      <w:r>
        <w:t xml:space="preserve">ther quality systems (for </w:t>
      </w:r>
      <w:r w:rsidR="00A4678F">
        <w:t>example, ISO</w:t>
      </w:r>
      <w:r w:rsidR="002E3A43">
        <w:t xml:space="preserve"> </w:t>
      </w:r>
      <w:r w:rsidR="00A4678F">
        <w:t>9001</w:t>
      </w:r>
      <w:r w:rsidR="00736E30">
        <w:t xml:space="preserve"> </w:t>
      </w:r>
      <w:r w:rsidR="00A4678F">
        <w:t>or similar) was</w:t>
      </w:r>
      <w:r>
        <w:t xml:space="preserve"> encouraged for conti</w:t>
      </w:r>
      <w:r w:rsidR="00736E30">
        <w:t>nuing VET. EU member states, for example,</w:t>
      </w:r>
      <w:r>
        <w:t xml:space="preserve"> Czech Republic, Denmark, Estonia, Hungary, Slovenia, Slovakia, Bulgaria and Croatia</w:t>
      </w:r>
      <w:r w:rsidR="00736E30">
        <w:t>,</w:t>
      </w:r>
      <w:r>
        <w:t xml:space="preserve"> had enacted legislation to require training providers to evaluate their activities, especially the effectiveness of their training. This included mandatory self-assessment and plans for quality improvement</w:t>
      </w:r>
      <w:r w:rsidR="00A4678F">
        <w:t>,</w:t>
      </w:r>
      <w:r>
        <w:t xml:space="preserve"> which were then to be used to inform external evaluations. The use and encouragement of voluntary self-assessments is commonly </w:t>
      </w:r>
      <w:r w:rsidR="00A0237A">
        <w:t>reported for</w:t>
      </w:r>
      <w:r>
        <w:t xml:space="preserve"> those jurisdictions </w:t>
      </w:r>
      <w:r w:rsidR="00A0237A">
        <w:t xml:space="preserve">in which they are not mandated. </w:t>
      </w:r>
      <w:r w:rsidR="00A4678F">
        <w:t>Self-</w:t>
      </w:r>
      <w:r>
        <w:t xml:space="preserve">assessments are promoted as mechanisms </w:t>
      </w:r>
      <w:r w:rsidR="00A4678F">
        <w:t>to</w:t>
      </w:r>
      <w:r>
        <w:t xml:space="preserve"> enable providers to reflect</w:t>
      </w:r>
      <w:r w:rsidR="002E3A43">
        <w:t xml:space="preserve"> upon</w:t>
      </w:r>
      <w:r>
        <w:t xml:space="preserve"> and enhance their practice, apply</w:t>
      </w:r>
      <w:r w:rsidR="00A4678F">
        <w:t>ing</w:t>
      </w:r>
      <w:r>
        <w:t xml:space="preserve"> measures that </w:t>
      </w:r>
      <w:r w:rsidR="00A4678F">
        <w:t>suit</w:t>
      </w:r>
      <w:r>
        <w:t xml:space="preserve"> their local situations and needs (EU Commission 2014).</w:t>
      </w:r>
      <w:r w:rsidR="004928F1">
        <w:t xml:space="preserve"> </w:t>
      </w:r>
    </w:p>
    <w:p w:rsidR="00A4678F" w:rsidRDefault="008E41E3" w:rsidP="00A4678F">
      <w:pPr>
        <w:pStyle w:val="Heading3"/>
      </w:pPr>
      <w:r w:rsidRPr="00EB051E">
        <w:t>New Zealand</w:t>
      </w:r>
    </w:p>
    <w:p w:rsidR="008A7408" w:rsidRDefault="008E41E3" w:rsidP="00555AF2">
      <w:pPr>
        <w:pStyle w:val="Textlessbefore"/>
        <w:ind w:right="-143"/>
      </w:pPr>
      <w:r>
        <w:t>A system of internal and external reviews to assure the quality of provision has been adopted in New Zealand by the New Zealand Qualifi</w:t>
      </w:r>
      <w:r w:rsidR="00A4678F">
        <w:t>cations Authority</w:t>
      </w:r>
      <w:r>
        <w:t>.</w:t>
      </w:r>
      <w:r>
        <w:rPr>
          <w:rStyle w:val="FootnoteReference"/>
        </w:rPr>
        <w:footnoteReference w:id="35"/>
      </w:r>
      <w:r>
        <w:t xml:space="preserve"> The </w:t>
      </w:r>
      <w:r w:rsidR="00A4678F">
        <w:t>New Zealand authority</w:t>
      </w:r>
      <w:r>
        <w:t xml:space="preserve"> uses a system of up-front accreditation of </w:t>
      </w:r>
      <w:r w:rsidR="004B1D1C">
        <w:t xml:space="preserve">private </w:t>
      </w:r>
      <w:r>
        <w:t xml:space="preserve">training </w:t>
      </w:r>
      <w:r w:rsidR="004B1D1C">
        <w:t>establishments</w:t>
      </w:r>
      <w:r w:rsidR="00A4678F">
        <w:t>,</w:t>
      </w:r>
      <w:r w:rsidR="004B1D1C">
        <w:rPr>
          <w:rStyle w:val="FootnoteReference"/>
        </w:rPr>
        <w:footnoteReference w:id="36"/>
      </w:r>
      <w:r>
        <w:t xml:space="preserve"> cours</w:t>
      </w:r>
      <w:r w:rsidR="002E3A43">
        <w:t>es and qualifications</w:t>
      </w:r>
      <w:r w:rsidR="00A4678F">
        <w:t xml:space="preserve"> and self-</w:t>
      </w:r>
      <w:r>
        <w:t>assessment combined with exte</w:t>
      </w:r>
      <w:r w:rsidR="00A4678F">
        <w:t>rnal evaluation and review</w:t>
      </w:r>
      <w:r>
        <w:t xml:space="preserve"> (</w:t>
      </w:r>
      <w:r w:rsidR="00A4678F">
        <w:t xml:space="preserve">New Zealand </w:t>
      </w:r>
      <w:r w:rsidR="00A4678F" w:rsidRPr="00F0679C">
        <w:t>Qualifications Authority</w:t>
      </w:r>
      <w:r w:rsidRPr="00F0679C">
        <w:t xml:space="preserve"> 2009</w:t>
      </w:r>
      <w:r w:rsidR="00F0679C" w:rsidRPr="00F0679C">
        <w:t>a; 2009b</w:t>
      </w:r>
      <w:r w:rsidRPr="00F0679C">
        <w:t>).</w:t>
      </w:r>
      <w:r>
        <w:t xml:space="preserve"> The </w:t>
      </w:r>
      <w:r w:rsidRPr="00A4678F">
        <w:t>NZQA</w:t>
      </w:r>
      <w:r>
        <w:rPr>
          <w:i/>
        </w:rPr>
        <w:t xml:space="preserve"> </w:t>
      </w:r>
      <w:r w:rsidRPr="00736E30">
        <w:t>d</w:t>
      </w:r>
      <w:r>
        <w:t xml:space="preserve">efines the evaluation questions and key focus areas used to guide the evaluation. The </w:t>
      </w:r>
      <w:r w:rsidR="00A4678F">
        <w:t>external evaluation and review</w:t>
      </w:r>
      <w:r>
        <w:t xml:space="preserve"> is conducted periodically to provide the NZQA with </w:t>
      </w:r>
      <w:r w:rsidR="00C504E2">
        <w:t>‘</w:t>
      </w:r>
      <w:r>
        <w:t>a statement of confidence (judgement) about an organisation</w:t>
      </w:r>
      <w:r w:rsidR="00C504E2">
        <w:t>’</w:t>
      </w:r>
      <w:r>
        <w:t>s educational performance and capability in self-assessment</w:t>
      </w:r>
      <w:r w:rsidR="00C504E2">
        <w:t>’</w:t>
      </w:r>
      <w:r>
        <w:t xml:space="preserve"> </w:t>
      </w:r>
      <w:r w:rsidRPr="00D31B8E">
        <w:t xml:space="preserve">(outlined in </w:t>
      </w:r>
      <w:r w:rsidR="00D31B8E" w:rsidRPr="00D31B8E">
        <w:t>the policy and guidelines for the conduct of external evaluation and review</w:t>
      </w:r>
      <w:r w:rsidRPr="00D31B8E">
        <w:t>)</w:t>
      </w:r>
      <w:r>
        <w:rPr>
          <w:i/>
        </w:rPr>
        <w:t xml:space="preserve">. </w:t>
      </w:r>
      <w:r>
        <w:t xml:space="preserve">Educational performance </w:t>
      </w:r>
      <w:r w:rsidR="00736E30">
        <w:t>is concerned with</w:t>
      </w:r>
      <w:r>
        <w:t xml:space="preserve"> whether the educational outcomes achieved by the organisation provide</w:t>
      </w:r>
      <w:r w:rsidR="00555AF2">
        <w:t> </w:t>
      </w:r>
      <w:r>
        <w:t xml:space="preserve">value for learners and other stakeholders (in terms of </w:t>
      </w:r>
      <w:r w:rsidR="002E3A43">
        <w:t xml:space="preserve">the </w:t>
      </w:r>
      <w:r>
        <w:t xml:space="preserve">quality of learning and </w:t>
      </w:r>
      <w:r>
        <w:lastRenderedPageBreak/>
        <w:t>teaching and the</w:t>
      </w:r>
      <w:r w:rsidR="00555AF2">
        <w:t> </w:t>
      </w:r>
      <w:r>
        <w:t>achievement o</w:t>
      </w:r>
      <w:r w:rsidR="00D31B8E">
        <w:t>f learners). Capability in self-</w:t>
      </w:r>
      <w:r>
        <w:t xml:space="preserve">assessment </w:t>
      </w:r>
      <w:r w:rsidR="005F629E">
        <w:t>refers to an</w:t>
      </w:r>
      <w:r>
        <w:t xml:space="preserve"> organisation</w:t>
      </w:r>
      <w:r w:rsidR="00C504E2">
        <w:t>’</w:t>
      </w:r>
      <w:r w:rsidR="005F629E">
        <w:t xml:space="preserve">s ability to evaluate its practices and processes and use the results to </w:t>
      </w:r>
      <w:r w:rsidR="005619D1">
        <w:t xml:space="preserve">identify and </w:t>
      </w:r>
      <w:r w:rsidR="005F629E">
        <w:t xml:space="preserve">implement improvements. </w:t>
      </w:r>
    </w:p>
    <w:p w:rsidR="008E41E3" w:rsidRPr="008A7408" w:rsidRDefault="008E41E3" w:rsidP="00555AF2">
      <w:pPr>
        <w:pStyle w:val="Text"/>
        <w:ind w:right="-143"/>
        <w:rPr>
          <w:i/>
        </w:rPr>
      </w:pPr>
      <w:r>
        <w:t xml:space="preserve">The </w:t>
      </w:r>
      <w:r w:rsidR="00D31B8E">
        <w:t>New Zealand Qualifications Authority</w:t>
      </w:r>
      <w:r>
        <w:t xml:space="preserve"> also provides feedback and guidance to t</w:t>
      </w:r>
      <w:r w:rsidR="00D31B8E">
        <w:t>eachers on</w:t>
      </w:r>
      <w:r w:rsidR="00AD6AEA" w:rsidRPr="00AD6AEA">
        <w:t xml:space="preserve"> the consistency and accuracy of internal assessment</w:t>
      </w:r>
      <w:r w:rsidR="00AD6AEA">
        <w:t xml:space="preserve"> of </w:t>
      </w:r>
      <w:r w:rsidR="00AD6AEA" w:rsidRPr="00EB4282">
        <w:t>student work</w:t>
      </w:r>
      <w:r w:rsidR="005619D1" w:rsidRPr="00EB4282">
        <w:t xml:space="preserve">. It also </w:t>
      </w:r>
      <w:r>
        <w:t xml:space="preserve">makes public the information </w:t>
      </w:r>
      <w:r w:rsidR="002E3A43">
        <w:t>on</w:t>
      </w:r>
      <w:r>
        <w:t xml:space="preserve"> the quality and relevance of a provider</w:t>
      </w:r>
      <w:r w:rsidR="00C504E2">
        <w:t>’</w:t>
      </w:r>
      <w:r>
        <w:t xml:space="preserve">s educational performance and organisational capability. </w:t>
      </w:r>
      <w:r w:rsidR="004B1D1C">
        <w:t xml:space="preserve">The </w:t>
      </w:r>
      <w:r w:rsidR="00D31B8E">
        <w:t>external evaluation and review</w:t>
      </w:r>
      <w:r w:rsidR="004B1D1C">
        <w:t xml:space="preserve"> was originally meant</w:t>
      </w:r>
      <w:r w:rsidR="008A7408">
        <w:t xml:space="preserve"> to be a developmental exercise; however,</w:t>
      </w:r>
      <w:r w:rsidR="004B1D1C">
        <w:t xml:space="preserve"> </w:t>
      </w:r>
      <w:r w:rsidR="008A7408">
        <w:t>with organisations</w:t>
      </w:r>
      <w:r w:rsidR="004B1D1C">
        <w:t xml:space="preserve"> given a rating on their performance </w:t>
      </w:r>
      <w:r>
        <w:t>across the six evaluation areas and key focus areas</w:t>
      </w:r>
      <w:r w:rsidR="004B1D1C">
        <w:t xml:space="preserve"> and </w:t>
      </w:r>
      <w:r w:rsidR="008A7408">
        <w:t xml:space="preserve">the results published, </w:t>
      </w:r>
      <w:r w:rsidR="004B1D1C">
        <w:t>a new dimension</w:t>
      </w:r>
      <w:r w:rsidR="008A7408">
        <w:t xml:space="preserve"> was added</w:t>
      </w:r>
      <w:r w:rsidR="004B1D1C">
        <w:t>.</w:t>
      </w:r>
      <w:r>
        <w:t xml:space="preserve"> An evaluation of </w:t>
      </w:r>
      <w:r w:rsidR="004B1D1C">
        <w:t xml:space="preserve">the </w:t>
      </w:r>
      <w:r w:rsidR="00D31B8E">
        <w:t>external evaluation and review</w:t>
      </w:r>
      <w:r>
        <w:rPr>
          <w:i/>
        </w:rPr>
        <w:t xml:space="preserve"> </w:t>
      </w:r>
      <w:r w:rsidR="00D31B8E">
        <w:t xml:space="preserve">process </w:t>
      </w:r>
      <w:r>
        <w:t>(New Z</w:t>
      </w:r>
      <w:r w:rsidR="00D31B8E">
        <w:t>ealand Qualifications Authority</w:t>
      </w:r>
      <w:r w:rsidR="008A7408">
        <w:t xml:space="preserve"> 2012)</w:t>
      </w:r>
      <w:r>
        <w:t xml:space="preserve"> </w:t>
      </w:r>
      <w:r w:rsidR="00D31B8E">
        <w:t>noted that providers were focu</w:t>
      </w:r>
      <w:r w:rsidR="00C750AF">
        <w:t xml:space="preserve">sed </w:t>
      </w:r>
      <w:r w:rsidR="004B1D1C">
        <w:t xml:space="preserve">more </w:t>
      </w:r>
      <w:r w:rsidR="00C750AF">
        <w:t xml:space="preserve">on the ratings </w:t>
      </w:r>
      <w:r w:rsidR="004B1D1C">
        <w:t xml:space="preserve">aspect of the </w:t>
      </w:r>
      <w:r w:rsidR="00D31B8E">
        <w:t>external evaluation and review</w:t>
      </w:r>
      <w:r w:rsidR="004B1D1C">
        <w:t xml:space="preserve"> </w:t>
      </w:r>
      <w:r w:rsidR="00C750AF">
        <w:t xml:space="preserve">than on </w:t>
      </w:r>
      <w:r w:rsidR="004B1D1C">
        <w:t>its</w:t>
      </w:r>
      <w:r w:rsidR="00C750AF">
        <w:t xml:space="preserve"> developmental </w:t>
      </w:r>
      <w:r w:rsidR="004B1D1C">
        <w:t>features</w:t>
      </w:r>
      <w:r w:rsidR="00C750AF">
        <w:t>.</w:t>
      </w:r>
    </w:p>
    <w:p w:rsidR="00D31B8E" w:rsidRDefault="008E41E3" w:rsidP="008A7408">
      <w:pPr>
        <w:pStyle w:val="Heading3"/>
      </w:pPr>
      <w:r w:rsidRPr="00EB051E">
        <w:t>United Kingdom</w:t>
      </w:r>
    </w:p>
    <w:p w:rsidR="008949ED" w:rsidRDefault="008949ED" w:rsidP="00555AF2">
      <w:pPr>
        <w:pStyle w:val="Textlessbefore"/>
      </w:pPr>
      <w:r>
        <w:t>The Common Inspection Framework endorsed for use from September 2012 applies to training provision that is supported in part by the Skills Funding Agency or the Education Funding Agency</w:t>
      </w:r>
      <w:r w:rsidR="0045442F">
        <w:t xml:space="preserve"> </w:t>
      </w:r>
      <w:r w:rsidR="0045442F" w:rsidRPr="00361043">
        <w:t>(</w:t>
      </w:r>
      <w:proofErr w:type="spellStart"/>
      <w:r w:rsidR="0045442F" w:rsidRPr="00361043">
        <w:t>Ofsted</w:t>
      </w:r>
      <w:proofErr w:type="spellEnd"/>
      <w:r w:rsidR="0045442F" w:rsidRPr="00361043">
        <w:t xml:space="preserve"> 2014)</w:t>
      </w:r>
      <w:r w:rsidRPr="00361043">
        <w:t>. This means that for VET purposes it applies to institutions providing training and</w:t>
      </w:r>
      <w:r>
        <w:t xml:space="preserve"> further education to young adults and adults (th</w:t>
      </w:r>
      <w:r w:rsidR="00D31B8E">
        <w:t>at is learners, in the 16 to 18-</w:t>
      </w:r>
      <w:r>
        <w:t xml:space="preserve">year age group, 19+ </w:t>
      </w:r>
      <w:r w:rsidR="00D31B8E">
        <w:t>age group, and learners aged 14—</w:t>
      </w:r>
      <w:r>
        <w:t>16</w:t>
      </w:r>
      <w:r w:rsidR="00D31B8E">
        <w:t xml:space="preserve"> years</w:t>
      </w:r>
      <w:r>
        <w:t xml:space="preserve">). The aim of the Common Inspection Framework is to provide guidelines </w:t>
      </w:r>
      <w:r w:rsidR="008A7408">
        <w:t>on</w:t>
      </w:r>
      <w:r>
        <w:t xml:space="preserve"> the types of </w:t>
      </w:r>
      <w:r w:rsidR="008A7408">
        <w:t>issues</w:t>
      </w:r>
      <w:r>
        <w:t xml:space="preserve"> that inspecto</w:t>
      </w:r>
      <w:r w:rsidR="00D31B8E">
        <w:t>rs will look for when making a judg</w:t>
      </w:r>
      <w:r>
        <w:t>ment about a provider</w:t>
      </w:r>
      <w:r w:rsidR="00C504E2">
        <w:t>’</w:t>
      </w:r>
      <w:r>
        <w:t xml:space="preserve">s effectiveness and efficiency of provision. </w:t>
      </w:r>
      <w:r w:rsidR="009A454A">
        <w:t xml:space="preserve">We use information from the Common Inspection Framework Handbook to provide a very brief overview of the </w:t>
      </w:r>
      <w:r w:rsidR="00B42FB9">
        <w:t>features of</w:t>
      </w:r>
      <w:r w:rsidR="009A454A">
        <w:t xml:space="preserve"> key </w:t>
      </w:r>
      <w:r w:rsidR="00B42FB9">
        <w:t>inspection areas</w:t>
      </w:r>
      <w:r w:rsidR="009A454A">
        <w:t xml:space="preserve">. </w:t>
      </w:r>
    </w:p>
    <w:p w:rsidR="008949ED" w:rsidRDefault="008949ED" w:rsidP="00555AF2">
      <w:pPr>
        <w:pStyle w:val="Quote"/>
      </w:pPr>
      <w:r>
        <w:t xml:space="preserve">The first of these </w:t>
      </w:r>
      <w:r w:rsidR="00D31B8E">
        <w:t>relates to</w:t>
      </w:r>
      <w:r>
        <w:t xml:space="preserve"> learner outcomes. Providers must provide inspectors with evidence about success and progress rates, retention, development of personal, social and employability skills, and p</w:t>
      </w:r>
      <w:r w:rsidR="0019320C">
        <w:t>rogression to further education</w:t>
      </w:r>
      <w:r>
        <w:t xml:space="preserve"> or sustainable employment. Inspectors will also obtain information from students on the extent to which they have enjo</w:t>
      </w:r>
      <w:r w:rsidR="0019320C">
        <w:t>yed their courses</w:t>
      </w:r>
      <w:r>
        <w:t xml:space="preserve"> and </w:t>
      </w:r>
      <w:r w:rsidR="0019320C">
        <w:t xml:space="preserve">whether </w:t>
      </w:r>
      <w:r>
        <w:t xml:space="preserve">the courses have met their needs. </w:t>
      </w:r>
    </w:p>
    <w:p w:rsidR="008949ED" w:rsidRDefault="008949ED" w:rsidP="00555AF2">
      <w:pPr>
        <w:pStyle w:val="Quote"/>
      </w:pPr>
      <w:r>
        <w:t xml:space="preserve">The second </w:t>
      </w:r>
      <w:r w:rsidR="0019320C">
        <w:t>relates to the</w:t>
      </w:r>
      <w:r>
        <w:t xml:space="preserve"> quality of teaching, </w:t>
      </w:r>
      <w:r w:rsidRPr="00EB4282">
        <w:t>learning and assessment. Inspectors will expect to find evidence about the extent to which learners</w:t>
      </w:r>
      <w:r w:rsidR="00F51F18" w:rsidRPr="00EB4282">
        <w:t xml:space="preserve"> </w:t>
      </w:r>
      <w:r w:rsidRPr="00EB4282">
        <w:t xml:space="preserve">benefit from </w:t>
      </w:r>
      <w:r w:rsidR="00AD6AEA" w:rsidRPr="00EB4282">
        <w:t>teacher</w:t>
      </w:r>
      <w:r w:rsidR="00F51F18" w:rsidRPr="00EB4282">
        <w:t xml:space="preserve">s having </w:t>
      </w:r>
      <w:r w:rsidRPr="00EB4282">
        <w:t>high expectations</w:t>
      </w:r>
      <w:r w:rsidR="00F51F18" w:rsidRPr="00EB4282">
        <w:t xml:space="preserve"> of learners</w:t>
      </w:r>
      <w:r w:rsidRPr="00EB4282">
        <w:t xml:space="preserve">, </w:t>
      </w:r>
      <w:r w:rsidR="00F51F18" w:rsidRPr="00EB4282">
        <w:t xml:space="preserve">and their ability </w:t>
      </w:r>
      <w:r w:rsidR="00AD6AEA" w:rsidRPr="00EB4282">
        <w:t>to engage students in learning</w:t>
      </w:r>
      <w:r w:rsidR="00F51F18" w:rsidRPr="00EB4282">
        <w:t xml:space="preserve">. They will expect to find evidence of staff motivation, and learning </w:t>
      </w:r>
      <w:r w:rsidRPr="00EB4282">
        <w:t>e</w:t>
      </w:r>
      <w:r>
        <w:t>nvironments</w:t>
      </w:r>
      <w:r w:rsidR="00E9658B">
        <w:t xml:space="preserve"> in which students feel supported</w:t>
      </w:r>
      <w:r>
        <w:t xml:space="preserve">. Teachers will be expected </w:t>
      </w:r>
      <w:r w:rsidR="00913334">
        <w:t xml:space="preserve">to show that they have been </w:t>
      </w:r>
      <w:proofErr w:type="spellStart"/>
      <w:r w:rsidR="00913334">
        <w:t>to</w:t>
      </w:r>
      <w:proofErr w:type="spellEnd"/>
      <w:r w:rsidR="00913334">
        <w:t xml:space="preserve"> able to identify</w:t>
      </w:r>
      <w:r w:rsidR="008A7408">
        <w:t xml:space="preserve"> learner starting points;</w:t>
      </w:r>
      <w:r>
        <w:t xml:space="preserve"> plan </w:t>
      </w:r>
      <w:r w:rsidR="00F551F0">
        <w:t>teaching and learning activities to support learners and meet their needs; develop and apply</w:t>
      </w:r>
      <w:r w:rsidR="00E9658B">
        <w:t xml:space="preserve"> </w:t>
      </w:r>
      <w:r w:rsidR="00F551F0">
        <w:t xml:space="preserve">processes </w:t>
      </w:r>
      <w:r w:rsidR="00E9658B">
        <w:t xml:space="preserve">to </w:t>
      </w:r>
      <w:r>
        <w:t>monit</w:t>
      </w:r>
      <w:r w:rsidR="008A7408">
        <w:t>or student progress;</w:t>
      </w:r>
      <w:r>
        <w:t xml:space="preserve"> an</w:t>
      </w:r>
      <w:r w:rsidR="0019320C">
        <w:t xml:space="preserve">d </w:t>
      </w:r>
      <w:r w:rsidR="00913334">
        <w:t>engage learners in</w:t>
      </w:r>
      <w:r w:rsidR="004206FC">
        <w:t xml:space="preserve"> tasks which challenge and broaden their </w:t>
      </w:r>
      <w:r w:rsidR="00F551F0">
        <w:t>learning</w:t>
      </w:r>
      <w:r>
        <w:t>. Inspectors will also want to</w:t>
      </w:r>
      <w:r w:rsidR="002E3A43">
        <w:t xml:space="preserve"> know</w:t>
      </w:r>
      <w:r>
        <w:t xml:space="preserve"> </w:t>
      </w:r>
      <w:r w:rsidR="00913334">
        <w:t>how learners have used teacher feedback on their assessments to improve their learning outcomes.</w:t>
      </w:r>
      <w:r w:rsidR="004F7A35">
        <w:t xml:space="preserve"> </w:t>
      </w:r>
      <w:r>
        <w:t xml:space="preserve">They will expect this feedback to </w:t>
      </w:r>
      <w:r w:rsidR="00EB7E88">
        <w:t>have been</w:t>
      </w:r>
      <w:r w:rsidR="004F7A35">
        <w:t xml:space="preserve"> </w:t>
      </w:r>
      <w:r>
        <w:t xml:space="preserve">timely, specific and accurate. </w:t>
      </w:r>
      <w:r w:rsidR="009C196A">
        <w:t xml:space="preserve">Inspectors </w:t>
      </w:r>
      <w:r>
        <w:t>will also want to see evidence of learners developing Eng</w:t>
      </w:r>
      <w:r w:rsidR="008A7408">
        <w:t>lish and mathematics skills, which</w:t>
      </w:r>
      <w:r>
        <w:t xml:space="preserve"> will help them achieve their learni</w:t>
      </w:r>
      <w:r w:rsidR="0019320C">
        <w:t>ng goals and career aspirations</w:t>
      </w:r>
      <w:r w:rsidR="008A7408">
        <w:t>,</w:t>
      </w:r>
      <w:r>
        <w:t xml:space="preserve"> and of appropriate advice and guidance given to support their learning. </w:t>
      </w:r>
      <w:r w:rsidR="00CF18BF">
        <w:t xml:space="preserve">The extent to which equality, diversity and safety for students are promoted will also be assessed. </w:t>
      </w:r>
    </w:p>
    <w:p w:rsidR="008949ED" w:rsidRDefault="008949ED" w:rsidP="00555AF2">
      <w:pPr>
        <w:pStyle w:val="Quote"/>
      </w:pPr>
      <w:r>
        <w:t xml:space="preserve">The third key feature of inspection is the effectiveness of leadership and management. Here inspectors will expect to see that </w:t>
      </w:r>
      <w:r w:rsidR="008A7408">
        <w:t xml:space="preserve">the </w:t>
      </w:r>
      <w:r>
        <w:t>leaders, managers, and governors (if applicable) have</w:t>
      </w:r>
      <w:r w:rsidR="004206FC">
        <w:t xml:space="preserve"> an </w:t>
      </w:r>
      <w:r w:rsidR="00C504E2">
        <w:t>‘</w:t>
      </w:r>
      <w:r w:rsidR="004206FC">
        <w:t>ambitious</w:t>
      </w:r>
      <w:r w:rsidR="00C504E2">
        <w:t>’</w:t>
      </w:r>
      <w:r w:rsidR="004206FC">
        <w:t xml:space="preserve"> vision for their institution, and </w:t>
      </w:r>
      <w:r w:rsidR="0019320C">
        <w:t>high expectations for learners</w:t>
      </w:r>
      <w:r w:rsidR="004206FC">
        <w:t>. They will also want to see evidence of high standards in student achievement</w:t>
      </w:r>
      <w:r w:rsidR="00E15811">
        <w:t xml:space="preserve"> and a reduction in gaps in student achievement</w:t>
      </w:r>
      <w:r w:rsidR="002E3A43">
        <w:t>.</w:t>
      </w:r>
      <w:r>
        <w:t xml:space="preserve"> </w:t>
      </w:r>
      <w:r w:rsidR="004206FC">
        <w:t xml:space="preserve">In addition </w:t>
      </w:r>
      <w:r w:rsidR="00200030">
        <w:t>inspectors</w:t>
      </w:r>
      <w:r w:rsidR="004206FC">
        <w:t xml:space="preserve"> will seek to see</w:t>
      </w:r>
      <w:r>
        <w:t xml:space="preserve"> evidence of </w:t>
      </w:r>
      <w:r w:rsidR="00913334">
        <w:t>the implementation of strong</w:t>
      </w:r>
      <w:r>
        <w:t xml:space="preserve"> performance</w:t>
      </w:r>
      <w:r w:rsidR="0019320C">
        <w:t xml:space="preserve"> management systems</w:t>
      </w:r>
      <w:r w:rsidR="00913334">
        <w:t xml:space="preserve"> able to deal with poor performance and to implement adequate professional development support and activities for teachers.</w:t>
      </w:r>
      <w:r w:rsidR="004F7A35">
        <w:t xml:space="preserve"> </w:t>
      </w:r>
      <w:r>
        <w:t xml:space="preserve">Inspectors will also look </w:t>
      </w:r>
      <w:r>
        <w:lastRenderedPageBreak/>
        <w:t xml:space="preserve">for the extent to which providers can successfully plan, develop and manage the curriculum to meet the needs and interests of learners, employers and </w:t>
      </w:r>
      <w:r w:rsidR="00BC211D">
        <w:t xml:space="preserve">the </w:t>
      </w:r>
      <w:r>
        <w:t>local and national community</w:t>
      </w:r>
      <w:r w:rsidR="00E15811">
        <w:t xml:space="preserve">, and address issue of equality and diversity, and bullying and discrimination. </w:t>
      </w:r>
      <w:r w:rsidR="00560E1E">
        <w:t>The framework also requires p</w:t>
      </w:r>
      <w:r>
        <w:t xml:space="preserve">roviders </w:t>
      </w:r>
      <w:r w:rsidR="00560E1E">
        <w:t xml:space="preserve">to </w:t>
      </w:r>
      <w:r>
        <w:t xml:space="preserve">have strong internal processes for </w:t>
      </w:r>
      <w:r w:rsidR="00B42FB9">
        <w:t>tracking and evaluating their own performance</w:t>
      </w:r>
      <w:r w:rsidR="00EB7E88">
        <w:t xml:space="preserve">. They must </w:t>
      </w:r>
      <w:r w:rsidR="00E9658B">
        <w:t xml:space="preserve">listen to and take account </w:t>
      </w:r>
      <w:r w:rsidR="00930D85">
        <w:t xml:space="preserve">of </w:t>
      </w:r>
      <w:r w:rsidR="002E3A43">
        <w:t xml:space="preserve">user requirements </w:t>
      </w:r>
      <w:r>
        <w:t xml:space="preserve">and </w:t>
      </w:r>
      <w:r w:rsidR="00EB7E88">
        <w:t xml:space="preserve">implement </w:t>
      </w:r>
      <w:r>
        <w:t xml:space="preserve">measures for improvement. </w:t>
      </w:r>
      <w:r w:rsidR="00B42FB9">
        <w:t>Although t</w:t>
      </w:r>
      <w:r>
        <w:t xml:space="preserve">here is no </w:t>
      </w:r>
      <w:r w:rsidR="005619D1">
        <w:t xml:space="preserve">mandatory requirement for </w:t>
      </w:r>
      <w:r>
        <w:t xml:space="preserve">providers to complete a formal self-assessment report </w:t>
      </w:r>
      <w:r w:rsidR="00560E1E">
        <w:t xml:space="preserve">they must show inspectors that they have implemented </w:t>
      </w:r>
      <w:r>
        <w:t>a sel</w:t>
      </w:r>
      <w:r w:rsidR="0019320C">
        <w:t>f-assessment process. This self-</w:t>
      </w:r>
      <w:r>
        <w:t>assessment</w:t>
      </w:r>
      <w:r w:rsidR="0090013B">
        <w:t>,</w:t>
      </w:r>
      <w:r>
        <w:t xml:space="preserve"> whatever </w:t>
      </w:r>
      <w:r w:rsidR="0090013B">
        <w:t xml:space="preserve">its </w:t>
      </w:r>
      <w:r>
        <w:t>format</w:t>
      </w:r>
      <w:r w:rsidR="0090013B">
        <w:t xml:space="preserve">, </w:t>
      </w:r>
      <w:r>
        <w:t xml:space="preserve">will help inspectors to </w:t>
      </w:r>
      <w:r w:rsidR="009A454A">
        <w:t xml:space="preserve">understand </w:t>
      </w:r>
      <w:r w:rsidR="005619D1">
        <w:t xml:space="preserve">how </w:t>
      </w:r>
      <w:r w:rsidR="00E15811">
        <w:t>a college</w:t>
      </w:r>
      <w:r w:rsidR="00C504E2">
        <w:t>’</w:t>
      </w:r>
      <w:r w:rsidR="00E15811">
        <w:t>s</w:t>
      </w:r>
      <w:r w:rsidR="005619D1">
        <w:t xml:space="preserve"> </w:t>
      </w:r>
      <w:proofErr w:type="spellStart"/>
      <w:r w:rsidR="005619D1">
        <w:t>self assessment</w:t>
      </w:r>
      <w:proofErr w:type="spellEnd"/>
      <w:r w:rsidR="005619D1">
        <w:t xml:space="preserve"> process has helped </w:t>
      </w:r>
      <w:r w:rsidR="00E15811">
        <w:t>it</w:t>
      </w:r>
      <w:r w:rsidR="005619D1">
        <w:t xml:space="preserve"> to improve practices, processes and results</w:t>
      </w:r>
      <w:r>
        <w:t xml:space="preserve">. </w:t>
      </w:r>
      <w:r w:rsidR="00CF18BF">
        <w:t>A</w:t>
      </w:r>
      <w:r w:rsidR="005619D1">
        <w:t>n</w:t>
      </w:r>
      <w:r w:rsidR="00CF18BF">
        <w:t xml:space="preserve"> </w:t>
      </w:r>
      <w:r w:rsidR="00560E1E">
        <w:t xml:space="preserve">electronic form of the </w:t>
      </w:r>
      <w:r w:rsidR="00CF18BF">
        <w:t xml:space="preserve">self-assessment report, or </w:t>
      </w:r>
      <w:r w:rsidR="0019320C">
        <w:t>its equivalent</w:t>
      </w:r>
      <w:r w:rsidR="00CF18BF">
        <w:t xml:space="preserve">, </w:t>
      </w:r>
      <w:r w:rsidR="00560E1E">
        <w:t xml:space="preserve">is to be posted on the </w:t>
      </w:r>
      <w:r w:rsidR="00CF18BF">
        <w:t xml:space="preserve">relevant </w:t>
      </w:r>
      <w:proofErr w:type="spellStart"/>
      <w:r w:rsidR="00CF18BF">
        <w:t>Ofsted</w:t>
      </w:r>
      <w:proofErr w:type="spellEnd"/>
      <w:r w:rsidR="00CF18BF">
        <w:t xml:space="preserve"> website </w:t>
      </w:r>
      <w:r w:rsidR="002E3A43">
        <w:t>to enable</w:t>
      </w:r>
      <w:r w:rsidR="00560E1E">
        <w:t xml:space="preserve"> inspectors </w:t>
      </w:r>
      <w:r w:rsidR="002E3A43">
        <w:t>to read it and</w:t>
      </w:r>
      <w:r w:rsidR="00560E1E">
        <w:t xml:space="preserve"> </w:t>
      </w:r>
      <w:r w:rsidR="00CF18BF">
        <w:t>prepare for inspections</w:t>
      </w:r>
      <w:r w:rsidR="00560E1E">
        <w:t xml:space="preserve">. These can also help inspectors to </w:t>
      </w:r>
      <w:r w:rsidR="00E15811">
        <w:t>choose those</w:t>
      </w:r>
      <w:r w:rsidR="00560E1E">
        <w:t xml:space="preserve"> subjects to be included in the inspection. </w:t>
      </w:r>
      <w:r w:rsidR="0019320C">
        <w:t>The self-</w:t>
      </w:r>
      <w:r>
        <w:t xml:space="preserve">assessment process </w:t>
      </w:r>
      <w:r w:rsidR="0019320C">
        <w:t>undergone by</w:t>
      </w:r>
      <w:r>
        <w:t xml:space="preserve"> the college will provide inspectors with information </w:t>
      </w:r>
      <w:r w:rsidR="002E3A43">
        <w:t>that enables</w:t>
      </w:r>
      <w:r>
        <w:t xml:space="preserve"> them to assess the effectiveness of </w:t>
      </w:r>
      <w:r w:rsidR="00B42FB9">
        <w:t xml:space="preserve">college </w:t>
      </w:r>
      <w:r>
        <w:t xml:space="preserve">leadership and management. Providers must also show that they have </w:t>
      </w:r>
      <w:r w:rsidR="00B42FB9">
        <w:t xml:space="preserve">provided </w:t>
      </w:r>
      <w:r w:rsidR="002E3A43">
        <w:t>this information to</w:t>
      </w:r>
      <w:r>
        <w:t xml:space="preserve"> the</w:t>
      </w:r>
      <w:r w:rsidR="00B42FB9">
        <w:t>ir</w:t>
      </w:r>
      <w:r>
        <w:t xml:space="preserve"> governing body, </w:t>
      </w:r>
      <w:r w:rsidR="00B42FB9">
        <w:t xml:space="preserve">where </w:t>
      </w:r>
      <w:r>
        <w:t xml:space="preserve">applicable. </w:t>
      </w:r>
    </w:p>
    <w:p w:rsidR="008949ED" w:rsidRDefault="005F629E" w:rsidP="00555AF2">
      <w:pPr>
        <w:pStyle w:val="Quote"/>
      </w:pPr>
      <w:r>
        <w:t>A</w:t>
      </w:r>
      <w:r w:rsidR="00E9658B">
        <w:t xml:space="preserve"> </w:t>
      </w:r>
      <w:r w:rsidR="0019320C">
        <w:t xml:space="preserve">code of conduct </w:t>
      </w:r>
      <w:r>
        <w:t>for inspectors and details on</w:t>
      </w:r>
      <w:r w:rsidR="004F7A35">
        <w:t xml:space="preserve"> </w:t>
      </w:r>
      <w:r w:rsidR="008949ED">
        <w:t>grievance procedure</w:t>
      </w:r>
      <w:r w:rsidR="005619D1">
        <w:t>s</w:t>
      </w:r>
      <w:r>
        <w:t xml:space="preserve"> are also specified</w:t>
      </w:r>
      <w:r w:rsidR="008949ED">
        <w:t xml:space="preserve">. </w:t>
      </w:r>
      <w:r>
        <w:t>The code requires inspectors to be</w:t>
      </w:r>
      <w:r w:rsidR="008949ED">
        <w:t xml:space="preserve"> objective and impartial </w:t>
      </w:r>
      <w:r>
        <w:t xml:space="preserve">in </w:t>
      </w:r>
      <w:r w:rsidR="008949ED">
        <w:t>evaluations</w:t>
      </w:r>
      <w:r w:rsidR="002E3A43">
        <w:t>,</w:t>
      </w:r>
      <w:r w:rsidR="008949ED">
        <w:t xml:space="preserve"> </w:t>
      </w:r>
      <w:r w:rsidR="005619D1">
        <w:t xml:space="preserve">in keeping with </w:t>
      </w:r>
      <w:r w:rsidR="0090013B">
        <w:t>national frameworks</w:t>
      </w:r>
      <w:r w:rsidR="002E3A43">
        <w:t xml:space="preserve"> and</w:t>
      </w:r>
      <w:r>
        <w:t xml:space="preserve"> </w:t>
      </w:r>
      <w:r w:rsidR="008949ED">
        <w:t xml:space="preserve">national standards </w:t>
      </w:r>
      <w:r>
        <w:t xml:space="preserve">and </w:t>
      </w:r>
      <w:r w:rsidR="008949ED">
        <w:t>requirements. Inspectors must provide evidence-based analysis, fai</w:t>
      </w:r>
      <w:r w:rsidR="0005399E">
        <w:t>r, reliable and reasonable judgments, honest</w:t>
      </w:r>
      <w:r w:rsidR="008949ED">
        <w:t xml:space="preserve"> reporting, and have no conflict of interest</w:t>
      </w:r>
      <w:r w:rsidR="00EB7E88">
        <w:t xml:space="preserve"> (especially with regard to </w:t>
      </w:r>
      <w:r w:rsidR="00E15811">
        <w:t xml:space="preserve">any previous connections to </w:t>
      </w:r>
      <w:r w:rsidR="00EB7E88">
        <w:t xml:space="preserve">the provider being inspected). </w:t>
      </w:r>
    </w:p>
    <w:p w:rsidR="008949ED" w:rsidRDefault="008949ED" w:rsidP="00555AF2">
      <w:pPr>
        <w:pStyle w:val="Text"/>
      </w:pPr>
      <w:r>
        <w:t>The combination of self-assessment and external review</w:t>
      </w:r>
      <w:r w:rsidR="0005399E">
        <w:t>,</w:t>
      </w:r>
      <w:r>
        <w:t xml:space="preserve"> as favoured under the </w:t>
      </w:r>
      <w:r w:rsidR="0045442F">
        <w:t>current</w:t>
      </w:r>
      <w:r>
        <w:t xml:space="preserve"> Common Inspection Framework, was also </w:t>
      </w:r>
      <w:r w:rsidR="0005399E">
        <w:t>utilised</w:t>
      </w:r>
      <w:r>
        <w:t xml:space="preserve"> by the preceding framework. A study evaluating the process was undertaken by </w:t>
      </w:r>
      <w:proofErr w:type="spellStart"/>
      <w:r>
        <w:t>Collinson</w:t>
      </w:r>
      <w:proofErr w:type="spellEnd"/>
      <w:r>
        <w:t xml:space="preserve"> (2009)</w:t>
      </w:r>
      <w:r w:rsidR="0005399E">
        <w:t>,</w:t>
      </w:r>
      <w:r>
        <w:t xml:space="preserve"> who consulted principals of further education colleges. These principals reported that</w:t>
      </w:r>
      <w:r w:rsidR="0005399E">
        <w:t>,</w:t>
      </w:r>
      <w:r>
        <w:t xml:space="preserve"> although they were in favour of self-regulation</w:t>
      </w:r>
      <w:r w:rsidR="0090013B">
        <w:t>,</w:t>
      </w:r>
      <w:r>
        <w:t xml:space="preserve"> supported by external regulation and other measures for accountability, they were wary of increased complexity and increased regulation. These UK principals wanted a set of baseline standards to be negotiated with the sector and a small set of key performance indicators to judge effective performance. They were also in favour of an approach based on outcomes. When colleges were shown to have met or exceeded the standards</w:t>
      </w:r>
      <w:r w:rsidR="0005399E">
        <w:t>,</w:t>
      </w:r>
      <w:r>
        <w:t xml:space="preserve"> they would be judged as able to run their own affairs. When they were found to be non-compliant</w:t>
      </w:r>
      <w:r w:rsidR="002E3A43">
        <w:t>,</w:t>
      </w:r>
      <w:r>
        <w:t xml:space="preserve"> they would be offered peer support in the first instance and in severe cases professional intervention. </w:t>
      </w:r>
    </w:p>
    <w:p w:rsidR="0005399E" w:rsidRDefault="008E41E3" w:rsidP="0005399E">
      <w:pPr>
        <w:pStyle w:val="Heading3"/>
      </w:pPr>
      <w:r w:rsidRPr="00010A52">
        <w:t>South Africa</w:t>
      </w:r>
    </w:p>
    <w:p w:rsidR="008E41E3" w:rsidRDefault="008E41E3" w:rsidP="00555AF2">
      <w:pPr>
        <w:pStyle w:val="Textlessbefore"/>
      </w:pPr>
      <w:r w:rsidRPr="00B4033C">
        <w:t>An ev</w:t>
      </w:r>
      <w:r>
        <w:t xml:space="preserve">aluative study of institutional </w:t>
      </w:r>
      <w:r w:rsidRPr="00B4033C">
        <w:t>audits</w:t>
      </w:r>
      <w:r>
        <w:t xml:space="preserve"> conducted in South Africa in</w:t>
      </w:r>
      <w:r w:rsidRPr="00B4033C">
        <w:t xml:space="preserve"> 2006 (</w:t>
      </w:r>
      <w:r w:rsidR="0086170C" w:rsidRPr="0086170C">
        <w:t>Council on Higher Education Higher Education Quality Committee 2006</w:t>
      </w:r>
      <w:r w:rsidR="0086170C">
        <w:t>)</w:t>
      </w:r>
      <w:r>
        <w:t xml:space="preserve"> discusses how the </w:t>
      </w:r>
      <w:r w:rsidR="0005399E" w:rsidRPr="00B4033C">
        <w:t>Hi</w:t>
      </w:r>
      <w:r w:rsidR="0005399E">
        <w:t>gher Education Quality Council</w:t>
      </w:r>
      <w:r>
        <w:t xml:space="preserve"> in South Africa has </w:t>
      </w:r>
      <w:r w:rsidR="0005399E">
        <w:t>attempted</w:t>
      </w:r>
      <w:r>
        <w:t xml:space="preserve"> to </w:t>
      </w:r>
      <w:r w:rsidR="0005399E">
        <w:t>encourage</w:t>
      </w:r>
      <w:r>
        <w:t xml:space="preserve"> institutions to consider audit as a developmental ra</w:t>
      </w:r>
      <w:r w:rsidR="0005399E">
        <w:t xml:space="preserve">ther than a judgmental </w:t>
      </w:r>
      <w:r w:rsidR="0090013B">
        <w:t xml:space="preserve">tool </w:t>
      </w:r>
      <w:r>
        <w:t xml:space="preserve">and to </w:t>
      </w:r>
      <w:r w:rsidR="0090013B">
        <w:t>promote</w:t>
      </w:r>
      <w:r>
        <w:t xml:space="preserve"> self-reflection and improvement rather than mere compliance with policy and regulations.</w:t>
      </w:r>
      <w:r w:rsidR="004928F1">
        <w:t xml:space="preserve"> </w:t>
      </w:r>
      <w:r>
        <w:t xml:space="preserve">The </w:t>
      </w:r>
      <w:r w:rsidR="0005399E">
        <w:t>council</w:t>
      </w:r>
      <w:r>
        <w:t xml:space="preserve"> also advises on the importance of involving staff in addressing crit</w:t>
      </w:r>
      <w:r w:rsidR="0005399E">
        <w:t>eria and in auditing interviews</w:t>
      </w:r>
      <w:r>
        <w:t xml:space="preserve"> and preparing staff and auditors for their roles in regulation. It also supports the notion that both auditors and </w:t>
      </w:r>
      <w:proofErr w:type="spellStart"/>
      <w:r>
        <w:t>auditees</w:t>
      </w:r>
      <w:proofErr w:type="spellEnd"/>
      <w:r>
        <w:t xml:space="preserve"> need to be adequately prepared to take part in audit interviews. </w:t>
      </w:r>
    </w:p>
    <w:p w:rsidR="00660E1A" w:rsidRDefault="00660E1A">
      <w:pPr>
        <w:spacing w:before="0" w:line="240" w:lineRule="auto"/>
        <w:rPr>
          <w:rFonts w:ascii="Tahoma" w:hAnsi="Tahoma" w:cs="Tahoma"/>
          <w:color w:val="000000"/>
          <w:sz w:val="24"/>
        </w:rPr>
      </w:pPr>
      <w:r>
        <w:br w:type="page"/>
      </w:r>
    </w:p>
    <w:p w:rsidR="0005399E" w:rsidRDefault="008E41E3" w:rsidP="0005399E">
      <w:pPr>
        <w:pStyle w:val="Heading3"/>
      </w:pPr>
      <w:r w:rsidRPr="00010A52">
        <w:lastRenderedPageBreak/>
        <w:t>Finland</w:t>
      </w:r>
    </w:p>
    <w:p w:rsidR="008E41E3" w:rsidRPr="008E41E3" w:rsidRDefault="008E41E3" w:rsidP="00555AF2">
      <w:pPr>
        <w:pStyle w:val="Textlessbefore"/>
      </w:pPr>
      <w:r w:rsidRPr="008E41E3">
        <w:t xml:space="preserve">Prior to the 1990s quality assurance of VET was based on </w:t>
      </w:r>
      <w:r w:rsidR="00C504E2">
        <w:t>‘</w:t>
      </w:r>
      <w:r w:rsidR="00134012">
        <w:t xml:space="preserve">norms </w:t>
      </w:r>
      <w:r w:rsidRPr="008E41E3">
        <w:t>and inspections</w:t>
      </w:r>
      <w:r w:rsidR="00C504E2">
        <w:t>’</w:t>
      </w:r>
      <w:r w:rsidR="009C4821">
        <w:t xml:space="preserve"> (Finnish National </w:t>
      </w:r>
      <w:r w:rsidR="009C4821" w:rsidRPr="00EB4282">
        <w:t>Board of Education</w:t>
      </w:r>
      <w:r w:rsidR="00537865" w:rsidRPr="00EB4282">
        <w:t xml:space="preserve"> </w:t>
      </w:r>
      <w:r w:rsidR="00C16AD1" w:rsidRPr="00EB4282">
        <w:t>2013</w:t>
      </w:r>
      <w:r w:rsidR="00EB4282">
        <w:t>,</w:t>
      </w:r>
      <w:r w:rsidR="00842B56" w:rsidRPr="00EB4282">
        <w:t xml:space="preserve"> </w:t>
      </w:r>
      <w:r w:rsidR="00C16AD1" w:rsidRPr="00EB4282">
        <w:t>p</w:t>
      </w:r>
      <w:r w:rsidR="00842B56" w:rsidRPr="00EB4282">
        <w:t>.</w:t>
      </w:r>
      <w:r w:rsidR="00C16AD1" w:rsidRPr="00EB4282">
        <w:t>1</w:t>
      </w:r>
      <w:r w:rsidR="00842B56" w:rsidRPr="00EB4282">
        <w:t>)</w:t>
      </w:r>
      <w:r w:rsidR="0005399E" w:rsidRPr="00EB4282">
        <w:t>.</w:t>
      </w:r>
      <w:r w:rsidR="009C4821" w:rsidRPr="00EB4282">
        <w:rPr>
          <w:rStyle w:val="FootnoteReference"/>
        </w:rPr>
        <w:footnoteReference w:id="37"/>
      </w:r>
      <w:r w:rsidRPr="008E41E3">
        <w:t xml:space="preserve"> With the decentralisation of the educational system in the 1990s there has been an attempt to use quality assurance processes to </w:t>
      </w:r>
      <w:r w:rsidR="00C504E2">
        <w:t>‘</w:t>
      </w:r>
      <w:r w:rsidRPr="008E41E3">
        <w:t>strengthen</w:t>
      </w:r>
      <w:r w:rsidR="00C504E2">
        <w:t>’</w:t>
      </w:r>
      <w:r w:rsidRPr="008E41E3">
        <w:t xml:space="preserve"> quality assurance across the system. </w:t>
      </w:r>
      <w:r w:rsidR="003C5C18">
        <w:t>It is a legal requirement that p</w:t>
      </w:r>
      <w:r w:rsidR="00134012">
        <w:t>roviders undertake self-assessment and participate in external evaluations. The results of these evaluations are also published. External evaluations are conducted by an independent evaluation agency under the Ministry of Education and Culture. The focus is on providing information for the further development of providers. There is</w:t>
      </w:r>
      <w:r w:rsidR="00BC211D">
        <w:t xml:space="preserve"> no ranking of institutions. A </w:t>
      </w:r>
      <w:r w:rsidR="0090013B">
        <w:t xml:space="preserve">quality assurance strategy </w:t>
      </w:r>
      <w:r w:rsidR="0005399E">
        <w:t>(2010—</w:t>
      </w:r>
      <w:r w:rsidR="00134012">
        <w:t xml:space="preserve">20) has been established with the aim of ensuring that </w:t>
      </w:r>
      <w:r w:rsidR="00C504E2">
        <w:t>‘</w:t>
      </w:r>
      <w:r w:rsidR="00134012">
        <w:t>all providers apply effective quality assurance systems and that their education personnel have the necessary competencies and commitment</w:t>
      </w:r>
      <w:r w:rsidR="00C504E2">
        <w:t>’</w:t>
      </w:r>
      <w:r w:rsidR="00134012">
        <w:t xml:space="preserve"> (Finn</w:t>
      </w:r>
      <w:r w:rsidR="0005399E">
        <w:t xml:space="preserve">ish National </w:t>
      </w:r>
      <w:r w:rsidR="0005399E" w:rsidRPr="00EB4282">
        <w:t>Board of Education</w:t>
      </w:r>
      <w:r w:rsidR="00537865" w:rsidRPr="00EB4282">
        <w:t xml:space="preserve"> </w:t>
      </w:r>
      <w:r w:rsidR="00C16AD1" w:rsidRPr="00EB4282">
        <w:t>2013</w:t>
      </w:r>
      <w:r w:rsidR="00EB4282">
        <w:t>,</w:t>
      </w:r>
      <w:r w:rsidR="00134012" w:rsidRPr="00EB4282">
        <w:t xml:space="preserve"> p</w:t>
      </w:r>
      <w:r w:rsidR="006E69A3" w:rsidRPr="00EB4282">
        <w:t>.</w:t>
      </w:r>
      <w:r w:rsidR="00134012" w:rsidRPr="00EB4282">
        <w:t>2).</w:t>
      </w:r>
      <w:r w:rsidR="00134012">
        <w:t xml:space="preserve"> Peer learning and peer review are also key features of the</w:t>
      </w:r>
      <w:r w:rsidR="00C750AF">
        <w:t xml:space="preserve"> Finnish</w:t>
      </w:r>
      <w:r w:rsidR="002E3A43">
        <w:t xml:space="preserve"> quality assurance</w:t>
      </w:r>
      <w:r w:rsidR="00134012">
        <w:t xml:space="preserve"> system. Providers</w:t>
      </w:r>
      <w:r w:rsidR="0090013B">
        <w:t>,</w:t>
      </w:r>
      <w:r w:rsidR="00134012">
        <w:t xml:space="preserve"> </w:t>
      </w:r>
      <w:r w:rsidR="0090013B">
        <w:t xml:space="preserve">in conjunction with enterprises, </w:t>
      </w:r>
      <w:r w:rsidR="00134012">
        <w:t>are also required to meet the objectives set out in the qualification requirements</w:t>
      </w:r>
      <w:r w:rsidR="00B86EB2">
        <w:t xml:space="preserve">. </w:t>
      </w:r>
    </w:p>
    <w:p w:rsidR="00CA43D1" w:rsidRDefault="00816C49" w:rsidP="000B47F5">
      <w:pPr>
        <w:pStyle w:val="Heading2"/>
      </w:pPr>
      <w:bookmarkStart w:id="51" w:name="_Toc406514245"/>
      <w:r>
        <w:t>Lessons learned</w:t>
      </w:r>
      <w:bookmarkEnd w:id="51"/>
    </w:p>
    <w:p w:rsidR="002A75C8" w:rsidRDefault="002A75C8" w:rsidP="002A75C8">
      <w:pPr>
        <w:pStyle w:val="Text"/>
      </w:pPr>
      <w:r>
        <w:t>When learners can obtain qualifications for knowledge, skills and competencies acquir</w:t>
      </w:r>
      <w:r w:rsidR="006E69A3">
        <w:t>ed</w:t>
      </w:r>
      <w:r>
        <w:t xml:space="preserve"> in a range of formal, non</w:t>
      </w:r>
      <w:r w:rsidR="0090013B">
        <w:t>-formal and informal situations</w:t>
      </w:r>
      <w:r>
        <w:t xml:space="preserve"> uncertainty about the quality of the qualifications obtained</w:t>
      </w:r>
      <w:r w:rsidR="006E69A3">
        <w:t xml:space="preserve"> may arise</w:t>
      </w:r>
      <w:r>
        <w:t xml:space="preserve">. This uncertainty can reduce trust and confidence in the value of the qualification and </w:t>
      </w:r>
      <w:r w:rsidR="0090013B">
        <w:t xml:space="preserve">limit </w:t>
      </w:r>
      <w:r>
        <w:t>its acceptance by employers and</w:t>
      </w:r>
      <w:r w:rsidR="002E3A43">
        <w:t xml:space="preserve"> the </w:t>
      </w:r>
      <w:r>
        <w:t>individuals themselves. In traditional education systems the general approach has involved a system of inspection</w:t>
      </w:r>
      <w:r w:rsidR="0090013B">
        <w:t>,</w:t>
      </w:r>
      <w:r>
        <w:t xml:space="preserve"> where</w:t>
      </w:r>
      <w:r w:rsidR="006E69A3">
        <w:t>by</w:t>
      </w:r>
      <w:r>
        <w:t xml:space="preserve"> representatives from government regulatory bodies make a physical visit to the institution to investigate the extent to which certain policy directives have been implemented, the perfor</w:t>
      </w:r>
      <w:r w:rsidR="006E69A3">
        <w:t>mance outcomes of students meet</w:t>
      </w:r>
      <w:r>
        <w:t xml:space="preserve"> expectations and targets, and the quality of facilities and equipment</w:t>
      </w:r>
      <w:r w:rsidR="0090013B">
        <w:t xml:space="preserve"> is adequate</w:t>
      </w:r>
      <w:r>
        <w:t xml:space="preserve">. Today the inspectorial approach has either been superseded by or combined with a quality assurance approach. </w:t>
      </w:r>
    </w:p>
    <w:p w:rsidR="006E5356" w:rsidRDefault="00A97BD0" w:rsidP="00A97BD0">
      <w:pPr>
        <w:pStyle w:val="Text"/>
      </w:pPr>
      <w:r>
        <w:t xml:space="preserve">The </w:t>
      </w:r>
      <w:r w:rsidR="006E69A3">
        <w:t xml:space="preserve">quality assurance </w:t>
      </w:r>
      <w:r>
        <w:t xml:space="preserve">approach </w:t>
      </w:r>
      <w:r w:rsidR="000E5F44">
        <w:t xml:space="preserve">is generally </w:t>
      </w:r>
      <w:r>
        <w:t>based on standards which identify what an institution must do</w:t>
      </w:r>
      <w:r w:rsidR="006E69A3">
        <w:t xml:space="preserve"> to be accredited or registered</w:t>
      </w:r>
      <w:r>
        <w:t xml:space="preserve"> and the use of auditors to check on the implementation of the standards. Transgressions lead to </w:t>
      </w:r>
      <w:r w:rsidR="006E5356">
        <w:t xml:space="preserve">the identification </w:t>
      </w:r>
      <w:r w:rsidR="006E69A3">
        <w:t xml:space="preserve">of </w:t>
      </w:r>
      <w:r>
        <w:t>corrective actions</w:t>
      </w:r>
      <w:r w:rsidR="002E3A43">
        <w:t>,</w:t>
      </w:r>
      <w:r>
        <w:t xml:space="preserve"> which must be </w:t>
      </w:r>
      <w:r w:rsidR="006E69A3">
        <w:t>addressed</w:t>
      </w:r>
      <w:r>
        <w:t xml:space="preserve"> to retain accreditation or registration. In some systems accredited qualifications can only be delivered by accredited training providers; in others (like the</w:t>
      </w:r>
      <w:r w:rsidR="006E5356">
        <w:t xml:space="preserve"> jurisdictions</w:t>
      </w:r>
      <w:r w:rsidR="006E69A3">
        <w:t xml:space="preserve"> in the US</w:t>
      </w:r>
      <w:r>
        <w:t>) accreditation is voluntary. In these voluntary systems</w:t>
      </w:r>
      <w:r w:rsidR="006E69A3">
        <w:t>,</w:t>
      </w:r>
      <w:r>
        <w:t xml:space="preserve"> </w:t>
      </w:r>
      <w:r w:rsidR="006E69A3">
        <w:t>to acquire</w:t>
      </w:r>
      <w:r w:rsidR="0090013B">
        <w:t xml:space="preserve"> or retain accreditation status</w:t>
      </w:r>
      <w:r w:rsidR="006E69A3">
        <w:t xml:space="preserve"> </w:t>
      </w:r>
      <w:r>
        <w:t>institutions are bound by the standards for accreditation of the agencies with which they want to be accredited</w:t>
      </w:r>
      <w:r w:rsidR="006E5356">
        <w:t xml:space="preserve">. </w:t>
      </w:r>
    </w:p>
    <w:p w:rsidR="00A97BD0" w:rsidRDefault="006E5356" w:rsidP="00A97BD0">
      <w:pPr>
        <w:pStyle w:val="Text"/>
      </w:pPr>
      <w:r>
        <w:t>The</w:t>
      </w:r>
      <w:r w:rsidR="00A97BD0">
        <w:t xml:space="preserve"> current move to outcomes-oriented learning</w:t>
      </w:r>
      <w:r>
        <w:t xml:space="preserve"> </w:t>
      </w:r>
      <w:r w:rsidR="00A97BD0">
        <w:t>based on learning outcomes, competency standards, or learning</w:t>
      </w:r>
      <w:r w:rsidR="002E3A43">
        <w:t xml:space="preserve"> objectives places the focus of</w:t>
      </w:r>
      <w:r w:rsidR="00A97BD0">
        <w:t xml:space="preserve"> quality assurance more </w:t>
      </w:r>
      <w:r w:rsidR="006E69A3">
        <w:t xml:space="preserve">squarely </w:t>
      </w:r>
      <w:r w:rsidR="00A97BD0">
        <w:t>on assessment activities</w:t>
      </w:r>
      <w:r>
        <w:t xml:space="preserve"> (including for recognition of prior learning and exper</w:t>
      </w:r>
      <w:r w:rsidR="006E69A3">
        <w:t>ience) and</w:t>
      </w:r>
      <w:r>
        <w:t xml:space="preserve"> appropriately q</w:t>
      </w:r>
      <w:r w:rsidR="006E69A3">
        <w:t>ualified teachers and assessors</w:t>
      </w:r>
      <w:r>
        <w:t xml:space="preserve"> than on training delivery or lear</w:t>
      </w:r>
      <w:r w:rsidR="002E3A43">
        <w:t>ning techniques. Nevertheless quality assurance</w:t>
      </w:r>
      <w:r>
        <w:t xml:space="preserve"> systems continue to underscore the need for </w:t>
      </w:r>
      <w:r w:rsidR="000E5F44">
        <w:t xml:space="preserve">ethical </w:t>
      </w:r>
      <w:r>
        <w:t xml:space="preserve">financial and </w:t>
      </w:r>
      <w:r w:rsidR="00747D19">
        <w:t xml:space="preserve">business </w:t>
      </w:r>
      <w:r>
        <w:t xml:space="preserve">management, </w:t>
      </w:r>
      <w:r w:rsidR="00747D19">
        <w:t xml:space="preserve">comprehensive records, </w:t>
      </w:r>
      <w:r>
        <w:t xml:space="preserve">effective </w:t>
      </w:r>
      <w:r w:rsidR="00747D19">
        <w:t>information systems,</w:t>
      </w:r>
      <w:r>
        <w:t xml:space="preserve"> </w:t>
      </w:r>
      <w:r w:rsidR="00747D19">
        <w:t>and</w:t>
      </w:r>
      <w:r>
        <w:t xml:space="preserve"> </w:t>
      </w:r>
      <w:r w:rsidR="00A97BD0">
        <w:t>adequate or up-to-date facilities and equipment</w:t>
      </w:r>
      <w:r w:rsidR="00747D19">
        <w:t>.</w:t>
      </w:r>
      <w:r w:rsidR="004928F1">
        <w:t xml:space="preserve"> </w:t>
      </w:r>
    </w:p>
    <w:p w:rsidR="00660E1A" w:rsidRDefault="00747D19" w:rsidP="00A97BD0">
      <w:pPr>
        <w:pStyle w:val="Text"/>
      </w:pPr>
      <w:r>
        <w:t>Across jurisdictions t</w:t>
      </w:r>
      <w:r w:rsidR="00A97BD0">
        <w:t>here is a desire to improve the transparency and clarity of standards and to reduce unn</w:t>
      </w:r>
      <w:r w:rsidR="00CD6067">
        <w:t>ecessary red tape or bureaucratic detail</w:t>
      </w:r>
      <w:r w:rsidR="00A97BD0">
        <w:t xml:space="preserve">. This </w:t>
      </w:r>
      <w:r w:rsidR="00CD6067">
        <w:t xml:space="preserve">call </w:t>
      </w:r>
      <w:r w:rsidR="00A97BD0">
        <w:t>for simplicity and clarity is widespread, mainly because it m</w:t>
      </w:r>
      <w:r w:rsidR="006E69A3">
        <w:t>eans</w:t>
      </w:r>
      <w:r w:rsidR="00A97BD0">
        <w:t xml:space="preserve"> less demand on both regulators and the regulated, and </w:t>
      </w:r>
      <w:r w:rsidR="006E69A3">
        <w:t>thus</w:t>
      </w:r>
      <w:r w:rsidR="00A97BD0">
        <w:t xml:space="preserve"> helps to improve </w:t>
      </w:r>
    </w:p>
    <w:p w:rsidR="00660E1A" w:rsidRDefault="00660E1A">
      <w:pPr>
        <w:spacing w:before="0" w:line="240" w:lineRule="auto"/>
      </w:pPr>
      <w:r>
        <w:br w:type="page"/>
      </w:r>
    </w:p>
    <w:p w:rsidR="00747D19" w:rsidRDefault="00A97BD0" w:rsidP="00A97BD0">
      <w:pPr>
        <w:pStyle w:val="Text"/>
      </w:pPr>
      <w:r>
        <w:lastRenderedPageBreak/>
        <w:t xml:space="preserve">compliance. Simplicity in </w:t>
      </w:r>
      <w:r w:rsidR="00CD6067">
        <w:t xml:space="preserve">the </w:t>
      </w:r>
      <w:r>
        <w:t xml:space="preserve">standards also </w:t>
      </w:r>
      <w:r w:rsidR="00CD6067">
        <w:t>facilitates</w:t>
      </w:r>
      <w:r>
        <w:t xml:space="preserve"> easier jurisdictional comparisons in systems where comparability is required for labour and student mobility purposes. </w:t>
      </w:r>
      <w:r w:rsidR="00747D19">
        <w:t>The implementation of risk-based approaches to quality assurance is one of the main ways adopted by m</w:t>
      </w:r>
      <w:r w:rsidR="006E69A3">
        <w:t xml:space="preserve">any jurisdictions to reduce red </w:t>
      </w:r>
      <w:r w:rsidR="00747D19">
        <w:t xml:space="preserve">tape. </w:t>
      </w:r>
    </w:p>
    <w:p w:rsidR="00BC211D" w:rsidRDefault="00BC211D">
      <w:pPr>
        <w:spacing w:before="0" w:line="240" w:lineRule="auto"/>
      </w:pPr>
      <w:r>
        <w:br w:type="page"/>
      </w:r>
    </w:p>
    <w:p w:rsidR="008317F2" w:rsidRPr="008317F2" w:rsidRDefault="000E5F44" w:rsidP="000E5F44">
      <w:pPr>
        <w:pStyle w:val="Heading1"/>
      </w:pPr>
      <w:bookmarkStart w:id="52" w:name="_Toc406514246"/>
      <w:r>
        <w:lastRenderedPageBreak/>
        <w:t xml:space="preserve">Conclusions and </w:t>
      </w:r>
      <w:r w:rsidR="00EA7709">
        <w:t>future directions</w:t>
      </w:r>
      <w:bookmarkEnd w:id="52"/>
    </w:p>
    <w:p w:rsidR="00624953" w:rsidRDefault="00EA7709" w:rsidP="00053C9F">
      <w:pPr>
        <w:pStyle w:val="Text"/>
      </w:pPr>
      <w:r>
        <w:t>The</w:t>
      </w:r>
      <w:r w:rsidR="00624953">
        <w:t xml:space="preserve"> aim in this paper was to investigate the ways </w:t>
      </w:r>
      <w:r>
        <w:t xml:space="preserve">by which </w:t>
      </w:r>
      <w:r w:rsidR="00624953">
        <w:t xml:space="preserve">different countries go about developing, approving and maintaining their qualifications. </w:t>
      </w:r>
    </w:p>
    <w:p w:rsidR="00053C9F" w:rsidRDefault="00053C9F" w:rsidP="00053C9F">
      <w:pPr>
        <w:pStyle w:val="Text"/>
      </w:pPr>
      <w:r w:rsidRPr="00EB4282">
        <w:t xml:space="preserve">A key finding is that there is a </w:t>
      </w:r>
      <w:r w:rsidR="00CD6067" w:rsidRPr="00EB4282">
        <w:t>commonality</w:t>
      </w:r>
      <w:r w:rsidRPr="00EB4282">
        <w:t xml:space="preserve"> of </w:t>
      </w:r>
      <w:r w:rsidR="00624953" w:rsidRPr="00EB4282">
        <w:t>ideas</w:t>
      </w:r>
      <w:r w:rsidRPr="00EB4282">
        <w:t xml:space="preserve"> and sometimes practice across </w:t>
      </w:r>
      <w:r w:rsidR="00CD6067" w:rsidRPr="00EB4282">
        <w:t xml:space="preserve">those </w:t>
      </w:r>
      <w:r w:rsidRPr="00EB4282">
        <w:t>jurisdictions</w:t>
      </w:r>
      <w:r w:rsidR="00434335" w:rsidRPr="00EB4282">
        <w:t xml:space="preserve"> with similar drivers for change</w:t>
      </w:r>
      <w:r w:rsidRPr="00EB4282">
        <w:t>.</w:t>
      </w:r>
      <w:r w:rsidR="004F7A35">
        <w:t xml:space="preserve"> </w:t>
      </w:r>
      <w:r w:rsidRPr="00EB4282">
        <w:t>Across jurisdictions</w:t>
      </w:r>
      <w:r w:rsidR="002E3A43">
        <w:t>,</w:t>
      </w:r>
      <w:r w:rsidRPr="00EB4282">
        <w:t xml:space="preserve"> governments are keen to ensure the </w:t>
      </w:r>
      <w:r w:rsidR="00EA7709" w:rsidRPr="00EB4282">
        <w:t>quality of their qualifications</w:t>
      </w:r>
      <w:r w:rsidRPr="00EB4282">
        <w:t xml:space="preserve"> and to involve industry</w:t>
      </w:r>
      <w:r>
        <w:t xml:space="preserve"> and other relevant stakeholders</w:t>
      </w:r>
      <w:r w:rsidR="00624953">
        <w:t xml:space="preserve"> in </w:t>
      </w:r>
      <w:r>
        <w:t xml:space="preserve">the </w:t>
      </w:r>
      <w:r w:rsidR="00DF5394">
        <w:t xml:space="preserve">development of occupational and education standards, </w:t>
      </w:r>
      <w:r w:rsidR="00EA7709">
        <w:t xml:space="preserve">as well as in </w:t>
      </w:r>
      <w:r w:rsidR="00DF5394">
        <w:t xml:space="preserve">the </w:t>
      </w:r>
      <w:r>
        <w:t xml:space="preserve">development and approval </w:t>
      </w:r>
      <w:r w:rsidR="00362FDF">
        <w:t xml:space="preserve">and/or </w:t>
      </w:r>
      <w:r>
        <w:t>accreditation of qualifications frameworks and qualifications</w:t>
      </w:r>
      <w:r w:rsidR="00DF5394">
        <w:t>. T</w:t>
      </w:r>
      <w:r>
        <w:t xml:space="preserve">he </w:t>
      </w:r>
      <w:r w:rsidR="00DF5394">
        <w:t xml:space="preserve">rationalisation and </w:t>
      </w:r>
      <w:r>
        <w:t xml:space="preserve">removal of qualifications once they are in formal registers of qualifications </w:t>
      </w:r>
      <w:r w:rsidR="00624953">
        <w:t>(</w:t>
      </w:r>
      <w:r>
        <w:t>or their equivalent</w:t>
      </w:r>
      <w:r w:rsidR="00624953">
        <w:t>)</w:t>
      </w:r>
      <w:r>
        <w:t xml:space="preserve"> is </w:t>
      </w:r>
      <w:r w:rsidR="00DF5394">
        <w:t xml:space="preserve">more difficult and </w:t>
      </w:r>
      <w:r>
        <w:t xml:space="preserve">less easy to track. Quality assurance processes have been gradually introduced to </w:t>
      </w:r>
      <w:r w:rsidR="00EA7709">
        <w:t>replace</w:t>
      </w:r>
      <w:r>
        <w:t xml:space="preserve"> </w:t>
      </w:r>
      <w:r w:rsidR="00EA7709">
        <w:t>traditional forms of inspection</w:t>
      </w:r>
      <w:r w:rsidR="002E3A43">
        <w:t>,</w:t>
      </w:r>
      <w:r w:rsidR="00EA7709">
        <w:t xml:space="preserve"> </w:t>
      </w:r>
      <w:r>
        <w:t xml:space="preserve">or </w:t>
      </w:r>
      <w:r w:rsidR="002E3A43">
        <w:t xml:space="preserve">they </w:t>
      </w:r>
      <w:r w:rsidR="00EA7709">
        <w:t xml:space="preserve">work in combination </w:t>
      </w:r>
      <w:r>
        <w:t>with</w:t>
      </w:r>
      <w:r w:rsidR="00CD6067">
        <w:t xml:space="preserve"> them</w:t>
      </w:r>
      <w:r w:rsidR="00DF5394">
        <w:t xml:space="preserve">. The use of credit points based on </w:t>
      </w:r>
      <w:r w:rsidR="00EA7709">
        <w:t xml:space="preserve">the </w:t>
      </w:r>
      <w:r w:rsidR="00DF5394">
        <w:t xml:space="preserve">hours typically required for the completion of qualifications is also widespread. </w:t>
      </w:r>
      <w:r w:rsidR="00416705">
        <w:t xml:space="preserve">A picture also emerges of governments </w:t>
      </w:r>
      <w:r w:rsidR="00CD6067">
        <w:t>relinquishing</w:t>
      </w:r>
      <w:r w:rsidR="00416705">
        <w:t xml:space="preserve"> central control in countries</w:t>
      </w:r>
      <w:r w:rsidR="002E3A43">
        <w:t xml:space="preserve"> with traditional qualifications </w:t>
      </w:r>
      <w:r w:rsidR="00416705">
        <w:t xml:space="preserve">systems and governments tightening control in countries </w:t>
      </w:r>
      <w:r w:rsidR="00EA7709">
        <w:t>where</w:t>
      </w:r>
      <w:r w:rsidR="00416705">
        <w:t xml:space="preserve"> systems </w:t>
      </w:r>
      <w:r w:rsidR="00EA7709">
        <w:t>have been reform</w:t>
      </w:r>
      <w:r w:rsidR="00CD6067">
        <w:t>ed,</w:t>
      </w:r>
      <w:r w:rsidR="00EA7709">
        <w:t xml:space="preserve"> with the aim of making them more flexible and market-</w:t>
      </w:r>
      <w:r w:rsidR="00416705">
        <w:t xml:space="preserve">driven. </w:t>
      </w:r>
    </w:p>
    <w:p w:rsidR="009627C6" w:rsidRDefault="00BF0E74" w:rsidP="009627C6">
      <w:pPr>
        <w:pStyle w:val="Heading2"/>
      </w:pPr>
      <w:bookmarkStart w:id="53" w:name="_Toc406514247"/>
      <w:r>
        <w:t>Qualifications framework</w:t>
      </w:r>
      <w:r w:rsidR="00DF5394">
        <w:t>s and qualifications</w:t>
      </w:r>
      <w:bookmarkEnd w:id="53"/>
    </w:p>
    <w:p w:rsidR="00053C9F" w:rsidRDefault="00262096" w:rsidP="00884F2D">
      <w:pPr>
        <w:pStyle w:val="Text"/>
      </w:pPr>
      <w:r>
        <w:t xml:space="preserve">The </w:t>
      </w:r>
      <w:r w:rsidR="00957F6C">
        <w:t xml:space="preserve">major </w:t>
      </w:r>
      <w:r>
        <w:t xml:space="preserve">aim of </w:t>
      </w:r>
      <w:r w:rsidR="00FA5ECD">
        <w:t xml:space="preserve">many </w:t>
      </w:r>
      <w:r w:rsidR="00BF0E74">
        <w:t>qualifications framework</w:t>
      </w:r>
      <w:r>
        <w:t xml:space="preserve">s </w:t>
      </w:r>
      <w:r w:rsidR="00957F6C">
        <w:t xml:space="preserve">is to provide a classification of the qualifications available in a system and the relationships between them. There is a </w:t>
      </w:r>
      <w:r w:rsidR="00BC038A">
        <w:t xml:space="preserve">common </w:t>
      </w:r>
      <w:r w:rsidR="00CD6067">
        <w:t>agreement</w:t>
      </w:r>
      <w:r w:rsidR="00BC038A">
        <w:t xml:space="preserve"> </w:t>
      </w:r>
      <w:r w:rsidR="00CD6067">
        <w:t>on</w:t>
      </w:r>
      <w:r w:rsidR="00BC038A">
        <w:t xml:space="preserve"> the importance of </w:t>
      </w:r>
      <w:r w:rsidR="00957F6C">
        <w:t>frameworks</w:t>
      </w:r>
      <w:r w:rsidR="002E3A43">
        <w:t xml:space="preserve"> in</w:t>
      </w:r>
      <w:r w:rsidR="00957F6C">
        <w:t xml:space="preserve"> help</w:t>
      </w:r>
      <w:r w:rsidR="00BC038A">
        <w:t xml:space="preserve">ing </w:t>
      </w:r>
      <w:r w:rsidR="00957F6C">
        <w:t xml:space="preserve">to ensure </w:t>
      </w:r>
      <w:r>
        <w:t xml:space="preserve">national and international credibility, </w:t>
      </w:r>
      <w:r w:rsidR="002A75C8">
        <w:t xml:space="preserve">enhance </w:t>
      </w:r>
      <w:r w:rsidR="00CD6067">
        <w:t xml:space="preserve">the </w:t>
      </w:r>
      <w:r>
        <w:t>transparency and comparability</w:t>
      </w:r>
      <w:r w:rsidR="0013198C">
        <w:t xml:space="preserve"> </w:t>
      </w:r>
      <w:r w:rsidR="00957F6C">
        <w:t>of qualifications</w:t>
      </w:r>
      <w:r w:rsidR="002D02D2">
        <w:t xml:space="preserve">, </w:t>
      </w:r>
      <w:r w:rsidR="0013198C">
        <w:t xml:space="preserve">and </w:t>
      </w:r>
      <w:r w:rsidR="00BC038A">
        <w:t>enable</w:t>
      </w:r>
      <w:r w:rsidR="0013198C">
        <w:t xml:space="preserve"> smooth transitions </w:t>
      </w:r>
      <w:r w:rsidR="00BC038A">
        <w:t xml:space="preserve">(or permeability) </w:t>
      </w:r>
      <w:r w:rsidR="0013198C">
        <w:t xml:space="preserve">between and across qualification levels and between education and work. </w:t>
      </w:r>
      <w:r w:rsidR="00EA7709">
        <w:t>While t</w:t>
      </w:r>
      <w:r w:rsidR="00053C9F">
        <w:t>here are differences between the number</w:t>
      </w:r>
      <w:r w:rsidR="00DF5394">
        <w:t>s</w:t>
      </w:r>
      <w:r w:rsidR="00053C9F">
        <w:t xml:space="preserve"> of levels used</w:t>
      </w:r>
      <w:r w:rsidR="00EA7709">
        <w:t xml:space="preserve"> in</w:t>
      </w:r>
      <w:r w:rsidR="00053C9F">
        <w:t xml:space="preserve"> different national </w:t>
      </w:r>
      <w:r w:rsidR="00BF0E74">
        <w:t>qualifications framework</w:t>
      </w:r>
      <w:r w:rsidR="00053C9F">
        <w:t>s</w:t>
      </w:r>
      <w:r w:rsidR="00CD6067">
        <w:t>,</w:t>
      </w:r>
      <w:r w:rsidR="005A7BD7">
        <w:t xml:space="preserve"> they generally range from eight</w:t>
      </w:r>
      <w:r w:rsidR="00053C9F">
        <w:t xml:space="preserve"> to 12. </w:t>
      </w:r>
      <w:r w:rsidR="00434335">
        <w:t xml:space="preserve">The internationalisation of frameworks and qualification levels (for example, by referencing them to regional </w:t>
      </w:r>
      <w:r w:rsidR="00BF0E74">
        <w:t>qualifications framework</w:t>
      </w:r>
      <w:r w:rsidR="00434335">
        <w:t xml:space="preserve">s (like the </w:t>
      </w:r>
      <w:r w:rsidR="00253C76">
        <w:t>European Qualifications Framework</w:t>
      </w:r>
      <w:r w:rsidR="00434335">
        <w:t xml:space="preserve"> in the European U</w:t>
      </w:r>
      <w:r w:rsidR="00253C76">
        <w:t>nion)</w:t>
      </w:r>
      <w:r w:rsidR="00434335">
        <w:t xml:space="preserve"> and the acceptance of</w:t>
      </w:r>
      <w:r w:rsidR="00253C76">
        <w:t xml:space="preserve"> concepts of mutual recognition mean</w:t>
      </w:r>
      <w:r w:rsidR="00434335">
        <w:t xml:space="preserve"> that</w:t>
      </w:r>
      <w:r w:rsidR="005A7BD7">
        <w:t>,</w:t>
      </w:r>
      <w:r w:rsidR="00434335">
        <w:t xml:space="preserve"> increasingly</w:t>
      </w:r>
      <w:r w:rsidR="005A7BD7">
        <w:t>,</w:t>
      </w:r>
      <w:r w:rsidR="00434335">
        <w:t xml:space="preserve"> providers must trust the qualifications and the quality assurance processes of other systems. </w:t>
      </w:r>
    </w:p>
    <w:p w:rsidR="00736E54" w:rsidRDefault="00FF1E3B" w:rsidP="002276E1">
      <w:pPr>
        <w:pStyle w:val="Text"/>
      </w:pPr>
      <w:r>
        <w:t>There is a</w:t>
      </w:r>
      <w:r w:rsidR="00394E31">
        <w:t>lso a</w:t>
      </w:r>
      <w:r>
        <w:t xml:space="preserve"> common desire for qualifications </w:t>
      </w:r>
      <w:r w:rsidR="001A314E">
        <w:t>to have relevance to the current and future labour markets in which they operate</w:t>
      </w:r>
      <w:r w:rsidR="001A314E" w:rsidRPr="001A314E">
        <w:t xml:space="preserve"> </w:t>
      </w:r>
      <w:r w:rsidR="00394E31">
        <w:t>to help drive</w:t>
      </w:r>
      <w:r w:rsidR="00BC038A">
        <w:t xml:space="preserve"> up</w:t>
      </w:r>
      <w:r w:rsidR="001A314E">
        <w:t xml:space="preserve"> </w:t>
      </w:r>
      <w:r w:rsidR="002A75C8">
        <w:t xml:space="preserve">productivity and </w:t>
      </w:r>
      <w:r w:rsidR="001A314E">
        <w:t xml:space="preserve">competitiveness. </w:t>
      </w:r>
      <w:r w:rsidR="00253C76">
        <w:t>The</w:t>
      </w:r>
      <w:r w:rsidR="00262096">
        <w:t xml:space="preserve"> learning outcomes approach </w:t>
      </w:r>
      <w:r w:rsidR="00BC038A">
        <w:t xml:space="preserve">used across jurisdictions </w:t>
      </w:r>
      <w:r w:rsidR="00CD6067">
        <w:t>emphasises</w:t>
      </w:r>
      <w:r w:rsidR="00262096">
        <w:t xml:space="preserve"> what an individual </w:t>
      </w:r>
      <w:r w:rsidR="00CD6067">
        <w:t>should</w:t>
      </w:r>
      <w:r w:rsidR="00262096">
        <w:t xml:space="preserve"> know, do</w:t>
      </w:r>
      <w:r w:rsidR="001A314E">
        <w:t>,</w:t>
      </w:r>
      <w:r w:rsidR="00262096">
        <w:t xml:space="preserve"> and understand</w:t>
      </w:r>
      <w:r w:rsidR="00957F6C">
        <w:t xml:space="preserve"> at different qualification levels</w:t>
      </w:r>
      <w:r w:rsidR="00CD6067">
        <w:t>. S</w:t>
      </w:r>
      <w:r w:rsidR="00BC038A">
        <w:t xml:space="preserve">uch outcomes-oriented learning (whether outcomes </w:t>
      </w:r>
      <w:r w:rsidR="00253C76">
        <w:t>are</w:t>
      </w:r>
      <w:r w:rsidR="00BC038A">
        <w:t xml:space="preserve"> </w:t>
      </w:r>
      <w:r w:rsidR="00DF5394">
        <w:t>described as</w:t>
      </w:r>
      <w:r w:rsidR="00BC038A">
        <w:t xml:space="preserve"> learning outcomes, competency standards, or learning objectives) places the focus on </w:t>
      </w:r>
      <w:r w:rsidR="00394E31">
        <w:t xml:space="preserve">the reliability and validity of </w:t>
      </w:r>
      <w:r w:rsidR="00BC038A">
        <w:t>assessment</w:t>
      </w:r>
      <w:r w:rsidR="00394E31">
        <w:t>s</w:t>
      </w:r>
      <w:r w:rsidR="00DF5394">
        <w:t xml:space="preserve">. The recognition of prior learning is also becoming widespread as education systems </w:t>
      </w:r>
      <w:r w:rsidR="00253C76">
        <w:t>attempt</w:t>
      </w:r>
      <w:r w:rsidR="00DF5394">
        <w:t xml:space="preserve"> to raise their stock of qualifications and fulfil their ambition to become inclusive.</w:t>
      </w:r>
      <w:r w:rsidR="004928F1">
        <w:t xml:space="preserve"> </w:t>
      </w:r>
      <w:r w:rsidR="003F5800">
        <w:t>In some countries a system of external assessments</w:t>
      </w:r>
      <w:r w:rsidR="00253C76">
        <w:t>,</w:t>
      </w:r>
      <w:r w:rsidR="003F5800">
        <w:t xml:space="preserve"> set </w:t>
      </w:r>
      <w:r w:rsidR="006C3D52">
        <w:t xml:space="preserve">and conducted </w:t>
      </w:r>
      <w:r w:rsidR="003F5800">
        <w:t xml:space="preserve">by government agencies or </w:t>
      </w:r>
      <w:r w:rsidR="006C3D52">
        <w:t>competent</w:t>
      </w:r>
      <w:r w:rsidR="003F5800">
        <w:t xml:space="preserve"> industry bodie</w:t>
      </w:r>
      <w:r w:rsidR="00253C76">
        <w:t>s,</w:t>
      </w:r>
      <w:r w:rsidR="003F5800">
        <w:t xml:space="preserve"> ha</w:t>
      </w:r>
      <w:r w:rsidR="00736E54">
        <w:t>s</w:t>
      </w:r>
      <w:r w:rsidR="003F5800">
        <w:t xml:space="preserve"> been and continue</w:t>
      </w:r>
      <w:r w:rsidR="00736E54">
        <w:t>s</w:t>
      </w:r>
      <w:r w:rsidR="003F5800">
        <w:t xml:space="preserve"> to be used </w:t>
      </w:r>
      <w:r w:rsidR="00736E54">
        <w:t>in the assessment of</w:t>
      </w:r>
      <w:r w:rsidR="003F5800">
        <w:t xml:space="preserve"> the skills acq</w:t>
      </w:r>
      <w:r w:rsidR="00253C76">
        <w:t>uired by students</w:t>
      </w:r>
      <w:r w:rsidR="003F5800">
        <w:t xml:space="preserve"> or to verify assessments conducted by training providers. </w:t>
      </w:r>
    </w:p>
    <w:p w:rsidR="002276E1" w:rsidRDefault="002276E1" w:rsidP="002276E1">
      <w:pPr>
        <w:pStyle w:val="Text"/>
      </w:pPr>
      <w:r>
        <w:t xml:space="preserve">Processes for the removal of qualifications </w:t>
      </w:r>
      <w:r w:rsidR="00253C76">
        <w:t>were</w:t>
      </w:r>
      <w:r>
        <w:t xml:space="preserve"> more difficult to </w:t>
      </w:r>
      <w:r w:rsidR="006C3D52">
        <w:t>investigate</w:t>
      </w:r>
      <w:r>
        <w:t xml:space="preserve">. This is because few jurisdictions actually describe their processes </w:t>
      </w:r>
      <w:r w:rsidR="0094702B">
        <w:t>on</w:t>
      </w:r>
      <w:r w:rsidR="006C3D52">
        <w:t xml:space="preserve"> </w:t>
      </w:r>
      <w:r>
        <w:t xml:space="preserve">public websites. </w:t>
      </w:r>
      <w:r w:rsidR="0094702B">
        <w:t xml:space="preserve">Those we have managed to access </w:t>
      </w:r>
      <w:r>
        <w:t xml:space="preserve">rely on patterns of uptake, with low or zero uptake for a period of two years a common </w:t>
      </w:r>
      <w:r w:rsidR="006C3D52">
        <w:t xml:space="preserve">trigger for </w:t>
      </w:r>
      <w:r w:rsidR="0094702B">
        <w:t xml:space="preserve">qualification </w:t>
      </w:r>
      <w:r w:rsidR="006C3D52">
        <w:t>removal</w:t>
      </w:r>
      <w:r>
        <w:t xml:space="preserve"> used in the United Kingdom</w:t>
      </w:r>
      <w:r w:rsidR="006C3D52">
        <w:t xml:space="preserve"> (</w:t>
      </w:r>
      <w:r>
        <w:t>including Scotland</w:t>
      </w:r>
      <w:r w:rsidR="006C3D52">
        <w:t>)</w:t>
      </w:r>
      <w:r>
        <w:t xml:space="preserve"> and New Zealand. </w:t>
      </w:r>
    </w:p>
    <w:p w:rsidR="002276E1" w:rsidRDefault="002276E1" w:rsidP="002276E1">
      <w:pPr>
        <w:pStyle w:val="Text"/>
      </w:pPr>
      <w:r>
        <w:lastRenderedPageBreak/>
        <w:t>Increasingly</w:t>
      </w:r>
      <w:r w:rsidR="0094702B">
        <w:t>,</w:t>
      </w:r>
      <w:r>
        <w:t xml:space="preserve"> governments require the involvement of stakeholders (including representatives from industry, employers, unions, professional experts, training providers and sometimes students and communities). In some jurisdictions industry stakeholders </w:t>
      </w:r>
      <w:r w:rsidR="0094702B">
        <w:t>have responsibility</w:t>
      </w:r>
      <w:r>
        <w:t xml:space="preserve"> for developing or approving qualifications</w:t>
      </w:r>
      <w:r w:rsidR="009627C6">
        <w:t>;</w:t>
      </w:r>
      <w:r>
        <w:t xml:space="preserve"> in others they sit on national committees to both develop and review qualifications. Where the involvement of stakeholders is embedded in training regulations the social partners (unions and employers) have a legislative right to be part of the approving of qualifications.</w:t>
      </w:r>
    </w:p>
    <w:p w:rsidR="009627C6" w:rsidRDefault="009627C6" w:rsidP="009627C6">
      <w:pPr>
        <w:pStyle w:val="Heading2"/>
      </w:pPr>
      <w:bookmarkStart w:id="54" w:name="_Toc406514248"/>
      <w:r>
        <w:t>Systems for assuring quality</w:t>
      </w:r>
      <w:bookmarkEnd w:id="54"/>
    </w:p>
    <w:p w:rsidR="002276E1" w:rsidRDefault="003F5800" w:rsidP="009530FE">
      <w:pPr>
        <w:pStyle w:val="Text"/>
      </w:pPr>
      <w:r>
        <w:t xml:space="preserve">The general approach to quality has traditionally involved representatives from government regulatory bodies </w:t>
      </w:r>
      <w:r w:rsidR="0094702B">
        <w:t>visiting</w:t>
      </w:r>
      <w:r>
        <w:t xml:space="preserve"> the institution to investigate the extent to which</w:t>
      </w:r>
      <w:r w:rsidR="00736E54">
        <w:t>:</w:t>
      </w:r>
      <w:r>
        <w:t xml:space="preserve"> certain policy directive</w:t>
      </w:r>
      <w:r w:rsidR="00736E54">
        <w:t>s have been implemented;</w:t>
      </w:r>
      <w:r>
        <w:t xml:space="preserve"> the performance outcomes of student</w:t>
      </w:r>
      <w:r w:rsidR="00736E54">
        <w:t>s meet expectations and targets;</w:t>
      </w:r>
      <w:r>
        <w:t xml:space="preserve"> and the facilities and equipment are adequate and suitable for training. </w:t>
      </w:r>
      <w:r w:rsidR="0094702B">
        <w:t>The</w:t>
      </w:r>
      <w:r>
        <w:t xml:space="preserve"> inspectorial approach still exist</w:t>
      </w:r>
      <w:r w:rsidR="0094702B">
        <w:t>s in many countries, especially</w:t>
      </w:r>
      <w:r>
        <w:t xml:space="preserve"> European Union member states</w:t>
      </w:r>
      <w:r w:rsidR="008C1F04">
        <w:t>,</w:t>
      </w:r>
      <w:r>
        <w:t xml:space="preserve"> but it has often been combined with a quality assurance approach. </w:t>
      </w:r>
      <w:r w:rsidR="0046219C">
        <w:t xml:space="preserve">The </w:t>
      </w:r>
      <w:r w:rsidR="0094702B">
        <w:t xml:space="preserve">quality assurance </w:t>
      </w:r>
      <w:r w:rsidR="0046219C">
        <w:t xml:space="preserve">approach </w:t>
      </w:r>
      <w:r w:rsidR="0094702B">
        <w:t>or a</w:t>
      </w:r>
      <w:r>
        <w:t xml:space="preserve">ccreditation approach (used in the United States) </w:t>
      </w:r>
      <w:r w:rsidR="008F6C61">
        <w:t>is often</w:t>
      </w:r>
      <w:r w:rsidR="0046219C">
        <w:t xml:space="preserve"> based on standards which identify what an institution must do to be accredited or regis</w:t>
      </w:r>
      <w:r w:rsidR="00736E54">
        <w:t>tered</w:t>
      </w:r>
      <w:r w:rsidR="0046219C">
        <w:t xml:space="preserve"> </w:t>
      </w:r>
      <w:r w:rsidR="00736E54">
        <w:t>in combination with</w:t>
      </w:r>
      <w:r w:rsidR="0046219C">
        <w:t xml:space="preserve"> </w:t>
      </w:r>
      <w:r w:rsidR="008C1F04">
        <w:t xml:space="preserve">on-site visits by </w:t>
      </w:r>
      <w:r>
        <w:t xml:space="preserve">external </w:t>
      </w:r>
      <w:r w:rsidR="0046219C">
        <w:t xml:space="preserve">auditors </w:t>
      </w:r>
      <w:r w:rsidR="00736E54">
        <w:t>or panels of auditors</w:t>
      </w:r>
      <w:r w:rsidR="008C1F04">
        <w:t xml:space="preserve"> </w:t>
      </w:r>
      <w:r w:rsidR="0046219C">
        <w:t xml:space="preserve">to check on the implementation of the standards. </w:t>
      </w:r>
      <w:r w:rsidR="0094702B">
        <w:t xml:space="preserve">The </w:t>
      </w:r>
      <w:r w:rsidR="005A7BD7">
        <w:t>quality assurance</w:t>
      </w:r>
      <w:r w:rsidR="007D2CC6">
        <w:t xml:space="preserve"> standards used for V</w:t>
      </w:r>
      <w:r w:rsidR="008C1F04">
        <w:t>ET in these systems</w:t>
      </w:r>
      <w:r w:rsidR="0094702B">
        <w:t xml:space="preserve"> are broadly similar and</w:t>
      </w:r>
      <w:r w:rsidR="008C1F04">
        <w:t xml:space="preserve"> </w:t>
      </w:r>
      <w:r w:rsidR="008F6C61">
        <w:t xml:space="preserve">include standards for </w:t>
      </w:r>
      <w:r w:rsidR="0094702B">
        <w:t>ethical conduct;</w:t>
      </w:r>
      <w:r w:rsidR="008C1F04">
        <w:t xml:space="preserve"> </w:t>
      </w:r>
      <w:r w:rsidR="008F6C61">
        <w:t>fi</w:t>
      </w:r>
      <w:r w:rsidR="0094702B">
        <w:t>nancial and business management;</w:t>
      </w:r>
      <w:r w:rsidR="008F6C61">
        <w:t xml:space="preserve"> </w:t>
      </w:r>
      <w:r w:rsidR="0094702B">
        <w:t>teacher and assessor competence;</w:t>
      </w:r>
      <w:r w:rsidR="008F6C61">
        <w:t xml:space="preserve"> management information systems</w:t>
      </w:r>
      <w:r w:rsidR="0094702B">
        <w:t>;</w:t>
      </w:r>
      <w:r w:rsidR="008F6C61">
        <w:t xml:space="preserve"> </w:t>
      </w:r>
      <w:r w:rsidR="0094702B">
        <w:t>access and equity;</w:t>
      </w:r>
      <w:r>
        <w:t xml:space="preserve"> and </w:t>
      </w:r>
      <w:r w:rsidR="008F6C61">
        <w:t xml:space="preserve">consumer protection. </w:t>
      </w:r>
      <w:r w:rsidR="0046219C">
        <w:t xml:space="preserve">In some systems </w:t>
      </w:r>
      <w:r>
        <w:t xml:space="preserve">recognised qualifications </w:t>
      </w:r>
      <w:r w:rsidR="0046219C">
        <w:t>can only be delivered by accredited training pr</w:t>
      </w:r>
      <w:r w:rsidR="0094702B">
        <w:t>oviders; in others (like the US</w:t>
      </w:r>
      <w:r w:rsidR="0046219C">
        <w:t>) accreditation is voluntary. In these voluntary systems</w:t>
      </w:r>
      <w:r w:rsidR="002276E1">
        <w:t>, however,</w:t>
      </w:r>
      <w:r w:rsidR="0046219C">
        <w:t xml:space="preserve"> institutions are bound by the standards for accreditation of the agencies with wh</w:t>
      </w:r>
      <w:r w:rsidR="00736E54">
        <w:t>om they may</w:t>
      </w:r>
      <w:r w:rsidR="0046219C">
        <w:t xml:space="preserve"> </w:t>
      </w:r>
      <w:r w:rsidR="008C1F04">
        <w:t>seek or gain accreditation</w:t>
      </w:r>
      <w:r w:rsidR="003C5988">
        <w:t xml:space="preserve">. </w:t>
      </w:r>
      <w:r w:rsidR="00577A9A">
        <w:t xml:space="preserve">Increasingly there is a focus on mechanisms to ensure that those who deliver </w:t>
      </w:r>
      <w:r w:rsidR="00362FDF">
        <w:t xml:space="preserve">and/or </w:t>
      </w:r>
      <w:r w:rsidR="00577A9A">
        <w:t>award recognised qualifications are accredited with national regulators or accreditation agencies</w:t>
      </w:r>
      <w:r w:rsidR="008F6C61">
        <w:t xml:space="preserve"> recognised by government</w:t>
      </w:r>
      <w:r w:rsidR="00577A9A">
        <w:t xml:space="preserve">. In many cases this accreditation is required to access government funding. </w:t>
      </w:r>
    </w:p>
    <w:p w:rsidR="009530FE" w:rsidRDefault="003C5988" w:rsidP="009530FE">
      <w:pPr>
        <w:pStyle w:val="Text"/>
      </w:pPr>
      <w:r>
        <w:t xml:space="preserve">As part of their quality assurance mechanisms a number of jurisdictions use </w:t>
      </w:r>
      <w:r w:rsidR="00736E54">
        <w:t xml:space="preserve">a process whereby </w:t>
      </w:r>
      <w:r w:rsidR="008C1F04">
        <w:t xml:space="preserve">training providers </w:t>
      </w:r>
      <w:r w:rsidR="00736E54">
        <w:t xml:space="preserve">formally self-assess </w:t>
      </w:r>
      <w:r>
        <w:t>to address</w:t>
      </w:r>
      <w:r w:rsidR="005A7BD7">
        <w:t xml:space="preserve"> the</w:t>
      </w:r>
      <w:r w:rsidR="002276E1">
        <w:t xml:space="preserve"> externally developed criteria set down by regulatory bodies or accreditation agencies</w:t>
      </w:r>
      <w:r>
        <w:t>. Self-</w:t>
      </w:r>
      <w:r w:rsidR="009530FE">
        <w:t xml:space="preserve">assessment is </w:t>
      </w:r>
      <w:r>
        <w:t>considered</w:t>
      </w:r>
      <w:r w:rsidR="009530FE">
        <w:t xml:space="preserve"> to help providers </w:t>
      </w:r>
      <w:r>
        <w:t xml:space="preserve">to </w:t>
      </w:r>
      <w:r w:rsidR="009530FE">
        <w:t xml:space="preserve">improve their performance, and regulators to regulate compliance. </w:t>
      </w:r>
      <w:r w:rsidR="002276E1">
        <w:t>However, self-assessments are</w:t>
      </w:r>
      <w:r w:rsidR="005A7BD7">
        <w:t xml:space="preserve"> normally</w:t>
      </w:r>
      <w:r w:rsidR="002276E1">
        <w:t xml:space="preserve"> the precursors to </w:t>
      </w:r>
      <w:r w:rsidR="001E2F9D">
        <w:t xml:space="preserve">systematic forms of </w:t>
      </w:r>
      <w:r w:rsidR="002276E1">
        <w:t>external eval</w:t>
      </w:r>
      <w:r>
        <w:t>uations. In some countries self-</w:t>
      </w:r>
      <w:r w:rsidR="002276E1">
        <w:t xml:space="preserve">assessments are </w:t>
      </w:r>
      <w:r>
        <w:t xml:space="preserve">intended </w:t>
      </w:r>
      <w:r w:rsidR="00736E54">
        <w:t>to have a developmental purpose,</w:t>
      </w:r>
      <w:r w:rsidR="002276E1">
        <w:t xml:space="preserve"> but the publication of data on public websites </w:t>
      </w:r>
      <w:r w:rsidR="005A7BD7">
        <w:t>can distort this aim</w:t>
      </w:r>
      <w:r w:rsidR="00736E54">
        <w:t>, with</w:t>
      </w:r>
      <w:r w:rsidR="002276E1">
        <w:t xml:space="preserve"> providers </w:t>
      </w:r>
      <w:r w:rsidR="001E2F9D">
        <w:t xml:space="preserve">found to be </w:t>
      </w:r>
      <w:r>
        <w:t>far more focu</w:t>
      </w:r>
      <w:r w:rsidR="002276E1">
        <w:t xml:space="preserve">sed on the rating </w:t>
      </w:r>
      <w:r w:rsidR="001E2F9D">
        <w:t xml:space="preserve">achieved than </w:t>
      </w:r>
      <w:r>
        <w:t>on strategies for self-improvement.</w:t>
      </w:r>
    </w:p>
    <w:p w:rsidR="009627C6" w:rsidRDefault="009627C6" w:rsidP="009627C6">
      <w:pPr>
        <w:pStyle w:val="Heading2"/>
      </w:pPr>
      <w:bookmarkStart w:id="55" w:name="_Toc406514249"/>
      <w:r>
        <w:t>Regulatory practice</w:t>
      </w:r>
      <w:bookmarkEnd w:id="55"/>
      <w:r>
        <w:t xml:space="preserve"> </w:t>
      </w:r>
    </w:p>
    <w:p w:rsidR="00F8089D" w:rsidRDefault="005A7BD7" w:rsidP="00F8089D">
      <w:pPr>
        <w:pStyle w:val="Text"/>
      </w:pPr>
      <w:r>
        <w:t>The g</w:t>
      </w:r>
      <w:r w:rsidR="00577A9A">
        <w:t xml:space="preserve">overnments </w:t>
      </w:r>
      <w:r w:rsidR="006A7850">
        <w:t xml:space="preserve">in most countries </w:t>
      </w:r>
      <w:r w:rsidR="00577A9A">
        <w:t xml:space="preserve">have a clear </w:t>
      </w:r>
      <w:r w:rsidR="008F6C61">
        <w:t xml:space="preserve">legislative </w:t>
      </w:r>
      <w:r w:rsidR="00577A9A">
        <w:t xml:space="preserve">role in the implementation </w:t>
      </w:r>
      <w:r w:rsidR="00362FDF">
        <w:t xml:space="preserve">and/or </w:t>
      </w:r>
      <w:r w:rsidR="00577A9A">
        <w:t xml:space="preserve">funding of </w:t>
      </w:r>
      <w:r w:rsidR="008F6C61">
        <w:t xml:space="preserve">accredited </w:t>
      </w:r>
      <w:r w:rsidR="00577A9A">
        <w:t>VET provision</w:t>
      </w:r>
      <w:r w:rsidR="001E2F9D">
        <w:t>,</w:t>
      </w:r>
      <w:r w:rsidR="00577A9A">
        <w:t xml:space="preserve"> with providers being given more autonomy in some </w:t>
      </w:r>
      <w:r w:rsidR="00577A9A" w:rsidRPr="00EB4282">
        <w:t xml:space="preserve">jurisdictions than </w:t>
      </w:r>
      <w:r>
        <w:t xml:space="preserve">in </w:t>
      </w:r>
      <w:r w:rsidR="00577A9A" w:rsidRPr="00EB4282">
        <w:t xml:space="preserve">others. </w:t>
      </w:r>
      <w:r w:rsidR="003C5988" w:rsidRPr="00EB4282">
        <w:rPr>
          <w:lang w:val="en-US"/>
        </w:rPr>
        <w:t xml:space="preserve">Those </w:t>
      </w:r>
      <w:r w:rsidR="00736E54" w:rsidRPr="00EB4282">
        <w:rPr>
          <w:lang w:val="en-US"/>
        </w:rPr>
        <w:t>systems</w:t>
      </w:r>
      <w:r w:rsidR="00F8089D" w:rsidRPr="00EB4282">
        <w:t xml:space="preserve"> </w:t>
      </w:r>
      <w:r w:rsidR="00736E54" w:rsidRPr="00EB4282">
        <w:t xml:space="preserve">currently </w:t>
      </w:r>
      <w:r w:rsidR="00F8089D" w:rsidRPr="00EB4282">
        <w:t xml:space="preserve">revisiting their regulatory frameworks </w:t>
      </w:r>
      <w:r w:rsidR="003C5988" w:rsidRPr="00EB4282">
        <w:t>are aiming to</w:t>
      </w:r>
      <w:r w:rsidR="00F8089D" w:rsidRPr="00EB4282">
        <w:t xml:space="preserve"> increase </w:t>
      </w:r>
      <w:r w:rsidR="00745035" w:rsidRPr="00EB4282">
        <w:t xml:space="preserve">the </w:t>
      </w:r>
      <w:r w:rsidR="00F8089D" w:rsidRPr="00EB4282">
        <w:t>simplicity and clarity of</w:t>
      </w:r>
      <w:r w:rsidR="00842B56" w:rsidRPr="00EB4282">
        <w:t xml:space="preserve"> their quality </w:t>
      </w:r>
      <w:r w:rsidR="00745035" w:rsidRPr="00EB4282">
        <w:t>standards</w:t>
      </w:r>
      <w:r w:rsidR="004F7A35">
        <w:t xml:space="preserve"> </w:t>
      </w:r>
      <w:r w:rsidR="00F8089D" w:rsidRPr="00EB4282">
        <w:t>and to reduce regulatory burden</w:t>
      </w:r>
      <w:r w:rsidR="002276E1" w:rsidRPr="00EB4282">
        <w:t xml:space="preserve">. Risk-based approaches are increasingly being applied </w:t>
      </w:r>
      <w:r w:rsidR="003C5988" w:rsidRPr="00EB4282">
        <w:t>to identify</w:t>
      </w:r>
      <w:r w:rsidR="00F8089D" w:rsidRPr="00EB4282">
        <w:t xml:space="preserve"> where regulatory action </w:t>
      </w:r>
      <w:r w:rsidR="003C5988" w:rsidRPr="00EB4282">
        <w:t>is re</w:t>
      </w:r>
      <w:r w:rsidR="003C5988">
        <w:t>quired</w:t>
      </w:r>
      <w:r w:rsidR="002276E1">
        <w:t>. Key to these forms of regulation</w:t>
      </w:r>
      <w:r w:rsidR="00F8089D">
        <w:t xml:space="preserve"> is </w:t>
      </w:r>
      <w:r w:rsidR="002276E1">
        <w:t xml:space="preserve">having </w:t>
      </w:r>
      <w:r w:rsidR="00F8089D">
        <w:t xml:space="preserve">good information </w:t>
      </w:r>
      <w:r w:rsidR="00C971DE">
        <w:t>on</w:t>
      </w:r>
      <w:r w:rsidR="00F8089D">
        <w:t xml:space="preserve"> </w:t>
      </w:r>
      <w:r w:rsidR="00563FE7">
        <w:t>organisations</w:t>
      </w:r>
      <w:r w:rsidR="00C504E2">
        <w:t>’</w:t>
      </w:r>
      <w:r w:rsidR="00563FE7">
        <w:t xml:space="preserve"> previous </w:t>
      </w:r>
      <w:r w:rsidR="00F8089D">
        <w:t xml:space="preserve">patterns and trends in </w:t>
      </w:r>
      <w:r w:rsidR="00563FE7">
        <w:t xml:space="preserve">their </w:t>
      </w:r>
      <w:r w:rsidR="00F8089D">
        <w:t xml:space="preserve">regulatory behaviour </w:t>
      </w:r>
      <w:r w:rsidR="00C971DE">
        <w:t xml:space="preserve">in order </w:t>
      </w:r>
      <w:r w:rsidR="001E2F9D">
        <w:t xml:space="preserve">to </w:t>
      </w:r>
      <w:r w:rsidR="00C971DE">
        <w:t>assist in</w:t>
      </w:r>
      <w:r w:rsidR="00F8089D">
        <w:t xml:space="preserve"> identify</w:t>
      </w:r>
      <w:r w:rsidR="00C971DE">
        <w:t>ing</w:t>
      </w:r>
      <w:r w:rsidR="00F8089D">
        <w:t xml:space="preserve"> priority problems and issues </w:t>
      </w:r>
      <w:r>
        <w:t xml:space="preserve">as well as </w:t>
      </w:r>
      <w:r w:rsidR="001E2F9D">
        <w:t>organisations for further investigation</w:t>
      </w:r>
      <w:r w:rsidR="00F8089D">
        <w:t xml:space="preserve">. </w:t>
      </w:r>
    </w:p>
    <w:p w:rsidR="006A7850" w:rsidRDefault="006A7850" w:rsidP="006A7850">
      <w:pPr>
        <w:pStyle w:val="Text"/>
        <w:rPr>
          <w:lang w:val="en-US"/>
        </w:rPr>
      </w:pPr>
      <w:r>
        <w:lastRenderedPageBreak/>
        <w:t>Government r</w:t>
      </w:r>
      <w:proofErr w:type="spellStart"/>
      <w:r w:rsidRPr="007774F2">
        <w:rPr>
          <w:lang w:val="en-US"/>
        </w:rPr>
        <w:t>egulatory</w:t>
      </w:r>
      <w:proofErr w:type="spellEnd"/>
      <w:r w:rsidRPr="007774F2">
        <w:rPr>
          <w:lang w:val="en-US"/>
        </w:rPr>
        <w:t xml:space="preserve"> frameworks </w:t>
      </w:r>
      <w:r>
        <w:rPr>
          <w:lang w:val="en-US"/>
        </w:rPr>
        <w:t xml:space="preserve">are believed to </w:t>
      </w:r>
      <w:r w:rsidRPr="007774F2">
        <w:rPr>
          <w:lang w:val="en-US"/>
        </w:rPr>
        <w:t>preserv</w:t>
      </w:r>
      <w:r>
        <w:rPr>
          <w:lang w:val="en-US"/>
        </w:rPr>
        <w:t>e</w:t>
      </w:r>
      <w:r w:rsidRPr="007774F2">
        <w:rPr>
          <w:lang w:val="en-US"/>
        </w:rPr>
        <w:t xml:space="preserve"> the integrity </w:t>
      </w:r>
      <w:r>
        <w:rPr>
          <w:lang w:val="en-US"/>
        </w:rPr>
        <w:t xml:space="preserve">and credibility </w:t>
      </w:r>
      <w:r w:rsidRPr="007774F2">
        <w:rPr>
          <w:lang w:val="en-US"/>
        </w:rPr>
        <w:t xml:space="preserve">of nationally </w:t>
      </w:r>
      <w:proofErr w:type="spellStart"/>
      <w:r w:rsidRPr="007774F2">
        <w:rPr>
          <w:lang w:val="en-US"/>
        </w:rPr>
        <w:t>recognised</w:t>
      </w:r>
      <w:proofErr w:type="spellEnd"/>
      <w:r w:rsidRPr="007774F2">
        <w:rPr>
          <w:lang w:val="en-US"/>
        </w:rPr>
        <w:t xml:space="preserve"> qualifications</w:t>
      </w:r>
      <w:r>
        <w:rPr>
          <w:lang w:val="en-US"/>
        </w:rPr>
        <w:t xml:space="preserve">. </w:t>
      </w:r>
      <w:r w:rsidRPr="007774F2">
        <w:rPr>
          <w:lang w:val="en-US"/>
        </w:rPr>
        <w:t xml:space="preserve">This is because </w:t>
      </w:r>
      <w:r>
        <w:rPr>
          <w:lang w:val="en-US"/>
        </w:rPr>
        <w:t>well-</w:t>
      </w:r>
      <w:proofErr w:type="spellStart"/>
      <w:r>
        <w:rPr>
          <w:lang w:val="en-US"/>
        </w:rPr>
        <w:t>recognised</w:t>
      </w:r>
      <w:proofErr w:type="spellEnd"/>
      <w:r>
        <w:rPr>
          <w:lang w:val="en-US"/>
        </w:rPr>
        <w:t xml:space="preserve"> and trusted qualifications can provide </w:t>
      </w:r>
      <w:r w:rsidR="00082AE2">
        <w:rPr>
          <w:lang w:val="en-US"/>
        </w:rPr>
        <w:t xml:space="preserve">clear </w:t>
      </w:r>
      <w:r w:rsidR="00082AE2" w:rsidRPr="007774F2">
        <w:rPr>
          <w:lang w:val="en-US"/>
        </w:rPr>
        <w:t>indications</w:t>
      </w:r>
      <w:r w:rsidR="002F5089">
        <w:rPr>
          <w:lang w:val="en-US"/>
        </w:rPr>
        <w:t xml:space="preserve"> t</w:t>
      </w:r>
      <w:r w:rsidRPr="007774F2">
        <w:rPr>
          <w:lang w:val="en-US"/>
        </w:rPr>
        <w:t xml:space="preserve">o the </w:t>
      </w:r>
      <w:proofErr w:type="spellStart"/>
      <w:r w:rsidRPr="007774F2">
        <w:rPr>
          <w:lang w:val="en-US"/>
        </w:rPr>
        <w:t>labour</w:t>
      </w:r>
      <w:proofErr w:type="spellEnd"/>
      <w:r w:rsidRPr="007774F2">
        <w:rPr>
          <w:lang w:val="en-US"/>
        </w:rPr>
        <w:t xml:space="preserve"> market </w:t>
      </w:r>
      <w:r>
        <w:rPr>
          <w:lang w:val="en-US"/>
        </w:rPr>
        <w:t>about</w:t>
      </w:r>
      <w:r w:rsidRPr="007774F2">
        <w:rPr>
          <w:lang w:val="en-US"/>
        </w:rPr>
        <w:t xml:space="preserve"> the knowledge </w:t>
      </w:r>
      <w:r>
        <w:rPr>
          <w:lang w:val="en-US"/>
        </w:rPr>
        <w:t xml:space="preserve">and skills </w:t>
      </w:r>
      <w:r w:rsidRPr="007774F2">
        <w:rPr>
          <w:lang w:val="en-US"/>
        </w:rPr>
        <w:t>that an individual has acquired</w:t>
      </w:r>
      <w:r>
        <w:rPr>
          <w:lang w:val="en-US"/>
        </w:rPr>
        <w:t xml:space="preserve">. </w:t>
      </w:r>
      <w:r w:rsidR="005A7BD7" w:rsidRPr="007A7AA8">
        <w:rPr>
          <w:lang w:val="en-US"/>
        </w:rPr>
        <w:t xml:space="preserve">Regulatory </w:t>
      </w:r>
      <w:r w:rsidR="007A7AA8">
        <w:rPr>
          <w:lang w:val="en-US"/>
        </w:rPr>
        <w:t xml:space="preserve">frameworks also help </w:t>
      </w:r>
      <w:r w:rsidRPr="007A7AA8">
        <w:rPr>
          <w:lang w:val="en-US"/>
        </w:rPr>
        <w:t>employers</w:t>
      </w:r>
      <w:r w:rsidRPr="007774F2">
        <w:rPr>
          <w:lang w:val="en-US"/>
        </w:rPr>
        <w:t xml:space="preserve"> and graduates to have confidence in the quality of the qualifications.</w:t>
      </w:r>
      <w:r w:rsidR="004928F1">
        <w:rPr>
          <w:lang w:val="en-US"/>
        </w:rPr>
        <w:t xml:space="preserve"> </w:t>
      </w:r>
    </w:p>
    <w:p w:rsidR="002D02D2" w:rsidRDefault="00FA5ECD" w:rsidP="009627C6">
      <w:pPr>
        <w:pStyle w:val="Heading2"/>
      </w:pPr>
      <w:bookmarkStart w:id="56" w:name="_Toc406514250"/>
      <w:r>
        <w:t>Way forward</w:t>
      </w:r>
      <w:bookmarkEnd w:id="56"/>
    </w:p>
    <w:p w:rsidR="00A04718" w:rsidRDefault="00C971DE" w:rsidP="000E5F44">
      <w:pPr>
        <w:pStyle w:val="Text"/>
      </w:pPr>
      <w:r>
        <w:t>In this paper w</w:t>
      </w:r>
      <w:r w:rsidR="00414448">
        <w:t xml:space="preserve">e have used a desk-top analysis of information that is </w:t>
      </w:r>
      <w:r w:rsidR="00563FE7">
        <w:t>readily available</w:t>
      </w:r>
      <w:r w:rsidR="00414448">
        <w:t xml:space="preserve"> on public websites and publications</w:t>
      </w:r>
      <w:r w:rsidRPr="00C971DE">
        <w:t xml:space="preserve"> </w:t>
      </w:r>
      <w:r>
        <w:t xml:space="preserve">to provide information on </w:t>
      </w:r>
      <w:r w:rsidR="005A7BD7">
        <w:t>how</w:t>
      </w:r>
      <w:r>
        <w:t xml:space="preserve"> selected country comparators develop, approve and maintain their qualifications</w:t>
      </w:r>
      <w:r w:rsidR="00414448">
        <w:t>. Despite the limitations</w:t>
      </w:r>
      <w:r>
        <w:t xml:space="preserve"> to this approach noted earlier,</w:t>
      </w:r>
      <w:r w:rsidR="00414448">
        <w:t xml:space="preserve"> we have been able to access a range of useful information</w:t>
      </w:r>
      <w:r>
        <w:t>. We</w:t>
      </w:r>
      <w:r w:rsidR="00A04718">
        <w:t xml:space="preserve"> make the following final observations:</w:t>
      </w:r>
    </w:p>
    <w:p w:rsidR="00A04718" w:rsidRDefault="00C971DE" w:rsidP="00555AF2">
      <w:pPr>
        <w:pStyle w:val="Dotpoint1"/>
      </w:pPr>
      <w:r>
        <w:t>M</w:t>
      </w:r>
      <w:r w:rsidR="00DA74DF">
        <w:t>any of the iss</w:t>
      </w:r>
      <w:r w:rsidR="00281FAC">
        <w:t xml:space="preserve">ues being faced overseas in the development of </w:t>
      </w:r>
      <w:r w:rsidR="00BF0E74">
        <w:t>qualifications framework</w:t>
      </w:r>
      <w:r w:rsidR="00281FAC">
        <w:t xml:space="preserve">s, </w:t>
      </w:r>
      <w:r>
        <w:t>the</w:t>
      </w:r>
      <w:r w:rsidR="00281FAC">
        <w:t xml:space="preserve"> </w:t>
      </w:r>
      <w:r>
        <w:t xml:space="preserve">qualifications themselves </w:t>
      </w:r>
      <w:r w:rsidR="00281FAC">
        <w:t xml:space="preserve">and quality assurance frameworks have </w:t>
      </w:r>
      <w:r w:rsidR="00A04718">
        <w:t xml:space="preserve">already been debated </w:t>
      </w:r>
      <w:r w:rsidR="00281FAC">
        <w:t xml:space="preserve">in the early </w:t>
      </w:r>
      <w:r>
        <w:t>establishment</w:t>
      </w:r>
      <w:r w:rsidR="00281FAC">
        <w:t xml:space="preserve"> and recent revisions of </w:t>
      </w:r>
      <w:r w:rsidR="00C2741B">
        <w:t>Australia</w:t>
      </w:r>
      <w:r w:rsidR="00C504E2">
        <w:t>’</w:t>
      </w:r>
      <w:r w:rsidR="00C2741B">
        <w:t>s</w:t>
      </w:r>
      <w:r w:rsidR="00281FAC">
        <w:t xml:space="preserve"> frameworks and systems. </w:t>
      </w:r>
      <w:r w:rsidR="00A04718">
        <w:t>Nevertheless</w:t>
      </w:r>
      <w:r w:rsidR="00C2741B">
        <w:t>,</w:t>
      </w:r>
      <w:r w:rsidR="00A04718">
        <w:t xml:space="preserve"> practices used in other jurisdictions </w:t>
      </w:r>
      <w:r w:rsidR="00C2741B">
        <w:t>are likely to be</w:t>
      </w:r>
      <w:r w:rsidR="00A04718">
        <w:t xml:space="preserve"> </w:t>
      </w:r>
      <w:r w:rsidR="002F5089">
        <w:t>of interest</w:t>
      </w:r>
      <w:r w:rsidR="00A04718">
        <w:t xml:space="preserve">, especially </w:t>
      </w:r>
      <w:r w:rsidR="00C2741B">
        <w:t>in relation to</w:t>
      </w:r>
      <w:r w:rsidR="00A04718">
        <w:t xml:space="preserve"> the guidance provided to </w:t>
      </w:r>
      <w:r w:rsidR="007D2CC6">
        <w:t xml:space="preserve">registered providers </w:t>
      </w:r>
      <w:r w:rsidR="005A7BD7">
        <w:t>in preparing for external audits</w:t>
      </w:r>
      <w:r w:rsidR="00A04718">
        <w:t xml:space="preserve"> </w:t>
      </w:r>
      <w:r w:rsidR="00B0083A">
        <w:t xml:space="preserve">and </w:t>
      </w:r>
      <w:r w:rsidR="00A04718">
        <w:t xml:space="preserve">the use of risk-based approaches to identify </w:t>
      </w:r>
      <w:r w:rsidR="00563FE7">
        <w:t xml:space="preserve">the </w:t>
      </w:r>
      <w:r w:rsidR="00A04718">
        <w:t>regulator</w:t>
      </w:r>
      <w:r w:rsidR="00C2741B">
        <w:t xml:space="preserve">y action </w:t>
      </w:r>
      <w:r w:rsidR="00563FE7">
        <w:t>most appropriate</w:t>
      </w:r>
      <w:r w:rsidR="00842B56">
        <w:t>.</w:t>
      </w:r>
      <w:r w:rsidR="004F7A35">
        <w:t xml:space="preserve"> </w:t>
      </w:r>
      <w:r w:rsidR="00C2741B">
        <w:t>The</w:t>
      </w:r>
      <w:r w:rsidR="00A04718">
        <w:t xml:space="preserve"> practices used by overseas regulators to deal with unacceptable transgressions</w:t>
      </w:r>
      <w:r w:rsidR="005A7BD7">
        <w:t>, which</w:t>
      </w:r>
      <w:r w:rsidR="00A04718">
        <w:t xml:space="preserve"> might invoke removal of accreditation or registration status</w:t>
      </w:r>
      <w:r w:rsidR="005A7BD7">
        <w:t>,</w:t>
      </w:r>
      <w:r w:rsidR="00C2741B">
        <w:t xml:space="preserve"> might also be useful to the Australian context</w:t>
      </w:r>
      <w:r w:rsidR="00A04718">
        <w:t>.</w:t>
      </w:r>
      <w:r w:rsidR="004928F1">
        <w:t xml:space="preserve"> </w:t>
      </w:r>
    </w:p>
    <w:p w:rsidR="00871678" w:rsidRDefault="00C2741B" w:rsidP="00555AF2">
      <w:pPr>
        <w:pStyle w:val="Dotpoint1"/>
        <w:ind w:right="141"/>
      </w:pPr>
      <w:r>
        <w:t>R</w:t>
      </w:r>
      <w:r w:rsidR="00376AFF">
        <w:t>isk-based quality assurance mechanisms based on</w:t>
      </w:r>
      <w:r>
        <w:t xml:space="preserve"> decreasing regulation for high-</w:t>
      </w:r>
      <w:r w:rsidR="00376AFF">
        <w:t>performing institutions and increasing investigations for those considered to be of higher risk</w:t>
      </w:r>
      <w:r w:rsidR="00871678">
        <w:t xml:space="preserve"> should be more closely </w:t>
      </w:r>
      <w:r w:rsidR="001E2F9D">
        <w:t>investigated</w:t>
      </w:r>
      <w:r w:rsidR="00376AFF">
        <w:t xml:space="preserve">. </w:t>
      </w:r>
      <w:r w:rsidR="00871678">
        <w:t xml:space="preserve">Risk-based approaches involve the identification of triggers </w:t>
      </w:r>
      <w:r w:rsidR="00563FE7">
        <w:t>that prompt</w:t>
      </w:r>
      <w:r w:rsidR="00871678">
        <w:t xml:space="preserve"> evalua</w:t>
      </w:r>
      <w:r>
        <w:t>tion and regulatory behaviour. In t</w:t>
      </w:r>
      <w:r w:rsidR="00871678">
        <w:t xml:space="preserve">he Florida </w:t>
      </w:r>
      <w:r w:rsidR="001E2F9D">
        <w:t xml:space="preserve">Department of Education </w:t>
      </w:r>
      <w:r w:rsidR="00871678">
        <w:t xml:space="preserve">approach a rating system </w:t>
      </w:r>
      <w:r>
        <w:t xml:space="preserve">is used that is </w:t>
      </w:r>
      <w:r w:rsidR="00871678">
        <w:t xml:space="preserve">based on volume of activity, results of compliance reviews, and history of required corrective actions. </w:t>
      </w:r>
      <w:r w:rsidR="00563FE7">
        <w:t>The UK</w:t>
      </w:r>
      <w:r w:rsidR="00C504E2">
        <w:t>’</w:t>
      </w:r>
      <w:r w:rsidR="00563FE7">
        <w:t xml:space="preserve">s </w:t>
      </w:r>
      <w:proofErr w:type="spellStart"/>
      <w:r w:rsidR="00871678">
        <w:t>Ofqual</w:t>
      </w:r>
      <w:proofErr w:type="spellEnd"/>
      <w:r w:rsidR="00871678">
        <w:t xml:space="preserve"> takes into account an awarding body</w:t>
      </w:r>
      <w:r w:rsidR="00C504E2">
        <w:t>’</w:t>
      </w:r>
      <w:r w:rsidR="00871678">
        <w:t xml:space="preserve">s history in submitting applications </w:t>
      </w:r>
      <w:r>
        <w:t>in which issues for investigation are regularly raised</w:t>
      </w:r>
      <w:r w:rsidR="00871678">
        <w:t xml:space="preserve">. </w:t>
      </w:r>
      <w:proofErr w:type="spellStart"/>
      <w:r>
        <w:t>Ofqual</w:t>
      </w:r>
      <w:r w:rsidR="00C504E2">
        <w:t>’</w:t>
      </w:r>
      <w:r>
        <w:t>s</w:t>
      </w:r>
      <w:proofErr w:type="spellEnd"/>
      <w:r w:rsidR="00871678">
        <w:t xml:space="preserve"> system for categorising qualifications according to </w:t>
      </w:r>
      <w:r>
        <w:t>low-</w:t>
      </w:r>
      <w:r w:rsidR="00871678">
        <w:t xml:space="preserve"> and </w:t>
      </w:r>
      <w:r>
        <w:t>high-</w:t>
      </w:r>
      <w:r w:rsidR="00871678">
        <w:t xml:space="preserve">scrutiny </w:t>
      </w:r>
      <w:r>
        <w:t xml:space="preserve">attention </w:t>
      </w:r>
      <w:r w:rsidR="00871678">
        <w:t xml:space="preserve">also </w:t>
      </w:r>
      <w:r w:rsidR="008B3DFD">
        <w:t>deserves consideration.</w:t>
      </w:r>
      <w:r w:rsidR="00871678">
        <w:t xml:space="preserve"> The </w:t>
      </w:r>
      <w:r w:rsidR="008B3DFD">
        <w:t xml:space="preserve">external evaluation and review </w:t>
      </w:r>
      <w:r w:rsidR="00871678">
        <w:t xml:space="preserve">process used in New Zealand uses risk ratings of </w:t>
      </w:r>
      <w:r w:rsidR="00563FE7">
        <w:t>a provider</w:t>
      </w:r>
      <w:r w:rsidR="00C504E2">
        <w:t>’</w:t>
      </w:r>
      <w:r w:rsidR="00563FE7">
        <w:t xml:space="preserve">s </w:t>
      </w:r>
      <w:r w:rsidR="00871678">
        <w:t>capacity to undertake self-assessment as indicators for closer and further regulatory action.</w:t>
      </w:r>
      <w:r w:rsidR="001E2F9D">
        <w:t xml:space="preserve"> </w:t>
      </w:r>
    </w:p>
    <w:p w:rsidR="00376AFF" w:rsidRDefault="00871678" w:rsidP="00555AF2">
      <w:pPr>
        <w:pStyle w:val="Dotpoint1"/>
      </w:pPr>
      <w:r>
        <w:t>Involving stakeholders in the design and assessment of qualifications is a feature of many systems</w:t>
      </w:r>
      <w:r w:rsidR="00F36FEB">
        <w:t xml:space="preserve"> at the national level, where it is sometimes legislated. H</w:t>
      </w:r>
      <w:r>
        <w:t xml:space="preserve">owever, </w:t>
      </w:r>
      <w:r w:rsidR="001E2F9D">
        <w:t xml:space="preserve">it is important to note that </w:t>
      </w:r>
      <w:r w:rsidR="00F36FEB">
        <w:t>stakeholder</w:t>
      </w:r>
      <w:r w:rsidR="001E2F9D">
        <w:t xml:space="preserve"> </w:t>
      </w:r>
      <w:r>
        <w:t xml:space="preserve">involvement may be constrained by the ability and availability </w:t>
      </w:r>
      <w:r w:rsidR="001E2F9D">
        <w:t xml:space="preserve">of stakeholders </w:t>
      </w:r>
      <w:r>
        <w:t xml:space="preserve">to </w:t>
      </w:r>
      <w:r w:rsidR="001E2F9D">
        <w:t xml:space="preserve">meaningfully </w:t>
      </w:r>
      <w:r w:rsidR="008B3DFD">
        <w:t>participate in these activities</w:t>
      </w:r>
      <w:r>
        <w:t xml:space="preserve">. Identifying the type </w:t>
      </w:r>
      <w:r w:rsidR="00811226">
        <w:t xml:space="preserve">and extent </w:t>
      </w:r>
      <w:r>
        <w:t xml:space="preserve">of involvement </w:t>
      </w:r>
      <w:r w:rsidR="00811226">
        <w:t xml:space="preserve">that can be reasonably expected from industry, community or student stakeholders may be an important step </w:t>
      </w:r>
      <w:r w:rsidR="008B3DFD">
        <w:t>in</w:t>
      </w:r>
      <w:r w:rsidR="00811226">
        <w:t xml:space="preserve"> ensuring </w:t>
      </w:r>
      <w:r w:rsidR="00F36FEB">
        <w:t>they can provide valued input into the design of q</w:t>
      </w:r>
      <w:r w:rsidR="00811226">
        <w:t>ualifications</w:t>
      </w:r>
      <w:r w:rsidR="00F36FEB">
        <w:t xml:space="preserve">, especially in systems where </w:t>
      </w:r>
      <w:r w:rsidR="008B3DFD">
        <w:t>these</w:t>
      </w:r>
      <w:r w:rsidR="00F36FEB">
        <w:t xml:space="preserve"> stakeholders have </w:t>
      </w:r>
      <w:r w:rsidR="008B3DFD">
        <w:t>no formal legal role</w:t>
      </w:r>
      <w:r w:rsidR="00F36FEB">
        <w:t xml:space="preserve">. </w:t>
      </w:r>
      <w:r w:rsidR="00811226">
        <w:t xml:space="preserve">Practices used for the verification of assessments in the United Kingdom or skills demonstrations in Finland may be useful points </w:t>
      </w:r>
      <w:r w:rsidR="006A7850">
        <w:t>for</w:t>
      </w:r>
      <w:r w:rsidR="00811226">
        <w:t xml:space="preserve"> further investigation.</w:t>
      </w:r>
      <w:r w:rsidR="004928F1">
        <w:t xml:space="preserve"> </w:t>
      </w:r>
    </w:p>
    <w:p w:rsidR="00DA47A0" w:rsidRDefault="005A7BD7" w:rsidP="00555AF2">
      <w:pPr>
        <w:pStyle w:val="Dotpoint1"/>
      </w:pPr>
      <w:r>
        <w:t>The implementation of zero-or limited-</w:t>
      </w:r>
      <w:r w:rsidR="00DA47A0">
        <w:t xml:space="preserve">uptake policies (or the like) for the removal of qualifications makes good sense in systems where there has been a proliferation of qualifications, especially if </w:t>
      </w:r>
      <w:r>
        <w:t>this</w:t>
      </w:r>
      <w:r w:rsidR="00DA47A0">
        <w:t xml:space="preserve"> </w:t>
      </w:r>
      <w:r w:rsidR="00243FAF">
        <w:t>implies a</w:t>
      </w:r>
      <w:r w:rsidR="00DA47A0">
        <w:t xml:space="preserve"> drain on public funding. However,</w:t>
      </w:r>
      <w:r w:rsidR="004F7A35">
        <w:t xml:space="preserve"> </w:t>
      </w:r>
      <w:r>
        <w:t xml:space="preserve">at certain points in time </w:t>
      </w:r>
      <w:r w:rsidR="00DA47A0">
        <w:t xml:space="preserve">it will be important to protect </w:t>
      </w:r>
      <w:r w:rsidR="00301551">
        <w:t>essential</w:t>
      </w:r>
      <w:r w:rsidR="00DA47A0">
        <w:t xml:space="preserve"> qualifications </w:t>
      </w:r>
      <w:r>
        <w:t>with</w:t>
      </w:r>
      <w:r w:rsidR="00301551">
        <w:t xml:space="preserve"> zero or limited uptake </w:t>
      </w:r>
      <w:r w:rsidR="00DA47A0">
        <w:t>(for example, some specialised occupations in the funeral services industry).</w:t>
      </w:r>
      <w:r w:rsidR="004F7A35">
        <w:t xml:space="preserve"> </w:t>
      </w:r>
      <w:r w:rsidR="00DA47A0">
        <w:t xml:space="preserve"> </w:t>
      </w:r>
    </w:p>
    <w:p w:rsidR="009A320E" w:rsidRDefault="00A438B0" w:rsidP="00555AF2">
      <w:pPr>
        <w:pStyle w:val="Dotpoint1"/>
      </w:pPr>
      <w:r>
        <w:lastRenderedPageBreak/>
        <w:t>No matter how qualifications are designed, approved or maintained</w:t>
      </w:r>
      <w:r w:rsidR="008B3DFD">
        <w:t>,</w:t>
      </w:r>
      <w:r>
        <w:t xml:space="preserve"> their </w:t>
      </w:r>
      <w:r w:rsidR="00212082">
        <w:t xml:space="preserve">integrity depends on the capacity of teachers, trainers, assessors, verifiers and </w:t>
      </w:r>
      <w:r w:rsidR="00624953">
        <w:t xml:space="preserve">quality </w:t>
      </w:r>
      <w:r w:rsidR="00212082">
        <w:t xml:space="preserve">auditors to </w:t>
      </w:r>
      <w:r w:rsidR="00624953">
        <w:t>perform</w:t>
      </w:r>
      <w:r w:rsidR="00212082">
        <w:t xml:space="preserve"> their </w:t>
      </w:r>
      <w:r w:rsidR="00CA3E79">
        <w:t xml:space="preserve">specific </w:t>
      </w:r>
      <w:r w:rsidR="00212082">
        <w:t xml:space="preserve">roles to </w:t>
      </w:r>
      <w:r w:rsidR="00563FE7">
        <w:t xml:space="preserve">the </w:t>
      </w:r>
      <w:r w:rsidR="00212082">
        <w:t xml:space="preserve">desired and expected standards. </w:t>
      </w:r>
      <w:r w:rsidR="008B3DFD">
        <w:t>The</w:t>
      </w:r>
      <w:r w:rsidR="00212082">
        <w:t xml:space="preserve"> skills and knowledge of these players </w:t>
      </w:r>
      <w:r w:rsidR="00563FE7">
        <w:t>is</w:t>
      </w:r>
      <w:r w:rsidR="006A7850">
        <w:t xml:space="preserve"> critical to credible qualifications. S</w:t>
      </w:r>
      <w:r w:rsidR="00212082">
        <w:t xml:space="preserve">uitable initial teacher training and continuing professional development programs </w:t>
      </w:r>
      <w:r w:rsidR="006A7850">
        <w:t xml:space="preserve">can help </w:t>
      </w:r>
      <w:r w:rsidR="008B3DFD">
        <w:t xml:space="preserve">to </w:t>
      </w:r>
      <w:r w:rsidR="006A7850">
        <w:t xml:space="preserve">ensure </w:t>
      </w:r>
      <w:r w:rsidR="00CA3E79">
        <w:t xml:space="preserve">that teachers and trainers are aware of </w:t>
      </w:r>
      <w:r w:rsidR="00277045">
        <w:t xml:space="preserve">— and utilise — </w:t>
      </w:r>
      <w:r w:rsidR="00CA3E79">
        <w:t xml:space="preserve">current teaching </w:t>
      </w:r>
      <w:r w:rsidR="00624953">
        <w:t xml:space="preserve">and assessment </w:t>
      </w:r>
      <w:r w:rsidR="00CA3E79">
        <w:t xml:space="preserve">methodologies, technological innovations, up-to-date equipment and materials, </w:t>
      </w:r>
      <w:r w:rsidR="00624953">
        <w:t xml:space="preserve">and </w:t>
      </w:r>
      <w:r w:rsidR="00CA3E79">
        <w:t>appropriate ways for dealing with students from different ethnic groups</w:t>
      </w:r>
      <w:r w:rsidR="00624953">
        <w:t xml:space="preserve"> and demographics. </w:t>
      </w:r>
      <w:r w:rsidR="006A7850">
        <w:t xml:space="preserve">Appropriate training </w:t>
      </w:r>
      <w:r w:rsidR="00624953">
        <w:t xml:space="preserve">for assessors and verifiers to </w:t>
      </w:r>
      <w:r w:rsidR="00277045">
        <w:t xml:space="preserve">facilitate their </w:t>
      </w:r>
      <w:r w:rsidR="00624953">
        <w:t>understand</w:t>
      </w:r>
      <w:r w:rsidR="00277045">
        <w:t>ing of</w:t>
      </w:r>
      <w:r w:rsidR="00624953">
        <w:t xml:space="preserve"> the key requirements of</w:t>
      </w:r>
      <w:r w:rsidR="00277045">
        <w:t xml:space="preserve"> valid and reliable assessments</w:t>
      </w:r>
      <w:r w:rsidR="00624953">
        <w:t xml:space="preserve"> </w:t>
      </w:r>
      <w:r w:rsidR="006A7850">
        <w:t>a</w:t>
      </w:r>
      <w:r w:rsidR="00277045">
        <w:t>s well as the</w:t>
      </w:r>
      <w:r w:rsidR="006A7850">
        <w:t xml:space="preserve"> processes for validation and moderation is also required. Training </w:t>
      </w:r>
      <w:r w:rsidR="00277045">
        <w:t>to produce</w:t>
      </w:r>
      <w:r w:rsidR="006A7850">
        <w:t xml:space="preserve"> quality </w:t>
      </w:r>
      <w:r w:rsidR="00624953">
        <w:t xml:space="preserve">auditors </w:t>
      </w:r>
      <w:r w:rsidR="00277045">
        <w:t xml:space="preserve">with the capacity to encourage </w:t>
      </w:r>
      <w:r w:rsidR="00624953">
        <w:t>cooperation from those to be audited</w:t>
      </w:r>
      <w:r w:rsidR="00277045">
        <w:t>, including</w:t>
      </w:r>
      <w:r w:rsidR="00624953">
        <w:t xml:space="preserve"> </w:t>
      </w:r>
      <w:r w:rsidR="00277045">
        <w:t xml:space="preserve">in understanding </w:t>
      </w:r>
      <w:r w:rsidR="00624953">
        <w:t>the types of evidence that must be presented</w:t>
      </w:r>
      <w:r w:rsidR="00277045">
        <w:t>,</w:t>
      </w:r>
      <w:r w:rsidR="006A7850">
        <w:t xml:space="preserve"> would also help </w:t>
      </w:r>
      <w:r w:rsidR="00277045">
        <w:t xml:space="preserve">to </w:t>
      </w:r>
      <w:r w:rsidR="006A7850">
        <w:t>monitor the quality of training and assessment</w:t>
      </w:r>
      <w:r w:rsidR="00624953">
        <w:t xml:space="preserve">. </w:t>
      </w:r>
    </w:p>
    <w:p w:rsidR="009A320E" w:rsidRDefault="009A320E" w:rsidP="00C971DE">
      <w:pPr>
        <w:pStyle w:val="ListParagraph"/>
        <w:numPr>
          <w:ilvl w:val="0"/>
          <w:numId w:val="30"/>
        </w:numPr>
        <w:spacing w:before="0" w:line="240" w:lineRule="auto"/>
      </w:pPr>
      <w:r>
        <w:br w:type="page"/>
      </w:r>
    </w:p>
    <w:p w:rsidR="009A320E" w:rsidRDefault="009A320E" w:rsidP="009A320E">
      <w:pPr>
        <w:pStyle w:val="Heading1"/>
      </w:pPr>
      <w:bookmarkStart w:id="57" w:name="_Toc456000800"/>
      <w:bookmarkStart w:id="58" w:name="_Toc457122465"/>
      <w:bookmarkStart w:id="59" w:name="_Toc188077643"/>
      <w:bookmarkStart w:id="60" w:name="_Toc406514251"/>
      <w:r>
        <w:lastRenderedPageBreak/>
        <w:t>References</w:t>
      </w:r>
      <w:bookmarkEnd w:id="57"/>
      <w:bookmarkEnd w:id="58"/>
      <w:bookmarkEnd w:id="59"/>
      <w:bookmarkEnd w:id="60"/>
      <w:r>
        <w:t xml:space="preserve"> </w:t>
      </w:r>
    </w:p>
    <w:p w:rsidR="009A320E" w:rsidRDefault="009A320E" w:rsidP="00C504E2">
      <w:pPr>
        <w:pStyle w:val="References"/>
        <w:ind w:right="-284"/>
        <w:rPr>
          <w:rStyle w:val="Hyperlink"/>
        </w:rPr>
      </w:pPr>
      <w:r w:rsidRPr="006B6640">
        <w:t>Accrediting Commission of Career Schools and Colleges (ACCSC)</w:t>
      </w:r>
      <w:r>
        <w:t xml:space="preserve">, </w:t>
      </w:r>
      <w:r w:rsidRPr="00C504E2">
        <w:rPr>
          <w:i/>
        </w:rPr>
        <w:t>Standards of accreditation</w:t>
      </w:r>
      <w:r w:rsidR="00944DDA">
        <w:t xml:space="preserve">, </w:t>
      </w:r>
      <w:r w:rsidR="00944DDA" w:rsidRPr="00944DDA">
        <w:t>viewed April 2014</w:t>
      </w:r>
      <w:r w:rsidR="00944DDA">
        <w:t>,</w:t>
      </w:r>
      <w:r w:rsidRPr="006B6640">
        <w:t xml:space="preserve"> </w:t>
      </w:r>
      <w:r>
        <w:t>&lt;</w:t>
      </w:r>
      <w:hyperlink r:id="rId26" w:history="1">
        <w:r w:rsidRPr="00A85EDC">
          <w:rPr>
            <w:rStyle w:val="Hyperlink"/>
          </w:rPr>
          <w:t>http://www.accsc.org/UploadedDocuments/ACCSC%20Standards%20of%20Accreditation%20and%20Bylaws%20-%20%20040112.pdf</w:t>
        </w:r>
      </w:hyperlink>
      <w:r w:rsidR="00944DDA">
        <w:rPr>
          <w:rStyle w:val="Hyperlink"/>
        </w:rPr>
        <w:t>&gt;.</w:t>
      </w:r>
    </w:p>
    <w:p w:rsidR="009A320E" w:rsidRPr="009A4D50" w:rsidRDefault="005A7BD7" w:rsidP="009A320E">
      <w:pPr>
        <w:pStyle w:val="References"/>
        <w:rPr>
          <w:color w:val="444444"/>
          <w:lang w:eastAsia="en-AU"/>
        </w:rPr>
      </w:pPr>
      <w:r>
        <w:rPr>
          <w:rStyle w:val="Hyperlink"/>
        </w:rPr>
        <w:t>APEC (</w:t>
      </w:r>
      <w:r w:rsidR="008E2143">
        <w:rPr>
          <w:rStyle w:val="Hyperlink"/>
        </w:rPr>
        <w:t>Asia-</w:t>
      </w:r>
      <w:r w:rsidR="009A320E">
        <w:rPr>
          <w:rStyle w:val="Hyperlink"/>
        </w:rPr>
        <w:t>Pacific Economic Cooperation</w:t>
      </w:r>
      <w:r>
        <w:rPr>
          <w:rStyle w:val="Hyperlink"/>
        </w:rPr>
        <w:t>)</w:t>
      </w:r>
      <w:r w:rsidR="009A320E">
        <w:rPr>
          <w:rStyle w:val="Hyperlink"/>
        </w:rPr>
        <w:t xml:space="preserve"> 2009, </w:t>
      </w:r>
      <w:r>
        <w:rPr>
          <w:rStyle w:val="Hyperlink"/>
          <w:i/>
        </w:rPr>
        <w:t>Mapping q</w:t>
      </w:r>
      <w:r w:rsidR="009A320E" w:rsidRPr="00C504E2">
        <w:rPr>
          <w:rStyle w:val="Hyperlink"/>
          <w:i/>
        </w:rPr>
        <w:t xml:space="preserve">ualification </w:t>
      </w:r>
      <w:r>
        <w:rPr>
          <w:rStyle w:val="Hyperlink"/>
          <w:i/>
        </w:rPr>
        <w:t>f</w:t>
      </w:r>
      <w:r w:rsidR="009A320E" w:rsidRPr="00C504E2">
        <w:rPr>
          <w:rStyle w:val="Hyperlink"/>
          <w:i/>
        </w:rPr>
        <w:t xml:space="preserve">rameworks across APEC </w:t>
      </w:r>
      <w:r>
        <w:rPr>
          <w:rStyle w:val="Hyperlink"/>
          <w:i/>
        </w:rPr>
        <w:t>e</w:t>
      </w:r>
      <w:r w:rsidR="009A320E" w:rsidRPr="00C504E2">
        <w:rPr>
          <w:rStyle w:val="Hyperlink"/>
          <w:i/>
        </w:rPr>
        <w:t>conomies</w:t>
      </w:r>
      <w:r w:rsidR="009A320E">
        <w:rPr>
          <w:rStyle w:val="Hyperlink"/>
        </w:rPr>
        <w:t>, APEC HR Working Group</w:t>
      </w:r>
      <w:r w:rsidR="00944DDA" w:rsidRPr="00944DDA">
        <w:rPr>
          <w:rStyle w:val="Hyperlink"/>
        </w:rPr>
        <w:t>, viewed May 2014</w:t>
      </w:r>
      <w:r w:rsidR="009A320E" w:rsidRPr="00EE541D">
        <w:t>, &lt;</w:t>
      </w:r>
      <w:r w:rsidR="00944DDA">
        <w:t>http://</w:t>
      </w:r>
      <w:hyperlink r:id="rId27" w:history="1">
        <w:r w:rsidR="009A320E" w:rsidRPr="00EE541D">
          <w:t>www.apecknowledgebank.org/file.aspx?id=2029</w:t>
        </w:r>
      </w:hyperlink>
      <w:r w:rsidR="009A320E" w:rsidRPr="00EE541D">
        <w:t>&gt;</w:t>
      </w:r>
      <w:r w:rsidR="00944DDA">
        <w:rPr>
          <w:color w:val="444444"/>
          <w:lang w:eastAsia="en-AU"/>
        </w:rPr>
        <w:t>.</w:t>
      </w:r>
    </w:p>
    <w:p w:rsidR="009A320E" w:rsidRDefault="009A320E" w:rsidP="009A320E">
      <w:pPr>
        <w:pStyle w:val="References"/>
      </w:pPr>
      <w:r w:rsidRPr="00D063C1">
        <w:t xml:space="preserve">Australian Government 2009, </w:t>
      </w:r>
      <w:r w:rsidR="005A7BD7">
        <w:rPr>
          <w:i/>
        </w:rPr>
        <w:t>Comparisons of i</w:t>
      </w:r>
      <w:r w:rsidRPr="00C504E2">
        <w:rPr>
          <w:i/>
        </w:rPr>
        <w:t>nternational quality assurance systems for vocational education and training</w:t>
      </w:r>
      <w:r w:rsidRPr="00D063C1">
        <w:t>, commissioned by Department of Education, Employment and Workplace Relations, and undertaken by B</w:t>
      </w:r>
      <w:r>
        <w:t xml:space="preserve">ateman and Giles Research Team, </w:t>
      </w:r>
      <w:r w:rsidR="00B20E4A">
        <w:t xml:space="preserve">viewed January 2014, </w:t>
      </w:r>
      <w:r w:rsidR="00944DDA">
        <w:t>&lt;</w:t>
      </w:r>
      <w:hyperlink r:id="rId28" w:history="1">
        <w:r w:rsidR="00944DDA" w:rsidRPr="00043767">
          <w:rPr>
            <w:rStyle w:val="Hyperlink"/>
            <w:sz w:val="18"/>
          </w:rPr>
          <w:t>http://www.industry.gov.au/skills/ResourcesAndPublications/Documents/ComparisonsIntQualityAssuranceSystems.pdf</w:t>
        </w:r>
      </w:hyperlink>
      <w:r w:rsidR="00944DDA">
        <w:t>&gt;.</w:t>
      </w:r>
    </w:p>
    <w:p w:rsidR="009A320E" w:rsidRDefault="009A320E" w:rsidP="009A320E">
      <w:pPr>
        <w:pStyle w:val="References"/>
      </w:pPr>
      <w:r>
        <w:t xml:space="preserve">Braithwaite, V 2010, </w:t>
      </w:r>
      <w:r>
        <w:rPr>
          <w:i/>
        </w:rPr>
        <w:t>Compliance with migration law</w:t>
      </w:r>
      <w:r>
        <w:t xml:space="preserve">, Regulatory Institutions Network, ANU, Canberra, </w:t>
      </w:r>
      <w:r w:rsidR="00015B5F" w:rsidRPr="00015B5F">
        <w:t>viewed 20 Jan</w:t>
      </w:r>
      <w:r w:rsidR="005A7BD7">
        <w:t>uary</w:t>
      </w:r>
      <w:r w:rsidR="00015B5F" w:rsidRPr="00015B5F">
        <w:t xml:space="preserve"> 2013</w:t>
      </w:r>
      <w:r w:rsidR="00015B5F">
        <w:t>, &lt;</w:t>
      </w:r>
      <w:hyperlink r:id="rId29" w:history="1">
        <w:r w:rsidRPr="009A536C">
          <w:rPr>
            <w:rStyle w:val="Hyperlink"/>
            <w:sz w:val="18"/>
          </w:rPr>
          <w:t>http://www.immi.gov.au/media/publications/research/_pdf/compliance-migration-law.pdf</w:t>
        </w:r>
      </w:hyperlink>
      <w:r w:rsidR="00015B5F">
        <w:rPr>
          <w:rStyle w:val="Hyperlink"/>
          <w:sz w:val="18"/>
        </w:rPr>
        <w:t>&gt;</w:t>
      </w:r>
      <w:r>
        <w:t xml:space="preserve">. </w:t>
      </w:r>
    </w:p>
    <w:p w:rsidR="009A320E" w:rsidRDefault="008B3DFD" w:rsidP="009A320E">
      <w:pPr>
        <w:pStyle w:val="References"/>
      </w:pPr>
      <w:r>
        <w:t>——</w:t>
      </w:r>
      <w:r w:rsidR="009A320E">
        <w:t xml:space="preserve">2012, </w:t>
      </w:r>
      <w:r w:rsidR="00C504E2">
        <w:t>‘</w:t>
      </w:r>
      <w:r w:rsidR="009A320E">
        <w:t>Regulating for learning in the tertiary education system</w:t>
      </w:r>
      <w:r w:rsidR="00C504E2">
        <w:t>’</w:t>
      </w:r>
      <w:r w:rsidR="009A320E">
        <w:t>, paper presented at the NCVER Forum on Structures in the tertiary education and training system</w:t>
      </w:r>
      <w:r w:rsidR="00015B5F">
        <w:t>,</w:t>
      </w:r>
      <w:r w:rsidR="00015B5F" w:rsidRPr="00015B5F">
        <w:t xml:space="preserve"> </w:t>
      </w:r>
      <w:r w:rsidR="00015B5F">
        <w:t>unpublished.</w:t>
      </w:r>
    </w:p>
    <w:p w:rsidR="009A320E" w:rsidRDefault="008B3DFD" w:rsidP="009A320E">
      <w:pPr>
        <w:pStyle w:val="References"/>
      </w:pPr>
      <w:r>
        <w:t>CEDEFOP</w:t>
      </w:r>
      <w:r w:rsidR="009A320E">
        <w:t xml:space="preserve"> 2009</w:t>
      </w:r>
      <w:r w:rsidR="008E2143">
        <w:t>a</w:t>
      </w:r>
      <w:r w:rsidR="009A320E">
        <w:t xml:space="preserve">, </w:t>
      </w:r>
      <w:r w:rsidR="009A320E" w:rsidRPr="00015B5F">
        <w:rPr>
          <w:i/>
        </w:rPr>
        <w:t>Accreditation and quality assurance in vocational education and training: selected European approaches,</w:t>
      </w:r>
      <w:r w:rsidR="009A320E">
        <w:t xml:space="preserve"> </w:t>
      </w:r>
      <w:r w:rsidR="00015B5F" w:rsidRPr="00015B5F">
        <w:t>viewed April 2014</w:t>
      </w:r>
      <w:r w:rsidR="00015B5F">
        <w:t xml:space="preserve">, </w:t>
      </w:r>
      <w:r w:rsidR="009A320E">
        <w:t>&lt;</w:t>
      </w:r>
      <w:hyperlink r:id="rId30" w:history="1">
        <w:r w:rsidR="009A320E" w:rsidRPr="00235A80">
          <w:rPr>
            <w:rStyle w:val="Hyperlink"/>
            <w:sz w:val="18"/>
          </w:rPr>
          <w:t>http://www.cedefop.europa.eu/etv/Upload/Information_resources/Bookshop/568/4089_en.pdf</w:t>
        </w:r>
      </w:hyperlink>
      <w:r w:rsidR="009A320E">
        <w:rPr>
          <w:rStyle w:val="Hyperlink"/>
          <w:sz w:val="18"/>
        </w:rPr>
        <w:t>&gt;</w:t>
      </w:r>
      <w:r w:rsidR="00015B5F">
        <w:rPr>
          <w:rStyle w:val="Hyperlink"/>
          <w:sz w:val="18"/>
        </w:rPr>
        <w:t>.</w:t>
      </w:r>
      <w:r w:rsidR="009A320E">
        <w:t xml:space="preserve"> </w:t>
      </w:r>
    </w:p>
    <w:p w:rsidR="009A320E" w:rsidRDefault="008E2143" w:rsidP="009A320E">
      <w:pPr>
        <w:pStyle w:val="References"/>
      </w:pPr>
      <w:r>
        <w:t>——</w:t>
      </w:r>
      <w:r w:rsidR="009A320E">
        <w:t xml:space="preserve">2009b, </w:t>
      </w:r>
      <w:r w:rsidR="009A320E" w:rsidRPr="00015B5F">
        <w:rPr>
          <w:i/>
        </w:rPr>
        <w:t>The relationship between quality assurance and VET certification in EU member states</w:t>
      </w:r>
      <w:r w:rsidR="00015B5F" w:rsidRPr="00015B5F">
        <w:t>, viewed February 2014</w:t>
      </w:r>
      <w:r w:rsidR="009A320E">
        <w:t>, &lt;</w:t>
      </w:r>
      <w:hyperlink r:id="rId31" w:history="1">
        <w:r w:rsidR="009A320E" w:rsidRPr="00235A80">
          <w:rPr>
            <w:rStyle w:val="Hyperlink"/>
            <w:sz w:val="18"/>
          </w:rPr>
          <w:t>http://www.cedefop.europa.eu/EN/Files/5196_en.pdf</w:t>
        </w:r>
      </w:hyperlink>
      <w:r w:rsidR="009A320E">
        <w:rPr>
          <w:rStyle w:val="Hyperlink"/>
          <w:sz w:val="18"/>
        </w:rPr>
        <w:t>&gt;</w:t>
      </w:r>
      <w:r w:rsidR="00402E48">
        <w:t>.</w:t>
      </w:r>
    </w:p>
    <w:p w:rsidR="009A320E" w:rsidRDefault="008E2143" w:rsidP="00C504E2">
      <w:pPr>
        <w:pStyle w:val="References"/>
        <w:ind w:right="-284"/>
      </w:pPr>
      <w:r>
        <w:t>——</w:t>
      </w:r>
      <w:r w:rsidR="00015B5F">
        <w:t>2010,</w:t>
      </w:r>
      <w:r w:rsidR="00015B5F" w:rsidRPr="00015B5F">
        <w:rPr>
          <w:i/>
        </w:rPr>
        <w:t xml:space="preserve"> Changing qualifications: a</w:t>
      </w:r>
      <w:r w:rsidR="009A320E" w:rsidRPr="00015B5F">
        <w:rPr>
          <w:i/>
        </w:rPr>
        <w:t xml:space="preserve"> review of qualifications policies and practice</w:t>
      </w:r>
      <w:r w:rsidR="009A320E">
        <w:t xml:space="preserve">, CEFOP </w:t>
      </w:r>
      <w:r w:rsidR="005A7BD7">
        <w:t>r</w:t>
      </w:r>
      <w:r w:rsidR="009A320E">
        <w:t xml:space="preserve">eference </w:t>
      </w:r>
      <w:r w:rsidR="005A7BD7">
        <w:t>s</w:t>
      </w:r>
      <w:r w:rsidR="009A320E">
        <w:t>eries 84, Publications Office of the European Union</w:t>
      </w:r>
      <w:r w:rsidR="00015B5F" w:rsidRPr="00015B5F">
        <w:t xml:space="preserve">, </w:t>
      </w:r>
      <w:r w:rsidR="00015B5F">
        <w:t xml:space="preserve">Luxembourg, </w:t>
      </w:r>
      <w:r w:rsidR="00015B5F" w:rsidRPr="00015B5F">
        <w:t>viewed April 2014</w:t>
      </w:r>
      <w:r w:rsidR="009A320E">
        <w:t>, &lt;</w:t>
      </w:r>
      <w:hyperlink r:id="rId32" w:history="1">
        <w:r w:rsidR="009A320E" w:rsidRPr="00235A80">
          <w:rPr>
            <w:rStyle w:val="Hyperlink"/>
            <w:sz w:val="18"/>
          </w:rPr>
          <w:t>http://www.cedefop.europa.eu/EN/Files/3059_en.pdf</w:t>
        </w:r>
      </w:hyperlink>
      <w:r w:rsidR="009A320E">
        <w:rPr>
          <w:rStyle w:val="Hyperlink"/>
          <w:sz w:val="18"/>
        </w:rPr>
        <w:t>&gt;</w:t>
      </w:r>
      <w:r w:rsidR="009A320E">
        <w:t>.</w:t>
      </w:r>
    </w:p>
    <w:p w:rsidR="009A320E" w:rsidRDefault="008E2143" w:rsidP="009A320E">
      <w:pPr>
        <w:pStyle w:val="References"/>
        <w:rPr>
          <w:rStyle w:val="Hyperlink"/>
          <w:sz w:val="18"/>
        </w:rPr>
      </w:pPr>
      <w:r>
        <w:t>——</w:t>
      </w:r>
      <w:r w:rsidR="009A320E">
        <w:t xml:space="preserve">2012a, </w:t>
      </w:r>
      <w:r w:rsidR="009A320E" w:rsidRPr="00C504E2">
        <w:rPr>
          <w:i/>
        </w:rPr>
        <w:t xml:space="preserve">Briefing note: </w:t>
      </w:r>
      <w:r w:rsidR="005A7BD7">
        <w:rPr>
          <w:i/>
        </w:rPr>
        <w:t>p</w:t>
      </w:r>
      <w:r w:rsidR="009A320E" w:rsidRPr="00C504E2">
        <w:rPr>
          <w:i/>
        </w:rPr>
        <w:t>ermeable education and training systems: reducing barriers and increasing opportunity</w:t>
      </w:r>
      <w:r w:rsidR="00015B5F" w:rsidRPr="00015B5F">
        <w:t>, viewed April 2014</w:t>
      </w:r>
      <w:r w:rsidR="009A320E">
        <w:t>, &lt;</w:t>
      </w:r>
      <w:hyperlink r:id="rId33" w:history="1">
        <w:r w:rsidR="009A320E" w:rsidRPr="00235A80">
          <w:rPr>
            <w:rStyle w:val="Hyperlink"/>
            <w:sz w:val="18"/>
          </w:rPr>
          <w:t>http://www.cedefop.europa.eu/en/publications/20510.aspx</w:t>
        </w:r>
      </w:hyperlink>
      <w:r w:rsidR="009A320E">
        <w:rPr>
          <w:rStyle w:val="Hyperlink"/>
          <w:sz w:val="18"/>
        </w:rPr>
        <w:t>&gt;</w:t>
      </w:r>
      <w:r w:rsidR="00015B5F">
        <w:rPr>
          <w:rStyle w:val="Hyperlink"/>
          <w:sz w:val="18"/>
        </w:rPr>
        <w:t>.</w:t>
      </w:r>
    </w:p>
    <w:p w:rsidR="009A320E" w:rsidRDefault="008E2143" w:rsidP="009A320E">
      <w:pPr>
        <w:pStyle w:val="References"/>
      </w:pPr>
      <w:r>
        <w:t>——</w:t>
      </w:r>
      <w:r w:rsidR="009A320E">
        <w:t xml:space="preserve">2012b, </w:t>
      </w:r>
      <w:r w:rsidR="009A320E" w:rsidRPr="00015B5F">
        <w:rPr>
          <w:i/>
        </w:rPr>
        <w:t>The dynamics of qualifications: defining and renewing occupational and educational standards</w:t>
      </w:r>
      <w:r w:rsidR="00015B5F" w:rsidRPr="00015B5F">
        <w:t>, viewed April 2014</w:t>
      </w:r>
      <w:r w:rsidR="009A320E">
        <w:t>, &lt;</w:t>
      </w:r>
      <w:hyperlink r:id="rId34" w:history="1">
        <w:r w:rsidR="009A320E" w:rsidRPr="00235A80">
          <w:rPr>
            <w:rStyle w:val="Hyperlink"/>
            <w:sz w:val="18"/>
          </w:rPr>
          <w:t>http://www.cedefop.europa.eu/EN/Files/5195_en.pdf</w:t>
        </w:r>
      </w:hyperlink>
      <w:r w:rsidR="009A320E">
        <w:rPr>
          <w:rStyle w:val="Hyperlink"/>
          <w:sz w:val="18"/>
        </w:rPr>
        <w:t>&gt;</w:t>
      </w:r>
      <w:r w:rsidR="00015B5F">
        <w:rPr>
          <w:rStyle w:val="Hyperlink"/>
          <w:sz w:val="18"/>
        </w:rPr>
        <w:t>.</w:t>
      </w:r>
    </w:p>
    <w:p w:rsidR="009A320E" w:rsidRDefault="008E2143" w:rsidP="009A320E">
      <w:pPr>
        <w:pStyle w:val="References"/>
      </w:pPr>
      <w:r>
        <w:t>——</w:t>
      </w:r>
      <w:r w:rsidR="009A320E">
        <w:t>2012c,</w:t>
      </w:r>
      <w:r w:rsidR="009A320E" w:rsidRPr="00015B5F">
        <w:rPr>
          <w:i/>
        </w:rPr>
        <w:t xml:space="preserve"> Analysis and overview of NQF developments in European countries,</w:t>
      </w:r>
      <w:r w:rsidR="009A320E">
        <w:t xml:space="preserve"> </w:t>
      </w:r>
      <w:r w:rsidR="005A7BD7">
        <w:t>a</w:t>
      </w:r>
      <w:r w:rsidR="009A320E">
        <w:t>nnual report</w:t>
      </w:r>
      <w:r w:rsidR="00015B5F" w:rsidRPr="00015B5F">
        <w:t>, viewed April 2014</w:t>
      </w:r>
      <w:r w:rsidR="009A320E">
        <w:t>, &lt;</w:t>
      </w:r>
      <w:hyperlink r:id="rId35" w:history="1">
        <w:r w:rsidR="009A320E" w:rsidRPr="00235A80">
          <w:rPr>
            <w:rStyle w:val="Hyperlink"/>
            <w:sz w:val="18"/>
          </w:rPr>
          <w:t>http://www.cedefop.europa.eu/en/publications/21311.aspx</w:t>
        </w:r>
      </w:hyperlink>
      <w:r w:rsidR="009A320E">
        <w:rPr>
          <w:rStyle w:val="Hyperlink"/>
          <w:sz w:val="18"/>
        </w:rPr>
        <w:t>&gt;</w:t>
      </w:r>
      <w:r w:rsidR="00015B5F">
        <w:rPr>
          <w:rStyle w:val="Hyperlink"/>
          <w:sz w:val="18"/>
        </w:rPr>
        <w:t>.</w:t>
      </w:r>
      <w:r w:rsidR="009A320E">
        <w:t xml:space="preserve"> </w:t>
      </w:r>
    </w:p>
    <w:p w:rsidR="009A320E" w:rsidRDefault="008E2143" w:rsidP="009A320E">
      <w:pPr>
        <w:pStyle w:val="References"/>
      </w:pPr>
      <w:r>
        <w:t>——</w:t>
      </w:r>
      <w:r w:rsidR="009A320E">
        <w:t xml:space="preserve">2012d, </w:t>
      </w:r>
      <w:r w:rsidR="009A320E" w:rsidRPr="00015B5F">
        <w:rPr>
          <w:i/>
        </w:rPr>
        <w:t xml:space="preserve">Finland: VET in Europe </w:t>
      </w:r>
      <w:r w:rsidR="005A7BD7">
        <w:rPr>
          <w:i/>
        </w:rPr>
        <w:t>c</w:t>
      </w:r>
      <w:r w:rsidR="009A320E" w:rsidRPr="00015B5F">
        <w:rPr>
          <w:i/>
        </w:rPr>
        <w:t xml:space="preserve">ountry </w:t>
      </w:r>
      <w:r w:rsidR="005A7BD7">
        <w:rPr>
          <w:i/>
        </w:rPr>
        <w:t>r</w:t>
      </w:r>
      <w:r w:rsidR="009A320E" w:rsidRPr="00015B5F">
        <w:rPr>
          <w:i/>
        </w:rPr>
        <w:t>eport</w:t>
      </w:r>
      <w:r w:rsidR="00015B5F" w:rsidRPr="00015B5F">
        <w:t>, viewed May 2014</w:t>
      </w:r>
      <w:r w:rsidR="00015B5F">
        <w:t xml:space="preserve">, </w:t>
      </w:r>
      <w:r w:rsidR="009A320E">
        <w:t>&lt;</w:t>
      </w:r>
      <w:hyperlink r:id="rId36" w:history="1">
        <w:r w:rsidR="009A320E" w:rsidRPr="00235A80">
          <w:rPr>
            <w:rStyle w:val="Hyperlink"/>
            <w:sz w:val="18"/>
          </w:rPr>
          <w:t>http://libserver.cedefop.europa.eu/vetelib/2012/2012_CR_FI.pdf</w:t>
        </w:r>
      </w:hyperlink>
      <w:r w:rsidR="009A320E">
        <w:t>&gt;</w:t>
      </w:r>
      <w:r w:rsidR="00015B5F">
        <w:t>.</w:t>
      </w:r>
    </w:p>
    <w:p w:rsidR="009A320E" w:rsidRDefault="008E2143" w:rsidP="009A320E">
      <w:pPr>
        <w:pStyle w:val="References"/>
      </w:pPr>
      <w:r>
        <w:t>——</w:t>
      </w:r>
      <w:r w:rsidR="009A320E">
        <w:t xml:space="preserve">2012e, </w:t>
      </w:r>
      <w:r w:rsidR="009A320E" w:rsidRPr="00015B5F">
        <w:rPr>
          <w:i/>
        </w:rPr>
        <w:t xml:space="preserve">Sweden: VET in Europe </w:t>
      </w:r>
      <w:r w:rsidR="005A7BD7">
        <w:rPr>
          <w:i/>
        </w:rPr>
        <w:t>c</w:t>
      </w:r>
      <w:r w:rsidR="009A320E" w:rsidRPr="00015B5F">
        <w:rPr>
          <w:i/>
        </w:rPr>
        <w:t xml:space="preserve">ountry </w:t>
      </w:r>
      <w:r w:rsidR="005A7BD7">
        <w:rPr>
          <w:i/>
        </w:rPr>
        <w:t>r</w:t>
      </w:r>
      <w:r w:rsidR="009A320E" w:rsidRPr="00015B5F">
        <w:rPr>
          <w:i/>
        </w:rPr>
        <w:t>eport</w:t>
      </w:r>
      <w:r w:rsidR="00015B5F" w:rsidRPr="00015B5F">
        <w:rPr>
          <w:i/>
        </w:rPr>
        <w:t xml:space="preserve">, </w:t>
      </w:r>
      <w:r w:rsidR="00015B5F" w:rsidRPr="00015B5F">
        <w:t>viewed May 2014</w:t>
      </w:r>
      <w:r w:rsidR="009A320E" w:rsidRPr="00015B5F">
        <w:t xml:space="preserve">, </w:t>
      </w:r>
      <w:r w:rsidR="009A320E">
        <w:t>&lt;</w:t>
      </w:r>
      <w:hyperlink r:id="rId37" w:history="1">
        <w:r w:rsidR="009A320E" w:rsidRPr="00235A80">
          <w:rPr>
            <w:rStyle w:val="Hyperlink"/>
            <w:sz w:val="18"/>
          </w:rPr>
          <w:t>http://libserver.cedefop.europa.eu/vetelib/2012/2012_CR_SE.pdf</w:t>
        </w:r>
      </w:hyperlink>
      <w:r w:rsidR="009A320E">
        <w:rPr>
          <w:rStyle w:val="Hyperlink"/>
          <w:sz w:val="18"/>
        </w:rPr>
        <w:t>&gt;</w:t>
      </w:r>
      <w:r w:rsidR="00015B5F">
        <w:rPr>
          <w:rStyle w:val="Hyperlink"/>
          <w:sz w:val="18"/>
        </w:rPr>
        <w:t>.</w:t>
      </w:r>
    </w:p>
    <w:p w:rsidR="009A320E" w:rsidRDefault="008E2143" w:rsidP="009A320E">
      <w:pPr>
        <w:pStyle w:val="References"/>
      </w:pPr>
      <w:r>
        <w:t>——</w:t>
      </w:r>
      <w:r w:rsidR="009A320E">
        <w:t xml:space="preserve">2012f, </w:t>
      </w:r>
      <w:r w:rsidR="009A320E" w:rsidRPr="00015B5F">
        <w:rPr>
          <w:i/>
        </w:rPr>
        <w:t xml:space="preserve">Germany: VET in Europe </w:t>
      </w:r>
      <w:r w:rsidR="005A7BD7">
        <w:rPr>
          <w:i/>
        </w:rPr>
        <w:t>c</w:t>
      </w:r>
      <w:r w:rsidR="009A320E" w:rsidRPr="00015B5F">
        <w:rPr>
          <w:i/>
        </w:rPr>
        <w:t xml:space="preserve">ountry </w:t>
      </w:r>
      <w:r w:rsidR="005A7BD7">
        <w:rPr>
          <w:i/>
        </w:rPr>
        <w:t>r</w:t>
      </w:r>
      <w:r w:rsidR="009A320E" w:rsidRPr="00015B5F">
        <w:rPr>
          <w:i/>
        </w:rPr>
        <w:t>eport</w:t>
      </w:r>
      <w:r w:rsidR="00015B5F" w:rsidRPr="00015B5F">
        <w:t>, viewed May 2014</w:t>
      </w:r>
      <w:r w:rsidR="00015B5F">
        <w:t xml:space="preserve">, </w:t>
      </w:r>
      <w:r w:rsidR="009A320E">
        <w:t>&lt;</w:t>
      </w:r>
      <w:hyperlink r:id="rId38" w:history="1">
        <w:r w:rsidR="009A320E" w:rsidRPr="00235A80">
          <w:rPr>
            <w:rStyle w:val="Hyperlink"/>
            <w:sz w:val="18"/>
          </w:rPr>
          <w:t>http://libserver.cedefop.europa.eu/vetelib/2012/2012_CR_DE.pdf</w:t>
        </w:r>
      </w:hyperlink>
      <w:r w:rsidR="009A320E">
        <w:rPr>
          <w:rStyle w:val="Hyperlink"/>
          <w:sz w:val="18"/>
        </w:rPr>
        <w:t>&gt;</w:t>
      </w:r>
      <w:r w:rsidR="00015B5F">
        <w:rPr>
          <w:rStyle w:val="Hyperlink"/>
          <w:sz w:val="18"/>
        </w:rPr>
        <w:t>.</w:t>
      </w:r>
    </w:p>
    <w:p w:rsidR="009A320E" w:rsidRDefault="008E2143" w:rsidP="009A320E">
      <w:pPr>
        <w:pStyle w:val="References"/>
      </w:pPr>
      <w:r>
        <w:t>——</w:t>
      </w:r>
      <w:r w:rsidR="009A320E">
        <w:t xml:space="preserve">2012g, </w:t>
      </w:r>
      <w:r w:rsidR="009A320E" w:rsidRPr="00015B5F">
        <w:rPr>
          <w:i/>
        </w:rPr>
        <w:t xml:space="preserve">United Kingdom: VET in Europe </w:t>
      </w:r>
      <w:r w:rsidR="005A7BD7">
        <w:rPr>
          <w:i/>
        </w:rPr>
        <w:t>c</w:t>
      </w:r>
      <w:r w:rsidR="009A320E" w:rsidRPr="00015B5F">
        <w:rPr>
          <w:i/>
        </w:rPr>
        <w:t xml:space="preserve">ountry </w:t>
      </w:r>
      <w:r w:rsidR="005A7BD7">
        <w:rPr>
          <w:i/>
        </w:rPr>
        <w:t>r</w:t>
      </w:r>
      <w:r w:rsidR="009A320E" w:rsidRPr="00015B5F">
        <w:rPr>
          <w:i/>
        </w:rPr>
        <w:t>eport</w:t>
      </w:r>
      <w:r w:rsidR="00015B5F" w:rsidRPr="00015B5F">
        <w:t>, viewed May 2014</w:t>
      </w:r>
      <w:r w:rsidR="009A320E">
        <w:t>, &lt;</w:t>
      </w:r>
      <w:hyperlink r:id="rId39" w:history="1">
        <w:r w:rsidR="009A320E" w:rsidRPr="00235A80">
          <w:rPr>
            <w:rStyle w:val="Hyperlink"/>
            <w:sz w:val="18"/>
          </w:rPr>
          <w:t>http://libserver.cedefop.europa.eu/vetelib/2012/2012_CR_UK.pdf</w:t>
        </w:r>
      </w:hyperlink>
      <w:r w:rsidR="009A320E">
        <w:rPr>
          <w:rStyle w:val="Hyperlink"/>
          <w:sz w:val="18"/>
        </w:rPr>
        <w:t>&gt;</w:t>
      </w:r>
      <w:r w:rsidR="00015B5F">
        <w:rPr>
          <w:rStyle w:val="Hyperlink"/>
          <w:sz w:val="18"/>
        </w:rPr>
        <w:t>.</w:t>
      </w:r>
    </w:p>
    <w:p w:rsidR="008E2143" w:rsidRDefault="008E2143" w:rsidP="008E2143">
      <w:pPr>
        <w:pStyle w:val="References"/>
      </w:pPr>
      <w:r>
        <w:t xml:space="preserve">——2012h, </w:t>
      </w:r>
      <w:r w:rsidRPr="00015B5F">
        <w:rPr>
          <w:i/>
        </w:rPr>
        <w:t>Development of national qualifications frameworks in Europe</w:t>
      </w:r>
      <w:r>
        <w:t>, October 2011, Publications Office of the European Union</w:t>
      </w:r>
      <w:r w:rsidR="00015B5F">
        <w:t xml:space="preserve">, </w:t>
      </w:r>
      <w:r w:rsidR="00015B5F" w:rsidRPr="00015B5F">
        <w:t>Luxem</w:t>
      </w:r>
      <w:r w:rsidR="00015B5F">
        <w:t xml:space="preserve">bourg, </w:t>
      </w:r>
      <w:r w:rsidR="00015B5F" w:rsidRPr="00015B5F">
        <w:t>viewed April 2014</w:t>
      </w:r>
      <w:r>
        <w:t>, &lt;</w:t>
      </w:r>
      <w:hyperlink r:id="rId40" w:history="1">
        <w:r w:rsidRPr="00235A80">
          <w:rPr>
            <w:rStyle w:val="Hyperlink"/>
            <w:sz w:val="18"/>
          </w:rPr>
          <w:t>http://www.cedefop.europa.eu/en/publications/19313.aspx</w:t>
        </w:r>
      </w:hyperlink>
      <w:r w:rsidR="00015B5F">
        <w:rPr>
          <w:rStyle w:val="Hyperlink"/>
          <w:sz w:val="18"/>
        </w:rPr>
        <w:t>&gt;.</w:t>
      </w:r>
      <w:r>
        <w:rPr>
          <w:rStyle w:val="Hyperlink"/>
          <w:sz w:val="18"/>
        </w:rPr>
        <w:t xml:space="preserve"> </w:t>
      </w:r>
    </w:p>
    <w:p w:rsidR="009A320E" w:rsidRDefault="008E2143" w:rsidP="009A320E">
      <w:pPr>
        <w:pStyle w:val="References"/>
      </w:pPr>
      <w:r>
        <w:t>——</w:t>
      </w:r>
      <w:r w:rsidR="009A320E">
        <w:t xml:space="preserve">2014, </w:t>
      </w:r>
      <w:r w:rsidR="009A320E" w:rsidRPr="00015B5F">
        <w:rPr>
          <w:i/>
        </w:rPr>
        <w:t>Monitoring ECVET implementation strategies in Europe in 2013</w:t>
      </w:r>
      <w:r w:rsidR="009A320E">
        <w:t>, Working paper no.22, Publications</w:t>
      </w:r>
      <w:r w:rsidR="00C504E2">
        <w:t> </w:t>
      </w:r>
      <w:r w:rsidR="009A320E">
        <w:t xml:space="preserve">Office of the European Union, </w:t>
      </w:r>
      <w:r w:rsidR="00015B5F">
        <w:t xml:space="preserve">Luxembourg, viewed May 2014, </w:t>
      </w:r>
      <w:hyperlink r:id="rId41" w:history="1">
        <w:r w:rsidR="00015B5F" w:rsidRPr="00043767">
          <w:rPr>
            <w:rStyle w:val="Hyperlink"/>
            <w:sz w:val="18"/>
          </w:rPr>
          <w:t>http://www.cedefop.europa.eu/en/publications/22409.aspx</w:t>
        </w:r>
      </w:hyperlink>
      <w:r w:rsidR="00015B5F">
        <w:t>.</w:t>
      </w:r>
      <w:r w:rsidR="007E221A">
        <w:t xml:space="preserve"> </w:t>
      </w:r>
    </w:p>
    <w:p w:rsidR="009A320E" w:rsidRDefault="009A320E" w:rsidP="009A320E">
      <w:pPr>
        <w:pStyle w:val="References"/>
        <w:rPr>
          <w:szCs w:val="18"/>
        </w:rPr>
      </w:pPr>
      <w:proofErr w:type="spellStart"/>
      <w:r>
        <w:rPr>
          <w:szCs w:val="18"/>
        </w:rPr>
        <w:t>Collinson</w:t>
      </w:r>
      <w:proofErr w:type="spellEnd"/>
      <w:r>
        <w:rPr>
          <w:szCs w:val="18"/>
        </w:rPr>
        <w:t xml:space="preserve">, D (ed.) 2009, </w:t>
      </w:r>
      <w:r>
        <w:rPr>
          <w:i/>
          <w:szCs w:val="18"/>
        </w:rPr>
        <w:t>Researching self-regulation in FE colleges</w:t>
      </w:r>
      <w:r>
        <w:rPr>
          <w:szCs w:val="18"/>
        </w:rPr>
        <w:t>, LSIS research programme 2008</w:t>
      </w:r>
      <w:r w:rsidR="00C504E2">
        <w:rPr>
          <w:szCs w:val="18"/>
        </w:rPr>
        <w:t>—</w:t>
      </w:r>
      <w:r>
        <w:rPr>
          <w:szCs w:val="18"/>
        </w:rPr>
        <w:t>09, Learning and Skills Improvement Service, London, viewed 20 Jan</w:t>
      </w:r>
      <w:r w:rsidR="00ED533D">
        <w:rPr>
          <w:szCs w:val="18"/>
        </w:rPr>
        <w:t>uary</w:t>
      </w:r>
      <w:r>
        <w:rPr>
          <w:szCs w:val="18"/>
        </w:rPr>
        <w:t xml:space="preserve"> 2013, &lt;http://www.lsis.org.uk/Documents/Publications/V12ResearchingSelf-RegulationinFEColleges.pdf&gt;.</w:t>
      </w:r>
    </w:p>
    <w:p w:rsidR="009A320E" w:rsidRDefault="009A320E" w:rsidP="009A320E">
      <w:pPr>
        <w:pStyle w:val="References"/>
      </w:pPr>
      <w:r>
        <w:rPr>
          <w:szCs w:val="18"/>
        </w:rPr>
        <w:t>Council on Higher Education</w:t>
      </w:r>
      <w:r w:rsidR="00C504E2">
        <w:rPr>
          <w:szCs w:val="18"/>
        </w:rPr>
        <w:t>,</w:t>
      </w:r>
      <w:r>
        <w:rPr>
          <w:szCs w:val="18"/>
        </w:rPr>
        <w:t xml:space="preserve"> Higher Education Quality Committee 2006, </w:t>
      </w:r>
      <w:r>
        <w:rPr>
          <w:i/>
          <w:szCs w:val="18"/>
        </w:rPr>
        <w:t>HEQC evaluative study of institutional audits 2006</w:t>
      </w:r>
      <w:r>
        <w:rPr>
          <w:szCs w:val="18"/>
        </w:rPr>
        <w:t>, Council on Higher Education, Pretoria, viewed 20 Jan</w:t>
      </w:r>
      <w:r w:rsidR="00ED533D">
        <w:rPr>
          <w:szCs w:val="18"/>
        </w:rPr>
        <w:t>uary</w:t>
      </w:r>
      <w:r>
        <w:rPr>
          <w:szCs w:val="18"/>
        </w:rPr>
        <w:t xml:space="preserve"> 2013, &lt;http://www.che.ac.za/documents/d000144/Evaluative_study_Audits2006_Mar2007.pdf&gt;.</w:t>
      </w:r>
    </w:p>
    <w:p w:rsidR="00EB4282" w:rsidRDefault="00EB4282" w:rsidP="009A320E">
      <w:pPr>
        <w:pStyle w:val="References"/>
        <w:rPr>
          <w:szCs w:val="18"/>
        </w:rPr>
      </w:pPr>
      <w:r w:rsidRPr="00DB0B5B">
        <w:t>Cowan, S 20</w:t>
      </w:r>
      <w:r w:rsidR="0042608F">
        <w:t>07</w:t>
      </w:r>
      <w:r w:rsidRPr="00DB0B5B">
        <w:t xml:space="preserve">, </w:t>
      </w:r>
      <w:r w:rsidR="00C504E2">
        <w:t>‘</w:t>
      </w:r>
      <w:r w:rsidRPr="00DB0B5B">
        <w:t>Alternative approaches to regulation: an economic analysis of light-handed regulation</w:t>
      </w:r>
      <w:r w:rsidR="00C504E2">
        <w:t>’</w:t>
      </w:r>
      <w:r w:rsidRPr="00DB0B5B">
        <w:t>, ACCC, Canberra, paper presented at the Australian Competition and Consumer Commission Regulatory Conference, viewed 20 Jan</w:t>
      </w:r>
      <w:r w:rsidR="00ED533D">
        <w:t>uary</w:t>
      </w:r>
      <w:r w:rsidRPr="00DB0B5B">
        <w:t xml:space="preserve"> 2013, &lt;http://www.accc.gov.au/content/item.phtml?itemId=793237&amp;nodeId=add211fe3af71923a44b22948d006e81&amp;fn=Cowan+-+Paper.pdf&gt;.</w:t>
      </w:r>
    </w:p>
    <w:p w:rsidR="009A320E" w:rsidRDefault="00851519" w:rsidP="009A320E">
      <w:pPr>
        <w:pStyle w:val="References"/>
      </w:pPr>
      <w:r w:rsidRPr="00851519">
        <w:lastRenderedPageBreak/>
        <w:t xml:space="preserve">Department for Business, Innovation and Skills (UK) </w:t>
      </w:r>
      <w:r w:rsidR="009A320E" w:rsidRPr="00851519">
        <w:t>2014, Getting the job done: the government</w:t>
      </w:r>
      <w:r w:rsidR="00C504E2" w:rsidRPr="00851519">
        <w:t>’</w:t>
      </w:r>
      <w:r w:rsidR="009A320E" w:rsidRPr="00851519">
        <w:t>s reform</w:t>
      </w:r>
      <w:r w:rsidR="009A320E">
        <w:t xml:space="preserve"> plan for vocational qualifications</w:t>
      </w:r>
      <w:r w:rsidR="0089427D" w:rsidRPr="0089427D">
        <w:t>, viewed June 2014</w:t>
      </w:r>
      <w:r w:rsidR="009A320E">
        <w:t>, &lt;</w:t>
      </w:r>
      <w:hyperlink r:id="rId42" w:history="1">
        <w:r w:rsidR="009A320E" w:rsidRPr="00235A80">
          <w:rPr>
            <w:rStyle w:val="Hyperlink"/>
            <w:sz w:val="18"/>
          </w:rPr>
          <w:t>https://www.gov.uk/government/uploads/system/uploads/attachment_data/file/286749/bis-14-577-vocational-qualification-reform-plan.pdf</w:t>
        </w:r>
      </w:hyperlink>
      <w:r w:rsidR="009A320E">
        <w:rPr>
          <w:rStyle w:val="Hyperlink"/>
          <w:sz w:val="18"/>
        </w:rPr>
        <w:t>&gt;</w:t>
      </w:r>
      <w:r w:rsidR="0089427D">
        <w:rPr>
          <w:rStyle w:val="Hyperlink"/>
          <w:sz w:val="18"/>
        </w:rPr>
        <w:t>.</w:t>
      </w:r>
    </w:p>
    <w:p w:rsidR="009A320E" w:rsidRDefault="008E2143" w:rsidP="009A320E">
      <w:pPr>
        <w:pStyle w:val="References"/>
        <w:rPr>
          <w:rFonts w:cs="Arial"/>
          <w:color w:val="000000"/>
          <w:szCs w:val="18"/>
        </w:rPr>
      </w:pPr>
      <w:r>
        <w:rPr>
          <w:rFonts w:cs="Arial"/>
          <w:color w:val="000000"/>
          <w:szCs w:val="18"/>
        </w:rPr>
        <w:t>European Commission</w:t>
      </w:r>
      <w:r w:rsidR="009A320E" w:rsidRPr="000B1EAD">
        <w:rPr>
          <w:rFonts w:cs="Arial"/>
          <w:color w:val="000000"/>
          <w:szCs w:val="18"/>
        </w:rPr>
        <w:t xml:space="preserve"> 2010,</w:t>
      </w:r>
      <w:r w:rsidR="004928F1">
        <w:rPr>
          <w:rFonts w:cs="Arial"/>
          <w:color w:val="000000"/>
          <w:szCs w:val="18"/>
        </w:rPr>
        <w:t xml:space="preserve"> </w:t>
      </w:r>
      <w:r w:rsidR="009A320E" w:rsidRPr="0089427D">
        <w:rPr>
          <w:rFonts w:cs="Arial"/>
          <w:i/>
          <w:color w:val="000000"/>
          <w:szCs w:val="18"/>
        </w:rPr>
        <w:t xml:space="preserve">The Bruges Communiqué on enhanced European </w:t>
      </w:r>
      <w:r w:rsidR="00ED533D">
        <w:rPr>
          <w:rFonts w:cs="Arial"/>
          <w:i/>
          <w:color w:val="000000"/>
          <w:szCs w:val="18"/>
        </w:rPr>
        <w:t>c</w:t>
      </w:r>
      <w:r w:rsidR="009A320E" w:rsidRPr="0089427D">
        <w:rPr>
          <w:rFonts w:cs="Arial"/>
          <w:i/>
          <w:color w:val="000000"/>
          <w:szCs w:val="18"/>
        </w:rPr>
        <w:t xml:space="preserve">ooperation in </w:t>
      </w:r>
      <w:r w:rsidR="00ED533D">
        <w:rPr>
          <w:rFonts w:cs="Arial"/>
          <w:i/>
          <w:color w:val="000000"/>
          <w:szCs w:val="18"/>
        </w:rPr>
        <w:t>v</w:t>
      </w:r>
      <w:r w:rsidR="009A320E" w:rsidRPr="0089427D">
        <w:rPr>
          <w:rFonts w:cs="Arial"/>
          <w:i/>
          <w:color w:val="000000"/>
          <w:szCs w:val="18"/>
        </w:rPr>
        <w:t xml:space="preserve">ocational </w:t>
      </w:r>
      <w:r w:rsidR="00ED533D">
        <w:rPr>
          <w:rFonts w:cs="Arial"/>
          <w:i/>
          <w:color w:val="000000"/>
          <w:szCs w:val="18"/>
        </w:rPr>
        <w:t>e</w:t>
      </w:r>
      <w:r w:rsidR="009A320E" w:rsidRPr="0089427D">
        <w:rPr>
          <w:rFonts w:cs="Arial"/>
          <w:i/>
          <w:color w:val="000000"/>
          <w:szCs w:val="18"/>
        </w:rPr>
        <w:t>ducation a</w:t>
      </w:r>
      <w:r w:rsidR="0089427D">
        <w:rPr>
          <w:rFonts w:cs="Arial"/>
          <w:i/>
          <w:color w:val="000000"/>
          <w:szCs w:val="18"/>
        </w:rPr>
        <w:t xml:space="preserve">nd </w:t>
      </w:r>
      <w:r w:rsidR="00ED533D">
        <w:rPr>
          <w:rFonts w:cs="Arial"/>
          <w:i/>
          <w:color w:val="000000"/>
          <w:szCs w:val="18"/>
        </w:rPr>
        <w:t>t</w:t>
      </w:r>
      <w:r w:rsidR="0089427D">
        <w:rPr>
          <w:rFonts w:cs="Arial"/>
          <w:i/>
          <w:color w:val="000000"/>
          <w:szCs w:val="18"/>
        </w:rPr>
        <w:t>raining for the period 2011—</w:t>
      </w:r>
      <w:r w:rsidR="009A320E" w:rsidRPr="0089427D">
        <w:rPr>
          <w:rFonts w:cs="Arial"/>
          <w:i/>
          <w:color w:val="000000"/>
          <w:szCs w:val="18"/>
        </w:rPr>
        <w:t>2020</w:t>
      </w:r>
      <w:r w:rsidR="009A320E" w:rsidRPr="000B1EAD">
        <w:rPr>
          <w:rFonts w:cs="Arial"/>
          <w:color w:val="000000"/>
          <w:szCs w:val="18"/>
        </w:rPr>
        <w:t xml:space="preserve"> (agreed by European Ministers for Vocational Education and Training, European Social Partners, and the European Commission)</w:t>
      </w:r>
      <w:r w:rsidR="0089427D" w:rsidRPr="0089427D">
        <w:rPr>
          <w:rFonts w:cs="Arial"/>
          <w:color w:val="000000"/>
          <w:szCs w:val="18"/>
        </w:rPr>
        <w:t>, viewed June 2014</w:t>
      </w:r>
      <w:r w:rsidR="009A320E" w:rsidRPr="000B1EAD">
        <w:rPr>
          <w:rFonts w:cs="Arial"/>
          <w:color w:val="000000"/>
          <w:szCs w:val="18"/>
        </w:rPr>
        <w:t xml:space="preserve">, </w:t>
      </w:r>
      <w:r w:rsidR="009A320E">
        <w:rPr>
          <w:rFonts w:cs="Arial"/>
          <w:color w:val="000000"/>
          <w:szCs w:val="18"/>
        </w:rPr>
        <w:t>&lt;</w:t>
      </w:r>
      <w:hyperlink r:id="rId43" w:history="1">
        <w:r w:rsidR="009A320E" w:rsidRPr="000B1EAD">
          <w:rPr>
            <w:rStyle w:val="Hyperlink"/>
            <w:rFonts w:cs="Arial"/>
            <w:sz w:val="18"/>
            <w:szCs w:val="18"/>
          </w:rPr>
          <w:t>http://www.eqavet.eu/gns/policy-context/european-policy/bruges-communique.aspx</w:t>
        </w:r>
      </w:hyperlink>
      <w:r w:rsidR="009A320E">
        <w:rPr>
          <w:rStyle w:val="Hyperlink"/>
          <w:rFonts w:cs="Arial"/>
          <w:sz w:val="18"/>
          <w:szCs w:val="18"/>
        </w:rPr>
        <w:t>&gt;</w:t>
      </w:r>
      <w:r w:rsidR="0089427D">
        <w:rPr>
          <w:rStyle w:val="Hyperlink"/>
          <w:rFonts w:cs="Arial"/>
          <w:sz w:val="18"/>
          <w:szCs w:val="18"/>
        </w:rPr>
        <w:t>.</w:t>
      </w:r>
    </w:p>
    <w:p w:rsidR="009A320E" w:rsidRDefault="00856199" w:rsidP="009A320E">
      <w:pPr>
        <w:pStyle w:val="References"/>
        <w:rPr>
          <w:rFonts w:cs="Arial"/>
          <w:color w:val="000000"/>
          <w:szCs w:val="18"/>
        </w:rPr>
      </w:pPr>
      <w:r>
        <w:rPr>
          <w:rFonts w:cs="Arial"/>
          <w:color w:val="000000"/>
          <w:szCs w:val="18"/>
        </w:rPr>
        <w:t>——</w:t>
      </w:r>
      <w:r w:rsidR="009A320E">
        <w:rPr>
          <w:rFonts w:cs="Arial"/>
          <w:color w:val="000000"/>
          <w:szCs w:val="18"/>
        </w:rPr>
        <w:t xml:space="preserve">2014, </w:t>
      </w:r>
      <w:r w:rsidR="009A320E" w:rsidRPr="0089427D">
        <w:rPr>
          <w:rFonts w:cs="Arial"/>
          <w:i/>
          <w:color w:val="000000"/>
          <w:szCs w:val="18"/>
        </w:rPr>
        <w:t xml:space="preserve">Report from the Commission to the European Parliament and Council on the implementation of the </w:t>
      </w:r>
      <w:r w:rsidR="00ED533D">
        <w:rPr>
          <w:rFonts w:cs="Arial"/>
          <w:i/>
          <w:color w:val="000000"/>
          <w:szCs w:val="18"/>
        </w:rPr>
        <w:t>r</w:t>
      </w:r>
      <w:r w:rsidR="009A320E" w:rsidRPr="0089427D">
        <w:rPr>
          <w:rFonts w:cs="Arial"/>
          <w:i/>
          <w:color w:val="000000"/>
          <w:szCs w:val="18"/>
        </w:rPr>
        <w:t xml:space="preserve">ecommendation of the European Parliament and of the Council of 18 June 2009 on the establishment of a European Quality Assurance Reference Framework for </w:t>
      </w:r>
      <w:r w:rsidR="00ED533D">
        <w:rPr>
          <w:rFonts w:cs="Arial"/>
          <w:i/>
          <w:color w:val="000000"/>
          <w:szCs w:val="18"/>
        </w:rPr>
        <w:t>v</w:t>
      </w:r>
      <w:r w:rsidR="009A320E" w:rsidRPr="0089427D">
        <w:rPr>
          <w:rFonts w:cs="Arial"/>
          <w:i/>
          <w:color w:val="000000"/>
          <w:szCs w:val="18"/>
        </w:rPr>
        <w:t xml:space="preserve">ocational </w:t>
      </w:r>
      <w:r w:rsidR="00ED533D">
        <w:rPr>
          <w:rFonts w:cs="Arial"/>
          <w:i/>
          <w:color w:val="000000"/>
          <w:szCs w:val="18"/>
        </w:rPr>
        <w:t>e</w:t>
      </w:r>
      <w:r w:rsidR="009A320E" w:rsidRPr="0089427D">
        <w:rPr>
          <w:rFonts w:cs="Arial"/>
          <w:i/>
          <w:color w:val="000000"/>
          <w:szCs w:val="18"/>
        </w:rPr>
        <w:t xml:space="preserve">ducation and </w:t>
      </w:r>
      <w:r w:rsidR="00ED533D">
        <w:rPr>
          <w:rFonts w:cs="Arial"/>
          <w:i/>
          <w:color w:val="000000"/>
          <w:szCs w:val="18"/>
        </w:rPr>
        <w:t>t</w:t>
      </w:r>
      <w:r w:rsidR="009A320E" w:rsidRPr="0089427D">
        <w:rPr>
          <w:rFonts w:cs="Arial"/>
          <w:i/>
          <w:color w:val="000000"/>
          <w:szCs w:val="18"/>
        </w:rPr>
        <w:t>raining</w:t>
      </w:r>
      <w:r w:rsidR="0089427D" w:rsidRPr="0089427D">
        <w:rPr>
          <w:rFonts w:cs="Arial"/>
          <w:color w:val="000000"/>
          <w:szCs w:val="18"/>
        </w:rPr>
        <w:t>, viewed July 2014</w:t>
      </w:r>
      <w:r w:rsidR="009A320E">
        <w:rPr>
          <w:rFonts w:cs="Arial"/>
          <w:color w:val="000000"/>
          <w:szCs w:val="18"/>
        </w:rPr>
        <w:t>, &lt;</w:t>
      </w:r>
      <w:hyperlink r:id="rId44" w:history="1">
        <w:r w:rsidR="003A0E30" w:rsidRPr="00800C5B">
          <w:rPr>
            <w:rStyle w:val="Hyperlink"/>
            <w:rFonts w:cs="Arial"/>
            <w:sz w:val="18"/>
            <w:szCs w:val="18"/>
          </w:rPr>
          <w:t>http://ec.europa.eu/education/policy/vocational-policy/doc/ eqavet_en.pdf</w:t>
        </w:r>
      </w:hyperlink>
      <w:r w:rsidR="009A320E">
        <w:rPr>
          <w:rFonts w:cs="Arial"/>
          <w:color w:val="000000"/>
          <w:szCs w:val="18"/>
        </w:rPr>
        <w:t>&gt;</w:t>
      </w:r>
      <w:r w:rsidR="0089427D">
        <w:rPr>
          <w:rFonts w:cs="Arial"/>
          <w:color w:val="000000"/>
          <w:szCs w:val="18"/>
        </w:rPr>
        <w:t>.</w:t>
      </w:r>
      <w:r w:rsidR="009A320E">
        <w:rPr>
          <w:rFonts w:cs="Arial"/>
          <w:color w:val="000000"/>
          <w:szCs w:val="18"/>
        </w:rPr>
        <w:t xml:space="preserve"> </w:t>
      </w:r>
    </w:p>
    <w:p w:rsidR="009A320E" w:rsidRPr="00EE541D" w:rsidRDefault="00856199" w:rsidP="009A320E">
      <w:pPr>
        <w:pStyle w:val="References"/>
        <w:rPr>
          <w:color w:val="444444"/>
          <w:lang w:eastAsia="en-AU"/>
        </w:rPr>
      </w:pPr>
      <w:r>
        <w:rPr>
          <w:color w:val="000000"/>
          <w:szCs w:val="18"/>
        </w:rPr>
        <w:t>European Training Foundation</w:t>
      </w:r>
      <w:r w:rsidR="009A320E">
        <w:rPr>
          <w:color w:val="000000"/>
          <w:szCs w:val="18"/>
        </w:rPr>
        <w:t xml:space="preserve"> 2012, </w:t>
      </w:r>
      <w:r w:rsidR="009A320E" w:rsidRPr="0089427D">
        <w:rPr>
          <w:i/>
          <w:color w:val="000000"/>
          <w:szCs w:val="18"/>
        </w:rPr>
        <w:t xml:space="preserve">Qualifications </w:t>
      </w:r>
      <w:r w:rsidR="0089427D" w:rsidRPr="0089427D">
        <w:rPr>
          <w:i/>
          <w:color w:val="000000"/>
          <w:szCs w:val="18"/>
        </w:rPr>
        <w:t>f</w:t>
      </w:r>
      <w:r w:rsidR="009A320E" w:rsidRPr="0089427D">
        <w:rPr>
          <w:i/>
          <w:color w:val="000000"/>
          <w:szCs w:val="18"/>
        </w:rPr>
        <w:t xml:space="preserve">rameworks: </w:t>
      </w:r>
      <w:r w:rsidR="0089427D" w:rsidRPr="0089427D">
        <w:rPr>
          <w:i/>
          <w:color w:val="000000"/>
          <w:szCs w:val="18"/>
        </w:rPr>
        <w:t>f</w:t>
      </w:r>
      <w:r w:rsidR="009A320E" w:rsidRPr="0089427D">
        <w:rPr>
          <w:i/>
          <w:color w:val="000000"/>
          <w:szCs w:val="18"/>
        </w:rPr>
        <w:t>rom concepts to implementation,</w:t>
      </w:r>
      <w:r w:rsidR="00B20E4A">
        <w:rPr>
          <w:i/>
          <w:color w:val="000000"/>
          <w:szCs w:val="18"/>
        </w:rPr>
        <w:t xml:space="preserve"> </w:t>
      </w:r>
      <w:r w:rsidR="00B20E4A">
        <w:rPr>
          <w:color w:val="000000"/>
          <w:szCs w:val="18"/>
        </w:rPr>
        <w:t>viewed July 2014,</w:t>
      </w:r>
      <w:r w:rsidR="0089427D">
        <w:rPr>
          <w:color w:val="000000"/>
          <w:szCs w:val="18"/>
        </w:rPr>
        <w:t xml:space="preserve"> &lt;</w:t>
      </w:r>
      <w:hyperlink r:id="rId45" w:history="1">
        <w:r w:rsidR="0089427D" w:rsidRPr="00043767">
          <w:rPr>
            <w:rStyle w:val="Hyperlink"/>
            <w:sz w:val="18"/>
            <w:lang w:eastAsia="en-AU"/>
          </w:rPr>
          <w:t>www.etf.europa.eu/webatt.nsf/0/.../</w:t>
        </w:r>
        <w:r w:rsidR="0089427D" w:rsidRPr="00043767">
          <w:rPr>
            <w:rStyle w:val="Hyperlink"/>
            <w:bCs/>
            <w:sz w:val="18"/>
            <w:lang w:eastAsia="en-AU"/>
          </w:rPr>
          <w:t>Qualifications</w:t>
        </w:r>
        <w:r w:rsidR="0089427D" w:rsidRPr="00043767">
          <w:rPr>
            <w:rStyle w:val="Hyperlink"/>
            <w:sz w:val="18"/>
            <w:lang w:eastAsia="en-AU"/>
          </w:rPr>
          <w:t>%20</w:t>
        </w:r>
        <w:r w:rsidR="0089427D" w:rsidRPr="00043767">
          <w:rPr>
            <w:rStyle w:val="Hyperlink"/>
            <w:bCs/>
            <w:sz w:val="18"/>
            <w:lang w:eastAsia="en-AU"/>
          </w:rPr>
          <w:t>frameworks</w:t>
        </w:r>
        <w:r w:rsidR="0089427D" w:rsidRPr="00043767">
          <w:rPr>
            <w:rStyle w:val="Hyperlink"/>
            <w:sz w:val="18"/>
            <w:lang w:eastAsia="en-AU"/>
          </w:rPr>
          <w:t>.pdf</w:t>
        </w:r>
      </w:hyperlink>
      <w:r w:rsidR="0089427D">
        <w:rPr>
          <w:lang w:eastAsia="en-AU"/>
        </w:rPr>
        <w:t>&gt;.</w:t>
      </w:r>
      <w:r w:rsidR="009A320E" w:rsidRPr="00EE541D">
        <w:rPr>
          <w:color w:val="444444"/>
          <w:lang w:eastAsia="en-AU"/>
        </w:rPr>
        <w:t xml:space="preserve"> </w:t>
      </w:r>
    </w:p>
    <w:p w:rsidR="00ED533D" w:rsidRPr="00ED533D" w:rsidRDefault="00851519" w:rsidP="00ED533D">
      <w:pPr>
        <w:pStyle w:val="References"/>
      </w:pPr>
      <w:r w:rsidRPr="00851519">
        <w:t xml:space="preserve">Finnish National Board of Education </w:t>
      </w:r>
      <w:r w:rsidR="00ED533D" w:rsidRPr="00851519">
        <w:t xml:space="preserve">2013, </w:t>
      </w:r>
      <w:r w:rsidR="00ED533D" w:rsidRPr="00851519">
        <w:rPr>
          <w:i/>
        </w:rPr>
        <w:t>Quality assurance in vocational education and training in Finland</w:t>
      </w:r>
      <w:r w:rsidR="00ED533D">
        <w:rPr>
          <w:i/>
        </w:rPr>
        <w:t xml:space="preserve"> — </w:t>
      </w:r>
      <w:r w:rsidR="00ED533D" w:rsidRPr="0089427D">
        <w:rPr>
          <w:i/>
        </w:rPr>
        <w:t>education providers, key players</w:t>
      </w:r>
      <w:r w:rsidR="00ED533D">
        <w:t xml:space="preserve">, </w:t>
      </w:r>
      <w:r w:rsidR="00ED533D" w:rsidRPr="0089427D">
        <w:t>viewed May 2014</w:t>
      </w:r>
      <w:r w:rsidR="00ED533D">
        <w:t>, &lt;</w:t>
      </w:r>
      <w:hyperlink r:id="rId46" w:history="1">
        <w:r w:rsidR="00ED533D" w:rsidRPr="00800C5B">
          <w:rPr>
            <w:rStyle w:val="Hyperlink"/>
            <w:sz w:val="18"/>
          </w:rPr>
          <w:t>http://www.oph.fi/download/148963_Quality_ assurance_in_vocational_education_and_training_in_Finland.pdf</w:t>
        </w:r>
      </w:hyperlink>
      <w:r w:rsidR="00ED533D">
        <w:rPr>
          <w:rStyle w:val="Hyperlink"/>
          <w:sz w:val="18"/>
        </w:rPr>
        <w:t>&gt;</w:t>
      </w:r>
      <w:r w:rsidR="00ED533D">
        <w:t>.</w:t>
      </w:r>
    </w:p>
    <w:p w:rsidR="00EB4282" w:rsidRDefault="00EB4282" w:rsidP="009A320E">
      <w:pPr>
        <w:pStyle w:val="References"/>
        <w:rPr>
          <w:rStyle w:val="Hyperlink"/>
          <w:sz w:val="18"/>
          <w:szCs w:val="18"/>
        </w:rPr>
      </w:pPr>
      <w:r w:rsidRPr="00571134">
        <w:t>Howe, J &amp; Landau</w:t>
      </w:r>
      <w:r w:rsidR="003A0E30">
        <w:t>,</w:t>
      </w:r>
      <w:r w:rsidRPr="00571134">
        <w:t xml:space="preserve"> I 2009, </w:t>
      </w:r>
      <w:r w:rsidR="00C504E2">
        <w:t>‘</w:t>
      </w:r>
      <w:r w:rsidRPr="00571134">
        <w:t>Using public procurement to promote better labour standards in Australia: a case study of responsive regulatory design</w:t>
      </w:r>
      <w:r w:rsidR="00C504E2">
        <w:t>’</w:t>
      </w:r>
      <w:r w:rsidRPr="00571134">
        <w:t>,</w:t>
      </w:r>
      <w:r w:rsidRPr="00ED49EF">
        <w:rPr>
          <w:i/>
        </w:rPr>
        <w:t xml:space="preserve"> Journal of Industrial </w:t>
      </w:r>
      <w:r w:rsidR="0089427D" w:rsidRPr="00ED49EF">
        <w:rPr>
          <w:i/>
        </w:rPr>
        <w:t>Relations</w:t>
      </w:r>
      <w:r w:rsidR="0089427D">
        <w:t>, vol.51, no.4, pp.575—</w:t>
      </w:r>
      <w:r w:rsidRPr="00571134">
        <w:t>89, viewed 20 Jan</w:t>
      </w:r>
      <w:r w:rsidR="00ED533D">
        <w:t>uary</w:t>
      </w:r>
      <w:r w:rsidRPr="00571134">
        <w:t xml:space="preserve"> 2013, &lt;http://papers.ssrn.com/sol3/papers.cfm?abstract_id=1709128&gt;.</w:t>
      </w:r>
    </w:p>
    <w:p w:rsidR="00ED533D" w:rsidRDefault="00ED533D" w:rsidP="00ED533D">
      <w:pPr>
        <w:pStyle w:val="References"/>
        <w:rPr>
          <w:szCs w:val="18"/>
        </w:rPr>
      </w:pPr>
      <w:r>
        <w:rPr>
          <w:szCs w:val="18"/>
        </w:rPr>
        <w:t>New Zealand Qualifications Authority 2009</w:t>
      </w:r>
      <w:r w:rsidR="00F0679C">
        <w:rPr>
          <w:szCs w:val="18"/>
        </w:rPr>
        <w:t>a</w:t>
      </w:r>
      <w:r>
        <w:rPr>
          <w:szCs w:val="18"/>
        </w:rPr>
        <w:t xml:space="preserve">, </w:t>
      </w:r>
      <w:r>
        <w:rPr>
          <w:i/>
          <w:szCs w:val="18"/>
        </w:rPr>
        <w:t>Evaluative approach to quality assurance policy framework</w:t>
      </w:r>
      <w:r>
        <w:rPr>
          <w:szCs w:val="18"/>
        </w:rPr>
        <w:t xml:space="preserve">, NZQA, Wellington, </w:t>
      </w:r>
      <w:r w:rsidRPr="00ED49EF">
        <w:rPr>
          <w:szCs w:val="18"/>
        </w:rPr>
        <w:t>viewed 20 Jan</w:t>
      </w:r>
      <w:r>
        <w:rPr>
          <w:szCs w:val="18"/>
        </w:rPr>
        <w:t>uary</w:t>
      </w:r>
      <w:r w:rsidRPr="00ED49EF">
        <w:rPr>
          <w:szCs w:val="18"/>
        </w:rPr>
        <w:t xml:space="preserve"> 2013,</w:t>
      </w:r>
      <w:r>
        <w:rPr>
          <w:szCs w:val="18"/>
        </w:rPr>
        <w:t xml:space="preserve"> &lt;http://www.nzqa.govt.nz/assets/Studying-in-NZ/Quality-assurance/eer-policy-framework.pdf&gt;. </w:t>
      </w:r>
    </w:p>
    <w:p w:rsidR="00856199" w:rsidRDefault="00856199" w:rsidP="00856199">
      <w:pPr>
        <w:pStyle w:val="References"/>
      </w:pPr>
      <w:r>
        <w:rPr>
          <w:szCs w:val="18"/>
        </w:rPr>
        <w:t>New Zealand Qualifications Authority 2009</w:t>
      </w:r>
      <w:r w:rsidR="00F0679C">
        <w:rPr>
          <w:szCs w:val="18"/>
        </w:rPr>
        <w:t>b</w:t>
      </w:r>
      <w:r>
        <w:rPr>
          <w:szCs w:val="18"/>
        </w:rPr>
        <w:t xml:space="preserve">, </w:t>
      </w:r>
      <w:r>
        <w:rPr>
          <w:i/>
          <w:szCs w:val="18"/>
        </w:rPr>
        <w:t xml:space="preserve">Policy and guidelines for the conduct of </w:t>
      </w:r>
      <w:r w:rsidR="00ED533D">
        <w:rPr>
          <w:i/>
          <w:szCs w:val="18"/>
        </w:rPr>
        <w:t>e</w:t>
      </w:r>
      <w:r>
        <w:rPr>
          <w:i/>
          <w:szCs w:val="18"/>
        </w:rPr>
        <w:t xml:space="preserve">xternal </w:t>
      </w:r>
      <w:r w:rsidR="00ED533D">
        <w:rPr>
          <w:i/>
          <w:szCs w:val="18"/>
        </w:rPr>
        <w:t>e</w:t>
      </w:r>
      <w:r>
        <w:rPr>
          <w:i/>
          <w:szCs w:val="18"/>
        </w:rPr>
        <w:t xml:space="preserve">valuation and </w:t>
      </w:r>
      <w:r w:rsidR="00ED533D">
        <w:rPr>
          <w:i/>
          <w:szCs w:val="18"/>
        </w:rPr>
        <w:t>r</w:t>
      </w:r>
      <w:r>
        <w:rPr>
          <w:i/>
          <w:szCs w:val="18"/>
        </w:rPr>
        <w:t>eview</w:t>
      </w:r>
      <w:r>
        <w:rPr>
          <w:szCs w:val="18"/>
        </w:rPr>
        <w:t xml:space="preserve">, NZQA, Wellington, </w:t>
      </w:r>
      <w:r w:rsidR="00ED49EF" w:rsidRPr="00ED49EF">
        <w:rPr>
          <w:szCs w:val="18"/>
        </w:rPr>
        <w:t>viewed 20 Jan</w:t>
      </w:r>
      <w:r w:rsidR="00ED533D">
        <w:rPr>
          <w:szCs w:val="18"/>
        </w:rPr>
        <w:t>uary</w:t>
      </w:r>
      <w:r w:rsidR="00ED49EF" w:rsidRPr="00ED49EF">
        <w:rPr>
          <w:szCs w:val="18"/>
        </w:rPr>
        <w:t xml:space="preserve"> 2013,</w:t>
      </w:r>
      <w:r w:rsidR="00ED49EF">
        <w:rPr>
          <w:szCs w:val="18"/>
        </w:rPr>
        <w:t xml:space="preserve"> </w:t>
      </w:r>
      <w:r>
        <w:rPr>
          <w:szCs w:val="18"/>
        </w:rPr>
        <w:t>&lt;</w:t>
      </w:r>
      <w:hyperlink r:id="rId47" w:history="1">
        <w:r>
          <w:rPr>
            <w:rStyle w:val="Hyperlink"/>
            <w:sz w:val="18"/>
            <w:szCs w:val="18"/>
          </w:rPr>
          <w:t>http://www.nzqa.govt.nz/assets/Providers-and-partners/Registration-and-accreditation/External-evaluation/policy-gudelines-eer.pdf</w:t>
        </w:r>
      </w:hyperlink>
      <w:r>
        <w:rPr>
          <w:rStyle w:val="Hyperlink"/>
          <w:sz w:val="18"/>
          <w:szCs w:val="18"/>
        </w:rPr>
        <w:t>&gt;</w:t>
      </w:r>
      <w:r w:rsidR="00ED49EF">
        <w:rPr>
          <w:rStyle w:val="Hyperlink"/>
          <w:sz w:val="18"/>
          <w:szCs w:val="18"/>
        </w:rPr>
        <w:t>.</w:t>
      </w:r>
      <w:r>
        <w:rPr>
          <w:rStyle w:val="Hyperlink"/>
          <w:sz w:val="18"/>
          <w:szCs w:val="18"/>
        </w:rPr>
        <w:t xml:space="preserve"> </w:t>
      </w:r>
    </w:p>
    <w:p w:rsidR="009A320E" w:rsidRDefault="00856199" w:rsidP="009A320E">
      <w:pPr>
        <w:pStyle w:val="References"/>
        <w:rPr>
          <w:szCs w:val="18"/>
        </w:rPr>
      </w:pPr>
      <w:r>
        <w:rPr>
          <w:szCs w:val="18"/>
        </w:rPr>
        <w:t>——</w:t>
      </w:r>
      <w:r w:rsidR="009A320E">
        <w:rPr>
          <w:szCs w:val="18"/>
        </w:rPr>
        <w:t xml:space="preserve">2012, </w:t>
      </w:r>
      <w:r w:rsidR="009A320E">
        <w:rPr>
          <w:i/>
          <w:szCs w:val="18"/>
        </w:rPr>
        <w:t>An independent evaluation of NZQA</w:t>
      </w:r>
      <w:r w:rsidR="00C504E2">
        <w:rPr>
          <w:i/>
          <w:szCs w:val="18"/>
        </w:rPr>
        <w:t>’</w:t>
      </w:r>
      <w:r w:rsidR="009A320E">
        <w:rPr>
          <w:i/>
          <w:szCs w:val="18"/>
        </w:rPr>
        <w:t>s Evaluative Quality Assurance Framework: report of the panel</w:t>
      </w:r>
      <w:r w:rsidR="009A320E">
        <w:rPr>
          <w:szCs w:val="18"/>
        </w:rPr>
        <w:t xml:space="preserve">, NZQA, Wellington, </w:t>
      </w:r>
      <w:r w:rsidR="00ED49EF" w:rsidRPr="00ED49EF">
        <w:rPr>
          <w:szCs w:val="18"/>
        </w:rPr>
        <w:t>viewed 20 Jan</w:t>
      </w:r>
      <w:r w:rsidR="00ED533D">
        <w:rPr>
          <w:szCs w:val="18"/>
        </w:rPr>
        <w:t>uary</w:t>
      </w:r>
      <w:r w:rsidR="00ED49EF" w:rsidRPr="00ED49EF">
        <w:rPr>
          <w:szCs w:val="18"/>
        </w:rPr>
        <w:t xml:space="preserve"> 2013</w:t>
      </w:r>
      <w:r w:rsidR="00ED49EF">
        <w:rPr>
          <w:szCs w:val="18"/>
        </w:rPr>
        <w:t>, &lt;</w:t>
      </w:r>
      <w:hyperlink r:id="rId48" w:history="1">
        <w:r w:rsidR="009A320E" w:rsidRPr="009A536C">
          <w:rPr>
            <w:rStyle w:val="Hyperlink"/>
            <w:sz w:val="18"/>
            <w:szCs w:val="18"/>
          </w:rPr>
          <w:t>http://www.nzqa.govt.nz/assets/Studying-in-NZ/Quality-assurance/evaluation-qa-framework-report.pdf</w:t>
        </w:r>
      </w:hyperlink>
      <w:r w:rsidR="00ED49EF">
        <w:rPr>
          <w:rStyle w:val="Hyperlink"/>
          <w:sz w:val="18"/>
          <w:szCs w:val="18"/>
        </w:rPr>
        <w:t>&gt;.</w:t>
      </w:r>
    </w:p>
    <w:p w:rsidR="00560E1E" w:rsidRDefault="00560E1E" w:rsidP="00560E1E">
      <w:pPr>
        <w:pStyle w:val="References"/>
        <w:rPr>
          <w:color w:val="000000"/>
        </w:rPr>
      </w:pPr>
      <w:r>
        <w:rPr>
          <w:rStyle w:val="Hyperlink"/>
          <w:sz w:val="18"/>
        </w:rPr>
        <w:t>OECD (</w:t>
      </w:r>
      <w:r>
        <w:rPr>
          <w:color w:val="000000"/>
        </w:rPr>
        <w:t>Organisation for Econom</w:t>
      </w:r>
      <w:r w:rsidR="00ED49EF">
        <w:rPr>
          <w:color w:val="000000"/>
        </w:rPr>
        <w:t xml:space="preserve">ic Cooperation and Development) 2007, </w:t>
      </w:r>
      <w:r w:rsidR="00ED49EF" w:rsidRPr="00ED49EF">
        <w:rPr>
          <w:i/>
          <w:color w:val="000000"/>
        </w:rPr>
        <w:t>Qualification systems: b</w:t>
      </w:r>
      <w:r w:rsidRPr="00ED49EF">
        <w:rPr>
          <w:i/>
          <w:color w:val="000000"/>
        </w:rPr>
        <w:t xml:space="preserve">ridges to </w:t>
      </w:r>
      <w:r w:rsidR="00ED49EF" w:rsidRPr="00ED49EF">
        <w:rPr>
          <w:i/>
          <w:color w:val="000000"/>
        </w:rPr>
        <w:t>lifelong learning</w:t>
      </w:r>
      <w:r w:rsidR="00ED49EF">
        <w:rPr>
          <w:color w:val="000000"/>
        </w:rPr>
        <w:t xml:space="preserve">, </w:t>
      </w:r>
      <w:r w:rsidR="00ED49EF" w:rsidRPr="00ED49EF">
        <w:rPr>
          <w:color w:val="000000"/>
        </w:rPr>
        <w:t>viewed November, 2014</w:t>
      </w:r>
      <w:r w:rsidR="00ED49EF">
        <w:rPr>
          <w:color w:val="000000"/>
        </w:rPr>
        <w:t>, &lt;</w:t>
      </w:r>
      <w:hyperlink r:id="rId49" w:history="1">
        <w:r w:rsidR="002206A7" w:rsidRPr="00611986">
          <w:rPr>
            <w:rStyle w:val="Hyperlink"/>
            <w:sz w:val="18"/>
          </w:rPr>
          <w:t>http://browse.oecdbookshop.org/oecd/pdfs/product/9107031e.pdf</w:t>
        </w:r>
      </w:hyperlink>
      <w:r w:rsidR="00ED49EF">
        <w:rPr>
          <w:rStyle w:val="Hyperlink"/>
          <w:sz w:val="18"/>
        </w:rPr>
        <w:t xml:space="preserve">&gt;. </w:t>
      </w:r>
    </w:p>
    <w:p w:rsidR="00361043" w:rsidRDefault="00361043" w:rsidP="00361043">
      <w:pPr>
        <w:pStyle w:val="References"/>
      </w:pPr>
      <w:proofErr w:type="spellStart"/>
      <w:r>
        <w:t>Ofqual</w:t>
      </w:r>
      <w:proofErr w:type="spellEnd"/>
      <w:r w:rsidRPr="00361043">
        <w:t xml:space="preserve"> 2014, ‘The role of regulation in driving up the quality of vocational qual</w:t>
      </w:r>
      <w:r>
        <w:t xml:space="preserve">ifications’, </w:t>
      </w:r>
      <w:r w:rsidRPr="00361043">
        <w:t>viewed March 2014, &lt;</w:t>
      </w:r>
      <w:hyperlink r:id="rId50" w:history="1">
        <w:r w:rsidRPr="00361043">
          <w:rPr>
            <w:rStyle w:val="Hyperlink"/>
            <w:color w:val="auto"/>
            <w:sz w:val="18"/>
          </w:rPr>
          <w:t>http://ofqual.gov.uk/news/ofqual-statement-role-regulation-driving-quality-vocational-qualifications/</w:t>
        </w:r>
      </w:hyperlink>
      <w:r w:rsidRPr="00361043">
        <w:t>&gt;.</w:t>
      </w:r>
    </w:p>
    <w:p w:rsidR="009A320E" w:rsidRPr="00ED49EF" w:rsidRDefault="00710A48" w:rsidP="00ED49EF">
      <w:pPr>
        <w:pStyle w:val="References"/>
      </w:pPr>
      <w:proofErr w:type="spellStart"/>
      <w:r w:rsidRPr="00F0679C">
        <w:t>Ofsted</w:t>
      </w:r>
      <w:proofErr w:type="spellEnd"/>
      <w:r w:rsidRPr="00F0679C">
        <w:rPr>
          <w:color w:val="000000"/>
        </w:rPr>
        <w:t xml:space="preserve"> </w:t>
      </w:r>
      <w:r w:rsidR="009A320E" w:rsidRPr="00F0679C">
        <w:rPr>
          <w:color w:val="000000"/>
        </w:rPr>
        <w:t>2014,</w:t>
      </w:r>
      <w:r w:rsidR="009A320E" w:rsidRPr="00F0679C">
        <w:rPr>
          <w:i/>
          <w:color w:val="000000"/>
        </w:rPr>
        <w:t xml:space="preserve"> Common Inspection Framework for further education and skills for use from September</w:t>
      </w:r>
      <w:r w:rsidR="009A320E" w:rsidRPr="00ED49EF">
        <w:rPr>
          <w:i/>
          <w:color w:val="000000"/>
        </w:rPr>
        <w:t xml:space="preserve"> 2012</w:t>
      </w:r>
      <w:r w:rsidR="009A320E">
        <w:rPr>
          <w:color w:val="000000"/>
        </w:rPr>
        <w:t xml:space="preserve">, </w:t>
      </w:r>
      <w:r w:rsidR="00ED49EF" w:rsidRPr="00ED49EF">
        <w:t>viewed June 2014</w:t>
      </w:r>
      <w:r w:rsidR="00ED49EF">
        <w:t xml:space="preserve">, </w:t>
      </w:r>
      <w:r w:rsidR="009A320E" w:rsidRPr="00ED49EF">
        <w:t>&lt;</w:t>
      </w:r>
      <w:hyperlink r:id="rId51" w:history="1">
        <w:r w:rsidR="009A320E" w:rsidRPr="00ED49EF">
          <w:rPr>
            <w:rStyle w:val="Hyperlink"/>
            <w:color w:val="auto"/>
            <w:sz w:val="18"/>
          </w:rPr>
          <w:t>http://www.ofsted.gov.uk/resources/common-inspection-framework-for-further-education-and-skills-2012</w:t>
        </w:r>
      </w:hyperlink>
      <w:r w:rsidR="009A320E" w:rsidRPr="00ED49EF">
        <w:rPr>
          <w:rStyle w:val="Hyperlink"/>
          <w:color w:val="auto"/>
          <w:sz w:val="18"/>
        </w:rPr>
        <w:t>&gt;</w:t>
      </w:r>
      <w:r w:rsidR="00ED49EF">
        <w:t>.</w:t>
      </w:r>
    </w:p>
    <w:p w:rsidR="00F0679C" w:rsidRPr="00F0679C" w:rsidRDefault="00F0679C" w:rsidP="00F0679C">
      <w:pPr>
        <w:pStyle w:val="References"/>
      </w:pPr>
      <w:r w:rsidRPr="00F0679C">
        <w:t xml:space="preserve">Quality and Qualifications Ireland, 2013, Quality Assurance Guidelines and Criteria for Provider Access to Initial Validation of Programmes Leading to QQI Awards, viewed November 2014,&lt; </w:t>
      </w:r>
      <w:hyperlink r:id="rId52" w:history="1">
        <w:r w:rsidRPr="00F0679C">
          <w:rPr>
            <w:rStyle w:val="Hyperlink"/>
            <w:color w:val="auto"/>
            <w:sz w:val="18"/>
          </w:rPr>
          <w:t>http://www.qqi.ie/Publications/Qualilty%20Assurance%20Guidelines%20FET%202013.pdf&gt;</w:t>
        </w:r>
      </w:hyperlink>
      <w:r w:rsidRPr="00F0679C">
        <w:t>.</w:t>
      </w:r>
    </w:p>
    <w:p w:rsidR="009A320E" w:rsidRDefault="009A320E" w:rsidP="009A320E">
      <w:pPr>
        <w:pStyle w:val="References"/>
        <w:rPr>
          <w:szCs w:val="18"/>
        </w:rPr>
      </w:pPr>
      <w:r>
        <w:rPr>
          <w:szCs w:val="18"/>
        </w:rPr>
        <w:t xml:space="preserve">Roche, D 2006, </w:t>
      </w:r>
      <w:r>
        <w:rPr>
          <w:i/>
          <w:szCs w:val="18"/>
        </w:rPr>
        <w:t>Tax Office prosecutions: firm and fair regulatory environment?</w:t>
      </w:r>
      <w:r>
        <w:rPr>
          <w:szCs w:val="18"/>
        </w:rPr>
        <w:t>, Regulatory Institutions Network, A</w:t>
      </w:r>
      <w:r w:rsidR="00FD51B7">
        <w:rPr>
          <w:szCs w:val="18"/>
        </w:rPr>
        <w:t xml:space="preserve">ustralian </w:t>
      </w:r>
      <w:r>
        <w:rPr>
          <w:szCs w:val="18"/>
        </w:rPr>
        <w:t>N</w:t>
      </w:r>
      <w:r w:rsidR="00FD51B7">
        <w:rPr>
          <w:szCs w:val="18"/>
        </w:rPr>
        <w:t xml:space="preserve">ational </w:t>
      </w:r>
      <w:r>
        <w:rPr>
          <w:szCs w:val="18"/>
        </w:rPr>
        <w:t>U</w:t>
      </w:r>
      <w:r w:rsidR="00FD51B7">
        <w:rPr>
          <w:szCs w:val="18"/>
        </w:rPr>
        <w:t>niversity</w:t>
      </w:r>
      <w:r>
        <w:rPr>
          <w:szCs w:val="18"/>
        </w:rPr>
        <w:t>, Canberra</w:t>
      </w:r>
      <w:r w:rsidR="00FD51B7" w:rsidRPr="00FD51B7">
        <w:rPr>
          <w:szCs w:val="18"/>
        </w:rPr>
        <w:t>, viewed 20 Jan</w:t>
      </w:r>
      <w:r w:rsidR="00E776FC">
        <w:rPr>
          <w:szCs w:val="18"/>
        </w:rPr>
        <w:t>uary</w:t>
      </w:r>
      <w:r w:rsidR="00FD51B7" w:rsidRPr="00FD51B7">
        <w:rPr>
          <w:szCs w:val="18"/>
        </w:rPr>
        <w:t xml:space="preserve"> 2013,</w:t>
      </w:r>
      <w:r>
        <w:rPr>
          <w:szCs w:val="18"/>
        </w:rPr>
        <w:t xml:space="preserve"> </w:t>
      </w:r>
      <w:r w:rsidR="00FD51B7">
        <w:rPr>
          <w:szCs w:val="18"/>
        </w:rPr>
        <w:t>&lt;</w:t>
      </w:r>
      <w:hyperlink r:id="rId53" w:history="1">
        <w:r w:rsidRPr="009A536C">
          <w:rPr>
            <w:rStyle w:val="Hyperlink"/>
            <w:sz w:val="18"/>
            <w:szCs w:val="18"/>
          </w:rPr>
          <w:t>http://regnet.anu.edu.au/sites/default/files/ROP9.pdf</w:t>
        </w:r>
      </w:hyperlink>
      <w:r w:rsidR="00FD51B7">
        <w:rPr>
          <w:szCs w:val="18"/>
        </w:rPr>
        <w:t>&gt;.</w:t>
      </w:r>
    </w:p>
    <w:p w:rsidR="00EB4282" w:rsidRPr="003A0E30" w:rsidRDefault="00EB4282" w:rsidP="00EB4282">
      <w:pPr>
        <w:pStyle w:val="References"/>
      </w:pPr>
      <w:r w:rsidRPr="00571134">
        <w:t xml:space="preserve">Sparrow, M 2000, </w:t>
      </w:r>
      <w:r w:rsidRPr="00FD51B7">
        <w:rPr>
          <w:i/>
        </w:rPr>
        <w:t>The regulatory craft: controlling risks, solving problems, and managing compliance</w:t>
      </w:r>
      <w:r w:rsidRPr="00571134">
        <w:t>, B</w:t>
      </w:r>
      <w:r w:rsidR="003A0E30">
        <w:t>r</w:t>
      </w:r>
      <w:r w:rsidRPr="00571134">
        <w:t>ookings Institution, Washington, DC, viewed 20 Jan</w:t>
      </w:r>
      <w:r w:rsidR="00E776FC">
        <w:t>uary</w:t>
      </w:r>
      <w:r w:rsidRPr="00571134">
        <w:t xml:space="preserve"> 2013, </w:t>
      </w:r>
      <w:r w:rsidR="00FD51B7" w:rsidRPr="003A0E30">
        <w:t>&lt;</w:t>
      </w:r>
      <w:hyperlink r:id="rId54" w:history="1">
        <w:r w:rsidR="00FD51B7" w:rsidRPr="003A0E30">
          <w:t>http://web.archive.org/web/20071008205217/http://brookings.nap.edu/books/0815780656/html/index.html</w:t>
        </w:r>
      </w:hyperlink>
      <w:r w:rsidR="00FD51B7" w:rsidRPr="003A0E30">
        <w:t>&gt;.</w:t>
      </w:r>
    </w:p>
    <w:p w:rsidR="009A320E" w:rsidRDefault="009A320E" w:rsidP="009A320E">
      <w:pPr>
        <w:pStyle w:val="References"/>
      </w:pPr>
      <w:r>
        <w:t>Tuck</w:t>
      </w:r>
      <w:r w:rsidR="007D1B89">
        <w:t>, R</w:t>
      </w:r>
      <w:r>
        <w:t xml:space="preserve"> 2007,</w:t>
      </w:r>
      <w:r w:rsidR="004928F1">
        <w:t xml:space="preserve"> </w:t>
      </w:r>
      <w:r w:rsidRPr="007D1B89">
        <w:rPr>
          <w:i/>
        </w:rPr>
        <w:t xml:space="preserve">An introductory guide to national qualifications frameworks, </w:t>
      </w:r>
      <w:r w:rsidR="007D1B89" w:rsidRPr="007D1B89">
        <w:rPr>
          <w:i/>
        </w:rPr>
        <w:t>conceptual and practical issues for policy makers</w:t>
      </w:r>
      <w:r>
        <w:t xml:space="preserve">, </w:t>
      </w:r>
      <w:r w:rsidR="007D1B89">
        <w:t xml:space="preserve">viewed April 2014, </w:t>
      </w:r>
      <w:r>
        <w:t>&lt;</w:t>
      </w:r>
      <w:hyperlink r:id="rId55" w:history="1">
        <w:r w:rsidR="003A0E30" w:rsidRPr="00800C5B">
          <w:rPr>
            <w:rStyle w:val="Hyperlink"/>
            <w:sz w:val="18"/>
          </w:rPr>
          <w:t>http://www.ilo.org/wcmsp5/groups/public/@ed_emp/@ifp_ skills/documents/</w:t>
        </w:r>
        <w:proofErr w:type="spellStart"/>
        <w:r w:rsidR="003A0E30" w:rsidRPr="00800C5B">
          <w:rPr>
            <w:rStyle w:val="Hyperlink"/>
            <w:sz w:val="18"/>
          </w:rPr>
          <w:t>instructionalmaterial</w:t>
        </w:r>
        <w:proofErr w:type="spellEnd"/>
        <w:r w:rsidR="003A0E30" w:rsidRPr="00800C5B">
          <w:rPr>
            <w:rStyle w:val="Hyperlink"/>
            <w:sz w:val="18"/>
          </w:rPr>
          <w:t>/wcms_103623.pdf</w:t>
        </w:r>
      </w:hyperlink>
      <w:r>
        <w:rPr>
          <w:rStyle w:val="Hyperlink"/>
          <w:sz w:val="18"/>
        </w:rPr>
        <w:t>&gt;</w:t>
      </w:r>
      <w:r w:rsidR="007D1B89">
        <w:t>.</w:t>
      </w:r>
      <w:r>
        <w:t xml:space="preserve"> </w:t>
      </w:r>
    </w:p>
    <w:p w:rsidR="009A320E" w:rsidRDefault="009A320E" w:rsidP="009A320E">
      <w:pPr>
        <w:pStyle w:val="References"/>
      </w:pPr>
      <w:r>
        <w:t xml:space="preserve">United Kingdom Skills Commission, 2010, </w:t>
      </w:r>
      <w:r w:rsidRPr="00FD51B7">
        <w:rPr>
          <w:i/>
        </w:rPr>
        <w:t xml:space="preserve">There are many paths to success: </w:t>
      </w:r>
      <w:r w:rsidR="00FD57B1" w:rsidRPr="00FD51B7">
        <w:rPr>
          <w:i/>
        </w:rPr>
        <w:t>teacher training in vocational education</w:t>
      </w:r>
      <w:r w:rsidR="00FD51B7">
        <w:rPr>
          <w:i/>
        </w:rPr>
        <w:t>,</w:t>
      </w:r>
      <w:r>
        <w:t xml:space="preserve"> </w:t>
      </w:r>
      <w:r w:rsidR="00FD51B7">
        <w:t xml:space="preserve">viewed July 2014, </w:t>
      </w:r>
      <w:r w:rsidR="00E776FC">
        <w:t>&lt;</w:t>
      </w:r>
      <w:hyperlink r:id="rId56" w:history="1">
        <w:r w:rsidRPr="00BD2E63">
          <w:rPr>
            <w:rStyle w:val="Hyperlink"/>
            <w:sz w:val="18"/>
          </w:rPr>
          <w:t>http://www.edge.co.uk/media/17075/teaching_training_in_vocational_education_-_report.pdf</w:t>
        </w:r>
      </w:hyperlink>
      <w:r w:rsidR="00E776FC">
        <w:rPr>
          <w:rStyle w:val="Hyperlink"/>
          <w:sz w:val="18"/>
        </w:rPr>
        <w:t>&gt;.</w:t>
      </w:r>
      <w:r>
        <w:t xml:space="preserve"> </w:t>
      </w:r>
    </w:p>
    <w:p w:rsidR="009A320E" w:rsidRDefault="007D1B89" w:rsidP="009A320E">
      <w:pPr>
        <w:pStyle w:val="References"/>
        <w:rPr>
          <w:color w:val="000000"/>
        </w:rPr>
      </w:pPr>
      <w:r>
        <w:rPr>
          <w:color w:val="000000"/>
        </w:rPr>
        <w:t>United Kingdom Department for E</w:t>
      </w:r>
      <w:r w:rsidR="009A320E">
        <w:rPr>
          <w:color w:val="000000"/>
        </w:rPr>
        <w:t xml:space="preserve">ducation and </w:t>
      </w:r>
      <w:r w:rsidR="003A0E30">
        <w:rPr>
          <w:color w:val="000000"/>
        </w:rPr>
        <w:t xml:space="preserve">Skills </w:t>
      </w:r>
      <w:r w:rsidR="009A320E">
        <w:rPr>
          <w:color w:val="000000"/>
        </w:rPr>
        <w:t xml:space="preserve">2007, </w:t>
      </w:r>
      <w:r w:rsidR="009A320E" w:rsidRPr="00FD51B7">
        <w:rPr>
          <w:i/>
          <w:color w:val="000000"/>
        </w:rPr>
        <w:t>UKVQRP e-news</w:t>
      </w:r>
      <w:r w:rsidR="009A320E">
        <w:rPr>
          <w:color w:val="000000"/>
        </w:rPr>
        <w:t xml:space="preserve">, </w:t>
      </w:r>
      <w:r w:rsidR="00FD51B7">
        <w:rPr>
          <w:color w:val="000000"/>
        </w:rPr>
        <w:t>i</w:t>
      </w:r>
      <w:r w:rsidR="009A320E">
        <w:rPr>
          <w:color w:val="000000"/>
        </w:rPr>
        <w:t xml:space="preserve">ssue 1, </w:t>
      </w:r>
      <w:r w:rsidR="00FD51B7" w:rsidRPr="00FD51B7">
        <w:rPr>
          <w:color w:val="000000"/>
        </w:rPr>
        <w:t>viewed May 2014,</w:t>
      </w:r>
      <w:r w:rsidR="00FD51B7">
        <w:rPr>
          <w:color w:val="000000"/>
        </w:rPr>
        <w:t xml:space="preserve"> </w:t>
      </w:r>
      <w:hyperlink r:id="rId57" w:history="1">
        <w:r w:rsidR="00E776FC" w:rsidRPr="005F4B1C">
          <w:rPr>
            <w:rStyle w:val="Hyperlink"/>
            <w:sz w:val="18"/>
          </w:rPr>
          <w:t>www.dti.gov.uk/assets/biscore/.../u/ukvqrpenewsletterapril07.pdf</w:t>
        </w:r>
      </w:hyperlink>
      <w:r w:rsidR="00E776FC">
        <w:t>.</w:t>
      </w:r>
      <w:r w:rsidR="009A320E">
        <w:rPr>
          <w:color w:val="000000"/>
        </w:rPr>
        <w:t xml:space="preserve"> </w:t>
      </w:r>
    </w:p>
    <w:p w:rsidR="00660E1A" w:rsidRDefault="009A320E" w:rsidP="009A320E">
      <w:pPr>
        <w:pStyle w:val="References"/>
      </w:pPr>
      <w:r>
        <w:t>Vaughan, K 2010, I</w:t>
      </w:r>
      <w:r w:rsidRPr="00FD51B7">
        <w:rPr>
          <w:i/>
        </w:rPr>
        <w:t>TO workplace assessment structures and systems: survey and focus group findings</w:t>
      </w:r>
      <w:r w:rsidR="00FD51B7">
        <w:t>,</w:t>
      </w:r>
      <w:r>
        <w:t xml:space="preserve"> report prepared for the Industry Training Federation Research Network, National Centre for Tertiary </w:t>
      </w:r>
    </w:p>
    <w:p w:rsidR="00660E1A" w:rsidRDefault="00660E1A">
      <w:pPr>
        <w:spacing w:before="0" w:line="240" w:lineRule="auto"/>
        <w:rPr>
          <w:sz w:val="18"/>
        </w:rPr>
      </w:pPr>
      <w:r>
        <w:br w:type="page"/>
      </w:r>
    </w:p>
    <w:p w:rsidR="009A320E" w:rsidRDefault="009A320E" w:rsidP="00660E1A">
      <w:pPr>
        <w:pStyle w:val="References"/>
        <w:ind w:firstLine="0"/>
      </w:pPr>
      <w:r>
        <w:lastRenderedPageBreak/>
        <w:t xml:space="preserve">Teaching Excellence, Wellington, </w:t>
      </w:r>
      <w:r w:rsidR="00FD51B7">
        <w:t>viewed 20 Jan</w:t>
      </w:r>
      <w:r w:rsidR="00E776FC">
        <w:t>uary</w:t>
      </w:r>
      <w:r w:rsidR="00FD51B7">
        <w:t xml:space="preserve"> 2013, &lt;</w:t>
      </w:r>
      <w:hyperlink r:id="rId58" w:history="1">
        <w:r w:rsidRPr="009A536C">
          <w:rPr>
            <w:rStyle w:val="Hyperlink"/>
            <w:sz w:val="18"/>
          </w:rPr>
          <w:t>http://akoaotearoa.ac.nz/download/ng/file/group-1656/n3937-ito-workplace-assessment-structures-and-systems---survey-and-focus-group-findings.pdf</w:t>
        </w:r>
      </w:hyperlink>
      <w:r w:rsidR="00FD51B7">
        <w:rPr>
          <w:rStyle w:val="Hyperlink"/>
          <w:sz w:val="18"/>
        </w:rPr>
        <w:t>&gt;.</w:t>
      </w:r>
      <w:r>
        <w:t xml:space="preserve"> </w:t>
      </w:r>
    </w:p>
    <w:p w:rsidR="00851519" w:rsidRDefault="00851519" w:rsidP="00851519">
      <w:pPr>
        <w:pStyle w:val="Heading2"/>
      </w:pPr>
      <w:r>
        <w:t>Additional websites consulted</w:t>
      </w:r>
    </w:p>
    <w:p w:rsidR="00851519" w:rsidRPr="00710A48" w:rsidRDefault="00851519" w:rsidP="00851519">
      <w:pPr>
        <w:pStyle w:val="References"/>
        <w:ind w:right="-284"/>
      </w:pPr>
      <w:r w:rsidRPr="00710A48">
        <w:rPr>
          <w:rStyle w:val="headerslevel11"/>
          <w:rFonts w:ascii="Trebuchet MS" w:hAnsi="Trebuchet MS"/>
          <w:b w:val="0"/>
          <w:bCs w:val="0"/>
          <w:color w:val="auto"/>
          <w:sz w:val="18"/>
          <w:szCs w:val="20"/>
        </w:rPr>
        <w:t xml:space="preserve">Accreditation in the United States, </w:t>
      </w:r>
      <w:bookmarkStart w:id="61" w:name="RegionalInstitutional"/>
      <w:r w:rsidRPr="00710A48">
        <w:rPr>
          <w:rStyle w:val="headerslevel23"/>
          <w:rFonts w:ascii="Trebuchet MS" w:hAnsi="Trebuchet MS"/>
          <w:b w:val="0"/>
          <w:bCs w:val="0"/>
          <w:caps w:val="0"/>
          <w:color w:val="auto"/>
          <w:szCs w:val="20"/>
        </w:rPr>
        <w:t>Regional and National Institutional Accrediting Agencies</w:t>
      </w:r>
      <w:bookmarkEnd w:id="61"/>
      <w:r w:rsidRPr="00710A48">
        <w:rPr>
          <w:rStyle w:val="headerslevel23"/>
          <w:rFonts w:ascii="Trebuchet MS" w:hAnsi="Trebuchet MS"/>
          <w:b w:val="0"/>
          <w:bCs w:val="0"/>
          <w:caps w:val="0"/>
          <w:color w:val="auto"/>
          <w:szCs w:val="20"/>
        </w:rPr>
        <w:t>, viewed April 2014, &lt;</w:t>
      </w:r>
      <w:hyperlink r:id="rId59" w:history="1">
        <w:r w:rsidRPr="00710A48">
          <w:rPr>
            <w:rStyle w:val="Hyperlink"/>
            <w:sz w:val="18"/>
          </w:rPr>
          <w:t>http://www2.ed.gov/admins/finaid/accred/accreditation_pg6.html</w:t>
        </w:r>
      </w:hyperlink>
      <w:r w:rsidRPr="00710A48">
        <w:rPr>
          <w:rStyle w:val="Hyperlink"/>
          <w:sz w:val="18"/>
        </w:rPr>
        <w:t>&gt;.</w:t>
      </w:r>
    </w:p>
    <w:p w:rsidR="00851519" w:rsidRPr="00710A48" w:rsidRDefault="00851519" w:rsidP="00851519">
      <w:pPr>
        <w:pStyle w:val="References"/>
      </w:pPr>
      <w:r w:rsidRPr="00710A48">
        <w:t xml:space="preserve">Australian Qualifications Council, </w:t>
      </w:r>
      <w:r w:rsidRPr="00710A48">
        <w:rPr>
          <w:i/>
        </w:rPr>
        <w:t>The Australian Qualifications Framework</w:t>
      </w:r>
      <w:r w:rsidRPr="00710A48">
        <w:t>, viewed May 2014, &lt;</w:t>
      </w:r>
      <w:hyperlink r:id="rId60" w:history="1">
        <w:r w:rsidRPr="00710A48">
          <w:rPr>
            <w:rStyle w:val="Hyperlink"/>
            <w:sz w:val="18"/>
          </w:rPr>
          <w:t>http://www.aqf.edu.au/wp-content/uploads/2013/05/AQF-2nd-Edition-January-2013.pdf</w:t>
        </w:r>
      </w:hyperlink>
      <w:r w:rsidRPr="00710A48">
        <w:rPr>
          <w:rStyle w:val="Hyperlink"/>
          <w:sz w:val="18"/>
        </w:rPr>
        <w:t>&gt;.</w:t>
      </w:r>
    </w:p>
    <w:p w:rsidR="00851519" w:rsidRPr="00710A48" w:rsidRDefault="00851519" w:rsidP="00851519">
      <w:pPr>
        <w:pStyle w:val="References"/>
        <w:rPr>
          <w:szCs w:val="18"/>
        </w:rPr>
      </w:pPr>
      <w:r w:rsidRPr="00710A48">
        <w:rPr>
          <w:szCs w:val="18"/>
        </w:rPr>
        <w:t>Council of Occupational Education 2013,</w:t>
      </w:r>
      <w:r w:rsidRPr="00710A48">
        <w:rPr>
          <w:i/>
          <w:szCs w:val="18"/>
        </w:rPr>
        <w:t xml:space="preserve"> Handbook of accreditation</w:t>
      </w:r>
      <w:r w:rsidRPr="00710A48">
        <w:rPr>
          <w:szCs w:val="18"/>
        </w:rPr>
        <w:t>, viewed March 2014, &lt;</w:t>
      </w:r>
      <w:hyperlink r:id="rId61" w:history="1">
        <w:r w:rsidRPr="00710A48">
          <w:rPr>
            <w:rStyle w:val="Hyperlink"/>
            <w:sz w:val="18"/>
            <w:szCs w:val="18"/>
          </w:rPr>
          <w:t>http://www8.spinen.net/council-org/files/downloads/2013/06/2013-Handbook-of-Accreditation-4-26-2013-AMENDED.pdf</w:t>
        </w:r>
      </w:hyperlink>
      <w:r w:rsidRPr="00710A48">
        <w:rPr>
          <w:rStyle w:val="Hyperlink"/>
          <w:sz w:val="18"/>
          <w:szCs w:val="18"/>
        </w:rPr>
        <w:t>&gt;.</w:t>
      </w:r>
    </w:p>
    <w:p w:rsidR="00851519" w:rsidRPr="00710A48" w:rsidRDefault="00851519" w:rsidP="00851519">
      <w:pPr>
        <w:pStyle w:val="References"/>
      </w:pPr>
      <w:r w:rsidRPr="00710A48">
        <w:t xml:space="preserve">Department for Business, Innovation and Skills (UK) 2013, </w:t>
      </w:r>
      <w:r w:rsidRPr="00710A48">
        <w:rPr>
          <w:i/>
        </w:rPr>
        <w:t>Evaluation of the ‘New Challenges, New Chances’ Further Education and Skills reform plan,</w:t>
      </w:r>
      <w:r w:rsidRPr="00710A48">
        <w:t xml:space="preserve"> viewed May 2014, &lt;</w:t>
      </w:r>
      <w:hyperlink r:id="rId62" w:history="1">
        <w:r w:rsidRPr="00710A48">
          <w:rPr>
            <w:rStyle w:val="Hyperlink"/>
            <w:sz w:val="18"/>
          </w:rPr>
          <w:t>https://www.gov.uk/government/uploads/system/uploads/attachment_data/file/248709/bis-13-1234-evaluation-of-new-challenges-new-chances-further-education-and-skills-reform-plan.pdf</w:t>
        </w:r>
      </w:hyperlink>
      <w:r w:rsidRPr="00710A48">
        <w:rPr>
          <w:rStyle w:val="Hyperlink"/>
          <w:sz w:val="18"/>
        </w:rPr>
        <w:t>&gt;.</w:t>
      </w:r>
      <w:r w:rsidRPr="00710A48">
        <w:t xml:space="preserve"> </w:t>
      </w:r>
    </w:p>
    <w:p w:rsidR="00851519" w:rsidRPr="00710A48" w:rsidRDefault="00851519" w:rsidP="00851519">
      <w:pPr>
        <w:pStyle w:val="References"/>
        <w:rPr>
          <w:color w:val="444444"/>
        </w:rPr>
      </w:pPr>
      <w:r w:rsidRPr="00710A48">
        <w:t>Finnish National Board of Education 2009,</w:t>
      </w:r>
      <w:r w:rsidRPr="00710A48">
        <w:rPr>
          <w:i/>
        </w:rPr>
        <w:t xml:space="preserve"> National framework for qualifications and other learning, reports of the Ministry of Education</w:t>
      </w:r>
      <w:r w:rsidRPr="00710A48">
        <w:t>: vol.24, viewed June 2014, &lt;http://</w:t>
      </w:r>
      <w:hyperlink r:id="rId63" w:history="1">
        <w:r w:rsidRPr="00710A48">
          <w:rPr>
            <w:rStyle w:val="Hyperlink"/>
            <w:sz w:val="18"/>
          </w:rPr>
          <w:t>www.oph.fi/download/121526_NQF-muistio_EN_02_10.pdf</w:t>
        </w:r>
      </w:hyperlink>
      <w:r w:rsidRPr="00710A48">
        <w:rPr>
          <w:rStyle w:val="Hyperlink"/>
          <w:sz w:val="18"/>
        </w:rPr>
        <w:t>&gt;.</w:t>
      </w:r>
      <w:r w:rsidRPr="00710A48">
        <w:rPr>
          <w:color w:val="444444"/>
        </w:rPr>
        <w:t xml:space="preserve"> </w:t>
      </w:r>
    </w:p>
    <w:p w:rsidR="00851519" w:rsidRPr="00710A48" w:rsidRDefault="00851519" w:rsidP="00851519">
      <w:pPr>
        <w:pStyle w:val="References"/>
      </w:pPr>
      <w:r w:rsidRPr="00710A48">
        <w:t>Lincoln College, 2011, Self-assessment report, viewed June 2014, &lt;</w:t>
      </w:r>
      <w:hyperlink r:id="rId64" w:history="1">
        <w:r w:rsidRPr="00710A48">
          <w:rPr>
            <w:rStyle w:val="Hyperlink"/>
            <w:sz w:val="18"/>
          </w:rPr>
          <w:t>http://www.ofsted.gov.uk/sites/ default/files/documents/consultations/a/A%20good%20education%20for%20all.pdf</w:t>
        </w:r>
      </w:hyperlink>
      <w:r w:rsidRPr="00710A48">
        <w:t>&gt;.</w:t>
      </w:r>
    </w:p>
    <w:p w:rsidR="00851519" w:rsidRPr="00710A48" w:rsidRDefault="00851519" w:rsidP="00851519">
      <w:pPr>
        <w:pStyle w:val="References"/>
        <w:rPr>
          <w:szCs w:val="18"/>
        </w:rPr>
      </w:pPr>
      <w:r w:rsidRPr="00710A48">
        <w:rPr>
          <w:szCs w:val="18"/>
        </w:rPr>
        <w:t xml:space="preserve">New Zealand Ministry of Education 2012, </w:t>
      </w:r>
      <w:r w:rsidRPr="00710A48">
        <w:rPr>
          <w:i/>
          <w:szCs w:val="18"/>
        </w:rPr>
        <w:t>Industry training review: proposal to improve the performance of the government’s investment in industry training — consultation document</w:t>
      </w:r>
      <w:r w:rsidRPr="00710A48">
        <w:rPr>
          <w:szCs w:val="18"/>
        </w:rPr>
        <w:t>, New Zealand Ministry of Education Review of Industry Training, Ministry of Education, Wellington, viewed 20 January 2013, &lt;</w:t>
      </w:r>
      <w:hyperlink r:id="rId65" w:history="1">
        <w:r w:rsidRPr="00710A48">
          <w:rPr>
            <w:rStyle w:val="Hyperlink"/>
            <w:sz w:val="18"/>
            <w:szCs w:val="18"/>
          </w:rPr>
          <w:t>http://www.minedu.govt.nz/~/media/MinEdu/Files/EducationSectors/TertiaryEducation/PolicyAndStrategy/IndustryTraining/IndustryTrainingConsulationDocument.pdf</w:t>
        </w:r>
      </w:hyperlink>
      <w:r w:rsidRPr="00710A48">
        <w:rPr>
          <w:rStyle w:val="Hyperlink"/>
          <w:sz w:val="18"/>
          <w:szCs w:val="18"/>
        </w:rPr>
        <w:t>&gt;.</w:t>
      </w:r>
      <w:r w:rsidRPr="00710A48">
        <w:rPr>
          <w:szCs w:val="18"/>
        </w:rPr>
        <w:t xml:space="preserve"> </w:t>
      </w:r>
    </w:p>
    <w:p w:rsidR="00851519" w:rsidRPr="00710A48" w:rsidRDefault="00851519" w:rsidP="00851519">
      <w:pPr>
        <w:pStyle w:val="References"/>
      </w:pPr>
      <w:r w:rsidRPr="00710A48">
        <w:rPr>
          <w:szCs w:val="18"/>
        </w:rPr>
        <w:t xml:space="preserve">New Zealand Qualifications Authority </w:t>
      </w:r>
      <w:r w:rsidRPr="00710A48">
        <w:t xml:space="preserve">2011, </w:t>
      </w:r>
      <w:r w:rsidRPr="00710A48">
        <w:rPr>
          <w:i/>
        </w:rPr>
        <w:t>Guidelines for the review of qualifications at levels 1 to 6 on the New Zealand Qualifications Framework</w:t>
      </w:r>
      <w:r w:rsidRPr="00710A48">
        <w:t>, viewed April 2014, &lt;</w:t>
      </w:r>
      <w:hyperlink r:id="rId66" w:history="1">
        <w:r w:rsidRPr="00710A48">
          <w:rPr>
            <w:rStyle w:val="Hyperlink"/>
            <w:sz w:val="18"/>
          </w:rPr>
          <w:t>http://www.nzqa.govt.nz/studying-in-new-zealand/nzqf/reviews-of-qualifications/guidelines-for-reviews-of-qualifications/</w:t>
        </w:r>
      </w:hyperlink>
      <w:r w:rsidRPr="00710A48">
        <w:rPr>
          <w:rStyle w:val="Hyperlink"/>
          <w:sz w:val="18"/>
        </w:rPr>
        <w:t>&gt;.</w:t>
      </w:r>
    </w:p>
    <w:p w:rsidR="00851519" w:rsidRPr="00710A48" w:rsidRDefault="00851519" w:rsidP="00851519">
      <w:pPr>
        <w:pStyle w:val="References"/>
      </w:pPr>
      <w:r w:rsidRPr="00710A48">
        <w:t xml:space="preserve">——2013, </w:t>
      </w:r>
      <w:r w:rsidRPr="00710A48">
        <w:rPr>
          <w:i/>
        </w:rPr>
        <w:t>The New Zealand Qualifications Framework</w:t>
      </w:r>
      <w:r w:rsidRPr="00710A48">
        <w:t>, viewed April 2014, &lt;</w:t>
      </w:r>
      <w:hyperlink r:id="rId67" w:history="1">
        <w:r w:rsidRPr="00710A48">
          <w:rPr>
            <w:rStyle w:val="Hyperlink"/>
            <w:sz w:val="18"/>
          </w:rPr>
          <w:t>http://www.nzqa.govt.nz/ assets/Studying-in-NZ/New-Zealand-Qualification-Framework/requirements-nzqf.pdf</w:t>
        </w:r>
      </w:hyperlink>
      <w:r w:rsidRPr="00710A48">
        <w:rPr>
          <w:rStyle w:val="Hyperlink"/>
          <w:sz w:val="18"/>
        </w:rPr>
        <w:t>&gt;</w:t>
      </w:r>
      <w:r w:rsidRPr="00710A48">
        <w:t>.</w:t>
      </w:r>
    </w:p>
    <w:p w:rsidR="00930D85" w:rsidRDefault="00930D85" w:rsidP="00930D85">
      <w:pPr>
        <w:pStyle w:val="References"/>
      </w:pPr>
      <w:proofErr w:type="spellStart"/>
      <w:r>
        <w:t>Ofqal</w:t>
      </w:r>
      <w:proofErr w:type="spellEnd"/>
      <w:r>
        <w:t xml:space="preserve"> 2008, Regulatory arrangements for the Qualifications and Credit Framework, viewed May 2014, &lt;http://ofqual.gov.uk/documents/regulatory-arrangements-for-the-qualifications-and-credit-framework/&gt;.</w:t>
      </w:r>
    </w:p>
    <w:p w:rsidR="00930D85" w:rsidRDefault="00930D85" w:rsidP="00930D85">
      <w:pPr>
        <w:pStyle w:val="References"/>
      </w:pPr>
      <w:r>
        <w:t xml:space="preserve">——2013, General conditions of recognition, viewed May 2014, &lt;http://www.gov.uk/government/publications/generalconditions-of-recognition&gt;. </w:t>
      </w:r>
    </w:p>
    <w:p w:rsidR="00710A48" w:rsidRDefault="00710A48" w:rsidP="00930D85">
      <w:pPr>
        <w:pStyle w:val="References"/>
        <w:rPr>
          <w:color w:val="000000"/>
        </w:rPr>
      </w:pPr>
      <w:proofErr w:type="spellStart"/>
      <w:r w:rsidRPr="00710A48">
        <w:t>Ofsted</w:t>
      </w:r>
      <w:proofErr w:type="spellEnd"/>
      <w:r w:rsidRPr="00710A48">
        <w:t xml:space="preserve"> 2012, A good education for all, </w:t>
      </w:r>
      <w:r w:rsidRPr="00710A48">
        <w:rPr>
          <w:color w:val="000000"/>
        </w:rPr>
        <w:t>viewed June 2014, &lt;</w:t>
      </w:r>
      <w:hyperlink r:id="rId68" w:history="1">
        <w:r w:rsidRPr="00710A48">
          <w:rPr>
            <w:rStyle w:val="Hyperlink"/>
            <w:sz w:val="18"/>
          </w:rPr>
          <w:t>http://www.ofsted.gov.uk/sites/default/files/ documents/consultations/a/A%20good%20education%20for%20all.pdf</w:t>
        </w:r>
      </w:hyperlink>
      <w:r w:rsidRPr="00710A48">
        <w:t>&gt;</w:t>
      </w:r>
      <w:r w:rsidRPr="00710A48">
        <w:rPr>
          <w:color w:val="000000"/>
        </w:rPr>
        <w:t>.</w:t>
      </w:r>
    </w:p>
    <w:p w:rsidR="00F0679C" w:rsidRPr="00F0679C" w:rsidRDefault="00F0679C" w:rsidP="00F0679C">
      <w:pPr>
        <w:pStyle w:val="References"/>
      </w:pPr>
      <w:proofErr w:type="spellStart"/>
      <w:r w:rsidRPr="00F0679C">
        <w:t>Ofsted</w:t>
      </w:r>
      <w:proofErr w:type="spellEnd"/>
      <w:r w:rsidRPr="00F0679C">
        <w:t xml:space="preserve"> 2014b, </w:t>
      </w:r>
      <w:r w:rsidRPr="00F0679C">
        <w:rPr>
          <w:i/>
        </w:rPr>
        <w:t>Handbook for inspection of further education and skills</w:t>
      </w:r>
      <w:r w:rsidRPr="00F0679C">
        <w:t>, viewed June 2014,</w:t>
      </w:r>
      <w:r>
        <w:t xml:space="preserve"> &lt;</w:t>
      </w:r>
      <w:hyperlink r:id="rId69" w:history="1">
        <w:r w:rsidRPr="00ED49EF">
          <w:rPr>
            <w:rStyle w:val="Hyperlink"/>
            <w:color w:val="auto"/>
            <w:sz w:val="18"/>
          </w:rPr>
          <w:t>http://www.ofsted.gov.uk/resources/handbook-for-inspection-of-further-education-and-skills-september-2012</w:t>
        </w:r>
      </w:hyperlink>
      <w:r w:rsidRPr="00ED49EF">
        <w:rPr>
          <w:rStyle w:val="Hyperlink"/>
          <w:color w:val="auto"/>
          <w:sz w:val="18"/>
        </w:rPr>
        <w:t>&gt;</w:t>
      </w:r>
      <w:r>
        <w:t>.</w:t>
      </w:r>
    </w:p>
    <w:p w:rsidR="00710A48" w:rsidRPr="00710A48" w:rsidRDefault="00710A48" w:rsidP="00710A48">
      <w:pPr>
        <w:pStyle w:val="References"/>
      </w:pPr>
      <w:r w:rsidRPr="00710A48">
        <w:t xml:space="preserve">Ontario College Quality Assurance Service 2014, New quality standards approved for Ontario’s public </w:t>
      </w:r>
      <w:r w:rsidR="00930D85">
        <w:t>c</w:t>
      </w:r>
      <w:r w:rsidRPr="00710A48">
        <w:t>olleges, viewed May 2014, &lt;</w:t>
      </w:r>
      <w:hyperlink r:id="rId70" w:history="1">
        <w:r w:rsidRPr="00710A48">
          <w:rPr>
            <w:rStyle w:val="Hyperlink"/>
            <w:color w:val="auto"/>
            <w:sz w:val="18"/>
          </w:rPr>
          <w:t>http://www.ocqas.org/en/?p=5014</w:t>
        </w:r>
      </w:hyperlink>
      <w:r w:rsidRPr="00710A48">
        <w:rPr>
          <w:rStyle w:val="Hyperlink"/>
          <w:color w:val="auto"/>
          <w:sz w:val="18"/>
        </w:rPr>
        <w:t>&gt;</w:t>
      </w:r>
      <w:r w:rsidRPr="00710A48">
        <w:t xml:space="preserve">. </w:t>
      </w:r>
    </w:p>
    <w:p w:rsidR="00710A48" w:rsidRPr="00710A48" w:rsidRDefault="00710A48" w:rsidP="00710A48">
      <w:pPr>
        <w:pStyle w:val="References"/>
      </w:pPr>
      <w:r w:rsidRPr="00710A48">
        <w:t xml:space="preserve">——2014, Program Quality Assurance Process Audit, </w:t>
      </w:r>
      <w:r w:rsidRPr="00710A48">
        <w:rPr>
          <w:i/>
        </w:rPr>
        <w:t>Quality assurance and improvement in Ontario’s colleges</w:t>
      </w:r>
      <w:r w:rsidRPr="00710A48">
        <w:t>, orientation manual, viewed May 2014, &lt;</w:t>
      </w:r>
      <w:hyperlink r:id="rId71" w:history="1">
        <w:r w:rsidRPr="00710A48">
          <w:rPr>
            <w:rStyle w:val="Hyperlink"/>
            <w:sz w:val="18"/>
          </w:rPr>
          <w:t>http://www.ocqas.org/en/wp-content/uploads/ 2013/10/Orientation-Manual1.pdf</w:t>
        </w:r>
      </w:hyperlink>
      <w:r w:rsidRPr="00710A48">
        <w:t xml:space="preserve">&gt;. </w:t>
      </w:r>
    </w:p>
    <w:p w:rsidR="00710A48" w:rsidRPr="00710A48" w:rsidRDefault="00710A48" w:rsidP="00710A48">
      <w:pPr>
        <w:pStyle w:val="References"/>
      </w:pPr>
      <w:r w:rsidRPr="00710A48">
        <w:rPr>
          <w:color w:val="000000"/>
        </w:rPr>
        <w:t xml:space="preserve">Ontario Ministry of Training Colleges and Universities 1997, </w:t>
      </w:r>
      <w:r w:rsidRPr="00710A48">
        <w:rPr>
          <w:i/>
          <w:color w:val="000000"/>
        </w:rPr>
        <w:t>Published program standards for chef training, culinary management,</w:t>
      </w:r>
      <w:r w:rsidRPr="00710A48">
        <w:rPr>
          <w:color w:val="000000"/>
        </w:rPr>
        <w:t xml:space="preserve"> viewed April 2014, </w:t>
      </w:r>
      <w:r w:rsidRPr="00710A48">
        <w:t>&lt;</w:t>
      </w:r>
      <w:hyperlink r:id="rId72" w:history="1">
        <w:r w:rsidRPr="00710A48">
          <w:t>http://www.tcu.gov.on.ca/pepg/audiences/colleges/progstan/hosptour/culinary.html</w:t>
        </w:r>
      </w:hyperlink>
      <w:r w:rsidRPr="00710A48">
        <w:t>&gt;.</w:t>
      </w:r>
    </w:p>
    <w:p w:rsidR="00710A48" w:rsidRPr="00710A48" w:rsidRDefault="00710A48" w:rsidP="00710A48">
      <w:pPr>
        <w:pStyle w:val="References"/>
      </w:pPr>
      <w:r w:rsidRPr="00710A48">
        <w:rPr>
          <w:color w:val="000000"/>
        </w:rPr>
        <w:t xml:space="preserve">——2010, </w:t>
      </w:r>
      <w:r w:rsidRPr="00710A48">
        <w:rPr>
          <w:i/>
          <w:color w:val="000000"/>
        </w:rPr>
        <w:t>Governance and accountability framework,</w:t>
      </w:r>
      <w:r w:rsidRPr="00710A48">
        <w:rPr>
          <w:color w:val="000000"/>
        </w:rPr>
        <w:t xml:space="preserve"> viewed April 2014, </w:t>
      </w:r>
      <w:r w:rsidRPr="00710A48">
        <w:t>&lt;</w:t>
      </w:r>
      <w:hyperlink r:id="rId73" w:history="1">
        <w:r w:rsidRPr="00710A48">
          <w:t>http://www.tcu.gov.on.ca/pepg/publications/GovAccount_Directive2010.pdf</w:t>
        </w:r>
      </w:hyperlink>
      <w:r w:rsidRPr="00710A48">
        <w:t>&gt;.</w:t>
      </w:r>
    </w:p>
    <w:p w:rsidR="00710A48" w:rsidRPr="00710A48" w:rsidRDefault="00710A48" w:rsidP="00710A48">
      <w:pPr>
        <w:pStyle w:val="References"/>
        <w:rPr>
          <w:color w:val="000000"/>
        </w:rPr>
      </w:pPr>
      <w:r w:rsidRPr="00710A48">
        <w:rPr>
          <w:color w:val="000000"/>
        </w:rPr>
        <w:t>——2013, Private Career Colleges Act, 2005, Third Party Assessment, Fact sheet #3, viewed April 2014, &lt;</w:t>
      </w:r>
      <w:hyperlink r:id="rId74" w:history="1">
        <w:r w:rsidRPr="00710A48">
          <w:rPr>
            <w:rStyle w:val="Hyperlink"/>
            <w:sz w:val="18"/>
          </w:rPr>
          <w:t>http://www.tcu.gov.on.ca/pepg/audiences/pcc/factsheet3.pdf</w:t>
        </w:r>
      </w:hyperlink>
      <w:r w:rsidRPr="00710A48">
        <w:rPr>
          <w:color w:val="000000"/>
        </w:rPr>
        <w:t xml:space="preserve">&gt;. </w:t>
      </w:r>
    </w:p>
    <w:p w:rsidR="00710A48" w:rsidRPr="00710A48" w:rsidRDefault="00710A48" w:rsidP="00710A48">
      <w:pPr>
        <w:pStyle w:val="References"/>
      </w:pPr>
      <w:r w:rsidRPr="00710A48">
        <w:rPr>
          <w:szCs w:val="18"/>
        </w:rPr>
        <w:t xml:space="preserve">Roche, D </w:t>
      </w:r>
      <w:r w:rsidRPr="00710A48">
        <w:t xml:space="preserve">2014, </w:t>
      </w:r>
      <w:r w:rsidRPr="00710A48">
        <w:rPr>
          <w:i/>
        </w:rPr>
        <w:t>SQA accreditation’s regulatory principles</w:t>
      </w:r>
      <w:r w:rsidRPr="00710A48">
        <w:t xml:space="preserve"> </w:t>
      </w:r>
      <w:r w:rsidRPr="00710A48">
        <w:rPr>
          <w:i/>
        </w:rPr>
        <w:t>(2014)</w:t>
      </w:r>
      <w:r w:rsidRPr="00710A48">
        <w:t>, viewed May 2014, &lt;</w:t>
      </w:r>
      <w:hyperlink r:id="rId75" w:history="1">
        <w:r w:rsidRPr="00710A48">
          <w:t>http://www.sqa.org.uk/files_ccc/Regulatory%20Principles%20(2014).pdf</w:t>
        </w:r>
      </w:hyperlink>
      <w:r w:rsidRPr="00710A48">
        <w:t>&gt;.</w:t>
      </w:r>
    </w:p>
    <w:p w:rsidR="00710A48" w:rsidRPr="003A0E30" w:rsidRDefault="00710A48" w:rsidP="00710A48">
      <w:pPr>
        <w:pStyle w:val="References"/>
      </w:pPr>
      <w:r w:rsidRPr="00710A48">
        <w:rPr>
          <w:color w:val="000000"/>
        </w:rPr>
        <w:t>Skills Funding Agency 2014, A</w:t>
      </w:r>
      <w:r w:rsidRPr="00710A48">
        <w:rPr>
          <w:i/>
          <w:color w:val="000000"/>
        </w:rPr>
        <w:t>pproval of public funding for adult learners: technical guidance for awarding organisations</w:t>
      </w:r>
      <w:r w:rsidRPr="00710A48">
        <w:rPr>
          <w:color w:val="000000"/>
        </w:rPr>
        <w:t xml:space="preserve">, viewed April 2014, </w:t>
      </w:r>
      <w:r w:rsidRPr="00710A48">
        <w:t>&lt;</w:t>
      </w:r>
      <w:hyperlink r:id="rId76" w:history="1">
        <w:r w:rsidRPr="00710A48">
          <w:t>http://readingroom.skillsfundingagency.bis.gov.uk/sfa/technical_guidance.pdf</w:t>
        </w:r>
      </w:hyperlink>
      <w:r w:rsidRPr="00710A48">
        <w:t>&gt;.</w:t>
      </w:r>
    </w:p>
    <w:p w:rsidR="00251B6B" w:rsidRDefault="00251B6B" w:rsidP="00E766F3">
      <w:pPr>
        <w:pStyle w:val="Heading1"/>
      </w:pPr>
      <w:bookmarkStart w:id="62" w:name="_Toc406514252"/>
      <w:r>
        <w:lastRenderedPageBreak/>
        <w:t>Appendix A</w:t>
      </w:r>
      <w:bookmarkEnd w:id="62"/>
      <w:r w:rsidR="00E766F3">
        <w:t xml:space="preserve">: </w:t>
      </w:r>
      <w:bookmarkStart w:id="63" w:name="_Toc406514253"/>
      <w:r>
        <w:t>The criteria for SQA accreditation of qualifications</w:t>
      </w:r>
      <w:r w:rsidR="00122F5F" w:rsidRPr="00CC7D90">
        <w:rPr>
          <w:rStyle w:val="FootnoteReference"/>
          <w:sz w:val="24"/>
          <w:szCs w:val="24"/>
        </w:rPr>
        <w:footnoteReference w:id="38"/>
      </w:r>
      <w:bookmarkEnd w:id="63"/>
      <w:r>
        <w:t xml:space="preserve"> </w:t>
      </w:r>
    </w:p>
    <w:p w:rsidR="00251B6B" w:rsidRDefault="00251B6B" w:rsidP="00251B6B">
      <w:pPr>
        <w:pStyle w:val="Text"/>
      </w:pPr>
      <w:r>
        <w:t xml:space="preserve">There are six criteria for accreditation that must be met when submissions for accreditation are lodged with the </w:t>
      </w:r>
      <w:r w:rsidR="00FD57B1">
        <w:t>Scottish Qualifications Agency</w:t>
      </w:r>
      <w:r>
        <w:t xml:space="preserve"> Accreditation </w:t>
      </w:r>
      <w:r w:rsidR="00E776FC">
        <w:t>Committee</w:t>
      </w:r>
      <w:r>
        <w:t xml:space="preserve">. These have been based on information from the guidance document provided to those who wish to submit qualifications for accreditation and re-accreditation. </w:t>
      </w:r>
    </w:p>
    <w:p w:rsidR="00251B6B" w:rsidRPr="00251B6B" w:rsidRDefault="00251B6B" w:rsidP="00251B6B">
      <w:pPr>
        <w:pStyle w:val="Text"/>
      </w:pPr>
      <w:r>
        <w:t xml:space="preserve">Awarding bodies must have in place and show evidence of robust processes for: </w:t>
      </w:r>
    </w:p>
    <w:p w:rsidR="00251B6B" w:rsidRDefault="00251B6B" w:rsidP="00CC7D90">
      <w:pPr>
        <w:pStyle w:val="Text"/>
        <w:numPr>
          <w:ilvl w:val="0"/>
          <w:numId w:val="10"/>
        </w:numPr>
        <w:spacing w:before="120"/>
        <w:ind w:left="568" w:right="0" w:hanging="284"/>
      </w:pPr>
      <w:proofErr w:type="gramStart"/>
      <w:r>
        <w:t>identifying</w:t>
      </w:r>
      <w:proofErr w:type="gramEnd"/>
      <w:r>
        <w:t xml:space="preserve"> the need/demand for a qualification (required information: details of a business case; a summary of labour market intelligence, market research, potential uptake of the qualification (a market for the qualification). Re-accreditation requires a justification and evidence of continuing demand)</w:t>
      </w:r>
      <w:r w:rsidR="00E776FC">
        <w:t>.</w:t>
      </w:r>
    </w:p>
    <w:p w:rsidR="00251B6B" w:rsidRDefault="00731566" w:rsidP="00CC7D90">
      <w:pPr>
        <w:pStyle w:val="Text"/>
        <w:numPr>
          <w:ilvl w:val="0"/>
          <w:numId w:val="10"/>
        </w:numPr>
        <w:spacing w:before="120"/>
        <w:ind w:left="568" w:right="0" w:hanging="284"/>
      </w:pPr>
      <w:r>
        <w:t>designing and developing qualifications</w:t>
      </w:r>
    </w:p>
    <w:p w:rsidR="00251B6B" w:rsidRDefault="00251B6B" w:rsidP="00CC7D90">
      <w:pPr>
        <w:pStyle w:val="Text"/>
        <w:numPr>
          <w:ilvl w:val="1"/>
          <w:numId w:val="10"/>
        </w:numPr>
        <w:spacing w:before="40"/>
        <w:ind w:left="851" w:right="0" w:hanging="284"/>
      </w:pPr>
      <w:r>
        <w:t>SVQ/SVQ units: (required information: details on whether prov</w:t>
      </w:r>
      <w:r w:rsidR="00FF2188">
        <w:t>ider has notified relevant SSC [for SVQs/SVQ unit]</w:t>
      </w:r>
      <w:r>
        <w:t xml:space="preserve"> and if so evidence that the Sector Skills Council supports the accredit</w:t>
      </w:r>
      <w:r w:rsidR="00FF2188">
        <w:t>ation or re-accreditation; and [if applicable]</w:t>
      </w:r>
      <w:r>
        <w:t xml:space="preserve"> information on how awarding body has been involved in the development of the qualification)</w:t>
      </w:r>
    </w:p>
    <w:p w:rsidR="00251B6B" w:rsidRDefault="00251B6B" w:rsidP="00CC7D90">
      <w:pPr>
        <w:pStyle w:val="Text"/>
        <w:numPr>
          <w:ilvl w:val="1"/>
          <w:numId w:val="10"/>
        </w:numPr>
        <w:spacing w:before="40"/>
        <w:ind w:left="851" w:right="0" w:hanging="284"/>
      </w:pPr>
      <w:r>
        <w:t>Regulatory qualifications (required information: details on whether the relevant regulator has been notified; and evidence of regulator support; and if applicable information on awarding body involvement in the development of the qualification</w:t>
      </w:r>
      <w:r w:rsidR="00FF2188">
        <w:t>)</w:t>
      </w:r>
    </w:p>
    <w:p w:rsidR="00251B6B" w:rsidRDefault="00251B6B" w:rsidP="00CC7D90">
      <w:pPr>
        <w:pStyle w:val="Text"/>
        <w:numPr>
          <w:ilvl w:val="1"/>
          <w:numId w:val="10"/>
        </w:numPr>
        <w:spacing w:before="40"/>
        <w:ind w:left="851" w:right="0" w:hanging="284"/>
      </w:pPr>
      <w:r>
        <w:t>Other qualifications: (required information: details of design and development process followed or details of reference number of already provided documents about existing processes if they are to remain the same; and details of new processes, including documents outlining these).</w:t>
      </w:r>
    </w:p>
    <w:p w:rsidR="00251B6B" w:rsidRDefault="00251B6B" w:rsidP="00CC7D90">
      <w:pPr>
        <w:pStyle w:val="Text"/>
        <w:numPr>
          <w:ilvl w:val="0"/>
          <w:numId w:val="10"/>
        </w:numPr>
        <w:spacing w:before="120"/>
        <w:ind w:left="568" w:right="0" w:hanging="284"/>
      </w:pPr>
      <w:r>
        <w:t>maintaining and reviewing qualifications: (required information: details on how qualifications are maintained and reviewed, including timescales for review including periodic review of take-up; details on how feedback on content and delivery is collected and processes to address feedback, including feedback to the Sector Skills Councils for SVQs)</w:t>
      </w:r>
      <w:r w:rsidR="00E776FC">
        <w:t>.</w:t>
      </w:r>
      <w:r>
        <w:t xml:space="preserve"> </w:t>
      </w:r>
    </w:p>
    <w:p w:rsidR="00251B6B" w:rsidRDefault="00251B6B" w:rsidP="00CC7D90">
      <w:pPr>
        <w:pStyle w:val="Text"/>
        <w:numPr>
          <w:ilvl w:val="0"/>
          <w:numId w:val="10"/>
        </w:numPr>
        <w:spacing w:before="120"/>
        <w:ind w:left="568" w:right="0" w:hanging="284"/>
      </w:pPr>
      <w:r>
        <w:t>designing assessment methods: (required information: details of assessment methods or assessment tools, and information on how the awarding body ensures that the qualification is fit-for-purpose)</w:t>
      </w:r>
    </w:p>
    <w:p w:rsidR="00251B6B" w:rsidRDefault="00251B6B" w:rsidP="00CC7D90">
      <w:pPr>
        <w:pStyle w:val="Text"/>
        <w:numPr>
          <w:ilvl w:val="1"/>
          <w:numId w:val="10"/>
        </w:numPr>
        <w:spacing w:before="40"/>
        <w:ind w:left="851" w:right="0" w:hanging="284"/>
      </w:pPr>
      <w:r>
        <w:t>SVQ/SVQ unit: evidence of how assessment methods address assessment strategy (suggestion: evidence requirements or</w:t>
      </w:r>
      <w:r w:rsidR="004928F1">
        <w:t xml:space="preserve"> </w:t>
      </w:r>
      <w:r>
        <w:t>guidance provided to centres)</w:t>
      </w:r>
    </w:p>
    <w:p w:rsidR="00251B6B" w:rsidRDefault="00251B6B" w:rsidP="00CC7D90">
      <w:pPr>
        <w:pStyle w:val="Text"/>
        <w:numPr>
          <w:ilvl w:val="1"/>
          <w:numId w:val="10"/>
        </w:numPr>
        <w:spacing w:before="40"/>
        <w:ind w:left="851" w:right="0" w:hanging="284"/>
      </w:pPr>
      <w:r>
        <w:t xml:space="preserve">Regulatory Qualification: how will assessment address </w:t>
      </w:r>
      <w:proofErr w:type="gramStart"/>
      <w:r>
        <w:t>requirements</w:t>
      </w:r>
      <w:r w:rsidR="00E776FC">
        <w:t>.</w:t>
      </w:r>
      <w:proofErr w:type="gramEnd"/>
      <w:r>
        <w:t xml:space="preserve"> </w:t>
      </w:r>
    </w:p>
    <w:p w:rsidR="00251B6B" w:rsidRDefault="00251B6B" w:rsidP="00CC7D90">
      <w:pPr>
        <w:pStyle w:val="Text"/>
        <w:numPr>
          <w:ilvl w:val="0"/>
          <w:numId w:val="10"/>
        </w:numPr>
        <w:spacing w:before="120"/>
        <w:ind w:left="568" w:right="0" w:hanging="284"/>
      </w:pPr>
      <w:r>
        <w:t>designing quality assurance systems that ensure the quality and consistency of assessment:</w:t>
      </w:r>
      <w:r w:rsidR="004928F1">
        <w:t xml:space="preserve"> </w:t>
      </w:r>
      <w:r>
        <w:t>(required information: details of quality assurance process followed for qualification, or reference to already provided documents, details and copies of documents for new processes; details of how quality assurance processes are fit for purpose for qualification)</w:t>
      </w:r>
      <w:r w:rsidR="00E776FC">
        <w:t>.</w:t>
      </w:r>
    </w:p>
    <w:p w:rsidR="00251B6B" w:rsidRDefault="00251B6B" w:rsidP="00CC7D90">
      <w:pPr>
        <w:pStyle w:val="Text"/>
        <w:numPr>
          <w:ilvl w:val="1"/>
          <w:numId w:val="10"/>
        </w:numPr>
        <w:spacing w:before="40"/>
        <w:ind w:left="851" w:right="0" w:hanging="284"/>
      </w:pPr>
      <w:r>
        <w:lastRenderedPageBreak/>
        <w:t xml:space="preserve">SVQ/SVQ </w:t>
      </w:r>
      <w:r w:rsidR="00E776FC">
        <w:t>u</w:t>
      </w:r>
      <w:r>
        <w:t>nit (required information: details on how QA systems meet Assessment Strategy requirements, including,</w:t>
      </w:r>
    </w:p>
    <w:p w:rsidR="00251B6B" w:rsidRDefault="00F8264A" w:rsidP="00F8264A">
      <w:pPr>
        <w:pStyle w:val="Text"/>
        <w:spacing w:before="0"/>
        <w:ind w:left="1134" w:right="0" w:hanging="283"/>
      </w:pPr>
      <w:proofErr w:type="spellStart"/>
      <w:proofErr w:type="gramStart"/>
      <w:r>
        <w:t>i</w:t>
      </w:r>
      <w:proofErr w:type="spellEnd"/>
      <w:proofErr w:type="gramEnd"/>
      <w:r>
        <w:t>.</w:t>
      </w:r>
      <w:r>
        <w:tab/>
      </w:r>
      <w:r w:rsidR="00251B6B">
        <w:t>how it is ensured that assessors, internal and external verifiers meet the requirements of the Assessment Strategy</w:t>
      </w:r>
    </w:p>
    <w:p w:rsidR="00251B6B" w:rsidRDefault="00F8264A" w:rsidP="00F8264A">
      <w:pPr>
        <w:pStyle w:val="Text"/>
        <w:spacing w:before="0"/>
        <w:ind w:left="1134" w:right="0" w:hanging="283"/>
      </w:pPr>
      <w:r>
        <w:t>ii.</w:t>
      </w:r>
      <w:r>
        <w:tab/>
      </w:r>
      <w:proofErr w:type="gramStart"/>
      <w:r w:rsidR="00251B6B">
        <w:t>how</w:t>
      </w:r>
      <w:proofErr w:type="gramEnd"/>
      <w:r w:rsidR="00251B6B">
        <w:t xml:space="preserve"> will the external quality control of the Assessment Strategy be met, and any other Assessment Strategy requirements</w:t>
      </w:r>
      <w:r w:rsidR="00E776FC">
        <w:t>.</w:t>
      </w:r>
    </w:p>
    <w:p w:rsidR="00251B6B" w:rsidRDefault="00E776FC" w:rsidP="00CC7D90">
      <w:pPr>
        <w:pStyle w:val="Text"/>
        <w:numPr>
          <w:ilvl w:val="1"/>
          <w:numId w:val="10"/>
        </w:numPr>
        <w:spacing w:before="40"/>
        <w:ind w:left="851" w:right="0" w:hanging="284"/>
      </w:pPr>
      <w:r>
        <w:t>r</w:t>
      </w:r>
      <w:r w:rsidR="00251B6B">
        <w:t>egulatory qualifications: (required information: details of how any relevant regulatory requirements will be addressed</w:t>
      </w:r>
      <w:r w:rsidR="00FF2188">
        <w:t>)</w:t>
      </w:r>
      <w:r w:rsidR="00251B6B">
        <w:t xml:space="preserve"> </w:t>
      </w:r>
    </w:p>
    <w:p w:rsidR="00251B6B" w:rsidRDefault="00E776FC" w:rsidP="00CC7D90">
      <w:pPr>
        <w:pStyle w:val="Text"/>
        <w:numPr>
          <w:ilvl w:val="1"/>
          <w:numId w:val="10"/>
        </w:numPr>
        <w:spacing w:before="40"/>
        <w:ind w:left="851" w:right="0" w:hanging="284"/>
      </w:pPr>
      <w:r>
        <w:t>o</w:t>
      </w:r>
      <w:r w:rsidR="00251B6B">
        <w:t>ther qualifications: (required information: details of individuals undertaking delivery and quality assurance roles, and how any specific requirements will be met</w:t>
      </w:r>
      <w:r w:rsidR="00FF2188">
        <w:t>)</w:t>
      </w:r>
      <w:r w:rsidR="00251B6B">
        <w:t xml:space="preserve"> </w:t>
      </w:r>
    </w:p>
    <w:p w:rsidR="00251B6B" w:rsidRDefault="00251B6B" w:rsidP="00CC7D90">
      <w:pPr>
        <w:pStyle w:val="Text"/>
        <w:numPr>
          <w:ilvl w:val="0"/>
          <w:numId w:val="10"/>
        </w:numPr>
        <w:spacing w:before="120"/>
        <w:ind w:left="568" w:right="0" w:hanging="284"/>
      </w:pPr>
      <w:r>
        <w:t>They must also implement the</w:t>
      </w:r>
      <w:r w:rsidR="00FF2188">
        <w:t xml:space="preserve"> assessment methods and quality-</w:t>
      </w:r>
      <w:r>
        <w:t xml:space="preserve">assure delivery. </w:t>
      </w:r>
    </w:p>
    <w:p w:rsidR="00055CFF" w:rsidRDefault="00055CFF">
      <w:pPr>
        <w:spacing w:before="0" w:line="240" w:lineRule="auto"/>
        <w:rPr>
          <w:color w:val="000000"/>
        </w:rPr>
      </w:pPr>
      <w:r>
        <w:br w:type="page"/>
      </w:r>
    </w:p>
    <w:p w:rsidR="00251B6B" w:rsidRDefault="008E2D1A" w:rsidP="008E2D1A">
      <w:pPr>
        <w:pStyle w:val="Heading1"/>
      </w:pPr>
      <w:bookmarkStart w:id="64" w:name="_Toc406514254"/>
      <w:r>
        <w:lastRenderedPageBreak/>
        <w:t xml:space="preserve">Appendix B: Standards for the ACCSC in </w:t>
      </w:r>
      <w:r w:rsidR="00FD57B1">
        <w:t>the United States</w:t>
      </w:r>
      <w:r w:rsidR="009C4821" w:rsidRPr="00F8264A">
        <w:rPr>
          <w:rStyle w:val="FootnoteReference"/>
          <w:sz w:val="48"/>
          <w:szCs w:val="48"/>
        </w:rPr>
        <w:footnoteReference w:id="39"/>
      </w:r>
      <w:bookmarkEnd w:id="64"/>
    </w:p>
    <w:p w:rsidR="005C3775" w:rsidRPr="005C3775" w:rsidRDefault="005C3775" w:rsidP="005C3775">
      <w:pPr>
        <w:pStyle w:val="Text"/>
      </w:pPr>
      <w:r>
        <w:t xml:space="preserve">The substantive standards describe what institutions must do to meet requirements. Here we list </w:t>
      </w:r>
      <w:r w:rsidR="00A863DF">
        <w:t xml:space="preserve">in note form </w:t>
      </w:r>
      <w:r>
        <w:t xml:space="preserve">the key elements and </w:t>
      </w:r>
      <w:r w:rsidR="00A863DF">
        <w:t xml:space="preserve">associated coverage. </w:t>
      </w:r>
    </w:p>
    <w:p w:rsidR="008E2D1A" w:rsidRDefault="00FD57B1" w:rsidP="00C604BC">
      <w:pPr>
        <w:pStyle w:val="Dotpoint1"/>
        <w:numPr>
          <w:ilvl w:val="0"/>
          <w:numId w:val="15"/>
        </w:numPr>
        <w:tabs>
          <w:tab w:val="clear" w:pos="284"/>
        </w:tabs>
        <w:spacing w:before="120"/>
        <w:ind w:left="425" w:hanging="425"/>
      </w:pPr>
      <w:bookmarkStart w:id="65" w:name="_Toc296497273"/>
      <w:bookmarkStart w:id="66" w:name="_Toc296497408"/>
      <w:r>
        <w:rPr>
          <w:b/>
        </w:rPr>
        <w:t>Management and administrative o</w:t>
      </w:r>
      <w:r w:rsidR="008E2D1A" w:rsidRPr="004172FD">
        <w:rPr>
          <w:b/>
        </w:rPr>
        <w:t>perations</w:t>
      </w:r>
      <w:r w:rsidR="008E2D1A">
        <w:t xml:space="preserve"> (Management and </w:t>
      </w:r>
      <w:r w:rsidR="00E776FC">
        <w:t>a</w:t>
      </w:r>
      <w:r>
        <w:t xml:space="preserve">dministrative </w:t>
      </w:r>
      <w:r w:rsidR="00E776FC">
        <w:t>c</w:t>
      </w:r>
      <w:r>
        <w:t>apacity</w:t>
      </w:r>
      <w:r w:rsidR="008E2D1A">
        <w:t xml:space="preserve">, </w:t>
      </w:r>
      <w:r w:rsidR="00E776FC">
        <w:t>l</w:t>
      </w:r>
      <w:r w:rsidR="008E2D1A" w:rsidRPr="000255FD">
        <w:t xml:space="preserve">eadership/transformation, </w:t>
      </w:r>
      <w:r w:rsidR="00E776FC">
        <w:t>i</w:t>
      </w:r>
      <w:r w:rsidR="008E2D1A" w:rsidRPr="000255FD">
        <w:t xml:space="preserve">nstitutional </w:t>
      </w:r>
      <w:r w:rsidR="00E776FC">
        <w:t>a</w:t>
      </w:r>
      <w:r w:rsidR="008E2D1A">
        <w:t xml:space="preserve">ssessment, </w:t>
      </w:r>
      <w:r w:rsidR="00E776FC">
        <w:t>i</w:t>
      </w:r>
      <w:r w:rsidR="008E2D1A">
        <w:t xml:space="preserve">mprovement and </w:t>
      </w:r>
      <w:r w:rsidR="00E776FC">
        <w:t>p</w:t>
      </w:r>
      <w:r w:rsidR="008E2D1A">
        <w:t xml:space="preserve">lanning, </w:t>
      </w:r>
      <w:r w:rsidR="00E776FC">
        <w:t>f</w:t>
      </w:r>
      <w:r w:rsidR="008E2D1A">
        <w:t xml:space="preserve">inancial </w:t>
      </w:r>
      <w:r w:rsidR="00E776FC">
        <w:t>s</w:t>
      </w:r>
      <w:r w:rsidR="008E2D1A">
        <w:t>tabili</w:t>
      </w:r>
      <w:r>
        <w:t xml:space="preserve">ty and </w:t>
      </w:r>
      <w:r w:rsidR="00E776FC">
        <w:t>r</w:t>
      </w:r>
      <w:r>
        <w:t xml:space="preserve">esponsibility, </w:t>
      </w:r>
      <w:r w:rsidR="00E776FC">
        <w:t>t</w:t>
      </w:r>
      <w:r>
        <w:t xml:space="preserve">uition </w:t>
      </w:r>
      <w:r w:rsidR="00E776FC">
        <w:t>p</w:t>
      </w:r>
      <w:r>
        <w:t>olic</w:t>
      </w:r>
      <w:r w:rsidR="00AB211C">
        <w:t>i</w:t>
      </w:r>
      <w:r>
        <w:t xml:space="preserve">es, </w:t>
      </w:r>
      <w:r w:rsidR="00E776FC">
        <w:t>s</w:t>
      </w:r>
      <w:r>
        <w:t xml:space="preserve">tudent </w:t>
      </w:r>
      <w:r w:rsidR="00E776FC">
        <w:t>l</w:t>
      </w:r>
      <w:r>
        <w:t xml:space="preserve">oan </w:t>
      </w:r>
      <w:r w:rsidR="00E776FC">
        <w:t>r</w:t>
      </w:r>
      <w:r w:rsidR="008E2D1A">
        <w:t xml:space="preserve">epayment , </w:t>
      </w:r>
      <w:r w:rsidR="00E776FC">
        <w:t>p</w:t>
      </w:r>
      <w:r w:rsidR="008E2D1A">
        <w:t xml:space="preserve">hysical </w:t>
      </w:r>
      <w:r w:rsidR="00E776FC">
        <w:t>f</w:t>
      </w:r>
      <w:r w:rsidR="008E2D1A">
        <w:t xml:space="preserve">acilities </w:t>
      </w:r>
      <w:r w:rsidR="00E776FC">
        <w:t>i</w:t>
      </w:r>
      <w:r w:rsidR="008E2D1A" w:rsidRPr="000255FD">
        <w:t>mprovement</w:t>
      </w:r>
      <w:r w:rsidR="008E2D1A">
        <w:t>)</w:t>
      </w:r>
    </w:p>
    <w:p w:rsidR="008E2D1A" w:rsidRDefault="008E2D1A" w:rsidP="00C604BC">
      <w:pPr>
        <w:pStyle w:val="Dotpoint1"/>
        <w:numPr>
          <w:ilvl w:val="0"/>
          <w:numId w:val="15"/>
        </w:numPr>
        <w:tabs>
          <w:tab w:val="clear" w:pos="284"/>
        </w:tabs>
        <w:spacing w:before="120"/>
        <w:ind w:left="425" w:hanging="425"/>
      </w:pPr>
      <w:r w:rsidRPr="004172FD">
        <w:rPr>
          <w:b/>
        </w:rPr>
        <w:t>Programs requirements</w:t>
      </w:r>
      <w:r w:rsidR="004928F1">
        <w:t xml:space="preserve"> </w:t>
      </w:r>
      <w:r>
        <w:t xml:space="preserve">(Program </w:t>
      </w:r>
      <w:r w:rsidR="00E776FC">
        <w:t>d</w:t>
      </w:r>
      <w:r w:rsidR="00FD57B1">
        <w:t xml:space="preserve">esign and </w:t>
      </w:r>
      <w:r w:rsidR="00E776FC">
        <w:t>d</w:t>
      </w:r>
      <w:r w:rsidR="00FD57B1" w:rsidRPr="000255FD">
        <w:t>evelopment</w:t>
      </w:r>
      <w:r>
        <w:t xml:space="preserve">, </w:t>
      </w:r>
      <w:r w:rsidR="00E776FC">
        <w:t>p</w:t>
      </w:r>
      <w:r>
        <w:t xml:space="preserve">rogram </w:t>
      </w:r>
      <w:r w:rsidR="00820F7F">
        <w:t>o</w:t>
      </w:r>
      <w:r>
        <w:t xml:space="preserve">rganisation and </w:t>
      </w:r>
      <w:r w:rsidR="00E776FC">
        <w:t>l</w:t>
      </w:r>
      <w:r>
        <w:t xml:space="preserve">ength, </w:t>
      </w:r>
      <w:r w:rsidR="00E776FC">
        <w:t>p</w:t>
      </w:r>
      <w:r>
        <w:t xml:space="preserve">rogram evaluation, </w:t>
      </w:r>
      <w:r w:rsidR="00E776FC">
        <w:t>i</w:t>
      </w:r>
      <w:r>
        <w:t xml:space="preserve">nstructional </w:t>
      </w:r>
      <w:r w:rsidR="00E776FC">
        <w:t>m</w:t>
      </w:r>
      <w:r>
        <w:t xml:space="preserve">aterials and </w:t>
      </w:r>
      <w:r w:rsidR="00E776FC">
        <w:t>e</w:t>
      </w:r>
      <w:r>
        <w:t xml:space="preserve">quipment, </w:t>
      </w:r>
      <w:r w:rsidR="00E776FC">
        <w:t>p</w:t>
      </w:r>
      <w:r>
        <w:t xml:space="preserve">rogram advisory committee, </w:t>
      </w:r>
      <w:r w:rsidR="00820F7F">
        <w:t>learning r</w:t>
      </w:r>
      <w:r>
        <w:t xml:space="preserve">esource </w:t>
      </w:r>
      <w:r w:rsidR="00820F7F">
        <w:t>s</w:t>
      </w:r>
      <w:r w:rsidRPr="000255FD">
        <w:t>ystem</w:t>
      </w:r>
      <w:r>
        <w:t xml:space="preserve">, </w:t>
      </w:r>
      <w:r w:rsidR="00820F7F">
        <w:t>e</w:t>
      </w:r>
      <w:r>
        <w:t xml:space="preserve">xternships, </w:t>
      </w:r>
      <w:r w:rsidR="00820F7F">
        <w:t>c</w:t>
      </w:r>
      <w:r>
        <w:t xml:space="preserve">onsortium, </w:t>
      </w:r>
      <w:r w:rsidR="00820F7F">
        <w:t>p</w:t>
      </w:r>
      <w:r>
        <w:t xml:space="preserve">artnership or </w:t>
      </w:r>
      <w:r w:rsidR="00820F7F">
        <w:t>c</w:t>
      </w:r>
      <w:r>
        <w:t xml:space="preserve">ontractual </w:t>
      </w:r>
      <w:r w:rsidR="00820F7F">
        <w:t>a</w:t>
      </w:r>
      <w:r>
        <w:t xml:space="preserve">rrangements, </w:t>
      </w:r>
      <w:r w:rsidR="00820F7F">
        <w:t>i</w:t>
      </w:r>
      <w:r>
        <w:t xml:space="preserve">ndependent </w:t>
      </w:r>
      <w:r w:rsidR="00820F7F">
        <w:t>s</w:t>
      </w:r>
      <w:r>
        <w:t xml:space="preserve">tudy, </w:t>
      </w:r>
      <w:r w:rsidR="00820F7F">
        <w:t>t</w:t>
      </w:r>
      <w:r>
        <w:t>ransfer o</w:t>
      </w:r>
      <w:r w:rsidR="00820F7F">
        <w:t>f credit, degrees and courses, s</w:t>
      </w:r>
      <w:r>
        <w:t>econdary educational objectives)</w:t>
      </w:r>
    </w:p>
    <w:p w:rsidR="008E2D1A" w:rsidRDefault="008E2D1A" w:rsidP="00C604BC">
      <w:pPr>
        <w:pStyle w:val="Dotpoint1"/>
        <w:numPr>
          <w:ilvl w:val="0"/>
          <w:numId w:val="15"/>
        </w:numPr>
        <w:tabs>
          <w:tab w:val="clear" w:pos="284"/>
        </w:tabs>
        <w:spacing w:before="120"/>
        <w:ind w:left="425" w:hanging="425"/>
      </w:pPr>
      <w:r w:rsidRPr="004172FD">
        <w:rPr>
          <w:b/>
        </w:rPr>
        <w:t xml:space="preserve">Educational administration and </w:t>
      </w:r>
      <w:r w:rsidR="00820F7F">
        <w:rPr>
          <w:b/>
        </w:rPr>
        <w:t>f</w:t>
      </w:r>
      <w:r w:rsidRPr="004172FD">
        <w:rPr>
          <w:b/>
        </w:rPr>
        <w:t xml:space="preserve">aculty qualifications </w:t>
      </w:r>
      <w:r w:rsidRPr="00820F7F">
        <w:t>(</w:t>
      </w:r>
      <w:r>
        <w:t xml:space="preserve">Educational </w:t>
      </w:r>
      <w:r w:rsidR="00820F7F">
        <w:t>a</w:t>
      </w:r>
      <w:r>
        <w:t xml:space="preserve">dministration, </w:t>
      </w:r>
      <w:r w:rsidR="00820F7F">
        <w:t>f</w:t>
      </w:r>
      <w:r>
        <w:t>a</w:t>
      </w:r>
      <w:r w:rsidR="00FD57B1">
        <w:t xml:space="preserve">culty </w:t>
      </w:r>
      <w:r w:rsidR="00820F7F">
        <w:t>q</w:t>
      </w:r>
      <w:r w:rsidR="00FD57B1">
        <w:t xml:space="preserve">ualifications, </w:t>
      </w:r>
      <w:r w:rsidR="00820F7F">
        <w:t>g</w:t>
      </w:r>
      <w:r w:rsidR="00FD57B1">
        <w:t xml:space="preserve">raduate </w:t>
      </w:r>
      <w:r w:rsidR="00820F7F">
        <w:t>d</w:t>
      </w:r>
      <w:r>
        <w:t xml:space="preserve">egree </w:t>
      </w:r>
      <w:r w:rsidR="00820F7F">
        <w:t>f</w:t>
      </w:r>
      <w:r>
        <w:t xml:space="preserve">aculty requirements, </w:t>
      </w:r>
      <w:r w:rsidR="00820F7F">
        <w:t>f</w:t>
      </w:r>
      <w:r>
        <w:t xml:space="preserve">aculty </w:t>
      </w:r>
      <w:r w:rsidR="00820F7F">
        <w:t>i</w:t>
      </w:r>
      <w:r w:rsidR="00FD57B1">
        <w:t xml:space="preserve">mprovement </w:t>
      </w:r>
      <w:r w:rsidR="00820F7F">
        <w:t>p</w:t>
      </w:r>
      <w:r w:rsidR="00FD57B1">
        <w:t>lanning</w:t>
      </w:r>
      <w:r>
        <w:t>)</w:t>
      </w:r>
    </w:p>
    <w:p w:rsidR="008E2D1A" w:rsidRDefault="008E2D1A" w:rsidP="00C604BC">
      <w:pPr>
        <w:pStyle w:val="Dotpoint1"/>
        <w:numPr>
          <w:ilvl w:val="0"/>
          <w:numId w:val="15"/>
        </w:numPr>
        <w:tabs>
          <w:tab w:val="clear" w:pos="284"/>
        </w:tabs>
        <w:spacing w:before="120"/>
        <w:ind w:left="425" w:hanging="425"/>
      </w:pPr>
      <w:r w:rsidRPr="004172FD">
        <w:rPr>
          <w:b/>
        </w:rPr>
        <w:t xml:space="preserve">Student </w:t>
      </w:r>
      <w:r w:rsidR="00820F7F">
        <w:rPr>
          <w:b/>
        </w:rPr>
        <w:t>r</w:t>
      </w:r>
      <w:r w:rsidRPr="004172FD">
        <w:rPr>
          <w:b/>
        </w:rPr>
        <w:t xml:space="preserve">ecruitment, advertising and disclosures </w:t>
      </w:r>
      <w:r w:rsidRPr="00820F7F">
        <w:t>(</w:t>
      </w:r>
      <w:r>
        <w:t xml:space="preserve">Recruitment, </w:t>
      </w:r>
      <w:r w:rsidR="00820F7F">
        <w:t>a</w:t>
      </w:r>
      <w:r>
        <w:t xml:space="preserve">dvertising and </w:t>
      </w:r>
      <w:r w:rsidR="00820F7F">
        <w:t>p</w:t>
      </w:r>
      <w:r>
        <w:t xml:space="preserve">romotion, </w:t>
      </w:r>
      <w:r w:rsidR="00820F7F">
        <w:t>e</w:t>
      </w:r>
      <w:r>
        <w:t xml:space="preserve">nrolment </w:t>
      </w:r>
      <w:r w:rsidR="00820F7F">
        <w:t>a</w:t>
      </w:r>
      <w:r>
        <w:t xml:space="preserve">greement, </w:t>
      </w:r>
      <w:r w:rsidR="00820F7F">
        <w:t>g</w:t>
      </w:r>
      <w:r>
        <w:t xml:space="preserve">raduate </w:t>
      </w:r>
      <w:r w:rsidR="00820F7F">
        <w:t>e</w:t>
      </w:r>
      <w:r>
        <w:t xml:space="preserve">mployment, </w:t>
      </w:r>
      <w:r w:rsidR="00820F7F">
        <w:t>a</w:t>
      </w:r>
      <w:r>
        <w:t xml:space="preserve">ccreditation and </w:t>
      </w:r>
      <w:r w:rsidR="00820F7F">
        <w:t>a</w:t>
      </w:r>
      <w:r>
        <w:t>pproval)</w:t>
      </w:r>
    </w:p>
    <w:p w:rsidR="008E2D1A" w:rsidRDefault="008E2D1A" w:rsidP="00C604BC">
      <w:pPr>
        <w:pStyle w:val="Dotpoint1"/>
        <w:numPr>
          <w:ilvl w:val="0"/>
          <w:numId w:val="15"/>
        </w:numPr>
        <w:tabs>
          <w:tab w:val="clear" w:pos="284"/>
        </w:tabs>
        <w:spacing w:before="120"/>
        <w:ind w:left="425" w:hanging="425"/>
      </w:pPr>
      <w:r w:rsidRPr="004172FD">
        <w:rPr>
          <w:b/>
        </w:rPr>
        <w:t xml:space="preserve">Admissions, policies and practices </w:t>
      </w:r>
      <w:r w:rsidRPr="00AB211C">
        <w:t>(G</w:t>
      </w:r>
      <w:r>
        <w:t xml:space="preserve">eneral requirements, </w:t>
      </w:r>
      <w:r w:rsidR="00820F7F">
        <w:t>n</w:t>
      </w:r>
      <w:r>
        <w:t xml:space="preserve">on-degree </w:t>
      </w:r>
      <w:r w:rsidR="00820F7F">
        <w:t>p</w:t>
      </w:r>
      <w:r w:rsidR="00FF2188">
        <w:t>rograms</w:t>
      </w:r>
      <w:r>
        <w:t xml:space="preserve">, </w:t>
      </w:r>
      <w:r w:rsidR="00820F7F">
        <w:t>d</w:t>
      </w:r>
      <w:r>
        <w:t xml:space="preserve">egree </w:t>
      </w:r>
      <w:r w:rsidR="00820F7F">
        <w:t>p</w:t>
      </w:r>
      <w:r w:rsidR="00FF2188">
        <w:t>rograms</w:t>
      </w:r>
      <w:r>
        <w:t xml:space="preserve"> </w:t>
      </w:r>
      <w:r w:rsidR="00AB211C">
        <w:t>[</w:t>
      </w:r>
      <w:r>
        <w:t>undergraduate</w:t>
      </w:r>
      <w:r w:rsidR="00AB211C">
        <w:t>]</w:t>
      </w:r>
      <w:r>
        <w:t xml:space="preserve">, </w:t>
      </w:r>
      <w:r w:rsidR="00820F7F">
        <w:t>d</w:t>
      </w:r>
      <w:r>
        <w:t xml:space="preserve">egree </w:t>
      </w:r>
      <w:r w:rsidR="00820F7F">
        <w:t>p</w:t>
      </w:r>
      <w:r w:rsidR="00FF2188">
        <w:t>rograms</w:t>
      </w:r>
      <w:r w:rsidR="00820F7F">
        <w:t xml:space="preserve"> (graduate), ESL c</w:t>
      </w:r>
      <w:r>
        <w:t>ourse</w:t>
      </w:r>
      <w:r w:rsidRPr="00AB211C">
        <w:t>s)</w:t>
      </w:r>
    </w:p>
    <w:p w:rsidR="008E2D1A" w:rsidRDefault="008E2D1A" w:rsidP="00C604BC">
      <w:pPr>
        <w:pStyle w:val="Dotpoint1"/>
        <w:numPr>
          <w:ilvl w:val="0"/>
          <w:numId w:val="15"/>
        </w:numPr>
        <w:tabs>
          <w:tab w:val="clear" w:pos="284"/>
        </w:tabs>
        <w:spacing w:before="120"/>
        <w:ind w:left="425" w:hanging="425"/>
      </w:pPr>
      <w:r w:rsidRPr="004172FD">
        <w:rPr>
          <w:b/>
        </w:rPr>
        <w:t xml:space="preserve">Student </w:t>
      </w:r>
      <w:r w:rsidR="00820F7F">
        <w:rPr>
          <w:b/>
        </w:rPr>
        <w:t>s</w:t>
      </w:r>
      <w:r w:rsidRPr="004172FD">
        <w:rPr>
          <w:b/>
        </w:rPr>
        <w:t xml:space="preserve">ervices </w:t>
      </w:r>
      <w:r w:rsidRPr="00820F7F">
        <w:t>(</w:t>
      </w:r>
      <w:r>
        <w:t xml:space="preserve">Advising and </w:t>
      </w:r>
      <w:r w:rsidR="00820F7F">
        <w:t>c</w:t>
      </w:r>
      <w:r>
        <w:t xml:space="preserve">ounselling, </w:t>
      </w:r>
      <w:r w:rsidR="00820F7F">
        <w:t>s</w:t>
      </w:r>
      <w:r>
        <w:t xml:space="preserve">tudent </w:t>
      </w:r>
      <w:r w:rsidR="00820F7F">
        <w:t>r</w:t>
      </w:r>
      <w:r>
        <w:t xml:space="preserve">ecords, </w:t>
      </w:r>
      <w:r w:rsidR="00820F7F">
        <w:t>g</w:t>
      </w:r>
      <w:r>
        <w:t xml:space="preserve">raduate </w:t>
      </w:r>
      <w:r w:rsidR="00820F7F">
        <w:t>e</w:t>
      </w:r>
      <w:r>
        <w:t xml:space="preserve">mployment </w:t>
      </w:r>
      <w:r w:rsidR="00820F7F">
        <w:t>a</w:t>
      </w:r>
      <w:r>
        <w:t xml:space="preserve">ssistance and </w:t>
      </w:r>
      <w:r w:rsidR="00820F7F">
        <w:t>r</w:t>
      </w:r>
      <w:r>
        <w:t xml:space="preserve">ecords, </w:t>
      </w:r>
      <w:r w:rsidR="00820F7F">
        <w:t>s</w:t>
      </w:r>
      <w:r>
        <w:t xml:space="preserve">tudent </w:t>
      </w:r>
      <w:r w:rsidR="00820F7F">
        <w:t>c</w:t>
      </w:r>
      <w:r>
        <w:t>omplaints)</w:t>
      </w:r>
    </w:p>
    <w:p w:rsidR="008E2D1A" w:rsidRDefault="008E2D1A" w:rsidP="00C604BC">
      <w:pPr>
        <w:pStyle w:val="Dotpoint1"/>
        <w:numPr>
          <w:ilvl w:val="0"/>
          <w:numId w:val="15"/>
        </w:numPr>
        <w:tabs>
          <w:tab w:val="clear" w:pos="284"/>
        </w:tabs>
        <w:spacing w:before="120"/>
        <w:ind w:left="425" w:hanging="425"/>
      </w:pPr>
      <w:r w:rsidRPr="004172FD">
        <w:rPr>
          <w:b/>
        </w:rPr>
        <w:t xml:space="preserve">Student learning, assessment, progress and achievement </w:t>
      </w:r>
      <w:r w:rsidRPr="00820F7F">
        <w:t>(</w:t>
      </w:r>
      <w:r>
        <w:t xml:space="preserve">Student </w:t>
      </w:r>
      <w:r w:rsidR="00820F7F">
        <w:t>l</w:t>
      </w:r>
      <w:r w:rsidR="00FF2188">
        <w:t xml:space="preserve">earning, </w:t>
      </w:r>
      <w:r w:rsidR="00820F7F">
        <w:t>a</w:t>
      </w:r>
      <w:r w:rsidR="00FF2188">
        <w:t>ssessment</w:t>
      </w:r>
      <w:r>
        <w:t xml:space="preserve">, and </w:t>
      </w:r>
      <w:r w:rsidR="00820F7F">
        <w:t>s</w:t>
      </w:r>
      <w:r w:rsidR="00FF2188">
        <w:t xml:space="preserve">atisfactory </w:t>
      </w:r>
      <w:r w:rsidR="00820F7F">
        <w:t>p</w:t>
      </w:r>
      <w:r w:rsidR="00FF2188">
        <w:t>rogress</w:t>
      </w:r>
      <w:r>
        <w:t xml:space="preserve">, </w:t>
      </w:r>
      <w:r w:rsidR="00820F7F">
        <w:t>s</w:t>
      </w:r>
      <w:r>
        <w:t xml:space="preserve">tudent </w:t>
      </w:r>
      <w:r w:rsidR="00820F7F">
        <w:t>a</w:t>
      </w:r>
      <w:r w:rsidR="00FF2188">
        <w:t>chievement</w:t>
      </w:r>
      <w:r>
        <w:t xml:space="preserve">, </w:t>
      </w:r>
      <w:r w:rsidR="00820F7F">
        <w:t>s</w:t>
      </w:r>
      <w:r>
        <w:t xml:space="preserve">tudent </w:t>
      </w:r>
      <w:r w:rsidR="00820F7F">
        <w:t>a</w:t>
      </w:r>
      <w:r>
        <w:t xml:space="preserve">chievement </w:t>
      </w:r>
      <w:r w:rsidR="00820F7F">
        <w:t>m</w:t>
      </w:r>
      <w:r>
        <w:t xml:space="preserve">onitoring and </w:t>
      </w:r>
      <w:r w:rsidR="00820F7F">
        <w:t>r</w:t>
      </w:r>
      <w:r>
        <w:t>eporting)</w:t>
      </w:r>
    </w:p>
    <w:p w:rsidR="008E2D1A" w:rsidRDefault="008E2D1A" w:rsidP="00C604BC">
      <w:pPr>
        <w:pStyle w:val="Dotpoint1"/>
        <w:numPr>
          <w:ilvl w:val="0"/>
          <w:numId w:val="15"/>
        </w:numPr>
        <w:tabs>
          <w:tab w:val="clear" w:pos="284"/>
        </w:tabs>
        <w:spacing w:before="120"/>
        <w:ind w:left="425" w:hanging="425"/>
      </w:pPr>
      <w:r w:rsidRPr="004172FD">
        <w:rPr>
          <w:b/>
        </w:rPr>
        <w:t xml:space="preserve">Additional criteria for separate facilities </w:t>
      </w:r>
      <w:r w:rsidRPr="00820F7F">
        <w:t>(</w:t>
      </w:r>
      <w:r>
        <w:t xml:space="preserve">Classification: branch campus, satellite location), </w:t>
      </w:r>
      <w:r w:rsidR="00AB211C">
        <w:t>(R</w:t>
      </w:r>
      <w:r>
        <w:t xml:space="preserve">esponsibility, </w:t>
      </w:r>
      <w:r w:rsidR="00820F7F">
        <w:t>o</w:t>
      </w:r>
      <w:r>
        <w:t xml:space="preserve">wnership, </w:t>
      </w:r>
      <w:r w:rsidR="00820F7F">
        <w:t>n</w:t>
      </w:r>
      <w:r>
        <w:t xml:space="preserve">ame, </w:t>
      </w:r>
      <w:r w:rsidR="00820F7F">
        <w:t>r</w:t>
      </w:r>
      <w:r>
        <w:t xml:space="preserve">elationship, and </w:t>
      </w:r>
      <w:r w:rsidR="00820F7F">
        <w:t>a</w:t>
      </w:r>
      <w:r>
        <w:t xml:space="preserve">dvertising, </w:t>
      </w:r>
      <w:r w:rsidR="00820F7F">
        <w:t>p</w:t>
      </w:r>
      <w:r>
        <w:t>rograms)</w:t>
      </w:r>
    </w:p>
    <w:p w:rsidR="008E2D1A" w:rsidRDefault="008E2D1A" w:rsidP="00C604BC">
      <w:pPr>
        <w:pStyle w:val="Dotpoint1"/>
        <w:numPr>
          <w:ilvl w:val="0"/>
          <w:numId w:val="15"/>
        </w:numPr>
        <w:tabs>
          <w:tab w:val="clear" w:pos="284"/>
        </w:tabs>
        <w:spacing w:before="120"/>
        <w:ind w:left="425" w:hanging="425"/>
      </w:pPr>
      <w:r w:rsidRPr="009779CB">
        <w:rPr>
          <w:b/>
        </w:rPr>
        <w:t xml:space="preserve">Distance </w:t>
      </w:r>
      <w:r w:rsidR="00820F7F">
        <w:rPr>
          <w:b/>
        </w:rPr>
        <w:t>e</w:t>
      </w:r>
      <w:r w:rsidRPr="009779CB">
        <w:rPr>
          <w:b/>
        </w:rPr>
        <w:t xml:space="preserve">ducation </w:t>
      </w:r>
      <w:r w:rsidRPr="00820F7F">
        <w:t>(</w:t>
      </w:r>
      <w:r>
        <w:t xml:space="preserve">Management and </w:t>
      </w:r>
      <w:r w:rsidR="00820F7F">
        <w:t>a</w:t>
      </w:r>
      <w:r>
        <w:t xml:space="preserve">dministration, </w:t>
      </w:r>
      <w:r w:rsidR="00820F7F">
        <w:t>o</w:t>
      </w:r>
      <w:r>
        <w:t xml:space="preserve">bjectives and </w:t>
      </w:r>
      <w:r w:rsidR="00820F7F">
        <w:t>s</w:t>
      </w:r>
      <w:r>
        <w:t xml:space="preserve">tudent </w:t>
      </w:r>
      <w:r w:rsidR="00820F7F">
        <w:t>a</w:t>
      </w:r>
      <w:r>
        <w:t xml:space="preserve">chievement, </w:t>
      </w:r>
      <w:r w:rsidR="00820F7F">
        <w:t>p</w:t>
      </w:r>
      <w:r>
        <w:t xml:space="preserve">rograms, </w:t>
      </w:r>
      <w:r w:rsidR="00820F7F">
        <w:t>c</w:t>
      </w:r>
      <w:r>
        <w:t xml:space="preserve">urricula and </w:t>
      </w:r>
      <w:r w:rsidR="00820F7F">
        <w:t>r</w:t>
      </w:r>
      <w:r>
        <w:t xml:space="preserve">esources, </w:t>
      </w:r>
      <w:proofErr w:type="spellStart"/>
      <w:r w:rsidR="00820F7F">
        <w:t>c</w:t>
      </w:r>
      <w:r>
        <w:t>atalog</w:t>
      </w:r>
      <w:proofErr w:type="spellEnd"/>
      <w:r>
        <w:t xml:space="preserve"> and </w:t>
      </w:r>
      <w:r w:rsidR="00820F7F">
        <w:t>a</w:t>
      </w:r>
      <w:r>
        <w:t xml:space="preserve">dvertising, </w:t>
      </w:r>
      <w:r w:rsidR="00820F7F">
        <w:t>a</w:t>
      </w:r>
      <w:r>
        <w:t xml:space="preserve">dmissions </w:t>
      </w:r>
      <w:r w:rsidR="00820F7F">
        <w:t>r</w:t>
      </w:r>
      <w:r w:rsidR="00FF2188">
        <w:t xml:space="preserve">equirements </w:t>
      </w:r>
      <w:r w:rsidR="00820F7F">
        <w:t>a</w:t>
      </w:r>
      <w:r w:rsidR="00FF2188">
        <w:t xml:space="preserve">nd </w:t>
      </w:r>
      <w:r w:rsidR="00820F7F">
        <w:t>e</w:t>
      </w:r>
      <w:r w:rsidR="00FF2188">
        <w:t>nrolment</w:t>
      </w:r>
      <w:r>
        <w:t xml:space="preserve">s, </w:t>
      </w:r>
      <w:r w:rsidR="00820F7F">
        <w:t>f</w:t>
      </w:r>
      <w:r>
        <w:t xml:space="preserve">aculty, </w:t>
      </w:r>
      <w:r w:rsidR="00820F7F">
        <w:t>s</w:t>
      </w:r>
      <w:r>
        <w:t xml:space="preserve">tudent </w:t>
      </w:r>
      <w:r w:rsidR="00820F7F">
        <w:t>s</w:t>
      </w:r>
      <w:r>
        <w:t>ervices)</w:t>
      </w:r>
    </w:p>
    <w:p w:rsidR="00C328A9" w:rsidRDefault="00C328A9" w:rsidP="00C604BC">
      <w:pPr>
        <w:pStyle w:val="Dotpoint1"/>
        <w:numPr>
          <w:ilvl w:val="0"/>
          <w:numId w:val="15"/>
        </w:numPr>
        <w:tabs>
          <w:tab w:val="clear" w:pos="284"/>
        </w:tabs>
        <w:spacing w:before="120"/>
        <w:ind w:left="425" w:hanging="425"/>
      </w:pPr>
      <w:r w:rsidRPr="00F25E5B">
        <w:rPr>
          <w:b/>
        </w:rPr>
        <w:t>Public information</w:t>
      </w:r>
      <w:r w:rsidR="00820F7F">
        <w:t xml:space="preserve"> (T</w:t>
      </w:r>
      <w:r>
        <w:t xml:space="preserve">ransparency, currency and accuracy of information provided to the public) </w:t>
      </w:r>
    </w:p>
    <w:p w:rsidR="00C328A9" w:rsidRDefault="00C328A9" w:rsidP="00C604BC">
      <w:pPr>
        <w:pStyle w:val="Dotpoint1"/>
        <w:numPr>
          <w:ilvl w:val="0"/>
          <w:numId w:val="15"/>
        </w:numPr>
        <w:tabs>
          <w:tab w:val="clear" w:pos="284"/>
        </w:tabs>
        <w:spacing w:before="120"/>
        <w:ind w:left="425" w:hanging="425"/>
      </w:pPr>
      <w:r w:rsidRPr="00F25E5B">
        <w:rPr>
          <w:b/>
        </w:rPr>
        <w:t>Business management</w:t>
      </w:r>
      <w:r>
        <w:t xml:space="preserve"> (</w:t>
      </w:r>
      <w:r w:rsidR="00820F7F">
        <w:t>C</w:t>
      </w:r>
      <w:r>
        <w:t>ompliance with rules for submission of annual returns, sub-contracting to other organisations, financial reporting standards, financial controls, and financial sustainability, meeting the needs of stakeholders)</w:t>
      </w:r>
    </w:p>
    <w:p w:rsidR="00C328A9" w:rsidRDefault="00C328A9" w:rsidP="00C604BC">
      <w:pPr>
        <w:pStyle w:val="Dotpoint1"/>
        <w:numPr>
          <w:ilvl w:val="0"/>
          <w:numId w:val="15"/>
        </w:numPr>
        <w:tabs>
          <w:tab w:val="clear" w:pos="284"/>
        </w:tabs>
        <w:spacing w:before="120"/>
        <w:ind w:left="425" w:hanging="425"/>
      </w:pPr>
      <w:r w:rsidRPr="00F25E5B">
        <w:rPr>
          <w:b/>
        </w:rPr>
        <w:t>Information to students to enable relevant and timely informed choices</w:t>
      </w:r>
      <w:r>
        <w:t xml:space="preserve"> (about the institution</w:t>
      </w:r>
      <w:r w:rsidR="00C504E2">
        <w:t>’</w:t>
      </w:r>
      <w:r>
        <w:t>s results of external evaluations, entry and selection criteria, organisational intentions to continue or otherwise with program provision, complaints and grievance procedures for the institution and the NZQA, ready access to enrolment and academic information and relevant regulations)</w:t>
      </w:r>
    </w:p>
    <w:p w:rsidR="00C328A9" w:rsidRDefault="00C328A9" w:rsidP="00C604BC">
      <w:pPr>
        <w:pStyle w:val="Dotpoint1"/>
        <w:numPr>
          <w:ilvl w:val="0"/>
          <w:numId w:val="15"/>
        </w:numPr>
        <w:tabs>
          <w:tab w:val="clear" w:pos="284"/>
        </w:tabs>
        <w:spacing w:before="120"/>
        <w:ind w:left="425" w:hanging="425"/>
      </w:pPr>
      <w:r w:rsidRPr="00F25E5B">
        <w:rPr>
          <w:b/>
        </w:rPr>
        <w:lastRenderedPageBreak/>
        <w:t>Student interests</w:t>
      </w:r>
      <w:r>
        <w:t xml:space="preserve"> (ready access to complaints processes, fairness and equity in dealing with complaints, discipline, and appeals processes and procedures, culturally appropriate to student well-being, students, educational and non-educational support and guidance to meet student needs, currency and quality and educational resources and equipment)</w:t>
      </w:r>
    </w:p>
    <w:p w:rsidR="00C328A9" w:rsidRDefault="00C328A9" w:rsidP="00C604BC">
      <w:pPr>
        <w:pStyle w:val="Dotpoint1"/>
        <w:numPr>
          <w:ilvl w:val="0"/>
          <w:numId w:val="15"/>
        </w:numPr>
        <w:tabs>
          <w:tab w:val="clear" w:pos="284"/>
        </w:tabs>
        <w:spacing w:before="120"/>
        <w:ind w:left="425" w:hanging="425"/>
      </w:pPr>
      <w:r w:rsidRPr="00F25E5B">
        <w:rPr>
          <w:b/>
        </w:rPr>
        <w:t xml:space="preserve">Staff </w:t>
      </w:r>
      <w:r>
        <w:t>(competent, and appropriately experienced and qualified teaching staff, with currency of knowledge, and competency of management and administration</w:t>
      </w:r>
      <w:r w:rsidR="004928F1">
        <w:t xml:space="preserve"> </w:t>
      </w:r>
      <w:r>
        <w:t>staff, currency of organisation chart)</w:t>
      </w:r>
    </w:p>
    <w:p w:rsidR="00C328A9" w:rsidRDefault="00C328A9" w:rsidP="00C604BC">
      <w:pPr>
        <w:pStyle w:val="Dotpoint1"/>
        <w:numPr>
          <w:ilvl w:val="0"/>
          <w:numId w:val="15"/>
        </w:numPr>
        <w:tabs>
          <w:tab w:val="clear" w:pos="284"/>
        </w:tabs>
        <w:spacing w:before="120"/>
        <w:ind w:left="425" w:hanging="425"/>
      </w:pPr>
      <w:r w:rsidRPr="00F25E5B">
        <w:rPr>
          <w:b/>
        </w:rPr>
        <w:t>Quality management system</w:t>
      </w:r>
      <w:r>
        <w:t xml:space="preserve"> (currency and systematic implementation of QA system)</w:t>
      </w:r>
    </w:p>
    <w:p w:rsidR="00C328A9" w:rsidRDefault="00C328A9" w:rsidP="00C604BC">
      <w:pPr>
        <w:pStyle w:val="Dotpoint1"/>
        <w:numPr>
          <w:ilvl w:val="0"/>
          <w:numId w:val="15"/>
        </w:numPr>
        <w:tabs>
          <w:tab w:val="clear" w:pos="284"/>
        </w:tabs>
        <w:spacing w:before="120"/>
        <w:ind w:left="425" w:hanging="425"/>
      </w:pPr>
      <w:r w:rsidRPr="00F25E5B">
        <w:rPr>
          <w:b/>
        </w:rPr>
        <w:t>Assessment and moderation</w:t>
      </w:r>
      <w:r>
        <w:t xml:space="preserve"> (operation of effective moderation and validation processes across all accredited education and training programs)</w:t>
      </w:r>
    </w:p>
    <w:p w:rsidR="00C328A9" w:rsidRDefault="00C328A9" w:rsidP="00C604BC">
      <w:pPr>
        <w:pStyle w:val="Dotpoint1"/>
        <w:numPr>
          <w:ilvl w:val="0"/>
          <w:numId w:val="15"/>
        </w:numPr>
        <w:tabs>
          <w:tab w:val="clear" w:pos="284"/>
        </w:tabs>
        <w:spacing w:before="120"/>
        <w:ind w:left="425" w:hanging="425"/>
      </w:pPr>
      <w:r w:rsidRPr="00F25E5B">
        <w:rPr>
          <w:b/>
        </w:rPr>
        <w:t>Participation in self-assessment &amp; EER</w:t>
      </w:r>
      <w:r>
        <w:t xml:space="preserve"> </w:t>
      </w:r>
      <w:r w:rsidRPr="00F25E5B">
        <w:rPr>
          <w:b/>
        </w:rPr>
        <w:t>quality assurance mechanisms</w:t>
      </w:r>
      <w:r>
        <w:t xml:space="preserve"> (respects EER requirements, planning for and implementation of any improvement actions required)</w:t>
      </w:r>
    </w:p>
    <w:bookmarkEnd w:id="65"/>
    <w:bookmarkEnd w:id="66"/>
    <w:p w:rsidR="0081490A" w:rsidRDefault="0081490A">
      <w:pPr>
        <w:spacing w:before="0" w:line="240" w:lineRule="auto"/>
        <w:rPr>
          <w:rFonts w:ascii="Tahoma" w:hAnsi="Tahoma"/>
          <w:b/>
          <w:sz w:val="17"/>
        </w:rPr>
      </w:pPr>
      <w:r>
        <w:rPr>
          <w:rFonts w:ascii="Tahoma" w:hAnsi="Tahoma"/>
          <w:b/>
          <w:sz w:val="17"/>
        </w:rPr>
        <w:br w:type="page"/>
      </w:r>
    </w:p>
    <w:p w:rsidR="00890676" w:rsidRDefault="0081490A" w:rsidP="0081490A">
      <w:pPr>
        <w:pStyle w:val="Heading1"/>
      </w:pPr>
      <w:r>
        <w:lastRenderedPageBreak/>
        <w:t>Funding information</w:t>
      </w:r>
    </w:p>
    <w:p w:rsidR="0081490A" w:rsidRDefault="0081490A" w:rsidP="0081490A">
      <w:pPr>
        <w:pStyle w:val="Text"/>
      </w:pPr>
      <w:r>
        <w:t xml:space="preserve">This work has been produced by NCVER under the National Vocational Education and Training Research (NVETR) Program, which is coordinated and managed by NCVER on behalf of the Australian Government and state and territory governments. Funding is provided through the Department of </w:t>
      </w:r>
      <w:r w:rsidR="006F0473">
        <w:t>Education and Training</w:t>
      </w:r>
      <w:r>
        <w:t xml:space="preserve">. </w:t>
      </w:r>
    </w:p>
    <w:p w:rsidR="0081490A" w:rsidRDefault="0081490A" w:rsidP="0081490A">
      <w:pPr>
        <w:pStyle w:val="Text"/>
      </w:pPr>
      <w:r>
        <w:t xml:space="preserve">The NVETR Program aims to improve policy and practice in the VET sector. The research effort itself is collaborative and requires strong relationships with the research community in Australia’s universities and beyond. NCVER may also involve various stakeholders, including state and territory governments, industry and practitioners, to inform the commissioned research and use a variety of mechanisms such as project roundtables and forums. </w:t>
      </w:r>
    </w:p>
    <w:p w:rsidR="0081490A" w:rsidRDefault="0081490A" w:rsidP="0081490A">
      <w:pPr>
        <w:pStyle w:val="Text"/>
      </w:pPr>
      <w:r>
        <w:t>In addition to the commissioned research, each year a pool of NVETR funds is set aside to support the provision of research and policy advice</w:t>
      </w:r>
      <w:r w:rsidR="00997A1A">
        <w:t xml:space="preserve"> to assist with the Australian g</w:t>
      </w:r>
      <w:r>
        <w:t>overnments</w:t>
      </w:r>
      <w:r w:rsidR="00997A1A">
        <w:t>’</w:t>
      </w:r>
      <w:r>
        <w:t xml:space="preserve"> skills reform. This work has been produced as part of this initiative. </w:t>
      </w:r>
    </w:p>
    <w:p w:rsidR="0081490A" w:rsidRPr="0081490A" w:rsidRDefault="0081490A" w:rsidP="0081490A">
      <w:pPr>
        <w:pStyle w:val="Text"/>
      </w:pPr>
      <w:proofErr w:type="gramStart"/>
      <w:r>
        <w:t>For further information about the program go to the NCVER Portal &lt;http://www.ncver.edu.au&gt;.</w:t>
      </w:r>
      <w:proofErr w:type="gramEnd"/>
    </w:p>
    <w:sectPr w:rsidR="0081490A" w:rsidRPr="0081490A" w:rsidSect="00E57BCF">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4E" w:rsidRDefault="00DD224E">
      <w:r>
        <w:separator/>
      </w:r>
    </w:p>
  </w:endnote>
  <w:endnote w:type="continuationSeparator" w:id="0">
    <w:p w:rsidR="00DD224E" w:rsidRDefault="00DD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vant Garde">
    <w:altName w:val="Century Gothic"/>
    <w:charset w:val="00"/>
    <w:family w:val="swiss"/>
    <w:pitch w:val="variable"/>
    <w:sig w:usb0="00007A87" w:usb1="80000000" w:usb2="00000008" w:usb3="00000000" w:csb0="000000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4E" w:rsidRPr="008C0A74" w:rsidRDefault="00DD224E" w:rsidP="00FF5931">
    <w:pPr>
      <w:pStyle w:val="Footer"/>
      <w:tabs>
        <w:tab w:val="clear" w:pos="8505"/>
        <w:tab w:val="right" w:pos="8789"/>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4E" w:rsidRPr="009775C7" w:rsidRDefault="00DD224E"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4E" w:rsidRPr="008C0A74" w:rsidRDefault="00DD224E" w:rsidP="00FF5931">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56704" behindDoc="1" locked="0" layoutInCell="1" allowOverlap="1" wp14:anchorId="6FE1A506" wp14:editId="3E84D775">
              <wp:simplePos x="0" y="0"/>
              <wp:positionH relativeFrom="column">
                <wp:posOffset>-1080135</wp:posOffset>
              </wp:positionH>
              <wp:positionV relativeFrom="paragraph">
                <wp:posOffset>-31115</wp:posOffset>
              </wp:positionV>
              <wp:extent cx="1257300" cy="238125"/>
              <wp:effectExtent l="0" t="0" r="0" b="952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05pt;margin-top:-2.45pt;width:99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u4mAIAAGk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D0OruJgCAABpBQAADgAAAAAAAAAAAAAAAAAuAgAAZHJzL2Uy&#10;b0RvYy54bWxQSwECLQAUAAYACAAAACEA/ZB0tuEAAAAJAQAADwAAAAAAAAAAAAAAAADyBAAAZHJz&#10;L2Rvd25yZXYueG1sUEsFBgAAAAAEAAQA8wAAAAAGA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586137">
      <w:rPr>
        <w:b/>
        <w:noProof/>
        <w:color w:val="FFFFFF" w:themeColor="background1"/>
      </w:rPr>
      <w:t>10</w:t>
    </w:r>
    <w:r w:rsidRPr="008C0A74">
      <w:rPr>
        <w:b/>
        <w:color w:val="FFFFFF" w:themeColor="background1"/>
      </w:rPr>
      <w:fldChar w:fldCharType="end"/>
    </w:r>
    <w:r w:rsidRPr="008C0A74">
      <w:rPr>
        <w:b/>
        <w:color w:val="FFFFFF" w:themeColor="background1"/>
      </w:rPr>
      <w:tab/>
    </w:r>
    <w:r>
      <w:rPr>
        <w:b/>
      </w:rPr>
      <w:t xml:space="preserve">Developing, approving and maintaining qualifications: selected international comparisons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4E" w:rsidRPr="009775C7" w:rsidRDefault="00DD224E" w:rsidP="008C0A74">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57728" behindDoc="1" locked="0" layoutInCell="1" allowOverlap="1" wp14:anchorId="094A7C26" wp14:editId="09896CB7">
              <wp:simplePos x="0" y="0"/>
              <wp:positionH relativeFrom="column">
                <wp:posOffset>5405120</wp:posOffset>
              </wp:positionH>
              <wp:positionV relativeFrom="paragraph">
                <wp:posOffset>-31115</wp:posOffset>
              </wp:positionV>
              <wp:extent cx="1257300" cy="238125"/>
              <wp:effectExtent l="0" t="0" r="0" b="952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5.6pt;margin-top:-2.45pt;width:99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" fillcolor="black [3213]" stroked="f" strokecolor="#bfbfbf [2412]"/>
          </w:pict>
        </mc:Fallback>
      </mc:AlternateContent>
    </w:r>
    <w:r w:rsidRPr="009775C7">
      <w:rPr>
        <w:b/>
      </w:rPr>
      <w:t>NCVER</w:t>
    </w:r>
    <w:r w:rsidRPr="009775C7">
      <w:tab/>
    </w:r>
    <w:r w:rsidRPr="009775C7">
      <w:rPr>
        <w:rStyle w:val="PageNumber"/>
        <w:rFonts w:cs="Tahoma"/>
        <w:b/>
        <w:color w:val="FFFFFF" w:themeColor="background1"/>
        <w:sz w:val="17"/>
      </w:rPr>
      <w:fldChar w:fldCharType="begin"/>
    </w:r>
    <w:r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586137">
      <w:rPr>
        <w:rStyle w:val="PageNumber"/>
        <w:rFonts w:cs="Tahoma"/>
        <w:b/>
        <w:noProof/>
        <w:color w:val="FFFFFF" w:themeColor="background1"/>
        <w:sz w:val="17"/>
      </w:rPr>
      <w:t>9</w:t>
    </w:r>
    <w:r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4E" w:rsidRDefault="00DD224E">
      <w:r>
        <w:separator/>
      </w:r>
    </w:p>
  </w:footnote>
  <w:footnote w:type="continuationSeparator" w:id="0">
    <w:p w:rsidR="00DD224E" w:rsidRDefault="00DD224E">
      <w:r>
        <w:continuationSeparator/>
      </w:r>
    </w:p>
  </w:footnote>
  <w:footnote w:id="1">
    <w:p w:rsidR="00DD224E" w:rsidRDefault="00DD224E" w:rsidP="00A12AAC">
      <w:pPr>
        <w:pStyle w:val="FootnoteText"/>
      </w:pPr>
      <w:r>
        <w:rPr>
          <w:rStyle w:val="FootnoteReference"/>
        </w:rPr>
        <w:footnoteRef/>
      </w:r>
      <w:r>
        <w:t xml:space="preserve"> </w:t>
      </w:r>
      <w:r>
        <w:tab/>
        <w:t>&lt;</w:t>
      </w:r>
      <w:r w:rsidRPr="00FD7E02">
        <w:t>http://www.oph.fi/download/121526_NQF-muistio_EN_02_10.pdf</w:t>
      </w:r>
      <w:r>
        <w:t>&gt;.</w:t>
      </w:r>
    </w:p>
  </w:footnote>
  <w:footnote w:id="2">
    <w:p w:rsidR="00DD224E" w:rsidRDefault="00DD224E">
      <w:pPr>
        <w:pStyle w:val="FootnoteText"/>
      </w:pPr>
      <w:r>
        <w:rPr>
          <w:rStyle w:val="FootnoteReference"/>
        </w:rPr>
        <w:footnoteRef/>
      </w:r>
      <w:r>
        <w:t xml:space="preserve"> </w:t>
      </w:r>
      <w:r>
        <w:tab/>
        <w:t xml:space="preserve">Permeability refers to the smooth and flexible movement between education pathways, in the main between VET and higher education. </w:t>
      </w:r>
    </w:p>
  </w:footnote>
  <w:footnote w:id="3">
    <w:p w:rsidR="00DD224E" w:rsidRDefault="00DD224E">
      <w:pPr>
        <w:pStyle w:val="FootnoteText"/>
      </w:pPr>
      <w:r>
        <w:rPr>
          <w:rStyle w:val="FootnoteReference"/>
        </w:rPr>
        <w:footnoteRef/>
      </w:r>
      <w:r>
        <w:t xml:space="preserve"> </w:t>
      </w:r>
      <w:r>
        <w:tab/>
        <w:t>QCF qualifications: &lt;https:/www.gov.uk/what-different qualification-levels-mean&gt;.</w:t>
      </w:r>
    </w:p>
  </w:footnote>
  <w:footnote w:id="4">
    <w:p w:rsidR="00DD224E" w:rsidRDefault="00DD224E">
      <w:pPr>
        <w:pStyle w:val="FootnoteText"/>
      </w:pPr>
      <w:r>
        <w:rPr>
          <w:rStyle w:val="FootnoteReference"/>
        </w:rPr>
        <w:footnoteRef/>
      </w:r>
      <w:r>
        <w:t xml:space="preserve"> </w:t>
      </w:r>
      <w:r>
        <w:tab/>
        <w:t>Credit and Qualifications Framework for Wales: &lt;</w:t>
      </w:r>
      <w:hyperlink r:id="rId1" w:history="1">
        <w:r w:rsidRPr="009A536C">
          <w:rPr>
            <w:rStyle w:val="Hyperlink"/>
            <w:sz w:val="16"/>
          </w:rPr>
          <w:t>http://wales.gov.uk/topics/educationand</w:t>
        </w:r>
      </w:hyperlink>
      <w:r>
        <w:t xml:space="preserve"> skills/</w:t>
      </w:r>
      <w:proofErr w:type="spellStart"/>
      <w:r>
        <w:t>qualificationsinwales</w:t>
      </w:r>
      <w:proofErr w:type="spellEnd"/>
      <w:r>
        <w:t>/&gt;.</w:t>
      </w:r>
    </w:p>
  </w:footnote>
  <w:footnote w:id="5">
    <w:p w:rsidR="00DD224E" w:rsidRDefault="00DD224E" w:rsidP="00542AB7">
      <w:pPr>
        <w:pStyle w:val="FootnoteText"/>
      </w:pPr>
      <w:r>
        <w:rPr>
          <w:rStyle w:val="FootnoteReference"/>
        </w:rPr>
        <w:footnoteRef/>
      </w:r>
      <w:r>
        <w:t xml:space="preserve"> </w:t>
      </w:r>
      <w:r>
        <w:tab/>
        <w:t>FHEQ qualifications: &lt;https:/www.gov.uk/what-different qualification-levels-mean&gt;.</w:t>
      </w:r>
    </w:p>
  </w:footnote>
  <w:footnote w:id="6">
    <w:p w:rsidR="00DD224E" w:rsidRDefault="00DD224E">
      <w:pPr>
        <w:pStyle w:val="FootnoteText"/>
      </w:pPr>
      <w:r>
        <w:rPr>
          <w:rStyle w:val="FootnoteReference"/>
        </w:rPr>
        <w:footnoteRef/>
      </w:r>
      <w:r>
        <w:t xml:space="preserve"> </w:t>
      </w:r>
      <w:r>
        <w:tab/>
        <w:t>Scottish Qualifications and Credit Framework: &lt;</w:t>
      </w:r>
      <w:hyperlink r:id="rId2" w:history="1">
        <w:r w:rsidRPr="00C77E69">
          <w:rPr>
            <w:rStyle w:val="Hyperlink"/>
            <w:sz w:val="16"/>
          </w:rPr>
          <w:t>http://scqf.org.uk/the-framework/</w:t>
        </w:r>
      </w:hyperlink>
      <w:r>
        <w:t>&gt;.</w:t>
      </w:r>
    </w:p>
  </w:footnote>
  <w:footnote w:id="7">
    <w:p w:rsidR="00DD224E" w:rsidRDefault="00DD224E" w:rsidP="001D0925">
      <w:pPr>
        <w:pStyle w:val="FootnoteText"/>
      </w:pPr>
      <w:r>
        <w:rPr>
          <w:rStyle w:val="FootnoteReference"/>
        </w:rPr>
        <w:footnoteRef/>
      </w:r>
      <w:r>
        <w:t xml:space="preserve"> </w:t>
      </w:r>
      <w:r>
        <w:tab/>
        <w:t>New Zealand Qualifications Authority, viewed April 2014,</w:t>
      </w:r>
      <w:r w:rsidRPr="00BA048A">
        <w:t xml:space="preserve"> </w:t>
      </w:r>
      <w:r>
        <w:t>&lt;</w:t>
      </w:r>
      <w:hyperlink r:id="rId3" w:history="1">
        <w:r w:rsidRPr="00043767">
          <w:rPr>
            <w:rStyle w:val="Hyperlink"/>
            <w:sz w:val="16"/>
          </w:rPr>
          <w:t>http://www.nzqa.govt.nz/studying-in-new-zealand/nzqf/understand-nz-quals/</w:t>
        </w:r>
      </w:hyperlink>
      <w:r>
        <w:t>&gt;; New Zea</w:t>
      </w:r>
      <w:r w:rsidRPr="00B20E4A">
        <w:t>land Qualifications Authority Listing qualifications on the NZQF, viewed April 2014, &lt;</w:t>
      </w:r>
      <w:hyperlink r:id="rId4" w:history="1">
        <w:r w:rsidRPr="00B20E4A">
          <w:rPr>
            <w:rStyle w:val="Hyperlink"/>
            <w:sz w:val="16"/>
          </w:rPr>
          <w:t>http://www.nzqa.govt.nz/studying-in-new-zealand/nzqf/listing-qualifications-on-the-nzqf/</w:t>
        </w:r>
      </w:hyperlink>
      <w:r w:rsidRPr="00B20E4A">
        <w:t>&gt;.</w:t>
      </w:r>
    </w:p>
  </w:footnote>
  <w:footnote w:id="8">
    <w:p w:rsidR="00DD224E" w:rsidRDefault="00DD224E">
      <w:pPr>
        <w:pStyle w:val="FootnoteText"/>
      </w:pPr>
      <w:r>
        <w:rPr>
          <w:rStyle w:val="FootnoteReference"/>
        </w:rPr>
        <w:footnoteRef/>
      </w:r>
      <w:r>
        <w:t xml:space="preserve"> </w:t>
      </w:r>
      <w:r>
        <w:tab/>
        <w:t xml:space="preserve">Singapore Government, Singapore Workforce Development Agency, Learning for Life Advancing </w:t>
      </w:r>
      <w:proofErr w:type="gramStart"/>
      <w:r>
        <w:t>With</w:t>
      </w:r>
      <w:proofErr w:type="gramEnd"/>
      <w:r>
        <w:t xml:space="preserve"> Skills, &lt;http://www.wda.gov.sg/content/wdawebsite/&gt;.</w:t>
      </w:r>
    </w:p>
  </w:footnote>
  <w:footnote w:id="9">
    <w:p w:rsidR="00DD224E" w:rsidRDefault="00DD224E">
      <w:pPr>
        <w:pStyle w:val="FootnoteText"/>
      </w:pPr>
      <w:r>
        <w:rPr>
          <w:rStyle w:val="FootnoteReference"/>
        </w:rPr>
        <w:footnoteRef/>
      </w:r>
      <w:r>
        <w:t xml:space="preserve"> </w:t>
      </w:r>
      <w:r>
        <w:tab/>
        <w:t>Singapore Government, &lt;</w:t>
      </w:r>
      <w:r w:rsidRPr="0018485E">
        <w:t>http://www.wda.gov.sg/content/dam/wda/pdf/L325B/Competency_Standards_for_Training_and_Assessment.pdf</w:t>
      </w:r>
    </w:p>
  </w:footnote>
  <w:footnote w:id="10">
    <w:p w:rsidR="00DD224E" w:rsidRDefault="00DD224E">
      <w:pPr>
        <w:pStyle w:val="FootnoteText"/>
      </w:pPr>
      <w:r>
        <w:rPr>
          <w:rStyle w:val="FootnoteReference"/>
        </w:rPr>
        <w:footnoteRef/>
      </w:r>
      <w:r>
        <w:t xml:space="preserve"> </w:t>
      </w:r>
      <w:r>
        <w:tab/>
        <w:t>&lt;</w:t>
      </w:r>
      <w:r w:rsidRPr="0018485E">
        <w:t>http://www.tda.edu.au/resources/Part-2-Annex-A_WSQ-Level-Descriptors_final.pdf</w:t>
      </w:r>
      <w:r>
        <w:t>&gt;.</w:t>
      </w:r>
    </w:p>
  </w:footnote>
  <w:footnote w:id="11">
    <w:p w:rsidR="00DD224E" w:rsidRDefault="00DD224E" w:rsidP="00A04FAB">
      <w:pPr>
        <w:pStyle w:val="FootnoteText"/>
      </w:pPr>
      <w:r>
        <w:rPr>
          <w:rStyle w:val="FootnoteReference"/>
        </w:rPr>
        <w:footnoteRef/>
      </w:r>
      <w:r>
        <w:t xml:space="preserve"> </w:t>
      </w:r>
      <w:r>
        <w:tab/>
        <w:t xml:space="preserve">The qualifications comprise: certificate I, certificate II, certificate of apprenticeship, certificate of qualification, certificate III, diploma I, diploma II, advanced diploma, post-diploma certificate, baccalaureate/bachelor’s degree, honours, master’s degree, doctoral degree. </w:t>
      </w:r>
      <w:proofErr w:type="gramStart"/>
      <w:r w:rsidRPr="007B00E7">
        <w:t>Ontario Ministry of Training Colleges and Universities, Ontario Qualifications Framework</w:t>
      </w:r>
      <w:r w:rsidRPr="00B20E4A">
        <w:t>, viewed April 2014</w:t>
      </w:r>
      <w:r w:rsidRPr="007B00E7">
        <w:t>, &lt;http://www.tcu.gov.on.ca/eng/general/postsec/oqf.pdf&gt;</w:t>
      </w:r>
      <w:r>
        <w:t>.</w:t>
      </w:r>
      <w:proofErr w:type="gramEnd"/>
    </w:p>
  </w:footnote>
  <w:footnote w:id="12">
    <w:p w:rsidR="00DD224E" w:rsidRDefault="00DD224E" w:rsidP="00D11C4B">
      <w:pPr>
        <w:pStyle w:val="FootnoteText"/>
      </w:pPr>
      <w:r>
        <w:rPr>
          <w:rStyle w:val="FootnoteReference"/>
        </w:rPr>
        <w:footnoteRef/>
      </w:r>
      <w:r>
        <w:t xml:space="preserve"> </w:t>
      </w:r>
      <w:r>
        <w:tab/>
        <w:t xml:space="preserve">The Bruges Communiqué sets out the vision for enhanced European cooperation for 2010—20. It was signed in Bruges at the meeting of </w:t>
      </w:r>
      <w:r w:rsidRPr="00025324">
        <w:t xml:space="preserve">European ministers for vocational education and training, European social partners </w:t>
      </w:r>
      <w:r>
        <w:t>and</w:t>
      </w:r>
      <w:r w:rsidRPr="00025324">
        <w:t xml:space="preserve"> European Commission</w:t>
      </w:r>
      <w:r>
        <w:t xml:space="preserve"> in 2010.</w:t>
      </w:r>
    </w:p>
  </w:footnote>
  <w:footnote w:id="13">
    <w:p w:rsidR="00DD224E" w:rsidRPr="009A4D50" w:rsidRDefault="00DD224E" w:rsidP="009A4D50">
      <w:pPr>
        <w:pStyle w:val="References"/>
      </w:pPr>
      <w:r>
        <w:rPr>
          <w:rStyle w:val="FootnoteReference"/>
        </w:rPr>
        <w:footnoteRef/>
      </w:r>
      <w:r>
        <w:t xml:space="preserve"> </w:t>
      </w:r>
      <w:r>
        <w:rPr>
          <w:rStyle w:val="FootnoteTextChar"/>
        </w:rPr>
        <w:tab/>
      </w:r>
      <w:r w:rsidRPr="00FC7A19">
        <w:rPr>
          <w:rStyle w:val="FootnoteTextChar"/>
        </w:rPr>
        <w:t>Scottish Qualifications Authority website: How we accredit qualifications and associated pages, &lt;</w:t>
      </w:r>
      <w:hyperlink r:id="rId5" w:history="1">
        <w:r w:rsidRPr="00FC7A19">
          <w:rPr>
            <w:rStyle w:val="FootnoteTextChar"/>
          </w:rPr>
          <w:t>www.sqa.org.uk/</w:t>
        </w:r>
      </w:hyperlink>
      <w:r w:rsidRPr="00FC7A19">
        <w:rPr>
          <w:rStyle w:val="FootnoteTextChar"/>
        </w:rPr>
        <w:t>&gt;; Scottish Qualifications Authority (SQA) Criteria for Accredited Qualifications and Guidance for Accreditation Submissions, &lt;www.sqa.org.uk/&gt;, viewed May 2014.</w:t>
      </w:r>
    </w:p>
  </w:footnote>
  <w:footnote w:id="14">
    <w:p w:rsidR="00DD224E" w:rsidRDefault="00DD224E" w:rsidP="00FC7A19">
      <w:pPr>
        <w:pStyle w:val="FootnoteText"/>
        <w:ind w:left="284" w:hanging="284"/>
      </w:pPr>
      <w:r>
        <w:rPr>
          <w:rStyle w:val="FootnoteReference"/>
        </w:rPr>
        <w:footnoteRef/>
      </w:r>
      <w:r>
        <w:t xml:space="preserve"> </w:t>
      </w:r>
      <w:r>
        <w:tab/>
        <w:t>C</w:t>
      </w:r>
      <w:r w:rsidRPr="00AC7CA5">
        <w:t>riteria include requirements applying to vocational qualifications (SVQs/SVQ u</w:t>
      </w:r>
      <w:r>
        <w:t>nits), regulatory qualifications</w:t>
      </w:r>
      <w:r w:rsidRPr="00AC7CA5">
        <w:t xml:space="preserve"> and other qualifications)</w:t>
      </w:r>
      <w:r>
        <w:t xml:space="preserve">. </w:t>
      </w:r>
    </w:p>
  </w:footnote>
  <w:footnote w:id="15">
    <w:p w:rsidR="00DD224E" w:rsidRDefault="00DD224E">
      <w:pPr>
        <w:pStyle w:val="FootnoteText"/>
      </w:pPr>
      <w:r>
        <w:rPr>
          <w:rStyle w:val="FootnoteReference"/>
        </w:rPr>
        <w:footnoteRef/>
      </w:r>
      <w:r>
        <w:t xml:space="preserve"> </w:t>
      </w:r>
      <w:r>
        <w:tab/>
        <w:t>Information provided by a research fellow from the Korea Research Institute for Vocational Education and Training (KRIVET).</w:t>
      </w:r>
    </w:p>
  </w:footnote>
  <w:footnote w:id="16">
    <w:p w:rsidR="00DD224E" w:rsidRDefault="00DD224E">
      <w:pPr>
        <w:pStyle w:val="FootnoteText"/>
      </w:pPr>
      <w:r>
        <w:rPr>
          <w:rStyle w:val="FootnoteReference"/>
        </w:rPr>
        <w:footnoteRef/>
      </w:r>
      <w:r>
        <w:t xml:space="preserve"> </w:t>
      </w:r>
      <w:r>
        <w:tab/>
        <w:t>Ontario Government: What does a program standard contain, &lt;</w:t>
      </w:r>
      <w:hyperlink r:id="rId6" w:history="1">
        <w:r w:rsidRPr="009A536C">
          <w:rPr>
            <w:rStyle w:val="Hyperlink"/>
            <w:sz w:val="16"/>
          </w:rPr>
          <w:t>http://www.tcu.gov.on.ca/pepg/audiences/colleges/progstan/contain.html</w:t>
        </w:r>
      </w:hyperlink>
      <w:r>
        <w:t>&gt;; Culinary Program Standard, Chef Training, Culinary Management, &lt;http://www.tcu.gov.on.ca/pepg/audiences/colleges/progstan/hosptour/culinary.html&gt;.</w:t>
      </w:r>
    </w:p>
  </w:footnote>
  <w:footnote w:id="17">
    <w:p w:rsidR="00DD224E" w:rsidRDefault="00DD224E">
      <w:pPr>
        <w:pStyle w:val="FootnoteText"/>
      </w:pPr>
      <w:r>
        <w:rPr>
          <w:rStyle w:val="FootnoteReference"/>
        </w:rPr>
        <w:footnoteRef/>
      </w:r>
      <w:r>
        <w:t xml:space="preserve"> </w:t>
      </w:r>
      <w:r>
        <w:tab/>
        <w:t>Ontario College Quality assurance Service: &lt;</w:t>
      </w:r>
      <w:hyperlink r:id="rId7" w:history="1">
        <w:r w:rsidRPr="009A536C">
          <w:rPr>
            <w:rStyle w:val="Hyperlink"/>
            <w:sz w:val="16"/>
          </w:rPr>
          <w:t>http://www.ocqas.org.org/en/?page_id=4179</w:t>
        </w:r>
      </w:hyperlink>
      <w:r>
        <w:t xml:space="preserve">&gt;. </w:t>
      </w:r>
    </w:p>
  </w:footnote>
  <w:footnote w:id="18">
    <w:p w:rsidR="00DD224E" w:rsidRDefault="00DD224E">
      <w:pPr>
        <w:pStyle w:val="FootnoteText"/>
      </w:pPr>
      <w:r>
        <w:rPr>
          <w:rStyle w:val="FootnoteReference"/>
        </w:rPr>
        <w:footnoteRef/>
      </w:r>
      <w:r>
        <w:t xml:space="preserve"> </w:t>
      </w:r>
      <w:r>
        <w:tab/>
        <w:t>Scottish Qualifications Authority: &lt;</w:t>
      </w:r>
      <w:r w:rsidRPr="002E7CCC">
        <w:t>http://www.sqa.org.uk/sqa/files_ccc/Zero%20Uptake%20Policy%20v%202.pdf</w:t>
      </w:r>
      <w:r>
        <w:t>&gt;.</w:t>
      </w:r>
    </w:p>
  </w:footnote>
  <w:footnote w:id="19">
    <w:p w:rsidR="00DD224E" w:rsidRDefault="00DD224E" w:rsidP="008D6AAF">
      <w:pPr>
        <w:pStyle w:val="FootnoteText"/>
      </w:pPr>
      <w:r>
        <w:rPr>
          <w:rStyle w:val="FootnoteReference"/>
        </w:rPr>
        <w:footnoteRef/>
      </w:r>
      <w:r>
        <w:t xml:space="preserve"> </w:t>
      </w:r>
      <w:r>
        <w:tab/>
      </w:r>
      <w:r w:rsidRPr="00163629">
        <w:t>New Zealand Qualifications Auth</w:t>
      </w:r>
      <w:r>
        <w:t>ority, Review of qualifications:</w:t>
      </w:r>
      <w:r w:rsidRPr="00163629">
        <w:t xml:space="preserve"> </w:t>
      </w:r>
      <w:r>
        <w:t>&lt;</w:t>
      </w:r>
      <w:hyperlink r:id="rId8" w:history="1">
        <w:r w:rsidRPr="00163629">
          <w:rPr>
            <w:rStyle w:val="Hyperlink"/>
            <w:sz w:val="16"/>
          </w:rPr>
          <w:t>http://www.nzqa.govt.nz/studying-in-new-zealand/nzqf/reviews-of-qualifications/</w:t>
        </w:r>
      </w:hyperlink>
      <w:r>
        <w:t>&gt;.</w:t>
      </w:r>
    </w:p>
  </w:footnote>
  <w:footnote w:id="20">
    <w:p w:rsidR="00DD224E" w:rsidRDefault="00DD224E">
      <w:pPr>
        <w:pStyle w:val="FootnoteText"/>
      </w:pPr>
      <w:r>
        <w:rPr>
          <w:rStyle w:val="FootnoteReference"/>
        </w:rPr>
        <w:footnoteRef/>
      </w:r>
      <w:r>
        <w:t xml:space="preserve"> </w:t>
      </w:r>
      <w:r>
        <w:tab/>
        <w:t>Scottish Qualifications Authority zero uptake policy: &lt;</w:t>
      </w:r>
      <w:r w:rsidRPr="00062504">
        <w:t>http://www.sqa.org.uk/sqa/files_ccc/Zero%20Uptake%20Policy%20v%202.pdf</w:t>
      </w:r>
      <w:r>
        <w:t>&gt;.</w:t>
      </w:r>
    </w:p>
  </w:footnote>
  <w:footnote w:id="21">
    <w:p w:rsidR="00DD224E" w:rsidRDefault="00DD224E" w:rsidP="001D0925">
      <w:pPr>
        <w:pStyle w:val="FootnoteText"/>
      </w:pPr>
      <w:r>
        <w:rPr>
          <w:rStyle w:val="FootnoteReference"/>
        </w:rPr>
        <w:footnoteRef/>
      </w:r>
      <w:r>
        <w:t xml:space="preserve"> </w:t>
      </w:r>
      <w:r>
        <w:tab/>
      </w:r>
      <w:r w:rsidRPr="001D0925">
        <w:rPr>
          <w:rStyle w:val="Hyperlink"/>
          <w:sz w:val="16"/>
        </w:rPr>
        <w:t xml:space="preserve">New Zealand Qualifications Authority, Review of qualifications, </w:t>
      </w:r>
      <w:r w:rsidRPr="008D6AAF">
        <w:rPr>
          <w:rStyle w:val="Hyperlink"/>
          <w:sz w:val="16"/>
        </w:rPr>
        <w:t>viewed April 2014</w:t>
      </w:r>
      <w:r>
        <w:rPr>
          <w:rStyle w:val="Hyperlink"/>
          <w:sz w:val="16"/>
        </w:rPr>
        <w:t xml:space="preserve">, </w:t>
      </w:r>
      <w:r w:rsidRPr="001D0925">
        <w:rPr>
          <w:rStyle w:val="Hyperlink"/>
          <w:sz w:val="16"/>
        </w:rPr>
        <w:t>&lt;http://www.nzqa.govt.nz/studying-in-new-zealand/nzqf/reviews-of-qualifications/&gt;</w:t>
      </w:r>
      <w:r>
        <w:rPr>
          <w:rStyle w:val="Hyperlink"/>
          <w:sz w:val="16"/>
        </w:rPr>
        <w:t xml:space="preserve">; </w:t>
      </w:r>
      <w:r w:rsidRPr="001D0925">
        <w:rPr>
          <w:rStyle w:val="Hyperlink"/>
          <w:sz w:val="16"/>
        </w:rPr>
        <w:t xml:space="preserve">New Zealand Qualifications Authority </w:t>
      </w:r>
      <w:proofErr w:type="spellStart"/>
      <w:r w:rsidRPr="001D0925">
        <w:rPr>
          <w:rStyle w:val="Hyperlink"/>
          <w:sz w:val="16"/>
        </w:rPr>
        <w:t>Targetted</w:t>
      </w:r>
      <w:proofErr w:type="spellEnd"/>
      <w:r w:rsidRPr="001D0925">
        <w:rPr>
          <w:rStyle w:val="Hyperlink"/>
          <w:sz w:val="16"/>
        </w:rPr>
        <w:t xml:space="preserve"> review of qualifications,</w:t>
      </w:r>
      <w:r>
        <w:rPr>
          <w:rStyle w:val="Hyperlink"/>
          <w:sz w:val="16"/>
        </w:rPr>
        <w:t xml:space="preserve"> </w:t>
      </w:r>
      <w:r w:rsidRPr="008D6AAF">
        <w:rPr>
          <w:rStyle w:val="Hyperlink"/>
          <w:sz w:val="16"/>
        </w:rPr>
        <w:t>viewed April 2014</w:t>
      </w:r>
      <w:r>
        <w:rPr>
          <w:rStyle w:val="Hyperlink"/>
          <w:sz w:val="16"/>
        </w:rPr>
        <w:t>,</w:t>
      </w:r>
      <w:r w:rsidRPr="001D0925">
        <w:rPr>
          <w:rStyle w:val="Hyperlink"/>
          <w:sz w:val="16"/>
        </w:rPr>
        <w:t xml:space="preserve"> </w:t>
      </w:r>
      <w:r>
        <w:rPr>
          <w:rStyle w:val="Hyperlink"/>
          <w:sz w:val="16"/>
        </w:rPr>
        <w:t>&lt;</w:t>
      </w:r>
      <w:hyperlink r:id="rId9" w:history="1">
        <w:r w:rsidRPr="00043767">
          <w:rPr>
            <w:rStyle w:val="Hyperlink"/>
            <w:sz w:val="16"/>
          </w:rPr>
          <w:t>http://www.nzqa.govt.nz/studying-in-new-zealand/nzqf/targeted-review-of-qualifications/</w:t>
        </w:r>
      </w:hyperlink>
      <w:r>
        <w:rPr>
          <w:rStyle w:val="Hyperlink"/>
          <w:sz w:val="16"/>
        </w:rPr>
        <w:t xml:space="preserve">&gt;; </w:t>
      </w:r>
      <w:r w:rsidRPr="001D0925">
        <w:rPr>
          <w:rStyle w:val="Hyperlink"/>
          <w:sz w:val="16"/>
        </w:rPr>
        <w:t>New Zealand Qualifications Authority Qualifications review schedules,</w:t>
      </w:r>
      <w:r w:rsidRPr="008D6AAF">
        <w:rPr>
          <w:rStyle w:val="Hyperlink"/>
          <w:sz w:val="16"/>
        </w:rPr>
        <w:t xml:space="preserve"> </w:t>
      </w:r>
      <w:r w:rsidRPr="001D0925">
        <w:rPr>
          <w:rStyle w:val="Hyperlink"/>
          <w:sz w:val="16"/>
        </w:rPr>
        <w:t>viewed April 2014</w:t>
      </w:r>
      <w:r>
        <w:rPr>
          <w:rStyle w:val="Hyperlink"/>
          <w:sz w:val="16"/>
        </w:rPr>
        <w:t>, &lt;</w:t>
      </w:r>
      <w:hyperlink r:id="rId10" w:history="1">
        <w:r w:rsidRPr="00043767">
          <w:rPr>
            <w:rStyle w:val="Hyperlink"/>
            <w:sz w:val="16"/>
          </w:rPr>
          <w:t>http://www.nzqa.govt.nz/studying-in-new-zealand/nzqf/reviews-of-qualifications/schedule/</w:t>
        </w:r>
      </w:hyperlink>
      <w:r>
        <w:rPr>
          <w:rStyle w:val="Hyperlink"/>
          <w:sz w:val="16"/>
        </w:rPr>
        <w:t>&gt;.</w:t>
      </w:r>
      <w:r w:rsidRPr="001D0925">
        <w:rPr>
          <w:rStyle w:val="Hyperlink"/>
          <w:sz w:val="16"/>
        </w:rPr>
        <w:t xml:space="preserve"> </w:t>
      </w:r>
    </w:p>
  </w:footnote>
  <w:footnote w:id="22">
    <w:p w:rsidR="00DD224E" w:rsidRDefault="00DD224E" w:rsidP="002F086C">
      <w:pPr>
        <w:pStyle w:val="FootnoteText"/>
      </w:pPr>
      <w:r>
        <w:rPr>
          <w:rStyle w:val="FootnoteReference"/>
        </w:rPr>
        <w:footnoteRef/>
      </w:r>
      <w:r>
        <w:tab/>
        <w:t>Qualification developers that are automatically approved are</w:t>
      </w:r>
      <w:r w:rsidRPr="009647AD">
        <w:t xml:space="preserve"> industry training organisations, institutes of technology and polytechnics, private training establishments, </w:t>
      </w:r>
      <w:proofErr w:type="spellStart"/>
      <w:r w:rsidRPr="005E3F18">
        <w:t>wananga</w:t>
      </w:r>
      <w:proofErr w:type="spellEnd"/>
      <w:r>
        <w:t xml:space="preserve"> (</w:t>
      </w:r>
      <w:r w:rsidRPr="00EB051E">
        <w:t>a publicly owned tertiary institution that provides education in a Maori cultural context</w:t>
      </w:r>
      <w:r>
        <w:t>)</w:t>
      </w:r>
      <w:r w:rsidRPr="009647AD">
        <w:t>, government training enterprises, universities, current course owners</w:t>
      </w:r>
      <w:r>
        <w:t xml:space="preserve">. Other organisations are also eligible to become qualification developers if approved by the NZQA. </w:t>
      </w:r>
    </w:p>
  </w:footnote>
  <w:footnote w:id="23">
    <w:p w:rsidR="00DD224E" w:rsidRDefault="00DD224E">
      <w:pPr>
        <w:pStyle w:val="FootnoteText"/>
      </w:pPr>
      <w:r>
        <w:rPr>
          <w:rStyle w:val="FootnoteReference"/>
        </w:rPr>
        <w:footnoteRef/>
      </w:r>
      <w:r>
        <w:t xml:space="preserve"> </w:t>
      </w:r>
      <w:r>
        <w:tab/>
        <w:t>United Kingdom Department for Education and S</w:t>
      </w:r>
      <w:r w:rsidRPr="00797632">
        <w:t>kills 2007, UKVQRP e-news, Issue 1, viewed May 2014</w:t>
      </w:r>
      <w:r>
        <w:t>, &lt;</w:t>
      </w:r>
      <w:hyperlink r:id="rId11" w:history="1">
        <w:r w:rsidRPr="00893F05">
          <w:rPr>
            <w:rStyle w:val="Hyperlink"/>
            <w:sz w:val="16"/>
          </w:rPr>
          <w:t>http://www.britishhallmarkingcouncil.gov.uk/assets/biscore/corporate/migratedd/publications/u/ukvqrpenewsletterapril07.pdf</w:t>
        </w:r>
      </w:hyperlink>
      <w:r>
        <w:rPr>
          <w:rStyle w:val="Hyperlink"/>
          <w:sz w:val="16"/>
        </w:rPr>
        <w:t>&gt;</w:t>
      </w:r>
      <w:r>
        <w:t xml:space="preserve">; </w:t>
      </w:r>
      <w:r w:rsidRPr="00DB167B">
        <w:t xml:space="preserve">Scottish Qualifications Authority (SQA), Vocational Qualifications Reform Program, </w:t>
      </w:r>
      <w:r w:rsidRPr="009203AE">
        <w:t>viewed May 2014</w:t>
      </w:r>
      <w:r>
        <w:t xml:space="preserve">, </w:t>
      </w:r>
      <w:r w:rsidRPr="00B20E4A">
        <w:t>&lt;</w:t>
      </w:r>
      <w:hyperlink r:id="rId12" w:history="1">
        <w:r w:rsidRPr="00B20E4A">
          <w:rPr>
            <w:rStyle w:val="Hyperlink"/>
            <w:sz w:val="16"/>
          </w:rPr>
          <w:t>http://www.sqa.org.uk/sqa/14205.html</w:t>
        </w:r>
      </w:hyperlink>
      <w:r>
        <w:rPr>
          <w:rStyle w:val="Hyperlink"/>
          <w:sz w:val="16"/>
        </w:rPr>
        <w:t>&gt;</w:t>
      </w:r>
      <w:r>
        <w:t>.</w:t>
      </w:r>
      <w:r w:rsidRPr="00DB167B">
        <w:t xml:space="preserve"> </w:t>
      </w:r>
    </w:p>
  </w:footnote>
  <w:footnote w:id="24">
    <w:p w:rsidR="00DD224E" w:rsidRDefault="00DD224E" w:rsidP="008E0FBB">
      <w:pPr>
        <w:pStyle w:val="FootnoteText"/>
      </w:pPr>
      <w:r>
        <w:rPr>
          <w:rStyle w:val="FootnoteReference"/>
        </w:rPr>
        <w:footnoteRef/>
      </w:r>
      <w:r>
        <w:tab/>
      </w:r>
      <w:r w:rsidRPr="009203AE">
        <w:t xml:space="preserve">Information provided by </w:t>
      </w:r>
      <w:r>
        <w:t xml:space="preserve">a </w:t>
      </w:r>
      <w:r w:rsidRPr="009203AE">
        <w:t>research fellow from Korea Research Institute for Vocational Education and Training (KRIVET).</w:t>
      </w:r>
    </w:p>
  </w:footnote>
  <w:footnote w:id="25">
    <w:p w:rsidR="00DD224E" w:rsidRDefault="00DD224E" w:rsidP="008E0FBB">
      <w:pPr>
        <w:pStyle w:val="FootnoteText"/>
      </w:pPr>
      <w:r>
        <w:rPr>
          <w:rStyle w:val="FootnoteReference"/>
        </w:rPr>
        <w:footnoteRef/>
      </w:r>
      <w:r>
        <w:tab/>
        <w:t>The ACCSC is the accrediting body for private degree-granting and non-degree-granting post-secondary institutions offering career-related programs in the United States &lt;http://</w:t>
      </w:r>
      <w:r w:rsidRPr="009C4821">
        <w:t>www.</w:t>
      </w:r>
      <w:r w:rsidRPr="009C4821">
        <w:rPr>
          <w:b/>
          <w:bCs/>
        </w:rPr>
        <w:t>accsc</w:t>
      </w:r>
      <w:r w:rsidRPr="009C4821">
        <w:t>.org/ www.</w:t>
      </w:r>
      <w:r w:rsidRPr="009C4821">
        <w:rPr>
          <w:b/>
          <w:bCs/>
        </w:rPr>
        <w:t>accsc</w:t>
      </w:r>
      <w:r w:rsidRPr="009C4821">
        <w:t>.org/</w:t>
      </w:r>
      <w:r>
        <w:t>&gt;.</w:t>
      </w:r>
    </w:p>
  </w:footnote>
  <w:footnote w:id="26">
    <w:p w:rsidR="00DD224E" w:rsidRDefault="00DD224E" w:rsidP="00555AF2">
      <w:pPr>
        <w:pStyle w:val="FootnoteText"/>
      </w:pPr>
      <w:r>
        <w:rPr>
          <w:rStyle w:val="FootnoteReference"/>
        </w:rPr>
        <w:footnoteRef/>
      </w:r>
      <w:r>
        <w:tab/>
        <w:t xml:space="preserve">COE is </w:t>
      </w:r>
      <w:r w:rsidRPr="00EC1A52">
        <w:t>a nationally recognised accrediting agenc</w:t>
      </w:r>
      <w:r>
        <w:t>y for post-secondary non-degree-</w:t>
      </w:r>
      <w:r w:rsidRPr="00EC1A52">
        <w:t>granting and applied associate degree-granting institutions del</w:t>
      </w:r>
      <w:r>
        <w:t xml:space="preserve">ivering occupational education, which </w:t>
      </w:r>
      <w:r w:rsidRPr="00EC1A52">
        <w:t>also covers career and technical education (that is, VET)</w:t>
      </w:r>
      <w:r>
        <w:t xml:space="preserve"> &lt;</w:t>
      </w:r>
      <w:r w:rsidRPr="002F74EF">
        <w:t>http://www.council.org/manuals/</w:t>
      </w:r>
      <w:r>
        <w:t>&gt;.</w:t>
      </w:r>
    </w:p>
  </w:footnote>
  <w:footnote w:id="27">
    <w:p w:rsidR="00DD224E" w:rsidRDefault="00DD224E" w:rsidP="00555AF2">
      <w:pPr>
        <w:pStyle w:val="FootnoteText"/>
      </w:pPr>
      <w:r>
        <w:rPr>
          <w:rStyle w:val="FootnoteReference"/>
        </w:rPr>
        <w:footnoteRef/>
      </w:r>
      <w:r>
        <w:tab/>
        <w:t xml:space="preserve">Distance education requires </w:t>
      </w:r>
      <w:r w:rsidRPr="00210EEB">
        <w:t xml:space="preserve">separate regulatory requirements, including mission, programs, </w:t>
      </w:r>
      <w:proofErr w:type="gramStart"/>
      <w:r w:rsidRPr="00210EEB">
        <w:t>program</w:t>
      </w:r>
      <w:proofErr w:type="gramEnd"/>
      <w:r w:rsidRPr="00210EEB">
        <w:t xml:space="preserve"> outcomes, learning resources, technical and physical resources, financial resources, human resources, student services, student identity and privacy).</w:t>
      </w:r>
      <w:r>
        <w:t xml:space="preserve"> </w:t>
      </w:r>
    </w:p>
  </w:footnote>
  <w:footnote w:id="28">
    <w:p w:rsidR="00DD224E" w:rsidRDefault="00DD224E" w:rsidP="002679A6">
      <w:pPr>
        <w:pStyle w:val="FootnoteText"/>
      </w:pPr>
      <w:r>
        <w:rPr>
          <w:rStyle w:val="FootnoteReference"/>
        </w:rPr>
        <w:footnoteRef/>
      </w:r>
      <w:r>
        <w:t xml:space="preserve"> </w:t>
      </w:r>
      <w:r>
        <w:tab/>
      </w:r>
      <w:r>
        <w:rPr>
          <w:rFonts w:cs="Courier New"/>
        </w:rPr>
        <w:t>The function of FETAC is to negotiate with providers the approaches they will take to quality-assure their programs, validate programs, recognise awards, and monitor and review the effectiveness of implementation. Although providers are responsible for establishing the arrangements for quality assurance, they need to meet specific FETAC criteria.</w:t>
      </w:r>
    </w:p>
  </w:footnote>
  <w:footnote w:id="29">
    <w:p w:rsidR="00DD224E" w:rsidRDefault="00DD224E" w:rsidP="0074115D">
      <w:pPr>
        <w:pStyle w:val="FootnoteText"/>
      </w:pPr>
      <w:r>
        <w:rPr>
          <w:rStyle w:val="FootnoteReference"/>
        </w:rPr>
        <w:footnoteRef/>
      </w:r>
      <w:r>
        <w:tab/>
        <w:t>T</w:t>
      </w:r>
      <w:r w:rsidRPr="0074115D">
        <w:t>he main approach to continuing training is for employers and training providers to collaborate in the development of program content so that it is customised to local conditions and requirements.</w:t>
      </w:r>
      <w:r>
        <w:t xml:space="preserve"> </w:t>
      </w:r>
    </w:p>
  </w:footnote>
  <w:footnote w:id="30">
    <w:p w:rsidR="00DD224E" w:rsidRDefault="00DD224E" w:rsidP="00823D61">
      <w:pPr>
        <w:pStyle w:val="FootnoteText"/>
      </w:pPr>
      <w:r>
        <w:rPr>
          <w:rStyle w:val="FootnoteReference"/>
        </w:rPr>
        <w:footnoteRef/>
      </w:r>
      <w:r>
        <w:t xml:space="preserve"> </w:t>
      </w:r>
      <w:r>
        <w:tab/>
        <w:t xml:space="preserve">Public training providers have public reporting requirements and are deemed to be accredited. </w:t>
      </w:r>
    </w:p>
  </w:footnote>
  <w:footnote w:id="31">
    <w:p w:rsidR="00DD224E" w:rsidRDefault="00DD224E">
      <w:pPr>
        <w:pStyle w:val="FootnoteText"/>
      </w:pPr>
      <w:r>
        <w:rPr>
          <w:rStyle w:val="FootnoteReference"/>
        </w:rPr>
        <w:footnoteRef/>
      </w:r>
      <w:r>
        <w:t xml:space="preserve"> </w:t>
      </w:r>
      <w:r>
        <w:tab/>
      </w:r>
      <w:r w:rsidRPr="002F74EF">
        <w:t>The New Zealand Qualifications Authority</w:t>
      </w:r>
      <w:r>
        <w:t>: &lt;http://www.nzqa.govt.nz/&gt;.</w:t>
      </w:r>
    </w:p>
  </w:footnote>
  <w:footnote w:id="32">
    <w:p w:rsidR="00DD224E" w:rsidRDefault="00DD224E" w:rsidP="00555AF2">
      <w:pPr>
        <w:pStyle w:val="FootnoteText"/>
      </w:pPr>
      <w:r>
        <w:rPr>
          <w:rStyle w:val="FootnoteReference"/>
        </w:rPr>
        <w:footnoteRef/>
      </w:r>
      <w:r>
        <w:t xml:space="preserve"> </w:t>
      </w:r>
      <w:r>
        <w:tab/>
        <w:t>&lt;</w:t>
      </w:r>
      <w:hyperlink r:id="rId13" w:history="1">
        <w:r w:rsidRPr="009A536C">
          <w:rPr>
            <w:rStyle w:val="Hyperlink"/>
            <w:sz w:val="16"/>
          </w:rPr>
          <w:t>http://www.ocqas.org/en/wp-content/uploads/2013/10/Orientation-Manual1.pdf</w:t>
        </w:r>
      </w:hyperlink>
      <w:r>
        <w:t>&gt;.</w:t>
      </w:r>
    </w:p>
  </w:footnote>
  <w:footnote w:id="33">
    <w:p w:rsidR="00DD224E" w:rsidRDefault="00DD224E">
      <w:pPr>
        <w:pStyle w:val="FootnoteText"/>
      </w:pPr>
      <w:r>
        <w:rPr>
          <w:rStyle w:val="FootnoteReference"/>
        </w:rPr>
        <w:footnoteRef/>
      </w:r>
      <w:r>
        <w:t xml:space="preserve"> </w:t>
      </w:r>
      <w:r>
        <w:tab/>
        <w:t>&lt;http://www.ocqas.org/en/?p=5014&gt;.</w:t>
      </w:r>
    </w:p>
  </w:footnote>
  <w:footnote w:id="34">
    <w:p w:rsidR="00DD224E" w:rsidRDefault="00DD224E" w:rsidP="009203AE">
      <w:pPr>
        <w:pStyle w:val="FootnoteText"/>
      </w:pPr>
      <w:r>
        <w:rPr>
          <w:rStyle w:val="FootnoteReference"/>
        </w:rPr>
        <w:footnoteRef/>
      </w:r>
      <w:r w:rsidRPr="0067755B">
        <w:t xml:space="preserve"> </w:t>
      </w:r>
      <w:r>
        <w:tab/>
        <w:t>&lt;http://www.fldoe.org/workforce/compliance.asp&gt;.</w:t>
      </w:r>
    </w:p>
  </w:footnote>
  <w:footnote w:id="35">
    <w:p w:rsidR="00DD224E" w:rsidRDefault="00DD224E" w:rsidP="008E41E3">
      <w:pPr>
        <w:pStyle w:val="FootnoteText"/>
      </w:pPr>
      <w:r>
        <w:rPr>
          <w:rStyle w:val="FootnoteReference"/>
        </w:rPr>
        <w:footnoteRef/>
      </w:r>
      <w:r>
        <w:t xml:space="preserve"> </w:t>
      </w:r>
      <w:r>
        <w:tab/>
      </w:r>
      <w:r w:rsidRPr="00EB051E">
        <w:t xml:space="preserve">The NZQA has primary responsibility for the quality assurance of tertiary education organisations (including polytechnics, </w:t>
      </w:r>
      <w:proofErr w:type="spellStart"/>
      <w:r w:rsidRPr="008A7408">
        <w:t>wananga</w:t>
      </w:r>
      <w:proofErr w:type="spellEnd"/>
      <w:r w:rsidRPr="00EB051E">
        <w:t>, government and private training establishments.</w:t>
      </w:r>
      <w:r>
        <w:t xml:space="preserve"> </w:t>
      </w:r>
    </w:p>
  </w:footnote>
  <w:footnote w:id="36">
    <w:p w:rsidR="00DD224E" w:rsidRDefault="00DD224E">
      <w:pPr>
        <w:pStyle w:val="FootnoteText"/>
      </w:pPr>
      <w:r>
        <w:rPr>
          <w:rStyle w:val="FootnoteReference"/>
        </w:rPr>
        <w:footnoteRef/>
      </w:r>
      <w:r>
        <w:t xml:space="preserve"> </w:t>
      </w:r>
      <w:r>
        <w:tab/>
        <w:t>Other tertiary education organisations are automatically accredited because they have mandatory public reporting responsibilities.</w:t>
      </w:r>
    </w:p>
  </w:footnote>
  <w:footnote w:id="37">
    <w:p w:rsidR="00DD224E" w:rsidRDefault="00DD224E">
      <w:pPr>
        <w:pStyle w:val="FootnoteText"/>
      </w:pPr>
      <w:r>
        <w:rPr>
          <w:rStyle w:val="FootnoteReference"/>
        </w:rPr>
        <w:footnoteRef/>
      </w:r>
      <w:r>
        <w:t xml:space="preserve"> </w:t>
      </w:r>
      <w:r>
        <w:tab/>
        <w:t>&lt;</w:t>
      </w:r>
      <w:r w:rsidRPr="009C4821">
        <w:t>http://www.oph.fi/download/148963_Quality_assurance_in_vocational_education_and_training_in_Finland.pdf</w:t>
      </w:r>
      <w:r>
        <w:t>&gt;.</w:t>
      </w:r>
    </w:p>
  </w:footnote>
  <w:footnote w:id="38">
    <w:p w:rsidR="00DD224E" w:rsidRDefault="00DD224E" w:rsidP="00CC7D90">
      <w:pPr>
        <w:pStyle w:val="FootnoteText"/>
      </w:pPr>
      <w:r>
        <w:rPr>
          <w:rStyle w:val="FootnoteReference"/>
        </w:rPr>
        <w:footnoteRef/>
      </w:r>
      <w:r>
        <w:t xml:space="preserve"> </w:t>
      </w:r>
      <w:r>
        <w:tab/>
      </w:r>
      <w:proofErr w:type="gramStart"/>
      <w:r w:rsidRPr="00D104F5">
        <w:t>Scottish Qualification</w:t>
      </w:r>
      <w:r>
        <w:t>s</w:t>
      </w:r>
      <w:r w:rsidRPr="00D104F5">
        <w:t xml:space="preserve"> Authority </w:t>
      </w:r>
      <w:r>
        <w:t>(</w:t>
      </w:r>
      <w:r w:rsidRPr="00D104F5">
        <w:t>SQA</w:t>
      </w:r>
      <w:r>
        <w:t>)</w:t>
      </w:r>
      <w:r w:rsidRPr="00D104F5">
        <w:t xml:space="preserve"> Criteria for Accredited Qualifications and Guidance for Accreditation Submissions</w:t>
      </w:r>
      <w:r>
        <w:t>, viewed May 2014, &lt;</w:t>
      </w:r>
      <w:hyperlink r:id="rId14" w:history="1">
        <w:r w:rsidRPr="000628C1">
          <w:t>www.sqa.org.uk</w:t>
        </w:r>
        <w:r w:rsidRPr="00235A80">
          <w:rPr>
            <w:rStyle w:val="Hyperlink"/>
            <w:rFonts w:ascii="Arial" w:hAnsi="Arial" w:cs="Arial"/>
            <w:sz w:val="21"/>
            <w:szCs w:val="21"/>
          </w:rPr>
          <w:t>/</w:t>
        </w:r>
      </w:hyperlink>
      <w:r>
        <w:t>&gt;.</w:t>
      </w:r>
      <w:proofErr w:type="gramEnd"/>
    </w:p>
  </w:footnote>
  <w:footnote w:id="39">
    <w:p w:rsidR="00DD224E" w:rsidRDefault="00DD224E" w:rsidP="00F8264A">
      <w:pPr>
        <w:pStyle w:val="FootnoteText"/>
      </w:pPr>
      <w:r>
        <w:rPr>
          <w:rStyle w:val="FootnoteReference"/>
        </w:rPr>
        <w:footnoteRef/>
      </w:r>
      <w:r>
        <w:t xml:space="preserve"> </w:t>
      </w:r>
      <w:r>
        <w:tab/>
        <w:t>&lt;</w:t>
      </w:r>
      <w:r w:rsidRPr="009C4821">
        <w:t>www.</w:t>
      </w:r>
      <w:r>
        <w:t>http://</w:t>
      </w:r>
      <w:r w:rsidRPr="009C4821">
        <w:rPr>
          <w:b/>
          <w:bCs/>
        </w:rPr>
        <w:t>accsc</w:t>
      </w:r>
      <w:r w:rsidRPr="009C4821">
        <w:t>.org/ www.</w:t>
      </w:r>
      <w:r w:rsidRPr="009C4821">
        <w:rPr>
          <w:b/>
          <w:bCs/>
        </w:rPr>
        <w:t>accsc</w:t>
      </w:r>
      <w:r w:rsidRPr="009C4821">
        <w:t>.org/</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4E" w:rsidRDefault="00DD2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0EF"/>
    <w:multiLevelType w:val="hybridMultilevel"/>
    <w:tmpl w:val="2F46DC7E"/>
    <w:lvl w:ilvl="0" w:tplc="52CE3098">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1F67207"/>
    <w:multiLevelType w:val="multilevel"/>
    <w:tmpl w:val="A87A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571A3"/>
    <w:multiLevelType w:val="hybridMultilevel"/>
    <w:tmpl w:val="B7D88BE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4">
    <w:nsid w:val="0C0F50A1"/>
    <w:multiLevelType w:val="multilevel"/>
    <w:tmpl w:val="E55A47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44C7E"/>
    <w:multiLevelType w:val="hybridMultilevel"/>
    <w:tmpl w:val="655AA4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F92697"/>
    <w:multiLevelType w:val="hybridMultilevel"/>
    <w:tmpl w:val="80CC8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5E69C2"/>
    <w:multiLevelType w:val="hybridMultilevel"/>
    <w:tmpl w:val="E79C000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8">
    <w:nsid w:val="18094482"/>
    <w:multiLevelType w:val="hybridMultilevel"/>
    <w:tmpl w:val="D4708DD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CE839A6"/>
    <w:multiLevelType w:val="hybridMultilevel"/>
    <w:tmpl w:val="CE6E0FB4"/>
    <w:lvl w:ilvl="0" w:tplc="0C09000F">
      <w:start w:val="1"/>
      <w:numFmt w:val="decimal"/>
      <w:lvlText w:val="%1."/>
      <w:lvlJc w:val="left"/>
      <w:pPr>
        <w:ind w:left="360" w:hanging="360"/>
      </w:pPr>
      <w:rPr>
        <w:rFont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0B519B"/>
    <w:multiLevelType w:val="hybridMultilevel"/>
    <w:tmpl w:val="CA12BD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21516B"/>
    <w:multiLevelType w:val="multilevel"/>
    <w:tmpl w:val="708C0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A431B9"/>
    <w:multiLevelType w:val="hybridMultilevel"/>
    <w:tmpl w:val="9E742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BA15CB"/>
    <w:multiLevelType w:val="multilevel"/>
    <w:tmpl w:val="789C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6001E8"/>
    <w:multiLevelType w:val="hybridMultilevel"/>
    <w:tmpl w:val="BEB4A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C10128"/>
    <w:multiLevelType w:val="hybridMultilevel"/>
    <w:tmpl w:val="368635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6A16C0"/>
    <w:multiLevelType w:val="hybridMultilevel"/>
    <w:tmpl w:val="173E14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7CF02C3"/>
    <w:multiLevelType w:val="hybridMultilevel"/>
    <w:tmpl w:val="3766D208"/>
    <w:lvl w:ilvl="0" w:tplc="0C09000F">
      <w:start w:val="1"/>
      <w:numFmt w:val="decimal"/>
      <w:lvlText w:val="%1."/>
      <w:lvlJc w:val="left"/>
      <w:pPr>
        <w:ind w:left="644" w:hanging="360"/>
      </w:pPr>
      <w:rPr>
        <w:rFonts w:hint="default"/>
      </w:rPr>
    </w:lvl>
    <w:lvl w:ilvl="1" w:tplc="4410AFD6">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4AC120C8"/>
    <w:multiLevelType w:val="hybridMultilevel"/>
    <w:tmpl w:val="BCEC208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E8C2830"/>
    <w:multiLevelType w:val="multilevel"/>
    <w:tmpl w:val="DC24D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557AAE"/>
    <w:multiLevelType w:val="hybridMultilevel"/>
    <w:tmpl w:val="BFE08E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A46800"/>
    <w:multiLevelType w:val="hybridMultilevel"/>
    <w:tmpl w:val="59F8F7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8E7CA6"/>
    <w:multiLevelType w:val="hybridMultilevel"/>
    <w:tmpl w:val="6C2AE2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A194741"/>
    <w:multiLevelType w:val="hybridMultilevel"/>
    <w:tmpl w:val="BAE45880"/>
    <w:lvl w:ilvl="0" w:tplc="BECEA04E">
      <w:start w:val="1"/>
      <w:numFmt w:val="bullet"/>
      <w:lvlText w:val="•"/>
      <w:lvlJc w:val="left"/>
      <w:pPr>
        <w:tabs>
          <w:tab w:val="num" w:pos="720"/>
        </w:tabs>
        <w:ind w:left="720" w:hanging="360"/>
      </w:pPr>
      <w:rPr>
        <w:rFonts w:ascii="Arial" w:hAnsi="Arial" w:hint="default"/>
      </w:rPr>
    </w:lvl>
    <w:lvl w:ilvl="1" w:tplc="77B4D1F6" w:tentative="1">
      <w:start w:val="1"/>
      <w:numFmt w:val="bullet"/>
      <w:lvlText w:val="•"/>
      <w:lvlJc w:val="left"/>
      <w:pPr>
        <w:tabs>
          <w:tab w:val="num" w:pos="1440"/>
        </w:tabs>
        <w:ind w:left="1440" w:hanging="360"/>
      </w:pPr>
      <w:rPr>
        <w:rFonts w:ascii="Arial" w:hAnsi="Arial" w:hint="default"/>
      </w:rPr>
    </w:lvl>
    <w:lvl w:ilvl="2" w:tplc="5B009160" w:tentative="1">
      <w:start w:val="1"/>
      <w:numFmt w:val="bullet"/>
      <w:lvlText w:val="•"/>
      <w:lvlJc w:val="left"/>
      <w:pPr>
        <w:tabs>
          <w:tab w:val="num" w:pos="2160"/>
        </w:tabs>
        <w:ind w:left="2160" w:hanging="360"/>
      </w:pPr>
      <w:rPr>
        <w:rFonts w:ascii="Arial" w:hAnsi="Arial" w:hint="default"/>
      </w:rPr>
    </w:lvl>
    <w:lvl w:ilvl="3" w:tplc="A1221206" w:tentative="1">
      <w:start w:val="1"/>
      <w:numFmt w:val="bullet"/>
      <w:lvlText w:val="•"/>
      <w:lvlJc w:val="left"/>
      <w:pPr>
        <w:tabs>
          <w:tab w:val="num" w:pos="2880"/>
        </w:tabs>
        <w:ind w:left="2880" w:hanging="360"/>
      </w:pPr>
      <w:rPr>
        <w:rFonts w:ascii="Arial" w:hAnsi="Arial" w:hint="default"/>
      </w:rPr>
    </w:lvl>
    <w:lvl w:ilvl="4" w:tplc="F1FE1FA0" w:tentative="1">
      <w:start w:val="1"/>
      <w:numFmt w:val="bullet"/>
      <w:lvlText w:val="•"/>
      <w:lvlJc w:val="left"/>
      <w:pPr>
        <w:tabs>
          <w:tab w:val="num" w:pos="3600"/>
        </w:tabs>
        <w:ind w:left="3600" w:hanging="360"/>
      </w:pPr>
      <w:rPr>
        <w:rFonts w:ascii="Arial" w:hAnsi="Arial" w:hint="default"/>
      </w:rPr>
    </w:lvl>
    <w:lvl w:ilvl="5" w:tplc="B86A446A" w:tentative="1">
      <w:start w:val="1"/>
      <w:numFmt w:val="bullet"/>
      <w:lvlText w:val="•"/>
      <w:lvlJc w:val="left"/>
      <w:pPr>
        <w:tabs>
          <w:tab w:val="num" w:pos="4320"/>
        </w:tabs>
        <w:ind w:left="4320" w:hanging="360"/>
      </w:pPr>
      <w:rPr>
        <w:rFonts w:ascii="Arial" w:hAnsi="Arial" w:hint="default"/>
      </w:rPr>
    </w:lvl>
    <w:lvl w:ilvl="6" w:tplc="F7CC0A94" w:tentative="1">
      <w:start w:val="1"/>
      <w:numFmt w:val="bullet"/>
      <w:lvlText w:val="•"/>
      <w:lvlJc w:val="left"/>
      <w:pPr>
        <w:tabs>
          <w:tab w:val="num" w:pos="5040"/>
        </w:tabs>
        <w:ind w:left="5040" w:hanging="360"/>
      </w:pPr>
      <w:rPr>
        <w:rFonts w:ascii="Arial" w:hAnsi="Arial" w:hint="default"/>
      </w:rPr>
    </w:lvl>
    <w:lvl w:ilvl="7" w:tplc="1A3E15D0" w:tentative="1">
      <w:start w:val="1"/>
      <w:numFmt w:val="bullet"/>
      <w:lvlText w:val="•"/>
      <w:lvlJc w:val="left"/>
      <w:pPr>
        <w:tabs>
          <w:tab w:val="num" w:pos="5760"/>
        </w:tabs>
        <w:ind w:left="5760" w:hanging="360"/>
      </w:pPr>
      <w:rPr>
        <w:rFonts w:ascii="Arial" w:hAnsi="Arial" w:hint="default"/>
      </w:rPr>
    </w:lvl>
    <w:lvl w:ilvl="8" w:tplc="10200F42" w:tentative="1">
      <w:start w:val="1"/>
      <w:numFmt w:val="bullet"/>
      <w:lvlText w:val="•"/>
      <w:lvlJc w:val="left"/>
      <w:pPr>
        <w:tabs>
          <w:tab w:val="num" w:pos="6480"/>
        </w:tabs>
        <w:ind w:left="6480" w:hanging="360"/>
      </w:pPr>
      <w:rPr>
        <w:rFonts w:ascii="Arial" w:hAnsi="Arial" w:hint="default"/>
      </w:rPr>
    </w:lvl>
  </w:abstractNum>
  <w:abstractNum w:abstractNumId="24">
    <w:nsid w:val="5B2F6B2F"/>
    <w:multiLevelType w:val="hybridMultilevel"/>
    <w:tmpl w:val="81AE69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nsid w:val="6A9B05A7"/>
    <w:multiLevelType w:val="hybridMultilevel"/>
    <w:tmpl w:val="FAC028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6E6568BB"/>
    <w:multiLevelType w:val="hybridMultilevel"/>
    <w:tmpl w:val="12B4DC68"/>
    <w:lvl w:ilvl="0" w:tplc="3730B27A">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6143F3A"/>
    <w:multiLevelType w:val="hybridMultilevel"/>
    <w:tmpl w:val="EF9CB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593656"/>
    <w:multiLevelType w:val="hybridMultilevel"/>
    <w:tmpl w:val="9FEA6C1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7"/>
  </w:num>
  <w:num w:numId="2">
    <w:abstractNumId w:val="25"/>
  </w:num>
  <w:num w:numId="3">
    <w:abstractNumId w:val="0"/>
  </w:num>
  <w:num w:numId="4">
    <w:abstractNumId w:val="7"/>
  </w:num>
  <w:num w:numId="5">
    <w:abstractNumId w:val="17"/>
  </w:num>
  <w:num w:numId="6">
    <w:abstractNumId w:val="16"/>
  </w:num>
  <w:num w:numId="7">
    <w:abstractNumId w:val="12"/>
  </w:num>
  <w:num w:numId="8">
    <w:abstractNumId w:val="14"/>
  </w:num>
  <w:num w:numId="9">
    <w:abstractNumId w:val="28"/>
  </w:num>
  <w:num w:numId="10">
    <w:abstractNumId w:val="20"/>
  </w:num>
  <w:num w:numId="11">
    <w:abstractNumId w:val="10"/>
  </w:num>
  <w:num w:numId="12">
    <w:abstractNumId w:val="24"/>
  </w:num>
  <w:num w:numId="13">
    <w:abstractNumId w:val="5"/>
  </w:num>
  <w:num w:numId="14">
    <w:abstractNumId w:val="3"/>
  </w:num>
  <w:num w:numId="15">
    <w:abstractNumId w:val="9"/>
  </w:num>
  <w:num w:numId="16">
    <w:abstractNumId w:val="21"/>
  </w:num>
  <w:num w:numId="17">
    <w:abstractNumId w:val="29"/>
  </w:num>
  <w:num w:numId="18">
    <w:abstractNumId w:val="22"/>
  </w:num>
  <w:num w:numId="19">
    <w:abstractNumId w:val="6"/>
  </w:num>
  <w:num w:numId="20">
    <w:abstractNumId w:val="23"/>
  </w:num>
  <w:num w:numId="21">
    <w:abstractNumId w:val="13"/>
  </w:num>
  <w:num w:numId="22">
    <w:abstractNumId w:val="2"/>
  </w:num>
  <w:num w:numId="23">
    <w:abstractNumId w:val="4"/>
  </w:num>
  <w:num w:numId="24">
    <w:abstractNumId w:val="1"/>
  </w:num>
  <w:num w:numId="25">
    <w:abstractNumId w:val="11"/>
  </w:num>
  <w:num w:numId="26">
    <w:abstractNumId w:val="19"/>
  </w:num>
  <w:num w:numId="27">
    <w:abstractNumId w:val="18"/>
  </w:num>
  <w:num w:numId="28">
    <w:abstractNumId w:val="15"/>
  </w:num>
  <w:num w:numId="29">
    <w:abstractNumId w:val="26"/>
  </w:num>
  <w:num w:numId="3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E08" w:allStyles="0" w:customStyles="0" w:latentStyles="0" w:stylesInUse="1" w:headingStyles="0" w:numberingStyles="0" w:tableStyles="0" w:directFormattingOnRuns="0"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E7"/>
    <w:rsid w:val="00000284"/>
    <w:rsid w:val="00002B3A"/>
    <w:rsid w:val="00004585"/>
    <w:rsid w:val="000056DE"/>
    <w:rsid w:val="00005EA4"/>
    <w:rsid w:val="000070D2"/>
    <w:rsid w:val="000108B2"/>
    <w:rsid w:val="00010A52"/>
    <w:rsid w:val="00012675"/>
    <w:rsid w:val="00012B64"/>
    <w:rsid w:val="00013265"/>
    <w:rsid w:val="00013AF5"/>
    <w:rsid w:val="0001401A"/>
    <w:rsid w:val="00015B5F"/>
    <w:rsid w:val="0001621D"/>
    <w:rsid w:val="00020B29"/>
    <w:rsid w:val="00021DC8"/>
    <w:rsid w:val="00022290"/>
    <w:rsid w:val="00022DC5"/>
    <w:rsid w:val="00022F21"/>
    <w:rsid w:val="00025324"/>
    <w:rsid w:val="000275FA"/>
    <w:rsid w:val="0003006F"/>
    <w:rsid w:val="000313B3"/>
    <w:rsid w:val="000315D7"/>
    <w:rsid w:val="0003570C"/>
    <w:rsid w:val="00035D5A"/>
    <w:rsid w:val="00037D87"/>
    <w:rsid w:val="000432D0"/>
    <w:rsid w:val="00044F93"/>
    <w:rsid w:val="00047C6C"/>
    <w:rsid w:val="0005399E"/>
    <w:rsid w:val="00053C9F"/>
    <w:rsid w:val="00055CFF"/>
    <w:rsid w:val="00055E26"/>
    <w:rsid w:val="00056F50"/>
    <w:rsid w:val="0005703F"/>
    <w:rsid w:val="00057A8A"/>
    <w:rsid w:val="0006125F"/>
    <w:rsid w:val="000620E4"/>
    <w:rsid w:val="00062504"/>
    <w:rsid w:val="000628C1"/>
    <w:rsid w:val="000631E5"/>
    <w:rsid w:val="000646B3"/>
    <w:rsid w:val="00065020"/>
    <w:rsid w:val="00065099"/>
    <w:rsid w:val="00066E93"/>
    <w:rsid w:val="00071AE6"/>
    <w:rsid w:val="000723F4"/>
    <w:rsid w:val="000737D4"/>
    <w:rsid w:val="0007497B"/>
    <w:rsid w:val="00074BD4"/>
    <w:rsid w:val="00080CA8"/>
    <w:rsid w:val="00080EB1"/>
    <w:rsid w:val="00082AE2"/>
    <w:rsid w:val="00085B2C"/>
    <w:rsid w:val="000866D9"/>
    <w:rsid w:val="00090702"/>
    <w:rsid w:val="00093DC2"/>
    <w:rsid w:val="00095806"/>
    <w:rsid w:val="000977EC"/>
    <w:rsid w:val="000A0745"/>
    <w:rsid w:val="000A126C"/>
    <w:rsid w:val="000A218F"/>
    <w:rsid w:val="000A42B1"/>
    <w:rsid w:val="000A7397"/>
    <w:rsid w:val="000B03F7"/>
    <w:rsid w:val="000B097C"/>
    <w:rsid w:val="000B1EAD"/>
    <w:rsid w:val="000B21C6"/>
    <w:rsid w:val="000B3062"/>
    <w:rsid w:val="000B47F5"/>
    <w:rsid w:val="000C07E1"/>
    <w:rsid w:val="000C1EBC"/>
    <w:rsid w:val="000C20C8"/>
    <w:rsid w:val="000C2F0C"/>
    <w:rsid w:val="000C4350"/>
    <w:rsid w:val="000C7787"/>
    <w:rsid w:val="000D2624"/>
    <w:rsid w:val="000D4C34"/>
    <w:rsid w:val="000E109F"/>
    <w:rsid w:val="000E19F4"/>
    <w:rsid w:val="000E1A83"/>
    <w:rsid w:val="000E3B08"/>
    <w:rsid w:val="000E4C77"/>
    <w:rsid w:val="000E5F44"/>
    <w:rsid w:val="000E67A2"/>
    <w:rsid w:val="000E6AE6"/>
    <w:rsid w:val="000F5C85"/>
    <w:rsid w:val="000F641C"/>
    <w:rsid w:val="0010761A"/>
    <w:rsid w:val="00110877"/>
    <w:rsid w:val="00112D03"/>
    <w:rsid w:val="00115F26"/>
    <w:rsid w:val="001166BD"/>
    <w:rsid w:val="00116D1C"/>
    <w:rsid w:val="001179EB"/>
    <w:rsid w:val="00120037"/>
    <w:rsid w:val="00122DC0"/>
    <w:rsid w:val="00122F5F"/>
    <w:rsid w:val="00123B5C"/>
    <w:rsid w:val="00123D36"/>
    <w:rsid w:val="00123E9D"/>
    <w:rsid w:val="00125EA6"/>
    <w:rsid w:val="00127EA6"/>
    <w:rsid w:val="001301DB"/>
    <w:rsid w:val="00130735"/>
    <w:rsid w:val="00131963"/>
    <w:rsid w:val="0013198C"/>
    <w:rsid w:val="00132788"/>
    <w:rsid w:val="00134012"/>
    <w:rsid w:val="00135C75"/>
    <w:rsid w:val="00140AD0"/>
    <w:rsid w:val="001476B7"/>
    <w:rsid w:val="001501BE"/>
    <w:rsid w:val="00150874"/>
    <w:rsid w:val="001509F3"/>
    <w:rsid w:val="001509FD"/>
    <w:rsid w:val="00150B38"/>
    <w:rsid w:val="001523EB"/>
    <w:rsid w:val="0015317A"/>
    <w:rsid w:val="001554F9"/>
    <w:rsid w:val="00155839"/>
    <w:rsid w:val="00155AAB"/>
    <w:rsid w:val="00156019"/>
    <w:rsid w:val="00157D6A"/>
    <w:rsid w:val="0016133C"/>
    <w:rsid w:val="0016247B"/>
    <w:rsid w:val="00162C6F"/>
    <w:rsid w:val="00163629"/>
    <w:rsid w:val="00163B61"/>
    <w:rsid w:val="001646C7"/>
    <w:rsid w:val="00166EF6"/>
    <w:rsid w:val="00170452"/>
    <w:rsid w:val="001709B6"/>
    <w:rsid w:val="00171817"/>
    <w:rsid w:val="00177827"/>
    <w:rsid w:val="0018006E"/>
    <w:rsid w:val="00184504"/>
    <w:rsid w:val="0018485E"/>
    <w:rsid w:val="00184872"/>
    <w:rsid w:val="001909CF"/>
    <w:rsid w:val="001913FC"/>
    <w:rsid w:val="001919DF"/>
    <w:rsid w:val="0019320C"/>
    <w:rsid w:val="001940F9"/>
    <w:rsid w:val="00197294"/>
    <w:rsid w:val="001A1F1E"/>
    <w:rsid w:val="001A314E"/>
    <w:rsid w:val="001A410D"/>
    <w:rsid w:val="001A59CF"/>
    <w:rsid w:val="001B19CE"/>
    <w:rsid w:val="001B19DC"/>
    <w:rsid w:val="001B43CF"/>
    <w:rsid w:val="001C354B"/>
    <w:rsid w:val="001C5E66"/>
    <w:rsid w:val="001C6A73"/>
    <w:rsid w:val="001C76B3"/>
    <w:rsid w:val="001C7B7E"/>
    <w:rsid w:val="001C7EAB"/>
    <w:rsid w:val="001D0925"/>
    <w:rsid w:val="001D1528"/>
    <w:rsid w:val="001D16F5"/>
    <w:rsid w:val="001D2122"/>
    <w:rsid w:val="001D6E07"/>
    <w:rsid w:val="001D71AE"/>
    <w:rsid w:val="001E0BE0"/>
    <w:rsid w:val="001E1F6E"/>
    <w:rsid w:val="001E2F9D"/>
    <w:rsid w:val="001E33B3"/>
    <w:rsid w:val="001E4F00"/>
    <w:rsid w:val="001E76EE"/>
    <w:rsid w:val="001F24CB"/>
    <w:rsid w:val="001F3E32"/>
    <w:rsid w:val="001F4059"/>
    <w:rsid w:val="001F7D84"/>
    <w:rsid w:val="00200030"/>
    <w:rsid w:val="002002C0"/>
    <w:rsid w:val="00201399"/>
    <w:rsid w:val="00202294"/>
    <w:rsid w:val="00203AA5"/>
    <w:rsid w:val="00204434"/>
    <w:rsid w:val="00204FB5"/>
    <w:rsid w:val="00205CCD"/>
    <w:rsid w:val="00210634"/>
    <w:rsid w:val="00210EEB"/>
    <w:rsid w:val="0021124E"/>
    <w:rsid w:val="00212082"/>
    <w:rsid w:val="00212E78"/>
    <w:rsid w:val="00214BD3"/>
    <w:rsid w:val="00217B0F"/>
    <w:rsid w:val="002206A7"/>
    <w:rsid w:val="002218AB"/>
    <w:rsid w:val="0022242C"/>
    <w:rsid w:val="0022270D"/>
    <w:rsid w:val="00223BCD"/>
    <w:rsid w:val="00224249"/>
    <w:rsid w:val="00224314"/>
    <w:rsid w:val="00224BD9"/>
    <w:rsid w:val="00225D28"/>
    <w:rsid w:val="002276E1"/>
    <w:rsid w:val="002277A9"/>
    <w:rsid w:val="0023106F"/>
    <w:rsid w:val="00233BFA"/>
    <w:rsid w:val="0023532F"/>
    <w:rsid w:val="0023621E"/>
    <w:rsid w:val="0023756E"/>
    <w:rsid w:val="0024046D"/>
    <w:rsid w:val="0024132F"/>
    <w:rsid w:val="00242824"/>
    <w:rsid w:val="0024354B"/>
    <w:rsid w:val="00243D99"/>
    <w:rsid w:val="00243FAF"/>
    <w:rsid w:val="00245192"/>
    <w:rsid w:val="0025109F"/>
    <w:rsid w:val="00251B6B"/>
    <w:rsid w:val="00251EE6"/>
    <w:rsid w:val="00253C3B"/>
    <w:rsid w:val="00253C76"/>
    <w:rsid w:val="00262096"/>
    <w:rsid w:val="002679A6"/>
    <w:rsid w:val="002701C6"/>
    <w:rsid w:val="00275627"/>
    <w:rsid w:val="00277045"/>
    <w:rsid w:val="00281357"/>
    <w:rsid w:val="00281FAC"/>
    <w:rsid w:val="00284B4B"/>
    <w:rsid w:val="00284FCB"/>
    <w:rsid w:val="002908BF"/>
    <w:rsid w:val="002919BE"/>
    <w:rsid w:val="00295515"/>
    <w:rsid w:val="00295A85"/>
    <w:rsid w:val="002A0A07"/>
    <w:rsid w:val="002A128D"/>
    <w:rsid w:val="002A188B"/>
    <w:rsid w:val="002A3A9E"/>
    <w:rsid w:val="002A75C8"/>
    <w:rsid w:val="002B134B"/>
    <w:rsid w:val="002B5714"/>
    <w:rsid w:val="002B65C2"/>
    <w:rsid w:val="002C0E8A"/>
    <w:rsid w:val="002C3B25"/>
    <w:rsid w:val="002C762A"/>
    <w:rsid w:val="002C7B10"/>
    <w:rsid w:val="002D0144"/>
    <w:rsid w:val="002D0279"/>
    <w:rsid w:val="002D02D2"/>
    <w:rsid w:val="002D1579"/>
    <w:rsid w:val="002D162E"/>
    <w:rsid w:val="002D1643"/>
    <w:rsid w:val="002D205A"/>
    <w:rsid w:val="002D376B"/>
    <w:rsid w:val="002D39EA"/>
    <w:rsid w:val="002E0EEF"/>
    <w:rsid w:val="002E196B"/>
    <w:rsid w:val="002E24DC"/>
    <w:rsid w:val="002E3389"/>
    <w:rsid w:val="002E348A"/>
    <w:rsid w:val="002E3A43"/>
    <w:rsid w:val="002E659D"/>
    <w:rsid w:val="002E6EC4"/>
    <w:rsid w:val="002E7152"/>
    <w:rsid w:val="002E742C"/>
    <w:rsid w:val="002E7956"/>
    <w:rsid w:val="002E7CCC"/>
    <w:rsid w:val="002F086C"/>
    <w:rsid w:val="002F1484"/>
    <w:rsid w:val="002F15C1"/>
    <w:rsid w:val="002F18FE"/>
    <w:rsid w:val="002F1950"/>
    <w:rsid w:val="002F5089"/>
    <w:rsid w:val="002F5B7B"/>
    <w:rsid w:val="002F74EF"/>
    <w:rsid w:val="003014DF"/>
    <w:rsid w:val="00301551"/>
    <w:rsid w:val="003023C3"/>
    <w:rsid w:val="003030ED"/>
    <w:rsid w:val="00303741"/>
    <w:rsid w:val="003069D9"/>
    <w:rsid w:val="00313108"/>
    <w:rsid w:val="00313387"/>
    <w:rsid w:val="00313BFA"/>
    <w:rsid w:val="00314DA2"/>
    <w:rsid w:val="003244EB"/>
    <w:rsid w:val="00324840"/>
    <w:rsid w:val="0033024A"/>
    <w:rsid w:val="003302C7"/>
    <w:rsid w:val="00333F93"/>
    <w:rsid w:val="0033421B"/>
    <w:rsid w:val="00334CE3"/>
    <w:rsid w:val="00340B4D"/>
    <w:rsid w:val="00342A9F"/>
    <w:rsid w:val="0034325B"/>
    <w:rsid w:val="00343BB9"/>
    <w:rsid w:val="00347652"/>
    <w:rsid w:val="00352528"/>
    <w:rsid w:val="003540C4"/>
    <w:rsid w:val="00354455"/>
    <w:rsid w:val="00356C1C"/>
    <w:rsid w:val="00357D78"/>
    <w:rsid w:val="00361043"/>
    <w:rsid w:val="00362230"/>
    <w:rsid w:val="00362E72"/>
    <w:rsid w:val="00362FDF"/>
    <w:rsid w:val="00367008"/>
    <w:rsid w:val="003679E7"/>
    <w:rsid w:val="00370395"/>
    <w:rsid w:val="003713A4"/>
    <w:rsid w:val="00373E77"/>
    <w:rsid w:val="00376345"/>
    <w:rsid w:val="003769D2"/>
    <w:rsid w:val="00376AFF"/>
    <w:rsid w:val="00381A4F"/>
    <w:rsid w:val="00382230"/>
    <w:rsid w:val="00383EE2"/>
    <w:rsid w:val="00387310"/>
    <w:rsid w:val="00391B8E"/>
    <w:rsid w:val="00394202"/>
    <w:rsid w:val="00394E31"/>
    <w:rsid w:val="00396A10"/>
    <w:rsid w:val="00397C94"/>
    <w:rsid w:val="003A0E30"/>
    <w:rsid w:val="003A1249"/>
    <w:rsid w:val="003A2407"/>
    <w:rsid w:val="003A41BA"/>
    <w:rsid w:val="003A5620"/>
    <w:rsid w:val="003A5DA7"/>
    <w:rsid w:val="003A71C0"/>
    <w:rsid w:val="003A7C54"/>
    <w:rsid w:val="003B02CA"/>
    <w:rsid w:val="003B16DA"/>
    <w:rsid w:val="003B483E"/>
    <w:rsid w:val="003B528C"/>
    <w:rsid w:val="003B7077"/>
    <w:rsid w:val="003C176A"/>
    <w:rsid w:val="003C1CA8"/>
    <w:rsid w:val="003C5988"/>
    <w:rsid w:val="003C5C18"/>
    <w:rsid w:val="003D2A73"/>
    <w:rsid w:val="003D5EB0"/>
    <w:rsid w:val="003D6251"/>
    <w:rsid w:val="003D660B"/>
    <w:rsid w:val="003D7B7E"/>
    <w:rsid w:val="003D7CC9"/>
    <w:rsid w:val="003E193A"/>
    <w:rsid w:val="003E305B"/>
    <w:rsid w:val="003E5184"/>
    <w:rsid w:val="003E58A2"/>
    <w:rsid w:val="003E67CB"/>
    <w:rsid w:val="003E7C86"/>
    <w:rsid w:val="003F0112"/>
    <w:rsid w:val="003F100F"/>
    <w:rsid w:val="003F25B7"/>
    <w:rsid w:val="003F5800"/>
    <w:rsid w:val="00402E48"/>
    <w:rsid w:val="004040B9"/>
    <w:rsid w:val="00405784"/>
    <w:rsid w:val="00406C50"/>
    <w:rsid w:val="004110EF"/>
    <w:rsid w:val="004140F0"/>
    <w:rsid w:val="00414448"/>
    <w:rsid w:val="00414F7F"/>
    <w:rsid w:val="00415076"/>
    <w:rsid w:val="00416705"/>
    <w:rsid w:val="004200B5"/>
    <w:rsid w:val="004206FC"/>
    <w:rsid w:val="00421151"/>
    <w:rsid w:val="00421A91"/>
    <w:rsid w:val="0042300B"/>
    <w:rsid w:val="00423A9D"/>
    <w:rsid w:val="00423C2D"/>
    <w:rsid w:val="00424170"/>
    <w:rsid w:val="00425623"/>
    <w:rsid w:val="0042608F"/>
    <w:rsid w:val="004267E8"/>
    <w:rsid w:val="00430FD7"/>
    <w:rsid w:val="00433035"/>
    <w:rsid w:val="00434335"/>
    <w:rsid w:val="00440CBC"/>
    <w:rsid w:val="00444FB8"/>
    <w:rsid w:val="004459B7"/>
    <w:rsid w:val="0045066C"/>
    <w:rsid w:val="0045137C"/>
    <w:rsid w:val="00451DE1"/>
    <w:rsid w:val="0045388A"/>
    <w:rsid w:val="0045442F"/>
    <w:rsid w:val="004577EB"/>
    <w:rsid w:val="00460360"/>
    <w:rsid w:val="0046219C"/>
    <w:rsid w:val="004629AC"/>
    <w:rsid w:val="00462BCC"/>
    <w:rsid w:val="00463973"/>
    <w:rsid w:val="00467810"/>
    <w:rsid w:val="00467A3C"/>
    <w:rsid w:val="00467E5B"/>
    <w:rsid w:val="004714FF"/>
    <w:rsid w:val="00473668"/>
    <w:rsid w:val="004739F8"/>
    <w:rsid w:val="00473E81"/>
    <w:rsid w:val="00474AFB"/>
    <w:rsid w:val="00475137"/>
    <w:rsid w:val="004755A6"/>
    <w:rsid w:val="00475F5A"/>
    <w:rsid w:val="004807EC"/>
    <w:rsid w:val="004852A7"/>
    <w:rsid w:val="0048643A"/>
    <w:rsid w:val="0048663C"/>
    <w:rsid w:val="0048780E"/>
    <w:rsid w:val="0049157F"/>
    <w:rsid w:val="004928F1"/>
    <w:rsid w:val="00492DE6"/>
    <w:rsid w:val="0049453B"/>
    <w:rsid w:val="00494A61"/>
    <w:rsid w:val="00494E7C"/>
    <w:rsid w:val="00495379"/>
    <w:rsid w:val="004A1D4B"/>
    <w:rsid w:val="004A30BE"/>
    <w:rsid w:val="004A4D65"/>
    <w:rsid w:val="004A52C6"/>
    <w:rsid w:val="004A53B9"/>
    <w:rsid w:val="004A5A52"/>
    <w:rsid w:val="004A7178"/>
    <w:rsid w:val="004A7EF7"/>
    <w:rsid w:val="004B1D1C"/>
    <w:rsid w:val="004B41F5"/>
    <w:rsid w:val="004B6A20"/>
    <w:rsid w:val="004C2036"/>
    <w:rsid w:val="004C4063"/>
    <w:rsid w:val="004C4936"/>
    <w:rsid w:val="004C4972"/>
    <w:rsid w:val="004C4D7E"/>
    <w:rsid w:val="004C670A"/>
    <w:rsid w:val="004C6E0A"/>
    <w:rsid w:val="004D1405"/>
    <w:rsid w:val="004D1DA2"/>
    <w:rsid w:val="004D362A"/>
    <w:rsid w:val="004D4802"/>
    <w:rsid w:val="004D4A85"/>
    <w:rsid w:val="004D58EE"/>
    <w:rsid w:val="004E2001"/>
    <w:rsid w:val="004E2B6A"/>
    <w:rsid w:val="004E5BD0"/>
    <w:rsid w:val="004E639F"/>
    <w:rsid w:val="004E6E41"/>
    <w:rsid w:val="004E7227"/>
    <w:rsid w:val="004E7C65"/>
    <w:rsid w:val="004E7CD6"/>
    <w:rsid w:val="004F3F0A"/>
    <w:rsid w:val="004F4245"/>
    <w:rsid w:val="004F7A35"/>
    <w:rsid w:val="005003A2"/>
    <w:rsid w:val="0050098E"/>
    <w:rsid w:val="005039F6"/>
    <w:rsid w:val="00503C7E"/>
    <w:rsid w:val="00504445"/>
    <w:rsid w:val="00504F7C"/>
    <w:rsid w:val="0050568C"/>
    <w:rsid w:val="00507730"/>
    <w:rsid w:val="0051237D"/>
    <w:rsid w:val="00512533"/>
    <w:rsid w:val="005129ED"/>
    <w:rsid w:val="00520315"/>
    <w:rsid w:val="0052219E"/>
    <w:rsid w:val="0052276C"/>
    <w:rsid w:val="00522FC6"/>
    <w:rsid w:val="00527DAA"/>
    <w:rsid w:val="00534953"/>
    <w:rsid w:val="00537865"/>
    <w:rsid w:val="0054110D"/>
    <w:rsid w:val="00541B94"/>
    <w:rsid w:val="005426FA"/>
    <w:rsid w:val="00542AB7"/>
    <w:rsid w:val="00546819"/>
    <w:rsid w:val="005510CA"/>
    <w:rsid w:val="00555AF2"/>
    <w:rsid w:val="00560E1E"/>
    <w:rsid w:val="005619D1"/>
    <w:rsid w:val="00563FE7"/>
    <w:rsid w:val="0056669D"/>
    <w:rsid w:val="00566D42"/>
    <w:rsid w:val="005673F5"/>
    <w:rsid w:val="005674AF"/>
    <w:rsid w:val="00567F93"/>
    <w:rsid w:val="00570758"/>
    <w:rsid w:val="00570905"/>
    <w:rsid w:val="00571134"/>
    <w:rsid w:val="0057240E"/>
    <w:rsid w:val="00576FB4"/>
    <w:rsid w:val="00577A9A"/>
    <w:rsid w:val="00577F86"/>
    <w:rsid w:val="00583DA6"/>
    <w:rsid w:val="0058550B"/>
    <w:rsid w:val="00586137"/>
    <w:rsid w:val="00586EE5"/>
    <w:rsid w:val="00591145"/>
    <w:rsid w:val="005934DE"/>
    <w:rsid w:val="005A2502"/>
    <w:rsid w:val="005A7B5E"/>
    <w:rsid w:val="005A7BD7"/>
    <w:rsid w:val="005B02FD"/>
    <w:rsid w:val="005B0A57"/>
    <w:rsid w:val="005C0112"/>
    <w:rsid w:val="005C01F2"/>
    <w:rsid w:val="005C0B5B"/>
    <w:rsid w:val="005C235D"/>
    <w:rsid w:val="005C277E"/>
    <w:rsid w:val="005C3775"/>
    <w:rsid w:val="005C61F8"/>
    <w:rsid w:val="005D401B"/>
    <w:rsid w:val="005D53CB"/>
    <w:rsid w:val="005D5B25"/>
    <w:rsid w:val="005E054E"/>
    <w:rsid w:val="005E063A"/>
    <w:rsid w:val="005E1B9E"/>
    <w:rsid w:val="005E2DCC"/>
    <w:rsid w:val="005E3D14"/>
    <w:rsid w:val="005E3F18"/>
    <w:rsid w:val="005E4764"/>
    <w:rsid w:val="005F16CF"/>
    <w:rsid w:val="005F18C5"/>
    <w:rsid w:val="005F217D"/>
    <w:rsid w:val="005F23B8"/>
    <w:rsid w:val="005F3E0A"/>
    <w:rsid w:val="005F5353"/>
    <w:rsid w:val="005F59B2"/>
    <w:rsid w:val="005F5C05"/>
    <w:rsid w:val="005F629E"/>
    <w:rsid w:val="006024DF"/>
    <w:rsid w:val="00604029"/>
    <w:rsid w:val="0060470A"/>
    <w:rsid w:val="00604F17"/>
    <w:rsid w:val="00605C17"/>
    <w:rsid w:val="006078E3"/>
    <w:rsid w:val="00607DC3"/>
    <w:rsid w:val="00613623"/>
    <w:rsid w:val="00615A4F"/>
    <w:rsid w:val="006179FE"/>
    <w:rsid w:val="00617AE4"/>
    <w:rsid w:val="0062186C"/>
    <w:rsid w:val="00622824"/>
    <w:rsid w:val="00623A6E"/>
    <w:rsid w:val="00624953"/>
    <w:rsid w:val="00626D3B"/>
    <w:rsid w:val="00626F98"/>
    <w:rsid w:val="00633AC7"/>
    <w:rsid w:val="00635253"/>
    <w:rsid w:val="00637506"/>
    <w:rsid w:val="006403A5"/>
    <w:rsid w:val="00641CA3"/>
    <w:rsid w:val="00643F0F"/>
    <w:rsid w:val="0065003D"/>
    <w:rsid w:val="00651654"/>
    <w:rsid w:val="00651B9C"/>
    <w:rsid w:val="00652973"/>
    <w:rsid w:val="0065338B"/>
    <w:rsid w:val="00653452"/>
    <w:rsid w:val="0065593A"/>
    <w:rsid w:val="00655F33"/>
    <w:rsid w:val="00656679"/>
    <w:rsid w:val="00656687"/>
    <w:rsid w:val="00660E1A"/>
    <w:rsid w:val="006633B1"/>
    <w:rsid w:val="006668B5"/>
    <w:rsid w:val="00672BAE"/>
    <w:rsid w:val="00672F08"/>
    <w:rsid w:val="00673BC2"/>
    <w:rsid w:val="00673EC3"/>
    <w:rsid w:val="00674307"/>
    <w:rsid w:val="00675981"/>
    <w:rsid w:val="0067712D"/>
    <w:rsid w:val="006774DC"/>
    <w:rsid w:val="0067755B"/>
    <w:rsid w:val="006821F8"/>
    <w:rsid w:val="00682A97"/>
    <w:rsid w:val="006835C4"/>
    <w:rsid w:val="00684E6C"/>
    <w:rsid w:val="00685036"/>
    <w:rsid w:val="00687BDD"/>
    <w:rsid w:val="00690A85"/>
    <w:rsid w:val="0069206C"/>
    <w:rsid w:val="00692C68"/>
    <w:rsid w:val="00696A48"/>
    <w:rsid w:val="006A011B"/>
    <w:rsid w:val="006A0200"/>
    <w:rsid w:val="006A1B59"/>
    <w:rsid w:val="006A1CE4"/>
    <w:rsid w:val="006A2C09"/>
    <w:rsid w:val="006A429B"/>
    <w:rsid w:val="006A5E8D"/>
    <w:rsid w:val="006A6310"/>
    <w:rsid w:val="006A7850"/>
    <w:rsid w:val="006B1B18"/>
    <w:rsid w:val="006B7D73"/>
    <w:rsid w:val="006C0E4A"/>
    <w:rsid w:val="006C371C"/>
    <w:rsid w:val="006C3D52"/>
    <w:rsid w:val="006C546F"/>
    <w:rsid w:val="006C5A6F"/>
    <w:rsid w:val="006C5B5F"/>
    <w:rsid w:val="006C5DA9"/>
    <w:rsid w:val="006D03C7"/>
    <w:rsid w:val="006D05EB"/>
    <w:rsid w:val="006D242C"/>
    <w:rsid w:val="006D4C32"/>
    <w:rsid w:val="006E1DD8"/>
    <w:rsid w:val="006E28EF"/>
    <w:rsid w:val="006E2EAB"/>
    <w:rsid w:val="006E5356"/>
    <w:rsid w:val="006E69A3"/>
    <w:rsid w:val="006E7247"/>
    <w:rsid w:val="006E789D"/>
    <w:rsid w:val="006E7C2A"/>
    <w:rsid w:val="006F0473"/>
    <w:rsid w:val="006F0B12"/>
    <w:rsid w:val="006F6F33"/>
    <w:rsid w:val="00700AFC"/>
    <w:rsid w:val="00702ED2"/>
    <w:rsid w:val="007037A4"/>
    <w:rsid w:val="00710A48"/>
    <w:rsid w:val="00713F63"/>
    <w:rsid w:val="00714C01"/>
    <w:rsid w:val="00716616"/>
    <w:rsid w:val="007178A0"/>
    <w:rsid w:val="00721984"/>
    <w:rsid w:val="00727CD9"/>
    <w:rsid w:val="00730017"/>
    <w:rsid w:val="00731566"/>
    <w:rsid w:val="007317D7"/>
    <w:rsid w:val="00731EC8"/>
    <w:rsid w:val="00733DA9"/>
    <w:rsid w:val="00734C8C"/>
    <w:rsid w:val="00736E30"/>
    <w:rsid w:val="00736E54"/>
    <w:rsid w:val="0074088D"/>
    <w:rsid w:val="0074115D"/>
    <w:rsid w:val="007411A6"/>
    <w:rsid w:val="0074129A"/>
    <w:rsid w:val="00742604"/>
    <w:rsid w:val="00742B84"/>
    <w:rsid w:val="00743991"/>
    <w:rsid w:val="00744DA2"/>
    <w:rsid w:val="00745035"/>
    <w:rsid w:val="007454AE"/>
    <w:rsid w:val="00745890"/>
    <w:rsid w:val="00747D19"/>
    <w:rsid w:val="00750032"/>
    <w:rsid w:val="0075111C"/>
    <w:rsid w:val="007608E5"/>
    <w:rsid w:val="00760BC0"/>
    <w:rsid w:val="00762AF4"/>
    <w:rsid w:val="0077359D"/>
    <w:rsid w:val="007753C5"/>
    <w:rsid w:val="00777E58"/>
    <w:rsid w:val="00780340"/>
    <w:rsid w:val="00780E61"/>
    <w:rsid w:val="00781CAA"/>
    <w:rsid w:val="00783F44"/>
    <w:rsid w:val="00784F4E"/>
    <w:rsid w:val="00785867"/>
    <w:rsid w:val="00787494"/>
    <w:rsid w:val="0079201A"/>
    <w:rsid w:val="007964D8"/>
    <w:rsid w:val="00797632"/>
    <w:rsid w:val="00797712"/>
    <w:rsid w:val="007A2079"/>
    <w:rsid w:val="007A2240"/>
    <w:rsid w:val="007A2F5C"/>
    <w:rsid w:val="007A4F58"/>
    <w:rsid w:val="007A70A7"/>
    <w:rsid w:val="007A7AA8"/>
    <w:rsid w:val="007B00E7"/>
    <w:rsid w:val="007B1BCD"/>
    <w:rsid w:val="007B2E29"/>
    <w:rsid w:val="007B5121"/>
    <w:rsid w:val="007B6906"/>
    <w:rsid w:val="007B6C4A"/>
    <w:rsid w:val="007B74BC"/>
    <w:rsid w:val="007C0F7F"/>
    <w:rsid w:val="007C1695"/>
    <w:rsid w:val="007C18AB"/>
    <w:rsid w:val="007C2913"/>
    <w:rsid w:val="007C3281"/>
    <w:rsid w:val="007C50A7"/>
    <w:rsid w:val="007C643C"/>
    <w:rsid w:val="007C6FFC"/>
    <w:rsid w:val="007C73CE"/>
    <w:rsid w:val="007C75D3"/>
    <w:rsid w:val="007D1339"/>
    <w:rsid w:val="007D1A4C"/>
    <w:rsid w:val="007D1B89"/>
    <w:rsid w:val="007D203F"/>
    <w:rsid w:val="007D2CC6"/>
    <w:rsid w:val="007D390E"/>
    <w:rsid w:val="007D5A4F"/>
    <w:rsid w:val="007D75A4"/>
    <w:rsid w:val="007D78C5"/>
    <w:rsid w:val="007E221A"/>
    <w:rsid w:val="007E2786"/>
    <w:rsid w:val="007E29C1"/>
    <w:rsid w:val="007E2D03"/>
    <w:rsid w:val="007E2D8C"/>
    <w:rsid w:val="007E323F"/>
    <w:rsid w:val="007E7569"/>
    <w:rsid w:val="007F33CC"/>
    <w:rsid w:val="007F3C25"/>
    <w:rsid w:val="007F6201"/>
    <w:rsid w:val="00800A2B"/>
    <w:rsid w:val="0080345C"/>
    <w:rsid w:val="00803CBC"/>
    <w:rsid w:val="00805125"/>
    <w:rsid w:val="008056ED"/>
    <w:rsid w:val="00806C1C"/>
    <w:rsid w:val="00811226"/>
    <w:rsid w:val="00812052"/>
    <w:rsid w:val="0081490A"/>
    <w:rsid w:val="00816C49"/>
    <w:rsid w:val="0082084A"/>
    <w:rsid w:val="00820F7F"/>
    <w:rsid w:val="0082137A"/>
    <w:rsid w:val="00823BC5"/>
    <w:rsid w:val="00823D61"/>
    <w:rsid w:val="008241C0"/>
    <w:rsid w:val="00826757"/>
    <w:rsid w:val="00826A4E"/>
    <w:rsid w:val="00826EB7"/>
    <w:rsid w:val="008276F2"/>
    <w:rsid w:val="00830AF2"/>
    <w:rsid w:val="008317F2"/>
    <w:rsid w:val="00831E24"/>
    <w:rsid w:val="00833CC2"/>
    <w:rsid w:val="0083469E"/>
    <w:rsid w:val="00836132"/>
    <w:rsid w:val="00836F83"/>
    <w:rsid w:val="00841B57"/>
    <w:rsid w:val="00842044"/>
    <w:rsid w:val="00842ACA"/>
    <w:rsid w:val="00842B56"/>
    <w:rsid w:val="00844B9B"/>
    <w:rsid w:val="00845AB6"/>
    <w:rsid w:val="00851519"/>
    <w:rsid w:val="00852661"/>
    <w:rsid w:val="00854A5F"/>
    <w:rsid w:val="00856199"/>
    <w:rsid w:val="00861466"/>
    <w:rsid w:val="0086170C"/>
    <w:rsid w:val="00861CE5"/>
    <w:rsid w:val="00864DF4"/>
    <w:rsid w:val="00870281"/>
    <w:rsid w:val="00871678"/>
    <w:rsid w:val="00873B3E"/>
    <w:rsid w:val="00874DA5"/>
    <w:rsid w:val="00876780"/>
    <w:rsid w:val="0087769B"/>
    <w:rsid w:val="0088468B"/>
    <w:rsid w:val="00884E1B"/>
    <w:rsid w:val="00884F2D"/>
    <w:rsid w:val="00886410"/>
    <w:rsid w:val="00890676"/>
    <w:rsid w:val="008923B6"/>
    <w:rsid w:val="00892858"/>
    <w:rsid w:val="00894271"/>
    <w:rsid w:val="0089427D"/>
    <w:rsid w:val="008949ED"/>
    <w:rsid w:val="0089721C"/>
    <w:rsid w:val="0089798B"/>
    <w:rsid w:val="008A1474"/>
    <w:rsid w:val="008A1A65"/>
    <w:rsid w:val="008A1F85"/>
    <w:rsid w:val="008A43E9"/>
    <w:rsid w:val="008A4687"/>
    <w:rsid w:val="008A4B2B"/>
    <w:rsid w:val="008A7408"/>
    <w:rsid w:val="008B22E2"/>
    <w:rsid w:val="008B34A1"/>
    <w:rsid w:val="008B3DFD"/>
    <w:rsid w:val="008B4B8A"/>
    <w:rsid w:val="008B4CFD"/>
    <w:rsid w:val="008C0A74"/>
    <w:rsid w:val="008C14B3"/>
    <w:rsid w:val="008C1F04"/>
    <w:rsid w:val="008C1FD9"/>
    <w:rsid w:val="008C2283"/>
    <w:rsid w:val="008C4214"/>
    <w:rsid w:val="008D07DC"/>
    <w:rsid w:val="008D3242"/>
    <w:rsid w:val="008D3C25"/>
    <w:rsid w:val="008D6AAF"/>
    <w:rsid w:val="008D7C4B"/>
    <w:rsid w:val="008E0294"/>
    <w:rsid w:val="008E0FBB"/>
    <w:rsid w:val="008E2143"/>
    <w:rsid w:val="008E2D1A"/>
    <w:rsid w:val="008E41E3"/>
    <w:rsid w:val="008E4FFF"/>
    <w:rsid w:val="008E6EA9"/>
    <w:rsid w:val="008F140A"/>
    <w:rsid w:val="008F1463"/>
    <w:rsid w:val="008F20BA"/>
    <w:rsid w:val="008F30F8"/>
    <w:rsid w:val="008F5167"/>
    <w:rsid w:val="008F6C61"/>
    <w:rsid w:val="0090013B"/>
    <w:rsid w:val="00901114"/>
    <w:rsid w:val="00901AEA"/>
    <w:rsid w:val="009058B5"/>
    <w:rsid w:val="00913334"/>
    <w:rsid w:val="0091761B"/>
    <w:rsid w:val="009203AE"/>
    <w:rsid w:val="00923728"/>
    <w:rsid w:val="00930D85"/>
    <w:rsid w:val="0093135A"/>
    <w:rsid w:val="00933317"/>
    <w:rsid w:val="009357DC"/>
    <w:rsid w:val="00940355"/>
    <w:rsid w:val="00943181"/>
    <w:rsid w:val="009431FD"/>
    <w:rsid w:val="0094423A"/>
    <w:rsid w:val="00944DDA"/>
    <w:rsid w:val="00944E8B"/>
    <w:rsid w:val="009461ED"/>
    <w:rsid w:val="00946658"/>
    <w:rsid w:val="0094702B"/>
    <w:rsid w:val="00951B3E"/>
    <w:rsid w:val="009528CD"/>
    <w:rsid w:val="00952A5F"/>
    <w:rsid w:val="009530FE"/>
    <w:rsid w:val="00953427"/>
    <w:rsid w:val="009538E6"/>
    <w:rsid w:val="00954BEE"/>
    <w:rsid w:val="00955901"/>
    <w:rsid w:val="00957F6C"/>
    <w:rsid w:val="009627C6"/>
    <w:rsid w:val="009648E1"/>
    <w:rsid w:val="00964B91"/>
    <w:rsid w:val="0096513A"/>
    <w:rsid w:val="00965C7B"/>
    <w:rsid w:val="009704E4"/>
    <w:rsid w:val="009711AC"/>
    <w:rsid w:val="009718D0"/>
    <w:rsid w:val="00972C30"/>
    <w:rsid w:val="009748E7"/>
    <w:rsid w:val="00975B74"/>
    <w:rsid w:val="009775C7"/>
    <w:rsid w:val="009816CB"/>
    <w:rsid w:val="009831DF"/>
    <w:rsid w:val="00984317"/>
    <w:rsid w:val="00990E29"/>
    <w:rsid w:val="009914D2"/>
    <w:rsid w:val="0099162A"/>
    <w:rsid w:val="00991F54"/>
    <w:rsid w:val="00994F79"/>
    <w:rsid w:val="009953DD"/>
    <w:rsid w:val="00997A1A"/>
    <w:rsid w:val="00997C0E"/>
    <w:rsid w:val="009A0ABF"/>
    <w:rsid w:val="009A0D39"/>
    <w:rsid w:val="009A320E"/>
    <w:rsid w:val="009A454A"/>
    <w:rsid w:val="009A4D50"/>
    <w:rsid w:val="009A5252"/>
    <w:rsid w:val="009B1F8C"/>
    <w:rsid w:val="009B2791"/>
    <w:rsid w:val="009B3377"/>
    <w:rsid w:val="009B37E4"/>
    <w:rsid w:val="009B3EE1"/>
    <w:rsid w:val="009B4BC1"/>
    <w:rsid w:val="009B52D9"/>
    <w:rsid w:val="009B5599"/>
    <w:rsid w:val="009B667A"/>
    <w:rsid w:val="009C196A"/>
    <w:rsid w:val="009C22BE"/>
    <w:rsid w:val="009C4821"/>
    <w:rsid w:val="009C5074"/>
    <w:rsid w:val="009D2079"/>
    <w:rsid w:val="009D28BE"/>
    <w:rsid w:val="009D7758"/>
    <w:rsid w:val="009E231A"/>
    <w:rsid w:val="009E2F64"/>
    <w:rsid w:val="009E3303"/>
    <w:rsid w:val="009E38D0"/>
    <w:rsid w:val="009E3F0D"/>
    <w:rsid w:val="009E442C"/>
    <w:rsid w:val="009F0B46"/>
    <w:rsid w:val="009F125A"/>
    <w:rsid w:val="009F4A54"/>
    <w:rsid w:val="009F4AFB"/>
    <w:rsid w:val="009F535B"/>
    <w:rsid w:val="009F6287"/>
    <w:rsid w:val="00A01350"/>
    <w:rsid w:val="00A013D8"/>
    <w:rsid w:val="00A0237A"/>
    <w:rsid w:val="00A04718"/>
    <w:rsid w:val="00A049E9"/>
    <w:rsid w:val="00A04FAB"/>
    <w:rsid w:val="00A0507E"/>
    <w:rsid w:val="00A05D3F"/>
    <w:rsid w:val="00A06230"/>
    <w:rsid w:val="00A106F5"/>
    <w:rsid w:val="00A10A6B"/>
    <w:rsid w:val="00A10E2B"/>
    <w:rsid w:val="00A12AAC"/>
    <w:rsid w:val="00A1445D"/>
    <w:rsid w:val="00A14EBF"/>
    <w:rsid w:val="00A20D56"/>
    <w:rsid w:val="00A2239A"/>
    <w:rsid w:val="00A24808"/>
    <w:rsid w:val="00A249A1"/>
    <w:rsid w:val="00A26596"/>
    <w:rsid w:val="00A30084"/>
    <w:rsid w:val="00A313AA"/>
    <w:rsid w:val="00A35A91"/>
    <w:rsid w:val="00A36F50"/>
    <w:rsid w:val="00A37247"/>
    <w:rsid w:val="00A37F2D"/>
    <w:rsid w:val="00A42AED"/>
    <w:rsid w:val="00A438B0"/>
    <w:rsid w:val="00A43EAC"/>
    <w:rsid w:val="00A44A17"/>
    <w:rsid w:val="00A45AC1"/>
    <w:rsid w:val="00A4678F"/>
    <w:rsid w:val="00A50895"/>
    <w:rsid w:val="00A53908"/>
    <w:rsid w:val="00A54952"/>
    <w:rsid w:val="00A567A3"/>
    <w:rsid w:val="00A56A4A"/>
    <w:rsid w:val="00A5730D"/>
    <w:rsid w:val="00A62116"/>
    <w:rsid w:val="00A6485A"/>
    <w:rsid w:val="00A651C6"/>
    <w:rsid w:val="00A670E0"/>
    <w:rsid w:val="00A726F5"/>
    <w:rsid w:val="00A73318"/>
    <w:rsid w:val="00A767FE"/>
    <w:rsid w:val="00A76AE9"/>
    <w:rsid w:val="00A83970"/>
    <w:rsid w:val="00A85614"/>
    <w:rsid w:val="00A85F81"/>
    <w:rsid w:val="00A863DF"/>
    <w:rsid w:val="00A9088D"/>
    <w:rsid w:val="00A9091A"/>
    <w:rsid w:val="00A93867"/>
    <w:rsid w:val="00A95601"/>
    <w:rsid w:val="00A97996"/>
    <w:rsid w:val="00A97BD0"/>
    <w:rsid w:val="00AA44D4"/>
    <w:rsid w:val="00AA69DD"/>
    <w:rsid w:val="00AB211C"/>
    <w:rsid w:val="00AB3AE1"/>
    <w:rsid w:val="00AB6A8B"/>
    <w:rsid w:val="00AB7C9D"/>
    <w:rsid w:val="00AC1C84"/>
    <w:rsid w:val="00AC2F43"/>
    <w:rsid w:val="00AC5CA4"/>
    <w:rsid w:val="00AC688A"/>
    <w:rsid w:val="00AC6C5B"/>
    <w:rsid w:val="00AC7CA5"/>
    <w:rsid w:val="00AD0DB2"/>
    <w:rsid w:val="00AD1704"/>
    <w:rsid w:val="00AD26AD"/>
    <w:rsid w:val="00AD303E"/>
    <w:rsid w:val="00AD520C"/>
    <w:rsid w:val="00AD6AEA"/>
    <w:rsid w:val="00AE5578"/>
    <w:rsid w:val="00AE7D4A"/>
    <w:rsid w:val="00AE7F42"/>
    <w:rsid w:val="00AF0BC3"/>
    <w:rsid w:val="00AF1005"/>
    <w:rsid w:val="00AF2285"/>
    <w:rsid w:val="00AF48A3"/>
    <w:rsid w:val="00AF4F6C"/>
    <w:rsid w:val="00AF5B61"/>
    <w:rsid w:val="00AF639B"/>
    <w:rsid w:val="00AF7175"/>
    <w:rsid w:val="00AF7FB1"/>
    <w:rsid w:val="00B0083A"/>
    <w:rsid w:val="00B00A2E"/>
    <w:rsid w:val="00B0189E"/>
    <w:rsid w:val="00B026DD"/>
    <w:rsid w:val="00B04BBF"/>
    <w:rsid w:val="00B05CEF"/>
    <w:rsid w:val="00B05F5C"/>
    <w:rsid w:val="00B12521"/>
    <w:rsid w:val="00B204D4"/>
    <w:rsid w:val="00B20E4A"/>
    <w:rsid w:val="00B22A06"/>
    <w:rsid w:val="00B22B14"/>
    <w:rsid w:val="00B23429"/>
    <w:rsid w:val="00B3050D"/>
    <w:rsid w:val="00B31400"/>
    <w:rsid w:val="00B31E28"/>
    <w:rsid w:val="00B34877"/>
    <w:rsid w:val="00B37D92"/>
    <w:rsid w:val="00B41272"/>
    <w:rsid w:val="00B41695"/>
    <w:rsid w:val="00B4237B"/>
    <w:rsid w:val="00B426FE"/>
    <w:rsid w:val="00B42FB9"/>
    <w:rsid w:val="00B4459D"/>
    <w:rsid w:val="00B4557F"/>
    <w:rsid w:val="00B5249B"/>
    <w:rsid w:val="00B52E06"/>
    <w:rsid w:val="00B55CB5"/>
    <w:rsid w:val="00B57444"/>
    <w:rsid w:val="00B6429B"/>
    <w:rsid w:val="00B642D9"/>
    <w:rsid w:val="00B64818"/>
    <w:rsid w:val="00B65DC2"/>
    <w:rsid w:val="00B6613F"/>
    <w:rsid w:val="00B703CA"/>
    <w:rsid w:val="00B72F0F"/>
    <w:rsid w:val="00B74C5C"/>
    <w:rsid w:val="00B77043"/>
    <w:rsid w:val="00B82882"/>
    <w:rsid w:val="00B8626B"/>
    <w:rsid w:val="00B86AE4"/>
    <w:rsid w:val="00B86D06"/>
    <w:rsid w:val="00B86EB2"/>
    <w:rsid w:val="00B92290"/>
    <w:rsid w:val="00B93F45"/>
    <w:rsid w:val="00B94B62"/>
    <w:rsid w:val="00BA048A"/>
    <w:rsid w:val="00BA44A8"/>
    <w:rsid w:val="00BA6381"/>
    <w:rsid w:val="00BA73C9"/>
    <w:rsid w:val="00BA7E22"/>
    <w:rsid w:val="00BB0339"/>
    <w:rsid w:val="00BB1089"/>
    <w:rsid w:val="00BB113D"/>
    <w:rsid w:val="00BB1B1C"/>
    <w:rsid w:val="00BB74CC"/>
    <w:rsid w:val="00BC038A"/>
    <w:rsid w:val="00BC1CB4"/>
    <w:rsid w:val="00BC211D"/>
    <w:rsid w:val="00BC474D"/>
    <w:rsid w:val="00BC64C6"/>
    <w:rsid w:val="00BC770A"/>
    <w:rsid w:val="00BC7C47"/>
    <w:rsid w:val="00BD022A"/>
    <w:rsid w:val="00BD02D6"/>
    <w:rsid w:val="00BD1A2A"/>
    <w:rsid w:val="00BD265C"/>
    <w:rsid w:val="00BD2D2B"/>
    <w:rsid w:val="00BD3B03"/>
    <w:rsid w:val="00BD7DCF"/>
    <w:rsid w:val="00BE214E"/>
    <w:rsid w:val="00BE4682"/>
    <w:rsid w:val="00BE77D0"/>
    <w:rsid w:val="00BE7C34"/>
    <w:rsid w:val="00BF0056"/>
    <w:rsid w:val="00BF096A"/>
    <w:rsid w:val="00BF0E74"/>
    <w:rsid w:val="00BF65B3"/>
    <w:rsid w:val="00BF690E"/>
    <w:rsid w:val="00BF7555"/>
    <w:rsid w:val="00C00708"/>
    <w:rsid w:val="00C01471"/>
    <w:rsid w:val="00C02958"/>
    <w:rsid w:val="00C04F41"/>
    <w:rsid w:val="00C053D5"/>
    <w:rsid w:val="00C1166B"/>
    <w:rsid w:val="00C1258B"/>
    <w:rsid w:val="00C1319A"/>
    <w:rsid w:val="00C16AD1"/>
    <w:rsid w:val="00C1738A"/>
    <w:rsid w:val="00C206A7"/>
    <w:rsid w:val="00C21688"/>
    <w:rsid w:val="00C22E64"/>
    <w:rsid w:val="00C25A12"/>
    <w:rsid w:val="00C26500"/>
    <w:rsid w:val="00C2741B"/>
    <w:rsid w:val="00C27EA6"/>
    <w:rsid w:val="00C30A35"/>
    <w:rsid w:val="00C31A1B"/>
    <w:rsid w:val="00C32532"/>
    <w:rsid w:val="00C328A9"/>
    <w:rsid w:val="00C35C51"/>
    <w:rsid w:val="00C37003"/>
    <w:rsid w:val="00C37DFE"/>
    <w:rsid w:val="00C4489E"/>
    <w:rsid w:val="00C45A6F"/>
    <w:rsid w:val="00C45D27"/>
    <w:rsid w:val="00C45F1E"/>
    <w:rsid w:val="00C45F5C"/>
    <w:rsid w:val="00C504E2"/>
    <w:rsid w:val="00C53ABD"/>
    <w:rsid w:val="00C54125"/>
    <w:rsid w:val="00C564D3"/>
    <w:rsid w:val="00C56BD1"/>
    <w:rsid w:val="00C57FD9"/>
    <w:rsid w:val="00C60357"/>
    <w:rsid w:val="00C604BC"/>
    <w:rsid w:val="00C607EC"/>
    <w:rsid w:val="00C60D82"/>
    <w:rsid w:val="00C62892"/>
    <w:rsid w:val="00C63294"/>
    <w:rsid w:val="00C64204"/>
    <w:rsid w:val="00C71EBF"/>
    <w:rsid w:val="00C748DF"/>
    <w:rsid w:val="00C750AF"/>
    <w:rsid w:val="00C754DD"/>
    <w:rsid w:val="00C77DC6"/>
    <w:rsid w:val="00C801DA"/>
    <w:rsid w:val="00C8528E"/>
    <w:rsid w:val="00C854F8"/>
    <w:rsid w:val="00C85C9C"/>
    <w:rsid w:val="00C86215"/>
    <w:rsid w:val="00C926F0"/>
    <w:rsid w:val="00C92E01"/>
    <w:rsid w:val="00C9656D"/>
    <w:rsid w:val="00C96D81"/>
    <w:rsid w:val="00C971DE"/>
    <w:rsid w:val="00CA3E79"/>
    <w:rsid w:val="00CA43D1"/>
    <w:rsid w:val="00CA4AFC"/>
    <w:rsid w:val="00CA7839"/>
    <w:rsid w:val="00CB1DEF"/>
    <w:rsid w:val="00CB29AE"/>
    <w:rsid w:val="00CB3B99"/>
    <w:rsid w:val="00CB3CC6"/>
    <w:rsid w:val="00CB4805"/>
    <w:rsid w:val="00CC102A"/>
    <w:rsid w:val="00CC145C"/>
    <w:rsid w:val="00CC3FB1"/>
    <w:rsid w:val="00CC7D90"/>
    <w:rsid w:val="00CD1479"/>
    <w:rsid w:val="00CD40B9"/>
    <w:rsid w:val="00CD5F32"/>
    <w:rsid w:val="00CD6067"/>
    <w:rsid w:val="00CD7A93"/>
    <w:rsid w:val="00CD7ADC"/>
    <w:rsid w:val="00CD7D23"/>
    <w:rsid w:val="00CE0A7A"/>
    <w:rsid w:val="00CE2203"/>
    <w:rsid w:val="00CE403C"/>
    <w:rsid w:val="00CE6A9A"/>
    <w:rsid w:val="00CE76A8"/>
    <w:rsid w:val="00CF18BF"/>
    <w:rsid w:val="00CF3A8D"/>
    <w:rsid w:val="00CF3C13"/>
    <w:rsid w:val="00CF3CED"/>
    <w:rsid w:val="00CF45AC"/>
    <w:rsid w:val="00CF7805"/>
    <w:rsid w:val="00D004E8"/>
    <w:rsid w:val="00D00E55"/>
    <w:rsid w:val="00D04731"/>
    <w:rsid w:val="00D063C1"/>
    <w:rsid w:val="00D06DC1"/>
    <w:rsid w:val="00D104F5"/>
    <w:rsid w:val="00D11C4B"/>
    <w:rsid w:val="00D1397B"/>
    <w:rsid w:val="00D22339"/>
    <w:rsid w:val="00D23CAA"/>
    <w:rsid w:val="00D25DC2"/>
    <w:rsid w:val="00D27911"/>
    <w:rsid w:val="00D31B8E"/>
    <w:rsid w:val="00D32C19"/>
    <w:rsid w:val="00D33993"/>
    <w:rsid w:val="00D34DE4"/>
    <w:rsid w:val="00D417AC"/>
    <w:rsid w:val="00D43B5F"/>
    <w:rsid w:val="00D4456E"/>
    <w:rsid w:val="00D4505B"/>
    <w:rsid w:val="00D46BFF"/>
    <w:rsid w:val="00D5024D"/>
    <w:rsid w:val="00D50CCD"/>
    <w:rsid w:val="00D51D8D"/>
    <w:rsid w:val="00D51E08"/>
    <w:rsid w:val="00D5236A"/>
    <w:rsid w:val="00D53238"/>
    <w:rsid w:val="00D5402C"/>
    <w:rsid w:val="00D55949"/>
    <w:rsid w:val="00D56292"/>
    <w:rsid w:val="00D57BE8"/>
    <w:rsid w:val="00D57EF5"/>
    <w:rsid w:val="00D616D0"/>
    <w:rsid w:val="00D628A7"/>
    <w:rsid w:val="00D62AE8"/>
    <w:rsid w:val="00D63DAB"/>
    <w:rsid w:val="00D67DD5"/>
    <w:rsid w:val="00D70F08"/>
    <w:rsid w:val="00D71B30"/>
    <w:rsid w:val="00D7285E"/>
    <w:rsid w:val="00D73801"/>
    <w:rsid w:val="00D77B91"/>
    <w:rsid w:val="00D806B0"/>
    <w:rsid w:val="00D84E92"/>
    <w:rsid w:val="00D867C8"/>
    <w:rsid w:val="00D8702A"/>
    <w:rsid w:val="00D87DD1"/>
    <w:rsid w:val="00D93714"/>
    <w:rsid w:val="00D9422D"/>
    <w:rsid w:val="00DA3594"/>
    <w:rsid w:val="00DA47A0"/>
    <w:rsid w:val="00DA74DF"/>
    <w:rsid w:val="00DB0B5B"/>
    <w:rsid w:val="00DB1222"/>
    <w:rsid w:val="00DB167B"/>
    <w:rsid w:val="00DB5583"/>
    <w:rsid w:val="00DB599C"/>
    <w:rsid w:val="00DB5BE4"/>
    <w:rsid w:val="00DB6DBE"/>
    <w:rsid w:val="00DC1341"/>
    <w:rsid w:val="00DC15B1"/>
    <w:rsid w:val="00DC189A"/>
    <w:rsid w:val="00DC209A"/>
    <w:rsid w:val="00DC5F5C"/>
    <w:rsid w:val="00DC6FA4"/>
    <w:rsid w:val="00DD224E"/>
    <w:rsid w:val="00DD3367"/>
    <w:rsid w:val="00DD3552"/>
    <w:rsid w:val="00DD383E"/>
    <w:rsid w:val="00DD417D"/>
    <w:rsid w:val="00DD6ACF"/>
    <w:rsid w:val="00DE0870"/>
    <w:rsid w:val="00DE2C71"/>
    <w:rsid w:val="00DE68AA"/>
    <w:rsid w:val="00DE7BB3"/>
    <w:rsid w:val="00DF0006"/>
    <w:rsid w:val="00DF0F9A"/>
    <w:rsid w:val="00DF2C7E"/>
    <w:rsid w:val="00DF32E9"/>
    <w:rsid w:val="00DF5394"/>
    <w:rsid w:val="00DF5DA5"/>
    <w:rsid w:val="00DF68B3"/>
    <w:rsid w:val="00E013A9"/>
    <w:rsid w:val="00E01AF1"/>
    <w:rsid w:val="00E03ABD"/>
    <w:rsid w:val="00E0408B"/>
    <w:rsid w:val="00E06B95"/>
    <w:rsid w:val="00E11A67"/>
    <w:rsid w:val="00E123CB"/>
    <w:rsid w:val="00E14863"/>
    <w:rsid w:val="00E14FA9"/>
    <w:rsid w:val="00E15811"/>
    <w:rsid w:val="00E16880"/>
    <w:rsid w:val="00E236D0"/>
    <w:rsid w:val="00E23A2B"/>
    <w:rsid w:val="00E2470D"/>
    <w:rsid w:val="00E25005"/>
    <w:rsid w:val="00E274AA"/>
    <w:rsid w:val="00E3142E"/>
    <w:rsid w:val="00E360AF"/>
    <w:rsid w:val="00E365F8"/>
    <w:rsid w:val="00E4381D"/>
    <w:rsid w:val="00E45572"/>
    <w:rsid w:val="00E45A10"/>
    <w:rsid w:val="00E4619A"/>
    <w:rsid w:val="00E46E10"/>
    <w:rsid w:val="00E51923"/>
    <w:rsid w:val="00E52313"/>
    <w:rsid w:val="00E55E24"/>
    <w:rsid w:val="00E568E7"/>
    <w:rsid w:val="00E56EC1"/>
    <w:rsid w:val="00E57478"/>
    <w:rsid w:val="00E57BCF"/>
    <w:rsid w:val="00E60381"/>
    <w:rsid w:val="00E6243E"/>
    <w:rsid w:val="00E62FDF"/>
    <w:rsid w:val="00E647CE"/>
    <w:rsid w:val="00E72339"/>
    <w:rsid w:val="00E7250E"/>
    <w:rsid w:val="00E72B49"/>
    <w:rsid w:val="00E766F3"/>
    <w:rsid w:val="00E76AAF"/>
    <w:rsid w:val="00E776FC"/>
    <w:rsid w:val="00E80933"/>
    <w:rsid w:val="00E81137"/>
    <w:rsid w:val="00E81A91"/>
    <w:rsid w:val="00E935E0"/>
    <w:rsid w:val="00E93BB1"/>
    <w:rsid w:val="00E94B4E"/>
    <w:rsid w:val="00E95812"/>
    <w:rsid w:val="00E95948"/>
    <w:rsid w:val="00E9658B"/>
    <w:rsid w:val="00E96BB6"/>
    <w:rsid w:val="00EA06FB"/>
    <w:rsid w:val="00EA2DDA"/>
    <w:rsid w:val="00EA6B85"/>
    <w:rsid w:val="00EA7709"/>
    <w:rsid w:val="00EA7780"/>
    <w:rsid w:val="00EB051E"/>
    <w:rsid w:val="00EB0AD6"/>
    <w:rsid w:val="00EB2B97"/>
    <w:rsid w:val="00EB4282"/>
    <w:rsid w:val="00EB68C5"/>
    <w:rsid w:val="00EB7E88"/>
    <w:rsid w:val="00EC0CAE"/>
    <w:rsid w:val="00EC1A52"/>
    <w:rsid w:val="00EC29E3"/>
    <w:rsid w:val="00EC3813"/>
    <w:rsid w:val="00EC3B91"/>
    <w:rsid w:val="00EC6B66"/>
    <w:rsid w:val="00EC78C8"/>
    <w:rsid w:val="00EC7F98"/>
    <w:rsid w:val="00ED093F"/>
    <w:rsid w:val="00ED11BC"/>
    <w:rsid w:val="00ED19F0"/>
    <w:rsid w:val="00ED21A4"/>
    <w:rsid w:val="00ED24F6"/>
    <w:rsid w:val="00ED49EF"/>
    <w:rsid w:val="00ED4D6D"/>
    <w:rsid w:val="00ED533D"/>
    <w:rsid w:val="00ED5DD0"/>
    <w:rsid w:val="00ED660C"/>
    <w:rsid w:val="00ED796A"/>
    <w:rsid w:val="00EE0538"/>
    <w:rsid w:val="00EE2B23"/>
    <w:rsid w:val="00EE3741"/>
    <w:rsid w:val="00EE42D9"/>
    <w:rsid w:val="00EE541D"/>
    <w:rsid w:val="00EE57C3"/>
    <w:rsid w:val="00EE606D"/>
    <w:rsid w:val="00EE67B3"/>
    <w:rsid w:val="00EF0370"/>
    <w:rsid w:val="00EF1DC8"/>
    <w:rsid w:val="00EF4406"/>
    <w:rsid w:val="00EF6A11"/>
    <w:rsid w:val="00EF6B4A"/>
    <w:rsid w:val="00EF6FA8"/>
    <w:rsid w:val="00F00649"/>
    <w:rsid w:val="00F00893"/>
    <w:rsid w:val="00F02D31"/>
    <w:rsid w:val="00F02FBB"/>
    <w:rsid w:val="00F030A0"/>
    <w:rsid w:val="00F0679C"/>
    <w:rsid w:val="00F067FE"/>
    <w:rsid w:val="00F07FBD"/>
    <w:rsid w:val="00F12136"/>
    <w:rsid w:val="00F1213E"/>
    <w:rsid w:val="00F131E8"/>
    <w:rsid w:val="00F1329B"/>
    <w:rsid w:val="00F14316"/>
    <w:rsid w:val="00F151F3"/>
    <w:rsid w:val="00F2081E"/>
    <w:rsid w:val="00F22166"/>
    <w:rsid w:val="00F235D7"/>
    <w:rsid w:val="00F26D75"/>
    <w:rsid w:val="00F3099A"/>
    <w:rsid w:val="00F309AF"/>
    <w:rsid w:val="00F329DE"/>
    <w:rsid w:val="00F32E23"/>
    <w:rsid w:val="00F36FEB"/>
    <w:rsid w:val="00F37E3D"/>
    <w:rsid w:val="00F41C67"/>
    <w:rsid w:val="00F42764"/>
    <w:rsid w:val="00F432D3"/>
    <w:rsid w:val="00F43798"/>
    <w:rsid w:val="00F51F18"/>
    <w:rsid w:val="00F551F0"/>
    <w:rsid w:val="00F60A72"/>
    <w:rsid w:val="00F60BA5"/>
    <w:rsid w:val="00F6185A"/>
    <w:rsid w:val="00F65BD6"/>
    <w:rsid w:val="00F67669"/>
    <w:rsid w:val="00F71C38"/>
    <w:rsid w:val="00F73DC3"/>
    <w:rsid w:val="00F741F3"/>
    <w:rsid w:val="00F804CF"/>
    <w:rsid w:val="00F8089D"/>
    <w:rsid w:val="00F808D6"/>
    <w:rsid w:val="00F8264A"/>
    <w:rsid w:val="00F8762F"/>
    <w:rsid w:val="00F93048"/>
    <w:rsid w:val="00F93D41"/>
    <w:rsid w:val="00F94B87"/>
    <w:rsid w:val="00FA4A3E"/>
    <w:rsid w:val="00FA4B58"/>
    <w:rsid w:val="00FA5ECD"/>
    <w:rsid w:val="00FA79F7"/>
    <w:rsid w:val="00FB036A"/>
    <w:rsid w:val="00FB2262"/>
    <w:rsid w:val="00FB334A"/>
    <w:rsid w:val="00FB3D29"/>
    <w:rsid w:val="00FB525A"/>
    <w:rsid w:val="00FB53FA"/>
    <w:rsid w:val="00FC1048"/>
    <w:rsid w:val="00FC40E9"/>
    <w:rsid w:val="00FC7A19"/>
    <w:rsid w:val="00FD0718"/>
    <w:rsid w:val="00FD1163"/>
    <w:rsid w:val="00FD31FB"/>
    <w:rsid w:val="00FD49C6"/>
    <w:rsid w:val="00FD51B7"/>
    <w:rsid w:val="00FD57B1"/>
    <w:rsid w:val="00FD6A19"/>
    <w:rsid w:val="00FD7E02"/>
    <w:rsid w:val="00FE31F1"/>
    <w:rsid w:val="00FE3F74"/>
    <w:rsid w:val="00FE4A2D"/>
    <w:rsid w:val="00FE5632"/>
    <w:rsid w:val="00FE58B3"/>
    <w:rsid w:val="00FE6D85"/>
    <w:rsid w:val="00FE7CF2"/>
    <w:rsid w:val="00FF1E3B"/>
    <w:rsid w:val="00FF2188"/>
    <w:rsid w:val="00FF2C42"/>
    <w:rsid w:val="00FF40A0"/>
    <w:rsid w:val="00FF41C9"/>
    <w:rsid w:val="00FF4ACC"/>
    <w:rsid w:val="00FF4C71"/>
    <w:rsid w:val="00FF4CA7"/>
    <w:rsid w:val="00FF5931"/>
    <w:rsid w:val="00FF739D"/>
    <w:rsid w:val="00FF777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4F7A35"/>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387310"/>
    <w:pPr>
      <w:spacing w:before="240"/>
      <w:outlineLvl w:val="3"/>
    </w:pPr>
    <w:rPr>
      <w:rFonts w:ascii="Tahoma" w:hAnsi="Tahoma"/>
      <w:i/>
      <w:sz w:val="22"/>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4F7A35"/>
    <w:pPr>
      <w:tabs>
        <w:tab w:val="right" w:pos="8136"/>
      </w:tabs>
      <w:spacing w:before="80"/>
      <w:ind w:left="567" w:right="652"/>
    </w:pPr>
    <w:rPr>
      <w:sz w:val="17"/>
    </w:rPr>
  </w:style>
  <w:style w:type="paragraph" w:customStyle="1" w:styleId="References">
    <w:name w:val="References"/>
    <w:rsid w:val="00C504E2"/>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F7A35"/>
    <w:pPr>
      <w:numPr>
        <w:numId w:val="1"/>
      </w:numPr>
      <w:tabs>
        <w:tab w:val="left" w:pos="284"/>
      </w:tabs>
      <w:spacing w:before="8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387310"/>
    <w:pPr>
      <w:numPr>
        <w:numId w:val="3"/>
      </w:numPr>
      <w:spacing w:before="80" w:line="300" w:lineRule="exact"/>
      <w:ind w:left="284" w:hanging="284"/>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CB29AE"/>
    <w:pPr>
      <w:tabs>
        <w:tab w:val="left" w:pos="1418"/>
      </w:tabs>
      <w:spacing w:before="0" w:line="220" w:lineRule="exact"/>
      <w:ind w:left="227" w:right="0" w:hanging="227"/>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3A1249"/>
    <w:rPr>
      <w:rFonts w:ascii="Trebuchet MS" w:hAnsi="Trebuchet MS"/>
      <w:color w:val="000000" w:themeColor="text1"/>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styleId="FootnoteReference">
    <w:name w:val="footnote reference"/>
    <w:basedOn w:val="DefaultParagraphFont"/>
    <w:uiPriority w:val="99"/>
    <w:rsid w:val="00ED660C"/>
    <w:rPr>
      <w:vertAlign w:val="superscript"/>
    </w:rPr>
  </w:style>
  <w:style w:type="character" w:customStyle="1" w:styleId="FootnoteTextChar">
    <w:name w:val="Footnote Text Char"/>
    <w:basedOn w:val="DefaultParagraphFont"/>
    <w:link w:val="FootnoteText"/>
    <w:uiPriority w:val="99"/>
    <w:rsid w:val="00CB29AE"/>
    <w:rPr>
      <w:rFonts w:ascii="Trebuchet MS" w:hAnsi="Trebuchet MS"/>
      <w:sz w:val="16"/>
      <w:lang w:val="en-AU"/>
    </w:rPr>
  </w:style>
  <w:style w:type="paragraph" w:customStyle="1" w:styleId="0">
    <w:name w:val="0"/>
    <w:basedOn w:val="Normal"/>
    <w:rsid w:val="00002B3A"/>
    <w:pPr>
      <w:spacing w:before="100" w:beforeAutospacing="1" w:after="100" w:afterAutospacing="1" w:line="240" w:lineRule="auto"/>
    </w:pPr>
    <w:rPr>
      <w:rFonts w:ascii="Gulim" w:eastAsia="Gulim" w:hAnsiTheme="minorHAnsi" w:cs="Gulim"/>
      <w:sz w:val="24"/>
      <w:szCs w:val="24"/>
      <w:lang w:eastAsia="ko-KR"/>
    </w:rPr>
  </w:style>
  <w:style w:type="character" w:customStyle="1" w:styleId="Heading1Char">
    <w:name w:val="Heading 1 Char"/>
    <w:basedOn w:val="DefaultParagraphFont"/>
    <w:link w:val="Heading1"/>
    <w:rsid w:val="008D3242"/>
    <w:rPr>
      <w:rFonts w:ascii="Tahoma" w:hAnsi="Tahoma" w:cs="Tahoma"/>
      <w:color w:val="000000"/>
      <w:kern w:val="28"/>
      <w:sz w:val="56"/>
      <w:szCs w:val="56"/>
      <w:lang w:val="en-AU"/>
    </w:rPr>
  </w:style>
  <w:style w:type="character" w:customStyle="1" w:styleId="Heading2Char">
    <w:name w:val="Heading 2 Char"/>
    <w:basedOn w:val="DefaultParagraphFont"/>
    <w:link w:val="Heading2"/>
    <w:rsid w:val="008D3242"/>
    <w:rPr>
      <w:rFonts w:ascii="Tahoma" w:hAnsi="Tahoma" w:cs="Tahoma"/>
      <w:sz w:val="28"/>
      <w:lang w:val="en-AU"/>
    </w:rPr>
  </w:style>
  <w:style w:type="character" w:customStyle="1" w:styleId="NoSpacingChar">
    <w:name w:val="No Spacing Char"/>
    <w:basedOn w:val="DefaultParagraphFont"/>
    <w:link w:val="NoSpacing"/>
    <w:uiPriority w:val="1"/>
    <w:locked/>
    <w:rsid w:val="006C5A6F"/>
    <w:rPr>
      <w:rFonts w:asciiTheme="minorHAnsi" w:eastAsiaTheme="minorHAnsi" w:hAnsiTheme="minorHAnsi" w:cstheme="minorBidi"/>
      <w:sz w:val="22"/>
      <w:szCs w:val="22"/>
      <w:lang w:val="en-AU"/>
    </w:rPr>
  </w:style>
  <w:style w:type="paragraph" w:styleId="NoSpacing">
    <w:name w:val="No Spacing"/>
    <w:link w:val="NoSpacingChar"/>
    <w:uiPriority w:val="1"/>
    <w:qFormat/>
    <w:rsid w:val="006C5A6F"/>
    <w:rPr>
      <w:rFonts w:asciiTheme="minorHAnsi" w:eastAsiaTheme="minorHAnsi" w:hAnsiTheme="minorHAnsi" w:cstheme="minorBidi"/>
      <w:sz w:val="22"/>
      <w:szCs w:val="22"/>
      <w:lang w:val="en-AU"/>
    </w:rPr>
  </w:style>
  <w:style w:type="character" w:customStyle="1" w:styleId="groupname">
    <w:name w:val="groupname"/>
    <w:basedOn w:val="DefaultParagraphFont"/>
    <w:rsid w:val="007E2786"/>
  </w:style>
  <w:style w:type="character" w:customStyle="1" w:styleId="pubyear">
    <w:name w:val="pubyear"/>
    <w:basedOn w:val="DefaultParagraphFont"/>
    <w:rsid w:val="007E2786"/>
  </w:style>
  <w:style w:type="character" w:styleId="HTMLCite">
    <w:name w:val="HTML Cite"/>
    <w:basedOn w:val="DefaultParagraphFont"/>
    <w:uiPriority w:val="99"/>
    <w:semiHidden/>
    <w:unhideWhenUsed/>
    <w:rsid w:val="007E2786"/>
    <w:rPr>
      <w:i/>
      <w:iCs/>
    </w:rPr>
  </w:style>
  <w:style w:type="character" w:customStyle="1" w:styleId="headerslevel11">
    <w:name w:val="headerslevel11"/>
    <w:basedOn w:val="DefaultParagraphFont"/>
    <w:rsid w:val="000B1EAD"/>
    <w:rPr>
      <w:rFonts w:ascii="Verdana" w:hAnsi="Verdana" w:hint="default"/>
      <w:b/>
      <w:bCs/>
      <w:color w:val="232F63"/>
      <w:sz w:val="21"/>
      <w:szCs w:val="21"/>
    </w:rPr>
  </w:style>
  <w:style w:type="character" w:customStyle="1" w:styleId="headerslevel23">
    <w:name w:val="headerslevel23"/>
    <w:basedOn w:val="DefaultParagraphFont"/>
    <w:rsid w:val="000B1EAD"/>
    <w:rPr>
      <w:rFonts w:ascii="Verdana" w:hAnsi="Verdana" w:hint="default"/>
      <w:b/>
      <w:bCs/>
      <w:caps/>
      <w:color w:val="232F63"/>
      <w:sz w:val="18"/>
      <w:szCs w:val="18"/>
    </w:rPr>
  </w:style>
  <w:style w:type="character" w:styleId="CommentReference">
    <w:name w:val="annotation reference"/>
    <w:basedOn w:val="DefaultParagraphFont"/>
    <w:uiPriority w:val="99"/>
    <w:semiHidden/>
    <w:rsid w:val="00F65BD6"/>
    <w:rPr>
      <w:sz w:val="16"/>
      <w:szCs w:val="16"/>
    </w:rPr>
  </w:style>
  <w:style w:type="paragraph" w:styleId="CommentText">
    <w:name w:val="annotation text"/>
    <w:basedOn w:val="Normal"/>
    <w:link w:val="CommentTextChar"/>
    <w:uiPriority w:val="99"/>
    <w:semiHidden/>
    <w:rsid w:val="00F65BD6"/>
    <w:pPr>
      <w:spacing w:line="240" w:lineRule="auto"/>
    </w:pPr>
    <w:rPr>
      <w:sz w:val="20"/>
    </w:rPr>
  </w:style>
  <w:style w:type="character" w:customStyle="1" w:styleId="CommentTextChar">
    <w:name w:val="Comment Text Char"/>
    <w:basedOn w:val="DefaultParagraphFont"/>
    <w:link w:val="CommentText"/>
    <w:uiPriority w:val="99"/>
    <w:semiHidden/>
    <w:rsid w:val="00F65BD6"/>
    <w:rPr>
      <w:rFonts w:ascii="Trebuchet MS" w:hAnsi="Trebuchet MS"/>
      <w:lang w:val="en-AU"/>
    </w:rPr>
  </w:style>
  <w:style w:type="paragraph" w:styleId="CommentSubject">
    <w:name w:val="annotation subject"/>
    <w:basedOn w:val="CommentText"/>
    <w:next w:val="CommentText"/>
    <w:link w:val="CommentSubjectChar"/>
    <w:uiPriority w:val="99"/>
    <w:semiHidden/>
    <w:rsid w:val="00F65BD6"/>
    <w:rPr>
      <w:b/>
      <w:bCs/>
    </w:rPr>
  </w:style>
  <w:style w:type="character" w:customStyle="1" w:styleId="CommentSubjectChar">
    <w:name w:val="Comment Subject Char"/>
    <w:basedOn w:val="CommentTextChar"/>
    <w:link w:val="CommentSubject"/>
    <w:uiPriority w:val="99"/>
    <w:semiHidden/>
    <w:rsid w:val="00F65BD6"/>
    <w:rPr>
      <w:rFonts w:ascii="Trebuchet MS" w:hAnsi="Trebuchet MS"/>
      <w:b/>
      <w:bCs/>
      <w:lang w:val="en-AU"/>
    </w:rPr>
  </w:style>
  <w:style w:type="paragraph" w:customStyle="1" w:styleId="Textlessbefore">
    <w:name w:val="Text less # before"/>
    <w:basedOn w:val="Text"/>
    <w:uiPriority w:val="1"/>
    <w:qFormat/>
    <w:rsid w:val="004F7A35"/>
    <w:pPr>
      <w:spacing w:before="8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4F7A35"/>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387310"/>
    <w:pPr>
      <w:spacing w:before="240"/>
      <w:outlineLvl w:val="3"/>
    </w:pPr>
    <w:rPr>
      <w:rFonts w:ascii="Tahoma" w:hAnsi="Tahoma"/>
      <w:i/>
      <w:sz w:val="22"/>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4F7A35"/>
    <w:pPr>
      <w:tabs>
        <w:tab w:val="right" w:pos="8136"/>
      </w:tabs>
      <w:spacing w:before="80"/>
      <w:ind w:left="567" w:right="652"/>
    </w:pPr>
    <w:rPr>
      <w:sz w:val="17"/>
    </w:rPr>
  </w:style>
  <w:style w:type="paragraph" w:customStyle="1" w:styleId="References">
    <w:name w:val="References"/>
    <w:rsid w:val="00C504E2"/>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F7A35"/>
    <w:pPr>
      <w:numPr>
        <w:numId w:val="1"/>
      </w:numPr>
      <w:tabs>
        <w:tab w:val="left" w:pos="284"/>
      </w:tabs>
      <w:spacing w:before="8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387310"/>
    <w:pPr>
      <w:numPr>
        <w:numId w:val="3"/>
      </w:numPr>
      <w:spacing w:before="80" w:line="300" w:lineRule="exact"/>
      <w:ind w:left="284" w:hanging="284"/>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CB29AE"/>
    <w:pPr>
      <w:tabs>
        <w:tab w:val="left" w:pos="1418"/>
      </w:tabs>
      <w:spacing w:before="0" w:line="220" w:lineRule="exact"/>
      <w:ind w:left="227" w:right="0" w:hanging="227"/>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3A1249"/>
    <w:rPr>
      <w:rFonts w:ascii="Trebuchet MS" w:hAnsi="Trebuchet MS"/>
      <w:color w:val="000000" w:themeColor="text1"/>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styleId="FootnoteReference">
    <w:name w:val="footnote reference"/>
    <w:basedOn w:val="DefaultParagraphFont"/>
    <w:uiPriority w:val="99"/>
    <w:rsid w:val="00ED660C"/>
    <w:rPr>
      <w:vertAlign w:val="superscript"/>
    </w:rPr>
  </w:style>
  <w:style w:type="character" w:customStyle="1" w:styleId="FootnoteTextChar">
    <w:name w:val="Footnote Text Char"/>
    <w:basedOn w:val="DefaultParagraphFont"/>
    <w:link w:val="FootnoteText"/>
    <w:uiPriority w:val="99"/>
    <w:rsid w:val="00CB29AE"/>
    <w:rPr>
      <w:rFonts w:ascii="Trebuchet MS" w:hAnsi="Trebuchet MS"/>
      <w:sz w:val="16"/>
      <w:lang w:val="en-AU"/>
    </w:rPr>
  </w:style>
  <w:style w:type="paragraph" w:customStyle="1" w:styleId="0">
    <w:name w:val="0"/>
    <w:basedOn w:val="Normal"/>
    <w:rsid w:val="00002B3A"/>
    <w:pPr>
      <w:spacing w:before="100" w:beforeAutospacing="1" w:after="100" w:afterAutospacing="1" w:line="240" w:lineRule="auto"/>
    </w:pPr>
    <w:rPr>
      <w:rFonts w:ascii="Gulim" w:eastAsia="Gulim" w:hAnsiTheme="minorHAnsi" w:cs="Gulim"/>
      <w:sz w:val="24"/>
      <w:szCs w:val="24"/>
      <w:lang w:eastAsia="ko-KR"/>
    </w:rPr>
  </w:style>
  <w:style w:type="character" w:customStyle="1" w:styleId="Heading1Char">
    <w:name w:val="Heading 1 Char"/>
    <w:basedOn w:val="DefaultParagraphFont"/>
    <w:link w:val="Heading1"/>
    <w:rsid w:val="008D3242"/>
    <w:rPr>
      <w:rFonts w:ascii="Tahoma" w:hAnsi="Tahoma" w:cs="Tahoma"/>
      <w:color w:val="000000"/>
      <w:kern w:val="28"/>
      <w:sz w:val="56"/>
      <w:szCs w:val="56"/>
      <w:lang w:val="en-AU"/>
    </w:rPr>
  </w:style>
  <w:style w:type="character" w:customStyle="1" w:styleId="Heading2Char">
    <w:name w:val="Heading 2 Char"/>
    <w:basedOn w:val="DefaultParagraphFont"/>
    <w:link w:val="Heading2"/>
    <w:rsid w:val="008D3242"/>
    <w:rPr>
      <w:rFonts w:ascii="Tahoma" w:hAnsi="Tahoma" w:cs="Tahoma"/>
      <w:sz w:val="28"/>
      <w:lang w:val="en-AU"/>
    </w:rPr>
  </w:style>
  <w:style w:type="character" w:customStyle="1" w:styleId="NoSpacingChar">
    <w:name w:val="No Spacing Char"/>
    <w:basedOn w:val="DefaultParagraphFont"/>
    <w:link w:val="NoSpacing"/>
    <w:uiPriority w:val="1"/>
    <w:locked/>
    <w:rsid w:val="006C5A6F"/>
    <w:rPr>
      <w:rFonts w:asciiTheme="minorHAnsi" w:eastAsiaTheme="minorHAnsi" w:hAnsiTheme="minorHAnsi" w:cstheme="minorBidi"/>
      <w:sz w:val="22"/>
      <w:szCs w:val="22"/>
      <w:lang w:val="en-AU"/>
    </w:rPr>
  </w:style>
  <w:style w:type="paragraph" w:styleId="NoSpacing">
    <w:name w:val="No Spacing"/>
    <w:link w:val="NoSpacingChar"/>
    <w:uiPriority w:val="1"/>
    <w:qFormat/>
    <w:rsid w:val="006C5A6F"/>
    <w:rPr>
      <w:rFonts w:asciiTheme="minorHAnsi" w:eastAsiaTheme="minorHAnsi" w:hAnsiTheme="minorHAnsi" w:cstheme="minorBidi"/>
      <w:sz w:val="22"/>
      <w:szCs w:val="22"/>
      <w:lang w:val="en-AU"/>
    </w:rPr>
  </w:style>
  <w:style w:type="character" w:customStyle="1" w:styleId="groupname">
    <w:name w:val="groupname"/>
    <w:basedOn w:val="DefaultParagraphFont"/>
    <w:rsid w:val="007E2786"/>
  </w:style>
  <w:style w:type="character" w:customStyle="1" w:styleId="pubyear">
    <w:name w:val="pubyear"/>
    <w:basedOn w:val="DefaultParagraphFont"/>
    <w:rsid w:val="007E2786"/>
  </w:style>
  <w:style w:type="character" w:styleId="HTMLCite">
    <w:name w:val="HTML Cite"/>
    <w:basedOn w:val="DefaultParagraphFont"/>
    <w:uiPriority w:val="99"/>
    <w:semiHidden/>
    <w:unhideWhenUsed/>
    <w:rsid w:val="007E2786"/>
    <w:rPr>
      <w:i/>
      <w:iCs/>
    </w:rPr>
  </w:style>
  <w:style w:type="character" w:customStyle="1" w:styleId="headerslevel11">
    <w:name w:val="headerslevel11"/>
    <w:basedOn w:val="DefaultParagraphFont"/>
    <w:rsid w:val="000B1EAD"/>
    <w:rPr>
      <w:rFonts w:ascii="Verdana" w:hAnsi="Verdana" w:hint="default"/>
      <w:b/>
      <w:bCs/>
      <w:color w:val="232F63"/>
      <w:sz w:val="21"/>
      <w:szCs w:val="21"/>
    </w:rPr>
  </w:style>
  <w:style w:type="character" w:customStyle="1" w:styleId="headerslevel23">
    <w:name w:val="headerslevel23"/>
    <w:basedOn w:val="DefaultParagraphFont"/>
    <w:rsid w:val="000B1EAD"/>
    <w:rPr>
      <w:rFonts w:ascii="Verdana" w:hAnsi="Verdana" w:hint="default"/>
      <w:b/>
      <w:bCs/>
      <w:caps/>
      <w:color w:val="232F63"/>
      <w:sz w:val="18"/>
      <w:szCs w:val="18"/>
    </w:rPr>
  </w:style>
  <w:style w:type="character" w:styleId="CommentReference">
    <w:name w:val="annotation reference"/>
    <w:basedOn w:val="DefaultParagraphFont"/>
    <w:uiPriority w:val="99"/>
    <w:semiHidden/>
    <w:rsid w:val="00F65BD6"/>
    <w:rPr>
      <w:sz w:val="16"/>
      <w:szCs w:val="16"/>
    </w:rPr>
  </w:style>
  <w:style w:type="paragraph" w:styleId="CommentText">
    <w:name w:val="annotation text"/>
    <w:basedOn w:val="Normal"/>
    <w:link w:val="CommentTextChar"/>
    <w:uiPriority w:val="99"/>
    <w:semiHidden/>
    <w:rsid w:val="00F65BD6"/>
    <w:pPr>
      <w:spacing w:line="240" w:lineRule="auto"/>
    </w:pPr>
    <w:rPr>
      <w:sz w:val="20"/>
    </w:rPr>
  </w:style>
  <w:style w:type="character" w:customStyle="1" w:styleId="CommentTextChar">
    <w:name w:val="Comment Text Char"/>
    <w:basedOn w:val="DefaultParagraphFont"/>
    <w:link w:val="CommentText"/>
    <w:uiPriority w:val="99"/>
    <w:semiHidden/>
    <w:rsid w:val="00F65BD6"/>
    <w:rPr>
      <w:rFonts w:ascii="Trebuchet MS" w:hAnsi="Trebuchet MS"/>
      <w:lang w:val="en-AU"/>
    </w:rPr>
  </w:style>
  <w:style w:type="paragraph" w:styleId="CommentSubject">
    <w:name w:val="annotation subject"/>
    <w:basedOn w:val="CommentText"/>
    <w:next w:val="CommentText"/>
    <w:link w:val="CommentSubjectChar"/>
    <w:uiPriority w:val="99"/>
    <w:semiHidden/>
    <w:rsid w:val="00F65BD6"/>
    <w:rPr>
      <w:b/>
      <w:bCs/>
    </w:rPr>
  </w:style>
  <w:style w:type="character" w:customStyle="1" w:styleId="CommentSubjectChar">
    <w:name w:val="Comment Subject Char"/>
    <w:basedOn w:val="CommentTextChar"/>
    <w:link w:val="CommentSubject"/>
    <w:uiPriority w:val="99"/>
    <w:semiHidden/>
    <w:rsid w:val="00F65BD6"/>
    <w:rPr>
      <w:rFonts w:ascii="Trebuchet MS" w:hAnsi="Trebuchet MS"/>
      <w:b/>
      <w:bCs/>
      <w:lang w:val="en-AU"/>
    </w:rPr>
  </w:style>
  <w:style w:type="paragraph" w:customStyle="1" w:styleId="Textlessbefore">
    <w:name w:val="Text less # before"/>
    <w:basedOn w:val="Text"/>
    <w:uiPriority w:val="1"/>
    <w:qFormat/>
    <w:rsid w:val="004F7A35"/>
    <w:pPr>
      <w:spacing w:before="80"/>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71927">
      <w:bodyDiv w:val="1"/>
      <w:marLeft w:val="0"/>
      <w:marRight w:val="0"/>
      <w:marTop w:val="0"/>
      <w:marBottom w:val="0"/>
      <w:divBdr>
        <w:top w:val="none" w:sz="0" w:space="0" w:color="auto"/>
        <w:left w:val="none" w:sz="0" w:space="0" w:color="auto"/>
        <w:bottom w:val="none" w:sz="0" w:space="0" w:color="auto"/>
        <w:right w:val="none" w:sz="0" w:space="0" w:color="auto"/>
      </w:divBdr>
    </w:div>
    <w:div w:id="331033825">
      <w:bodyDiv w:val="1"/>
      <w:marLeft w:val="0"/>
      <w:marRight w:val="0"/>
      <w:marTop w:val="0"/>
      <w:marBottom w:val="0"/>
      <w:divBdr>
        <w:top w:val="none" w:sz="0" w:space="0" w:color="auto"/>
        <w:left w:val="none" w:sz="0" w:space="0" w:color="auto"/>
        <w:bottom w:val="none" w:sz="0" w:space="0" w:color="auto"/>
        <w:right w:val="none" w:sz="0" w:space="0" w:color="auto"/>
      </w:divBdr>
      <w:divsChild>
        <w:div w:id="1919434567">
          <w:marLeft w:val="0"/>
          <w:marRight w:val="0"/>
          <w:marTop w:val="0"/>
          <w:marBottom w:val="0"/>
          <w:divBdr>
            <w:top w:val="none" w:sz="0" w:space="0" w:color="auto"/>
            <w:left w:val="none" w:sz="0" w:space="0" w:color="auto"/>
            <w:bottom w:val="none" w:sz="0" w:space="0" w:color="auto"/>
            <w:right w:val="none" w:sz="0" w:space="0" w:color="auto"/>
          </w:divBdr>
          <w:divsChild>
            <w:div w:id="1031107822">
              <w:marLeft w:val="0"/>
              <w:marRight w:val="0"/>
              <w:marTop w:val="525"/>
              <w:marBottom w:val="0"/>
              <w:divBdr>
                <w:top w:val="none" w:sz="0" w:space="0" w:color="auto"/>
                <w:left w:val="none" w:sz="0" w:space="0" w:color="auto"/>
                <w:bottom w:val="none" w:sz="0" w:space="0" w:color="auto"/>
                <w:right w:val="none" w:sz="0" w:space="0" w:color="auto"/>
              </w:divBdr>
              <w:divsChild>
                <w:div w:id="1106001989">
                  <w:marLeft w:val="0"/>
                  <w:marRight w:val="0"/>
                  <w:marTop w:val="0"/>
                  <w:marBottom w:val="0"/>
                  <w:divBdr>
                    <w:top w:val="none" w:sz="0" w:space="0" w:color="auto"/>
                    <w:left w:val="none" w:sz="0" w:space="0" w:color="auto"/>
                    <w:bottom w:val="none" w:sz="0" w:space="0" w:color="auto"/>
                    <w:right w:val="none" w:sz="0" w:space="0" w:color="auto"/>
                  </w:divBdr>
                  <w:divsChild>
                    <w:div w:id="1334450209">
                      <w:marLeft w:val="0"/>
                      <w:marRight w:val="0"/>
                      <w:marTop w:val="0"/>
                      <w:marBottom w:val="0"/>
                      <w:divBdr>
                        <w:top w:val="none" w:sz="0" w:space="0" w:color="auto"/>
                        <w:left w:val="none" w:sz="0" w:space="0" w:color="auto"/>
                        <w:bottom w:val="none" w:sz="0" w:space="0" w:color="auto"/>
                        <w:right w:val="none" w:sz="0" w:space="0" w:color="auto"/>
                      </w:divBdr>
                      <w:divsChild>
                        <w:div w:id="451091950">
                          <w:marLeft w:val="0"/>
                          <w:marRight w:val="0"/>
                          <w:marTop w:val="0"/>
                          <w:marBottom w:val="0"/>
                          <w:divBdr>
                            <w:top w:val="none" w:sz="0" w:space="0" w:color="auto"/>
                            <w:left w:val="none" w:sz="0" w:space="0" w:color="auto"/>
                            <w:bottom w:val="none" w:sz="0" w:space="0" w:color="auto"/>
                            <w:right w:val="none" w:sz="0" w:space="0" w:color="auto"/>
                          </w:divBdr>
                          <w:divsChild>
                            <w:div w:id="967509363">
                              <w:marLeft w:val="0"/>
                              <w:marRight w:val="0"/>
                              <w:marTop w:val="0"/>
                              <w:marBottom w:val="0"/>
                              <w:divBdr>
                                <w:top w:val="none" w:sz="0" w:space="0" w:color="auto"/>
                                <w:left w:val="none" w:sz="0" w:space="0" w:color="auto"/>
                                <w:bottom w:val="none" w:sz="0" w:space="0" w:color="auto"/>
                                <w:right w:val="none" w:sz="0" w:space="0" w:color="auto"/>
                              </w:divBdr>
                              <w:divsChild>
                                <w:div w:id="714742520">
                                  <w:marLeft w:val="300"/>
                                  <w:marRight w:val="150"/>
                                  <w:marTop w:val="0"/>
                                  <w:marBottom w:val="0"/>
                                  <w:divBdr>
                                    <w:top w:val="single" w:sz="36" w:space="0" w:color="319235"/>
                                    <w:left w:val="single" w:sz="6" w:space="15" w:color="319235"/>
                                    <w:bottom w:val="single" w:sz="6" w:space="0" w:color="319235"/>
                                    <w:right w:val="single" w:sz="6" w:space="8" w:color="319235"/>
                                  </w:divBdr>
                                </w:div>
                              </w:divsChild>
                            </w:div>
                          </w:divsChild>
                        </w:div>
                      </w:divsChild>
                    </w:div>
                  </w:divsChild>
                </w:div>
              </w:divsChild>
            </w:div>
          </w:divsChild>
        </w:div>
      </w:divsChild>
    </w:div>
    <w:div w:id="348527467">
      <w:bodyDiv w:val="1"/>
      <w:marLeft w:val="0"/>
      <w:marRight w:val="0"/>
      <w:marTop w:val="0"/>
      <w:marBottom w:val="0"/>
      <w:divBdr>
        <w:top w:val="none" w:sz="0" w:space="0" w:color="auto"/>
        <w:left w:val="none" w:sz="0" w:space="0" w:color="auto"/>
        <w:bottom w:val="none" w:sz="0" w:space="0" w:color="auto"/>
        <w:right w:val="none" w:sz="0" w:space="0" w:color="auto"/>
      </w:divBdr>
    </w:div>
    <w:div w:id="378480504">
      <w:bodyDiv w:val="1"/>
      <w:marLeft w:val="0"/>
      <w:marRight w:val="0"/>
      <w:marTop w:val="0"/>
      <w:marBottom w:val="0"/>
      <w:divBdr>
        <w:top w:val="none" w:sz="0" w:space="0" w:color="auto"/>
        <w:left w:val="none" w:sz="0" w:space="0" w:color="auto"/>
        <w:bottom w:val="none" w:sz="0" w:space="0" w:color="auto"/>
        <w:right w:val="none" w:sz="0" w:space="0" w:color="auto"/>
      </w:divBdr>
      <w:divsChild>
        <w:div w:id="1568027792">
          <w:marLeft w:val="0"/>
          <w:marRight w:val="0"/>
          <w:marTop w:val="0"/>
          <w:marBottom w:val="0"/>
          <w:divBdr>
            <w:top w:val="none" w:sz="0" w:space="0" w:color="auto"/>
            <w:left w:val="none" w:sz="0" w:space="0" w:color="auto"/>
            <w:bottom w:val="none" w:sz="0" w:space="0" w:color="auto"/>
            <w:right w:val="none" w:sz="0" w:space="0" w:color="auto"/>
          </w:divBdr>
          <w:divsChild>
            <w:div w:id="1564565223">
              <w:marLeft w:val="0"/>
              <w:marRight w:val="0"/>
              <w:marTop w:val="0"/>
              <w:marBottom w:val="0"/>
              <w:divBdr>
                <w:top w:val="none" w:sz="0" w:space="0" w:color="auto"/>
                <w:left w:val="none" w:sz="0" w:space="0" w:color="auto"/>
                <w:bottom w:val="none" w:sz="0" w:space="0" w:color="auto"/>
                <w:right w:val="none" w:sz="0" w:space="0" w:color="auto"/>
              </w:divBdr>
              <w:divsChild>
                <w:div w:id="840240718">
                  <w:marLeft w:val="0"/>
                  <w:marRight w:val="0"/>
                  <w:marTop w:val="0"/>
                  <w:marBottom w:val="0"/>
                  <w:divBdr>
                    <w:top w:val="none" w:sz="0" w:space="0" w:color="auto"/>
                    <w:left w:val="none" w:sz="0" w:space="0" w:color="auto"/>
                    <w:bottom w:val="none" w:sz="0" w:space="0" w:color="auto"/>
                    <w:right w:val="none" w:sz="0" w:space="0" w:color="auto"/>
                  </w:divBdr>
                  <w:divsChild>
                    <w:div w:id="1716586678">
                      <w:marLeft w:val="0"/>
                      <w:marRight w:val="0"/>
                      <w:marTop w:val="0"/>
                      <w:marBottom w:val="0"/>
                      <w:divBdr>
                        <w:top w:val="none" w:sz="0" w:space="0" w:color="auto"/>
                        <w:left w:val="none" w:sz="0" w:space="0" w:color="auto"/>
                        <w:bottom w:val="none" w:sz="0" w:space="0" w:color="auto"/>
                        <w:right w:val="none" w:sz="0" w:space="0" w:color="auto"/>
                      </w:divBdr>
                      <w:divsChild>
                        <w:div w:id="2015495141">
                          <w:marLeft w:val="0"/>
                          <w:marRight w:val="0"/>
                          <w:marTop w:val="0"/>
                          <w:marBottom w:val="0"/>
                          <w:divBdr>
                            <w:top w:val="none" w:sz="0" w:space="0" w:color="auto"/>
                            <w:left w:val="none" w:sz="0" w:space="0" w:color="auto"/>
                            <w:bottom w:val="none" w:sz="0" w:space="0" w:color="auto"/>
                            <w:right w:val="none" w:sz="0" w:space="0" w:color="auto"/>
                          </w:divBdr>
                          <w:divsChild>
                            <w:div w:id="1031033531">
                              <w:marLeft w:val="0"/>
                              <w:marRight w:val="0"/>
                              <w:marTop w:val="0"/>
                              <w:marBottom w:val="0"/>
                              <w:divBdr>
                                <w:top w:val="none" w:sz="0" w:space="0" w:color="auto"/>
                                <w:left w:val="none" w:sz="0" w:space="0" w:color="auto"/>
                                <w:bottom w:val="none" w:sz="0" w:space="0" w:color="auto"/>
                                <w:right w:val="none" w:sz="0" w:space="0" w:color="auto"/>
                              </w:divBdr>
                              <w:divsChild>
                                <w:div w:id="16249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008136">
      <w:bodyDiv w:val="1"/>
      <w:marLeft w:val="0"/>
      <w:marRight w:val="0"/>
      <w:marTop w:val="0"/>
      <w:marBottom w:val="0"/>
      <w:divBdr>
        <w:top w:val="none" w:sz="0" w:space="0" w:color="auto"/>
        <w:left w:val="none" w:sz="0" w:space="0" w:color="auto"/>
        <w:bottom w:val="none" w:sz="0" w:space="0" w:color="auto"/>
        <w:right w:val="none" w:sz="0" w:space="0" w:color="auto"/>
      </w:divBdr>
    </w:div>
    <w:div w:id="728190265">
      <w:bodyDiv w:val="1"/>
      <w:marLeft w:val="0"/>
      <w:marRight w:val="0"/>
      <w:marTop w:val="0"/>
      <w:marBottom w:val="0"/>
      <w:divBdr>
        <w:top w:val="none" w:sz="0" w:space="0" w:color="auto"/>
        <w:left w:val="none" w:sz="0" w:space="0" w:color="auto"/>
        <w:bottom w:val="none" w:sz="0" w:space="0" w:color="auto"/>
        <w:right w:val="none" w:sz="0" w:space="0" w:color="auto"/>
      </w:divBdr>
      <w:divsChild>
        <w:div w:id="290022301">
          <w:marLeft w:val="0"/>
          <w:marRight w:val="0"/>
          <w:marTop w:val="0"/>
          <w:marBottom w:val="0"/>
          <w:divBdr>
            <w:top w:val="none" w:sz="0" w:space="0" w:color="auto"/>
            <w:left w:val="none" w:sz="0" w:space="0" w:color="auto"/>
            <w:bottom w:val="none" w:sz="0" w:space="0" w:color="auto"/>
            <w:right w:val="none" w:sz="0" w:space="0" w:color="auto"/>
          </w:divBdr>
          <w:divsChild>
            <w:div w:id="1140654798">
              <w:marLeft w:val="0"/>
              <w:marRight w:val="0"/>
              <w:marTop w:val="0"/>
              <w:marBottom w:val="0"/>
              <w:divBdr>
                <w:top w:val="none" w:sz="0" w:space="0" w:color="auto"/>
                <w:left w:val="none" w:sz="0" w:space="0" w:color="auto"/>
                <w:bottom w:val="none" w:sz="0" w:space="0" w:color="auto"/>
                <w:right w:val="none" w:sz="0" w:space="0" w:color="auto"/>
              </w:divBdr>
              <w:divsChild>
                <w:div w:id="597641366">
                  <w:marLeft w:val="0"/>
                  <w:marRight w:val="0"/>
                  <w:marTop w:val="0"/>
                  <w:marBottom w:val="0"/>
                  <w:divBdr>
                    <w:top w:val="none" w:sz="0" w:space="0" w:color="auto"/>
                    <w:left w:val="none" w:sz="0" w:space="0" w:color="auto"/>
                    <w:bottom w:val="none" w:sz="0" w:space="0" w:color="auto"/>
                    <w:right w:val="none" w:sz="0" w:space="0" w:color="auto"/>
                  </w:divBdr>
                  <w:divsChild>
                    <w:div w:id="1403868537">
                      <w:marLeft w:val="0"/>
                      <w:marRight w:val="0"/>
                      <w:marTop w:val="0"/>
                      <w:marBottom w:val="0"/>
                      <w:divBdr>
                        <w:top w:val="none" w:sz="0" w:space="0" w:color="auto"/>
                        <w:left w:val="none" w:sz="0" w:space="0" w:color="auto"/>
                        <w:bottom w:val="none" w:sz="0" w:space="0" w:color="auto"/>
                        <w:right w:val="none" w:sz="0" w:space="0" w:color="auto"/>
                      </w:divBdr>
                      <w:divsChild>
                        <w:div w:id="52318386">
                          <w:marLeft w:val="0"/>
                          <w:marRight w:val="0"/>
                          <w:marTop w:val="0"/>
                          <w:marBottom w:val="0"/>
                          <w:divBdr>
                            <w:top w:val="none" w:sz="0" w:space="0" w:color="auto"/>
                            <w:left w:val="none" w:sz="0" w:space="0" w:color="auto"/>
                            <w:bottom w:val="none" w:sz="0" w:space="0" w:color="auto"/>
                            <w:right w:val="none" w:sz="0" w:space="0" w:color="auto"/>
                          </w:divBdr>
                          <w:divsChild>
                            <w:div w:id="130254243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908813">
      <w:bodyDiv w:val="1"/>
      <w:marLeft w:val="0"/>
      <w:marRight w:val="0"/>
      <w:marTop w:val="0"/>
      <w:marBottom w:val="0"/>
      <w:divBdr>
        <w:top w:val="none" w:sz="0" w:space="0" w:color="auto"/>
        <w:left w:val="none" w:sz="0" w:space="0" w:color="auto"/>
        <w:bottom w:val="none" w:sz="0" w:space="0" w:color="auto"/>
        <w:right w:val="none" w:sz="0" w:space="0" w:color="auto"/>
      </w:divBdr>
    </w:div>
    <w:div w:id="1299334610">
      <w:bodyDiv w:val="1"/>
      <w:marLeft w:val="0"/>
      <w:marRight w:val="0"/>
      <w:marTop w:val="0"/>
      <w:marBottom w:val="0"/>
      <w:divBdr>
        <w:top w:val="none" w:sz="0" w:space="0" w:color="auto"/>
        <w:left w:val="none" w:sz="0" w:space="0" w:color="auto"/>
        <w:bottom w:val="none" w:sz="0" w:space="0" w:color="auto"/>
        <w:right w:val="none" w:sz="0" w:space="0" w:color="auto"/>
      </w:divBdr>
      <w:divsChild>
        <w:div w:id="350036453">
          <w:marLeft w:val="0"/>
          <w:marRight w:val="0"/>
          <w:marTop w:val="0"/>
          <w:marBottom w:val="0"/>
          <w:divBdr>
            <w:top w:val="none" w:sz="0" w:space="0" w:color="auto"/>
            <w:left w:val="none" w:sz="0" w:space="0" w:color="auto"/>
            <w:bottom w:val="none" w:sz="0" w:space="0" w:color="auto"/>
            <w:right w:val="none" w:sz="0" w:space="0" w:color="auto"/>
          </w:divBdr>
          <w:divsChild>
            <w:div w:id="339888664">
              <w:marLeft w:val="0"/>
              <w:marRight w:val="0"/>
              <w:marTop w:val="0"/>
              <w:marBottom w:val="0"/>
              <w:divBdr>
                <w:top w:val="none" w:sz="0" w:space="0" w:color="auto"/>
                <w:left w:val="none" w:sz="0" w:space="0" w:color="auto"/>
                <w:bottom w:val="none" w:sz="0" w:space="0" w:color="auto"/>
                <w:right w:val="none" w:sz="0" w:space="0" w:color="auto"/>
              </w:divBdr>
              <w:divsChild>
                <w:div w:id="1591086001">
                  <w:marLeft w:val="0"/>
                  <w:marRight w:val="0"/>
                  <w:marTop w:val="0"/>
                  <w:marBottom w:val="0"/>
                  <w:divBdr>
                    <w:top w:val="none" w:sz="0" w:space="0" w:color="auto"/>
                    <w:left w:val="none" w:sz="0" w:space="0" w:color="auto"/>
                    <w:bottom w:val="none" w:sz="0" w:space="0" w:color="auto"/>
                    <w:right w:val="none" w:sz="0" w:space="0" w:color="auto"/>
                  </w:divBdr>
                  <w:divsChild>
                    <w:div w:id="1988167569">
                      <w:marLeft w:val="0"/>
                      <w:marRight w:val="0"/>
                      <w:marTop w:val="0"/>
                      <w:marBottom w:val="0"/>
                      <w:divBdr>
                        <w:top w:val="none" w:sz="0" w:space="0" w:color="auto"/>
                        <w:left w:val="none" w:sz="0" w:space="0" w:color="auto"/>
                        <w:bottom w:val="none" w:sz="0" w:space="0" w:color="auto"/>
                        <w:right w:val="none" w:sz="0" w:space="0" w:color="auto"/>
                      </w:divBdr>
                      <w:divsChild>
                        <w:div w:id="653069573">
                          <w:marLeft w:val="0"/>
                          <w:marRight w:val="0"/>
                          <w:marTop w:val="0"/>
                          <w:marBottom w:val="0"/>
                          <w:divBdr>
                            <w:top w:val="none" w:sz="0" w:space="0" w:color="auto"/>
                            <w:left w:val="none" w:sz="0" w:space="0" w:color="auto"/>
                            <w:bottom w:val="none" w:sz="0" w:space="0" w:color="auto"/>
                            <w:right w:val="none" w:sz="0" w:space="0" w:color="auto"/>
                          </w:divBdr>
                          <w:divsChild>
                            <w:div w:id="109386215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83691">
      <w:bodyDiv w:val="1"/>
      <w:marLeft w:val="0"/>
      <w:marRight w:val="0"/>
      <w:marTop w:val="0"/>
      <w:marBottom w:val="0"/>
      <w:divBdr>
        <w:top w:val="none" w:sz="0" w:space="0" w:color="auto"/>
        <w:left w:val="none" w:sz="0" w:space="0" w:color="auto"/>
        <w:bottom w:val="none" w:sz="0" w:space="0" w:color="auto"/>
        <w:right w:val="none" w:sz="0" w:space="0" w:color="auto"/>
      </w:divBdr>
      <w:divsChild>
        <w:div w:id="1915045926">
          <w:marLeft w:val="0"/>
          <w:marRight w:val="0"/>
          <w:marTop w:val="0"/>
          <w:marBottom w:val="0"/>
          <w:divBdr>
            <w:top w:val="none" w:sz="0" w:space="0" w:color="auto"/>
            <w:left w:val="none" w:sz="0" w:space="0" w:color="auto"/>
            <w:bottom w:val="none" w:sz="0" w:space="0" w:color="auto"/>
            <w:right w:val="none" w:sz="0" w:space="0" w:color="auto"/>
          </w:divBdr>
          <w:divsChild>
            <w:div w:id="1901557421">
              <w:marLeft w:val="0"/>
              <w:marRight w:val="0"/>
              <w:marTop w:val="0"/>
              <w:marBottom w:val="0"/>
              <w:divBdr>
                <w:top w:val="none" w:sz="0" w:space="0" w:color="auto"/>
                <w:left w:val="none" w:sz="0" w:space="0" w:color="auto"/>
                <w:bottom w:val="none" w:sz="0" w:space="0" w:color="auto"/>
                <w:right w:val="none" w:sz="0" w:space="0" w:color="auto"/>
              </w:divBdr>
              <w:divsChild>
                <w:div w:id="1146510369">
                  <w:marLeft w:val="0"/>
                  <w:marRight w:val="0"/>
                  <w:marTop w:val="0"/>
                  <w:marBottom w:val="0"/>
                  <w:divBdr>
                    <w:top w:val="none" w:sz="0" w:space="0" w:color="auto"/>
                    <w:left w:val="none" w:sz="0" w:space="0" w:color="auto"/>
                    <w:bottom w:val="none" w:sz="0" w:space="0" w:color="auto"/>
                    <w:right w:val="none" w:sz="0" w:space="0" w:color="auto"/>
                  </w:divBdr>
                  <w:divsChild>
                    <w:div w:id="1181238332">
                      <w:marLeft w:val="0"/>
                      <w:marRight w:val="0"/>
                      <w:marTop w:val="0"/>
                      <w:marBottom w:val="0"/>
                      <w:divBdr>
                        <w:top w:val="none" w:sz="0" w:space="0" w:color="auto"/>
                        <w:left w:val="none" w:sz="0" w:space="0" w:color="auto"/>
                        <w:bottom w:val="none" w:sz="0" w:space="0" w:color="auto"/>
                        <w:right w:val="none" w:sz="0" w:space="0" w:color="auto"/>
                      </w:divBdr>
                      <w:divsChild>
                        <w:div w:id="675183286">
                          <w:marLeft w:val="0"/>
                          <w:marRight w:val="0"/>
                          <w:marTop w:val="0"/>
                          <w:marBottom w:val="0"/>
                          <w:divBdr>
                            <w:top w:val="none" w:sz="0" w:space="0" w:color="auto"/>
                            <w:left w:val="none" w:sz="0" w:space="0" w:color="auto"/>
                            <w:bottom w:val="none" w:sz="0" w:space="0" w:color="auto"/>
                            <w:right w:val="none" w:sz="0" w:space="0" w:color="auto"/>
                          </w:divBdr>
                          <w:divsChild>
                            <w:div w:id="111556175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067291">
      <w:bodyDiv w:val="1"/>
      <w:marLeft w:val="0"/>
      <w:marRight w:val="0"/>
      <w:marTop w:val="0"/>
      <w:marBottom w:val="0"/>
      <w:divBdr>
        <w:top w:val="none" w:sz="0" w:space="0" w:color="auto"/>
        <w:left w:val="none" w:sz="0" w:space="0" w:color="auto"/>
        <w:bottom w:val="none" w:sz="0" w:space="0" w:color="auto"/>
        <w:right w:val="none" w:sz="0" w:space="0" w:color="auto"/>
      </w:divBdr>
    </w:div>
    <w:div w:id="1812941828">
      <w:bodyDiv w:val="1"/>
      <w:marLeft w:val="0"/>
      <w:marRight w:val="0"/>
      <w:marTop w:val="0"/>
      <w:marBottom w:val="0"/>
      <w:divBdr>
        <w:top w:val="none" w:sz="0" w:space="0" w:color="auto"/>
        <w:left w:val="none" w:sz="0" w:space="0" w:color="auto"/>
        <w:bottom w:val="none" w:sz="0" w:space="0" w:color="auto"/>
        <w:right w:val="none" w:sz="0" w:space="0" w:color="auto"/>
      </w:divBdr>
    </w:div>
    <w:div w:id="1830973134">
      <w:bodyDiv w:val="1"/>
      <w:marLeft w:val="0"/>
      <w:marRight w:val="0"/>
      <w:marTop w:val="0"/>
      <w:marBottom w:val="0"/>
      <w:divBdr>
        <w:top w:val="none" w:sz="0" w:space="0" w:color="auto"/>
        <w:left w:val="none" w:sz="0" w:space="0" w:color="auto"/>
        <w:bottom w:val="none" w:sz="0" w:space="0" w:color="auto"/>
        <w:right w:val="none" w:sz="0" w:space="0" w:color="auto"/>
      </w:divBdr>
    </w:div>
    <w:div w:id="1921909008">
      <w:bodyDiv w:val="1"/>
      <w:marLeft w:val="0"/>
      <w:marRight w:val="0"/>
      <w:marTop w:val="0"/>
      <w:marBottom w:val="0"/>
      <w:divBdr>
        <w:top w:val="none" w:sz="0" w:space="0" w:color="auto"/>
        <w:left w:val="none" w:sz="0" w:space="0" w:color="auto"/>
        <w:bottom w:val="none" w:sz="0" w:space="0" w:color="auto"/>
        <w:right w:val="none" w:sz="0" w:space="0" w:color="auto"/>
      </w:divBdr>
      <w:divsChild>
        <w:div w:id="1069888915">
          <w:marLeft w:val="0"/>
          <w:marRight w:val="0"/>
          <w:marTop w:val="0"/>
          <w:marBottom w:val="0"/>
          <w:divBdr>
            <w:top w:val="none" w:sz="0" w:space="0" w:color="auto"/>
            <w:left w:val="none" w:sz="0" w:space="0" w:color="auto"/>
            <w:bottom w:val="none" w:sz="0" w:space="0" w:color="auto"/>
            <w:right w:val="none" w:sz="0" w:space="0" w:color="auto"/>
          </w:divBdr>
          <w:divsChild>
            <w:div w:id="404497292">
              <w:marLeft w:val="0"/>
              <w:marRight w:val="0"/>
              <w:marTop w:val="0"/>
              <w:marBottom w:val="0"/>
              <w:divBdr>
                <w:top w:val="none" w:sz="0" w:space="0" w:color="auto"/>
                <w:left w:val="none" w:sz="0" w:space="0" w:color="auto"/>
                <w:bottom w:val="none" w:sz="0" w:space="0" w:color="auto"/>
                <w:right w:val="none" w:sz="0" w:space="0" w:color="auto"/>
              </w:divBdr>
              <w:divsChild>
                <w:div w:id="1978562899">
                  <w:marLeft w:val="0"/>
                  <w:marRight w:val="0"/>
                  <w:marTop w:val="0"/>
                  <w:marBottom w:val="0"/>
                  <w:divBdr>
                    <w:top w:val="none" w:sz="0" w:space="0" w:color="auto"/>
                    <w:left w:val="none" w:sz="0" w:space="0" w:color="auto"/>
                    <w:bottom w:val="none" w:sz="0" w:space="0" w:color="auto"/>
                    <w:right w:val="none" w:sz="0" w:space="0" w:color="auto"/>
                  </w:divBdr>
                  <w:divsChild>
                    <w:div w:id="1752504451">
                      <w:marLeft w:val="0"/>
                      <w:marRight w:val="0"/>
                      <w:marTop w:val="0"/>
                      <w:marBottom w:val="0"/>
                      <w:divBdr>
                        <w:top w:val="none" w:sz="0" w:space="0" w:color="auto"/>
                        <w:left w:val="none" w:sz="0" w:space="0" w:color="auto"/>
                        <w:bottom w:val="none" w:sz="0" w:space="0" w:color="auto"/>
                        <w:right w:val="none" w:sz="0" w:space="0" w:color="auto"/>
                      </w:divBdr>
                      <w:divsChild>
                        <w:div w:id="1991670151">
                          <w:marLeft w:val="0"/>
                          <w:marRight w:val="0"/>
                          <w:marTop w:val="0"/>
                          <w:marBottom w:val="0"/>
                          <w:divBdr>
                            <w:top w:val="none" w:sz="0" w:space="0" w:color="auto"/>
                            <w:left w:val="none" w:sz="0" w:space="0" w:color="auto"/>
                            <w:bottom w:val="none" w:sz="0" w:space="0" w:color="auto"/>
                            <w:right w:val="none" w:sz="0" w:space="0" w:color="auto"/>
                          </w:divBdr>
                          <w:divsChild>
                            <w:div w:id="751465580">
                              <w:marLeft w:val="0"/>
                              <w:marRight w:val="0"/>
                              <w:marTop w:val="0"/>
                              <w:marBottom w:val="30"/>
                              <w:divBdr>
                                <w:top w:val="none" w:sz="0" w:space="0" w:color="auto"/>
                                <w:left w:val="none" w:sz="0" w:space="0" w:color="auto"/>
                                <w:bottom w:val="none" w:sz="0" w:space="0" w:color="auto"/>
                                <w:right w:val="none" w:sz="0" w:space="0" w:color="auto"/>
                              </w:divBdr>
                              <w:divsChild>
                                <w:div w:id="1734546775">
                                  <w:marLeft w:val="45"/>
                                  <w:marRight w:val="45"/>
                                  <w:marTop w:val="0"/>
                                  <w:marBottom w:val="0"/>
                                  <w:divBdr>
                                    <w:top w:val="none" w:sz="0" w:space="0" w:color="auto"/>
                                    <w:left w:val="none" w:sz="0" w:space="0" w:color="auto"/>
                                    <w:bottom w:val="none" w:sz="0" w:space="0" w:color="auto"/>
                                    <w:right w:val="none" w:sz="0" w:space="0" w:color="auto"/>
                                  </w:divBdr>
                                  <w:divsChild>
                                    <w:div w:id="1536188919">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1948612927">
      <w:bodyDiv w:val="1"/>
      <w:marLeft w:val="0"/>
      <w:marRight w:val="0"/>
      <w:marTop w:val="0"/>
      <w:marBottom w:val="0"/>
      <w:divBdr>
        <w:top w:val="none" w:sz="0" w:space="0" w:color="auto"/>
        <w:left w:val="none" w:sz="0" w:space="0" w:color="auto"/>
        <w:bottom w:val="none" w:sz="0" w:space="0" w:color="auto"/>
        <w:right w:val="none" w:sz="0" w:space="0" w:color="auto"/>
      </w:divBdr>
      <w:divsChild>
        <w:div w:id="1798986374">
          <w:marLeft w:val="0"/>
          <w:marRight w:val="0"/>
          <w:marTop w:val="0"/>
          <w:marBottom w:val="0"/>
          <w:divBdr>
            <w:top w:val="none" w:sz="0" w:space="0" w:color="auto"/>
            <w:left w:val="none" w:sz="0" w:space="0" w:color="auto"/>
            <w:bottom w:val="none" w:sz="0" w:space="0" w:color="auto"/>
            <w:right w:val="none" w:sz="0" w:space="0" w:color="auto"/>
          </w:divBdr>
          <w:divsChild>
            <w:div w:id="426197062">
              <w:marLeft w:val="0"/>
              <w:marRight w:val="0"/>
              <w:marTop w:val="0"/>
              <w:marBottom w:val="0"/>
              <w:divBdr>
                <w:top w:val="none" w:sz="0" w:space="0" w:color="auto"/>
                <w:left w:val="none" w:sz="0" w:space="0" w:color="auto"/>
                <w:bottom w:val="none" w:sz="0" w:space="0" w:color="auto"/>
                <w:right w:val="none" w:sz="0" w:space="0" w:color="auto"/>
              </w:divBdr>
              <w:divsChild>
                <w:div w:id="2086998555">
                  <w:marLeft w:val="0"/>
                  <w:marRight w:val="0"/>
                  <w:marTop w:val="0"/>
                  <w:marBottom w:val="0"/>
                  <w:divBdr>
                    <w:top w:val="none" w:sz="0" w:space="0" w:color="auto"/>
                    <w:left w:val="none" w:sz="0" w:space="0" w:color="auto"/>
                    <w:bottom w:val="none" w:sz="0" w:space="0" w:color="auto"/>
                    <w:right w:val="none" w:sz="0" w:space="0" w:color="auto"/>
                  </w:divBdr>
                  <w:divsChild>
                    <w:div w:id="1136290306">
                      <w:marLeft w:val="0"/>
                      <w:marRight w:val="0"/>
                      <w:marTop w:val="0"/>
                      <w:marBottom w:val="0"/>
                      <w:divBdr>
                        <w:top w:val="none" w:sz="0" w:space="0" w:color="auto"/>
                        <w:left w:val="none" w:sz="0" w:space="0" w:color="auto"/>
                        <w:bottom w:val="none" w:sz="0" w:space="0" w:color="auto"/>
                        <w:right w:val="none" w:sz="0" w:space="0" w:color="auto"/>
                      </w:divBdr>
                      <w:divsChild>
                        <w:div w:id="418479948">
                          <w:marLeft w:val="0"/>
                          <w:marRight w:val="0"/>
                          <w:marTop w:val="0"/>
                          <w:marBottom w:val="0"/>
                          <w:divBdr>
                            <w:top w:val="none" w:sz="0" w:space="0" w:color="auto"/>
                            <w:left w:val="none" w:sz="0" w:space="0" w:color="auto"/>
                            <w:bottom w:val="none" w:sz="0" w:space="0" w:color="auto"/>
                            <w:right w:val="none" w:sz="0" w:space="0" w:color="auto"/>
                          </w:divBdr>
                          <w:divsChild>
                            <w:div w:id="1531184696">
                              <w:marLeft w:val="0"/>
                              <w:marRight w:val="0"/>
                              <w:marTop w:val="0"/>
                              <w:marBottom w:val="30"/>
                              <w:divBdr>
                                <w:top w:val="none" w:sz="0" w:space="0" w:color="auto"/>
                                <w:left w:val="none" w:sz="0" w:space="0" w:color="auto"/>
                                <w:bottom w:val="none" w:sz="0" w:space="0" w:color="auto"/>
                                <w:right w:val="none" w:sz="0" w:space="0" w:color="auto"/>
                              </w:divBdr>
                              <w:divsChild>
                                <w:div w:id="2040233124">
                                  <w:marLeft w:val="45"/>
                                  <w:marRight w:val="45"/>
                                  <w:marTop w:val="0"/>
                                  <w:marBottom w:val="0"/>
                                  <w:divBdr>
                                    <w:top w:val="none" w:sz="0" w:space="0" w:color="auto"/>
                                    <w:left w:val="none" w:sz="0" w:space="0" w:color="auto"/>
                                    <w:bottom w:val="none" w:sz="0" w:space="0" w:color="auto"/>
                                    <w:right w:val="none" w:sz="0" w:space="0" w:color="auto"/>
                                  </w:divBdr>
                                  <w:divsChild>
                                    <w:div w:id="953515880">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2139182129">
      <w:bodyDiv w:val="1"/>
      <w:marLeft w:val="0"/>
      <w:marRight w:val="0"/>
      <w:marTop w:val="0"/>
      <w:marBottom w:val="0"/>
      <w:divBdr>
        <w:top w:val="none" w:sz="0" w:space="0" w:color="auto"/>
        <w:left w:val="none" w:sz="0" w:space="0" w:color="auto"/>
        <w:bottom w:val="none" w:sz="0" w:space="0" w:color="auto"/>
        <w:right w:val="none" w:sz="0" w:space="0" w:color="auto"/>
      </w:divBdr>
      <w:divsChild>
        <w:div w:id="918829080">
          <w:marLeft w:val="0"/>
          <w:marRight w:val="0"/>
          <w:marTop w:val="0"/>
          <w:marBottom w:val="0"/>
          <w:divBdr>
            <w:top w:val="none" w:sz="0" w:space="0" w:color="auto"/>
            <w:left w:val="none" w:sz="0" w:space="0" w:color="auto"/>
            <w:bottom w:val="none" w:sz="0" w:space="0" w:color="auto"/>
            <w:right w:val="none" w:sz="0" w:space="0" w:color="auto"/>
          </w:divBdr>
          <w:divsChild>
            <w:div w:id="6703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say.edu.au" TargetMode="External"/><Relationship Id="rId18" Type="http://schemas.openxmlformats.org/officeDocument/2006/relationships/hyperlink" Target="http://www.lsay.edu.au" TargetMode="External"/><Relationship Id="rId26" Type="http://schemas.openxmlformats.org/officeDocument/2006/relationships/hyperlink" Target="http://www.accsc.org/UploadedDocuments/ACCSC%20Standards%20of%20Accreditation%20and%20Bylaws%20-%20%20040112.pdf" TargetMode="External"/><Relationship Id="rId39" Type="http://schemas.openxmlformats.org/officeDocument/2006/relationships/hyperlink" Target="http://libserver.cedefop.europa.eu/vetelib/2012/2012_CR_UK.pdf" TargetMode="External"/><Relationship Id="rId21" Type="http://schemas.openxmlformats.org/officeDocument/2006/relationships/header" Target="header1.xml"/><Relationship Id="rId34" Type="http://schemas.openxmlformats.org/officeDocument/2006/relationships/hyperlink" Target="http://www.cedefop.europa.eu/EN/Files/5195_en.pdf" TargetMode="External"/><Relationship Id="rId42" Type="http://schemas.openxmlformats.org/officeDocument/2006/relationships/hyperlink" Target="https://www.gov.uk/government/uploads/system/uploads/attachment_data/file/286749/bis-14-577-vocational-qualification-reform-plan.pdf" TargetMode="External"/><Relationship Id="rId47" Type="http://schemas.openxmlformats.org/officeDocument/2006/relationships/hyperlink" Target="http://www.nzqa.govt.nz/assets/Providers-and-partners/Registration-and-accreditation/External-evaluation/policy-gudelines-eer.pdf" TargetMode="External"/><Relationship Id="rId50" Type="http://schemas.openxmlformats.org/officeDocument/2006/relationships/hyperlink" Target="http://ofqual.gov.uk/news/ofqual-statement-role-regulation-driving-quality-vocational-qualifications/" TargetMode="External"/><Relationship Id="rId55" Type="http://schemas.openxmlformats.org/officeDocument/2006/relationships/hyperlink" Target="http://www.ilo.org/wcmsp5/groups/public/@ed_emp/@ifp_%20skills/documents/instructionalmaterial/wcms_103623.pdf" TargetMode="External"/><Relationship Id="rId63" Type="http://schemas.openxmlformats.org/officeDocument/2006/relationships/hyperlink" Target="http://www.oph.fi/download/121526_NQF-muistio_EN_02_10.pdf" TargetMode="External"/><Relationship Id="rId68" Type="http://schemas.openxmlformats.org/officeDocument/2006/relationships/hyperlink" Target="http://www.ofsted.gov.uk/sites/default/files/%20documents/consultations/a/A%20good%20education%20for%20all.pdf" TargetMode="External"/><Relationship Id="rId76" Type="http://schemas.openxmlformats.org/officeDocument/2006/relationships/hyperlink" Target="http://readingroom.skillsfundingagency.bis.gov.uk/sfa/technical_guidance.pdf" TargetMode="External"/><Relationship Id="rId7" Type="http://schemas.openxmlformats.org/officeDocument/2006/relationships/footnotes" Target="footnotes.xml"/><Relationship Id="rId71" Type="http://schemas.openxmlformats.org/officeDocument/2006/relationships/hyperlink" Target="http://www.ocqas.org/en/wp-content/uploads/%202013/10/Orientation-Manual1.pdf" TargetMode="Externa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www.immi.gov.au/media/publications/research/_pdf/compliance-migration-law.pdf" TargetMode="External"/><Relationship Id="rId11" Type="http://schemas.openxmlformats.org/officeDocument/2006/relationships/image" Target="media/image3.wmf"/><Relationship Id="rId24" Type="http://schemas.openxmlformats.org/officeDocument/2006/relationships/footer" Target="footer3.xml"/><Relationship Id="rId32" Type="http://schemas.openxmlformats.org/officeDocument/2006/relationships/hyperlink" Target="http://www.cedefop.europa.eu/EN/Files/3059_en.pdf" TargetMode="External"/><Relationship Id="rId37" Type="http://schemas.openxmlformats.org/officeDocument/2006/relationships/hyperlink" Target="http://libserver.cedefop.europa.eu/vetelib/2012/2012_CR_SE.pdf" TargetMode="External"/><Relationship Id="rId40" Type="http://schemas.openxmlformats.org/officeDocument/2006/relationships/hyperlink" Target="http://www.cedefop.europa.eu/en/publications/19313.aspx" TargetMode="External"/><Relationship Id="rId45" Type="http://schemas.openxmlformats.org/officeDocument/2006/relationships/hyperlink" Target="http://www.etf.europa.eu/webatt.nsf/0/.../Qualifications%20frameworks.pdf" TargetMode="External"/><Relationship Id="rId53" Type="http://schemas.openxmlformats.org/officeDocument/2006/relationships/hyperlink" Target="http://regnet.anu.edu.au/sites/default/files/ROP9.pdf" TargetMode="External"/><Relationship Id="rId58" Type="http://schemas.openxmlformats.org/officeDocument/2006/relationships/hyperlink" Target="http://akoaotearoa.ac.nz/download/ng/file/group-1656/n3937-ito-workplace-assessment-structures-and-systems---survey-and-focus-group-findings.pdf" TargetMode="External"/><Relationship Id="rId66" Type="http://schemas.openxmlformats.org/officeDocument/2006/relationships/hyperlink" Target="http://www.nzqa.govt.nz/studying-in-new-zealand/nzqf/reviews-of-qualifications/guidelines-for-reviews-of-qualifications/" TargetMode="External"/><Relationship Id="rId74" Type="http://schemas.openxmlformats.org/officeDocument/2006/relationships/hyperlink" Target="http://www.tcu.gov.on.ca/pepg/audiences/pcc/factsheet3.pdf"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2.xml"/><Relationship Id="rId28" Type="http://schemas.openxmlformats.org/officeDocument/2006/relationships/hyperlink" Target="http://www.industry.gov.au/skills/ResourcesAndPublications/Documents/ComparisonsIntQualityAssuranceSystems.pdf" TargetMode="External"/><Relationship Id="rId36" Type="http://schemas.openxmlformats.org/officeDocument/2006/relationships/hyperlink" Target="http://libserver.cedefop.europa.eu/vetelib/2012/2012_CR_FI.pdf" TargetMode="External"/><Relationship Id="rId49" Type="http://schemas.openxmlformats.org/officeDocument/2006/relationships/hyperlink" Target="http://browse.oecdbookshop.org/oecd/pdfs/product/9107031e.pdf" TargetMode="External"/><Relationship Id="rId57" Type="http://schemas.openxmlformats.org/officeDocument/2006/relationships/hyperlink" Target="http://www.dti.gov.uk/assets/biscore/.../u/ukvqrpenewsletterapril07.pdf" TargetMode="External"/><Relationship Id="rId61" Type="http://schemas.openxmlformats.org/officeDocument/2006/relationships/hyperlink" Target="http://www8.spinen.net/council-org/files/downloads/2013/06/2013-Handbook-of-Accreditation-4-26-2013-AMENDED.pdf" TargetMode="External"/><Relationship Id="rId10" Type="http://schemas.openxmlformats.org/officeDocument/2006/relationships/image" Target="media/image2.jpeg"/><Relationship Id="rId19" Type="http://schemas.openxmlformats.org/officeDocument/2006/relationships/image" Target="media/image3.emf"/><Relationship Id="rId31" Type="http://schemas.openxmlformats.org/officeDocument/2006/relationships/hyperlink" Target="http://www.cedefop.europa.eu/EN/Files/5196_en.pdf" TargetMode="External"/><Relationship Id="rId44" Type="http://schemas.openxmlformats.org/officeDocument/2006/relationships/hyperlink" Target="http://ec.europa.eu/education/policy/vocational-policy/doc/%20eqavet_en.pdf" TargetMode="External"/><Relationship Id="rId52" Type="http://schemas.openxmlformats.org/officeDocument/2006/relationships/hyperlink" Target="http://www.qqi.ie/Publications/Qualilty%20Assurance%20Guidelines%20FET%202013.pdf%3e" TargetMode="External"/><Relationship Id="rId60" Type="http://schemas.openxmlformats.org/officeDocument/2006/relationships/hyperlink" Target="http://www.aqf.edu.au/wp-content/uploads/2013/05/AQF-2nd-Edition-January-2013.pdf" TargetMode="External"/><Relationship Id="rId65" Type="http://schemas.openxmlformats.org/officeDocument/2006/relationships/hyperlink" Target="http://www.minedu.govt.nz/~/media/MinEdu/Files/EducationSectors/TertiaryEducation/PolicyAndStrategy/IndustryTraining/IndustryTrainingConsulationDocument.pdf" TargetMode="External"/><Relationship Id="rId73" Type="http://schemas.openxmlformats.org/officeDocument/2006/relationships/hyperlink" Target="http://www.tcu.gov.on.ca/pepg/publications/GovAccount_Directive2010.pdf"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hyperlink" Target="http://www.apecknowledgebank.org/file.aspx?id=2029" TargetMode="External"/><Relationship Id="rId30" Type="http://schemas.openxmlformats.org/officeDocument/2006/relationships/hyperlink" Target="http://www.cedefop.europa.eu/etv/Upload/Information_resources/Bookshop/568/4089_en.pdf" TargetMode="External"/><Relationship Id="rId35" Type="http://schemas.openxmlformats.org/officeDocument/2006/relationships/hyperlink" Target="http://www.cedefop.europa.eu/en/publications/21311.aspx" TargetMode="External"/><Relationship Id="rId43" Type="http://schemas.openxmlformats.org/officeDocument/2006/relationships/hyperlink" Target="http://www.eqavet.eu/gns/policy-context/european-policy/bruges-communique.aspx" TargetMode="External"/><Relationship Id="rId48" Type="http://schemas.openxmlformats.org/officeDocument/2006/relationships/hyperlink" Target="http://www.nzqa.govt.nz/assets/Studying-in-NZ/Quality-assurance/evaluation-qa-framework-report.pdf" TargetMode="External"/><Relationship Id="rId56" Type="http://schemas.openxmlformats.org/officeDocument/2006/relationships/hyperlink" Target="http://www.edge.co.uk/media/17075/teaching_training_in_vocational_education_-_report.pdf" TargetMode="External"/><Relationship Id="rId64" Type="http://schemas.openxmlformats.org/officeDocument/2006/relationships/hyperlink" Target="http://www.ofsted.gov.uk/sites/%20default/files/documents/consultations/a/A%20good%20education%20for%20all.pdf" TargetMode="External"/><Relationship Id="rId69" Type="http://schemas.openxmlformats.org/officeDocument/2006/relationships/hyperlink" Target="http://www.ofsted.gov.uk/resources/handbook-for-inspection-of-further-education-and-skills-september-2012"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ofsted.gov.uk/resources/common-inspection-framework-for-further-education-and-skills-2012" TargetMode="External"/><Relationship Id="rId72" Type="http://schemas.openxmlformats.org/officeDocument/2006/relationships/hyperlink" Target="http://www.tcu.gov.on.ca/pepg/audiences/colleges/progstan/hosptour/culinary.html" TargetMode="External"/><Relationship Id="rId3" Type="http://schemas.openxmlformats.org/officeDocument/2006/relationships/styles" Target="styles.xml"/><Relationship Id="rId12" Type="http://schemas.openxmlformats.org/officeDocument/2006/relationships/hyperlink" Target="mailto:ncver@ncver.edu.au" TargetMode="External"/><Relationship Id="rId17" Type="http://schemas.openxmlformats.org/officeDocument/2006/relationships/hyperlink" Target="mailto:ncver@ncver.edu.au" TargetMode="External"/><Relationship Id="rId25" Type="http://schemas.openxmlformats.org/officeDocument/2006/relationships/footer" Target="footer4.xml"/><Relationship Id="rId33" Type="http://schemas.openxmlformats.org/officeDocument/2006/relationships/hyperlink" Target="http://www.cedefop.europa.eu/en/publications/20510.aspx" TargetMode="External"/><Relationship Id="rId38" Type="http://schemas.openxmlformats.org/officeDocument/2006/relationships/hyperlink" Target="http://libserver.cedefop.europa.eu/vetelib/2012/2012_CR_DE.pdf" TargetMode="External"/><Relationship Id="rId46" Type="http://schemas.openxmlformats.org/officeDocument/2006/relationships/hyperlink" Target="http://www.oph.fi/download/148963_Quality_%20assurance_in_vocational_education_and_training_in_Finland.pdf" TargetMode="External"/><Relationship Id="rId59" Type="http://schemas.openxmlformats.org/officeDocument/2006/relationships/hyperlink" Target="http://www2.ed.gov/admins/finaid/accred/accreditation_pg6.html" TargetMode="External"/><Relationship Id="rId67" Type="http://schemas.openxmlformats.org/officeDocument/2006/relationships/hyperlink" Target="http://www.nzqa.govt.nz/%20assets/Studying-in-NZ/New-Zealand-Qualification-Framework/requirements-nzqf.pdf" TargetMode="External"/><Relationship Id="rId20" Type="http://schemas.openxmlformats.org/officeDocument/2006/relationships/image" Target="media/image40.emf"/><Relationship Id="rId41" Type="http://schemas.openxmlformats.org/officeDocument/2006/relationships/hyperlink" Target="http://www.cedefop.europa.eu/en/publications/22409.aspx" TargetMode="External"/><Relationship Id="rId54" Type="http://schemas.openxmlformats.org/officeDocument/2006/relationships/hyperlink" Target="http://web.archive.org/web/20071008205217/http://brookings.nap.edu/books/0815780656/html/index.html" TargetMode="External"/><Relationship Id="rId62" Type="http://schemas.openxmlformats.org/officeDocument/2006/relationships/hyperlink" Target="https://www.gov.uk/government/uploads/system/uploads/attachment_data/file/248709/bis-13-1234-evaluation-of-new-challenges-new-chances-further-education-and-skills-reform-plan.pdf" TargetMode="External"/><Relationship Id="rId70" Type="http://schemas.openxmlformats.org/officeDocument/2006/relationships/hyperlink" Target="http://www.ocqas.org/en/?p=5014" TargetMode="External"/><Relationship Id="rId75" Type="http://schemas.openxmlformats.org/officeDocument/2006/relationships/hyperlink" Target="http://www.sqa.org.uk/files_ccc/Regulatory%20Principles%20(2014).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nzqa.govt.nz/studying-in-new-zealand/nzqf/reviews-of-qualifications/" TargetMode="External"/><Relationship Id="rId13" Type="http://schemas.openxmlformats.org/officeDocument/2006/relationships/hyperlink" Target="http://www.ocqas.org/en/wp-content/uploads/2013/10/Orientation-Manual1.pdf" TargetMode="External"/><Relationship Id="rId3" Type="http://schemas.openxmlformats.org/officeDocument/2006/relationships/hyperlink" Target="http://www.nzqa.govt.nz/studying-in-new-zealand/nzqf/understand-nz-quals/" TargetMode="External"/><Relationship Id="rId7" Type="http://schemas.openxmlformats.org/officeDocument/2006/relationships/hyperlink" Target="http://www.ocqas.org.org/en/?page_id=4179" TargetMode="External"/><Relationship Id="rId12" Type="http://schemas.openxmlformats.org/officeDocument/2006/relationships/hyperlink" Target="http://www.sqa.org.uk/sqa/14205.html" TargetMode="External"/><Relationship Id="rId2" Type="http://schemas.openxmlformats.org/officeDocument/2006/relationships/hyperlink" Target="http://scqf.org.uk/the-framework/" TargetMode="External"/><Relationship Id="rId1" Type="http://schemas.openxmlformats.org/officeDocument/2006/relationships/hyperlink" Target="http://wales.gov.uk/topics/educationand" TargetMode="External"/><Relationship Id="rId6" Type="http://schemas.openxmlformats.org/officeDocument/2006/relationships/hyperlink" Target="http://www.tcu.gov.on.ca/pepg/audiences/colleges/progstan/contain.html" TargetMode="External"/><Relationship Id="rId11" Type="http://schemas.openxmlformats.org/officeDocument/2006/relationships/hyperlink" Target="http://www.britishhallmarkingcouncil.gov.uk/assets/biscore/corporate/migratedd/publications/u/ukvqrpenewsletterapril07.pdf" TargetMode="External"/><Relationship Id="rId5" Type="http://schemas.openxmlformats.org/officeDocument/2006/relationships/hyperlink" Target="http://www.sqa.org.uk/" TargetMode="External"/><Relationship Id="rId10" Type="http://schemas.openxmlformats.org/officeDocument/2006/relationships/hyperlink" Target="http://www.nzqa.govt.nz/studying-in-new-zealand/nzqf/reviews-of-qualifications/schedule/" TargetMode="External"/><Relationship Id="rId4" Type="http://schemas.openxmlformats.org/officeDocument/2006/relationships/hyperlink" Target="http://www.nzqa.govt.nz/studying-in-new-zealand/nzqf/listing-qualifications-on-the-nzqf/" TargetMode="External"/><Relationship Id="rId9" Type="http://schemas.openxmlformats.org/officeDocument/2006/relationships/hyperlink" Target="http://www.nzqa.govt.nz/studying-in-new-zealand/nzqf/targeted-review-of-qualifications/" TargetMode="External"/><Relationship Id="rId14" Type="http://schemas.openxmlformats.org/officeDocument/2006/relationships/hyperlink" Target="http://www.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4B83-10AB-4336-AD1A-C21F174F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BE7A55A2.dotm</Template>
  <TotalTime>737</TotalTime>
  <Pages>57</Pages>
  <Words>27532</Words>
  <Characters>156937</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184101</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approving maintaining quals</dc:title>
  <dc:creator>josiemisko</dc:creator>
  <cp:lastModifiedBy>Kaye McAdam</cp:lastModifiedBy>
  <cp:revision>54</cp:revision>
  <cp:lastPrinted>2015-01-09T04:35:00Z</cp:lastPrinted>
  <dcterms:created xsi:type="dcterms:W3CDTF">2014-12-15T21:59:00Z</dcterms:created>
  <dcterms:modified xsi:type="dcterms:W3CDTF">2015-01-09T04:47:00Z</dcterms:modified>
</cp:coreProperties>
</file>