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CB6" w:rsidRDefault="009A6CB6" w:rsidP="009A6CB6">
      <w:pPr>
        <w:spacing w:before="240"/>
        <w:rPr>
          <w:rFonts w:ascii="Tahoma" w:hAnsi="Tahoma" w:cs="Tahoma"/>
          <w:color w:val="000000"/>
          <w:kern w:val="28"/>
          <w:sz w:val="56"/>
          <w:szCs w:val="56"/>
        </w:rPr>
      </w:pPr>
      <w:bookmarkStart w:id="0" w:name="_Toc296423677"/>
      <w:bookmarkStart w:id="1" w:name="_Toc296497508"/>
      <w:r>
        <w:rPr>
          <w:rFonts w:ascii="Tahoma" w:hAnsi="Tahoma" w:cs="Tahoma"/>
          <w:noProof/>
          <w:color w:val="000000"/>
          <w:kern w:val="28"/>
          <w:sz w:val="56"/>
          <w:szCs w:val="56"/>
        </w:rPr>
        <w:drawing>
          <wp:anchor distT="0" distB="0" distL="114300" distR="114300" simplePos="0" relativeHeight="251668480" behindDoc="1" locked="0" layoutInCell="1" allowOverlap="1">
            <wp:simplePos x="0" y="0"/>
            <wp:positionH relativeFrom="column">
              <wp:posOffset>-184150</wp:posOffset>
            </wp:positionH>
            <wp:positionV relativeFrom="paragraph">
              <wp:posOffset>537210</wp:posOffset>
            </wp:positionV>
            <wp:extent cx="2242820" cy="480695"/>
            <wp:effectExtent l="19050" t="0" r="5080" b="0"/>
            <wp:wrapSquare wrapText="bothSides"/>
            <wp:docPr id="15" name="Picture 1" descr="P:\PublicationComponents\logos\NCVER LOGOS\EPS - pagemaker_quark\NoLines2012\NCVER_Floating_Mon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NCVER LOGOS\EPS - pagemaker_quark\NoLines2012\NCVER_Floating_Mono.eps"/>
                    <pic:cNvPicPr>
                      <a:picLocks noChangeAspect="1" noChangeArrowheads="1"/>
                    </pic:cNvPicPr>
                  </pic:nvPicPr>
                  <pic:blipFill>
                    <a:blip r:embed="rId9" cstate="print"/>
                    <a:srcRect/>
                    <a:stretch>
                      <a:fillRect/>
                    </a:stretch>
                  </pic:blipFill>
                  <pic:spPr bwMode="auto">
                    <a:xfrm>
                      <a:off x="0" y="0"/>
                      <a:ext cx="2242820" cy="480695"/>
                    </a:xfrm>
                    <a:prstGeom prst="rect">
                      <a:avLst/>
                    </a:prstGeom>
                    <a:noFill/>
                    <a:ln w="9525">
                      <a:noFill/>
                      <a:miter lim="800000"/>
                      <a:headEnd/>
                      <a:tailEnd/>
                    </a:ln>
                  </pic:spPr>
                </pic:pic>
              </a:graphicData>
            </a:graphic>
          </wp:anchor>
        </w:drawing>
      </w:r>
    </w:p>
    <w:p w:rsidR="009A6CB6" w:rsidRDefault="009A6CB6" w:rsidP="009A6CB6">
      <w:pPr>
        <w:pStyle w:val="PublicationTitle"/>
        <w:spacing w:before="0"/>
        <w:rPr>
          <w:sz w:val="40"/>
          <w:szCs w:val="40"/>
        </w:rPr>
      </w:pPr>
      <w:r>
        <w:rPr>
          <w:noProof/>
          <w:sz w:val="40"/>
          <w:szCs w:val="40"/>
          <w:lang w:eastAsia="en-AU"/>
        </w:rPr>
        <w:drawing>
          <wp:anchor distT="0" distB="0" distL="114300" distR="114300" simplePos="0" relativeHeight="251667456" behindDoc="1" locked="0" layoutInCell="1" allowOverlap="1">
            <wp:simplePos x="0" y="0"/>
            <wp:positionH relativeFrom="column">
              <wp:posOffset>-2561590</wp:posOffset>
            </wp:positionH>
            <wp:positionV relativeFrom="paragraph">
              <wp:posOffset>572770</wp:posOffset>
            </wp:positionV>
            <wp:extent cx="2724150" cy="914400"/>
            <wp:effectExtent l="0" t="0" r="0" b="0"/>
            <wp:wrapTight wrapText="bothSides">
              <wp:wrapPolygon edited="0">
                <wp:start x="0" y="0"/>
                <wp:lineTo x="0" y="21150"/>
                <wp:lineTo x="21449" y="21150"/>
                <wp:lineTo x="21449" y="0"/>
                <wp:lineTo x="0" y="0"/>
              </wp:wrapPolygon>
            </wp:wrapTight>
            <wp:docPr id="16" name="Picture 2" descr="P:\PublicationComponents\logos\Department of Industry\Dept_Industry_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Department of Industry\Dept_Industry_inline.jpg"/>
                    <pic:cNvPicPr>
                      <a:picLocks noChangeAspect="1" noChangeArrowheads="1"/>
                    </pic:cNvPicPr>
                  </pic:nvPicPr>
                  <pic:blipFill>
                    <a:blip r:embed="rId10" cstate="print"/>
                    <a:srcRect/>
                    <a:stretch>
                      <a:fillRect/>
                    </a:stretch>
                  </pic:blipFill>
                  <pic:spPr bwMode="auto">
                    <a:xfrm>
                      <a:off x="0" y="0"/>
                      <a:ext cx="2724150" cy="914400"/>
                    </a:xfrm>
                    <a:prstGeom prst="rect">
                      <a:avLst/>
                    </a:prstGeom>
                    <a:noFill/>
                    <a:ln w="9525">
                      <a:noFill/>
                      <a:miter lim="800000"/>
                      <a:headEnd/>
                      <a:tailEnd/>
                    </a:ln>
                  </pic:spPr>
                </pic:pic>
              </a:graphicData>
            </a:graphic>
          </wp:anchor>
        </w:drawing>
      </w:r>
    </w:p>
    <w:p w:rsidR="009A6CB6" w:rsidRPr="00566F29" w:rsidRDefault="009A6CB6" w:rsidP="009A6CB6">
      <w:pPr>
        <w:pStyle w:val="PublicationTitle"/>
        <w:spacing w:before="0" w:after="0"/>
        <w:rPr>
          <w:sz w:val="40"/>
          <w:szCs w:val="40"/>
        </w:rPr>
      </w:pPr>
    </w:p>
    <w:p w:rsidR="009A6CB6" w:rsidRDefault="009A6CB6" w:rsidP="009A6CB6">
      <w:pPr>
        <w:pStyle w:val="PublicationTitle"/>
        <w:spacing w:before="0" w:after="400"/>
      </w:pPr>
    </w:p>
    <w:p w:rsidR="009E231A" w:rsidRPr="005C2FCF" w:rsidRDefault="00005F08" w:rsidP="00177827">
      <w:pPr>
        <w:pStyle w:val="PublicationTitle"/>
        <w:spacing w:before="0"/>
      </w:pPr>
      <w:r>
        <w:t>Q</w:t>
      </w:r>
      <w:r w:rsidR="0081005E">
        <w:t>uality assessments</w:t>
      </w:r>
      <w:r w:rsidR="00806C1C">
        <w:t xml:space="preserve">: </w:t>
      </w:r>
      <w:bookmarkEnd w:id="0"/>
      <w:bookmarkEnd w:id="1"/>
      <w:r w:rsidR="002862DC">
        <w:t>practic</w:t>
      </w:r>
      <w:r w:rsidR="00DB22F6">
        <w:t>e and perspectives</w:t>
      </w:r>
    </w:p>
    <w:p w:rsidR="00177827" w:rsidRDefault="0081005E" w:rsidP="00177827">
      <w:pPr>
        <w:pStyle w:val="Authors"/>
      </w:pPr>
      <w:bookmarkStart w:id="2" w:name="_Toc98394874"/>
      <w:bookmarkStart w:id="3" w:name="_Toc296423678"/>
      <w:bookmarkStart w:id="4" w:name="_Toc296497509"/>
      <w:r>
        <w:t>Josie Misko</w:t>
      </w:r>
      <w:r w:rsidR="009A6CB6">
        <w:br/>
      </w:r>
      <w:r>
        <w:t>Sian Halliday-Wynes</w:t>
      </w:r>
      <w:r w:rsidR="009A6CB6">
        <w:br/>
      </w:r>
      <w:r>
        <w:t>John Stanwick</w:t>
      </w:r>
      <w:r w:rsidR="009A6CB6">
        <w:br/>
      </w:r>
      <w:r>
        <w:t>Sinan Gemici</w:t>
      </w:r>
      <w:bookmarkEnd w:id="2"/>
    </w:p>
    <w:bookmarkEnd w:id="3"/>
    <w:bookmarkEnd w:id="4"/>
    <w:p w:rsidR="009E231A" w:rsidRDefault="00CB01C1" w:rsidP="00177827">
      <w:pPr>
        <w:pStyle w:val="Organisation"/>
      </w:pPr>
      <w:r>
        <w:t>N</w:t>
      </w:r>
      <w:r w:rsidR="009A6CB6">
        <w:t xml:space="preserve">ational </w:t>
      </w:r>
      <w:r>
        <w:t>C</w:t>
      </w:r>
      <w:r w:rsidR="009A6CB6">
        <w:t xml:space="preserve">entre for </w:t>
      </w:r>
      <w:r>
        <w:t>V</w:t>
      </w:r>
      <w:r w:rsidR="009A6CB6">
        <w:t xml:space="preserve">ocational </w:t>
      </w:r>
      <w:r>
        <w:t>E</w:t>
      </w:r>
      <w:r w:rsidR="009A6CB6">
        <w:t xml:space="preserve">ducation </w:t>
      </w:r>
      <w:r>
        <w:t>R</w:t>
      </w:r>
      <w:r w:rsidR="009A6CB6">
        <w:t>esearch</w:t>
      </w:r>
    </w:p>
    <w:p w:rsidR="00DB599C" w:rsidRDefault="001A19D9" w:rsidP="0006125F">
      <w:pPr>
        <w:pStyle w:val="Heading3"/>
        <w:ind w:right="-1"/>
      </w:pPr>
      <w:r>
        <w:rPr>
          <w:noProof/>
          <w:lang w:eastAsia="en-AU"/>
        </w:rPr>
        <w:pict>
          <v:shapetype id="_x0000_t202" coordsize="21600,21600" o:spt="202" path="m,l,21600r21600,l21600,xe">
            <v:stroke joinstyle="miter"/>
            <v:path gradientshapeok="t" o:connecttype="rect"/>
          </v:shapetype>
          <v:shape id="Text Box 10" o:spid="_x0000_s1027" type="#_x0000_t202" style="position:absolute;margin-left:73.1pt;margin-top:659.7pt;width:357pt;height:83pt;z-index:251658240;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I32twIAAMI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" filled="f" stroked="f">
            <v:textbox>
              <w:txbxContent>
                <w:p w:rsidR="004A52F8" w:rsidRPr="00861CE5" w:rsidRDefault="004A52F8" w:rsidP="009A6CB6">
                  <w:pPr>
                    <w:pStyle w:val="Imprint"/>
                  </w:pPr>
                  <w:r w:rsidRPr="005C2FCF">
                    <w:t>The views and opinions expressed in this document are those of the author</w:t>
                  </w:r>
                  <w:r>
                    <w:t>s</w:t>
                  </w:r>
                  <w:r w:rsidRPr="005C2FCF">
                    <w:t>/project</w:t>
                  </w:r>
                  <w:r>
                    <w:br/>
                  </w:r>
                  <w:r w:rsidRPr="005C2FCF">
                    <w:t>team and do not necessarily reflect the views of the Australian Government</w:t>
                  </w:r>
                  <w:r>
                    <w:t xml:space="preserve"> or</w:t>
                  </w:r>
                  <w:r w:rsidRPr="005C2FCF">
                    <w:t xml:space="preserve"> </w:t>
                  </w:r>
                  <w:r>
                    <w:br/>
                  </w:r>
                  <w:r w:rsidRPr="005C2FCF">
                    <w:t xml:space="preserve">state and territory </w:t>
                  </w:r>
                  <w:r w:rsidRPr="009A6CB6">
                    <w:t>governments</w:t>
                  </w:r>
                  <w:r w:rsidRPr="005C2FCF">
                    <w:t>.</w:t>
                  </w:r>
                </w:p>
              </w:txbxContent>
            </v:textbox>
            <w10:wrap anchory="margin"/>
          </v:shape>
        </w:pict>
      </w:r>
    </w:p>
    <w:p w:rsidR="008B22E2" w:rsidRDefault="001A19D9" w:rsidP="00E57478">
      <w:pPr>
        <w:pStyle w:val="Heading3"/>
        <w:ind w:right="-1"/>
      </w:pPr>
      <w:r>
        <w:rPr>
          <w:noProof/>
          <w:lang w:eastAsia="en-AU"/>
        </w:rPr>
        <w:pict>
          <v:shape id="Text Box 12" o:spid="_x0000_s1026" type="#_x0000_t202" style="position:absolute;margin-left:79.95pt;margin-top:555.35pt;width:216.05pt;height:83pt;z-index:251660288;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ZutgIAALw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" filled="f" stroked="f">
            <v:textbox>
              <w:txbxContent>
                <w:p w:rsidR="004A52F8" w:rsidRPr="00C53EA4" w:rsidRDefault="004A52F8" w:rsidP="009A6CB6">
                  <w:pPr>
                    <w:pStyle w:val="Heading3"/>
                    <w:rPr>
                      <w:rFonts w:ascii="Trebuchet MS" w:hAnsi="Trebuchet MS"/>
                      <w:szCs w:val="24"/>
                    </w:rPr>
                  </w:pPr>
                  <w:r w:rsidRPr="00C53EA4">
                    <w:rPr>
                      <w:rFonts w:ascii="Trebuchet MS" w:hAnsi="Trebuchet MS"/>
                      <w:szCs w:val="24"/>
                    </w:rPr>
                    <w:t xml:space="preserve">NATIONAL VOCATIONAL EDUCATION AND TRAINING RESEARCH PROGRAM </w:t>
                  </w:r>
                </w:p>
                <w:p w:rsidR="004A52F8" w:rsidRPr="009A6CB6" w:rsidRDefault="00001B23" w:rsidP="009A6CB6">
                  <w:pPr>
                    <w:pStyle w:val="Heading3"/>
                    <w:spacing w:before="80"/>
                    <w:rPr>
                      <w:szCs w:val="24"/>
                    </w:rPr>
                  </w:pPr>
                  <w:r>
                    <w:rPr>
                      <w:rFonts w:ascii="Trebuchet MS" w:hAnsi="Trebuchet MS"/>
                      <w:b/>
                      <w:szCs w:val="24"/>
                    </w:rPr>
                    <w:t>RESEARCH REPORT</w:t>
                  </w:r>
                </w:p>
              </w:txbxContent>
            </v:textbox>
            <w10:wrap anchory="margin"/>
          </v:shape>
        </w:pict>
      </w:r>
      <w:r w:rsidR="00FE4A2D" w:rsidRPr="005C2FCF">
        <w:br w:type="page"/>
      </w:r>
    </w:p>
    <w:p w:rsidR="009A6CB6" w:rsidRDefault="009A6CB6" w:rsidP="009A6CB6">
      <w:pPr>
        <w:pStyle w:val="Heading3"/>
      </w:pPr>
      <w:r>
        <w:lastRenderedPageBreak/>
        <w:t>Publisher</w:t>
      </w:r>
      <w:r w:rsidR="00D52B39">
        <w:t>’</w:t>
      </w:r>
      <w:r>
        <w:t>s note</w:t>
      </w:r>
    </w:p>
    <w:p w:rsidR="00F252E5" w:rsidRPr="00F252E5" w:rsidRDefault="00F8650E" w:rsidP="00F252E5">
      <w:pPr>
        <w:pStyle w:val="Imprint"/>
      </w:pPr>
      <w:r w:rsidRPr="00F8650E">
        <w:t>This report has been prepared by the National Centre for Vocational Education Research (NCVER) on behalf of the former National Senior Officials Committee and the Principal Committees of the Council of Australian Governments’ (COAG) Industry Skills Council (previously the Standing Council on Tertiary Education, Skills and Employment).</w:t>
      </w:r>
      <w:r w:rsidR="00DC11BA">
        <w:t xml:space="preserve"> </w:t>
      </w:r>
    </w:p>
    <w:p w:rsidR="00DC11BA" w:rsidRDefault="00DC11BA" w:rsidP="0049453B">
      <w:pPr>
        <w:pStyle w:val="Abouttheresearch"/>
      </w:pPr>
      <w:r>
        <w:rPr>
          <w:noProof/>
          <w:lang w:eastAsia="en-AU"/>
        </w:rPr>
        <w:drawing>
          <wp:anchor distT="0" distB="0" distL="114300" distR="114300" simplePos="0" relativeHeight="251683840" behindDoc="0" locked="0" layoutInCell="1" allowOverlap="1" wp14:anchorId="36433EC3" wp14:editId="4CCB9143">
            <wp:simplePos x="0" y="0"/>
            <wp:positionH relativeFrom="column">
              <wp:posOffset>570230</wp:posOffset>
            </wp:positionH>
            <wp:positionV relativeFrom="paragraph">
              <wp:posOffset>8105775</wp:posOffset>
            </wp:positionV>
            <wp:extent cx="87630" cy="7937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79375"/>
                    </a:xfrm>
                    <a:prstGeom prst="rect">
                      <a:avLst/>
                    </a:prstGeom>
                    <a:noFill/>
                    <a:ln>
                      <a:noFill/>
                    </a:ln>
                  </pic:spPr>
                </pic:pic>
              </a:graphicData>
            </a:graphic>
            <wp14:sizeRelH relativeFrom="page">
              <wp14:pctWidth>0</wp14:pctWidth>
            </wp14:sizeRelH>
            <wp14:sizeRelV relativeFrom="page">
              <wp14:pctHeight>0</wp14:pctHeight>
            </wp14:sizeRelV>
          </wp:anchor>
        </w:drawing>
      </w:r>
      <w:r w:rsidR="001A19D9">
        <w:rPr>
          <w:noProof/>
          <w:lang w:eastAsia="en-AU"/>
        </w:rPr>
        <w:pict>
          <v:shape id="Text Box 14" o:spid="_x0000_s1028" type="#_x0000_t202" style="position:absolute;margin-left:0;margin-top:231.05pt;width:436.2pt;height:456pt;z-index:251661312;visibility:visible;mso-position-horizontal-relative:text;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" filled="f" stroked="f">
            <v:textbox style="mso-next-textbox:#Text Box 14" inset="0,,0">
              <w:txbxContent>
                <w:p w:rsidR="004A52F8" w:rsidRPr="00A021FC" w:rsidRDefault="004A52F8" w:rsidP="009A6CB6">
                  <w:pPr>
                    <w:pStyle w:val="Imprint"/>
                    <w:rPr>
                      <w:b/>
                    </w:rPr>
                  </w:pPr>
                  <w:r w:rsidRPr="00A021FC">
                    <w:rPr>
                      <w:b/>
                    </w:rPr>
                    <w:t xml:space="preserve">© Commonwealth of Australia, </w:t>
                  </w:r>
                  <w:r>
                    <w:rPr>
                      <w:b/>
                    </w:rPr>
                    <w:t>2014</w:t>
                  </w:r>
                </w:p>
                <w:p w:rsidR="004A52F8" w:rsidRDefault="004A52F8" w:rsidP="009A6CB6">
                  <w:pPr>
                    <w:pStyle w:val="Imprint"/>
                    <w:rPr>
                      <w:sz w:val="20"/>
                    </w:rPr>
                  </w:pPr>
                  <w:r w:rsidRPr="00E80270">
                    <w:rPr>
                      <w:noProof/>
                      <w:sz w:val="20"/>
                      <w:lang w:eastAsia="en-AU"/>
                    </w:rPr>
                    <w:drawing>
                      <wp:inline distT="0" distB="0" distL="0" distR="0" wp14:anchorId="3B0F75A7" wp14:editId="5B216B79">
                        <wp:extent cx="850265" cy="302895"/>
                        <wp:effectExtent l="19050" t="0" r="6985" b="0"/>
                        <wp:docPr id="19"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4A52F8" w:rsidRPr="00A021FC" w:rsidRDefault="004A52F8" w:rsidP="009A6CB6">
                  <w:pPr>
                    <w:pStyle w:val="Imprint"/>
                  </w:pPr>
                  <w:r w:rsidRPr="00A021FC">
                    <w:t>With the exception of the Commonwealth Coat of Arms, the Department</w:t>
                  </w:r>
                  <w:r>
                    <w:t>’</w:t>
                  </w:r>
                  <w:r w:rsidRPr="00A021FC">
                    <w:t xml:space="preserve">s logo, any material protected by a trade mark and where otherwise noted all material presented in this </w:t>
                  </w:r>
                  <w:r>
                    <w:br/>
                  </w:r>
                  <w:r w:rsidRPr="00A021FC">
                    <w:t xml:space="preserve">document is provided under a Creative Commons Attribution 3.0 Australia &lt;http://creativecommons.org/licenses/by/3.0/au&gt; licence. </w:t>
                  </w:r>
                </w:p>
                <w:p w:rsidR="004A52F8" w:rsidRPr="00A021FC" w:rsidRDefault="004A52F8" w:rsidP="009A6CB6">
                  <w:pPr>
                    <w:pStyle w:val="Imprint"/>
                    <w:spacing w:before="80"/>
                  </w:pPr>
                  <w:r w:rsidRPr="00A021FC">
                    <w:t>The details of the relevant licence conditions are available on the Creative Commons website (accessible using the links provided) as is the full legal code for the CC BY 3.0 AU licence &lt;http://creativecommons.org/licenses/by/3.0/legalcode&gt;.</w:t>
                  </w:r>
                </w:p>
                <w:p w:rsidR="004A52F8" w:rsidRPr="00A021FC" w:rsidRDefault="004A52F8" w:rsidP="009A6CB6">
                  <w:pPr>
                    <w:pStyle w:val="Imprint"/>
                    <w:spacing w:before="80"/>
                  </w:pPr>
                  <w:r w:rsidRPr="00A021FC">
                    <w:t>The Creative Commons licence conditions do not apply to all logos, graphic design, artwork and photographs. Requests and enquiries concerning other reproduction and rights should be directed to the National Centre for Vocational Education Research (NCVER).</w:t>
                  </w:r>
                </w:p>
                <w:p w:rsidR="001A19D9" w:rsidRDefault="004A52F8" w:rsidP="009A6CB6">
                  <w:pPr>
                    <w:pStyle w:val="Imprint"/>
                  </w:pPr>
                  <w:r w:rsidRPr="00A021FC">
                    <w:t xml:space="preserve">This document should be attributed as </w:t>
                  </w:r>
                  <w:r>
                    <w:t xml:space="preserve">Misko, J, Halliday-Wynes, S, Stanwick, J &amp; Gemici, S 2014, </w:t>
                  </w:r>
                  <w:r>
                    <w:rPr>
                      <w:i/>
                    </w:rPr>
                    <w:t xml:space="preserve">Quality assessments: practice and perspectives, </w:t>
                  </w:r>
                  <w:r w:rsidRPr="00A021FC">
                    <w:t>NCVER, Adelaide.</w:t>
                  </w:r>
                </w:p>
                <w:p w:rsidR="001A19D9" w:rsidRPr="001A19D9" w:rsidRDefault="001A19D9" w:rsidP="009A6CB6">
                  <w:pPr>
                    <w:pStyle w:val="Imprint"/>
                  </w:pPr>
                  <w:bookmarkStart w:id="5" w:name="_GoBack"/>
                  <w:bookmarkEnd w:id="5"/>
                  <w:r w:rsidRPr="001A19D9">
                    <w:rPr>
                      <w:smallCaps/>
                      <w:color w:val="000000"/>
                    </w:rPr>
                    <w:t>COVER IMAGE: GETTY IMAGES/THINKSTOCK</w:t>
                  </w:r>
                </w:p>
                <w:p w:rsidR="004A52F8" w:rsidRPr="005C2FCF" w:rsidRDefault="004A52F8" w:rsidP="009A6CB6">
                  <w:pPr>
                    <w:pStyle w:val="Imprint"/>
                    <w:rPr>
                      <w:color w:val="000000"/>
                    </w:rPr>
                  </w:pPr>
                  <w:r w:rsidRPr="005C2FCF">
                    <w:rPr>
                      <w:color w:val="000000"/>
                    </w:rPr>
                    <w:t>ISBN</w:t>
                  </w:r>
                  <w:r w:rsidRPr="005C2FCF">
                    <w:rPr>
                      <w:color w:val="000000"/>
                    </w:rPr>
                    <w:tab/>
                  </w:r>
                  <w:r w:rsidRPr="00D9387A">
                    <w:rPr>
                      <w:color w:val="000000"/>
                    </w:rPr>
                    <w:t>978 1 922056 90 0</w:t>
                  </w:r>
                  <w:r>
                    <w:rPr>
                      <w:color w:val="000000"/>
                    </w:rPr>
                    <w:br/>
                  </w:r>
                  <w:r w:rsidRPr="005C2FCF">
                    <w:rPr>
                      <w:color w:val="000000"/>
                    </w:rPr>
                    <w:t>TD/TNC</w:t>
                  </w:r>
                  <w:r w:rsidRPr="005C2FCF">
                    <w:rPr>
                      <w:color w:val="000000"/>
                    </w:rPr>
                    <w:tab/>
                  </w:r>
                  <w:r w:rsidRPr="00D9387A">
                    <w:rPr>
                      <w:color w:val="000000"/>
                    </w:rPr>
                    <w:t>115.17</w:t>
                  </w:r>
                </w:p>
                <w:p w:rsidR="004A52F8" w:rsidRPr="001F6C4E" w:rsidRDefault="004A52F8" w:rsidP="001F6C4E">
                  <w:pPr>
                    <w:pStyle w:val="Imprint"/>
                    <w:spacing w:before="80"/>
                    <w:rPr>
                      <w:color w:val="000000"/>
                    </w:rPr>
                  </w:pPr>
                  <w:r w:rsidRPr="001F6C4E">
                    <w:rPr>
                      <w:color w:val="000000"/>
                    </w:rPr>
                    <w:t>Published by NCVER, ABN 87 007 967 311</w:t>
                  </w:r>
                </w:p>
                <w:p w:rsidR="004A52F8" w:rsidRPr="001F6C4E" w:rsidRDefault="004A52F8" w:rsidP="001F6C4E">
                  <w:pPr>
                    <w:pStyle w:val="Imprint"/>
                    <w:rPr>
                      <w:color w:val="000000"/>
                    </w:rPr>
                  </w:pPr>
                  <w:r w:rsidRPr="001F6C4E">
                    <w:rPr>
                      <w:color w:val="000000"/>
                    </w:rPr>
                    <w:t>Level 11, 33 King William Street, Adelaide, SA 5000</w:t>
                  </w:r>
                  <w:r w:rsidRPr="001F6C4E">
                    <w:rPr>
                      <w:color w:val="000000"/>
                    </w:rPr>
                    <w:br/>
                    <w:t>PO Box 8288 Station Arcade, Adelaide SA 5000, Australia</w:t>
                  </w:r>
                </w:p>
                <w:p w:rsidR="004A52F8" w:rsidRPr="001F6C4E" w:rsidRDefault="004A52F8" w:rsidP="001F6C4E">
                  <w:pPr>
                    <w:pStyle w:val="Imprint"/>
                    <w:spacing w:before="80"/>
                    <w:rPr>
                      <w:color w:val="000000"/>
                    </w:rPr>
                  </w:pPr>
                  <w:r w:rsidRPr="001F6C4E">
                    <w:rPr>
                      <w:b/>
                      <w:color w:val="000000"/>
                    </w:rPr>
                    <w:t>Phone</w:t>
                  </w:r>
                  <w:r w:rsidRPr="001F6C4E">
                    <w:rPr>
                      <w:color w:val="000000"/>
                    </w:rPr>
                    <w:t xml:space="preserve"> +61 8 8230 8400     </w:t>
                  </w:r>
                  <w:r w:rsidRPr="001F6C4E">
                    <w:rPr>
                      <w:b/>
                      <w:color w:val="000000"/>
                    </w:rPr>
                    <w:t>Fax</w:t>
                  </w:r>
                  <w:r w:rsidRPr="001F6C4E">
                    <w:rPr>
                      <w:color w:val="000000"/>
                    </w:rPr>
                    <w:t xml:space="preserve"> +61 8 8212 3436</w:t>
                  </w:r>
                </w:p>
                <w:p w:rsidR="004A52F8" w:rsidRPr="001F6C4E" w:rsidRDefault="004A52F8" w:rsidP="001F6C4E">
                  <w:pPr>
                    <w:pStyle w:val="Imprint"/>
                    <w:spacing w:before="80"/>
                    <w:rPr>
                      <w:color w:val="000000"/>
                    </w:rPr>
                  </w:pPr>
                  <w:r w:rsidRPr="001F6C4E">
                    <w:rPr>
                      <w:b/>
                      <w:color w:val="000000"/>
                    </w:rPr>
                    <w:t>Email</w:t>
                  </w:r>
                  <w:r w:rsidRPr="001F6C4E">
                    <w:rPr>
                      <w:color w:val="000000"/>
                    </w:rPr>
                    <w:t xml:space="preserve"> </w:t>
                  </w:r>
                  <w:hyperlink r:id="rId13" w:history="1">
                    <w:r w:rsidRPr="001F6C4E">
                      <w:rPr>
                        <w:rStyle w:val="Hyperlink"/>
                        <w:sz w:val="16"/>
                      </w:rPr>
                      <w:t>ncver@ncver.edu.au</w:t>
                    </w:r>
                  </w:hyperlink>
                  <w:r w:rsidRPr="001F6C4E">
                    <w:rPr>
                      <w:color w:val="000000"/>
                    </w:rPr>
                    <w:t xml:space="preserve">     </w:t>
                  </w:r>
                  <w:r w:rsidRPr="001F6C4E">
                    <w:rPr>
                      <w:b/>
                      <w:color w:val="000000"/>
                    </w:rPr>
                    <w:t>Web</w:t>
                  </w:r>
                  <w:r w:rsidRPr="001F6C4E">
                    <w:rPr>
                      <w:color w:val="000000"/>
                    </w:rPr>
                    <w:t xml:space="preserve"> &lt;http://www.ncver.edu.au&gt;  &lt;</w:t>
                  </w:r>
                  <w:hyperlink r:id="rId14" w:history="1">
                    <w:r w:rsidRPr="001F6C4E">
                      <w:rPr>
                        <w:rStyle w:val="Hyperlink"/>
                        <w:sz w:val="16"/>
                      </w:rPr>
                      <w:t>http://www.lsay.edu.au</w:t>
                    </w:r>
                  </w:hyperlink>
                  <w:r w:rsidRPr="001F6C4E">
                    <w:rPr>
                      <w:color w:val="000000"/>
                    </w:rPr>
                    <w:t>&gt;</w:t>
                  </w:r>
                </w:p>
                <w:p w:rsidR="004A52F8" w:rsidRPr="001F6C4E" w:rsidRDefault="004A52F8" w:rsidP="00DC11BA">
                  <w:pPr>
                    <w:pStyle w:val="Imprint"/>
                    <w:tabs>
                      <w:tab w:val="left" w:pos="851"/>
                    </w:tabs>
                    <w:spacing w:before="80"/>
                    <w:rPr>
                      <w:color w:val="000000"/>
                    </w:rPr>
                  </w:pPr>
                  <w:r w:rsidRPr="001F6C4E">
                    <w:rPr>
                      <w:b/>
                      <w:color w:val="000000"/>
                    </w:rPr>
                    <w:t>Follow us:</w:t>
                  </w:r>
                  <w:r w:rsidRPr="001F6C4E">
                    <w:rPr>
                      <w:color w:val="000000"/>
                    </w:rPr>
                    <w:t xml:space="preserve"> </w:t>
                  </w:r>
                  <w:r w:rsidRPr="001F6C4E">
                    <w:rPr>
                      <w:color w:val="000000"/>
                    </w:rPr>
                    <w:tab/>
                  </w:r>
                  <w:r>
                    <w:rPr>
                      <w:noProof/>
                      <w:color w:val="000000"/>
                      <w:lang w:eastAsia="en-AU"/>
                    </w:rPr>
                    <w:drawing>
                      <wp:inline distT="0" distB="0" distL="0" distR="0" wp14:anchorId="2C24EFB4" wp14:editId="200C91B4">
                        <wp:extent cx="158750" cy="15113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r w:rsidRPr="001F6C4E">
                    <w:rPr>
                      <w:color w:val="000000"/>
                    </w:rPr>
                    <w:t xml:space="preserve"> &lt;http://twitter.com/ncver&gt;</w:t>
                  </w:r>
                  <w:r w:rsidRPr="001F6C4E">
                    <w:rPr>
                      <w:color w:val="000000"/>
                    </w:rPr>
                    <w:tab/>
                  </w:r>
                  <w:r>
                    <w:rPr>
                      <w:noProof/>
                      <w:color w:val="000000"/>
                      <w:lang w:eastAsia="en-AU"/>
                    </w:rPr>
                    <w:drawing>
                      <wp:inline distT="0" distB="0" distL="0" distR="0" wp14:anchorId="1D3E5A8B" wp14:editId="7C244A27">
                        <wp:extent cx="135255" cy="1428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Pr>
                      <w:color w:val="000000"/>
                    </w:rPr>
                    <w:t xml:space="preserve"> </w:t>
                  </w:r>
                  <w:r w:rsidRPr="001F6C4E">
                    <w:rPr>
                      <w:color w:val="000000"/>
                    </w:rPr>
                    <w:t>&lt;http://www.linkedin.com/company/ncver&gt;</w:t>
                  </w:r>
                </w:p>
                <w:p w:rsidR="004A52F8" w:rsidRPr="001F6C4E" w:rsidRDefault="004A52F8" w:rsidP="001F6C4E">
                  <w:pPr>
                    <w:pStyle w:val="Imprint"/>
                    <w:spacing w:before="80"/>
                    <w:rPr>
                      <w:color w:val="000000"/>
                    </w:rPr>
                  </w:pPr>
                </w:p>
                <w:p w:rsidR="004A52F8" w:rsidRPr="009A6CB6" w:rsidRDefault="004A52F8" w:rsidP="009A6CB6">
                  <w:pPr>
                    <w:pStyle w:val="Imprint"/>
                    <w:spacing w:before="80"/>
                    <w:rPr>
                      <w:szCs w:val="16"/>
                    </w:rPr>
                  </w:pPr>
                </w:p>
              </w:txbxContent>
            </v:textbox>
          </v:shape>
        </w:pict>
      </w:r>
      <w:r w:rsidR="004A52F8">
        <w:rPr>
          <w:noProof/>
          <w:lang w:eastAsia="en-AU"/>
        </w:rPr>
        <w:drawing>
          <wp:anchor distT="0" distB="0" distL="114300" distR="114300" simplePos="0" relativeHeight="251680768" behindDoc="0" locked="0" layoutInCell="1" allowOverlap="1" wp14:anchorId="28D99724" wp14:editId="3E8806BC">
            <wp:simplePos x="0" y="0"/>
            <wp:positionH relativeFrom="page">
              <wp:posOffset>1817370</wp:posOffset>
            </wp:positionH>
            <wp:positionV relativeFrom="paragraph">
              <wp:posOffset>7985760</wp:posOffset>
            </wp:positionV>
            <wp:extent cx="97200" cy="79200"/>
            <wp:effectExtent l="0" t="0" r="0" b="0"/>
            <wp:wrapNone/>
            <wp:docPr id="21" name="Picture 21" descr="P:\PublicationComponents\logos\Social Media\Twitter_log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PublicationComponents\logos\Social Media\Twitter_logo_white.png"/>
                    <pic:cNvPicPr>
                      <a:picLocks noChangeAspect="1" noChangeArrowheads="1"/>
                    </pic:cNvPicPr>
                  </pic:nvPicPr>
                  <pic:blipFill>
                    <a:blip r:embed="rId17" cstate="print"/>
                    <a:srcRect/>
                    <a:stretch>
                      <a:fillRect/>
                    </a:stretch>
                  </pic:blipFill>
                  <pic:spPr bwMode="auto">
                    <a:xfrm>
                      <a:off x="0" y="0"/>
                      <a:ext cx="97200" cy="79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E4A2D" w:rsidRPr="005C2FCF">
        <w:br w:type="page"/>
      </w:r>
      <w:bookmarkStart w:id="6" w:name="_Toc73766312"/>
      <w:bookmarkStart w:id="7" w:name="_Toc77937774"/>
      <w:bookmarkStart w:id="8" w:name="_Toc80174750"/>
      <w:bookmarkStart w:id="9" w:name="_Toc81560506"/>
      <w:bookmarkStart w:id="10" w:name="_Toc82071799"/>
      <w:bookmarkStart w:id="11" w:name="_Toc82151754"/>
      <w:bookmarkStart w:id="12" w:name="_Toc82498260"/>
      <w:bookmarkStart w:id="13" w:name="_Toc86829097"/>
      <w:bookmarkStart w:id="14" w:name="_Toc89226248"/>
      <w:bookmarkStart w:id="15" w:name="_Toc89240893"/>
      <w:bookmarkStart w:id="16" w:name="_Toc98394875"/>
      <w:bookmarkStart w:id="17" w:name="_Toc296423679"/>
      <w:bookmarkStart w:id="18" w:name="_Toc296497510"/>
    </w:p>
    <w:p w:rsidR="009E231A" w:rsidRPr="00C77DC6" w:rsidRDefault="00FE4A2D" w:rsidP="0049453B">
      <w:pPr>
        <w:pStyle w:val="Abouttheresearch"/>
      </w:pPr>
      <w:r w:rsidRPr="005C2FCF">
        <w:lastRenderedPageBreak/>
        <w:t>About the research</w:t>
      </w:r>
      <w:bookmarkEnd w:id="6"/>
      <w:bookmarkEnd w:id="7"/>
      <w:bookmarkEnd w:id="8"/>
      <w:bookmarkEnd w:id="9"/>
      <w:bookmarkEnd w:id="10"/>
      <w:bookmarkEnd w:id="11"/>
      <w:bookmarkEnd w:id="12"/>
      <w:bookmarkEnd w:id="13"/>
      <w:bookmarkEnd w:id="14"/>
      <w:bookmarkEnd w:id="15"/>
      <w:bookmarkEnd w:id="16"/>
      <w:bookmarkEnd w:id="17"/>
      <w:bookmarkEnd w:id="18"/>
    </w:p>
    <w:p w:rsidR="001B43CF" w:rsidRPr="00CB1E3E" w:rsidRDefault="00CB1E3E" w:rsidP="00CB1E3E">
      <w:pPr>
        <w:pStyle w:val="Abouttheresearchpubtitle"/>
      </w:pPr>
      <w:bookmarkStart w:id="19" w:name="_Toc98394877"/>
      <w:r>
        <w:t xml:space="preserve">Quality </w:t>
      </w:r>
      <w:r w:rsidR="00D321CE">
        <w:t>assessments: practice and per</w:t>
      </w:r>
      <w:r>
        <w:t>spectives</w:t>
      </w:r>
    </w:p>
    <w:bookmarkEnd w:id="19"/>
    <w:p w:rsidR="009E231A" w:rsidRPr="001B43CF" w:rsidRDefault="00D321CE" w:rsidP="00CB1E3E">
      <w:pPr>
        <w:pStyle w:val="Heading3"/>
      </w:pPr>
      <w:r>
        <w:t xml:space="preserve">Josie Misko, Sian Halliday-Wynes, John </w:t>
      </w:r>
      <w:r w:rsidRPr="00CB1E3E">
        <w:t>Stanwick</w:t>
      </w:r>
      <w:r>
        <w:t xml:space="preserve"> and Sinan Gemici</w:t>
      </w:r>
      <w:r w:rsidR="00E3166C">
        <w:t>, NCVER</w:t>
      </w:r>
    </w:p>
    <w:p w:rsidR="009E231A" w:rsidRPr="00A55C29" w:rsidRDefault="00D321CE" w:rsidP="00CB1E3E">
      <w:pPr>
        <w:pStyle w:val="Text"/>
        <w:rPr>
          <w:color w:val="000000"/>
        </w:rPr>
      </w:pPr>
      <w:r>
        <w:t xml:space="preserve">The quality and rigour of assessments in </w:t>
      </w:r>
      <w:r w:rsidR="00E3166C">
        <w:t>vocational education and training (</w:t>
      </w:r>
      <w:r>
        <w:t>VET</w:t>
      </w:r>
      <w:r w:rsidR="00E3166C">
        <w:t>)</w:t>
      </w:r>
      <w:r>
        <w:t xml:space="preserve"> ha</w:t>
      </w:r>
      <w:r w:rsidR="00E3166C">
        <w:t>ve</w:t>
      </w:r>
      <w:r>
        <w:t xml:space="preserve"> been key concern</w:t>
      </w:r>
      <w:r w:rsidR="00E3166C">
        <w:t>s</w:t>
      </w:r>
      <w:r>
        <w:t xml:space="preserve"> </w:t>
      </w:r>
      <w:r w:rsidR="00E3166C">
        <w:t>for</w:t>
      </w:r>
      <w:r>
        <w:t xml:space="preserve"> VET policy-makers, industry stakeholders, employers</w:t>
      </w:r>
      <w:r w:rsidR="00487CB1">
        <w:t>,</w:t>
      </w:r>
      <w:r>
        <w:t xml:space="preserve"> and teachers </w:t>
      </w:r>
      <w:r w:rsidRPr="00B939E1">
        <w:t>and trainers</w:t>
      </w:r>
      <w:r>
        <w:t xml:space="preserve"> in recent years</w:t>
      </w:r>
      <w:r w:rsidR="00E3166C">
        <w:t xml:space="preserve">. </w:t>
      </w:r>
      <w:r>
        <w:t>Th</w:t>
      </w:r>
      <w:r w:rsidR="00252598">
        <w:t xml:space="preserve">e issue of quality in assessments has implications for </w:t>
      </w:r>
      <w:r w:rsidRPr="00B939E1">
        <w:t xml:space="preserve">the credibility of VET qualifications and the competence of </w:t>
      </w:r>
      <w:r w:rsidR="00B65BBE">
        <w:t xml:space="preserve">the </w:t>
      </w:r>
      <w:r w:rsidRPr="00B939E1">
        <w:t>graduates who hold these qualifications.</w:t>
      </w:r>
      <w:r>
        <w:t xml:space="preserve"> In this study the authors investigate this issue by looking</w:t>
      </w:r>
      <w:r w:rsidR="00D3071E">
        <w:t xml:space="preserve"> at</w:t>
      </w:r>
      <w:r w:rsidR="003F756A">
        <w:t xml:space="preserve"> c</w:t>
      </w:r>
      <w:r>
        <w:t xml:space="preserve">ertificate III </w:t>
      </w:r>
      <w:r w:rsidRPr="00CB1E3E">
        <w:t>qualifications</w:t>
      </w:r>
      <w:r>
        <w:t xml:space="preserve"> in </w:t>
      </w:r>
      <w:r w:rsidR="003F756A">
        <w:t>aged care, electro-technology (electrical) and b</w:t>
      </w:r>
      <w:r>
        <w:t xml:space="preserve">usiness. </w:t>
      </w:r>
      <w:r w:rsidR="00D3071E">
        <w:t>T</w:t>
      </w:r>
      <w:r w:rsidR="00977CDE">
        <w:t xml:space="preserve">he authors </w:t>
      </w:r>
      <w:r w:rsidR="00D3071E">
        <w:t>also</w:t>
      </w:r>
      <w:r w:rsidR="004E68F7">
        <w:t xml:space="preserve"> </w:t>
      </w:r>
      <w:r w:rsidR="00977CDE">
        <w:t xml:space="preserve">explore the </w:t>
      </w:r>
      <w:r w:rsidR="00977CDE" w:rsidRPr="00A55C29">
        <w:t xml:space="preserve">knowledge and </w:t>
      </w:r>
      <w:r w:rsidR="00B65BBE" w:rsidRPr="00A55C29">
        <w:t xml:space="preserve">the </w:t>
      </w:r>
      <w:r w:rsidR="00977CDE" w:rsidRPr="00A55C29">
        <w:t xml:space="preserve">practical application of assessment of practitioners. They identify some clear tensions </w:t>
      </w:r>
      <w:r w:rsidR="003F756A" w:rsidRPr="00A55C29">
        <w:t>relating to</w:t>
      </w:r>
      <w:r w:rsidR="00F1309A" w:rsidRPr="00A55C29">
        <w:t xml:space="preserve"> where practitioners put their efforts i</w:t>
      </w:r>
      <w:r w:rsidR="00CB1E3E" w:rsidRPr="00A55C29">
        <w:t>n ensuring quality assessments.</w:t>
      </w:r>
    </w:p>
    <w:p w:rsidR="009E231A" w:rsidRPr="005C2FCF" w:rsidRDefault="00FE4A2D" w:rsidP="00CB1E3E">
      <w:pPr>
        <w:pStyle w:val="Keymessages"/>
        <w:tabs>
          <w:tab w:val="center" w:pos="4394"/>
        </w:tabs>
      </w:pPr>
      <w:bookmarkStart w:id="20" w:name="_Toc98394878"/>
      <w:bookmarkStart w:id="21" w:name="_Toc296423682"/>
      <w:bookmarkStart w:id="22" w:name="_Toc296497513"/>
      <w:r w:rsidRPr="00A55C29">
        <w:t>Key messages</w:t>
      </w:r>
      <w:bookmarkEnd w:id="20"/>
      <w:bookmarkEnd w:id="21"/>
      <w:bookmarkEnd w:id="22"/>
    </w:p>
    <w:p w:rsidR="00252598" w:rsidRDefault="00D321CE" w:rsidP="00252598">
      <w:pPr>
        <w:pStyle w:val="Dotpoint1"/>
      </w:pPr>
      <w:r>
        <w:t xml:space="preserve">Regulatory frameworks drive quality </w:t>
      </w:r>
      <w:r w:rsidR="00977CDE">
        <w:t xml:space="preserve">assessments </w:t>
      </w:r>
      <w:r>
        <w:t xml:space="preserve">in electrical and aged care </w:t>
      </w:r>
      <w:r w:rsidR="00750EF5">
        <w:t>qualifications</w:t>
      </w:r>
      <w:r w:rsidR="00673250">
        <w:t xml:space="preserve">. </w:t>
      </w:r>
      <w:r w:rsidR="00F1309A">
        <w:t>T</w:t>
      </w:r>
      <w:r w:rsidR="00750EF5">
        <w:t xml:space="preserve">hey are less critical for general business qualifications. </w:t>
      </w:r>
    </w:p>
    <w:p w:rsidR="005B6ACB" w:rsidRDefault="00252598" w:rsidP="00252598">
      <w:pPr>
        <w:pStyle w:val="Dotpoint1"/>
      </w:pPr>
      <w:r>
        <w:t xml:space="preserve">Practitioners </w:t>
      </w:r>
      <w:r w:rsidR="005B6ACB">
        <w:t>understand the requirements for gathering sufficient evidence of practical skill</w:t>
      </w:r>
      <w:r w:rsidR="00C00076">
        <w:t>s</w:t>
      </w:r>
      <w:r w:rsidR="005B6ACB">
        <w:t xml:space="preserve"> and underpinning knowledge to establish competency against established performance criteria in </w:t>
      </w:r>
      <w:r w:rsidR="003F756A">
        <w:t>training packages</w:t>
      </w:r>
      <w:r w:rsidR="005B6ACB">
        <w:t xml:space="preserve">. Applying this in practice </w:t>
      </w:r>
      <w:r w:rsidR="00C00076">
        <w:t>presents</w:t>
      </w:r>
      <w:r w:rsidR="005B6ACB">
        <w:t xml:space="preserve"> more of a challenge. </w:t>
      </w:r>
    </w:p>
    <w:p w:rsidR="00252598" w:rsidRDefault="005B6ACB" w:rsidP="00252598">
      <w:pPr>
        <w:pStyle w:val="Dotpoint1"/>
      </w:pPr>
      <w:r>
        <w:t xml:space="preserve">Practitioners also </w:t>
      </w:r>
      <w:r w:rsidR="00252598">
        <w:t xml:space="preserve">express low confidence in </w:t>
      </w:r>
      <w:r w:rsidR="00252598" w:rsidRPr="00252598">
        <w:t>making fair, reli</w:t>
      </w:r>
      <w:r w:rsidR="007D2A65">
        <w:t>able, consistent and valid judg</w:t>
      </w:r>
      <w:r w:rsidR="00252598" w:rsidRPr="00252598">
        <w:t xml:space="preserve">ments about performance, particularly about </w:t>
      </w:r>
      <w:r w:rsidR="00D52B39">
        <w:t>‘</w:t>
      </w:r>
      <w:r w:rsidR="00252598" w:rsidRPr="00252598">
        <w:t>non-competent performance</w:t>
      </w:r>
      <w:r w:rsidR="00D52B39">
        <w:t>’</w:t>
      </w:r>
      <w:r w:rsidR="00252598" w:rsidRPr="00252598">
        <w:t xml:space="preserve">. </w:t>
      </w:r>
    </w:p>
    <w:p w:rsidR="00252598" w:rsidRPr="00252598" w:rsidRDefault="00252598" w:rsidP="00252598">
      <w:pPr>
        <w:pStyle w:val="Dotpoint1"/>
      </w:pPr>
      <w:r w:rsidRPr="00252598">
        <w:t xml:space="preserve">Practitioners are more concerned with implementing processes for ensuring the relevance, clarity and user-friendliness of their assessment instruments than they are </w:t>
      </w:r>
      <w:r w:rsidR="00C00076">
        <w:t>with</w:t>
      </w:r>
      <w:r w:rsidRPr="00252598">
        <w:t xml:space="preserve"> moderating the results of assessments. The general view is that </w:t>
      </w:r>
      <w:r w:rsidR="00CB7597">
        <w:t xml:space="preserve">the use of </w:t>
      </w:r>
      <w:r w:rsidRPr="00252598">
        <w:t xml:space="preserve">rigorous up-front validation approaches minimises the need for moderation. </w:t>
      </w:r>
      <w:r w:rsidR="00C00076">
        <w:t>Also challenging is</w:t>
      </w:r>
      <w:r w:rsidRPr="00252598">
        <w:t xml:space="preserve"> </w:t>
      </w:r>
      <w:r w:rsidR="00B716E5">
        <w:t>ensuring</w:t>
      </w:r>
      <w:r w:rsidRPr="00252598">
        <w:t xml:space="preserve"> that their assessment tools keep pace with changing legislative frameworks and standards.</w:t>
      </w:r>
    </w:p>
    <w:p w:rsidR="00514078" w:rsidRDefault="00E265C6" w:rsidP="00D93D7B">
      <w:pPr>
        <w:pStyle w:val="Dotpoint1"/>
      </w:pPr>
      <w:r>
        <w:t>External</w:t>
      </w:r>
      <w:r w:rsidR="00514078">
        <w:t xml:space="preserve"> assessment</w:t>
      </w:r>
      <w:r w:rsidR="00252598">
        <w:t>s</w:t>
      </w:r>
      <w:r w:rsidR="00514078">
        <w:t xml:space="preserve"> conducted by regulatory authorities (or their equivalents)</w:t>
      </w:r>
      <w:r w:rsidR="007D2A65">
        <w:t xml:space="preserve"> in electrical qualifications</w:t>
      </w:r>
      <w:r>
        <w:t xml:space="preserve"> or external assessors</w:t>
      </w:r>
      <w:r w:rsidR="00514078">
        <w:t xml:space="preserve"> </w:t>
      </w:r>
      <w:r w:rsidR="00252598">
        <w:t xml:space="preserve">in </w:t>
      </w:r>
      <w:r w:rsidR="00B716E5" w:rsidRPr="00CB1E3E">
        <w:t>aged care</w:t>
      </w:r>
      <w:r w:rsidR="00B716E5">
        <w:t xml:space="preserve"> </w:t>
      </w:r>
      <w:r>
        <w:t>or business qua</w:t>
      </w:r>
      <w:r w:rsidR="007D2A65">
        <w:t>lifications</w:t>
      </w:r>
      <w:r w:rsidR="00252598">
        <w:t xml:space="preserve"> </w:t>
      </w:r>
      <w:r w:rsidR="00514078">
        <w:t>standardise skill assessments</w:t>
      </w:r>
      <w:r>
        <w:t xml:space="preserve">. This helps to </w:t>
      </w:r>
      <w:r w:rsidR="00514078">
        <w:t xml:space="preserve">ensure comparability and consistency of performance to industry standards. </w:t>
      </w:r>
    </w:p>
    <w:p w:rsidR="00D93D7B" w:rsidRDefault="00B716E5" w:rsidP="00D93D7B">
      <w:pPr>
        <w:pStyle w:val="Dotpoint1"/>
      </w:pPr>
      <w:r>
        <w:t>Employers</w:t>
      </w:r>
      <w:r w:rsidR="00D52B39">
        <w:t>’</w:t>
      </w:r>
      <w:r>
        <w:t xml:space="preserve"> t</w:t>
      </w:r>
      <w:r w:rsidR="007D2A65">
        <w:t>ime constraints</w:t>
      </w:r>
      <w:r w:rsidR="00E92B45">
        <w:t xml:space="preserve"> and inadequate experience or expertise in specific units (especially those dealing with theoretical com</w:t>
      </w:r>
      <w:r w:rsidR="007D2A65">
        <w:t>ponents) work</w:t>
      </w:r>
      <w:r w:rsidR="00E92B45">
        <w:t xml:space="preserve"> against </w:t>
      </w:r>
      <w:r w:rsidR="007D2A65">
        <w:t>the</w:t>
      </w:r>
      <w:r>
        <w:t>ir</w:t>
      </w:r>
      <w:r w:rsidR="007D2A65">
        <w:t xml:space="preserve"> </w:t>
      </w:r>
      <w:r w:rsidR="00E92B45">
        <w:t xml:space="preserve">increased involvement in assessment validation or </w:t>
      </w:r>
      <w:r w:rsidR="007D2A65">
        <w:t xml:space="preserve">in </w:t>
      </w:r>
      <w:r w:rsidR="00E265C6">
        <w:t xml:space="preserve">conducting </w:t>
      </w:r>
      <w:r w:rsidR="005B6ACB">
        <w:t>assessments</w:t>
      </w:r>
      <w:r w:rsidR="00E92B45">
        <w:t>.</w:t>
      </w:r>
    </w:p>
    <w:p w:rsidR="00241635" w:rsidRDefault="00DC11BA" w:rsidP="00F359CF">
      <w:pPr>
        <w:pStyle w:val="Dotpoint1"/>
      </w:pPr>
      <w:r>
        <w:rPr>
          <w:noProof/>
          <w:lang w:eastAsia="en-AU"/>
        </w:rPr>
        <w:drawing>
          <wp:anchor distT="0" distB="0" distL="114300" distR="114300" simplePos="0" relativeHeight="251682816" behindDoc="0" locked="0" layoutInCell="1" allowOverlap="1" wp14:anchorId="08797FE0" wp14:editId="382B7650">
            <wp:simplePos x="0" y="0"/>
            <wp:positionH relativeFrom="page">
              <wp:posOffset>506730</wp:posOffset>
            </wp:positionH>
            <wp:positionV relativeFrom="paragraph">
              <wp:posOffset>339725</wp:posOffset>
            </wp:positionV>
            <wp:extent cx="97155" cy="78740"/>
            <wp:effectExtent l="0" t="0" r="0" b="0"/>
            <wp:wrapNone/>
            <wp:docPr id="14" name="Picture 14" descr="P:\PublicationComponents\logos\Social Media\Twitter_log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PublicationComponents\logos\Social Media\Twitter_logo_white.png"/>
                    <pic:cNvPicPr>
                      <a:picLocks noChangeAspect="1" noChangeArrowheads="1"/>
                    </pic:cNvPicPr>
                  </pic:nvPicPr>
                  <pic:blipFill>
                    <a:blip r:embed="rId17" cstate="print"/>
                    <a:srcRect/>
                    <a:stretch>
                      <a:fillRect/>
                    </a:stretch>
                  </pic:blipFill>
                  <pic:spPr bwMode="auto">
                    <a:xfrm>
                      <a:off x="0" y="0"/>
                      <a:ext cx="97155" cy="787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359CF">
        <w:t xml:space="preserve">The </w:t>
      </w:r>
      <w:r w:rsidR="00241635">
        <w:t xml:space="preserve">streamlining of recognition of prior learning processes </w:t>
      </w:r>
      <w:r w:rsidR="005B6ACB">
        <w:t>is limited</w:t>
      </w:r>
      <w:r w:rsidR="00CB0F67">
        <w:t xml:space="preserve"> because providers want to gu</w:t>
      </w:r>
      <w:r w:rsidR="007D2A65">
        <w:t>ard against non-compliance judg</w:t>
      </w:r>
      <w:r w:rsidR="00CB0F67">
        <w:t xml:space="preserve">ments from </w:t>
      </w:r>
      <w:r w:rsidR="00241635">
        <w:t xml:space="preserve">regulators and auditors. </w:t>
      </w:r>
    </w:p>
    <w:p w:rsidR="00514078" w:rsidRDefault="005B6ACB" w:rsidP="00514078">
      <w:pPr>
        <w:pStyle w:val="Dotpoint1"/>
      </w:pPr>
      <w:r>
        <w:t>Other than</w:t>
      </w:r>
      <w:r w:rsidR="00514078">
        <w:t xml:space="preserve"> accelerating the progress of existing workers with considerable experience</w:t>
      </w:r>
      <w:r w:rsidR="00B65BBE">
        <w:t>,</w:t>
      </w:r>
      <w:r w:rsidR="00514078">
        <w:t xml:space="preserve"> t</w:t>
      </w:r>
      <w:r w:rsidR="00F359CF">
        <w:t xml:space="preserve">here is little support for condensing the </w:t>
      </w:r>
      <w:r w:rsidR="007D2A65">
        <w:t>length</w:t>
      </w:r>
      <w:r w:rsidR="00F359CF">
        <w:t xml:space="preserve"> of entry-level courses. </w:t>
      </w:r>
    </w:p>
    <w:p w:rsidR="00673250" w:rsidRDefault="00673250" w:rsidP="00CB1E3E">
      <w:pPr>
        <w:pStyle w:val="Text"/>
      </w:pPr>
    </w:p>
    <w:p w:rsidR="0020518E" w:rsidRDefault="00E45CAB" w:rsidP="00CB1E3E">
      <w:pPr>
        <w:pStyle w:val="Text"/>
      </w:pPr>
      <w:r w:rsidRPr="0020518E">
        <w:rPr>
          <w:szCs w:val="19"/>
        </w:rPr>
        <w:t>Rod Camm</w:t>
      </w:r>
      <w:r w:rsidR="00FE4A2D" w:rsidRPr="0020518E">
        <w:rPr>
          <w:szCs w:val="19"/>
        </w:rPr>
        <w:br/>
        <w:t>Managing Director, NCVER</w:t>
      </w:r>
      <w:bookmarkStart w:id="23" w:name="_Toc98394880"/>
      <w:bookmarkStart w:id="24" w:name="_Toc296423683"/>
      <w:bookmarkStart w:id="25" w:name="_Toc296497514"/>
      <w:r w:rsidR="00944E59">
        <w:t xml:space="preserve"> </w:t>
      </w:r>
    </w:p>
    <w:p w:rsidR="00CB1E3E" w:rsidRDefault="00CB1E3E">
      <w:r>
        <w:br w:type="page"/>
      </w:r>
    </w:p>
    <w:p w:rsidR="00CB1E3E" w:rsidRDefault="005B6ACB">
      <w:pPr>
        <w:sectPr w:rsidR="00CB1E3E" w:rsidSect="00F60BA5">
          <w:footerReference w:type="even" r:id="rId18"/>
          <w:footerReference w:type="default" r:id="rId19"/>
          <w:pgSz w:w="11907" w:h="16840" w:code="9"/>
          <w:pgMar w:top="1276" w:right="1701" w:bottom="1276" w:left="1418" w:header="709" w:footer="556" w:gutter="0"/>
          <w:cols w:space="708"/>
          <w:docGrid w:linePitch="360"/>
        </w:sectPr>
      </w:pPr>
      <w:r>
        <w:lastRenderedPageBreak/>
        <w:br w:type="page"/>
      </w:r>
    </w:p>
    <w:p w:rsidR="009E231A" w:rsidRPr="00DC5F5C" w:rsidRDefault="00FE4A2D" w:rsidP="00CB1E3E">
      <w:pPr>
        <w:pStyle w:val="Contents"/>
      </w:pPr>
      <w:r w:rsidRPr="00CB1E3E">
        <w:lastRenderedPageBreak/>
        <w:t>Contents</w:t>
      </w:r>
      <w:bookmarkEnd w:id="23"/>
      <w:bookmarkEnd w:id="24"/>
      <w:bookmarkEnd w:id="25"/>
    </w:p>
    <w:p w:rsidR="005251AE" w:rsidRDefault="00C02F1E">
      <w:pPr>
        <w:pStyle w:val="TOC1"/>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5251AE">
        <w:t>Tables and figures</w:t>
      </w:r>
      <w:r w:rsidR="005251AE">
        <w:tab/>
      </w:r>
      <w:r>
        <w:fldChar w:fldCharType="begin"/>
      </w:r>
      <w:r w:rsidR="005251AE">
        <w:instrText xml:space="preserve"> PAGEREF _Toc381103166 \h </w:instrText>
      </w:r>
      <w:r>
        <w:fldChar w:fldCharType="separate"/>
      </w:r>
      <w:r w:rsidR="00F002FD">
        <w:t>6</w:t>
      </w:r>
      <w:r>
        <w:fldChar w:fldCharType="end"/>
      </w:r>
    </w:p>
    <w:p w:rsidR="005251AE" w:rsidRDefault="005251AE">
      <w:pPr>
        <w:pStyle w:val="TOC1"/>
        <w:rPr>
          <w:rFonts w:asciiTheme="minorHAnsi" w:eastAsiaTheme="minorEastAsia" w:hAnsiTheme="minorHAnsi" w:cstheme="minorBidi"/>
          <w:color w:val="auto"/>
          <w:sz w:val="22"/>
          <w:szCs w:val="22"/>
          <w:lang w:eastAsia="en-AU"/>
        </w:rPr>
      </w:pPr>
      <w:r>
        <w:t>Executive summary</w:t>
      </w:r>
      <w:r>
        <w:tab/>
      </w:r>
      <w:r w:rsidR="00C02F1E">
        <w:fldChar w:fldCharType="begin"/>
      </w:r>
      <w:r>
        <w:instrText xml:space="preserve"> PAGEREF _Toc381103169 \h </w:instrText>
      </w:r>
      <w:r w:rsidR="00C02F1E">
        <w:fldChar w:fldCharType="separate"/>
      </w:r>
      <w:r w:rsidR="00F002FD">
        <w:t>7</w:t>
      </w:r>
      <w:r w:rsidR="00C02F1E">
        <w:fldChar w:fldCharType="end"/>
      </w:r>
    </w:p>
    <w:p w:rsidR="005251AE" w:rsidRDefault="005251AE">
      <w:pPr>
        <w:pStyle w:val="TOC1"/>
        <w:rPr>
          <w:rFonts w:asciiTheme="minorHAnsi" w:eastAsiaTheme="minorEastAsia" w:hAnsiTheme="minorHAnsi" w:cstheme="minorBidi"/>
          <w:color w:val="auto"/>
          <w:sz w:val="22"/>
          <w:szCs w:val="22"/>
          <w:lang w:eastAsia="en-AU"/>
        </w:rPr>
      </w:pPr>
      <w:r>
        <w:t>Introduction</w:t>
      </w:r>
      <w:r>
        <w:tab/>
      </w:r>
      <w:r w:rsidR="00C02F1E">
        <w:fldChar w:fldCharType="begin"/>
      </w:r>
      <w:r>
        <w:instrText xml:space="preserve"> PAGEREF _Toc381103173 \h </w:instrText>
      </w:r>
      <w:r w:rsidR="00C02F1E">
        <w:fldChar w:fldCharType="separate"/>
      </w:r>
      <w:r w:rsidR="00F002FD">
        <w:t>11</w:t>
      </w:r>
      <w:r w:rsidR="00C02F1E">
        <w:fldChar w:fldCharType="end"/>
      </w:r>
    </w:p>
    <w:p w:rsidR="005251AE" w:rsidRDefault="005251AE">
      <w:pPr>
        <w:pStyle w:val="TOC2"/>
        <w:rPr>
          <w:rFonts w:asciiTheme="minorHAnsi" w:eastAsiaTheme="minorEastAsia" w:hAnsiTheme="minorHAnsi" w:cstheme="minorBidi"/>
          <w:color w:val="auto"/>
          <w:sz w:val="22"/>
          <w:szCs w:val="22"/>
          <w:lang w:eastAsia="en-AU"/>
        </w:rPr>
      </w:pPr>
      <w:r>
        <w:t>Context</w:t>
      </w:r>
      <w:r>
        <w:tab/>
      </w:r>
      <w:r w:rsidR="00C02F1E">
        <w:fldChar w:fldCharType="begin"/>
      </w:r>
      <w:r>
        <w:instrText xml:space="preserve"> PAGEREF _Toc381103174 \h </w:instrText>
      </w:r>
      <w:r w:rsidR="00C02F1E">
        <w:fldChar w:fldCharType="separate"/>
      </w:r>
      <w:r w:rsidR="00F002FD">
        <w:t>12</w:t>
      </w:r>
      <w:r w:rsidR="00C02F1E">
        <w:fldChar w:fldCharType="end"/>
      </w:r>
    </w:p>
    <w:p w:rsidR="005251AE" w:rsidRDefault="005251AE">
      <w:pPr>
        <w:pStyle w:val="TOC1"/>
        <w:rPr>
          <w:rFonts w:asciiTheme="minorHAnsi" w:eastAsiaTheme="minorEastAsia" w:hAnsiTheme="minorHAnsi" w:cstheme="minorBidi"/>
          <w:color w:val="auto"/>
          <w:sz w:val="22"/>
          <w:szCs w:val="22"/>
          <w:lang w:eastAsia="en-AU"/>
        </w:rPr>
      </w:pPr>
      <w:r>
        <w:t>What do practitioners understand about quality in assessments?</w:t>
      </w:r>
      <w:r>
        <w:tab/>
      </w:r>
      <w:r w:rsidR="00C02F1E">
        <w:fldChar w:fldCharType="begin"/>
      </w:r>
      <w:r>
        <w:instrText xml:space="preserve"> PAGEREF _Toc381103175 \h </w:instrText>
      </w:r>
      <w:r w:rsidR="00C02F1E">
        <w:fldChar w:fldCharType="separate"/>
      </w:r>
      <w:r w:rsidR="00F002FD">
        <w:t>14</w:t>
      </w:r>
      <w:r w:rsidR="00C02F1E">
        <w:fldChar w:fldCharType="end"/>
      </w:r>
    </w:p>
    <w:p w:rsidR="005251AE" w:rsidRDefault="005251AE">
      <w:pPr>
        <w:pStyle w:val="TOC2"/>
        <w:rPr>
          <w:rFonts w:asciiTheme="minorHAnsi" w:eastAsiaTheme="minorEastAsia" w:hAnsiTheme="minorHAnsi" w:cstheme="minorBidi"/>
          <w:color w:val="auto"/>
          <w:sz w:val="22"/>
          <w:szCs w:val="22"/>
          <w:lang w:eastAsia="en-AU"/>
        </w:rPr>
      </w:pPr>
      <w:r>
        <w:t>Characteristics of effective or quality assessments</w:t>
      </w:r>
      <w:r>
        <w:tab/>
      </w:r>
      <w:r w:rsidR="00C02F1E">
        <w:fldChar w:fldCharType="begin"/>
      </w:r>
      <w:r>
        <w:instrText xml:space="preserve"> PAGEREF _Toc381103176 \h </w:instrText>
      </w:r>
      <w:r w:rsidR="00C02F1E">
        <w:fldChar w:fldCharType="separate"/>
      </w:r>
      <w:r w:rsidR="00F002FD">
        <w:t>14</w:t>
      </w:r>
      <w:r w:rsidR="00C02F1E">
        <w:fldChar w:fldCharType="end"/>
      </w:r>
    </w:p>
    <w:p w:rsidR="005251AE" w:rsidRDefault="005251AE">
      <w:pPr>
        <w:pStyle w:val="TOC2"/>
        <w:rPr>
          <w:rFonts w:asciiTheme="minorHAnsi" w:eastAsiaTheme="minorEastAsia" w:hAnsiTheme="minorHAnsi" w:cstheme="minorBidi"/>
          <w:color w:val="auto"/>
          <w:sz w:val="22"/>
          <w:szCs w:val="22"/>
          <w:lang w:eastAsia="en-AU"/>
        </w:rPr>
      </w:pPr>
      <w:r>
        <w:t>Characteristics of credible qualifications</w:t>
      </w:r>
      <w:r>
        <w:tab/>
      </w:r>
      <w:r w:rsidR="00C02F1E">
        <w:fldChar w:fldCharType="begin"/>
      </w:r>
      <w:r>
        <w:instrText xml:space="preserve"> PAGEREF _Toc381103177 \h </w:instrText>
      </w:r>
      <w:r w:rsidR="00C02F1E">
        <w:fldChar w:fldCharType="separate"/>
      </w:r>
      <w:r w:rsidR="00F002FD">
        <w:t>16</w:t>
      </w:r>
      <w:r w:rsidR="00C02F1E">
        <w:fldChar w:fldCharType="end"/>
      </w:r>
    </w:p>
    <w:p w:rsidR="005251AE" w:rsidRDefault="005251AE">
      <w:pPr>
        <w:pStyle w:val="TOC2"/>
        <w:rPr>
          <w:rFonts w:asciiTheme="minorHAnsi" w:eastAsiaTheme="minorEastAsia" w:hAnsiTheme="minorHAnsi" w:cstheme="minorBidi"/>
          <w:color w:val="auto"/>
          <w:sz w:val="22"/>
          <w:szCs w:val="22"/>
          <w:lang w:eastAsia="en-AU"/>
        </w:rPr>
      </w:pPr>
      <w:r>
        <w:t>Student perspectives</w:t>
      </w:r>
      <w:r>
        <w:tab/>
      </w:r>
      <w:r w:rsidR="00C02F1E">
        <w:fldChar w:fldCharType="begin"/>
      </w:r>
      <w:r>
        <w:instrText xml:space="preserve"> PAGEREF _Toc381103178 \h </w:instrText>
      </w:r>
      <w:r w:rsidR="00C02F1E">
        <w:fldChar w:fldCharType="separate"/>
      </w:r>
      <w:r w:rsidR="00F002FD">
        <w:t>17</w:t>
      </w:r>
      <w:r w:rsidR="00C02F1E">
        <w:fldChar w:fldCharType="end"/>
      </w:r>
    </w:p>
    <w:p w:rsidR="005251AE" w:rsidRDefault="005251AE">
      <w:pPr>
        <w:pStyle w:val="TOC2"/>
        <w:rPr>
          <w:rFonts w:asciiTheme="minorHAnsi" w:eastAsiaTheme="minorEastAsia" w:hAnsiTheme="minorHAnsi" w:cstheme="minorBidi"/>
          <w:color w:val="auto"/>
          <w:sz w:val="22"/>
          <w:szCs w:val="22"/>
          <w:lang w:eastAsia="en-AU"/>
        </w:rPr>
      </w:pPr>
      <w:r>
        <w:t>Characteristics of poor assessments</w:t>
      </w:r>
      <w:r>
        <w:tab/>
      </w:r>
      <w:r w:rsidR="00C02F1E">
        <w:fldChar w:fldCharType="begin"/>
      </w:r>
      <w:r>
        <w:instrText xml:space="preserve"> PAGEREF _Toc381103179 \h </w:instrText>
      </w:r>
      <w:r w:rsidR="00C02F1E">
        <w:fldChar w:fldCharType="separate"/>
      </w:r>
      <w:r w:rsidR="00F002FD">
        <w:t>18</w:t>
      </w:r>
      <w:r w:rsidR="00C02F1E">
        <w:fldChar w:fldCharType="end"/>
      </w:r>
    </w:p>
    <w:p w:rsidR="005251AE" w:rsidRDefault="005251AE">
      <w:pPr>
        <w:pStyle w:val="TOC1"/>
        <w:rPr>
          <w:rFonts w:asciiTheme="minorHAnsi" w:eastAsiaTheme="minorEastAsia" w:hAnsiTheme="minorHAnsi" w:cstheme="minorBidi"/>
          <w:color w:val="auto"/>
          <w:sz w:val="22"/>
          <w:szCs w:val="22"/>
          <w:lang w:eastAsia="en-AU"/>
        </w:rPr>
      </w:pPr>
      <w:r>
        <w:t>How do providers validate assessment?</w:t>
      </w:r>
      <w:r>
        <w:tab/>
      </w:r>
      <w:r w:rsidR="00C02F1E">
        <w:fldChar w:fldCharType="begin"/>
      </w:r>
      <w:r>
        <w:instrText xml:space="preserve"> PAGEREF _Toc381103180 \h </w:instrText>
      </w:r>
      <w:r w:rsidR="00C02F1E">
        <w:fldChar w:fldCharType="separate"/>
      </w:r>
      <w:r w:rsidR="00F002FD">
        <w:t>21</w:t>
      </w:r>
      <w:r w:rsidR="00C02F1E">
        <w:fldChar w:fldCharType="end"/>
      </w:r>
    </w:p>
    <w:p w:rsidR="005251AE" w:rsidRDefault="005251AE">
      <w:pPr>
        <w:pStyle w:val="TOC2"/>
        <w:rPr>
          <w:rFonts w:asciiTheme="minorHAnsi" w:eastAsiaTheme="minorEastAsia" w:hAnsiTheme="minorHAnsi" w:cstheme="minorBidi"/>
          <w:color w:val="auto"/>
          <w:sz w:val="22"/>
          <w:szCs w:val="22"/>
          <w:lang w:eastAsia="en-AU"/>
        </w:rPr>
      </w:pPr>
      <w:r>
        <w:t xml:space="preserve">How providers understand and implement validation and </w:t>
      </w:r>
      <w:r>
        <w:br/>
        <w:t>moderation processes</w:t>
      </w:r>
      <w:r>
        <w:tab/>
      </w:r>
      <w:r w:rsidR="00C02F1E">
        <w:fldChar w:fldCharType="begin"/>
      </w:r>
      <w:r>
        <w:instrText xml:space="preserve"> PAGEREF _Toc381103181 \h </w:instrText>
      </w:r>
      <w:r w:rsidR="00C02F1E">
        <w:fldChar w:fldCharType="separate"/>
      </w:r>
      <w:r w:rsidR="00F002FD">
        <w:t>21</w:t>
      </w:r>
      <w:r w:rsidR="00C02F1E">
        <w:fldChar w:fldCharType="end"/>
      </w:r>
    </w:p>
    <w:p w:rsidR="005251AE" w:rsidRDefault="005251AE">
      <w:pPr>
        <w:pStyle w:val="TOC2"/>
        <w:rPr>
          <w:rFonts w:asciiTheme="minorHAnsi" w:eastAsiaTheme="minorEastAsia" w:hAnsiTheme="minorHAnsi" w:cstheme="minorBidi"/>
          <w:color w:val="auto"/>
          <w:sz w:val="22"/>
          <w:szCs w:val="22"/>
          <w:lang w:eastAsia="en-AU"/>
        </w:rPr>
      </w:pPr>
      <w:r>
        <w:t>Use of external validation practices</w:t>
      </w:r>
      <w:r>
        <w:tab/>
      </w:r>
      <w:r w:rsidR="00C02F1E">
        <w:fldChar w:fldCharType="begin"/>
      </w:r>
      <w:r>
        <w:instrText xml:space="preserve"> PAGEREF _Toc381103182 \h </w:instrText>
      </w:r>
      <w:r w:rsidR="00C02F1E">
        <w:fldChar w:fldCharType="separate"/>
      </w:r>
      <w:r w:rsidR="00F002FD">
        <w:t>22</w:t>
      </w:r>
      <w:r w:rsidR="00C02F1E">
        <w:fldChar w:fldCharType="end"/>
      </w:r>
    </w:p>
    <w:p w:rsidR="005251AE" w:rsidRDefault="005251AE">
      <w:pPr>
        <w:pStyle w:val="TOC2"/>
        <w:rPr>
          <w:rFonts w:asciiTheme="minorHAnsi" w:eastAsiaTheme="minorEastAsia" w:hAnsiTheme="minorHAnsi" w:cstheme="minorBidi"/>
          <w:color w:val="auto"/>
          <w:sz w:val="22"/>
          <w:szCs w:val="22"/>
          <w:lang w:eastAsia="en-AU"/>
        </w:rPr>
      </w:pPr>
      <w:r>
        <w:t>Getting assistance from employers</w:t>
      </w:r>
      <w:r>
        <w:tab/>
      </w:r>
      <w:r w:rsidR="00C02F1E">
        <w:fldChar w:fldCharType="begin"/>
      </w:r>
      <w:r>
        <w:instrText xml:space="preserve"> PAGEREF _Toc381103183 \h </w:instrText>
      </w:r>
      <w:r w:rsidR="00C02F1E">
        <w:fldChar w:fldCharType="separate"/>
      </w:r>
      <w:r w:rsidR="00F002FD">
        <w:t>23</w:t>
      </w:r>
      <w:r w:rsidR="00C02F1E">
        <w:fldChar w:fldCharType="end"/>
      </w:r>
    </w:p>
    <w:p w:rsidR="005251AE" w:rsidRDefault="005251AE">
      <w:pPr>
        <w:pStyle w:val="TOC2"/>
        <w:rPr>
          <w:rFonts w:asciiTheme="minorHAnsi" w:eastAsiaTheme="minorEastAsia" w:hAnsiTheme="minorHAnsi" w:cstheme="minorBidi"/>
          <w:color w:val="auto"/>
          <w:sz w:val="22"/>
          <w:szCs w:val="22"/>
          <w:lang w:eastAsia="en-AU"/>
        </w:rPr>
      </w:pPr>
      <w:r>
        <w:t>Key issues in getting employer involvement</w:t>
      </w:r>
      <w:r>
        <w:tab/>
      </w:r>
      <w:r w:rsidR="00C02F1E">
        <w:fldChar w:fldCharType="begin"/>
      </w:r>
      <w:r>
        <w:instrText xml:space="preserve"> PAGEREF _Toc381103184 \h </w:instrText>
      </w:r>
      <w:r w:rsidR="00C02F1E">
        <w:fldChar w:fldCharType="separate"/>
      </w:r>
      <w:r w:rsidR="00F002FD">
        <w:t>24</w:t>
      </w:r>
      <w:r w:rsidR="00C02F1E">
        <w:fldChar w:fldCharType="end"/>
      </w:r>
    </w:p>
    <w:p w:rsidR="005251AE" w:rsidRDefault="005251AE">
      <w:pPr>
        <w:pStyle w:val="TOC2"/>
        <w:rPr>
          <w:rFonts w:asciiTheme="minorHAnsi" w:eastAsiaTheme="minorEastAsia" w:hAnsiTheme="minorHAnsi" w:cstheme="minorBidi"/>
          <w:color w:val="auto"/>
          <w:sz w:val="22"/>
          <w:szCs w:val="22"/>
          <w:lang w:eastAsia="en-AU"/>
        </w:rPr>
      </w:pPr>
      <w:r>
        <w:t>Findings from other sources of validation</w:t>
      </w:r>
      <w:r>
        <w:tab/>
      </w:r>
      <w:r w:rsidR="00C02F1E">
        <w:fldChar w:fldCharType="begin"/>
      </w:r>
      <w:r>
        <w:instrText xml:space="preserve"> PAGEREF _Toc381103185 \h </w:instrText>
      </w:r>
      <w:r w:rsidR="00C02F1E">
        <w:fldChar w:fldCharType="separate"/>
      </w:r>
      <w:r w:rsidR="00F002FD">
        <w:t>25</w:t>
      </w:r>
      <w:r w:rsidR="00C02F1E">
        <w:fldChar w:fldCharType="end"/>
      </w:r>
    </w:p>
    <w:p w:rsidR="005251AE" w:rsidRDefault="005251AE">
      <w:pPr>
        <w:pStyle w:val="TOC1"/>
        <w:rPr>
          <w:rFonts w:asciiTheme="minorHAnsi" w:eastAsiaTheme="minorEastAsia" w:hAnsiTheme="minorHAnsi" w:cstheme="minorBidi"/>
          <w:color w:val="auto"/>
          <w:sz w:val="22"/>
          <w:szCs w:val="22"/>
          <w:lang w:eastAsia="en-AU"/>
        </w:rPr>
      </w:pPr>
      <w:r>
        <w:t xml:space="preserve">Have providers streamlined their recognition of prior learning </w:t>
      </w:r>
      <w:r>
        <w:br/>
        <w:t>assessments?</w:t>
      </w:r>
      <w:r>
        <w:tab/>
      </w:r>
      <w:r w:rsidR="00C02F1E">
        <w:fldChar w:fldCharType="begin"/>
      </w:r>
      <w:r>
        <w:instrText xml:space="preserve"> PAGEREF _Toc381103186 \h </w:instrText>
      </w:r>
      <w:r w:rsidR="00C02F1E">
        <w:fldChar w:fldCharType="separate"/>
      </w:r>
      <w:r w:rsidR="00F002FD">
        <w:t>27</w:t>
      </w:r>
      <w:r w:rsidR="00C02F1E">
        <w:fldChar w:fldCharType="end"/>
      </w:r>
    </w:p>
    <w:p w:rsidR="005251AE" w:rsidRDefault="005251AE">
      <w:pPr>
        <w:pStyle w:val="TOC2"/>
        <w:rPr>
          <w:rFonts w:asciiTheme="minorHAnsi" w:eastAsiaTheme="minorEastAsia" w:hAnsiTheme="minorHAnsi" w:cstheme="minorBidi"/>
          <w:color w:val="auto"/>
          <w:sz w:val="22"/>
          <w:szCs w:val="22"/>
          <w:lang w:eastAsia="en-AU"/>
        </w:rPr>
      </w:pPr>
      <w:r>
        <w:t>Have providers streamlined their recognition processes?</w:t>
      </w:r>
      <w:r>
        <w:tab/>
      </w:r>
      <w:r w:rsidR="00C02F1E">
        <w:fldChar w:fldCharType="begin"/>
      </w:r>
      <w:r>
        <w:instrText xml:space="preserve"> PAGEREF _Toc381103187 \h </w:instrText>
      </w:r>
      <w:r w:rsidR="00C02F1E">
        <w:fldChar w:fldCharType="separate"/>
      </w:r>
      <w:r w:rsidR="00F002FD">
        <w:t>30</w:t>
      </w:r>
      <w:r w:rsidR="00C02F1E">
        <w:fldChar w:fldCharType="end"/>
      </w:r>
    </w:p>
    <w:p w:rsidR="005251AE" w:rsidRDefault="005251AE">
      <w:pPr>
        <w:pStyle w:val="TOC2"/>
        <w:rPr>
          <w:rFonts w:asciiTheme="minorHAnsi" w:eastAsiaTheme="minorEastAsia" w:hAnsiTheme="minorHAnsi" w:cstheme="minorBidi"/>
          <w:color w:val="auto"/>
          <w:sz w:val="22"/>
          <w:szCs w:val="22"/>
          <w:lang w:eastAsia="en-AU"/>
        </w:rPr>
      </w:pPr>
      <w:r>
        <w:t>Practices which work best for recognition of prior learning</w:t>
      </w:r>
      <w:r>
        <w:tab/>
      </w:r>
      <w:r w:rsidR="00C02F1E">
        <w:fldChar w:fldCharType="begin"/>
      </w:r>
      <w:r>
        <w:instrText xml:space="preserve"> PAGEREF _Toc381103188 \h </w:instrText>
      </w:r>
      <w:r w:rsidR="00C02F1E">
        <w:fldChar w:fldCharType="separate"/>
      </w:r>
      <w:r w:rsidR="00F002FD">
        <w:t>31</w:t>
      </w:r>
      <w:r w:rsidR="00C02F1E">
        <w:fldChar w:fldCharType="end"/>
      </w:r>
    </w:p>
    <w:p w:rsidR="005251AE" w:rsidRDefault="005251AE">
      <w:pPr>
        <w:pStyle w:val="TOC2"/>
        <w:rPr>
          <w:rFonts w:asciiTheme="minorHAnsi" w:eastAsiaTheme="minorEastAsia" w:hAnsiTheme="minorHAnsi" w:cstheme="minorBidi"/>
          <w:color w:val="auto"/>
          <w:sz w:val="22"/>
          <w:szCs w:val="22"/>
          <w:lang w:eastAsia="en-AU"/>
        </w:rPr>
      </w:pPr>
      <w:r>
        <w:t>Student perspectives</w:t>
      </w:r>
      <w:r>
        <w:tab/>
      </w:r>
      <w:r w:rsidR="00C02F1E">
        <w:fldChar w:fldCharType="begin"/>
      </w:r>
      <w:r>
        <w:instrText xml:space="preserve"> PAGEREF _Toc381103189 \h </w:instrText>
      </w:r>
      <w:r w:rsidR="00C02F1E">
        <w:fldChar w:fldCharType="separate"/>
      </w:r>
      <w:r w:rsidR="00F002FD">
        <w:t>32</w:t>
      </w:r>
      <w:r w:rsidR="00C02F1E">
        <w:fldChar w:fldCharType="end"/>
      </w:r>
    </w:p>
    <w:p w:rsidR="005251AE" w:rsidRDefault="005251AE">
      <w:pPr>
        <w:pStyle w:val="TOC1"/>
        <w:rPr>
          <w:rFonts w:asciiTheme="minorHAnsi" w:eastAsiaTheme="minorEastAsia" w:hAnsiTheme="minorHAnsi" w:cstheme="minorBidi"/>
          <w:color w:val="auto"/>
          <w:sz w:val="22"/>
          <w:szCs w:val="22"/>
          <w:lang w:eastAsia="en-AU"/>
        </w:rPr>
      </w:pPr>
      <w:r>
        <w:t>What is the impact of course duration on qualifications?</w:t>
      </w:r>
      <w:r>
        <w:tab/>
      </w:r>
      <w:r w:rsidR="00C02F1E">
        <w:fldChar w:fldCharType="begin"/>
      </w:r>
      <w:r>
        <w:instrText xml:space="preserve"> PAGEREF _Toc381103190 \h </w:instrText>
      </w:r>
      <w:r w:rsidR="00C02F1E">
        <w:fldChar w:fldCharType="separate"/>
      </w:r>
      <w:r w:rsidR="00F002FD">
        <w:t>34</w:t>
      </w:r>
      <w:r w:rsidR="00C02F1E">
        <w:fldChar w:fldCharType="end"/>
      </w:r>
    </w:p>
    <w:p w:rsidR="005251AE" w:rsidRDefault="005251AE">
      <w:pPr>
        <w:pStyle w:val="TOC2"/>
        <w:rPr>
          <w:rFonts w:asciiTheme="minorHAnsi" w:eastAsiaTheme="minorEastAsia" w:hAnsiTheme="minorHAnsi" w:cstheme="minorBidi"/>
          <w:color w:val="auto"/>
          <w:sz w:val="22"/>
          <w:szCs w:val="22"/>
          <w:lang w:eastAsia="en-AU"/>
        </w:rPr>
      </w:pPr>
      <w:r>
        <w:t>Certificate III in Aged Care</w:t>
      </w:r>
      <w:r>
        <w:tab/>
      </w:r>
      <w:r w:rsidR="00C02F1E">
        <w:fldChar w:fldCharType="begin"/>
      </w:r>
      <w:r>
        <w:instrText xml:space="preserve"> PAGEREF _Toc381103191 \h </w:instrText>
      </w:r>
      <w:r w:rsidR="00C02F1E">
        <w:fldChar w:fldCharType="separate"/>
      </w:r>
      <w:r w:rsidR="00F002FD">
        <w:t>34</w:t>
      </w:r>
      <w:r w:rsidR="00C02F1E">
        <w:fldChar w:fldCharType="end"/>
      </w:r>
    </w:p>
    <w:p w:rsidR="005251AE" w:rsidRDefault="005251AE">
      <w:pPr>
        <w:pStyle w:val="TOC2"/>
        <w:rPr>
          <w:rFonts w:asciiTheme="minorHAnsi" w:eastAsiaTheme="minorEastAsia" w:hAnsiTheme="minorHAnsi" w:cstheme="minorBidi"/>
          <w:color w:val="auto"/>
          <w:sz w:val="22"/>
          <w:szCs w:val="22"/>
          <w:lang w:eastAsia="en-AU"/>
        </w:rPr>
      </w:pPr>
      <w:r>
        <w:t>Certificate IV in Training and Assessment</w:t>
      </w:r>
      <w:r>
        <w:tab/>
      </w:r>
      <w:r w:rsidR="00C02F1E">
        <w:fldChar w:fldCharType="begin"/>
      </w:r>
      <w:r>
        <w:instrText xml:space="preserve"> PAGEREF _Toc381103192 \h </w:instrText>
      </w:r>
      <w:r w:rsidR="00C02F1E">
        <w:fldChar w:fldCharType="separate"/>
      </w:r>
      <w:r w:rsidR="00F002FD">
        <w:t>37</w:t>
      </w:r>
      <w:r w:rsidR="00C02F1E">
        <w:fldChar w:fldCharType="end"/>
      </w:r>
    </w:p>
    <w:p w:rsidR="005251AE" w:rsidRDefault="005251AE">
      <w:pPr>
        <w:pStyle w:val="TOC2"/>
        <w:rPr>
          <w:rFonts w:asciiTheme="minorHAnsi" w:eastAsiaTheme="minorEastAsia" w:hAnsiTheme="minorHAnsi" w:cstheme="minorBidi"/>
          <w:color w:val="auto"/>
          <w:sz w:val="22"/>
          <w:szCs w:val="22"/>
          <w:lang w:eastAsia="en-AU"/>
        </w:rPr>
      </w:pPr>
      <w:r>
        <w:t>Pros and cons of short-duration courses</w:t>
      </w:r>
      <w:r>
        <w:tab/>
      </w:r>
      <w:r w:rsidR="00C02F1E">
        <w:fldChar w:fldCharType="begin"/>
      </w:r>
      <w:r>
        <w:instrText xml:space="preserve"> PAGEREF _Toc381103193 \h </w:instrText>
      </w:r>
      <w:r w:rsidR="00C02F1E">
        <w:fldChar w:fldCharType="separate"/>
      </w:r>
      <w:r w:rsidR="00F002FD">
        <w:t>38</w:t>
      </w:r>
      <w:r w:rsidR="00C02F1E">
        <w:fldChar w:fldCharType="end"/>
      </w:r>
    </w:p>
    <w:p w:rsidR="005251AE" w:rsidRDefault="005251AE">
      <w:pPr>
        <w:pStyle w:val="TOC1"/>
        <w:rPr>
          <w:rFonts w:asciiTheme="minorHAnsi" w:eastAsiaTheme="minorEastAsia" w:hAnsiTheme="minorHAnsi" w:cstheme="minorBidi"/>
          <w:color w:val="auto"/>
          <w:sz w:val="22"/>
          <w:szCs w:val="22"/>
          <w:lang w:eastAsia="en-AU"/>
        </w:rPr>
      </w:pPr>
      <w:r>
        <w:t>What are the assessment challenges for practitioners and students</w:t>
      </w:r>
      <w:r>
        <w:tab/>
      </w:r>
      <w:r w:rsidR="00C02F1E">
        <w:fldChar w:fldCharType="begin"/>
      </w:r>
      <w:r>
        <w:instrText xml:space="preserve"> PAGEREF _Toc381103194 \h </w:instrText>
      </w:r>
      <w:r w:rsidR="00C02F1E">
        <w:fldChar w:fldCharType="separate"/>
      </w:r>
      <w:r w:rsidR="00F002FD">
        <w:t>40</w:t>
      </w:r>
      <w:r w:rsidR="00C02F1E">
        <w:fldChar w:fldCharType="end"/>
      </w:r>
    </w:p>
    <w:p w:rsidR="005251AE" w:rsidRDefault="005251AE">
      <w:pPr>
        <w:pStyle w:val="TOC2"/>
        <w:rPr>
          <w:rFonts w:asciiTheme="minorHAnsi" w:eastAsiaTheme="minorEastAsia" w:hAnsiTheme="minorHAnsi" w:cstheme="minorBidi"/>
          <w:color w:val="auto"/>
          <w:sz w:val="22"/>
          <w:szCs w:val="22"/>
          <w:lang w:eastAsia="en-AU"/>
        </w:rPr>
      </w:pPr>
      <w:r>
        <w:t>Challenges for practitioners</w:t>
      </w:r>
      <w:r>
        <w:tab/>
      </w:r>
      <w:r w:rsidR="00C02F1E">
        <w:fldChar w:fldCharType="begin"/>
      </w:r>
      <w:r>
        <w:instrText xml:space="preserve"> PAGEREF _Toc381103195 \h </w:instrText>
      </w:r>
      <w:r w:rsidR="00C02F1E">
        <w:fldChar w:fldCharType="separate"/>
      </w:r>
      <w:r w:rsidR="00F002FD">
        <w:t>40</w:t>
      </w:r>
      <w:r w:rsidR="00C02F1E">
        <w:fldChar w:fldCharType="end"/>
      </w:r>
    </w:p>
    <w:p w:rsidR="005251AE" w:rsidRDefault="005251AE">
      <w:pPr>
        <w:pStyle w:val="TOC2"/>
        <w:rPr>
          <w:rFonts w:asciiTheme="minorHAnsi" w:eastAsiaTheme="minorEastAsia" w:hAnsiTheme="minorHAnsi" w:cstheme="minorBidi"/>
          <w:color w:val="auto"/>
          <w:sz w:val="22"/>
          <w:szCs w:val="22"/>
          <w:lang w:eastAsia="en-AU"/>
        </w:rPr>
      </w:pPr>
      <w:r>
        <w:t>Challenges for students</w:t>
      </w:r>
      <w:r>
        <w:tab/>
      </w:r>
      <w:r w:rsidR="00C02F1E">
        <w:fldChar w:fldCharType="begin"/>
      </w:r>
      <w:r>
        <w:instrText xml:space="preserve"> PAGEREF _Toc381103196 \h </w:instrText>
      </w:r>
      <w:r w:rsidR="00C02F1E">
        <w:fldChar w:fldCharType="separate"/>
      </w:r>
      <w:r w:rsidR="00F002FD">
        <w:t>41</w:t>
      </w:r>
      <w:r w:rsidR="00C02F1E">
        <w:fldChar w:fldCharType="end"/>
      </w:r>
    </w:p>
    <w:p w:rsidR="005251AE" w:rsidRDefault="005251AE">
      <w:pPr>
        <w:pStyle w:val="TOC2"/>
        <w:rPr>
          <w:rFonts w:asciiTheme="minorHAnsi" w:eastAsiaTheme="minorEastAsia" w:hAnsiTheme="minorHAnsi" w:cstheme="minorBidi"/>
          <w:color w:val="auto"/>
          <w:sz w:val="22"/>
          <w:szCs w:val="22"/>
          <w:lang w:eastAsia="en-AU"/>
        </w:rPr>
      </w:pPr>
      <w:r>
        <w:t>Listening to the students</w:t>
      </w:r>
      <w:r>
        <w:tab/>
      </w:r>
      <w:r w:rsidR="00C02F1E">
        <w:fldChar w:fldCharType="begin"/>
      </w:r>
      <w:r>
        <w:instrText xml:space="preserve"> PAGEREF _Toc381103197 \h </w:instrText>
      </w:r>
      <w:r w:rsidR="00C02F1E">
        <w:fldChar w:fldCharType="separate"/>
      </w:r>
      <w:r w:rsidR="00F002FD">
        <w:t>43</w:t>
      </w:r>
      <w:r w:rsidR="00C02F1E">
        <w:fldChar w:fldCharType="end"/>
      </w:r>
    </w:p>
    <w:p w:rsidR="005251AE" w:rsidRDefault="005251AE">
      <w:pPr>
        <w:pStyle w:val="TOC1"/>
        <w:rPr>
          <w:rFonts w:asciiTheme="minorHAnsi" w:eastAsiaTheme="minorEastAsia" w:hAnsiTheme="minorHAnsi" w:cstheme="minorBidi"/>
          <w:color w:val="auto"/>
          <w:sz w:val="22"/>
          <w:szCs w:val="22"/>
          <w:lang w:eastAsia="en-AU"/>
        </w:rPr>
      </w:pPr>
      <w:r>
        <w:t>Conclusions</w:t>
      </w:r>
      <w:r>
        <w:tab/>
      </w:r>
      <w:r w:rsidR="00C02F1E">
        <w:fldChar w:fldCharType="begin"/>
      </w:r>
      <w:r>
        <w:instrText xml:space="preserve"> PAGEREF _Toc381103198 \h </w:instrText>
      </w:r>
      <w:r w:rsidR="00C02F1E">
        <w:fldChar w:fldCharType="separate"/>
      </w:r>
      <w:r w:rsidR="00F002FD">
        <w:t>46</w:t>
      </w:r>
      <w:r w:rsidR="00C02F1E">
        <w:fldChar w:fldCharType="end"/>
      </w:r>
    </w:p>
    <w:p w:rsidR="005251AE" w:rsidRDefault="005251AE">
      <w:pPr>
        <w:pStyle w:val="TOC1"/>
        <w:rPr>
          <w:rFonts w:asciiTheme="minorHAnsi" w:eastAsiaTheme="minorEastAsia" w:hAnsiTheme="minorHAnsi" w:cstheme="minorBidi"/>
          <w:color w:val="auto"/>
          <w:sz w:val="22"/>
          <w:szCs w:val="22"/>
          <w:lang w:eastAsia="en-AU"/>
        </w:rPr>
      </w:pPr>
      <w:r>
        <w:t>References</w:t>
      </w:r>
      <w:r>
        <w:tab/>
      </w:r>
      <w:r w:rsidR="00C02F1E">
        <w:fldChar w:fldCharType="begin"/>
      </w:r>
      <w:r>
        <w:instrText xml:space="preserve"> PAGEREF _Toc381103199 \h </w:instrText>
      </w:r>
      <w:r w:rsidR="00C02F1E">
        <w:fldChar w:fldCharType="separate"/>
      </w:r>
      <w:r w:rsidR="00F002FD">
        <w:t>48</w:t>
      </w:r>
      <w:r w:rsidR="00C02F1E">
        <w:fldChar w:fldCharType="end"/>
      </w:r>
    </w:p>
    <w:p w:rsidR="005251AE" w:rsidRDefault="005251AE">
      <w:pPr>
        <w:pStyle w:val="TOC1"/>
      </w:pPr>
      <w:r>
        <w:t>Appendices</w:t>
      </w:r>
    </w:p>
    <w:p w:rsidR="005251AE" w:rsidRDefault="005251AE" w:rsidP="0019772A">
      <w:pPr>
        <w:pStyle w:val="TOC2"/>
        <w:ind w:left="567" w:hanging="283"/>
        <w:rPr>
          <w:rFonts w:asciiTheme="minorHAnsi" w:eastAsiaTheme="minorEastAsia" w:hAnsiTheme="minorHAnsi" w:cstheme="minorBidi"/>
          <w:color w:val="auto"/>
          <w:sz w:val="22"/>
          <w:szCs w:val="22"/>
          <w:lang w:eastAsia="en-AU"/>
        </w:rPr>
      </w:pPr>
      <w:r>
        <w:t>A:</w:t>
      </w:r>
      <w:r w:rsidR="0019772A">
        <w:tab/>
      </w:r>
      <w:r>
        <w:t xml:space="preserve">Lessons from independent assessment validation pilots and quality </w:t>
      </w:r>
      <w:r w:rsidR="00854FD5">
        <w:br/>
      </w:r>
      <w:r>
        <w:t>reviews of aged care qualifications</w:t>
      </w:r>
      <w:r>
        <w:tab/>
      </w:r>
      <w:r w:rsidR="00C02F1E">
        <w:fldChar w:fldCharType="begin"/>
      </w:r>
      <w:r>
        <w:instrText xml:space="preserve"> PAGEREF _Toc381103201 \h </w:instrText>
      </w:r>
      <w:r w:rsidR="00C02F1E">
        <w:fldChar w:fldCharType="separate"/>
      </w:r>
      <w:r w:rsidR="00F002FD">
        <w:t>49</w:t>
      </w:r>
      <w:r w:rsidR="00C02F1E">
        <w:fldChar w:fldCharType="end"/>
      </w:r>
    </w:p>
    <w:p w:rsidR="005251AE" w:rsidRDefault="005251AE" w:rsidP="0019772A">
      <w:pPr>
        <w:pStyle w:val="TOC2"/>
        <w:ind w:left="567" w:hanging="283"/>
        <w:rPr>
          <w:rFonts w:asciiTheme="minorHAnsi" w:eastAsiaTheme="minorEastAsia" w:hAnsiTheme="minorHAnsi" w:cstheme="minorBidi"/>
          <w:color w:val="auto"/>
          <w:sz w:val="22"/>
          <w:szCs w:val="22"/>
          <w:lang w:eastAsia="en-AU"/>
        </w:rPr>
      </w:pPr>
      <w:r>
        <w:t>B:</w:t>
      </w:r>
      <w:r w:rsidR="0019772A">
        <w:tab/>
      </w:r>
      <w:r>
        <w:t>Lessons from regulators and auditors</w:t>
      </w:r>
      <w:r>
        <w:tab/>
      </w:r>
      <w:r w:rsidR="00C02F1E">
        <w:fldChar w:fldCharType="begin"/>
      </w:r>
      <w:r>
        <w:instrText xml:space="preserve"> PAGEREF _Toc381103203 \h </w:instrText>
      </w:r>
      <w:r w:rsidR="00C02F1E">
        <w:fldChar w:fldCharType="separate"/>
      </w:r>
      <w:r w:rsidR="00F002FD">
        <w:t>51</w:t>
      </w:r>
      <w:r w:rsidR="00C02F1E">
        <w:fldChar w:fldCharType="end"/>
      </w:r>
    </w:p>
    <w:p w:rsidR="005251AE" w:rsidRDefault="005251AE">
      <w:pPr>
        <w:pStyle w:val="TOC1"/>
        <w:rPr>
          <w:rFonts w:asciiTheme="minorHAnsi" w:eastAsiaTheme="minorEastAsia" w:hAnsiTheme="minorHAnsi" w:cstheme="minorBidi"/>
          <w:color w:val="auto"/>
          <w:sz w:val="22"/>
          <w:szCs w:val="22"/>
          <w:lang w:eastAsia="en-AU"/>
        </w:rPr>
      </w:pPr>
      <w:r>
        <w:t>Funding information</w:t>
      </w:r>
      <w:r>
        <w:tab/>
      </w:r>
      <w:r w:rsidR="00C02F1E">
        <w:fldChar w:fldCharType="begin"/>
      </w:r>
      <w:r>
        <w:instrText xml:space="preserve"> PAGEREF _Toc381103204 \h </w:instrText>
      </w:r>
      <w:r w:rsidR="00C02F1E">
        <w:fldChar w:fldCharType="separate"/>
      </w:r>
      <w:r w:rsidR="00F002FD">
        <w:t>53</w:t>
      </w:r>
      <w:r w:rsidR="00C02F1E">
        <w:fldChar w:fldCharType="end"/>
      </w:r>
    </w:p>
    <w:p w:rsidR="0019772A" w:rsidRDefault="00C02F1E" w:rsidP="0048643A">
      <w:pPr>
        <w:pStyle w:val="Text"/>
      </w:pPr>
      <w:r w:rsidRPr="009775C7">
        <w:fldChar w:fldCharType="end"/>
      </w:r>
    </w:p>
    <w:p w:rsidR="0019772A" w:rsidRDefault="0019772A">
      <w:pPr>
        <w:rPr>
          <w:rFonts w:ascii="Trebuchet MS" w:hAnsi="Trebuchet MS"/>
          <w:sz w:val="19"/>
          <w:szCs w:val="20"/>
          <w:lang w:eastAsia="en-US"/>
        </w:rPr>
      </w:pPr>
      <w:r>
        <w:br w:type="page"/>
      </w:r>
    </w:p>
    <w:p w:rsidR="004E7227" w:rsidRDefault="004E7227" w:rsidP="004E7227">
      <w:pPr>
        <w:pStyle w:val="Heading1"/>
      </w:pPr>
      <w:bookmarkStart w:id="26" w:name="_Toc381103166"/>
      <w:r>
        <w:lastRenderedPageBreak/>
        <w:t>Tables and figures</w:t>
      </w:r>
      <w:bookmarkEnd w:id="26"/>
    </w:p>
    <w:p w:rsidR="004E7227" w:rsidRDefault="004E7227" w:rsidP="004E7227">
      <w:pPr>
        <w:pStyle w:val="Heading2"/>
      </w:pPr>
      <w:bookmarkStart w:id="27" w:name="_Toc296497516"/>
      <w:bookmarkStart w:id="28" w:name="_Toc298162801"/>
      <w:bookmarkStart w:id="29" w:name="_Toc381103167"/>
      <w:r>
        <w:t>Tables</w:t>
      </w:r>
      <w:bookmarkEnd w:id="27"/>
      <w:bookmarkEnd w:id="28"/>
      <w:bookmarkEnd w:id="29"/>
    </w:p>
    <w:p w:rsidR="00854FD5" w:rsidRDefault="00C02F1E">
      <w:pPr>
        <w:pStyle w:val="TableofFigures"/>
        <w:tabs>
          <w:tab w:val="left" w:pos="880"/>
        </w:tabs>
        <w:rPr>
          <w:rFonts w:asciiTheme="minorHAnsi" w:eastAsiaTheme="minorEastAsia" w:hAnsiTheme="minorHAnsi" w:cstheme="minorBidi"/>
          <w:color w:val="auto"/>
          <w:sz w:val="22"/>
          <w:szCs w:val="22"/>
          <w:lang w:eastAsia="en-AU"/>
        </w:rPr>
      </w:pPr>
      <w:r>
        <w:fldChar w:fldCharType="begin"/>
      </w:r>
      <w:r w:rsidR="004E7227">
        <w:instrText xml:space="preserve"> TOC \f F \t "tabletitle" \c </w:instrText>
      </w:r>
      <w:r>
        <w:fldChar w:fldCharType="separate"/>
      </w:r>
      <w:r w:rsidR="00854FD5">
        <w:t>1</w:t>
      </w:r>
      <w:r w:rsidR="00854FD5">
        <w:rPr>
          <w:rFonts w:asciiTheme="minorHAnsi" w:eastAsiaTheme="minorEastAsia" w:hAnsiTheme="minorHAnsi" w:cstheme="minorBidi"/>
          <w:color w:val="auto"/>
          <w:sz w:val="22"/>
          <w:szCs w:val="22"/>
          <w:lang w:eastAsia="en-AU"/>
        </w:rPr>
        <w:tab/>
      </w:r>
      <w:r w:rsidR="00854FD5">
        <w:t>How practitioners describe a quality or effective assessment</w:t>
      </w:r>
      <w:r w:rsidR="00854FD5">
        <w:tab/>
      </w:r>
      <w:r>
        <w:fldChar w:fldCharType="begin"/>
      </w:r>
      <w:r w:rsidR="00854FD5">
        <w:instrText xml:space="preserve"> PAGEREF _Toc381103325 \h </w:instrText>
      </w:r>
      <w:r>
        <w:fldChar w:fldCharType="separate"/>
      </w:r>
      <w:r w:rsidR="00F002FD">
        <w:t>15</w:t>
      </w:r>
      <w:r>
        <w:fldChar w:fldCharType="end"/>
      </w:r>
    </w:p>
    <w:p w:rsidR="00854FD5" w:rsidRDefault="00854FD5">
      <w:pPr>
        <w:pStyle w:val="TableofFigures"/>
        <w:tabs>
          <w:tab w:val="left" w:pos="88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Practitioner views of factors required for effective assessments</w:t>
      </w:r>
      <w:r>
        <w:tab/>
      </w:r>
      <w:r w:rsidR="00C02F1E">
        <w:fldChar w:fldCharType="begin"/>
      </w:r>
      <w:r>
        <w:instrText xml:space="preserve"> PAGEREF _Toc381103326 \h </w:instrText>
      </w:r>
      <w:r w:rsidR="00C02F1E">
        <w:fldChar w:fldCharType="separate"/>
      </w:r>
      <w:r w:rsidR="00F002FD">
        <w:t>16</w:t>
      </w:r>
      <w:r w:rsidR="00C02F1E">
        <w:fldChar w:fldCharType="end"/>
      </w:r>
    </w:p>
    <w:p w:rsidR="00854FD5" w:rsidRDefault="00854FD5">
      <w:pPr>
        <w:pStyle w:val="TableofFigures"/>
        <w:tabs>
          <w:tab w:val="left" w:pos="88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Practitioner views of credible qualifications</w:t>
      </w:r>
      <w:r>
        <w:tab/>
      </w:r>
      <w:r w:rsidR="00C02F1E">
        <w:fldChar w:fldCharType="begin"/>
      </w:r>
      <w:r>
        <w:instrText xml:space="preserve"> PAGEREF _Toc381103327 \h </w:instrText>
      </w:r>
      <w:r w:rsidR="00C02F1E">
        <w:fldChar w:fldCharType="separate"/>
      </w:r>
      <w:r w:rsidR="00F002FD">
        <w:t>17</w:t>
      </w:r>
      <w:r w:rsidR="00C02F1E">
        <w:fldChar w:fldCharType="end"/>
      </w:r>
    </w:p>
    <w:p w:rsidR="00854FD5" w:rsidRDefault="00854FD5">
      <w:pPr>
        <w:pStyle w:val="TableofFigures"/>
        <w:tabs>
          <w:tab w:val="left" w:pos="880"/>
        </w:tabs>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Practitioner views on poor assessments</w:t>
      </w:r>
      <w:r>
        <w:tab/>
      </w:r>
      <w:r w:rsidR="00C02F1E">
        <w:fldChar w:fldCharType="begin"/>
      </w:r>
      <w:r>
        <w:instrText xml:space="preserve"> PAGEREF _Toc381103328 \h </w:instrText>
      </w:r>
      <w:r w:rsidR="00C02F1E">
        <w:fldChar w:fldCharType="separate"/>
      </w:r>
      <w:r w:rsidR="00F002FD">
        <w:t>19</w:t>
      </w:r>
      <w:r w:rsidR="00C02F1E">
        <w:fldChar w:fldCharType="end"/>
      </w:r>
    </w:p>
    <w:p w:rsidR="00854FD5" w:rsidRDefault="00854FD5">
      <w:pPr>
        <w:pStyle w:val="TableofFigures"/>
        <w:tabs>
          <w:tab w:val="left" w:pos="880"/>
        </w:tabs>
        <w:rPr>
          <w:rFonts w:asciiTheme="minorHAnsi" w:eastAsiaTheme="minorEastAsia" w:hAnsiTheme="minorHAnsi" w:cstheme="minorBidi"/>
          <w:color w:val="auto"/>
          <w:sz w:val="22"/>
          <w:szCs w:val="22"/>
          <w:lang w:eastAsia="en-AU"/>
        </w:rPr>
      </w:pPr>
      <w:r>
        <w:t>5</w:t>
      </w:r>
      <w:r>
        <w:rPr>
          <w:rFonts w:asciiTheme="minorHAnsi" w:eastAsiaTheme="minorEastAsia" w:hAnsiTheme="minorHAnsi" w:cstheme="minorBidi"/>
          <w:color w:val="auto"/>
          <w:sz w:val="22"/>
          <w:szCs w:val="22"/>
          <w:lang w:eastAsia="en-AU"/>
        </w:rPr>
        <w:tab/>
      </w:r>
      <w:r>
        <w:t>Moderation practices implemented by providers</w:t>
      </w:r>
      <w:r>
        <w:tab/>
      </w:r>
      <w:r w:rsidR="00C02F1E">
        <w:fldChar w:fldCharType="begin"/>
      </w:r>
      <w:r>
        <w:instrText xml:space="preserve"> PAGEREF _Toc381103329 \h </w:instrText>
      </w:r>
      <w:r w:rsidR="00C02F1E">
        <w:fldChar w:fldCharType="separate"/>
      </w:r>
      <w:r w:rsidR="00F002FD">
        <w:t>22</w:t>
      </w:r>
      <w:r w:rsidR="00C02F1E">
        <w:fldChar w:fldCharType="end"/>
      </w:r>
    </w:p>
    <w:p w:rsidR="00854FD5" w:rsidRDefault="00854FD5">
      <w:pPr>
        <w:pStyle w:val="TableofFigures"/>
        <w:tabs>
          <w:tab w:val="left" w:pos="880"/>
        </w:tabs>
        <w:rPr>
          <w:rFonts w:asciiTheme="minorHAnsi" w:eastAsiaTheme="minorEastAsia" w:hAnsiTheme="minorHAnsi" w:cstheme="minorBidi"/>
          <w:color w:val="auto"/>
          <w:sz w:val="22"/>
          <w:szCs w:val="22"/>
          <w:lang w:eastAsia="en-AU"/>
        </w:rPr>
      </w:pPr>
      <w:r>
        <w:t>6</w:t>
      </w:r>
      <w:r>
        <w:rPr>
          <w:rFonts w:asciiTheme="minorHAnsi" w:eastAsiaTheme="minorEastAsia" w:hAnsiTheme="minorHAnsi" w:cstheme="minorBidi"/>
          <w:color w:val="auto"/>
          <w:sz w:val="22"/>
          <w:szCs w:val="22"/>
          <w:lang w:eastAsia="en-AU"/>
        </w:rPr>
        <w:tab/>
      </w:r>
      <w:r>
        <w:t>Validation practices implemented by providers</w:t>
      </w:r>
      <w:r>
        <w:tab/>
      </w:r>
      <w:r w:rsidR="00C02F1E">
        <w:fldChar w:fldCharType="begin"/>
      </w:r>
      <w:r>
        <w:instrText xml:space="preserve"> PAGEREF _Toc381103330 \h </w:instrText>
      </w:r>
      <w:r w:rsidR="00C02F1E">
        <w:fldChar w:fldCharType="separate"/>
      </w:r>
      <w:r w:rsidR="00F002FD">
        <w:t>22</w:t>
      </w:r>
      <w:r w:rsidR="00C02F1E">
        <w:fldChar w:fldCharType="end"/>
      </w:r>
    </w:p>
    <w:p w:rsidR="00854FD5" w:rsidRDefault="00854FD5">
      <w:pPr>
        <w:pStyle w:val="TableofFigures"/>
        <w:tabs>
          <w:tab w:val="left" w:pos="880"/>
        </w:tabs>
        <w:rPr>
          <w:rFonts w:asciiTheme="minorHAnsi" w:eastAsiaTheme="minorEastAsia" w:hAnsiTheme="minorHAnsi" w:cstheme="minorBidi"/>
          <w:color w:val="auto"/>
          <w:sz w:val="22"/>
          <w:szCs w:val="22"/>
          <w:lang w:eastAsia="en-AU"/>
        </w:rPr>
      </w:pPr>
      <w:r>
        <w:t>7</w:t>
      </w:r>
      <w:r>
        <w:rPr>
          <w:rFonts w:asciiTheme="minorHAnsi" w:eastAsiaTheme="minorEastAsia" w:hAnsiTheme="minorHAnsi" w:cstheme="minorBidi"/>
          <w:color w:val="auto"/>
          <w:sz w:val="22"/>
          <w:szCs w:val="22"/>
          <w:lang w:eastAsia="en-AU"/>
        </w:rPr>
        <w:tab/>
      </w:r>
      <w:r>
        <w:t xml:space="preserve">Number and percentage of students who received RPL for </w:t>
      </w:r>
      <w:r>
        <w:br/>
        <w:t>qualifications, aged care and business</w:t>
      </w:r>
      <w:r>
        <w:tab/>
      </w:r>
      <w:r w:rsidR="00C02F1E">
        <w:fldChar w:fldCharType="begin"/>
      </w:r>
      <w:r>
        <w:instrText xml:space="preserve"> PAGEREF _Toc381103331 \h </w:instrText>
      </w:r>
      <w:r w:rsidR="00C02F1E">
        <w:fldChar w:fldCharType="separate"/>
      </w:r>
      <w:r w:rsidR="00F002FD">
        <w:t>27</w:t>
      </w:r>
      <w:r w:rsidR="00C02F1E">
        <w:fldChar w:fldCharType="end"/>
      </w:r>
    </w:p>
    <w:p w:rsidR="00854FD5" w:rsidRDefault="00854FD5">
      <w:pPr>
        <w:pStyle w:val="TableofFigures"/>
        <w:tabs>
          <w:tab w:val="left" w:pos="880"/>
        </w:tabs>
        <w:rPr>
          <w:rFonts w:asciiTheme="minorHAnsi" w:eastAsiaTheme="minorEastAsia" w:hAnsiTheme="minorHAnsi" w:cstheme="minorBidi"/>
          <w:color w:val="auto"/>
          <w:sz w:val="22"/>
          <w:szCs w:val="22"/>
          <w:lang w:eastAsia="en-AU"/>
        </w:rPr>
      </w:pPr>
      <w:r>
        <w:t>8</w:t>
      </w:r>
      <w:r>
        <w:rPr>
          <w:rFonts w:asciiTheme="minorHAnsi" w:eastAsiaTheme="minorEastAsia" w:hAnsiTheme="minorHAnsi" w:cstheme="minorBidi"/>
          <w:color w:val="auto"/>
          <w:sz w:val="22"/>
          <w:szCs w:val="22"/>
          <w:lang w:eastAsia="en-AU"/>
        </w:rPr>
        <w:tab/>
      </w:r>
      <w:r>
        <w:t xml:space="preserve">Characteristics of delivery, duration and cost of Certificate III </w:t>
      </w:r>
      <w:r>
        <w:br/>
        <w:t>in Aged Care by registered training organisation</w:t>
      </w:r>
      <w:r>
        <w:tab/>
      </w:r>
      <w:r w:rsidR="00C02F1E">
        <w:fldChar w:fldCharType="begin"/>
      </w:r>
      <w:r>
        <w:instrText xml:space="preserve"> PAGEREF _Toc381103332 \h </w:instrText>
      </w:r>
      <w:r w:rsidR="00C02F1E">
        <w:fldChar w:fldCharType="separate"/>
      </w:r>
      <w:r w:rsidR="00F002FD">
        <w:t>36</w:t>
      </w:r>
      <w:r w:rsidR="00C02F1E">
        <w:fldChar w:fldCharType="end"/>
      </w:r>
    </w:p>
    <w:p w:rsidR="00854FD5" w:rsidRDefault="00854FD5">
      <w:pPr>
        <w:pStyle w:val="TableofFigures"/>
        <w:tabs>
          <w:tab w:val="left" w:pos="880"/>
        </w:tabs>
        <w:rPr>
          <w:rFonts w:asciiTheme="minorHAnsi" w:eastAsiaTheme="minorEastAsia" w:hAnsiTheme="minorHAnsi" w:cstheme="minorBidi"/>
          <w:color w:val="auto"/>
          <w:sz w:val="22"/>
          <w:szCs w:val="22"/>
          <w:lang w:eastAsia="en-AU"/>
        </w:rPr>
      </w:pPr>
      <w:r>
        <w:t>9</w:t>
      </w:r>
      <w:r>
        <w:rPr>
          <w:rFonts w:asciiTheme="minorHAnsi" w:eastAsiaTheme="minorEastAsia" w:hAnsiTheme="minorHAnsi" w:cstheme="minorBidi"/>
          <w:color w:val="auto"/>
          <w:sz w:val="22"/>
          <w:szCs w:val="22"/>
          <w:lang w:eastAsia="en-AU"/>
        </w:rPr>
        <w:tab/>
      </w:r>
      <w:r>
        <w:t xml:space="preserve">RPL received by students in Certificate IV in Training and </w:t>
      </w:r>
      <w:r>
        <w:br/>
        <w:t>Assessment</w:t>
      </w:r>
      <w:r>
        <w:tab/>
      </w:r>
      <w:r w:rsidR="00C02F1E">
        <w:fldChar w:fldCharType="begin"/>
      </w:r>
      <w:r>
        <w:instrText xml:space="preserve"> PAGEREF _Toc381103333 \h </w:instrText>
      </w:r>
      <w:r w:rsidR="00C02F1E">
        <w:fldChar w:fldCharType="separate"/>
      </w:r>
      <w:r w:rsidR="00F002FD">
        <w:t>37</w:t>
      </w:r>
      <w:r w:rsidR="00C02F1E">
        <w:fldChar w:fldCharType="end"/>
      </w:r>
    </w:p>
    <w:p w:rsidR="00854FD5" w:rsidRDefault="00854FD5">
      <w:pPr>
        <w:pStyle w:val="TableofFigures"/>
        <w:tabs>
          <w:tab w:val="left" w:pos="1100"/>
        </w:tabs>
        <w:rPr>
          <w:rFonts w:asciiTheme="minorHAnsi" w:eastAsiaTheme="minorEastAsia" w:hAnsiTheme="minorHAnsi" w:cstheme="minorBidi"/>
          <w:color w:val="auto"/>
          <w:sz w:val="22"/>
          <w:szCs w:val="22"/>
          <w:lang w:eastAsia="en-AU"/>
        </w:rPr>
      </w:pPr>
      <w:r>
        <w:t>10</w:t>
      </w:r>
      <w:r>
        <w:rPr>
          <w:rFonts w:asciiTheme="minorHAnsi" w:eastAsiaTheme="minorEastAsia" w:hAnsiTheme="minorHAnsi" w:cstheme="minorBidi"/>
          <w:color w:val="auto"/>
          <w:sz w:val="22"/>
          <w:szCs w:val="22"/>
          <w:lang w:eastAsia="en-AU"/>
        </w:rPr>
        <w:tab/>
      </w:r>
      <w:r>
        <w:t xml:space="preserve">Characteristics of delivery and duration of Certificate IV in </w:t>
      </w:r>
      <w:r>
        <w:br/>
        <w:t>Training and Assessment by registered training organisation</w:t>
      </w:r>
      <w:r>
        <w:tab/>
      </w:r>
      <w:r w:rsidR="00C02F1E">
        <w:fldChar w:fldCharType="begin"/>
      </w:r>
      <w:r>
        <w:instrText xml:space="preserve"> PAGEREF _Toc381103334 \h </w:instrText>
      </w:r>
      <w:r w:rsidR="00C02F1E">
        <w:fldChar w:fldCharType="separate"/>
      </w:r>
      <w:r w:rsidR="00F002FD">
        <w:t>38</w:t>
      </w:r>
      <w:r w:rsidR="00C02F1E">
        <w:fldChar w:fldCharType="end"/>
      </w:r>
    </w:p>
    <w:p w:rsidR="00854FD5" w:rsidRDefault="00854FD5">
      <w:pPr>
        <w:pStyle w:val="TableofFigures"/>
        <w:rPr>
          <w:rFonts w:asciiTheme="minorHAnsi" w:eastAsiaTheme="minorEastAsia" w:hAnsiTheme="minorHAnsi" w:cstheme="minorBidi"/>
          <w:color w:val="auto"/>
          <w:sz w:val="22"/>
          <w:szCs w:val="22"/>
          <w:lang w:eastAsia="en-AU"/>
        </w:rPr>
      </w:pPr>
      <w:r>
        <w:t>11</w:t>
      </w:r>
      <w:r>
        <w:tab/>
        <w:t>Challenges for practitioners</w:t>
      </w:r>
      <w:r>
        <w:tab/>
      </w:r>
      <w:r w:rsidR="00C02F1E">
        <w:fldChar w:fldCharType="begin"/>
      </w:r>
      <w:r>
        <w:instrText xml:space="preserve"> PAGEREF _Toc381103335 \h </w:instrText>
      </w:r>
      <w:r w:rsidR="00C02F1E">
        <w:fldChar w:fldCharType="separate"/>
      </w:r>
      <w:r w:rsidR="00F002FD">
        <w:t>41</w:t>
      </w:r>
      <w:r w:rsidR="00C02F1E">
        <w:fldChar w:fldCharType="end"/>
      </w:r>
    </w:p>
    <w:p w:rsidR="00854FD5" w:rsidRDefault="00854FD5">
      <w:pPr>
        <w:pStyle w:val="TableofFigures"/>
        <w:tabs>
          <w:tab w:val="left" w:pos="1100"/>
        </w:tabs>
        <w:rPr>
          <w:rFonts w:asciiTheme="minorHAnsi" w:eastAsiaTheme="minorEastAsia" w:hAnsiTheme="minorHAnsi" w:cstheme="minorBidi"/>
          <w:color w:val="auto"/>
          <w:sz w:val="22"/>
          <w:szCs w:val="22"/>
          <w:lang w:eastAsia="en-AU"/>
        </w:rPr>
      </w:pPr>
      <w:r>
        <w:t>12</w:t>
      </w:r>
      <w:r>
        <w:rPr>
          <w:rFonts w:asciiTheme="minorHAnsi" w:eastAsiaTheme="minorEastAsia" w:hAnsiTheme="minorHAnsi" w:cstheme="minorBidi"/>
          <w:color w:val="auto"/>
          <w:sz w:val="22"/>
          <w:szCs w:val="22"/>
          <w:lang w:eastAsia="en-AU"/>
        </w:rPr>
        <w:tab/>
      </w:r>
      <w:r>
        <w:t>Challenges identified by practitioners for students</w:t>
      </w:r>
      <w:r>
        <w:tab/>
      </w:r>
      <w:r w:rsidR="00C02F1E">
        <w:fldChar w:fldCharType="begin"/>
      </w:r>
      <w:r>
        <w:instrText xml:space="preserve"> PAGEREF _Toc381103336 \h </w:instrText>
      </w:r>
      <w:r w:rsidR="00C02F1E">
        <w:fldChar w:fldCharType="separate"/>
      </w:r>
      <w:r w:rsidR="00F002FD">
        <w:t>42</w:t>
      </w:r>
      <w:r w:rsidR="00C02F1E">
        <w:fldChar w:fldCharType="end"/>
      </w:r>
    </w:p>
    <w:p w:rsidR="00854FD5" w:rsidRDefault="00854FD5">
      <w:pPr>
        <w:pStyle w:val="TableofFigures"/>
        <w:tabs>
          <w:tab w:val="left" w:pos="1100"/>
        </w:tabs>
        <w:rPr>
          <w:rFonts w:asciiTheme="minorHAnsi" w:eastAsiaTheme="minorEastAsia" w:hAnsiTheme="minorHAnsi" w:cstheme="minorBidi"/>
          <w:color w:val="auto"/>
          <w:sz w:val="22"/>
          <w:szCs w:val="22"/>
          <w:lang w:eastAsia="en-AU"/>
        </w:rPr>
      </w:pPr>
      <w:r>
        <w:t>13</w:t>
      </w:r>
      <w:r>
        <w:rPr>
          <w:rFonts w:asciiTheme="minorHAnsi" w:eastAsiaTheme="minorEastAsia" w:hAnsiTheme="minorHAnsi" w:cstheme="minorBidi"/>
          <w:color w:val="auto"/>
          <w:sz w:val="22"/>
          <w:szCs w:val="22"/>
          <w:lang w:eastAsia="en-AU"/>
        </w:rPr>
        <w:tab/>
      </w:r>
      <w:r>
        <w:t xml:space="preserve">Level of satisfaction with assessment processes reported by </w:t>
      </w:r>
      <w:r>
        <w:br/>
        <w:t>graduate respondents in the Students Outcomes Survey 2012</w:t>
      </w:r>
      <w:r>
        <w:tab/>
      </w:r>
      <w:r w:rsidR="00C02F1E">
        <w:fldChar w:fldCharType="begin"/>
      </w:r>
      <w:r>
        <w:instrText xml:space="preserve"> PAGEREF _Toc381103337 \h </w:instrText>
      </w:r>
      <w:r w:rsidR="00C02F1E">
        <w:fldChar w:fldCharType="separate"/>
      </w:r>
      <w:r w:rsidR="00F002FD">
        <w:t>44</w:t>
      </w:r>
      <w:r w:rsidR="00C02F1E">
        <w:fldChar w:fldCharType="end"/>
      </w:r>
    </w:p>
    <w:p w:rsidR="00854FD5" w:rsidRDefault="00C02F1E" w:rsidP="004E7227">
      <w:pPr>
        <w:pStyle w:val="Heading2"/>
        <w:rPr>
          <w:noProof/>
        </w:rPr>
      </w:pPr>
      <w:r>
        <w:fldChar w:fldCharType="end"/>
      </w:r>
      <w:bookmarkStart w:id="30" w:name="_Toc296497517"/>
      <w:bookmarkStart w:id="31" w:name="_Toc298162802"/>
      <w:bookmarkStart w:id="32" w:name="_Toc381103168"/>
      <w:r w:rsidR="004E7227">
        <w:t>Figures</w:t>
      </w:r>
      <w:bookmarkEnd w:id="30"/>
      <w:bookmarkEnd w:id="31"/>
      <w:bookmarkEnd w:id="32"/>
      <w:r>
        <w:rPr>
          <w:rFonts w:ascii="Garamond" w:hAnsi="Garamond"/>
          <w:sz w:val="22"/>
        </w:rPr>
        <w:fldChar w:fldCharType="begin"/>
      </w:r>
      <w:r w:rsidR="004E7227">
        <w:instrText xml:space="preserve"> TOC \t "Figuretitle" \c </w:instrText>
      </w:r>
      <w:r>
        <w:rPr>
          <w:rFonts w:ascii="Garamond" w:hAnsi="Garamond"/>
          <w:sz w:val="22"/>
        </w:rPr>
        <w:fldChar w:fldCharType="separate"/>
      </w:r>
    </w:p>
    <w:p w:rsidR="00854FD5" w:rsidRDefault="00854FD5">
      <w:pPr>
        <w:pStyle w:val="TableofFigures"/>
        <w:tabs>
          <w:tab w:val="left" w:pos="880"/>
        </w:tabs>
        <w:rPr>
          <w:rFonts w:asciiTheme="minorHAnsi" w:eastAsiaTheme="minorEastAsia" w:hAnsiTheme="minorHAnsi" w:cstheme="minorBidi"/>
          <w:color w:val="auto"/>
          <w:sz w:val="22"/>
          <w:szCs w:val="22"/>
          <w:lang w:eastAsia="en-AU"/>
        </w:rPr>
      </w:pPr>
      <w:r>
        <w:t>1</w:t>
      </w:r>
      <w:r>
        <w:rPr>
          <w:rFonts w:asciiTheme="minorHAnsi" w:eastAsiaTheme="minorEastAsia" w:hAnsiTheme="minorHAnsi" w:cstheme="minorBidi"/>
          <w:color w:val="auto"/>
          <w:sz w:val="22"/>
          <w:szCs w:val="22"/>
          <w:lang w:eastAsia="en-AU"/>
        </w:rPr>
        <w:tab/>
      </w:r>
      <w:r>
        <w:t xml:space="preserve">Distribution of percentage of course gained through RPL for </w:t>
      </w:r>
      <w:r>
        <w:br/>
        <w:t>Certificate III in Aged Care students</w:t>
      </w:r>
      <w:r>
        <w:tab/>
      </w:r>
      <w:r w:rsidR="00C02F1E">
        <w:fldChar w:fldCharType="begin"/>
      </w:r>
      <w:r>
        <w:instrText xml:space="preserve"> PAGEREF _Toc381103338 \h </w:instrText>
      </w:r>
      <w:r w:rsidR="00C02F1E">
        <w:fldChar w:fldCharType="separate"/>
      </w:r>
      <w:r w:rsidR="00F002FD">
        <w:t>28</w:t>
      </w:r>
      <w:r w:rsidR="00C02F1E">
        <w:fldChar w:fldCharType="end"/>
      </w:r>
    </w:p>
    <w:p w:rsidR="00854FD5" w:rsidRDefault="00854FD5">
      <w:pPr>
        <w:pStyle w:val="TableofFigures"/>
        <w:tabs>
          <w:tab w:val="left" w:pos="110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 xml:space="preserve">Distribution of percentage of course gained through RPL for </w:t>
      </w:r>
      <w:r>
        <w:br/>
        <w:t>Certificate III in Business</w:t>
      </w:r>
      <w:r>
        <w:tab/>
      </w:r>
      <w:r w:rsidR="00C02F1E">
        <w:fldChar w:fldCharType="begin"/>
      </w:r>
      <w:r>
        <w:instrText xml:space="preserve"> PAGEREF _Toc381103339 \h </w:instrText>
      </w:r>
      <w:r w:rsidR="00C02F1E">
        <w:fldChar w:fldCharType="separate"/>
      </w:r>
      <w:r w:rsidR="00F002FD">
        <w:t>29</w:t>
      </w:r>
      <w:r w:rsidR="00C02F1E">
        <w:fldChar w:fldCharType="end"/>
      </w:r>
    </w:p>
    <w:p w:rsidR="00854FD5" w:rsidRDefault="00854FD5">
      <w:pPr>
        <w:pStyle w:val="TableofFigures"/>
        <w:tabs>
          <w:tab w:val="left" w:pos="110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 xml:space="preserve">Elapsed days between course commencement and qualification </w:t>
      </w:r>
      <w:r>
        <w:br/>
        <w:t>awarded for students gaining Certificate III Aged Care qualifications</w:t>
      </w:r>
      <w:r>
        <w:tab/>
      </w:r>
      <w:r w:rsidR="00C02F1E">
        <w:fldChar w:fldCharType="begin"/>
      </w:r>
      <w:r>
        <w:instrText xml:space="preserve"> PAGEREF _Toc381103340 \h </w:instrText>
      </w:r>
      <w:r w:rsidR="00C02F1E">
        <w:fldChar w:fldCharType="separate"/>
      </w:r>
      <w:r w:rsidR="00F002FD">
        <w:t>35</w:t>
      </w:r>
      <w:r w:rsidR="00C02F1E">
        <w:fldChar w:fldCharType="end"/>
      </w:r>
    </w:p>
    <w:p w:rsidR="00854FD5" w:rsidRDefault="00854FD5">
      <w:pPr>
        <w:pStyle w:val="TableofFigures"/>
        <w:tabs>
          <w:tab w:val="left" w:pos="1100"/>
        </w:tabs>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 xml:space="preserve">Distribution of course durations for Certificate IV Training and </w:t>
      </w:r>
      <w:r>
        <w:br/>
        <w:t>Assessment qualifications</w:t>
      </w:r>
      <w:r>
        <w:tab/>
      </w:r>
      <w:r w:rsidR="00C02F1E">
        <w:fldChar w:fldCharType="begin"/>
      </w:r>
      <w:r>
        <w:instrText xml:space="preserve"> PAGEREF _Toc381103341 \h </w:instrText>
      </w:r>
      <w:r w:rsidR="00C02F1E">
        <w:fldChar w:fldCharType="separate"/>
      </w:r>
      <w:r w:rsidR="00F002FD">
        <w:t>37</w:t>
      </w:r>
      <w:r w:rsidR="00C02F1E">
        <w:fldChar w:fldCharType="end"/>
      </w:r>
    </w:p>
    <w:p w:rsidR="000108B2" w:rsidRPr="00A93867" w:rsidRDefault="00C02F1E" w:rsidP="00854FD5">
      <w:pPr>
        <w:pStyle w:val="TableofFigures"/>
        <w:rPr>
          <w:b/>
        </w:rPr>
      </w:pPr>
      <w:r>
        <w:fldChar w:fldCharType="end"/>
      </w:r>
    </w:p>
    <w:p w:rsidR="00A93867" w:rsidRPr="00A93867" w:rsidRDefault="00A93867">
      <w:pPr>
        <w:rPr>
          <w:rFonts w:ascii="Tahoma" w:hAnsi="Tahoma" w:cs="Tahoma"/>
          <w:b/>
          <w:color w:val="000000"/>
          <w:kern w:val="28"/>
          <w:sz w:val="56"/>
          <w:szCs w:val="56"/>
        </w:rPr>
      </w:pPr>
      <w:r w:rsidRPr="00A93867">
        <w:rPr>
          <w:b/>
        </w:rPr>
        <w:br w:type="page"/>
      </w:r>
    </w:p>
    <w:p w:rsidR="009E231A" w:rsidRPr="00B86D06" w:rsidRDefault="00FE4A2D" w:rsidP="008C0A74">
      <w:pPr>
        <w:pStyle w:val="Heading1"/>
      </w:pPr>
      <w:bookmarkStart w:id="33" w:name="_Toc381103169"/>
      <w:r w:rsidRPr="00B86D06">
        <w:lastRenderedPageBreak/>
        <w:t>Executive summary</w:t>
      </w:r>
      <w:bookmarkEnd w:id="33"/>
    </w:p>
    <w:p w:rsidR="00002890" w:rsidRDefault="00F04BB4" w:rsidP="00CB1E3E">
      <w:pPr>
        <w:pStyle w:val="Text"/>
      </w:pPr>
      <w:r>
        <w:t xml:space="preserve">In recent years the quality and rigour of assessments in </w:t>
      </w:r>
      <w:r w:rsidR="007D2A65">
        <w:t>vocational education and training (</w:t>
      </w:r>
      <w:r>
        <w:t>VET</w:t>
      </w:r>
      <w:r w:rsidR="007D2A65">
        <w:t>)</w:t>
      </w:r>
      <w:r>
        <w:t xml:space="preserve"> have been key concern</w:t>
      </w:r>
      <w:r w:rsidR="00B73F51">
        <w:t>s</w:t>
      </w:r>
      <w:r>
        <w:t xml:space="preserve"> </w:t>
      </w:r>
      <w:r w:rsidR="00B73F51">
        <w:t>for</w:t>
      </w:r>
      <w:r>
        <w:t xml:space="preserve"> VET policy-makers, industry stakeholders, employers</w:t>
      </w:r>
      <w:r w:rsidR="00002890">
        <w:t>,</w:t>
      </w:r>
      <w:r>
        <w:t xml:space="preserve"> and teachers </w:t>
      </w:r>
      <w:r w:rsidRPr="00B939E1">
        <w:t>and trainers.</w:t>
      </w:r>
      <w:r w:rsidR="00E3166C">
        <w:t xml:space="preserve"> </w:t>
      </w:r>
      <w:r w:rsidRPr="00B939E1">
        <w:t>These concerns have</w:t>
      </w:r>
      <w:r>
        <w:t xml:space="preserve"> often been fuelled by perceptions that some providers in the sector are taking short cuts to </w:t>
      </w:r>
      <w:r w:rsidRPr="00CB1E3E">
        <w:t>qualifications</w:t>
      </w:r>
      <w:r>
        <w:t xml:space="preserve">. This </w:t>
      </w:r>
      <w:r w:rsidR="00B73F51">
        <w:t>has raised issues about</w:t>
      </w:r>
      <w:r w:rsidRPr="00B939E1">
        <w:t xml:space="preserve"> the credibility of VET qualifications and the competence of </w:t>
      </w:r>
      <w:r w:rsidR="00B65BBE">
        <w:t xml:space="preserve">the </w:t>
      </w:r>
      <w:r w:rsidRPr="00B939E1">
        <w:t>graduates who hold these qualifications.</w:t>
      </w:r>
      <w:r w:rsidR="00B51E71">
        <w:t xml:space="preserve"> </w:t>
      </w:r>
      <w:r w:rsidRPr="00B939E1">
        <w:t>Assessment experts and commentators have identified the main issues as</w:t>
      </w:r>
      <w:r w:rsidR="00002890">
        <w:t xml:space="preserve"> the lack of:</w:t>
      </w:r>
    </w:p>
    <w:p w:rsidR="00002890" w:rsidRDefault="00F04BB4" w:rsidP="00CB1E3E">
      <w:pPr>
        <w:pStyle w:val="Dotpoint1"/>
      </w:pPr>
      <w:r w:rsidRPr="00B939E1">
        <w:t>systematic and regular moderation and validation prac</w:t>
      </w:r>
      <w:r w:rsidR="00002890">
        <w:t xml:space="preserve">tices </w:t>
      </w:r>
      <w:r w:rsidRPr="00B939E1">
        <w:t>in training systems to ensure the consiste</w:t>
      </w:r>
      <w:r w:rsidR="007D2A65">
        <w:t>ncy and validity of assessments</w:t>
      </w:r>
    </w:p>
    <w:p w:rsidR="00F04BB4" w:rsidRDefault="00F04BB4" w:rsidP="00B65BBE">
      <w:pPr>
        <w:pStyle w:val="Dotpoint1"/>
        <w:ind w:right="-1"/>
      </w:pPr>
      <w:r w:rsidRPr="00B939E1">
        <w:t>knowledge among VET practitioners about the process</w:t>
      </w:r>
      <w:r w:rsidR="00B65BBE">
        <w:t>es</w:t>
      </w:r>
      <w:r w:rsidRPr="00B939E1">
        <w:t xml:space="preserve"> and techniques of assessment</w:t>
      </w:r>
      <w:r w:rsidR="00CA30E8">
        <w:t xml:space="preserve"> </w:t>
      </w:r>
      <w:r w:rsidR="00CA30E8" w:rsidRPr="00CB7597">
        <w:t>(Clayton</w:t>
      </w:r>
      <w:r w:rsidR="00B65BBE">
        <w:t> </w:t>
      </w:r>
      <w:r w:rsidR="00CB7597" w:rsidRPr="00CB7597">
        <w:t>2009</w:t>
      </w:r>
      <w:r w:rsidR="00CA30E8" w:rsidRPr="00CB7597">
        <w:t>)</w:t>
      </w:r>
      <w:r w:rsidRPr="00CB7597">
        <w:t>.</w:t>
      </w:r>
      <w:r w:rsidRPr="00B939E1">
        <w:t xml:space="preserve"> </w:t>
      </w:r>
    </w:p>
    <w:p w:rsidR="00F739E7" w:rsidRDefault="00F739E7" w:rsidP="00CB1E3E">
      <w:pPr>
        <w:pStyle w:val="Text"/>
      </w:pPr>
      <w:r>
        <w:t>A recent small-scale study</w:t>
      </w:r>
      <w:r w:rsidR="001E4C80">
        <w:t xml:space="preserve"> (Halliday-Wynes &amp; Misko</w:t>
      </w:r>
      <w:r w:rsidR="00E3166C">
        <w:t xml:space="preserve"> </w:t>
      </w:r>
      <w:r w:rsidR="001E4C80">
        <w:t xml:space="preserve">2013) </w:t>
      </w:r>
      <w:r>
        <w:t xml:space="preserve">by researchers from the National Centre </w:t>
      </w:r>
      <w:r w:rsidR="00B65BBE">
        <w:t xml:space="preserve">for </w:t>
      </w:r>
      <w:r>
        <w:t>Vocational Education Research</w:t>
      </w:r>
      <w:r w:rsidR="00E3166C">
        <w:t xml:space="preserve"> </w:t>
      </w:r>
      <w:r>
        <w:t xml:space="preserve">(NCVER) looked at </w:t>
      </w:r>
      <w:r w:rsidR="00002890">
        <w:t xml:space="preserve">the </w:t>
      </w:r>
      <w:r>
        <w:t>assessment approaches being used by private and public providers in three Au</w:t>
      </w:r>
      <w:r w:rsidR="001E4C80">
        <w:t>stralian states. The study focu</w:t>
      </w:r>
      <w:r>
        <w:t xml:space="preserve">sed on providers delivering qualifications in </w:t>
      </w:r>
      <w:r w:rsidR="001E4C80">
        <w:t xml:space="preserve">the aged care and </w:t>
      </w:r>
      <w:r w:rsidR="001E4C80" w:rsidRPr="00CB1E3E">
        <w:t>child</w:t>
      </w:r>
      <w:r w:rsidRPr="00CB1E3E">
        <w:t>care</w:t>
      </w:r>
      <w:r>
        <w:t xml:space="preserve"> sectors</w:t>
      </w:r>
      <w:r w:rsidR="00CA30E8">
        <w:t>,</w:t>
      </w:r>
      <w:r>
        <w:t xml:space="preserve"> </w:t>
      </w:r>
      <w:r w:rsidR="00B65BBE">
        <w:t xml:space="preserve">sectors </w:t>
      </w:r>
      <w:r>
        <w:t xml:space="preserve">where there has been a push to get large groups of workers to attain or upgrade </w:t>
      </w:r>
      <w:r w:rsidR="00002890">
        <w:t xml:space="preserve">their </w:t>
      </w:r>
      <w:r>
        <w:t xml:space="preserve">qualifications or specific units of competence to meet regulatory requirements. </w:t>
      </w:r>
      <w:r w:rsidR="00002890">
        <w:t>The study</w:t>
      </w:r>
      <w:r>
        <w:t xml:space="preserve"> also investigated issues </w:t>
      </w:r>
      <w:r w:rsidR="00395ABB">
        <w:t>relating to</w:t>
      </w:r>
      <w:r>
        <w:t xml:space="preserve"> the delivery of training and assessment qualifications. </w:t>
      </w:r>
      <w:r w:rsidRPr="00B939E1">
        <w:t xml:space="preserve">This </w:t>
      </w:r>
      <w:r w:rsidR="00002890">
        <w:t>research</w:t>
      </w:r>
      <w:r w:rsidRPr="00B939E1">
        <w:t xml:space="preserve"> builds on the work already done b</w:t>
      </w:r>
      <w:r w:rsidR="001E4C80">
        <w:t>y NCVER and others in this area</w:t>
      </w:r>
      <w:r w:rsidRPr="00B939E1">
        <w:t xml:space="preserve"> </w:t>
      </w:r>
      <w:r>
        <w:t xml:space="preserve">and </w:t>
      </w:r>
      <w:r w:rsidRPr="00B939E1">
        <w:t>especially the considerable work recently done for the former National Quality Council (NQC) by the Centre for Work-based Education of Victoria University, Precision Consulting</w:t>
      </w:r>
      <w:r w:rsidR="001E4C80">
        <w:t>,</w:t>
      </w:r>
      <w:r w:rsidRPr="00B939E1">
        <w:t xml:space="preserve"> and </w:t>
      </w:r>
      <w:r>
        <w:t>Bateman and Giles</w:t>
      </w:r>
      <w:r w:rsidRPr="00B939E1">
        <w:t xml:space="preserve">. </w:t>
      </w:r>
    </w:p>
    <w:p w:rsidR="00F739E7" w:rsidRDefault="00F739E7" w:rsidP="00CB1E3E">
      <w:pPr>
        <w:pStyle w:val="Heading2"/>
      </w:pPr>
      <w:bookmarkStart w:id="34" w:name="_Toc381103170"/>
      <w:r w:rsidRPr="00CB1E3E">
        <w:t>Research</w:t>
      </w:r>
      <w:r>
        <w:t xml:space="preserve"> aims</w:t>
      </w:r>
      <w:bookmarkEnd w:id="34"/>
    </w:p>
    <w:p w:rsidR="00694F99" w:rsidRDefault="001E1529" w:rsidP="00CB1E3E">
      <w:pPr>
        <w:pStyle w:val="Text"/>
      </w:pPr>
      <w:r>
        <w:t xml:space="preserve">The aim of this research is to better understand the extent to which quality </w:t>
      </w:r>
      <w:r w:rsidR="00851189">
        <w:t xml:space="preserve">(effective or rigorous) </w:t>
      </w:r>
      <w:r>
        <w:t xml:space="preserve">assessments are implemented in qualifications in </w:t>
      </w:r>
      <w:r w:rsidR="00002890">
        <w:t xml:space="preserve">the </w:t>
      </w:r>
      <w:r>
        <w:t>aged care, business services, electro-technology (mainly electrical) industry sectors</w:t>
      </w:r>
      <w:r w:rsidR="0091132A">
        <w:t xml:space="preserve">, </w:t>
      </w:r>
      <w:r w:rsidR="0091132A" w:rsidRPr="00CB1E3E">
        <w:t>and</w:t>
      </w:r>
      <w:r w:rsidR="0091132A">
        <w:t xml:space="preserve"> </w:t>
      </w:r>
      <w:r w:rsidR="00B65BBE">
        <w:t xml:space="preserve">in </w:t>
      </w:r>
      <w:r w:rsidR="0091132A">
        <w:t>training and assessment</w:t>
      </w:r>
      <w:r>
        <w:t xml:space="preserve">. </w:t>
      </w:r>
      <w:r w:rsidR="00694F99">
        <w:t>We investigate these issues in the states of South Austr</w:t>
      </w:r>
      <w:r w:rsidR="00002890">
        <w:t>alia, Victoria, New South Wales</w:t>
      </w:r>
      <w:r w:rsidR="00694F99">
        <w:t xml:space="preserve"> and Queensland.</w:t>
      </w:r>
      <w:r w:rsidR="00E3166C">
        <w:t xml:space="preserve"> </w:t>
      </w:r>
      <w:r w:rsidR="00694F99">
        <w:t xml:space="preserve">The following research questions guided the collection and analysis of information. </w:t>
      </w:r>
    </w:p>
    <w:p w:rsidR="00694F99" w:rsidRDefault="00694F99" w:rsidP="00CB1E3E">
      <w:pPr>
        <w:pStyle w:val="Dotpoint1"/>
      </w:pPr>
      <w:r>
        <w:t xml:space="preserve">What do practitioners understand about the need for quality assessments, including consistency and validity? </w:t>
      </w:r>
    </w:p>
    <w:p w:rsidR="00694F99" w:rsidRDefault="00694F99" w:rsidP="00CB1E3E">
      <w:pPr>
        <w:pStyle w:val="Dotpoint1"/>
      </w:pPr>
      <w:r>
        <w:t>To what</w:t>
      </w:r>
      <w:r w:rsidR="0091132A">
        <w:t xml:space="preserve"> extent do organisations practis</w:t>
      </w:r>
      <w:r>
        <w:t>e external validation throug</w:t>
      </w:r>
      <w:r w:rsidR="0091132A">
        <w:t>h the use of external assessors</w:t>
      </w:r>
      <w:r>
        <w:t xml:space="preserve"> and industry stakeholders (especially employers)? Are there any issues for involving employers in assessments?</w:t>
      </w:r>
    </w:p>
    <w:p w:rsidR="00694F99" w:rsidRDefault="00694F99" w:rsidP="00CB1E3E">
      <w:pPr>
        <w:pStyle w:val="Dotpoint1"/>
      </w:pPr>
      <w:r>
        <w:t xml:space="preserve">How prevalent </w:t>
      </w:r>
      <w:r w:rsidR="00CA30E8">
        <w:t>is</w:t>
      </w:r>
      <w:r>
        <w:t xml:space="preserve"> the implementation of </w:t>
      </w:r>
      <w:r w:rsidR="0091132A">
        <w:t>recognition of prior learning (</w:t>
      </w:r>
      <w:r>
        <w:t>RPL</w:t>
      </w:r>
      <w:r w:rsidR="0091132A">
        <w:t>)</w:t>
      </w:r>
      <w:r>
        <w:t xml:space="preserve"> assessments</w:t>
      </w:r>
      <w:r w:rsidR="00E45CAB">
        <w:t>?</w:t>
      </w:r>
      <w:r>
        <w:t xml:space="preserve"> To what extent are streamlined approaches to RPL being applied</w:t>
      </w:r>
      <w:r w:rsidR="00E45CAB">
        <w:t>?</w:t>
      </w:r>
    </w:p>
    <w:p w:rsidR="00694F99" w:rsidRDefault="00694F99" w:rsidP="00CB1E3E">
      <w:pPr>
        <w:pStyle w:val="Dotpoint1"/>
      </w:pPr>
      <w:r>
        <w:t>Wh</w:t>
      </w:r>
      <w:r w:rsidR="0091132A">
        <w:t>at is the impact of course time</w:t>
      </w:r>
      <w:r>
        <w:t>frames on qualification</w:t>
      </w:r>
      <w:r w:rsidR="00426A36">
        <w:t>s</w:t>
      </w:r>
      <w:r>
        <w:t xml:space="preserve">? </w:t>
      </w:r>
      <w:r w:rsidR="00002890">
        <w:t>Is there any justification</w:t>
      </w:r>
      <w:r>
        <w:t xml:space="preserve"> for condensing course durations? </w:t>
      </w:r>
    </w:p>
    <w:p w:rsidR="00F739E7" w:rsidRDefault="001E1529" w:rsidP="00CB1E3E">
      <w:pPr>
        <w:pStyle w:val="Text"/>
      </w:pPr>
      <w:r>
        <w:t xml:space="preserve">Information </w:t>
      </w:r>
      <w:r w:rsidR="00B65BBE">
        <w:t>w</w:t>
      </w:r>
      <w:r>
        <w:t>as collected via in-person and telephone interviews with education and training practitioners</w:t>
      </w:r>
      <w:r>
        <w:rPr>
          <w:rStyle w:val="FootnoteReference"/>
        </w:rPr>
        <w:footnoteReference w:id="1"/>
      </w:r>
      <w:r>
        <w:t xml:space="preserve"> </w:t>
      </w:r>
      <w:r w:rsidR="00D93D7B">
        <w:t xml:space="preserve">and </w:t>
      </w:r>
      <w:r>
        <w:t>students</w:t>
      </w:r>
      <w:r w:rsidR="00D93D7B">
        <w:t>, a</w:t>
      </w:r>
      <w:r w:rsidR="00002890">
        <w:t>s well as with</w:t>
      </w:r>
      <w:r w:rsidR="00D93D7B">
        <w:t xml:space="preserve"> government and industry advisors in </w:t>
      </w:r>
      <w:r w:rsidR="00694F99" w:rsidRPr="00CB1E3E">
        <w:t>one</w:t>
      </w:r>
      <w:r w:rsidR="00694F99">
        <w:t xml:space="preserve"> of the </w:t>
      </w:r>
      <w:r w:rsidR="00E341C9" w:rsidRPr="00F73449">
        <w:lastRenderedPageBreak/>
        <w:t>Independent Validation of Assessment projects</w:t>
      </w:r>
      <w:r w:rsidR="00F73449" w:rsidRPr="00F73449">
        <w:rPr>
          <w:rStyle w:val="FootnoteReference"/>
        </w:rPr>
        <w:footnoteReference w:id="2"/>
      </w:r>
      <w:r w:rsidR="00002890">
        <w:t xml:space="preserve"> </w:t>
      </w:r>
      <w:r w:rsidR="0091132A">
        <w:t>conducted by the Council of Australian Governments (COAG)</w:t>
      </w:r>
      <w:r w:rsidR="00D93D7B">
        <w:t xml:space="preserve">. </w:t>
      </w:r>
      <w:r w:rsidR="00395ABB">
        <w:t>Desk</w:t>
      </w:r>
      <w:r>
        <w:t xml:space="preserve">top </w:t>
      </w:r>
      <w:r w:rsidR="00D93D7B">
        <w:t xml:space="preserve">analyses </w:t>
      </w:r>
      <w:r w:rsidR="00694F99">
        <w:t xml:space="preserve">of websites </w:t>
      </w:r>
      <w:r w:rsidR="00002890">
        <w:t>were</w:t>
      </w:r>
      <w:r w:rsidR="00D93D7B">
        <w:t xml:space="preserve"> </w:t>
      </w:r>
      <w:r w:rsidR="00B65BBE">
        <w:t>conducted</w:t>
      </w:r>
      <w:r>
        <w:t xml:space="preserve"> to investigate </w:t>
      </w:r>
      <w:r w:rsidR="00694F99">
        <w:t xml:space="preserve">training </w:t>
      </w:r>
      <w:r>
        <w:t>provider promotion of training and education courses</w:t>
      </w:r>
      <w:r w:rsidR="00694F99">
        <w:t xml:space="preserve">, tuition fees and course durations. Analyses of national VET statistics </w:t>
      </w:r>
      <w:r w:rsidR="00002890">
        <w:t>were</w:t>
      </w:r>
      <w:r w:rsidR="00694F99">
        <w:t xml:space="preserve"> used to report on the </w:t>
      </w:r>
      <w:r>
        <w:t xml:space="preserve">uptake of </w:t>
      </w:r>
      <w:r w:rsidR="0091132A">
        <w:t>recognition of prior learning</w:t>
      </w:r>
      <w:r w:rsidR="00395ABB">
        <w:t>,</w:t>
      </w:r>
      <w:r w:rsidR="00CB235B">
        <w:t xml:space="preserve"> </w:t>
      </w:r>
      <w:r w:rsidR="00694F99">
        <w:t xml:space="preserve">course durations and </w:t>
      </w:r>
      <w:r w:rsidR="0091132A">
        <w:t xml:space="preserve">the </w:t>
      </w:r>
      <w:r w:rsidR="00694F99">
        <w:t xml:space="preserve">level of student satisfaction with assessment experiences in VET courses. </w:t>
      </w:r>
      <w:r w:rsidR="00D93D7B" w:rsidRPr="00F73449">
        <w:t xml:space="preserve">A mystery shopping </w:t>
      </w:r>
      <w:r w:rsidR="00AB663D" w:rsidRPr="00F73449">
        <w:t>exercise</w:t>
      </w:r>
      <w:r w:rsidR="0091132A" w:rsidRPr="00F73449">
        <w:t xml:space="preserve"> </w:t>
      </w:r>
      <w:r w:rsidR="00F73449">
        <w:t>(where an interviewer calls institutions and asks for information about what is required to complete a qualification)</w:t>
      </w:r>
      <w:r w:rsidR="00D93D7B">
        <w:t xml:space="preserve"> is used to delve more deeply into </w:t>
      </w:r>
      <w:r w:rsidR="00694F99">
        <w:t xml:space="preserve">issues of </w:t>
      </w:r>
      <w:r w:rsidR="00D93D7B">
        <w:t xml:space="preserve">course duration. </w:t>
      </w:r>
    </w:p>
    <w:p w:rsidR="001E1529" w:rsidRDefault="001E1529" w:rsidP="001E1529">
      <w:pPr>
        <w:pStyle w:val="Heading2"/>
      </w:pPr>
      <w:bookmarkStart w:id="35" w:name="_Toc381103171"/>
      <w:r w:rsidRPr="000A5805">
        <w:t>Findings</w:t>
      </w:r>
      <w:bookmarkEnd w:id="35"/>
    </w:p>
    <w:p w:rsidR="000533C0" w:rsidRDefault="000533C0" w:rsidP="00F73449">
      <w:pPr>
        <w:pStyle w:val="Dotpoint1"/>
      </w:pPr>
      <w:r>
        <w:t xml:space="preserve">What do practitioners understand about the need for quality assessments, including consistency and validity? </w:t>
      </w:r>
    </w:p>
    <w:p w:rsidR="001E1529" w:rsidRPr="00F73449" w:rsidRDefault="001E1529" w:rsidP="00F73449">
      <w:pPr>
        <w:pStyle w:val="Text"/>
      </w:pPr>
      <w:r>
        <w:t>Trainers and assessors generally understand the accepted key criteria for effective and quality assessments. However</w:t>
      </w:r>
      <w:r w:rsidR="000E4753">
        <w:t>,</w:t>
      </w:r>
      <w:r>
        <w:t xml:space="preserve"> there seems to be a variation in the extent to which moderation and validation practices are applied across providers. The terms </w:t>
      </w:r>
      <w:r w:rsidR="00D52B39">
        <w:t>‘</w:t>
      </w:r>
      <w:r>
        <w:t>validation</w:t>
      </w:r>
      <w:r w:rsidR="00D52B39">
        <w:t>’</w:t>
      </w:r>
      <w:r>
        <w:t xml:space="preserve"> and </w:t>
      </w:r>
      <w:r w:rsidR="00D52B39">
        <w:t>‘</w:t>
      </w:r>
      <w:r>
        <w:t>moderation</w:t>
      </w:r>
      <w:r w:rsidR="00D52B39">
        <w:t>’</w:t>
      </w:r>
      <w:r>
        <w:t xml:space="preserve"> still appear to pr</w:t>
      </w:r>
      <w:r w:rsidR="000E4753">
        <w:t>esent</w:t>
      </w:r>
      <w:r>
        <w:t xml:space="preserve"> some confusion</w:t>
      </w:r>
      <w:r w:rsidR="00CB235B">
        <w:t>:</w:t>
      </w:r>
      <w:r>
        <w:t xml:space="preserve"> some</w:t>
      </w:r>
      <w:r w:rsidR="00CB235B">
        <w:t xml:space="preserve"> trainers and assessors identif</w:t>
      </w:r>
      <w:r>
        <w:t>i</w:t>
      </w:r>
      <w:r w:rsidR="00CB235B">
        <w:t>ed</w:t>
      </w:r>
      <w:r>
        <w:t xml:space="preserve"> as validation practices what are clearly approaches to moderation</w:t>
      </w:r>
      <w:r w:rsidR="000E4753">
        <w:t>,</w:t>
      </w:r>
      <w:r>
        <w:t xml:space="preserve"> and vice versa. </w:t>
      </w:r>
      <w:r w:rsidR="000E4753">
        <w:t>A measure of</w:t>
      </w:r>
      <w:r w:rsidR="00851189">
        <w:t xml:space="preserve"> </w:t>
      </w:r>
      <w:r>
        <w:t>uncertainty and confusion surrounds the term moderati</w:t>
      </w:r>
      <w:r w:rsidR="000E4753">
        <w:t>on, with trainers and assessors</w:t>
      </w:r>
      <w:r>
        <w:t xml:space="preserve"> citing the regular review of assessment tools and </w:t>
      </w:r>
      <w:r w:rsidR="000E4753">
        <w:t xml:space="preserve">the </w:t>
      </w:r>
      <w:r>
        <w:t>development and application of marking guides as key but up-front moderation techniques</w:t>
      </w:r>
      <w:r w:rsidR="00CB235B">
        <w:t xml:space="preserve"> </w:t>
      </w:r>
      <w:r w:rsidR="00CB235B" w:rsidRPr="00F73449">
        <w:t>(as opposed to a process that ideally takes place after assessment)</w:t>
      </w:r>
      <w:r w:rsidRPr="00F73449">
        <w:t xml:space="preserve">. </w:t>
      </w:r>
      <w:r>
        <w:t>These are understood as ways to ensure con</w:t>
      </w:r>
      <w:r w:rsidR="000E4753">
        <w:t>sistency among assessors</w:t>
      </w:r>
      <w:r>
        <w:t xml:space="preserve"> and clarity for students undertaking the assessments. Even when moderation is used as a post-assessment process for ensuring comparability between student results</w:t>
      </w:r>
      <w:r w:rsidR="000E4753">
        <w:t>,</w:t>
      </w:r>
      <w:r>
        <w:t xml:space="preserve"> it is rare for teachers and trainers to alter any </w:t>
      </w:r>
      <w:r w:rsidR="00E341C9">
        <w:t>assessment decisions</w:t>
      </w:r>
      <w:r>
        <w:t>. The only time th</w:t>
      </w:r>
      <w:r w:rsidR="000E4753">
        <w:t>is</w:t>
      </w:r>
      <w:r>
        <w:t xml:space="preserve"> might </w:t>
      </w:r>
      <w:r w:rsidR="000E4753">
        <w:t>occur</w:t>
      </w:r>
      <w:r>
        <w:t xml:space="preserve"> is when trainers are uncertain about the performance of students. When post-assessment moderation</w:t>
      </w:r>
      <w:r w:rsidR="00CB235B">
        <w:t xml:space="preserve"> does occur, it is normally for the purpose of modifying </w:t>
      </w:r>
      <w:r>
        <w:t xml:space="preserve">the assessment </w:t>
      </w:r>
      <w:r w:rsidRPr="00F73449">
        <w:t xml:space="preserve">tools </w:t>
      </w:r>
      <w:r w:rsidR="000E4753" w:rsidRPr="00F73449">
        <w:t>to ensure</w:t>
      </w:r>
      <w:r w:rsidRPr="00F73449">
        <w:t xml:space="preserve"> no issues </w:t>
      </w:r>
      <w:r w:rsidR="002F74B4" w:rsidRPr="00F73449">
        <w:t xml:space="preserve">arise </w:t>
      </w:r>
      <w:r w:rsidR="000E4753" w:rsidRPr="00F73449">
        <w:t xml:space="preserve">on </w:t>
      </w:r>
      <w:r w:rsidR="00294868" w:rsidRPr="00F73449">
        <w:t>future</w:t>
      </w:r>
      <w:r w:rsidR="000E4753" w:rsidRPr="00F73449">
        <w:t xml:space="preserve"> occasion</w:t>
      </w:r>
      <w:r w:rsidR="00294868" w:rsidRPr="00F73449">
        <w:t>s</w:t>
      </w:r>
      <w:r w:rsidRPr="00F73449">
        <w:t>.</w:t>
      </w:r>
      <w:r w:rsidR="00E3166C" w:rsidRPr="00F73449">
        <w:t xml:space="preserve"> </w:t>
      </w:r>
    </w:p>
    <w:p w:rsidR="001E1529" w:rsidRDefault="001E1529" w:rsidP="00F73449">
      <w:pPr>
        <w:pStyle w:val="Text"/>
        <w:ind w:right="-143"/>
      </w:pPr>
      <w:r w:rsidRPr="00F73449">
        <w:t xml:space="preserve">Providers are far more likely to </w:t>
      </w:r>
      <w:r w:rsidR="002F74B4" w:rsidRPr="00F73449">
        <w:t>claim</w:t>
      </w:r>
      <w:r w:rsidRPr="00F73449">
        <w:t xml:space="preserve"> they understand what </w:t>
      </w:r>
      <w:r w:rsidR="002F74B4" w:rsidRPr="00F73449">
        <w:t>is meant by</w:t>
      </w:r>
      <w:r w:rsidR="002F74B4">
        <w:t xml:space="preserve"> the term validation</w:t>
      </w:r>
      <w:r>
        <w:t xml:space="preserve"> and to give</w:t>
      </w:r>
      <w:r w:rsidR="00BB4867">
        <w:t> </w:t>
      </w:r>
      <w:r>
        <w:t xml:space="preserve">examples of </w:t>
      </w:r>
      <w:r w:rsidR="00CB235B">
        <w:t xml:space="preserve">both </w:t>
      </w:r>
      <w:r w:rsidR="00294868">
        <w:t xml:space="preserve">internal </w:t>
      </w:r>
      <w:r>
        <w:t>validation and external validation</w:t>
      </w:r>
      <w:r w:rsidR="00CB235B">
        <w:t>, the latter being</w:t>
      </w:r>
      <w:r>
        <w:t xml:space="preserve"> the review of assessment tools and </w:t>
      </w:r>
      <w:r w:rsidR="00A10F2E" w:rsidRPr="00944E59">
        <w:t>tests</w:t>
      </w:r>
      <w:r>
        <w:t xml:space="preserve"> by other assessors, generally from other training providers, as well as by employers. The involvement of employers in validation processes is especially used in courses </w:t>
      </w:r>
      <w:r w:rsidR="00E45CAB">
        <w:t>such as</w:t>
      </w:r>
      <w:r>
        <w:t xml:space="preserve"> aged care</w:t>
      </w:r>
      <w:r w:rsidR="002F74B4">
        <w:t>,</w:t>
      </w:r>
      <w:r>
        <w:t xml:space="preserve"> </w:t>
      </w:r>
      <w:r w:rsidR="00CB235B">
        <w:t>where</w:t>
      </w:r>
      <w:r>
        <w:t xml:space="preserve"> students </w:t>
      </w:r>
      <w:r w:rsidR="00F22AD1">
        <w:t xml:space="preserve">are involved </w:t>
      </w:r>
      <w:r w:rsidR="00E45CAB">
        <w:t>in</w:t>
      </w:r>
      <w:r w:rsidR="002F74B4">
        <w:t xml:space="preserve"> industry work </w:t>
      </w:r>
      <w:r>
        <w:t>placements</w:t>
      </w:r>
      <w:r w:rsidR="00E45CAB">
        <w:t>. It is also common</w:t>
      </w:r>
      <w:r>
        <w:t xml:space="preserve"> for employers to</w:t>
      </w:r>
      <w:r w:rsidR="00BB4867">
        <w:t> </w:t>
      </w:r>
      <w:r w:rsidR="002F74B4">
        <w:t xml:space="preserve">be involved in supervising work </w:t>
      </w:r>
      <w:r>
        <w:t xml:space="preserve">placements and providing feedback to </w:t>
      </w:r>
      <w:r w:rsidR="003F756A">
        <w:t>registered training organisation</w:t>
      </w:r>
      <w:r>
        <w:t xml:space="preserve">s </w:t>
      </w:r>
      <w:r w:rsidR="002F74B4">
        <w:t>(RTOs) on</w:t>
      </w:r>
      <w:r>
        <w:t xml:space="preserve"> student</w:t>
      </w:r>
      <w:r w:rsidR="00F22AD1">
        <w:t>s</w:t>
      </w:r>
      <w:r w:rsidR="00D52B39">
        <w:t>’</w:t>
      </w:r>
      <w:r>
        <w:t xml:space="preserve"> practical performance. Regular workplace visits to verify assessments</w:t>
      </w:r>
      <w:r w:rsidR="00BB4867">
        <w:t xml:space="preserve"> </w:t>
      </w:r>
      <w:r>
        <w:t xml:space="preserve">are other ways </w:t>
      </w:r>
      <w:r w:rsidR="002F74B4">
        <w:t>by which</w:t>
      </w:r>
      <w:r>
        <w:t xml:space="preserve"> </w:t>
      </w:r>
      <w:r w:rsidR="003F756A">
        <w:t>training organisation</w:t>
      </w:r>
      <w:r>
        <w:t>s maintain their linkages with industry practice</w:t>
      </w:r>
      <w:r w:rsidR="00F22AD1">
        <w:t>, thereby</w:t>
      </w:r>
      <w:r>
        <w:t xml:space="preserve"> </w:t>
      </w:r>
      <w:r w:rsidR="00F22AD1">
        <w:t>validating</w:t>
      </w:r>
      <w:r>
        <w:t xml:space="preserve"> or confirm</w:t>
      </w:r>
      <w:r w:rsidR="00F22AD1">
        <w:t>ing</w:t>
      </w:r>
      <w:r>
        <w:t xml:space="preserve"> the suitability of their assessments and their assessment tools. </w:t>
      </w:r>
    </w:p>
    <w:p w:rsidR="00AA19FE" w:rsidRPr="00AA19FE" w:rsidRDefault="00AA19FE" w:rsidP="00F73449">
      <w:pPr>
        <w:pStyle w:val="Text"/>
      </w:pPr>
      <w:r w:rsidRPr="00AA19FE">
        <w:t xml:space="preserve">Providers also differed according to their access to professional development activities. In the public system, providers often have access to professional development for their trainers and assessors. Trainers in private </w:t>
      </w:r>
      <w:r w:rsidR="003F756A">
        <w:t>registered training organisation</w:t>
      </w:r>
      <w:r w:rsidRPr="00AA19FE">
        <w:t xml:space="preserve">s are more likely to be </w:t>
      </w:r>
      <w:r w:rsidRPr="00F73449">
        <w:t>responsible</w:t>
      </w:r>
      <w:r w:rsidRPr="00AA19FE">
        <w:t xml:space="preserve"> for their own professional development. </w:t>
      </w:r>
      <w:r w:rsidRPr="00B21E7A">
        <w:t xml:space="preserve">The sharing of information across providers is not uncommon, even though there is a view that the competitiveness of the Certificate III </w:t>
      </w:r>
      <w:r w:rsidR="004F2213" w:rsidRPr="00B21E7A">
        <w:t xml:space="preserve">in Aged Care </w:t>
      </w:r>
      <w:r w:rsidRPr="00B21E7A">
        <w:t>qualification tends t</w:t>
      </w:r>
      <w:r w:rsidR="00BB4867" w:rsidRPr="00B21E7A">
        <w:t>o constrain full collaboration.</w:t>
      </w:r>
    </w:p>
    <w:p w:rsidR="00AA19FE" w:rsidRDefault="00AA19FE" w:rsidP="00BB4867">
      <w:pPr>
        <w:pStyle w:val="Dotpoint1"/>
      </w:pPr>
      <w:r>
        <w:lastRenderedPageBreak/>
        <w:t>To what</w:t>
      </w:r>
      <w:r w:rsidR="004F2213">
        <w:t xml:space="preserve"> extent do organisations practis</w:t>
      </w:r>
      <w:r>
        <w:t>e external validation throug</w:t>
      </w:r>
      <w:r w:rsidR="004F2213">
        <w:t>h the use of external assessors</w:t>
      </w:r>
      <w:r>
        <w:t xml:space="preserve"> and industry stakeholders (especially employers)? Are there any issues for involving employers in assessments?</w:t>
      </w:r>
    </w:p>
    <w:p w:rsidR="001E1529" w:rsidRDefault="001E1529" w:rsidP="001E1529">
      <w:pPr>
        <w:pStyle w:val="Text"/>
      </w:pPr>
      <w:r>
        <w:t>The prior or current practical workplace experience and knowledge of trainers and assessors who have worked in the industry</w:t>
      </w:r>
      <w:r w:rsidR="00851189">
        <w:t xml:space="preserve">, as well as </w:t>
      </w:r>
      <w:r>
        <w:t>students who are existing workers</w:t>
      </w:r>
      <w:r w:rsidR="00851189">
        <w:t>,</w:t>
      </w:r>
      <w:r>
        <w:t xml:space="preserve"> help trainers and assessors in business courses </w:t>
      </w:r>
      <w:r w:rsidR="004F2213">
        <w:t xml:space="preserve">to </w:t>
      </w:r>
      <w:r w:rsidR="00851189">
        <w:t xml:space="preserve">develop assessments that are customised to current industry practice. </w:t>
      </w:r>
      <w:r w:rsidR="0038668C">
        <w:t>The Capstone T</w:t>
      </w:r>
      <w:r>
        <w:t>est provides an external validation of skills acquisition in electrical apprenticeships</w:t>
      </w:r>
      <w:r w:rsidR="000533C0">
        <w:t xml:space="preserve"> because it is set by an independent body. Some trainers </w:t>
      </w:r>
      <w:r w:rsidR="004F2213">
        <w:t>hold</w:t>
      </w:r>
      <w:r w:rsidR="000533C0">
        <w:t xml:space="preserve"> the view that its integrity can be compromised if</w:t>
      </w:r>
      <w:r w:rsidR="00E3166C">
        <w:t xml:space="preserve"> </w:t>
      </w:r>
      <w:r w:rsidR="00F22AD1">
        <w:t>the test</w:t>
      </w:r>
      <w:r w:rsidR="00F37C0F">
        <w:t xml:space="preserve"> </w:t>
      </w:r>
      <w:r w:rsidR="000533C0">
        <w:t xml:space="preserve">is conducted by the </w:t>
      </w:r>
      <w:r w:rsidR="003F756A">
        <w:t>registered training organisation</w:t>
      </w:r>
      <w:r w:rsidR="000533C0">
        <w:t xml:space="preserve"> itself. In Victoria the extern</w:t>
      </w:r>
      <w:r w:rsidR="00F37C0F">
        <w:t>al assessment for A-grade licens</w:t>
      </w:r>
      <w:r w:rsidR="000533C0">
        <w:t>ing is cond</w:t>
      </w:r>
      <w:r w:rsidR="00F22AD1">
        <w:t>ucted by an external agency such as</w:t>
      </w:r>
      <w:r w:rsidR="000533C0">
        <w:t xml:space="preserve"> </w:t>
      </w:r>
      <w:r w:rsidR="00B76C5A">
        <w:t>EPIC</w:t>
      </w:r>
      <w:r w:rsidR="000533C0">
        <w:t xml:space="preserve"> </w:t>
      </w:r>
      <w:r w:rsidR="00F37C0F">
        <w:t>Industry Training Board</w:t>
      </w:r>
      <w:r w:rsidR="00F22AD1">
        <w:t>,</w:t>
      </w:r>
      <w:r w:rsidR="00B76C5A">
        <w:t xml:space="preserve"> </w:t>
      </w:r>
      <w:r w:rsidR="000533C0">
        <w:t xml:space="preserve">acting </w:t>
      </w:r>
      <w:r w:rsidR="00B76C5A">
        <w:t>under the auspices of the r</w:t>
      </w:r>
      <w:r>
        <w:t>egulatory authorit</w:t>
      </w:r>
      <w:r w:rsidR="00B76C5A">
        <w:t>y that issues A-grade licences for electricians (</w:t>
      </w:r>
      <w:r w:rsidR="00C67578">
        <w:t>Energy Safe Victoria</w:t>
      </w:r>
      <w:r>
        <w:t>)</w:t>
      </w:r>
      <w:r w:rsidR="000533C0">
        <w:t>. This external approach</w:t>
      </w:r>
      <w:r>
        <w:t xml:space="preserve"> standa</w:t>
      </w:r>
      <w:r w:rsidR="00077D8D">
        <w:t>rdises the assessment of skills</w:t>
      </w:r>
      <w:r>
        <w:t xml:space="preserve"> to ensure </w:t>
      </w:r>
      <w:r w:rsidR="00077D8D">
        <w:t xml:space="preserve">the </w:t>
      </w:r>
      <w:r>
        <w:t xml:space="preserve">comparability and consistency of performance to industry standards. </w:t>
      </w:r>
    </w:p>
    <w:p w:rsidR="001E1529" w:rsidRPr="00AA19FE" w:rsidRDefault="001E1529" w:rsidP="00AA19FE">
      <w:pPr>
        <w:pStyle w:val="Text"/>
      </w:pPr>
      <w:r w:rsidRPr="00AA19FE">
        <w:t>How easy is it to involve employers in the validat</w:t>
      </w:r>
      <w:r w:rsidR="00294868">
        <w:t xml:space="preserve">ion of assessments? It is clearly </w:t>
      </w:r>
      <w:r w:rsidR="00077D8D">
        <w:t>quite straightforward</w:t>
      </w:r>
      <w:r w:rsidRPr="00AA19FE">
        <w:t xml:space="preserve"> for some courses and difficult for others. The </w:t>
      </w:r>
      <w:r w:rsidR="00077D8D">
        <w:t xml:space="preserve">mandatory use of practical work </w:t>
      </w:r>
      <w:r w:rsidRPr="00AA19FE">
        <w:t xml:space="preserve">placements </w:t>
      </w:r>
      <w:r w:rsidR="00F22AD1">
        <w:t xml:space="preserve">in some courses </w:t>
      </w:r>
      <w:r w:rsidRPr="00AA19FE">
        <w:t>require</w:t>
      </w:r>
      <w:r w:rsidR="00E92B45" w:rsidRPr="00AA19FE">
        <w:t>s</w:t>
      </w:r>
      <w:r w:rsidRPr="00AA19FE">
        <w:t xml:space="preserve"> </w:t>
      </w:r>
      <w:r w:rsidR="003F756A">
        <w:t>registered training organisation</w:t>
      </w:r>
      <w:r w:rsidRPr="00AA19FE">
        <w:t xml:space="preserve">s to develop strong relationships with employers to ensure access to workplaces for placements </w:t>
      </w:r>
      <w:r w:rsidR="003D69ED" w:rsidRPr="00AA19FE">
        <w:t xml:space="preserve">for </w:t>
      </w:r>
      <w:r w:rsidRPr="00AA19FE">
        <w:t>their students.</w:t>
      </w:r>
      <w:r w:rsidR="00D20D5F" w:rsidRPr="00AA19FE">
        <w:rPr>
          <w:rStyle w:val="FootnoteReference"/>
          <w:b/>
        </w:rPr>
        <w:footnoteReference w:id="3"/>
      </w:r>
      <w:r w:rsidR="00D20D5F" w:rsidRPr="00AA19FE">
        <w:t xml:space="preserve"> </w:t>
      </w:r>
      <w:r w:rsidRPr="00AA19FE">
        <w:t xml:space="preserve">For </w:t>
      </w:r>
      <w:r w:rsidR="00F22AD1">
        <w:t>these</w:t>
      </w:r>
      <w:r w:rsidRPr="00AA19FE">
        <w:t xml:space="preserve"> courses</w:t>
      </w:r>
      <w:r w:rsidR="00F22AD1">
        <w:t>,</w:t>
      </w:r>
      <w:r w:rsidRPr="00AA19FE">
        <w:t xml:space="preserve"> providers report that they have no issues in </w:t>
      </w:r>
      <w:r w:rsidR="003D69ED" w:rsidRPr="00AA19FE">
        <w:t>involving</w:t>
      </w:r>
      <w:r w:rsidRPr="00AA19FE">
        <w:t xml:space="preserve"> employers in assessment validation practices (if it does not mean intensive involvement). For electrical services programs</w:t>
      </w:r>
      <w:r w:rsidR="00077D8D">
        <w:t>,</w:t>
      </w:r>
      <w:r w:rsidRPr="00AA19FE">
        <w:t xml:space="preserve"> where students are in the workplace with workplace supervisors,</w:t>
      </w:r>
      <w:r w:rsidR="00077D8D">
        <w:t xml:space="preserve"> it appears to be more difficult. </w:t>
      </w:r>
      <w:r w:rsidRPr="00AA19FE">
        <w:t xml:space="preserve">In these </w:t>
      </w:r>
      <w:r w:rsidR="00F22AD1">
        <w:t>instances</w:t>
      </w:r>
      <w:r w:rsidR="005B7B6F" w:rsidRPr="00AA19FE">
        <w:t xml:space="preserve"> </w:t>
      </w:r>
      <w:r w:rsidRPr="00AA19FE">
        <w:t xml:space="preserve">providers generally believe that </w:t>
      </w:r>
      <w:r w:rsidR="005B7B6F" w:rsidRPr="00AA19FE">
        <w:t>employers</w:t>
      </w:r>
      <w:r w:rsidRPr="00AA19FE">
        <w:t xml:space="preserve"> </w:t>
      </w:r>
      <w:r w:rsidR="005B7B6F" w:rsidRPr="00AA19FE">
        <w:t>prefer</w:t>
      </w:r>
      <w:r w:rsidRPr="00AA19FE">
        <w:t xml:space="preserve"> to leave the </w:t>
      </w:r>
      <w:r w:rsidR="00AA19FE">
        <w:t>process</w:t>
      </w:r>
      <w:r w:rsidRPr="00AA19FE">
        <w:t xml:space="preserve"> of assessment to the experts</w:t>
      </w:r>
      <w:r w:rsidR="005B7B6F" w:rsidRPr="00AA19FE">
        <w:t xml:space="preserve">, </w:t>
      </w:r>
      <w:r w:rsidR="004B2E42">
        <w:t>claiming they</w:t>
      </w:r>
      <w:r w:rsidR="005B7B6F" w:rsidRPr="00AA19FE">
        <w:t xml:space="preserve"> do not have the time to spend on training documentation or validation</w:t>
      </w:r>
      <w:r w:rsidRPr="00AA19FE">
        <w:t>. However, the need for employers to provide evidence of apprentice pe</w:t>
      </w:r>
      <w:r w:rsidR="00F22AD1">
        <w:t>rformance in e-profiles or hard-</w:t>
      </w:r>
      <w:r w:rsidRPr="00AA19FE">
        <w:t xml:space="preserve">copy logbooks </w:t>
      </w:r>
      <w:r w:rsidR="004B2E42">
        <w:t>offers</w:t>
      </w:r>
      <w:r w:rsidRPr="00AA19FE">
        <w:t xml:space="preserve"> them an opportunity to be involved in </w:t>
      </w:r>
      <w:r w:rsidR="00B65BBE">
        <w:t>the</w:t>
      </w:r>
      <w:r w:rsidRPr="00AA19FE">
        <w:t xml:space="preserve"> validat</w:t>
      </w:r>
      <w:r w:rsidR="00B65BBE">
        <w:t>ion of</w:t>
      </w:r>
      <w:r w:rsidRPr="00AA19FE">
        <w:t xml:space="preserve"> on-the-jo</w:t>
      </w:r>
      <w:r w:rsidR="004B2E42">
        <w:t>b assessments. Time constraints</w:t>
      </w:r>
      <w:r w:rsidRPr="00AA19FE">
        <w:t xml:space="preserve"> and inadequate experience or </w:t>
      </w:r>
      <w:r w:rsidR="00F22AD1">
        <w:t xml:space="preserve">lack of </w:t>
      </w:r>
      <w:r w:rsidRPr="00AA19FE">
        <w:t>expert</w:t>
      </w:r>
      <w:r w:rsidR="004B2E42">
        <w:t>ise in specific units also work</w:t>
      </w:r>
      <w:r w:rsidRPr="00AA19FE">
        <w:t xml:space="preserve"> against </w:t>
      </w:r>
      <w:r w:rsidR="004B2E42">
        <w:t xml:space="preserve">the </w:t>
      </w:r>
      <w:r w:rsidRPr="00AA19FE">
        <w:t>increased involvement of employers in assessment validation or external assessments.</w:t>
      </w:r>
    </w:p>
    <w:p w:rsidR="00AA19FE" w:rsidRDefault="00AA19FE" w:rsidP="00BB4867">
      <w:pPr>
        <w:pStyle w:val="Dotpoint1"/>
      </w:pPr>
      <w:r>
        <w:t xml:space="preserve">How prevalent is the implementation of </w:t>
      </w:r>
      <w:r w:rsidR="004B2E42">
        <w:t>recognition of prior learning</w:t>
      </w:r>
      <w:r>
        <w:t xml:space="preserve"> assessments? To what extent are streamlined approaches to RPL being applied?</w:t>
      </w:r>
    </w:p>
    <w:p w:rsidR="001E1529" w:rsidRDefault="001E1529" w:rsidP="001E1529">
      <w:pPr>
        <w:pStyle w:val="Text"/>
      </w:pPr>
      <w:r>
        <w:t xml:space="preserve">There is little emphasis on </w:t>
      </w:r>
      <w:r w:rsidR="004B2E42">
        <w:t xml:space="preserve">the recognition of </w:t>
      </w:r>
      <w:r w:rsidR="00F22AD1">
        <w:t xml:space="preserve">prior learning </w:t>
      </w:r>
      <w:r w:rsidR="004B2E42">
        <w:t>for entry-level c</w:t>
      </w:r>
      <w:r>
        <w:t xml:space="preserve">ertificate III programs across the three </w:t>
      </w:r>
      <w:r w:rsidR="00F22AD1">
        <w:t>sectors</w:t>
      </w:r>
      <w:r>
        <w:t xml:space="preserve">, although there is evidence of higher usage in business programs and for electrical apprentices transferring from the </w:t>
      </w:r>
      <w:r w:rsidR="000F2E97">
        <w:t>defence forces</w:t>
      </w:r>
      <w:r>
        <w:t xml:space="preserve"> (navy) </w:t>
      </w:r>
      <w:r w:rsidR="000F2E97">
        <w:t xml:space="preserve">who </w:t>
      </w:r>
      <w:r>
        <w:t xml:space="preserve">already </w:t>
      </w:r>
      <w:r w:rsidR="000F2E97">
        <w:t>possess</w:t>
      </w:r>
      <w:r w:rsidR="00294868">
        <w:t xml:space="preserve"> </w:t>
      </w:r>
      <w:r>
        <w:t xml:space="preserve">extensive knowledge </w:t>
      </w:r>
      <w:r w:rsidR="000F2E97">
        <w:t xml:space="preserve">of </w:t>
      </w:r>
      <w:r>
        <w:t>and experience in communications</w:t>
      </w:r>
      <w:r w:rsidRPr="00B82AD7">
        <w:t xml:space="preserve">. Apart from the obligatory formal offer of </w:t>
      </w:r>
      <w:r w:rsidR="004B2E42">
        <w:t>recognition</w:t>
      </w:r>
      <w:r w:rsidRPr="00B82AD7">
        <w:t xml:space="preserve"> that all providers made prior to enrolment</w:t>
      </w:r>
      <w:r w:rsidR="000F2E97">
        <w:t>,</w:t>
      </w:r>
      <w:r w:rsidRPr="00B82AD7">
        <w:t xml:space="preserve"> there was little encouragement for students to undertake RPL. At the same time </w:t>
      </w:r>
      <w:r w:rsidR="002D2F3D" w:rsidRPr="001911D5">
        <w:t xml:space="preserve">practitioners reported that students are </w:t>
      </w:r>
      <w:r w:rsidR="00CA563E">
        <w:t xml:space="preserve">not always keen to participate in </w:t>
      </w:r>
      <w:r w:rsidR="004B2E42">
        <w:t>recognition</w:t>
      </w:r>
      <w:r w:rsidR="00CA563E">
        <w:t xml:space="preserve"> assessments and that many want to start their courses from scratch.</w:t>
      </w:r>
      <w:r w:rsidR="003E1CA2">
        <w:t xml:space="preserve"> </w:t>
      </w:r>
      <w:r w:rsidR="002D2F3D">
        <w:t xml:space="preserve">This is also confirmed by </w:t>
      </w:r>
      <w:r w:rsidR="004B2E42">
        <w:t xml:space="preserve">the </w:t>
      </w:r>
      <w:r w:rsidR="002D2F3D">
        <w:t xml:space="preserve">students </w:t>
      </w:r>
      <w:r w:rsidR="004B2E42">
        <w:t xml:space="preserve">who </w:t>
      </w:r>
      <w:r w:rsidR="002D2F3D">
        <w:t>provid</w:t>
      </w:r>
      <w:r w:rsidR="004B2E42">
        <w:t>ed</w:t>
      </w:r>
      <w:r w:rsidR="002D2F3D">
        <w:t xml:space="preserve"> information to this study. </w:t>
      </w:r>
      <w:r w:rsidR="003E1CA2">
        <w:t xml:space="preserve">An investigation of commencements </w:t>
      </w:r>
      <w:r w:rsidR="00E60416">
        <w:t xml:space="preserve">from </w:t>
      </w:r>
      <w:r w:rsidR="004B2E42">
        <w:t xml:space="preserve">2010 </w:t>
      </w:r>
      <w:r w:rsidR="003E1CA2">
        <w:t xml:space="preserve">matched to 2010 </w:t>
      </w:r>
      <w:r w:rsidR="00E60416">
        <w:t>and 2011 completions</w:t>
      </w:r>
      <w:r w:rsidR="00BA07EA">
        <w:t xml:space="preserve"> </w:t>
      </w:r>
      <w:r w:rsidR="003E1CA2">
        <w:t xml:space="preserve">in </w:t>
      </w:r>
      <w:r w:rsidR="000F2E97">
        <w:t xml:space="preserve">the </w:t>
      </w:r>
      <w:r w:rsidR="003E1CA2">
        <w:t xml:space="preserve">Certificate III </w:t>
      </w:r>
      <w:r w:rsidR="000F2E97">
        <w:t xml:space="preserve">in </w:t>
      </w:r>
      <w:r w:rsidR="003E1CA2">
        <w:t>Aged</w:t>
      </w:r>
      <w:r w:rsidR="004B2E42">
        <w:t xml:space="preserve"> Care, </w:t>
      </w:r>
      <w:r w:rsidR="000F2E97">
        <w:t xml:space="preserve">the </w:t>
      </w:r>
      <w:r w:rsidR="004B2E42">
        <w:t xml:space="preserve">Certificate III </w:t>
      </w:r>
      <w:r w:rsidR="000F2E97">
        <w:t xml:space="preserve">in </w:t>
      </w:r>
      <w:r w:rsidR="004B2E42">
        <w:t>Business</w:t>
      </w:r>
      <w:r w:rsidR="003E1CA2">
        <w:t xml:space="preserve"> and </w:t>
      </w:r>
      <w:r w:rsidR="000F2E97" w:rsidRPr="00A55C29">
        <w:t xml:space="preserve">the </w:t>
      </w:r>
      <w:r w:rsidR="00250161" w:rsidRPr="00A55C29">
        <w:t xml:space="preserve">Certificate IV in Training and </w:t>
      </w:r>
      <w:r w:rsidR="001F0A85" w:rsidRPr="00A55C29">
        <w:t xml:space="preserve">Assessment </w:t>
      </w:r>
      <w:r w:rsidR="003E1CA2" w:rsidRPr="00A55C29">
        <w:t>finds</w:t>
      </w:r>
      <w:r w:rsidR="003E1CA2">
        <w:t xml:space="preserve"> that </w:t>
      </w:r>
      <w:r w:rsidR="0039128A">
        <w:t>almost 7</w:t>
      </w:r>
      <w:r w:rsidR="003E1CA2">
        <w:t>% of students in aged care and business courses will undertake</w:t>
      </w:r>
      <w:r>
        <w:t xml:space="preserve"> </w:t>
      </w:r>
      <w:r w:rsidR="00E60416">
        <w:t>recognition of prior learning processes</w:t>
      </w:r>
      <w:r w:rsidR="00BA07EA" w:rsidRPr="00B82AD7">
        <w:t xml:space="preserve">; four times this </w:t>
      </w:r>
      <w:r w:rsidR="00E60416">
        <w:t>number</w:t>
      </w:r>
      <w:r w:rsidR="0039128A">
        <w:t xml:space="preserve"> (25</w:t>
      </w:r>
      <w:r w:rsidR="00BA07EA" w:rsidRPr="00B82AD7">
        <w:t xml:space="preserve">%) of students will receive recognition for </w:t>
      </w:r>
      <w:r w:rsidR="000F2E97">
        <w:t xml:space="preserve">the </w:t>
      </w:r>
      <w:r w:rsidR="00BA07EA" w:rsidRPr="00B82AD7">
        <w:t xml:space="preserve">Certificate IV in </w:t>
      </w:r>
      <w:r w:rsidR="00E60416">
        <w:t>Training and Assessment</w:t>
      </w:r>
      <w:r w:rsidR="00BA07EA" w:rsidRPr="001911D5">
        <w:t>.</w:t>
      </w:r>
      <w:r w:rsidR="00BA07EA">
        <w:t xml:space="preserve"> </w:t>
      </w:r>
    </w:p>
    <w:p w:rsidR="007E7F68" w:rsidRDefault="001E1529" w:rsidP="00BB4867">
      <w:pPr>
        <w:pStyle w:val="Text"/>
        <w:ind w:right="141"/>
      </w:pPr>
      <w:r>
        <w:lastRenderedPageBreak/>
        <w:t xml:space="preserve">Providers varied in what they expected from </w:t>
      </w:r>
      <w:r w:rsidR="00904036">
        <w:t xml:space="preserve">the </w:t>
      </w:r>
      <w:r>
        <w:t xml:space="preserve">students who did request </w:t>
      </w:r>
      <w:r w:rsidR="00E60416">
        <w:t>recognition of prior learning,</w:t>
      </w:r>
      <w:r>
        <w:t xml:space="preserve"> with some providers implementing a </w:t>
      </w:r>
      <w:r w:rsidR="00E60416">
        <w:t xml:space="preserve">streamlined approach, while others </w:t>
      </w:r>
      <w:r>
        <w:t>requir</w:t>
      </w:r>
      <w:r w:rsidR="00E60416">
        <w:t>ed</w:t>
      </w:r>
      <w:r>
        <w:t xml:space="preserve"> extensive documentation to support</w:t>
      </w:r>
      <w:r w:rsidR="000F2E97">
        <w:t xml:space="preserve"> students</w:t>
      </w:r>
      <w:r w:rsidR="00D52B39">
        <w:t>’</w:t>
      </w:r>
      <w:r>
        <w:t xml:space="preserve"> claims. Less intensive approaches often relied o</w:t>
      </w:r>
      <w:r w:rsidR="000F2E97">
        <w:t>n workplace observations, third-</w:t>
      </w:r>
      <w:r w:rsidRPr="00BB4867">
        <w:t>party</w:t>
      </w:r>
      <w:r>
        <w:t xml:space="preserve"> reports and critical questioning techniques, while more complex processes required extensive mapping of units to </w:t>
      </w:r>
      <w:r w:rsidR="00904036">
        <w:t xml:space="preserve">the </w:t>
      </w:r>
      <w:r>
        <w:t>evidence required</w:t>
      </w:r>
      <w:r w:rsidR="00904036">
        <w:t>,</w:t>
      </w:r>
      <w:r>
        <w:t xml:space="preserve"> a</w:t>
      </w:r>
      <w:r w:rsidR="000F2E97">
        <w:t>s well as</w:t>
      </w:r>
      <w:r>
        <w:t xml:space="preserve"> extensive documentation. Generally</w:t>
      </w:r>
      <w:r w:rsidR="000F2E97">
        <w:t>,</w:t>
      </w:r>
      <w:r>
        <w:t xml:space="preserve"> the complex approach was used to meet the perceived prospective requirements of quality auditors. </w:t>
      </w:r>
    </w:p>
    <w:p w:rsidR="00AA19FE" w:rsidRDefault="00AA19FE" w:rsidP="00BB4867">
      <w:pPr>
        <w:pStyle w:val="Dotpoint1"/>
      </w:pPr>
      <w:r>
        <w:t>Wh</w:t>
      </w:r>
      <w:r w:rsidR="00E60416">
        <w:t>at is the impact of course time</w:t>
      </w:r>
      <w:r>
        <w:t xml:space="preserve">frames on qualifications? </w:t>
      </w:r>
      <w:r w:rsidR="000F2E97">
        <w:t>Is there any justification</w:t>
      </w:r>
      <w:r>
        <w:t xml:space="preserve"> for condensing course durations? </w:t>
      </w:r>
    </w:p>
    <w:p w:rsidR="00AA19FE" w:rsidRDefault="005B7B6F" w:rsidP="009F71FC">
      <w:pPr>
        <w:pStyle w:val="Text"/>
      </w:pPr>
      <w:r>
        <w:t>C</w:t>
      </w:r>
      <w:r w:rsidR="001E1529">
        <w:t>ourse durations var</w:t>
      </w:r>
      <w:r>
        <w:t>y</w:t>
      </w:r>
      <w:r w:rsidR="000F2E97">
        <w:t>, depending on</w:t>
      </w:r>
      <w:r w:rsidR="001E1529">
        <w:t xml:space="preserve"> delivery methods and whether students are </w:t>
      </w:r>
      <w:r w:rsidR="00E60416">
        <w:t>undertaking</w:t>
      </w:r>
      <w:r w:rsidR="001E1529">
        <w:t xml:space="preserve"> the course in full-time or part-time mode. In general</w:t>
      </w:r>
      <w:r w:rsidR="00CB7597">
        <w:t>,</w:t>
      </w:r>
      <w:r w:rsidR="001E1529">
        <w:t xml:space="preserve"> online and distance courses are allocated longer lead times for completions than are in-</w:t>
      </w:r>
      <w:r w:rsidR="001E1529" w:rsidRPr="009F71FC">
        <w:t>class</w:t>
      </w:r>
      <w:r w:rsidR="001E1529">
        <w:t xml:space="preserve"> or face-to-face courses. </w:t>
      </w:r>
      <w:r w:rsidR="00AA19FE">
        <w:t xml:space="preserve">There seems to be little appetite for condensing the course </w:t>
      </w:r>
      <w:r w:rsidR="00E60416">
        <w:t>length</w:t>
      </w:r>
      <w:r w:rsidR="00AA19FE">
        <w:t xml:space="preserve"> for entry-level courses</w:t>
      </w:r>
      <w:r w:rsidR="00E60416">
        <w:t>,</w:t>
      </w:r>
      <w:r w:rsidR="00AA19FE">
        <w:t xml:space="preserve"> as it is commonly accepted that the acquisition of sufficient practical skills and knowledge to work in a new occupation takes time. </w:t>
      </w:r>
    </w:p>
    <w:p w:rsidR="006B4DCD" w:rsidRDefault="006B4DCD" w:rsidP="009F71FC">
      <w:pPr>
        <w:pStyle w:val="Heading2"/>
      </w:pPr>
      <w:bookmarkStart w:id="36" w:name="_Toc381103172"/>
      <w:r>
        <w:t>Key challenges for students</w:t>
      </w:r>
      <w:r w:rsidR="00E8430C">
        <w:t xml:space="preserve"> and teachers</w:t>
      </w:r>
      <w:bookmarkEnd w:id="36"/>
    </w:p>
    <w:p w:rsidR="006B4DCD" w:rsidRPr="009F71FC" w:rsidRDefault="005F7B7F" w:rsidP="009F71FC">
      <w:pPr>
        <w:pStyle w:val="Text"/>
      </w:pPr>
      <w:r>
        <w:t xml:space="preserve">Students were generally satisfied with their assessment experiences and reported some frustrations </w:t>
      </w:r>
      <w:r w:rsidR="00904036">
        <w:t>over having</w:t>
      </w:r>
      <w:r w:rsidR="00E8430C">
        <w:t xml:space="preserve"> </w:t>
      </w:r>
      <w:r w:rsidR="000F2E97">
        <w:t>insufficient</w:t>
      </w:r>
      <w:r w:rsidR="00E8430C">
        <w:t xml:space="preserve"> time to absorb the information and </w:t>
      </w:r>
      <w:r w:rsidR="000F2E97">
        <w:t xml:space="preserve">to </w:t>
      </w:r>
      <w:r w:rsidR="00E8430C">
        <w:t xml:space="preserve">complete assignments. Some believed the course they were doing should be upgraded to a higher certificate level because of the work and responsibility involved. Others reported minor frustrations </w:t>
      </w:r>
      <w:r w:rsidR="006B6395">
        <w:t>in relation to</w:t>
      </w:r>
      <w:r>
        <w:t xml:space="preserve"> non-graded</w:t>
      </w:r>
      <w:r w:rsidR="000F2E97">
        <w:t xml:space="preserve"> assessments and</w:t>
      </w:r>
      <w:r w:rsidR="00CC5218">
        <w:t xml:space="preserve"> group assessments</w:t>
      </w:r>
      <w:r w:rsidR="006B6395">
        <w:t>: their benefits or drawbacks</w:t>
      </w:r>
      <w:r w:rsidR="00E8430C">
        <w:t>.</w:t>
      </w:r>
      <w:r w:rsidR="00E3166C">
        <w:t xml:space="preserve"> </w:t>
      </w:r>
      <w:r w:rsidR="006B4DCD" w:rsidRPr="006B4DCD">
        <w:t xml:space="preserve">Data from the </w:t>
      </w:r>
      <w:r w:rsidR="00904036">
        <w:t>2012 Students Outcomes Survey</w:t>
      </w:r>
      <w:r w:rsidR="00A55C29">
        <w:t xml:space="preserve"> also</w:t>
      </w:r>
      <w:r w:rsidR="00CC5218">
        <w:t xml:space="preserve"> indicate</w:t>
      </w:r>
      <w:r w:rsidR="00904036">
        <w:t>d</w:t>
      </w:r>
      <w:r w:rsidR="00E8430C">
        <w:t xml:space="preserve"> general satisfaction with assessment processes</w:t>
      </w:r>
      <w:r w:rsidR="00CC5218">
        <w:t>,</w:t>
      </w:r>
      <w:r w:rsidR="00E8430C">
        <w:t xml:space="preserve"> with </w:t>
      </w:r>
      <w:r w:rsidR="000F2E97">
        <w:t>around 90% of</w:t>
      </w:r>
      <w:r w:rsidR="0039128A">
        <w:t xml:space="preserve"> all</w:t>
      </w:r>
      <w:r w:rsidR="000F2E97">
        <w:t xml:space="preserve"> graduates of c</w:t>
      </w:r>
      <w:r w:rsidR="006B4DCD" w:rsidRPr="006B4DCD">
        <w:t>e</w:t>
      </w:r>
      <w:r w:rsidR="00CC5218">
        <w:t>rtificate III</w:t>
      </w:r>
      <w:r w:rsidR="000F2E97">
        <w:t>s</w:t>
      </w:r>
      <w:r w:rsidR="00CC5218">
        <w:t xml:space="preserve"> in </w:t>
      </w:r>
      <w:r w:rsidR="000F2E97">
        <w:t xml:space="preserve">aged care, </w:t>
      </w:r>
      <w:r w:rsidR="00CC5218">
        <w:t>a range of b</w:t>
      </w:r>
      <w:r w:rsidR="006B4DCD" w:rsidRPr="006B4DCD">
        <w:t>usiness c</w:t>
      </w:r>
      <w:r w:rsidR="00904036">
        <w:t>ourses</w:t>
      </w:r>
      <w:r w:rsidR="00395ABB">
        <w:t xml:space="preserve"> and e</w:t>
      </w:r>
      <w:r w:rsidR="006B4DCD" w:rsidRPr="006B4DCD">
        <w:t>lectro-technology highly satisfied with the way they ha</w:t>
      </w:r>
      <w:r w:rsidR="00395ABB">
        <w:t>d</w:t>
      </w:r>
      <w:r w:rsidR="006B4DCD" w:rsidRPr="006B4DCD">
        <w:t xml:space="preserve"> been assessed in their courses. This includes knowing how they would be assessed, the fairness of assessments, the regularity of assessments and the assessment being a good test of what was taught. The level of satisfaction with the </w:t>
      </w:r>
      <w:r w:rsidR="006B4DCD" w:rsidRPr="009F71FC">
        <w:t xml:space="preserve">amount of feedback received on assessment </w:t>
      </w:r>
      <w:r w:rsidR="00CC5218" w:rsidRPr="009F71FC">
        <w:t>attracted</w:t>
      </w:r>
      <w:r w:rsidR="006B4DCD" w:rsidRPr="009F71FC">
        <w:t xml:space="preserve"> the lowest ratings (83% for the total group and </w:t>
      </w:r>
      <w:r w:rsidR="00CC5218" w:rsidRPr="009F71FC">
        <w:t>around</w:t>
      </w:r>
      <w:r w:rsidR="0039128A">
        <w:t xml:space="preserve"> 78% for electrical</w:t>
      </w:r>
      <w:r w:rsidR="00590FB9">
        <w:t xml:space="preserve">, </w:t>
      </w:r>
      <w:r w:rsidR="0039128A">
        <w:t>8</w:t>
      </w:r>
      <w:r w:rsidR="006B4DCD" w:rsidRPr="009F71FC">
        <w:t>6% for business</w:t>
      </w:r>
      <w:r w:rsidR="0039128A">
        <w:t xml:space="preserve"> and 87% for aged care</w:t>
      </w:r>
      <w:r w:rsidR="006B4DCD" w:rsidRPr="009F71FC">
        <w:t xml:space="preserve">). </w:t>
      </w:r>
    </w:p>
    <w:p w:rsidR="00E8430C" w:rsidRPr="009F71FC" w:rsidRDefault="00E8430C" w:rsidP="009F71FC">
      <w:pPr>
        <w:pStyle w:val="Text"/>
      </w:pPr>
      <w:r w:rsidRPr="009F71FC">
        <w:t xml:space="preserve">The key assessment challenges </w:t>
      </w:r>
      <w:r w:rsidR="00904036" w:rsidRPr="009F71FC">
        <w:t xml:space="preserve">that trainers and assessors </w:t>
      </w:r>
      <w:r w:rsidRPr="009F71FC">
        <w:t xml:space="preserve">perceived </w:t>
      </w:r>
      <w:r w:rsidR="00395ABB" w:rsidRPr="009F71FC">
        <w:t xml:space="preserve">for themselves </w:t>
      </w:r>
      <w:r w:rsidR="00CC5218" w:rsidRPr="009F71FC">
        <w:t>relate to</w:t>
      </w:r>
      <w:r w:rsidRPr="009F71FC">
        <w:t xml:space="preserve"> arriving at </w:t>
      </w:r>
      <w:r w:rsidR="00CC5218" w:rsidRPr="009F71FC">
        <w:t>fair, valid and consistent judg</w:t>
      </w:r>
      <w:r w:rsidRPr="009F71FC">
        <w:t xml:space="preserve">ments and </w:t>
      </w:r>
      <w:r w:rsidR="00CC5218" w:rsidRPr="009F71FC">
        <w:t>having confidence in their judg</w:t>
      </w:r>
      <w:r w:rsidRPr="009F71FC">
        <w:t xml:space="preserve">ments about </w:t>
      </w:r>
      <w:r w:rsidR="00D52B39">
        <w:t>‘</w:t>
      </w:r>
      <w:r w:rsidRPr="009F71FC">
        <w:t>not competent</w:t>
      </w:r>
      <w:r w:rsidR="00D52B39">
        <w:t>’</w:t>
      </w:r>
      <w:r w:rsidRPr="009F71FC">
        <w:t xml:space="preserve"> performance. They also </w:t>
      </w:r>
      <w:r w:rsidR="000E5F7C" w:rsidRPr="009F71FC">
        <w:t xml:space="preserve">feel </w:t>
      </w:r>
      <w:r w:rsidRPr="009F71FC">
        <w:t xml:space="preserve">challenged by the need to ensure that their assessment tools keep pace with changing legislative frameworks and standards. </w:t>
      </w:r>
    </w:p>
    <w:p w:rsidR="00E8430C" w:rsidRPr="00E8430C" w:rsidRDefault="00E8430C" w:rsidP="006B6395">
      <w:pPr>
        <w:pStyle w:val="Text"/>
      </w:pPr>
      <w:r w:rsidRPr="009F71FC">
        <w:t>Teachers believe that the personal attributes of students also a</w:t>
      </w:r>
      <w:r w:rsidRPr="00E8430C">
        <w:t xml:space="preserve">ffect their ability to deliver quality assessments. These include </w:t>
      </w:r>
      <w:r w:rsidR="00395ABB">
        <w:t>students</w:t>
      </w:r>
      <w:r w:rsidR="00D52B39">
        <w:t>’</w:t>
      </w:r>
      <w:r w:rsidR="00395ABB">
        <w:t xml:space="preserve"> </w:t>
      </w:r>
      <w:r w:rsidRPr="00E8430C">
        <w:t>lack of commitment to le</w:t>
      </w:r>
      <w:r w:rsidR="00395ABB">
        <w:t>arning and their</w:t>
      </w:r>
      <w:r w:rsidRPr="00E8430C">
        <w:t xml:space="preserve"> inadequate knowledge</w:t>
      </w:r>
      <w:r w:rsidR="009F71FC">
        <w:t> </w:t>
      </w:r>
      <w:r w:rsidRPr="00E8430C">
        <w:t>of content (especially theory in electrical and business courses, and manual handling in aged</w:t>
      </w:r>
      <w:r w:rsidR="009F71FC">
        <w:t> </w:t>
      </w:r>
      <w:r w:rsidRPr="00E8430C">
        <w:t xml:space="preserve">care courses), poor language and literacy skills, and difficulties in </w:t>
      </w:r>
      <w:r w:rsidR="00CC5218">
        <w:t>demonstrating</w:t>
      </w:r>
      <w:r w:rsidRPr="00E8430C">
        <w:t xml:space="preserve"> </w:t>
      </w:r>
      <w:r w:rsidR="006B6395" w:rsidRPr="00E8430C">
        <w:t xml:space="preserve">in assessments </w:t>
      </w:r>
      <w:r w:rsidRPr="00E8430C">
        <w:t>what they can do</w:t>
      </w:r>
      <w:r w:rsidR="000E5F7C">
        <w:t>.</w:t>
      </w:r>
    </w:p>
    <w:p w:rsidR="00E8430C" w:rsidRPr="006B4DCD" w:rsidRDefault="00E8430C" w:rsidP="006B4DCD">
      <w:pPr>
        <w:pStyle w:val="Text"/>
      </w:pPr>
    </w:p>
    <w:p w:rsidR="00D97C23" w:rsidRDefault="00D97C23" w:rsidP="00D20D5F">
      <w:pPr>
        <w:pStyle w:val="Text"/>
        <w:rPr>
          <w:color w:val="000000"/>
        </w:rPr>
      </w:pPr>
      <w:r>
        <w:rPr>
          <w:color w:val="000000"/>
        </w:rPr>
        <w:br w:type="page"/>
      </w:r>
    </w:p>
    <w:p w:rsidR="009E231A" w:rsidRDefault="000E408A" w:rsidP="009F71FC">
      <w:pPr>
        <w:pStyle w:val="Heading1"/>
      </w:pPr>
      <w:bookmarkStart w:id="37" w:name="_Toc381103173"/>
      <w:r>
        <w:lastRenderedPageBreak/>
        <w:t>Introduction</w:t>
      </w:r>
      <w:bookmarkEnd w:id="37"/>
    </w:p>
    <w:p w:rsidR="00D16CF6" w:rsidRPr="009F71FC" w:rsidRDefault="00D16CF6" w:rsidP="009F71FC">
      <w:pPr>
        <w:pStyle w:val="Text"/>
      </w:pPr>
      <w:r>
        <w:t xml:space="preserve">In recent years the quality and rigour of assessments in </w:t>
      </w:r>
      <w:r w:rsidR="00A53533">
        <w:t>vocational education and training</w:t>
      </w:r>
      <w:r>
        <w:t xml:space="preserve"> have been </w:t>
      </w:r>
      <w:r w:rsidR="00FB4301">
        <w:t>key concerns of</w:t>
      </w:r>
      <w:r>
        <w:t xml:space="preserve"> VET policy-makers, industry stakeholders, employers and teachers </w:t>
      </w:r>
      <w:r w:rsidRPr="00B939E1">
        <w:t>and trainers.</w:t>
      </w:r>
      <w:r w:rsidR="00E3166C">
        <w:t xml:space="preserve"> </w:t>
      </w:r>
      <w:r w:rsidRPr="00B939E1">
        <w:t>These concerns have</w:t>
      </w:r>
      <w:r>
        <w:t xml:space="preserve"> often been fuelled by perceptions that some providers in the sector are taking short cuts to qualifications. This has </w:t>
      </w:r>
      <w:r w:rsidRPr="00B939E1">
        <w:t>put into question the credibility of VET qualifications and the competence of graduates who hold these qualifications.</w:t>
      </w:r>
      <w:r>
        <w:t xml:space="preserve"> </w:t>
      </w:r>
      <w:r w:rsidRPr="00B939E1">
        <w:t>Assessment experts and commentators have identified the main issues as</w:t>
      </w:r>
      <w:r w:rsidR="00A53533">
        <w:t>:</w:t>
      </w:r>
      <w:r w:rsidRPr="00B939E1">
        <w:t xml:space="preserve"> the lack of systematic and regular moderation and validation practices in training systems to ensure the consiste</w:t>
      </w:r>
      <w:r w:rsidR="00FB4301">
        <w:t>ncy and validity of assessments</w:t>
      </w:r>
      <w:r w:rsidR="00A53533">
        <w:t>;</w:t>
      </w:r>
      <w:r w:rsidRPr="00B939E1">
        <w:t xml:space="preserve"> and the lack of knowledge among VET practitioners about the process</w:t>
      </w:r>
      <w:r w:rsidR="002A6852">
        <w:t>es</w:t>
      </w:r>
      <w:r w:rsidRPr="00B939E1">
        <w:t xml:space="preserve"> and </w:t>
      </w:r>
      <w:r w:rsidRPr="009F71FC">
        <w:t xml:space="preserve">techniques of assessment. </w:t>
      </w:r>
    </w:p>
    <w:p w:rsidR="00D16CF6" w:rsidRPr="009F71FC" w:rsidRDefault="00D16CF6" w:rsidP="009F71FC">
      <w:pPr>
        <w:pStyle w:val="Text"/>
      </w:pPr>
      <w:r w:rsidRPr="009F71FC">
        <w:t>A recent small-scale study</w:t>
      </w:r>
      <w:r w:rsidR="00CC5218" w:rsidRPr="009F71FC">
        <w:t xml:space="preserve"> (Halliday-Wynes &amp; Misko 2013)</w:t>
      </w:r>
      <w:r w:rsidR="00E3166C" w:rsidRPr="009F71FC">
        <w:t xml:space="preserve"> </w:t>
      </w:r>
      <w:r w:rsidRPr="009F71FC">
        <w:t xml:space="preserve">by researchers from </w:t>
      </w:r>
      <w:r w:rsidR="00FB4301" w:rsidRPr="009F71FC">
        <w:t>NCVER</w:t>
      </w:r>
      <w:r w:rsidRPr="009F71FC">
        <w:t xml:space="preserve"> looked at assessment approaches being used by private and public providers in three Aus</w:t>
      </w:r>
      <w:r w:rsidR="00FB4301" w:rsidRPr="009F71FC">
        <w:t>tralian states. The study focus</w:t>
      </w:r>
      <w:r w:rsidRPr="009F71FC">
        <w:t xml:space="preserve">ed on providers delivering qualifications in </w:t>
      </w:r>
      <w:r w:rsidR="00FB4301" w:rsidRPr="009F71FC">
        <w:t>the aged care and child</w:t>
      </w:r>
      <w:r w:rsidRPr="009F71FC">
        <w:t>care sectors</w:t>
      </w:r>
      <w:r w:rsidR="00FB4301" w:rsidRPr="009F71FC">
        <w:t>,</w:t>
      </w:r>
      <w:r w:rsidRPr="009F71FC">
        <w:t xml:space="preserve"> where there has been a push to get large groups of workers to a</w:t>
      </w:r>
      <w:r w:rsidR="00FB4301" w:rsidRPr="009F71FC">
        <w:t>cquire</w:t>
      </w:r>
      <w:r w:rsidRPr="009F71FC">
        <w:t xml:space="preserve"> or upgrade qualifications or specific units of competence to meet regulatory requirements. </w:t>
      </w:r>
      <w:r w:rsidR="00FB4301" w:rsidRPr="009F71FC">
        <w:t>The study</w:t>
      </w:r>
      <w:r w:rsidRPr="009F71FC">
        <w:t xml:space="preserve"> also investigated issues </w:t>
      </w:r>
      <w:r w:rsidR="00FB4301" w:rsidRPr="009F71FC">
        <w:t xml:space="preserve">relating to </w:t>
      </w:r>
      <w:r w:rsidRPr="009F71FC">
        <w:t xml:space="preserve">the delivery of training and assessment qualifications. The research found that there was some apprehension among training providers and industry </w:t>
      </w:r>
      <w:r w:rsidR="00FB4301" w:rsidRPr="009F71FC">
        <w:t>about</w:t>
      </w:r>
      <w:r w:rsidRPr="009F71FC">
        <w:t xml:space="preserve"> the rigour and consistency of assessments, including </w:t>
      </w:r>
      <w:r w:rsidR="00FB4301" w:rsidRPr="009F71FC">
        <w:t xml:space="preserve">the </w:t>
      </w:r>
      <w:r w:rsidRPr="009F71FC">
        <w:t>recognition of prior learning.</w:t>
      </w:r>
    </w:p>
    <w:p w:rsidR="00D16CF6" w:rsidRPr="009F71FC" w:rsidRDefault="00D16CF6" w:rsidP="009F71FC">
      <w:pPr>
        <w:pStyle w:val="Text"/>
      </w:pPr>
      <w:r w:rsidRPr="009F71FC">
        <w:t>This research aims to build on the findings of th</w:t>
      </w:r>
      <w:r w:rsidR="002A6852">
        <w:t>e earlier</w:t>
      </w:r>
      <w:r w:rsidRPr="009F71FC">
        <w:t xml:space="preserve"> study by looking at the knowledge and assessment practices used by trainers and assessors from a much larger sample of public and private </w:t>
      </w:r>
      <w:r w:rsidR="003F756A" w:rsidRPr="009F71FC">
        <w:t>registered training organisation</w:t>
      </w:r>
      <w:r w:rsidRPr="009F71FC">
        <w:t>s. Its objective is to better understand the extent to which quality assessments are implemented in qualifications in aged care, business services, electro-technology (mainly electric</w:t>
      </w:r>
      <w:r w:rsidR="00FB4301" w:rsidRPr="009F71FC">
        <w:t>al) and training and assessment</w:t>
      </w:r>
      <w:r w:rsidRPr="009F71FC">
        <w:t xml:space="preserve">. Information </w:t>
      </w:r>
      <w:r w:rsidR="002A6852">
        <w:t>w</w:t>
      </w:r>
      <w:r w:rsidRPr="009F71FC">
        <w:t>as collected via in-person and telephone interviews with education and training practitioners</w:t>
      </w:r>
      <w:r w:rsidRPr="009F71FC">
        <w:rPr>
          <w:rStyle w:val="FootnoteReference"/>
        </w:rPr>
        <w:footnoteReference w:id="4"/>
      </w:r>
      <w:r w:rsidR="00FB4301" w:rsidRPr="009F71FC">
        <w:t xml:space="preserve"> and students</w:t>
      </w:r>
      <w:r w:rsidR="00BE3E02" w:rsidRPr="009F71FC">
        <w:t xml:space="preserve"> </w:t>
      </w:r>
      <w:r w:rsidR="009F71FC">
        <w:t>and personnel involved in the national independent validation pilots</w:t>
      </w:r>
      <w:r w:rsidR="00FB4301" w:rsidRPr="009F71FC">
        <w:t>. Desk</w:t>
      </w:r>
      <w:r w:rsidRPr="009F71FC">
        <w:t xml:space="preserve">top research approaches </w:t>
      </w:r>
      <w:r w:rsidR="002A6852">
        <w:t>we</w:t>
      </w:r>
      <w:r w:rsidRPr="009F71FC">
        <w:t>re used to investigate provider promotion of training and educa</w:t>
      </w:r>
      <w:r w:rsidR="00FB4301" w:rsidRPr="009F71FC">
        <w:t>tion courses and</w:t>
      </w:r>
      <w:r w:rsidRPr="009F71FC">
        <w:t xml:space="preserve"> </w:t>
      </w:r>
      <w:r w:rsidR="00BE3E02" w:rsidRPr="009F71FC">
        <w:t xml:space="preserve">to </w:t>
      </w:r>
      <w:r w:rsidRPr="009F71FC">
        <w:t xml:space="preserve">conduct analyses of the uptake of </w:t>
      </w:r>
      <w:r w:rsidR="00FB4301" w:rsidRPr="009F71FC">
        <w:t>recognition processes</w:t>
      </w:r>
      <w:r w:rsidRPr="009F71FC">
        <w:t xml:space="preserve"> and course durations. A mystery shopping exercise </w:t>
      </w:r>
      <w:r w:rsidR="002A6852">
        <w:t>wa</w:t>
      </w:r>
      <w:r w:rsidRPr="009F71FC">
        <w:t>s used to obtain more detailed information on the various lengths of courses in the aged care and training and education qualifications. Information from the Students O</w:t>
      </w:r>
      <w:r w:rsidR="00461D6B" w:rsidRPr="009F71FC">
        <w:t xml:space="preserve">utcomes Survey </w:t>
      </w:r>
      <w:r w:rsidR="002A6852">
        <w:t>wa</w:t>
      </w:r>
      <w:r w:rsidR="00D20D5F" w:rsidRPr="009F71FC">
        <w:t>s</w:t>
      </w:r>
      <w:r w:rsidR="00461D6B" w:rsidRPr="009F71FC">
        <w:t xml:space="preserve"> used to report on graduate satisfaction with different aspects of assessment</w:t>
      </w:r>
      <w:r w:rsidRPr="009F71FC">
        <w:t xml:space="preserve"> </w:t>
      </w:r>
      <w:r w:rsidR="00461D6B" w:rsidRPr="009F71FC">
        <w:t>experience.</w:t>
      </w:r>
      <w:r w:rsidRPr="009F71FC">
        <w:t xml:space="preserve"> </w:t>
      </w:r>
    </w:p>
    <w:p w:rsidR="00D16CF6" w:rsidRDefault="00D16CF6" w:rsidP="009F71FC">
      <w:pPr>
        <w:pStyle w:val="Text"/>
      </w:pPr>
      <w:r w:rsidRPr="009F71FC">
        <w:t>We collect</w:t>
      </w:r>
      <w:r w:rsidR="002A6852">
        <w:t>ed</w:t>
      </w:r>
      <w:r w:rsidRPr="009F71FC">
        <w:t xml:space="preserve"> this information from public and private</w:t>
      </w:r>
      <w:r>
        <w:t xml:space="preserve"> training providers in South Austr</w:t>
      </w:r>
      <w:r w:rsidR="0002022C">
        <w:t>alia, Victoria, New South Wales</w:t>
      </w:r>
      <w:r>
        <w:t xml:space="preserve"> and Queensland.</w:t>
      </w:r>
      <w:r w:rsidR="00E3166C">
        <w:t xml:space="preserve"> </w:t>
      </w:r>
      <w:r>
        <w:t xml:space="preserve">The following research questions guided the collection and analysis of information. </w:t>
      </w:r>
    </w:p>
    <w:p w:rsidR="00D16CF6" w:rsidRDefault="00D16CF6" w:rsidP="009F71FC">
      <w:pPr>
        <w:pStyle w:val="Dotpoint1"/>
      </w:pPr>
      <w:r>
        <w:t xml:space="preserve">What do practitioners understand about the need for quality assessments, including consistency and validity? </w:t>
      </w:r>
    </w:p>
    <w:p w:rsidR="00D16CF6" w:rsidRDefault="00D16CF6" w:rsidP="009F71FC">
      <w:pPr>
        <w:pStyle w:val="Dotpoint1"/>
      </w:pPr>
      <w:r>
        <w:t>To what</w:t>
      </w:r>
      <w:r w:rsidR="0002022C">
        <w:t xml:space="preserve"> extent do organisations practis</w:t>
      </w:r>
      <w:r>
        <w:t>e external validation throug</w:t>
      </w:r>
      <w:r w:rsidR="0002022C">
        <w:t>h the use of external assessors</w:t>
      </w:r>
      <w:r>
        <w:t xml:space="preserve"> and industry stakeholders (especially employers)? Are there any issues for involving employers in assessments?</w:t>
      </w:r>
    </w:p>
    <w:p w:rsidR="00D16CF6" w:rsidRDefault="00D16CF6" w:rsidP="009F71FC">
      <w:pPr>
        <w:pStyle w:val="Dotpoint1"/>
      </w:pPr>
      <w:r>
        <w:t xml:space="preserve">What is the uptake of </w:t>
      </w:r>
      <w:r w:rsidR="0002022C">
        <w:t>recognition of prior learning</w:t>
      </w:r>
      <w:r>
        <w:t xml:space="preserve"> assessments? To what extent are streamlined approaches to RPL being applied</w:t>
      </w:r>
      <w:r w:rsidR="00D20D5F">
        <w:t>?</w:t>
      </w:r>
    </w:p>
    <w:p w:rsidR="00D16CF6" w:rsidRDefault="00D16CF6" w:rsidP="009F71FC">
      <w:pPr>
        <w:pStyle w:val="Dotpoint1"/>
      </w:pPr>
      <w:r>
        <w:lastRenderedPageBreak/>
        <w:t>H</w:t>
      </w:r>
      <w:r w:rsidR="0002022C">
        <w:t>ow prevalent are condensed time</w:t>
      </w:r>
      <w:r>
        <w:t xml:space="preserve">frames for the delivery of aged care and training and assessment qualifications? </w:t>
      </w:r>
      <w:r w:rsidR="00BE3E02">
        <w:t>Is</w:t>
      </w:r>
      <w:r>
        <w:t xml:space="preserve"> there any ju</w:t>
      </w:r>
      <w:r w:rsidR="00BE3E02">
        <w:t>stification</w:t>
      </w:r>
      <w:r>
        <w:t xml:space="preserve"> for condensing </w:t>
      </w:r>
      <w:r w:rsidR="0002022C">
        <w:t xml:space="preserve">the length of </w:t>
      </w:r>
      <w:r>
        <w:t>course</w:t>
      </w:r>
      <w:r w:rsidR="0002022C">
        <w:t>s</w:t>
      </w:r>
      <w:r>
        <w:t xml:space="preserve">? </w:t>
      </w:r>
    </w:p>
    <w:p w:rsidR="00F7578B" w:rsidRDefault="00D16CF6" w:rsidP="00F7578B">
      <w:pPr>
        <w:pStyle w:val="Heading2"/>
      </w:pPr>
      <w:bookmarkStart w:id="38" w:name="_Toc381103174"/>
      <w:r>
        <w:t>Context</w:t>
      </w:r>
      <w:bookmarkEnd w:id="38"/>
    </w:p>
    <w:p w:rsidR="00AB74C4" w:rsidRDefault="00AB74C4" w:rsidP="00AB74C4">
      <w:pPr>
        <w:pStyle w:val="Text"/>
      </w:pPr>
      <w:r>
        <w:t xml:space="preserve">A range of National Quality Council publications dealing with the quality of assessment have identified </w:t>
      </w:r>
      <w:r w:rsidR="0002022C">
        <w:t xml:space="preserve">various </w:t>
      </w:r>
      <w:r>
        <w:t>interventions that c</w:t>
      </w:r>
      <w:r w:rsidR="0002022C">
        <w:t>ould</w:t>
      </w:r>
      <w:r>
        <w:t xml:space="preserve"> be implemented</w:t>
      </w:r>
      <w:r w:rsidR="00CB7597">
        <w:t xml:space="preserve"> to improve the quality of assessment in </w:t>
      </w:r>
      <w:r w:rsidR="0002022C">
        <w:t>vocational education and training</w:t>
      </w:r>
      <w:r>
        <w:t xml:space="preserve">. The report </w:t>
      </w:r>
      <w:r w:rsidRPr="0011301A">
        <w:rPr>
          <w:i/>
        </w:rPr>
        <w:t xml:space="preserve">Investigation into </w:t>
      </w:r>
      <w:r>
        <w:rPr>
          <w:i/>
        </w:rPr>
        <w:t>i</w:t>
      </w:r>
      <w:r w:rsidRPr="0011301A">
        <w:rPr>
          <w:i/>
        </w:rPr>
        <w:t xml:space="preserve">ndustry </w:t>
      </w:r>
      <w:r>
        <w:rPr>
          <w:i/>
        </w:rPr>
        <w:t>e</w:t>
      </w:r>
      <w:r w:rsidRPr="0011301A">
        <w:rPr>
          <w:i/>
        </w:rPr>
        <w:t xml:space="preserve">xpectations of </w:t>
      </w:r>
      <w:r>
        <w:rPr>
          <w:i/>
        </w:rPr>
        <w:t>vocational education and training</w:t>
      </w:r>
      <w:r w:rsidRPr="0011301A">
        <w:rPr>
          <w:i/>
        </w:rPr>
        <w:t xml:space="preserve"> assessment: </w:t>
      </w:r>
      <w:r>
        <w:rPr>
          <w:i/>
        </w:rPr>
        <w:t>f</w:t>
      </w:r>
      <w:r w:rsidRPr="0011301A">
        <w:rPr>
          <w:i/>
        </w:rPr>
        <w:t>inal report</w:t>
      </w:r>
      <w:r>
        <w:t xml:space="preserve"> (National Quality Council 2008)</w:t>
      </w:r>
      <w:r w:rsidR="00BE3E02">
        <w:t xml:space="preserve"> </w:t>
      </w:r>
      <w:r>
        <w:t xml:space="preserve">provides information on what are considered to be the key elements of an ideal system of assessment. These are: </w:t>
      </w:r>
      <w:r w:rsidR="007879A4">
        <w:t>training package</w:t>
      </w:r>
      <w:r>
        <w:t xml:space="preserve"> development</w:t>
      </w:r>
      <w:r w:rsidR="007879A4">
        <w:t>,</w:t>
      </w:r>
      <w:r>
        <w:t xml:space="preserve"> including the p</w:t>
      </w:r>
      <w:r w:rsidR="007879A4">
        <w:t>rioritisation of critical units;</w:t>
      </w:r>
      <w:r>
        <w:t xml:space="preserve"> training and ongoing profes</w:t>
      </w:r>
      <w:r w:rsidR="002A6852">
        <w:t xml:space="preserve">sional development </w:t>
      </w:r>
      <w:r w:rsidR="007879A4">
        <w:t>f</w:t>
      </w:r>
      <w:r w:rsidR="002A6852">
        <w:t>or</w:t>
      </w:r>
      <w:r w:rsidR="007879A4">
        <w:t xml:space="preserve"> assessors; validation and/or moderation;</w:t>
      </w:r>
      <w:r>
        <w:t xml:space="preserve"> and a formal relationship between </w:t>
      </w:r>
      <w:r w:rsidR="003F756A">
        <w:t>registered training organisation</w:t>
      </w:r>
      <w:r w:rsidR="007879A4">
        <w:t>s</w:t>
      </w:r>
      <w:r>
        <w:t xml:space="preserve"> and enterprises (for current employees undertaking training). </w:t>
      </w:r>
    </w:p>
    <w:p w:rsidR="00AB74C4" w:rsidRDefault="00AB74C4" w:rsidP="00AB74C4">
      <w:pPr>
        <w:pStyle w:val="Text"/>
      </w:pPr>
      <w:r w:rsidRPr="00D97C23">
        <w:t>In Australia substantial research and work in the area of assessment</w:t>
      </w:r>
      <w:r w:rsidR="002A6852">
        <w:t>,</w:t>
      </w:r>
      <w:r w:rsidRPr="00D97C23">
        <w:t xml:space="preserve"> via validation and moderation techniques</w:t>
      </w:r>
      <w:r w:rsidR="002A6852">
        <w:t>,</w:t>
      </w:r>
      <w:r w:rsidR="00BE3E02">
        <w:t xml:space="preserve"> and its improvement</w:t>
      </w:r>
      <w:r w:rsidRPr="00D97C23">
        <w:t xml:space="preserve"> has been undertaken by researchers from the Work-based Education Research Centre of Victoria University in conjunction with Bateman and Giles Pty Ltd. Their report (National Quality Council </w:t>
      </w:r>
      <w:r w:rsidR="00432FC9" w:rsidRPr="009F71FC">
        <w:t>2009a)</w:t>
      </w:r>
      <w:r w:rsidRPr="00D97C23">
        <w:t xml:space="preserve"> provides the rationale </w:t>
      </w:r>
      <w:r w:rsidR="00D20D5F">
        <w:t xml:space="preserve">for </w:t>
      </w:r>
      <w:r w:rsidRPr="00D97C23">
        <w:t>introducing a code for profess</w:t>
      </w:r>
      <w:r w:rsidR="007879A4">
        <w:t>ional practice. It also emphasis</w:t>
      </w:r>
      <w:r w:rsidRPr="00D97C23">
        <w:t>es the importance of providing assessors with the underpinning theoretical and technical knowledg</w:t>
      </w:r>
      <w:r w:rsidR="007879A4">
        <w:t xml:space="preserve">e to </w:t>
      </w:r>
      <w:r w:rsidR="00432FC9">
        <w:t>enable</w:t>
      </w:r>
      <w:r w:rsidR="007879A4">
        <w:t xml:space="preserve"> rigorous assessments</w:t>
      </w:r>
      <w:r w:rsidR="00432FC9">
        <w:t>, as well as</w:t>
      </w:r>
      <w:r w:rsidRPr="00D97C23">
        <w:t xml:space="preserve"> guidance on how best to go about conducting moderation and </w:t>
      </w:r>
      <w:r w:rsidR="007879A4">
        <w:t>validation exercises. A number of high-</w:t>
      </w:r>
      <w:r w:rsidRPr="00D97C23">
        <w:t xml:space="preserve">level principles for validation and moderation </w:t>
      </w:r>
      <w:r w:rsidR="007879A4">
        <w:t>were developed</w:t>
      </w:r>
      <w:r w:rsidRPr="00D97C23">
        <w:t xml:space="preserve"> around six elements. These principles are </w:t>
      </w:r>
      <w:r w:rsidR="00432FC9">
        <w:t>concerned with</w:t>
      </w:r>
      <w:r w:rsidRPr="00D97C23">
        <w:t xml:space="preserve"> </w:t>
      </w:r>
      <w:r w:rsidR="007879A4">
        <w:t>ensuring that the processes are</w:t>
      </w:r>
      <w:r w:rsidRPr="00D97C23">
        <w:t xml:space="preserve"> transparent, representative, confidential, educative, equitable, and tolerable.</w:t>
      </w:r>
      <w:r>
        <w:rPr>
          <w:rStyle w:val="FootnoteReference"/>
        </w:rPr>
        <w:footnoteReference w:id="5"/>
      </w:r>
      <w:r>
        <w:t xml:space="preserve"> </w:t>
      </w:r>
    </w:p>
    <w:p w:rsidR="00F7578B" w:rsidRDefault="00D20D5F" w:rsidP="00250161">
      <w:pPr>
        <w:pStyle w:val="Text"/>
      </w:pPr>
      <w:r>
        <w:t xml:space="preserve">Halliday-Wynes </w:t>
      </w:r>
      <w:r w:rsidR="007879A4">
        <w:t>and</w:t>
      </w:r>
      <w:r>
        <w:t xml:space="preserve"> Misko </w:t>
      </w:r>
      <w:r w:rsidR="007879A4">
        <w:t xml:space="preserve">(2013) </w:t>
      </w:r>
      <w:r>
        <w:t xml:space="preserve">found that </w:t>
      </w:r>
      <w:r w:rsidRPr="00B82AD7">
        <w:t>practitioners believed t</w:t>
      </w:r>
      <w:r w:rsidR="00AB74C4" w:rsidRPr="001911D5">
        <w:t xml:space="preserve">hat courses of </w:t>
      </w:r>
      <w:r w:rsidR="00CA563E">
        <w:t>short duration</w:t>
      </w:r>
      <w:r w:rsidR="00432FC9">
        <w:t>,</w:t>
      </w:r>
      <w:r w:rsidR="00CA563E">
        <w:t xml:space="preserve"> coupled with insufficient volume of training</w:t>
      </w:r>
      <w:r w:rsidR="00432FC9">
        <w:t>,</w:t>
      </w:r>
      <w:r w:rsidR="00CA563E">
        <w:t xml:space="preserve"> also increased the risk of poor skills acquisition and rigour in assessment, including for entry-level teachers and trainers. Screening</w:t>
      </w:r>
      <w:r w:rsidR="00AB74C4">
        <w:t xml:space="preserve"> students for selection into courses in areas </w:t>
      </w:r>
      <w:r w:rsidR="007879A4">
        <w:t>such as</w:t>
      </w:r>
      <w:r w:rsidR="00AB74C4">
        <w:t xml:space="preserve"> childcare and aged care</w:t>
      </w:r>
      <w:r w:rsidR="007879A4">
        <w:t>,</w:t>
      </w:r>
      <w:r w:rsidR="00AB74C4">
        <w:t xml:space="preserve"> where personal attributes, including motivation</w:t>
      </w:r>
      <w:r w:rsidR="00250161">
        <w:t> </w:t>
      </w:r>
      <w:r w:rsidR="00AB74C4">
        <w:t xml:space="preserve">and interest </w:t>
      </w:r>
      <w:r w:rsidR="00432FC9">
        <w:t>in</w:t>
      </w:r>
      <w:r w:rsidR="00AB74C4">
        <w:t xml:space="preserve"> work</w:t>
      </w:r>
      <w:r w:rsidR="00432FC9">
        <w:t>ing</w:t>
      </w:r>
      <w:r w:rsidR="00AB74C4">
        <w:t xml:space="preserve"> in caring occupations, were felt to be essential. The </w:t>
      </w:r>
      <w:r w:rsidR="00F72676">
        <w:t>lack of</w:t>
      </w:r>
      <w:r w:rsidR="00AB74C4">
        <w:t xml:space="preserve"> </w:t>
      </w:r>
      <w:r w:rsidR="00F72676">
        <w:t xml:space="preserve">student screening arrangements </w:t>
      </w:r>
      <w:r w:rsidR="00AB74C4">
        <w:t xml:space="preserve">was </w:t>
      </w:r>
      <w:r w:rsidR="00F72676">
        <w:t>perceived</w:t>
      </w:r>
      <w:r w:rsidR="00AB74C4">
        <w:t xml:space="preserve"> to compromise the quality of both </w:t>
      </w:r>
      <w:r w:rsidR="00AB74C4" w:rsidRPr="00250161">
        <w:t>training</w:t>
      </w:r>
      <w:r w:rsidR="00AB74C4">
        <w:t xml:space="preserve"> and assessment. A lack of systemic validation and moderation processes within and between providers and</w:t>
      </w:r>
      <w:r w:rsidR="00250161">
        <w:t> </w:t>
      </w:r>
      <w:r w:rsidR="00AB74C4">
        <w:t>training systems w</w:t>
      </w:r>
      <w:r w:rsidR="00CA5799">
        <w:t>as</w:t>
      </w:r>
      <w:r w:rsidR="00AB74C4">
        <w:t xml:space="preserve"> perceived to reduce the level of confidence in the comparability and accuracy of assessments. The regular involvement of employers in assessments, including off-the-job assessments</w:t>
      </w:r>
      <w:r w:rsidR="00CA5799">
        <w:t>,</w:t>
      </w:r>
      <w:r w:rsidR="00AB74C4">
        <w:t xml:space="preserve"> needed to be encouraged. </w:t>
      </w:r>
    </w:p>
    <w:p w:rsidR="00F7578B" w:rsidRDefault="00F7578B" w:rsidP="00F7578B">
      <w:pPr>
        <w:pStyle w:val="Text"/>
        <w:ind w:right="-369"/>
        <w:rPr>
          <w:rStyle w:val="Heading3Char"/>
          <w:rFonts w:ascii="Trebuchet MS" w:hAnsi="Trebuchet MS" w:cs="Times New Roman"/>
          <w:color w:val="auto"/>
          <w:sz w:val="19"/>
        </w:rPr>
      </w:pPr>
      <w:r w:rsidRPr="00724DE5">
        <w:t xml:space="preserve">Critics of the </w:t>
      </w:r>
      <w:r w:rsidR="00CA5799">
        <w:t>Certificate</w:t>
      </w:r>
      <w:r w:rsidR="006404B0">
        <w:t xml:space="preserve"> IV</w:t>
      </w:r>
      <w:r w:rsidR="00CA5799">
        <w:t xml:space="preserve"> in Training and Assessment</w:t>
      </w:r>
      <w:r>
        <w:t xml:space="preserve"> and its forerunners</w:t>
      </w:r>
      <w:r w:rsidRPr="00724DE5">
        <w:t xml:space="preserve"> not only question </w:t>
      </w:r>
      <w:r>
        <w:t>the qualification</w:t>
      </w:r>
      <w:r w:rsidR="00D52B39">
        <w:t>’</w:t>
      </w:r>
      <w:r>
        <w:t xml:space="preserve">s </w:t>
      </w:r>
      <w:r w:rsidR="00D20D5F">
        <w:t>suitability</w:t>
      </w:r>
      <w:r w:rsidRPr="00724DE5">
        <w:t xml:space="preserve"> to adequately prepare teachers and trainers with the appropriate pedagogy but also its focus on assessm</w:t>
      </w:r>
      <w:r w:rsidR="00CA5799">
        <w:t>ent theory and practice at the c</w:t>
      </w:r>
      <w:r w:rsidRPr="00724DE5">
        <w:t xml:space="preserve">ertificate IV level. Clayton </w:t>
      </w:r>
      <w:r>
        <w:t>(</w:t>
      </w:r>
      <w:r w:rsidRPr="00724DE5">
        <w:t xml:space="preserve">2009) has noted the need to increase the confidence of the sector and its stakeholders in the quality of the assessment. However, she also believes that confidence in assessment is also reliant on </w:t>
      </w:r>
      <w:r w:rsidR="00D52B39">
        <w:t>‘</w:t>
      </w:r>
      <w:r w:rsidRPr="00724DE5">
        <w:rPr>
          <w:rStyle w:val="Heading3Char"/>
          <w:rFonts w:ascii="Trebuchet MS" w:hAnsi="Trebuchet MS" w:cs="Times New Roman"/>
          <w:color w:val="auto"/>
          <w:sz w:val="19"/>
        </w:rPr>
        <w:t>a quality candidate being trained by a quality trainer</w:t>
      </w:r>
      <w:r w:rsidR="00D52B39">
        <w:rPr>
          <w:rStyle w:val="Heading3Char"/>
          <w:rFonts w:ascii="Trebuchet MS" w:hAnsi="Trebuchet MS" w:cs="Times New Roman"/>
          <w:color w:val="auto"/>
          <w:sz w:val="19"/>
        </w:rPr>
        <w:t>’</w:t>
      </w:r>
      <w:r w:rsidRPr="00724DE5">
        <w:rPr>
          <w:rStyle w:val="Heading3Char"/>
          <w:rFonts w:ascii="Trebuchet MS" w:hAnsi="Trebuchet MS" w:cs="Times New Roman"/>
          <w:color w:val="auto"/>
          <w:sz w:val="19"/>
        </w:rPr>
        <w:t xml:space="preserve">. In her opinion a quality trainer is one </w:t>
      </w:r>
      <w:r w:rsidR="00CA5799">
        <w:rPr>
          <w:rStyle w:val="Heading3Char"/>
          <w:rFonts w:ascii="Trebuchet MS" w:hAnsi="Trebuchet MS" w:cs="Times New Roman"/>
          <w:color w:val="auto"/>
          <w:sz w:val="19"/>
        </w:rPr>
        <w:t>with</w:t>
      </w:r>
      <w:r w:rsidRPr="00724DE5">
        <w:rPr>
          <w:rStyle w:val="Heading3Char"/>
          <w:rFonts w:ascii="Trebuchet MS" w:hAnsi="Trebuchet MS" w:cs="Times New Roman"/>
          <w:color w:val="auto"/>
          <w:sz w:val="19"/>
        </w:rPr>
        <w:t xml:space="preserve"> a </w:t>
      </w:r>
      <w:r w:rsidR="00D52B39">
        <w:rPr>
          <w:rStyle w:val="Heading3Char"/>
          <w:rFonts w:ascii="Trebuchet MS" w:hAnsi="Trebuchet MS" w:cs="Times New Roman"/>
          <w:color w:val="auto"/>
          <w:sz w:val="19"/>
        </w:rPr>
        <w:t>‘</w:t>
      </w:r>
      <w:r w:rsidRPr="00724DE5">
        <w:rPr>
          <w:rStyle w:val="Heading3Char"/>
          <w:rFonts w:ascii="Trebuchet MS" w:hAnsi="Trebuchet MS" w:cs="Times New Roman"/>
          <w:color w:val="auto"/>
          <w:sz w:val="19"/>
        </w:rPr>
        <w:t>thorough understanding of assessment practices</w:t>
      </w:r>
      <w:r w:rsidR="00D52B39">
        <w:rPr>
          <w:rStyle w:val="Heading3Char"/>
          <w:rFonts w:ascii="Trebuchet MS" w:hAnsi="Trebuchet MS" w:cs="Times New Roman"/>
          <w:color w:val="auto"/>
          <w:sz w:val="19"/>
        </w:rPr>
        <w:t>’</w:t>
      </w:r>
      <w:r w:rsidRPr="00724DE5">
        <w:rPr>
          <w:rStyle w:val="Heading3Char"/>
          <w:rFonts w:ascii="Trebuchet MS" w:hAnsi="Trebuchet MS" w:cs="Times New Roman"/>
          <w:color w:val="auto"/>
          <w:sz w:val="19"/>
        </w:rPr>
        <w:t xml:space="preserve"> and </w:t>
      </w:r>
      <w:r w:rsidR="00CA5799">
        <w:rPr>
          <w:rStyle w:val="Heading3Char"/>
          <w:rFonts w:ascii="Trebuchet MS" w:hAnsi="Trebuchet MS" w:cs="Times New Roman"/>
          <w:color w:val="auto"/>
          <w:sz w:val="19"/>
        </w:rPr>
        <w:t xml:space="preserve">she believes </w:t>
      </w:r>
      <w:r w:rsidRPr="00724DE5">
        <w:rPr>
          <w:rStyle w:val="Heading3Char"/>
          <w:rFonts w:ascii="Trebuchet MS" w:hAnsi="Trebuchet MS" w:cs="Times New Roman"/>
          <w:color w:val="auto"/>
          <w:sz w:val="19"/>
        </w:rPr>
        <w:t>that trainers</w:t>
      </w:r>
      <w:r w:rsidR="00CA5799">
        <w:rPr>
          <w:rStyle w:val="Heading3Char"/>
          <w:rFonts w:ascii="Trebuchet MS" w:hAnsi="Trebuchet MS" w:cs="Times New Roman"/>
          <w:color w:val="auto"/>
          <w:sz w:val="19"/>
        </w:rPr>
        <w:t xml:space="preserve"> who have undertaken </w:t>
      </w:r>
      <w:r w:rsidR="00432FC9">
        <w:rPr>
          <w:rStyle w:val="Heading3Char"/>
          <w:rFonts w:ascii="Trebuchet MS" w:hAnsi="Trebuchet MS" w:cs="Times New Roman"/>
          <w:color w:val="auto"/>
          <w:sz w:val="19"/>
        </w:rPr>
        <w:t xml:space="preserve">only </w:t>
      </w:r>
      <w:r w:rsidR="00CA5799">
        <w:rPr>
          <w:rStyle w:val="Heading3Char"/>
          <w:rFonts w:ascii="Trebuchet MS" w:hAnsi="Trebuchet MS" w:cs="Times New Roman"/>
          <w:color w:val="auto"/>
          <w:sz w:val="19"/>
        </w:rPr>
        <w:t>the c</w:t>
      </w:r>
      <w:r w:rsidRPr="00724DE5">
        <w:rPr>
          <w:rStyle w:val="Heading3Char"/>
          <w:rFonts w:ascii="Trebuchet MS" w:hAnsi="Trebuchet MS" w:cs="Times New Roman"/>
          <w:color w:val="auto"/>
          <w:sz w:val="19"/>
        </w:rPr>
        <w:t>ertificate IV qualification in this area cannot be expected to have a thorough understanding of these assessment practices</w:t>
      </w:r>
      <w:r w:rsidR="00432FC9">
        <w:rPr>
          <w:rStyle w:val="Heading3Char"/>
          <w:rFonts w:ascii="Trebuchet MS" w:hAnsi="Trebuchet MS" w:cs="Times New Roman"/>
          <w:color w:val="auto"/>
          <w:sz w:val="19"/>
        </w:rPr>
        <w:t>,</w:t>
      </w:r>
      <w:r w:rsidRPr="00724DE5">
        <w:rPr>
          <w:rStyle w:val="Heading3Char"/>
          <w:rFonts w:ascii="Trebuchet MS" w:hAnsi="Trebuchet MS" w:cs="Times New Roman"/>
          <w:color w:val="auto"/>
          <w:sz w:val="19"/>
        </w:rPr>
        <w:t xml:space="preserve"> because the </w:t>
      </w:r>
      <w:r w:rsidR="00CA5799" w:rsidRPr="00724DE5">
        <w:rPr>
          <w:rStyle w:val="Heading3Char"/>
          <w:rFonts w:ascii="Trebuchet MS" w:hAnsi="Trebuchet MS" w:cs="Times New Roman"/>
          <w:color w:val="auto"/>
          <w:sz w:val="19"/>
        </w:rPr>
        <w:t xml:space="preserve">training package </w:t>
      </w:r>
      <w:r w:rsidRPr="00724DE5">
        <w:rPr>
          <w:rStyle w:val="Heading3Char"/>
          <w:rFonts w:ascii="Trebuchet MS" w:hAnsi="Trebuchet MS" w:cs="Times New Roman"/>
          <w:color w:val="auto"/>
          <w:sz w:val="19"/>
        </w:rPr>
        <w:t>for this qualification does not cover the issue of assessment in sufficient depth.</w:t>
      </w:r>
    </w:p>
    <w:p w:rsidR="00FB3E26" w:rsidRDefault="00FB3E26" w:rsidP="00FB3E26">
      <w:pPr>
        <w:pStyle w:val="Text"/>
        <w:ind w:right="-369"/>
        <w:rPr>
          <w:rStyle w:val="Heading3Char"/>
          <w:rFonts w:ascii="Trebuchet MS" w:hAnsi="Trebuchet MS" w:cs="Times New Roman"/>
          <w:color w:val="auto"/>
          <w:sz w:val="19"/>
        </w:rPr>
      </w:pPr>
      <w:r>
        <w:rPr>
          <w:rStyle w:val="Heading3Char"/>
          <w:rFonts w:ascii="Trebuchet MS" w:hAnsi="Trebuchet MS" w:cs="Times New Roman"/>
          <w:color w:val="auto"/>
          <w:sz w:val="19"/>
        </w:rPr>
        <w:lastRenderedPageBreak/>
        <w:t xml:space="preserve">In 2012 </w:t>
      </w:r>
      <w:r w:rsidRPr="00FB3E26">
        <w:rPr>
          <w:rStyle w:val="Heading3Char"/>
          <w:rFonts w:ascii="Trebuchet MS" w:hAnsi="Trebuchet MS" w:cs="Times New Roman"/>
          <w:color w:val="auto"/>
          <w:sz w:val="19"/>
        </w:rPr>
        <w:t>the Council of Australian Governments (COAG</w:t>
      </w:r>
      <w:r w:rsidR="00CA5799">
        <w:rPr>
          <w:rStyle w:val="Heading3Char"/>
          <w:rFonts w:ascii="Trebuchet MS" w:hAnsi="Trebuchet MS" w:cs="Times New Roman"/>
          <w:color w:val="auto"/>
          <w:sz w:val="19"/>
        </w:rPr>
        <w:t>;</w:t>
      </w:r>
      <w:r w:rsidRPr="00FB3E26">
        <w:rPr>
          <w:rStyle w:val="Heading3Char"/>
          <w:rFonts w:ascii="Trebuchet MS" w:hAnsi="Trebuchet MS" w:cs="Times New Roman"/>
          <w:color w:val="auto"/>
          <w:sz w:val="19"/>
        </w:rPr>
        <w:t xml:space="preserve"> 2012) declared </w:t>
      </w:r>
      <w:r>
        <w:rPr>
          <w:rStyle w:val="Heading3Char"/>
          <w:rFonts w:ascii="Trebuchet MS" w:hAnsi="Trebuchet MS" w:cs="Times New Roman"/>
          <w:color w:val="auto"/>
          <w:sz w:val="19"/>
        </w:rPr>
        <w:t xml:space="preserve">that </w:t>
      </w:r>
      <w:r w:rsidRPr="00FB3E26">
        <w:rPr>
          <w:rStyle w:val="Heading3Char"/>
          <w:rFonts w:ascii="Trebuchet MS" w:hAnsi="Trebuchet MS" w:cs="Times New Roman"/>
          <w:color w:val="auto"/>
          <w:sz w:val="19"/>
        </w:rPr>
        <w:t xml:space="preserve">one of its key reform targets </w:t>
      </w:r>
      <w:r>
        <w:rPr>
          <w:rStyle w:val="Heading3Char"/>
          <w:rFonts w:ascii="Trebuchet MS" w:hAnsi="Trebuchet MS" w:cs="Times New Roman"/>
          <w:color w:val="auto"/>
          <w:sz w:val="19"/>
        </w:rPr>
        <w:t xml:space="preserve">was </w:t>
      </w:r>
      <w:r w:rsidRPr="00FB3E26">
        <w:rPr>
          <w:rStyle w:val="Heading3Char"/>
          <w:rFonts w:ascii="Trebuchet MS" w:hAnsi="Trebuchet MS" w:cs="Times New Roman"/>
          <w:color w:val="auto"/>
          <w:sz w:val="19"/>
        </w:rPr>
        <w:t xml:space="preserve">to </w:t>
      </w:r>
      <w:r w:rsidR="00D52B39">
        <w:rPr>
          <w:rStyle w:val="Heading3Char"/>
          <w:rFonts w:ascii="Trebuchet MS" w:hAnsi="Trebuchet MS" w:cs="Times New Roman"/>
          <w:color w:val="auto"/>
          <w:sz w:val="19"/>
        </w:rPr>
        <w:t>‘</w:t>
      </w:r>
      <w:r w:rsidRPr="00FB3E26">
        <w:rPr>
          <w:rStyle w:val="Heading3Char"/>
          <w:rFonts w:ascii="Trebuchet MS" w:hAnsi="Trebuchet MS" w:cs="Times New Roman"/>
          <w:color w:val="auto"/>
          <w:sz w:val="19"/>
        </w:rPr>
        <w:t>improve the confidence of employers and students in the quality of training courses</w:t>
      </w:r>
      <w:r w:rsidR="00250161">
        <w:rPr>
          <w:rStyle w:val="Heading3Char"/>
          <w:rFonts w:ascii="Trebuchet MS" w:hAnsi="Trebuchet MS" w:cs="Times New Roman"/>
          <w:color w:val="auto"/>
          <w:sz w:val="19"/>
        </w:rPr>
        <w:t xml:space="preserve"> …</w:t>
      </w:r>
      <w:r w:rsidR="00F72676">
        <w:rPr>
          <w:rStyle w:val="Heading3Char"/>
          <w:rFonts w:ascii="Trebuchet MS" w:hAnsi="Trebuchet MS" w:cs="Times New Roman"/>
          <w:color w:val="auto"/>
          <w:sz w:val="19"/>
        </w:rPr>
        <w:t xml:space="preserve"> </w:t>
      </w:r>
      <w:r w:rsidRPr="00FB3E26">
        <w:rPr>
          <w:rStyle w:val="Heading3Char"/>
          <w:rFonts w:ascii="Trebuchet MS" w:hAnsi="Trebuchet MS" w:cs="Times New Roman"/>
          <w:color w:val="auto"/>
          <w:sz w:val="19"/>
        </w:rPr>
        <w:t>by developing and piloting independent validation of training provider assessments and implementing strategies which enable TAFEs to operate effectively in an environment of greater competition</w:t>
      </w:r>
      <w:r w:rsidR="00D52B39">
        <w:rPr>
          <w:rStyle w:val="Heading3Char"/>
          <w:rFonts w:ascii="Trebuchet MS" w:hAnsi="Trebuchet MS" w:cs="Times New Roman"/>
          <w:color w:val="auto"/>
          <w:sz w:val="19"/>
        </w:rPr>
        <w:t>’</w:t>
      </w:r>
      <w:r w:rsidRPr="00FB3E26">
        <w:rPr>
          <w:rStyle w:val="Heading3Char"/>
          <w:rFonts w:ascii="Trebuchet MS" w:hAnsi="Trebuchet MS" w:cs="Times New Roman"/>
          <w:color w:val="auto"/>
          <w:sz w:val="19"/>
        </w:rPr>
        <w:t xml:space="preserve">. Under </w:t>
      </w:r>
      <w:r w:rsidR="00F72676">
        <w:rPr>
          <w:rStyle w:val="Heading3Char"/>
          <w:rFonts w:ascii="Trebuchet MS" w:hAnsi="Trebuchet MS" w:cs="Times New Roman"/>
          <w:color w:val="auto"/>
          <w:sz w:val="19"/>
        </w:rPr>
        <w:t>the</w:t>
      </w:r>
      <w:r>
        <w:rPr>
          <w:rStyle w:val="Heading3Char"/>
          <w:rFonts w:ascii="Trebuchet MS" w:hAnsi="Trebuchet MS" w:cs="Times New Roman"/>
          <w:color w:val="auto"/>
          <w:sz w:val="19"/>
        </w:rPr>
        <w:t xml:space="preserve"> </w:t>
      </w:r>
      <w:r w:rsidR="00F72676">
        <w:rPr>
          <w:rStyle w:val="Heading3Char"/>
          <w:rFonts w:ascii="Trebuchet MS" w:hAnsi="Trebuchet MS" w:cs="Times New Roman"/>
          <w:color w:val="auto"/>
          <w:sz w:val="19"/>
        </w:rPr>
        <w:t xml:space="preserve">National Partnership </w:t>
      </w:r>
      <w:r>
        <w:rPr>
          <w:rStyle w:val="Heading3Char"/>
          <w:rFonts w:ascii="Trebuchet MS" w:hAnsi="Trebuchet MS" w:cs="Times New Roman"/>
          <w:color w:val="auto"/>
          <w:sz w:val="19"/>
        </w:rPr>
        <w:t>agreement</w:t>
      </w:r>
      <w:r w:rsidRPr="00FB3E26">
        <w:rPr>
          <w:rStyle w:val="Heading3Char"/>
          <w:rFonts w:ascii="Trebuchet MS" w:hAnsi="Trebuchet MS" w:cs="Times New Roman"/>
          <w:color w:val="auto"/>
          <w:sz w:val="19"/>
        </w:rPr>
        <w:t xml:space="preserve">, states and territories have agreed to develop and pilot models of independent industry validation of </w:t>
      </w:r>
      <w:r w:rsidR="003F756A">
        <w:rPr>
          <w:rStyle w:val="Heading3Char"/>
          <w:rFonts w:ascii="Trebuchet MS" w:hAnsi="Trebuchet MS" w:cs="Times New Roman"/>
          <w:color w:val="auto"/>
          <w:sz w:val="19"/>
        </w:rPr>
        <w:t>registered training organisation</w:t>
      </w:r>
      <w:r w:rsidRPr="00FB3E26">
        <w:rPr>
          <w:rStyle w:val="Heading3Char"/>
          <w:rFonts w:ascii="Trebuchet MS" w:hAnsi="Trebuchet MS" w:cs="Times New Roman"/>
          <w:color w:val="auto"/>
          <w:sz w:val="19"/>
        </w:rPr>
        <w:t xml:space="preserve"> assessment practices</w:t>
      </w:r>
      <w:r w:rsidR="00F72676">
        <w:rPr>
          <w:rStyle w:val="Heading3Char"/>
          <w:rFonts w:ascii="Trebuchet MS" w:hAnsi="Trebuchet MS" w:cs="Times New Roman"/>
          <w:color w:val="auto"/>
          <w:sz w:val="19"/>
        </w:rPr>
        <w:t>. The aim is</w:t>
      </w:r>
      <w:r>
        <w:rPr>
          <w:rStyle w:val="Heading3Char"/>
          <w:rFonts w:ascii="Trebuchet MS" w:hAnsi="Trebuchet MS" w:cs="Times New Roman"/>
          <w:color w:val="auto"/>
          <w:sz w:val="19"/>
        </w:rPr>
        <w:t xml:space="preserve"> to help strengthen </w:t>
      </w:r>
      <w:r w:rsidR="00F72676">
        <w:rPr>
          <w:rStyle w:val="Heading3Char"/>
          <w:rFonts w:ascii="Trebuchet MS" w:hAnsi="Trebuchet MS" w:cs="Times New Roman"/>
          <w:color w:val="auto"/>
          <w:sz w:val="19"/>
        </w:rPr>
        <w:t>national standards through the</w:t>
      </w:r>
      <w:r w:rsidRPr="00FB3E26">
        <w:rPr>
          <w:rStyle w:val="Heading3Char"/>
          <w:rFonts w:ascii="Trebuchet MS" w:hAnsi="Trebuchet MS" w:cs="Times New Roman"/>
          <w:color w:val="auto"/>
          <w:sz w:val="19"/>
        </w:rPr>
        <w:t xml:space="preserve"> development of national models </w:t>
      </w:r>
      <w:r w:rsidR="00CA5799">
        <w:rPr>
          <w:rStyle w:val="Heading3Char"/>
          <w:rFonts w:ascii="Trebuchet MS" w:hAnsi="Trebuchet MS" w:cs="Times New Roman"/>
          <w:color w:val="auto"/>
          <w:sz w:val="19"/>
        </w:rPr>
        <w:t>of</w:t>
      </w:r>
      <w:r w:rsidR="00F72676">
        <w:rPr>
          <w:rStyle w:val="Heading3Char"/>
          <w:rFonts w:ascii="Trebuchet MS" w:hAnsi="Trebuchet MS" w:cs="Times New Roman"/>
          <w:color w:val="auto"/>
          <w:sz w:val="19"/>
        </w:rPr>
        <w:t xml:space="preserve"> practice. </w:t>
      </w:r>
    </w:p>
    <w:p w:rsidR="00F72676" w:rsidRDefault="00F72676">
      <w:pPr>
        <w:rPr>
          <w:rStyle w:val="Heading3Char"/>
          <w:rFonts w:ascii="Trebuchet MS" w:hAnsi="Trebuchet MS" w:cs="Times New Roman"/>
          <w:color w:val="auto"/>
          <w:sz w:val="19"/>
          <w:szCs w:val="20"/>
          <w:lang w:eastAsia="en-US"/>
        </w:rPr>
      </w:pPr>
      <w:r>
        <w:rPr>
          <w:rStyle w:val="Heading3Char"/>
          <w:rFonts w:ascii="Trebuchet MS" w:hAnsi="Trebuchet MS" w:cs="Times New Roman"/>
          <w:color w:val="auto"/>
          <w:sz w:val="19"/>
          <w:szCs w:val="20"/>
          <w:lang w:eastAsia="en-US"/>
        </w:rPr>
        <w:br w:type="page"/>
      </w:r>
    </w:p>
    <w:p w:rsidR="00785E85" w:rsidRDefault="00785E85" w:rsidP="00785E85">
      <w:pPr>
        <w:pStyle w:val="Heading1"/>
      </w:pPr>
      <w:bookmarkStart w:id="39" w:name="_Toc381103175"/>
      <w:r>
        <w:lastRenderedPageBreak/>
        <w:t>What do practitioners understand about quality in assessments?</w:t>
      </w:r>
      <w:bookmarkEnd w:id="39"/>
      <w:r>
        <w:t xml:space="preserve"> </w:t>
      </w:r>
    </w:p>
    <w:p w:rsidR="00621CFF" w:rsidRDefault="00621CFF" w:rsidP="00785E85">
      <w:pPr>
        <w:pStyle w:val="Text"/>
      </w:pPr>
      <w:r>
        <w:t xml:space="preserve">Our aim in this study is to </w:t>
      </w:r>
      <w:r w:rsidR="007C6DDA">
        <w:t xml:space="preserve">identify </w:t>
      </w:r>
      <w:r>
        <w:t>the knowledge that training practitioners</w:t>
      </w:r>
      <w:r w:rsidR="00CA5799">
        <w:t xml:space="preserve"> (including trainers, assessors</w:t>
      </w:r>
      <w:r>
        <w:t xml:space="preserve"> and educational managers) </w:t>
      </w:r>
      <w:r w:rsidR="0010700B">
        <w:t xml:space="preserve">currently </w:t>
      </w:r>
      <w:r>
        <w:t>have about assessment practice and the way it is implemented in training organisations. We argue that</w:t>
      </w:r>
      <w:r w:rsidR="00740291">
        <w:t>,</w:t>
      </w:r>
      <w:r>
        <w:t xml:space="preserve"> if practitioners have a good understanding of what constitutes an effective assessment</w:t>
      </w:r>
      <w:r w:rsidR="00740291">
        <w:t>,</w:t>
      </w:r>
      <w:r>
        <w:t xml:space="preserve"> th</w:t>
      </w:r>
      <w:r w:rsidR="00740291">
        <w:t>en</w:t>
      </w:r>
      <w:r>
        <w:t xml:space="preserve"> such knowledge </w:t>
      </w:r>
      <w:r w:rsidR="000B221C">
        <w:t xml:space="preserve">will </w:t>
      </w:r>
      <w:r>
        <w:t xml:space="preserve">help </w:t>
      </w:r>
      <w:r w:rsidR="000B221C">
        <w:t xml:space="preserve">them </w:t>
      </w:r>
      <w:r>
        <w:t xml:space="preserve">to improve practice and </w:t>
      </w:r>
      <w:r w:rsidR="000B221C">
        <w:t xml:space="preserve">thus </w:t>
      </w:r>
      <w:r>
        <w:t xml:space="preserve">ensure the </w:t>
      </w:r>
      <w:r w:rsidR="008959F0">
        <w:t>credibility of qualifications.</w:t>
      </w:r>
    </w:p>
    <w:p w:rsidR="00CF5119" w:rsidRDefault="00CF5119" w:rsidP="00CF5119">
      <w:pPr>
        <w:pStyle w:val="Heading2"/>
      </w:pPr>
      <w:bookmarkStart w:id="40" w:name="_Toc381103176"/>
      <w:r>
        <w:t>Characteristics of effective or quality assessments</w:t>
      </w:r>
      <w:bookmarkEnd w:id="40"/>
    </w:p>
    <w:p w:rsidR="0033064A" w:rsidRPr="008959F0" w:rsidRDefault="00621CFF" w:rsidP="008959F0">
      <w:pPr>
        <w:pStyle w:val="Text"/>
      </w:pPr>
      <w:r>
        <w:t xml:space="preserve">Our conversations </w:t>
      </w:r>
      <w:r w:rsidR="0033064A">
        <w:t xml:space="preserve">with public and private sector providers in aged care, electro-technology (electrical) and business revealed that assessments were most commonly considered to be effective if they satisfied </w:t>
      </w:r>
      <w:r w:rsidR="00EA72A8">
        <w:t>some</w:t>
      </w:r>
      <w:r w:rsidR="0033064A">
        <w:t xml:space="preserve"> key requirements</w:t>
      </w:r>
      <w:r w:rsidR="000748EF">
        <w:t xml:space="preserve"> (table 1)</w:t>
      </w:r>
      <w:r w:rsidR="0033064A">
        <w:t xml:space="preserve">. </w:t>
      </w:r>
      <w:r w:rsidR="0010700B">
        <w:t>First, th</w:t>
      </w:r>
      <w:r w:rsidR="00EA72A8">
        <w:t>ey</w:t>
      </w:r>
      <w:r w:rsidR="0033064A">
        <w:t xml:space="preserve"> needed to </w:t>
      </w:r>
      <w:r w:rsidR="0010700B">
        <w:t>reflect</w:t>
      </w:r>
      <w:r w:rsidR="0033064A">
        <w:t xml:space="preserve"> </w:t>
      </w:r>
      <w:r w:rsidR="00740291">
        <w:t xml:space="preserve">the </w:t>
      </w:r>
      <w:r w:rsidR="0033064A">
        <w:t>accepted principles of assessme</w:t>
      </w:r>
      <w:r w:rsidR="00740291">
        <w:t>nt practice;</w:t>
      </w:r>
      <w:r w:rsidR="0033064A">
        <w:t xml:space="preserve"> second</w:t>
      </w:r>
      <w:r w:rsidR="00740291">
        <w:t>,</w:t>
      </w:r>
      <w:r w:rsidR="0033064A">
        <w:t xml:space="preserve"> they had to meet </w:t>
      </w:r>
      <w:r w:rsidR="00740291">
        <w:t xml:space="preserve">the </w:t>
      </w:r>
      <w:r w:rsidR="00F42911">
        <w:t xml:space="preserve">requirements of nationally recognised qualifications from </w:t>
      </w:r>
      <w:r w:rsidR="0033064A">
        <w:t xml:space="preserve">industry </w:t>
      </w:r>
      <w:r w:rsidR="003F756A">
        <w:t>training packages</w:t>
      </w:r>
      <w:r w:rsidR="00740291">
        <w:t xml:space="preserve"> or accredited courses</w:t>
      </w:r>
      <w:r w:rsidR="00F42911">
        <w:t xml:space="preserve"> and government technical </w:t>
      </w:r>
      <w:r w:rsidR="0033064A">
        <w:t>regulations</w:t>
      </w:r>
      <w:r w:rsidR="00740291">
        <w:t xml:space="preserve"> (licences and registrations);</w:t>
      </w:r>
      <w:r w:rsidR="00F42911">
        <w:t xml:space="preserve"> </w:t>
      </w:r>
      <w:r w:rsidR="00740291">
        <w:t>t</w:t>
      </w:r>
      <w:r w:rsidR="0010700B">
        <w:t>hird, t</w:t>
      </w:r>
      <w:r w:rsidR="005D6C3C">
        <w:t>hey</w:t>
      </w:r>
      <w:r w:rsidR="00F42911">
        <w:t xml:space="preserve"> needed to demonstrate a candidate</w:t>
      </w:r>
      <w:r w:rsidR="00D52B39">
        <w:t>’</w:t>
      </w:r>
      <w:r w:rsidR="00F42911">
        <w:t xml:space="preserve">s competency in </w:t>
      </w:r>
      <w:r w:rsidR="0033064A">
        <w:t>workplace or occupational job roles</w:t>
      </w:r>
      <w:r w:rsidR="005D6C3C">
        <w:t xml:space="preserve"> and work habits</w:t>
      </w:r>
      <w:r w:rsidR="00740291">
        <w:t>,</w:t>
      </w:r>
      <w:r w:rsidR="005D6C3C">
        <w:t xml:space="preserve"> including</w:t>
      </w:r>
      <w:r w:rsidR="00E73266">
        <w:t xml:space="preserve"> pride in workmanship</w:t>
      </w:r>
      <w:r w:rsidR="00F42911">
        <w:t xml:space="preserve"> and standards of acceptable behaviour and attitude. Effective assessments were also those that </w:t>
      </w:r>
      <w:r w:rsidR="00740291">
        <w:t>emphasised the</w:t>
      </w:r>
      <w:r w:rsidR="00F42911">
        <w:t xml:space="preserve"> long-term retention of knowledge and distinguished </w:t>
      </w:r>
      <w:r w:rsidR="00D20D5F" w:rsidRPr="008959F0">
        <w:t>the performance</w:t>
      </w:r>
      <w:r w:rsidR="00F42911" w:rsidRPr="008959F0">
        <w:t xml:space="preserve"> of the individual from </w:t>
      </w:r>
      <w:r w:rsidR="00D20D5F" w:rsidRPr="008959F0">
        <w:t>that</w:t>
      </w:r>
      <w:r w:rsidR="00F42911" w:rsidRPr="008959F0">
        <w:t xml:space="preserve"> of the group of which he or she was a member</w:t>
      </w:r>
      <w:r w:rsidR="000B221C" w:rsidRPr="008959F0">
        <w:t xml:space="preserve"> when undertaking an assessment</w:t>
      </w:r>
      <w:r w:rsidR="00F42911" w:rsidRPr="008959F0">
        <w:t>.</w:t>
      </w:r>
      <w:r w:rsidR="00E3166C" w:rsidRPr="008959F0">
        <w:t xml:space="preserve"> </w:t>
      </w:r>
    </w:p>
    <w:p w:rsidR="00BB7886" w:rsidRPr="008959F0" w:rsidRDefault="005D6C3C" w:rsidP="008959F0">
      <w:pPr>
        <w:pStyle w:val="Text"/>
      </w:pPr>
      <w:r w:rsidRPr="008959F0">
        <w:t xml:space="preserve">Quality in assessment practice was </w:t>
      </w:r>
      <w:r w:rsidR="00D20D5F" w:rsidRPr="008959F0">
        <w:t xml:space="preserve">viewed as </w:t>
      </w:r>
      <w:r w:rsidR="00F12F0A" w:rsidRPr="008959F0">
        <w:t>assessment</w:t>
      </w:r>
      <w:r w:rsidR="00BB7886" w:rsidRPr="008959F0">
        <w:t xml:space="preserve"> </w:t>
      </w:r>
      <w:r w:rsidR="0010700B" w:rsidRPr="008959F0">
        <w:t>which</w:t>
      </w:r>
      <w:r w:rsidR="00BB7886" w:rsidRPr="008959F0">
        <w:t xml:space="preserve"> demonstrate</w:t>
      </w:r>
      <w:r w:rsidR="00F12F0A" w:rsidRPr="008959F0">
        <w:t>s</w:t>
      </w:r>
      <w:r w:rsidR="00BB7886" w:rsidRPr="008959F0">
        <w:t xml:space="preserve"> </w:t>
      </w:r>
      <w:r w:rsidR="00F12F0A" w:rsidRPr="008959F0">
        <w:t xml:space="preserve">the </w:t>
      </w:r>
      <w:r w:rsidR="00BB7886" w:rsidRPr="008959F0">
        <w:t>key principles of validity and reliability</w:t>
      </w:r>
      <w:r w:rsidRPr="008959F0">
        <w:t xml:space="preserve">, meaning that </w:t>
      </w:r>
      <w:r w:rsidR="00BB7886" w:rsidRPr="008959F0">
        <w:t xml:space="preserve">assessments measured what they were supposed to measure and </w:t>
      </w:r>
      <w:r w:rsidR="00E73266" w:rsidRPr="008959F0">
        <w:t xml:space="preserve">that these </w:t>
      </w:r>
      <w:r w:rsidRPr="008959F0">
        <w:t>results</w:t>
      </w:r>
      <w:r w:rsidR="00BB7886" w:rsidRPr="008959F0">
        <w:t xml:space="preserve"> could be repeated for consistency and comparability. If assessments were to be effective</w:t>
      </w:r>
      <w:r w:rsidR="00F12F0A" w:rsidRPr="008959F0">
        <w:t>,</w:t>
      </w:r>
      <w:r w:rsidR="00BB7886" w:rsidRPr="008959F0">
        <w:t xml:space="preserve"> they </w:t>
      </w:r>
      <w:r w:rsidR="0010700B" w:rsidRPr="008959F0">
        <w:t>would</w:t>
      </w:r>
      <w:r w:rsidR="00BB7886" w:rsidRPr="008959F0">
        <w:t xml:space="preserve"> test both theoretical knowledge (underpinning knowledge) and practical skill</w:t>
      </w:r>
      <w:r w:rsidR="00E73266" w:rsidRPr="008959F0">
        <w:t>s</w:t>
      </w:r>
      <w:r w:rsidR="00BB7886" w:rsidRPr="008959F0">
        <w:t>. Theoretical knowledge was tested via written and or verbal tests</w:t>
      </w:r>
      <w:r w:rsidR="0010700B" w:rsidRPr="008959F0">
        <w:t>,</w:t>
      </w:r>
      <w:r w:rsidR="00BB7886" w:rsidRPr="008959F0">
        <w:t xml:space="preserve"> while practical skill</w:t>
      </w:r>
      <w:r w:rsidR="00E73266" w:rsidRPr="008959F0">
        <w:t>s</w:t>
      </w:r>
      <w:r w:rsidR="00BB7886" w:rsidRPr="008959F0">
        <w:t xml:space="preserve"> w</w:t>
      </w:r>
      <w:r w:rsidR="00E73266" w:rsidRPr="008959F0">
        <w:t>ere</w:t>
      </w:r>
      <w:r w:rsidR="00BB7886" w:rsidRPr="008959F0">
        <w:t xml:space="preserve"> tested via demonstration in realistic and authentic settings</w:t>
      </w:r>
      <w:r w:rsidRPr="008959F0">
        <w:t>, including in workplaces and practical skills laboratories or workshops.</w:t>
      </w:r>
      <w:r w:rsidR="00BB7886" w:rsidRPr="008959F0">
        <w:t xml:space="preserve"> </w:t>
      </w:r>
    </w:p>
    <w:p w:rsidR="00BB7886" w:rsidRPr="008959F0" w:rsidRDefault="00BB7886" w:rsidP="008959F0">
      <w:pPr>
        <w:pStyle w:val="Text"/>
      </w:pPr>
      <w:r w:rsidRPr="008959F0">
        <w:t>Quality assessments required a variety of sources of evidence</w:t>
      </w:r>
      <w:r w:rsidR="00F12F0A" w:rsidRPr="008959F0">
        <w:t>,</w:t>
      </w:r>
      <w:r w:rsidRPr="008959F0">
        <w:t xml:space="preserve"> as well as a</w:t>
      </w:r>
      <w:r w:rsidR="00901C0A" w:rsidRPr="008959F0">
        <w:t xml:space="preserve"> sufficient amount of</w:t>
      </w:r>
      <w:r w:rsidR="00E73266" w:rsidRPr="008959F0">
        <w:t xml:space="preserve"> evidence.</w:t>
      </w:r>
      <w:r w:rsidR="00F12F0A" w:rsidRPr="008959F0">
        <w:t xml:space="preserve"> </w:t>
      </w:r>
      <w:r w:rsidR="00901C0A" w:rsidRPr="008959F0">
        <w:t>This evidence was also to be collected throughout the course or program</w:t>
      </w:r>
      <w:r w:rsidR="007C6DDA" w:rsidRPr="008959F0">
        <w:t xml:space="preserve"> and drawn </w:t>
      </w:r>
      <w:r w:rsidR="00C356F1" w:rsidRPr="008959F0">
        <w:t xml:space="preserve">from the </w:t>
      </w:r>
      <w:r w:rsidR="00901C0A" w:rsidRPr="008959F0">
        <w:t xml:space="preserve">results of formative, diagnostic and summative assessments to come to a final result. </w:t>
      </w:r>
      <w:r w:rsidR="00E73266" w:rsidRPr="008959F0">
        <w:t>Quality assessments avoid the over-assessment of students.</w:t>
      </w:r>
    </w:p>
    <w:p w:rsidR="00901C0A" w:rsidRPr="008959F0" w:rsidRDefault="00901C0A" w:rsidP="008959F0">
      <w:pPr>
        <w:pStyle w:val="Text"/>
      </w:pPr>
      <w:r w:rsidRPr="008959F0">
        <w:t xml:space="preserve">Effective assessments were fair </w:t>
      </w:r>
      <w:r w:rsidR="00C356F1" w:rsidRPr="008959F0">
        <w:t xml:space="preserve">and equitable </w:t>
      </w:r>
      <w:r w:rsidRPr="008959F0">
        <w:t xml:space="preserve">to students. Students were given adequate notification of when they were to be assessed, clear instructions to help them understand exactly what was expected of </w:t>
      </w:r>
      <w:r w:rsidR="00AB663D" w:rsidRPr="008959F0">
        <w:t>them</w:t>
      </w:r>
      <w:r w:rsidRPr="008959F0">
        <w:t xml:space="preserve"> and ample opportunity to show what they could do. </w:t>
      </w:r>
    </w:p>
    <w:p w:rsidR="008F53FA" w:rsidRDefault="006F0C03" w:rsidP="008959F0">
      <w:pPr>
        <w:pStyle w:val="Text"/>
      </w:pPr>
      <w:r w:rsidRPr="008959F0">
        <w:t xml:space="preserve">In covering </w:t>
      </w:r>
      <w:r w:rsidR="00C356F1" w:rsidRPr="008959F0">
        <w:t xml:space="preserve">all the </w:t>
      </w:r>
      <w:r w:rsidR="005E3D47" w:rsidRPr="008959F0">
        <w:t xml:space="preserve">relevant and essential components </w:t>
      </w:r>
      <w:r w:rsidR="00C356F1">
        <w:t xml:space="preserve">of competence in </w:t>
      </w:r>
      <w:r w:rsidR="003F756A">
        <w:t>training packages</w:t>
      </w:r>
      <w:r w:rsidR="005E3D47">
        <w:t>,</w:t>
      </w:r>
      <w:r w:rsidR="005E3D47" w:rsidRPr="005E3D47">
        <w:t xml:space="preserve"> </w:t>
      </w:r>
      <w:r>
        <w:t xml:space="preserve">effective assessments </w:t>
      </w:r>
      <w:r w:rsidR="005E3D47">
        <w:t>gathered evidence from a range of contexts</w:t>
      </w:r>
      <w:r w:rsidR="00C356F1">
        <w:t xml:space="preserve"> </w:t>
      </w:r>
      <w:r w:rsidR="005E3D47">
        <w:t>and matched the</w:t>
      </w:r>
      <w:r w:rsidR="00E32569">
        <w:t xml:space="preserve"> level of qualification</w:t>
      </w:r>
      <w:r w:rsidR="005E3D47">
        <w:t xml:space="preserve"> being assessed. They also </w:t>
      </w:r>
      <w:r>
        <w:t xml:space="preserve">met </w:t>
      </w:r>
      <w:r w:rsidR="005E3D47">
        <w:t>the standards of regulatory frameworks</w:t>
      </w:r>
      <w:r w:rsidR="00F12F0A">
        <w:t>,</w:t>
      </w:r>
      <w:r w:rsidR="005E3D47">
        <w:t xml:space="preserve"> including the Austra</w:t>
      </w:r>
      <w:r w:rsidR="00F12F0A">
        <w:t>lian Quality Training Framework and the</w:t>
      </w:r>
      <w:r w:rsidR="005E3D47">
        <w:t xml:space="preserve"> N</w:t>
      </w:r>
      <w:r w:rsidR="00F12F0A">
        <w:t>ational VET Regulator,</w:t>
      </w:r>
      <w:r w:rsidR="005E3D47">
        <w:t xml:space="preserve"> and in the case of electrical qualifications met the standards imposed by the relevant regulatory agency. </w:t>
      </w:r>
    </w:p>
    <w:p w:rsidR="005E3D47" w:rsidRPr="008959F0" w:rsidRDefault="006F0C03" w:rsidP="008959F0">
      <w:pPr>
        <w:pStyle w:val="Text"/>
      </w:pPr>
      <w:r>
        <w:lastRenderedPageBreak/>
        <w:t>Quality</w:t>
      </w:r>
      <w:r w:rsidR="005E3D47">
        <w:t xml:space="preserve"> assessments </w:t>
      </w:r>
      <w:r>
        <w:t xml:space="preserve">helped </w:t>
      </w:r>
      <w:r w:rsidR="005E3D47">
        <w:t xml:space="preserve">candidates to demonstrate </w:t>
      </w:r>
      <w:r>
        <w:t>that they had attained a competent standard of practical workplace skill and kno</w:t>
      </w:r>
      <w:r w:rsidR="00F12F0A">
        <w:t>wledge, that is, they were work-</w:t>
      </w:r>
      <w:r>
        <w:t>ready.</w:t>
      </w:r>
      <w:r w:rsidR="00E3166C">
        <w:t xml:space="preserve"> </w:t>
      </w:r>
      <w:r>
        <w:t>These assessments were conducted</w:t>
      </w:r>
      <w:r w:rsidR="00F12F0A">
        <w:t xml:space="preserve"> in authentic and safe settings</w:t>
      </w:r>
      <w:r>
        <w:t xml:space="preserve"> and were </w:t>
      </w:r>
      <w:r w:rsidR="005E3D47" w:rsidRPr="008959F0">
        <w:t xml:space="preserve">matched to </w:t>
      </w:r>
      <w:r w:rsidRPr="008959F0">
        <w:t>relevant</w:t>
      </w:r>
      <w:r w:rsidR="005E3D47" w:rsidRPr="008959F0">
        <w:t xml:space="preserve"> </w:t>
      </w:r>
      <w:r w:rsidRPr="008959F0">
        <w:t xml:space="preserve">trades and </w:t>
      </w:r>
      <w:r w:rsidR="005E3D47" w:rsidRPr="008959F0">
        <w:t>job role</w:t>
      </w:r>
      <w:r w:rsidRPr="008959F0">
        <w:t xml:space="preserve">s. </w:t>
      </w:r>
    </w:p>
    <w:p w:rsidR="004D46AB" w:rsidRDefault="004D46AB" w:rsidP="008959F0">
      <w:pPr>
        <w:pStyle w:val="Text"/>
      </w:pPr>
      <w:r w:rsidRPr="008959F0">
        <w:t>Assessments which were effective also enabled indivi</w:t>
      </w:r>
      <w:r>
        <w:t xml:space="preserve">duals to display their individual competencies (including employability skills), </w:t>
      </w:r>
      <w:r w:rsidR="002A6852">
        <w:t xml:space="preserve">and </w:t>
      </w:r>
      <w:r>
        <w:t xml:space="preserve">pride in workmanship, and whether or not they had attained a high standard of skill and knowledge. </w:t>
      </w:r>
    </w:p>
    <w:p w:rsidR="008F53FA" w:rsidRDefault="00F12F0A" w:rsidP="008959F0">
      <w:pPr>
        <w:pStyle w:val="tabletitle"/>
      </w:pPr>
      <w:bookmarkStart w:id="41" w:name="_Toc381103325"/>
      <w:r>
        <w:t>Table 1</w:t>
      </w:r>
      <w:r w:rsidR="008959F0">
        <w:tab/>
      </w:r>
      <w:r w:rsidR="00541636">
        <w:t>How practitioners</w:t>
      </w:r>
      <w:r w:rsidR="006A7F53">
        <w:t xml:space="preserve"> </w:t>
      </w:r>
      <w:r w:rsidR="00541636">
        <w:t>describe a quality or effective assessment</w:t>
      </w:r>
      <w:bookmarkEnd w:id="41"/>
      <w:r w:rsidR="00541636">
        <w:t xml:space="preserve"> </w:t>
      </w:r>
    </w:p>
    <w:tbl>
      <w:tblPr>
        <w:tblStyle w:val="TableGrid"/>
        <w:tblW w:w="8789"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1772"/>
        <w:gridCol w:w="1772"/>
      </w:tblGrid>
      <w:tr w:rsidR="00B2450B" w:rsidRPr="008959F0" w:rsidTr="008959F0">
        <w:tc>
          <w:tcPr>
            <w:tcW w:w="5245" w:type="dxa"/>
            <w:tcBorders>
              <w:top w:val="single" w:sz="4" w:space="0" w:color="000000" w:themeColor="text1"/>
              <w:bottom w:val="single" w:sz="4" w:space="0" w:color="auto"/>
            </w:tcBorders>
          </w:tcPr>
          <w:p w:rsidR="00B2450B" w:rsidRPr="008959F0" w:rsidRDefault="00B2450B" w:rsidP="008959F0">
            <w:pPr>
              <w:pStyle w:val="Tablehead1"/>
            </w:pPr>
            <w:r w:rsidRPr="008959F0">
              <w:t>Characteristic</w:t>
            </w:r>
          </w:p>
        </w:tc>
        <w:tc>
          <w:tcPr>
            <w:tcW w:w="1772" w:type="dxa"/>
            <w:tcBorders>
              <w:top w:val="single" w:sz="4" w:space="0" w:color="000000" w:themeColor="text1"/>
              <w:bottom w:val="single" w:sz="4" w:space="0" w:color="auto"/>
            </w:tcBorders>
          </w:tcPr>
          <w:p w:rsidR="00B2450B" w:rsidRPr="008959F0" w:rsidRDefault="00B2450B" w:rsidP="008959F0">
            <w:pPr>
              <w:pStyle w:val="Tablehead1"/>
              <w:jc w:val="center"/>
            </w:pPr>
            <w:r w:rsidRPr="008959F0">
              <w:t xml:space="preserve">No. of </w:t>
            </w:r>
            <w:r w:rsidR="00280D9D" w:rsidRPr="008959F0">
              <w:t>responses</w:t>
            </w:r>
          </w:p>
        </w:tc>
        <w:tc>
          <w:tcPr>
            <w:tcW w:w="1772" w:type="dxa"/>
            <w:tcBorders>
              <w:top w:val="single" w:sz="4" w:space="0" w:color="000000" w:themeColor="text1"/>
              <w:bottom w:val="single" w:sz="4" w:space="0" w:color="auto"/>
            </w:tcBorders>
          </w:tcPr>
          <w:p w:rsidR="00B2450B" w:rsidRPr="008959F0" w:rsidRDefault="00B2450B" w:rsidP="008959F0">
            <w:pPr>
              <w:pStyle w:val="Tablehead1"/>
              <w:jc w:val="center"/>
            </w:pPr>
            <w:r w:rsidRPr="008959F0">
              <w:t>% of responses</w:t>
            </w:r>
          </w:p>
        </w:tc>
      </w:tr>
      <w:tr w:rsidR="00B2450B" w:rsidRPr="008959F0" w:rsidTr="008959F0">
        <w:tc>
          <w:tcPr>
            <w:tcW w:w="5245" w:type="dxa"/>
            <w:tcBorders>
              <w:top w:val="single" w:sz="4" w:space="0" w:color="auto"/>
            </w:tcBorders>
          </w:tcPr>
          <w:p w:rsidR="00B2450B" w:rsidRPr="008959F0" w:rsidRDefault="00B2450B" w:rsidP="008959F0">
            <w:pPr>
              <w:pStyle w:val="Tabletext"/>
            </w:pPr>
            <w:r w:rsidRPr="008959F0">
              <w:t>Meets principles of good assessment practice</w:t>
            </w:r>
          </w:p>
        </w:tc>
        <w:tc>
          <w:tcPr>
            <w:tcW w:w="1772" w:type="dxa"/>
            <w:tcBorders>
              <w:top w:val="single" w:sz="4" w:space="0" w:color="auto"/>
            </w:tcBorders>
          </w:tcPr>
          <w:p w:rsidR="00B2450B" w:rsidRPr="008959F0" w:rsidRDefault="00B2450B" w:rsidP="003C4074">
            <w:pPr>
              <w:pStyle w:val="Tabletext"/>
              <w:tabs>
                <w:tab w:val="decimal" w:pos="879"/>
              </w:tabs>
            </w:pPr>
            <w:r w:rsidRPr="008959F0">
              <w:t>68</w:t>
            </w:r>
          </w:p>
        </w:tc>
        <w:tc>
          <w:tcPr>
            <w:tcW w:w="1772" w:type="dxa"/>
            <w:tcBorders>
              <w:top w:val="single" w:sz="4" w:space="0" w:color="auto"/>
            </w:tcBorders>
          </w:tcPr>
          <w:p w:rsidR="00B2450B" w:rsidRPr="008959F0" w:rsidRDefault="00B2450B" w:rsidP="003C4074">
            <w:pPr>
              <w:pStyle w:val="Tabletext"/>
              <w:tabs>
                <w:tab w:val="decimal" w:pos="822"/>
              </w:tabs>
            </w:pPr>
            <w:r w:rsidRPr="008959F0">
              <w:t>47.2</w:t>
            </w:r>
          </w:p>
        </w:tc>
      </w:tr>
      <w:tr w:rsidR="00280D9D" w:rsidRPr="008959F0" w:rsidTr="008959F0">
        <w:tc>
          <w:tcPr>
            <w:tcW w:w="5245" w:type="dxa"/>
          </w:tcPr>
          <w:p w:rsidR="00280D9D" w:rsidRPr="008959F0" w:rsidRDefault="00280D9D" w:rsidP="008959F0">
            <w:pPr>
              <w:pStyle w:val="Tabletext"/>
            </w:pPr>
            <w:r w:rsidRPr="008959F0">
              <w:t xml:space="preserve">Meets </w:t>
            </w:r>
            <w:r w:rsidR="00F12F0A" w:rsidRPr="008959F0">
              <w:t>training package</w:t>
            </w:r>
            <w:r w:rsidRPr="008959F0">
              <w:t>, regulatory and</w:t>
            </w:r>
            <w:r w:rsidR="00E3166C" w:rsidRPr="008959F0">
              <w:t xml:space="preserve"> </w:t>
            </w:r>
            <w:r w:rsidRPr="008959F0">
              <w:t xml:space="preserve">AQF requirements </w:t>
            </w:r>
          </w:p>
        </w:tc>
        <w:tc>
          <w:tcPr>
            <w:tcW w:w="1772" w:type="dxa"/>
          </w:tcPr>
          <w:p w:rsidR="00280D9D" w:rsidRPr="008959F0" w:rsidRDefault="00280D9D" w:rsidP="003C4074">
            <w:pPr>
              <w:pStyle w:val="Tabletext"/>
              <w:tabs>
                <w:tab w:val="decimal" w:pos="879"/>
              </w:tabs>
            </w:pPr>
            <w:r w:rsidRPr="008959F0">
              <w:t>43</w:t>
            </w:r>
          </w:p>
        </w:tc>
        <w:tc>
          <w:tcPr>
            <w:tcW w:w="1772" w:type="dxa"/>
          </w:tcPr>
          <w:p w:rsidR="00280D9D" w:rsidRPr="008959F0" w:rsidRDefault="00280D9D" w:rsidP="003C4074">
            <w:pPr>
              <w:pStyle w:val="Tabletext"/>
              <w:tabs>
                <w:tab w:val="decimal" w:pos="822"/>
              </w:tabs>
            </w:pPr>
            <w:r w:rsidRPr="008959F0">
              <w:t>30.0</w:t>
            </w:r>
          </w:p>
        </w:tc>
      </w:tr>
      <w:tr w:rsidR="00280D9D" w:rsidRPr="008959F0" w:rsidTr="008959F0">
        <w:tc>
          <w:tcPr>
            <w:tcW w:w="5245" w:type="dxa"/>
            <w:tcBorders>
              <w:bottom w:val="nil"/>
            </w:tcBorders>
          </w:tcPr>
          <w:p w:rsidR="00280D9D" w:rsidRPr="008959F0" w:rsidRDefault="00280D9D" w:rsidP="008959F0">
            <w:pPr>
              <w:pStyle w:val="Tabletext"/>
            </w:pPr>
            <w:r w:rsidRPr="008959F0">
              <w:t>Demonstrates work-related competencies which meet industry needs</w:t>
            </w:r>
          </w:p>
        </w:tc>
        <w:tc>
          <w:tcPr>
            <w:tcW w:w="1772" w:type="dxa"/>
            <w:tcBorders>
              <w:bottom w:val="nil"/>
            </w:tcBorders>
          </w:tcPr>
          <w:p w:rsidR="00280D9D" w:rsidRPr="008959F0" w:rsidRDefault="00280D9D" w:rsidP="003C4074">
            <w:pPr>
              <w:pStyle w:val="Tabletext"/>
              <w:tabs>
                <w:tab w:val="decimal" w:pos="879"/>
              </w:tabs>
            </w:pPr>
            <w:r w:rsidRPr="008959F0">
              <w:t>27</w:t>
            </w:r>
          </w:p>
        </w:tc>
        <w:tc>
          <w:tcPr>
            <w:tcW w:w="1772" w:type="dxa"/>
            <w:tcBorders>
              <w:bottom w:val="nil"/>
            </w:tcBorders>
          </w:tcPr>
          <w:p w:rsidR="00280D9D" w:rsidRPr="008959F0" w:rsidRDefault="00280D9D" w:rsidP="003C4074">
            <w:pPr>
              <w:pStyle w:val="Tabletext"/>
              <w:tabs>
                <w:tab w:val="decimal" w:pos="822"/>
              </w:tabs>
            </w:pPr>
            <w:r w:rsidRPr="008959F0">
              <w:t>18.8</w:t>
            </w:r>
          </w:p>
        </w:tc>
      </w:tr>
      <w:tr w:rsidR="00280D9D" w:rsidRPr="008959F0" w:rsidTr="008959F0">
        <w:tc>
          <w:tcPr>
            <w:tcW w:w="5245" w:type="dxa"/>
            <w:tcBorders>
              <w:top w:val="nil"/>
              <w:bottom w:val="nil"/>
            </w:tcBorders>
          </w:tcPr>
          <w:p w:rsidR="00280D9D" w:rsidRPr="008959F0" w:rsidRDefault="00280D9D" w:rsidP="008959F0">
            <w:pPr>
              <w:pStyle w:val="Tabletext"/>
            </w:pPr>
            <w:r w:rsidRPr="008959F0">
              <w:t>Demonstrates knowledge and skills of individual</w:t>
            </w:r>
            <w:r w:rsidR="004D46AB" w:rsidRPr="008959F0">
              <w:t>s</w:t>
            </w:r>
          </w:p>
        </w:tc>
        <w:tc>
          <w:tcPr>
            <w:tcW w:w="1772" w:type="dxa"/>
            <w:tcBorders>
              <w:top w:val="nil"/>
              <w:bottom w:val="nil"/>
            </w:tcBorders>
          </w:tcPr>
          <w:p w:rsidR="00280D9D" w:rsidRPr="008959F0" w:rsidRDefault="00280D9D" w:rsidP="003C4074">
            <w:pPr>
              <w:pStyle w:val="Tabletext"/>
              <w:tabs>
                <w:tab w:val="decimal" w:pos="879"/>
              </w:tabs>
            </w:pPr>
            <w:r w:rsidRPr="008959F0">
              <w:t>6</w:t>
            </w:r>
          </w:p>
        </w:tc>
        <w:tc>
          <w:tcPr>
            <w:tcW w:w="1772" w:type="dxa"/>
            <w:tcBorders>
              <w:top w:val="nil"/>
              <w:bottom w:val="nil"/>
            </w:tcBorders>
          </w:tcPr>
          <w:p w:rsidR="00280D9D" w:rsidRPr="008959F0" w:rsidRDefault="00280D9D" w:rsidP="003C4074">
            <w:pPr>
              <w:pStyle w:val="Tabletext"/>
              <w:tabs>
                <w:tab w:val="decimal" w:pos="822"/>
              </w:tabs>
            </w:pPr>
            <w:r w:rsidRPr="008959F0">
              <w:t>4.2</w:t>
            </w:r>
          </w:p>
        </w:tc>
      </w:tr>
      <w:tr w:rsidR="00280D9D" w:rsidRPr="003C4074" w:rsidTr="008959F0">
        <w:tc>
          <w:tcPr>
            <w:tcW w:w="5245" w:type="dxa"/>
            <w:tcBorders>
              <w:top w:val="nil"/>
              <w:bottom w:val="single" w:sz="4" w:space="0" w:color="000000" w:themeColor="text1"/>
            </w:tcBorders>
          </w:tcPr>
          <w:p w:rsidR="00280D9D" w:rsidRPr="003C4074" w:rsidRDefault="00280D9D" w:rsidP="008959F0">
            <w:pPr>
              <w:pStyle w:val="Tabletext"/>
              <w:rPr>
                <w:b/>
              </w:rPr>
            </w:pPr>
          </w:p>
        </w:tc>
        <w:tc>
          <w:tcPr>
            <w:tcW w:w="1772" w:type="dxa"/>
            <w:tcBorders>
              <w:top w:val="nil"/>
              <w:bottom w:val="single" w:sz="4" w:space="0" w:color="000000" w:themeColor="text1"/>
            </w:tcBorders>
          </w:tcPr>
          <w:p w:rsidR="00280D9D" w:rsidRPr="003C4074" w:rsidRDefault="00280D9D" w:rsidP="003C4074">
            <w:pPr>
              <w:pStyle w:val="Tabletext"/>
              <w:tabs>
                <w:tab w:val="decimal" w:pos="879"/>
              </w:tabs>
              <w:rPr>
                <w:b/>
              </w:rPr>
            </w:pPr>
            <w:r w:rsidRPr="003C4074">
              <w:rPr>
                <w:b/>
              </w:rPr>
              <w:t>144</w:t>
            </w:r>
          </w:p>
        </w:tc>
        <w:tc>
          <w:tcPr>
            <w:tcW w:w="1772" w:type="dxa"/>
            <w:tcBorders>
              <w:top w:val="nil"/>
              <w:bottom w:val="single" w:sz="4" w:space="0" w:color="000000" w:themeColor="text1"/>
            </w:tcBorders>
          </w:tcPr>
          <w:p w:rsidR="00280D9D" w:rsidRPr="003C4074" w:rsidRDefault="00280D9D" w:rsidP="003C4074">
            <w:pPr>
              <w:pStyle w:val="Tabletext"/>
              <w:tabs>
                <w:tab w:val="decimal" w:pos="822"/>
              </w:tabs>
              <w:rPr>
                <w:b/>
              </w:rPr>
            </w:pPr>
            <w:r w:rsidRPr="003C4074">
              <w:rPr>
                <w:b/>
              </w:rPr>
              <w:t>100.0</w:t>
            </w:r>
          </w:p>
        </w:tc>
      </w:tr>
    </w:tbl>
    <w:p w:rsidR="00DE4281" w:rsidRDefault="00DE4281" w:rsidP="008959F0">
      <w:pPr>
        <w:pStyle w:val="Source"/>
      </w:pPr>
      <w:r>
        <w:t>Source:</w:t>
      </w:r>
      <w:r w:rsidR="008959F0">
        <w:tab/>
      </w:r>
      <w:r w:rsidR="00712F2A">
        <w:t>R</w:t>
      </w:r>
      <w:r w:rsidR="003F756A">
        <w:t>egistered training organisation</w:t>
      </w:r>
      <w:r>
        <w:t xml:space="preserve"> questionnaire for this study</w:t>
      </w:r>
      <w:r w:rsidR="00EA3977">
        <w:t>.</w:t>
      </w:r>
    </w:p>
    <w:p w:rsidR="00417FF8" w:rsidRDefault="00D300AE" w:rsidP="003C4074">
      <w:pPr>
        <w:pStyle w:val="Textmorebefore"/>
      </w:pPr>
      <w:r>
        <w:t xml:space="preserve">When practitioners are asked to consider </w:t>
      </w:r>
      <w:r w:rsidR="00712F2A">
        <w:t>the</w:t>
      </w:r>
      <w:r>
        <w:t xml:space="preserve"> factors </w:t>
      </w:r>
      <w:r w:rsidR="00712F2A">
        <w:t xml:space="preserve">that </w:t>
      </w:r>
      <w:r>
        <w:t>must be in place for an effective assessment</w:t>
      </w:r>
      <w:r w:rsidR="00712F2A">
        <w:t>,</w:t>
      </w:r>
      <w:r>
        <w:t xml:space="preserve"> </w:t>
      </w:r>
      <w:r w:rsidR="005D6C3C">
        <w:t>some key</w:t>
      </w:r>
      <w:r>
        <w:t xml:space="preserve"> </w:t>
      </w:r>
      <w:r w:rsidR="00712F2A">
        <w:t>requirements are identified</w:t>
      </w:r>
      <w:r w:rsidR="000748EF">
        <w:t xml:space="preserve"> (table 2)</w:t>
      </w:r>
      <w:r>
        <w:t xml:space="preserve">. The most popular, identified by </w:t>
      </w:r>
      <w:r w:rsidR="000B221C">
        <w:t>almost all</w:t>
      </w:r>
      <w:r>
        <w:t xml:space="preserve"> participants, </w:t>
      </w:r>
      <w:r w:rsidR="00712F2A">
        <w:t>are the</w:t>
      </w:r>
      <w:r>
        <w:t xml:space="preserve"> availabili</w:t>
      </w:r>
      <w:r w:rsidR="00712F2A">
        <w:t>ty of reliable assessment tools</w:t>
      </w:r>
      <w:r>
        <w:t xml:space="preserve"> and arrangements for the moderation and validation of assessments.</w:t>
      </w:r>
      <w:r w:rsidR="00E3166C">
        <w:t xml:space="preserve"> </w:t>
      </w:r>
      <w:r w:rsidR="00EA3977">
        <w:t>These</w:t>
      </w:r>
      <w:r>
        <w:t xml:space="preserve"> included </w:t>
      </w:r>
      <w:r w:rsidR="00BB2C17">
        <w:t>the use of independent assessors</w:t>
      </w:r>
      <w:r w:rsidR="00D20D5F">
        <w:t>,</w:t>
      </w:r>
      <w:r w:rsidR="00BB2C17">
        <w:t xml:space="preserve"> </w:t>
      </w:r>
      <w:r w:rsidR="00417FF8">
        <w:t xml:space="preserve">effective </w:t>
      </w:r>
      <w:r>
        <w:t xml:space="preserve">marking guides </w:t>
      </w:r>
      <w:r w:rsidR="00BB2C17">
        <w:t>to aid consistency,</w:t>
      </w:r>
      <w:r>
        <w:t xml:space="preserve"> </w:t>
      </w:r>
      <w:r w:rsidR="00BB2C17">
        <w:t xml:space="preserve">and </w:t>
      </w:r>
      <w:r>
        <w:t xml:space="preserve">up-to-date and appropriate </w:t>
      </w:r>
      <w:r w:rsidR="00417FF8">
        <w:t xml:space="preserve">resources and </w:t>
      </w:r>
      <w:r>
        <w:t>equipment</w:t>
      </w:r>
      <w:r w:rsidR="000B221C">
        <w:t xml:space="preserve"> to demonstrate competent performance</w:t>
      </w:r>
      <w:r>
        <w:t xml:space="preserve">. </w:t>
      </w:r>
      <w:r w:rsidR="005D6C3C">
        <w:t xml:space="preserve">This was followed by the </w:t>
      </w:r>
      <w:r w:rsidR="00417FF8">
        <w:t>quality of assessment settings and techniques</w:t>
      </w:r>
      <w:r w:rsidR="005D6C3C">
        <w:t>, including</w:t>
      </w:r>
      <w:r w:rsidR="00417FF8">
        <w:t xml:space="preserve"> the accurate matching of assessment tool</w:t>
      </w:r>
      <w:r w:rsidR="00EA3977">
        <w:t>s to the level of qualification</w:t>
      </w:r>
      <w:r w:rsidR="00417FF8">
        <w:t xml:space="preserve"> and </w:t>
      </w:r>
      <w:r w:rsidR="00712F2A">
        <w:t xml:space="preserve">the </w:t>
      </w:r>
      <w:r w:rsidR="00417FF8">
        <w:t xml:space="preserve">mapping of assessments to performance criteria in </w:t>
      </w:r>
      <w:r w:rsidR="00EA3977">
        <w:t xml:space="preserve">the </w:t>
      </w:r>
      <w:r w:rsidR="00417FF8">
        <w:t xml:space="preserve">relevant </w:t>
      </w:r>
      <w:r w:rsidR="003F756A">
        <w:t>training packages</w:t>
      </w:r>
      <w:r w:rsidR="00417FF8">
        <w:t xml:space="preserve">. Assessments </w:t>
      </w:r>
      <w:r w:rsidR="00712F2A">
        <w:t xml:space="preserve">also </w:t>
      </w:r>
      <w:r w:rsidR="00417FF8">
        <w:t xml:space="preserve">needed to be conducted in authentic and safe settings. </w:t>
      </w:r>
    </w:p>
    <w:p w:rsidR="00610C78" w:rsidRPr="003C4074" w:rsidRDefault="00712F2A" w:rsidP="003C4074">
      <w:pPr>
        <w:pStyle w:val="Text"/>
      </w:pPr>
      <w:r>
        <w:t>The a</w:t>
      </w:r>
      <w:r w:rsidR="00417FF8">
        <w:t xml:space="preserve">vailability of sufficient evidence was </w:t>
      </w:r>
      <w:r w:rsidR="005D6C3C">
        <w:t>another</w:t>
      </w:r>
      <w:r w:rsidR="00417FF8">
        <w:t xml:space="preserve"> key factor</w:t>
      </w:r>
      <w:r w:rsidR="005D6C3C">
        <w:t xml:space="preserve"> and</w:t>
      </w:r>
      <w:r w:rsidR="00417FF8">
        <w:t xml:space="preserve"> </w:t>
      </w:r>
      <w:r w:rsidR="00BB2C17">
        <w:t xml:space="preserve">comprised </w:t>
      </w:r>
      <w:r w:rsidR="00417FF8">
        <w:t xml:space="preserve">evidence </w:t>
      </w:r>
      <w:r w:rsidR="00EA3977">
        <w:t xml:space="preserve">of underpinning knowledge and practical skill </w:t>
      </w:r>
      <w:r w:rsidR="00610C78">
        <w:t xml:space="preserve">gained </w:t>
      </w:r>
      <w:r w:rsidR="00417FF8">
        <w:t>from multiple and varied sources,</w:t>
      </w:r>
      <w:r w:rsidR="00BB2C17">
        <w:t xml:space="preserve"> continuous or formative assessment arrangements and</w:t>
      </w:r>
      <w:r w:rsidR="00417FF8">
        <w:t xml:space="preserve"> recognition of existing skills</w:t>
      </w:r>
      <w:r w:rsidR="00BB2C17">
        <w:t>. Flexible</w:t>
      </w:r>
      <w:r w:rsidR="00BB2C17" w:rsidRPr="00440509">
        <w:t xml:space="preserve">, </w:t>
      </w:r>
      <w:r w:rsidR="00417FF8" w:rsidRPr="00440509">
        <w:t xml:space="preserve">fair and equitable </w:t>
      </w:r>
      <w:r w:rsidR="00610C78" w:rsidRPr="00440509">
        <w:t>processes (including the application of reasonable adjustment processes, especially for language and literacy in aged care programs)</w:t>
      </w:r>
      <w:r w:rsidR="00BB2C17" w:rsidRPr="00440509">
        <w:t xml:space="preserve"> </w:t>
      </w:r>
      <w:r w:rsidR="00E17333">
        <w:t xml:space="preserve">were other </w:t>
      </w:r>
      <w:r w:rsidR="00EA3977">
        <w:t>features of</w:t>
      </w:r>
      <w:r w:rsidR="00E17333">
        <w:t xml:space="preserve"> </w:t>
      </w:r>
      <w:r>
        <w:t xml:space="preserve">the </w:t>
      </w:r>
      <w:r w:rsidR="00E17333">
        <w:t>implement</w:t>
      </w:r>
      <w:r>
        <w:t>ation of</w:t>
      </w:r>
      <w:r w:rsidR="00E17333">
        <w:t xml:space="preserve"> effective assessments. </w:t>
      </w:r>
      <w:r w:rsidR="00610C78">
        <w:t>There was also a view that assess</w:t>
      </w:r>
      <w:r w:rsidR="006A7F53">
        <w:t>ors</w:t>
      </w:r>
      <w:r w:rsidR="00610C78">
        <w:t xml:space="preserve"> should not be afraid to </w:t>
      </w:r>
      <w:r w:rsidR="00610C78" w:rsidRPr="003C4074">
        <w:t xml:space="preserve">explore ethical issues. </w:t>
      </w:r>
    </w:p>
    <w:p w:rsidR="00E17333" w:rsidRPr="003C4074" w:rsidRDefault="00610C78" w:rsidP="003C4074">
      <w:pPr>
        <w:pStyle w:val="Text"/>
      </w:pPr>
      <w:r w:rsidRPr="003C4074">
        <w:t>Other les</w:t>
      </w:r>
      <w:r w:rsidR="00E17333" w:rsidRPr="003C4074">
        <w:t>s frequently identified factors</w:t>
      </w:r>
      <w:r w:rsidR="005D6C3C" w:rsidRPr="003C4074">
        <w:t xml:space="preserve"> were </w:t>
      </w:r>
      <w:r w:rsidR="00712F2A" w:rsidRPr="003C4074">
        <w:t>related to</w:t>
      </w:r>
      <w:r w:rsidR="005D6C3C" w:rsidRPr="003C4074">
        <w:t xml:space="preserve"> </w:t>
      </w:r>
      <w:r w:rsidRPr="003C4074">
        <w:t xml:space="preserve">the clarity of </w:t>
      </w:r>
      <w:r w:rsidR="00E17333" w:rsidRPr="003C4074">
        <w:t xml:space="preserve">assessment </w:t>
      </w:r>
      <w:r w:rsidRPr="003C4074">
        <w:t xml:space="preserve">instructions and expectations, </w:t>
      </w:r>
      <w:r w:rsidR="00BB2C17" w:rsidRPr="003C4074">
        <w:t xml:space="preserve">and the prior notification of students of </w:t>
      </w:r>
      <w:r w:rsidR="00712F2A" w:rsidRPr="003C4074">
        <w:t>the timing of assessments</w:t>
      </w:r>
      <w:r w:rsidR="00BB2C17" w:rsidRPr="003C4074">
        <w:t xml:space="preserve">. </w:t>
      </w:r>
      <w:r w:rsidR="00E17333" w:rsidRPr="003C4074">
        <w:t xml:space="preserve">It was also felt that when </w:t>
      </w:r>
      <w:r w:rsidR="002A6852">
        <w:t xml:space="preserve">the </w:t>
      </w:r>
      <w:r w:rsidR="00E17333" w:rsidRPr="003C4074">
        <w:t>f</w:t>
      </w:r>
      <w:r w:rsidRPr="003C4074">
        <w:t>eedback provided to candidates on prior assignments</w:t>
      </w:r>
      <w:r w:rsidR="00BB2C17" w:rsidRPr="003C4074">
        <w:t xml:space="preserve"> and tests</w:t>
      </w:r>
      <w:r w:rsidRPr="003C4074">
        <w:t xml:space="preserve"> </w:t>
      </w:r>
      <w:r w:rsidR="00BB2C17" w:rsidRPr="003C4074">
        <w:t>was adequate and timely</w:t>
      </w:r>
      <w:r w:rsidR="00712F2A" w:rsidRPr="003C4074">
        <w:t>,</w:t>
      </w:r>
      <w:r w:rsidR="00BB2C17" w:rsidRPr="003C4074">
        <w:t xml:space="preserve"> </w:t>
      </w:r>
      <w:r w:rsidR="00E17333" w:rsidRPr="003C4074">
        <w:t>it</w:t>
      </w:r>
      <w:r w:rsidR="00BB2C17" w:rsidRPr="003C4074">
        <w:t xml:space="preserve"> helped to improve subsequent learning</w:t>
      </w:r>
      <w:r w:rsidR="00E17333" w:rsidRPr="003C4074">
        <w:t xml:space="preserve">. This learning could then be </w:t>
      </w:r>
      <w:r w:rsidR="00BB2C17" w:rsidRPr="0039128A">
        <w:t xml:space="preserve">reflected in </w:t>
      </w:r>
      <w:r w:rsidR="00E17333" w:rsidRPr="0039128A">
        <w:t xml:space="preserve">successful performance in </w:t>
      </w:r>
      <w:r w:rsidR="00BB2C17" w:rsidRPr="0039128A">
        <w:t xml:space="preserve">subsequent assessments. Also important was the availability of </w:t>
      </w:r>
      <w:r w:rsidRPr="0039128A">
        <w:t>adequate language</w:t>
      </w:r>
      <w:r w:rsidR="00E17333" w:rsidRPr="0039128A">
        <w:t xml:space="preserve">, literacy or numeracy support </w:t>
      </w:r>
      <w:r w:rsidR="00BB2C17" w:rsidRPr="0039128A">
        <w:t>to help candidates</w:t>
      </w:r>
      <w:r w:rsidR="00440509" w:rsidRPr="0039128A">
        <w:t xml:space="preserve"> </w:t>
      </w:r>
      <w:r w:rsidR="00BB2C17" w:rsidRPr="0039128A">
        <w:t xml:space="preserve">(with such issues) </w:t>
      </w:r>
      <w:r w:rsidR="00E17333" w:rsidRPr="0039128A">
        <w:t xml:space="preserve">to </w:t>
      </w:r>
      <w:r w:rsidR="00BB2C17" w:rsidRPr="0039128A">
        <w:t>dem</w:t>
      </w:r>
      <w:r w:rsidR="00BB2C17" w:rsidRPr="003C4074">
        <w:t xml:space="preserve">onstrate competent performance. </w:t>
      </w:r>
      <w:r w:rsidR="005D6C3C" w:rsidRPr="003C4074">
        <w:t>The need for m</w:t>
      </w:r>
      <w:r w:rsidR="00E17333" w:rsidRPr="003C4074">
        <w:t xml:space="preserve">ultiple sources of </w:t>
      </w:r>
      <w:r w:rsidR="00AB663D" w:rsidRPr="003C4074">
        <w:t>evidence to</w:t>
      </w:r>
      <w:r w:rsidR="005D6C3C" w:rsidRPr="003C4074">
        <w:t xml:space="preserve"> denote competence was commonly accepted </w:t>
      </w:r>
      <w:r w:rsidR="006A7F53" w:rsidRPr="003C4074">
        <w:t>by all trainers and assessors, al</w:t>
      </w:r>
      <w:r w:rsidR="005D6C3C" w:rsidRPr="003C4074">
        <w:t xml:space="preserve">though there was one suggestion for the development of a </w:t>
      </w:r>
      <w:r w:rsidR="00440509" w:rsidRPr="003C4074">
        <w:t xml:space="preserve">single instrument rather than multiple sources </w:t>
      </w:r>
      <w:r w:rsidR="005D6C3C" w:rsidRPr="003C4074">
        <w:t xml:space="preserve">that could be used to </w:t>
      </w:r>
      <w:r w:rsidR="00E17333" w:rsidRPr="003C4074">
        <w:t xml:space="preserve">identify competent performance </w:t>
      </w:r>
      <w:r w:rsidR="009F3D4E" w:rsidRPr="003C4074">
        <w:t>across</w:t>
      </w:r>
      <w:r w:rsidR="00E17333" w:rsidRPr="003C4074">
        <w:t xml:space="preserve"> a range of contexts.</w:t>
      </w:r>
    </w:p>
    <w:p w:rsidR="006A1101" w:rsidRDefault="00E17333" w:rsidP="003C4074">
      <w:pPr>
        <w:pStyle w:val="Text"/>
      </w:pPr>
      <w:r w:rsidRPr="003C4074">
        <w:t xml:space="preserve">The expertise of trainers </w:t>
      </w:r>
      <w:r w:rsidR="009F3D4E" w:rsidRPr="003C4074">
        <w:t xml:space="preserve">and </w:t>
      </w:r>
      <w:r w:rsidRPr="003C4074">
        <w:t xml:space="preserve">assessors </w:t>
      </w:r>
      <w:r w:rsidR="006A1101" w:rsidRPr="003C4074">
        <w:t>in occupational</w:t>
      </w:r>
      <w:r w:rsidR="006A1101">
        <w:t xml:space="preserve"> competencies and assessment also</w:t>
      </w:r>
      <w:r>
        <w:t xml:space="preserve"> led to effective or quality assessments. </w:t>
      </w:r>
      <w:r w:rsidR="006A1101">
        <w:t xml:space="preserve">These included </w:t>
      </w:r>
      <w:r w:rsidR="00712F2A">
        <w:t xml:space="preserve">the </w:t>
      </w:r>
      <w:r w:rsidR="006A1101">
        <w:t>c</w:t>
      </w:r>
      <w:r>
        <w:t>urrency of assessor</w:t>
      </w:r>
      <w:r w:rsidR="00712F2A">
        <w:t>s</w:t>
      </w:r>
      <w:r w:rsidR="00D52B39">
        <w:t>’</w:t>
      </w:r>
      <w:r>
        <w:t xml:space="preserve"> industry and occup</w:t>
      </w:r>
      <w:r w:rsidR="006A1101">
        <w:t xml:space="preserve">ational knowledge and expertise, and </w:t>
      </w:r>
      <w:r w:rsidR="00440509">
        <w:t>time and cost efficiencies</w:t>
      </w:r>
      <w:r w:rsidR="003C4074">
        <w:t>.</w:t>
      </w:r>
    </w:p>
    <w:p w:rsidR="00247E99" w:rsidRDefault="00712F2A" w:rsidP="001D3871">
      <w:pPr>
        <w:pStyle w:val="tabletitle"/>
      </w:pPr>
      <w:bookmarkStart w:id="42" w:name="_Toc381103326"/>
      <w:r>
        <w:lastRenderedPageBreak/>
        <w:t>Table 2</w:t>
      </w:r>
      <w:r w:rsidR="001D3871">
        <w:tab/>
      </w:r>
      <w:r w:rsidR="00247E99">
        <w:t>Practitioner views of factors required for effective assessments</w:t>
      </w:r>
      <w:bookmarkEnd w:id="42"/>
      <w:r w:rsidR="00247E99">
        <w:t xml:space="preserve"> </w:t>
      </w:r>
    </w:p>
    <w:tbl>
      <w:tblPr>
        <w:tblStyle w:val="TableGrid"/>
        <w:tblW w:w="8789"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1"/>
        <w:gridCol w:w="1914"/>
        <w:gridCol w:w="1914"/>
      </w:tblGrid>
      <w:tr w:rsidR="00526B59" w:rsidRPr="001D3871" w:rsidTr="001D3871">
        <w:tc>
          <w:tcPr>
            <w:tcW w:w="4961" w:type="dxa"/>
            <w:tcBorders>
              <w:top w:val="single" w:sz="4" w:space="0" w:color="000000" w:themeColor="text1"/>
              <w:bottom w:val="single" w:sz="4" w:space="0" w:color="auto"/>
            </w:tcBorders>
          </w:tcPr>
          <w:p w:rsidR="00526B59" w:rsidRPr="001D3871" w:rsidRDefault="00526B59" w:rsidP="001D3871">
            <w:pPr>
              <w:pStyle w:val="Tablehead1"/>
            </w:pPr>
            <w:r w:rsidRPr="001D3871">
              <w:t>Characteristic</w:t>
            </w:r>
          </w:p>
        </w:tc>
        <w:tc>
          <w:tcPr>
            <w:tcW w:w="1914" w:type="dxa"/>
            <w:tcBorders>
              <w:top w:val="single" w:sz="4" w:space="0" w:color="000000" w:themeColor="text1"/>
              <w:bottom w:val="single" w:sz="4" w:space="0" w:color="auto"/>
            </w:tcBorders>
          </w:tcPr>
          <w:p w:rsidR="00526B59" w:rsidRPr="001D3871" w:rsidRDefault="00526B59" w:rsidP="001D3871">
            <w:pPr>
              <w:pStyle w:val="Tablehead1"/>
              <w:jc w:val="center"/>
            </w:pPr>
            <w:r w:rsidRPr="001D3871">
              <w:t>No. of responses</w:t>
            </w:r>
          </w:p>
        </w:tc>
        <w:tc>
          <w:tcPr>
            <w:tcW w:w="1914" w:type="dxa"/>
            <w:tcBorders>
              <w:top w:val="single" w:sz="4" w:space="0" w:color="000000" w:themeColor="text1"/>
              <w:bottom w:val="single" w:sz="4" w:space="0" w:color="auto"/>
            </w:tcBorders>
          </w:tcPr>
          <w:p w:rsidR="00526B59" w:rsidRPr="001D3871" w:rsidRDefault="00526B59" w:rsidP="001D3871">
            <w:pPr>
              <w:pStyle w:val="Tablehead1"/>
              <w:jc w:val="center"/>
            </w:pPr>
            <w:r w:rsidRPr="001D3871">
              <w:t>% of respondents</w:t>
            </w:r>
            <w:r w:rsidR="000748EF" w:rsidRPr="001D3871">
              <w:rPr>
                <w:vertAlign w:val="superscript"/>
              </w:rPr>
              <w:t>1</w:t>
            </w:r>
            <w:r w:rsidR="001D3871" w:rsidRPr="001D3871">
              <w:br/>
            </w:r>
            <w:r w:rsidRPr="001D3871">
              <w:t>(n</w:t>
            </w:r>
            <w:r w:rsidR="000748EF" w:rsidRPr="001D3871">
              <w:t xml:space="preserve"> </w:t>
            </w:r>
            <w:r w:rsidRPr="001D3871">
              <w:t>=</w:t>
            </w:r>
            <w:r w:rsidR="000748EF" w:rsidRPr="001D3871">
              <w:t xml:space="preserve"> </w:t>
            </w:r>
            <w:r w:rsidRPr="001D3871">
              <w:t>41)</w:t>
            </w:r>
          </w:p>
        </w:tc>
      </w:tr>
      <w:tr w:rsidR="00526B59" w:rsidRPr="001D3871" w:rsidTr="001D3871">
        <w:tc>
          <w:tcPr>
            <w:tcW w:w="4961" w:type="dxa"/>
            <w:tcBorders>
              <w:top w:val="single" w:sz="4" w:space="0" w:color="auto"/>
            </w:tcBorders>
          </w:tcPr>
          <w:p w:rsidR="00526B59" w:rsidRPr="001D3871" w:rsidRDefault="00526B59" w:rsidP="001D3871">
            <w:pPr>
              <w:pStyle w:val="Tabletext"/>
            </w:pPr>
            <w:r w:rsidRPr="001D3871">
              <w:t xml:space="preserve">Arrangements for </w:t>
            </w:r>
            <w:r w:rsidR="006A7F53" w:rsidRPr="001D3871">
              <w:t>demonstrating</w:t>
            </w:r>
            <w:r w:rsidRPr="001D3871">
              <w:t xml:space="preserve"> validity and reliability </w:t>
            </w:r>
          </w:p>
        </w:tc>
        <w:tc>
          <w:tcPr>
            <w:tcW w:w="1914" w:type="dxa"/>
            <w:tcBorders>
              <w:top w:val="single" w:sz="4" w:space="0" w:color="auto"/>
            </w:tcBorders>
          </w:tcPr>
          <w:p w:rsidR="00526B59" w:rsidRPr="001D3871" w:rsidRDefault="00526B59" w:rsidP="001D3871">
            <w:pPr>
              <w:pStyle w:val="Tabletext"/>
              <w:tabs>
                <w:tab w:val="decimal" w:pos="907"/>
              </w:tabs>
            </w:pPr>
            <w:r w:rsidRPr="001D3871">
              <w:t>40</w:t>
            </w:r>
          </w:p>
        </w:tc>
        <w:tc>
          <w:tcPr>
            <w:tcW w:w="1914" w:type="dxa"/>
            <w:tcBorders>
              <w:top w:val="single" w:sz="4" w:space="0" w:color="auto"/>
            </w:tcBorders>
          </w:tcPr>
          <w:p w:rsidR="00526B59" w:rsidRPr="001D3871" w:rsidRDefault="00526B59" w:rsidP="001D3871">
            <w:pPr>
              <w:pStyle w:val="Tabletext"/>
              <w:tabs>
                <w:tab w:val="decimal" w:pos="851"/>
              </w:tabs>
            </w:pPr>
            <w:r w:rsidRPr="001D3871">
              <w:t>97.5</w:t>
            </w:r>
          </w:p>
        </w:tc>
      </w:tr>
      <w:tr w:rsidR="00526B59" w:rsidRPr="001D3871" w:rsidTr="001D3871">
        <w:tc>
          <w:tcPr>
            <w:tcW w:w="4961" w:type="dxa"/>
          </w:tcPr>
          <w:p w:rsidR="00526B59" w:rsidRPr="001D3871" w:rsidRDefault="00526B59" w:rsidP="001D3871">
            <w:pPr>
              <w:pStyle w:val="Tabletext"/>
            </w:pPr>
            <w:r w:rsidRPr="001D3871">
              <w:t>Appropriateness to qualification level and type</w:t>
            </w:r>
          </w:p>
        </w:tc>
        <w:tc>
          <w:tcPr>
            <w:tcW w:w="1914" w:type="dxa"/>
          </w:tcPr>
          <w:p w:rsidR="00526B59" w:rsidRPr="001D3871" w:rsidRDefault="00526B59" w:rsidP="001D3871">
            <w:pPr>
              <w:pStyle w:val="Tabletext"/>
              <w:tabs>
                <w:tab w:val="decimal" w:pos="907"/>
              </w:tabs>
            </w:pPr>
            <w:r w:rsidRPr="001D3871">
              <w:t>33</w:t>
            </w:r>
          </w:p>
        </w:tc>
        <w:tc>
          <w:tcPr>
            <w:tcW w:w="1914" w:type="dxa"/>
          </w:tcPr>
          <w:p w:rsidR="00526B59" w:rsidRPr="001D3871" w:rsidRDefault="00526B59" w:rsidP="001D3871">
            <w:pPr>
              <w:pStyle w:val="Tabletext"/>
              <w:tabs>
                <w:tab w:val="decimal" w:pos="851"/>
              </w:tabs>
            </w:pPr>
            <w:r w:rsidRPr="001D3871">
              <w:t>78.0</w:t>
            </w:r>
          </w:p>
        </w:tc>
      </w:tr>
      <w:tr w:rsidR="00526B59" w:rsidRPr="001D3871" w:rsidTr="001D3871">
        <w:tc>
          <w:tcPr>
            <w:tcW w:w="4961" w:type="dxa"/>
          </w:tcPr>
          <w:p w:rsidR="00526B59" w:rsidRPr="001D3871" w:rsidRDefault="00526B59" w:rsidP="001D3871">
            <w:pPr>
              <w:pStyle w:val="Tabletext"/>
            </w:pPr>
            <w:r w:rsidRPr="001D3871">
              <w:t xml:space="preserve">Availability of adequate, varied and multiple sources of evidence </w:t>
            </w:r>
          </w:p>
        </w:tc>
        <w:tc>
          <w:tcPr>
            <w:tcW w:w="1914" w:type="dxa"/>
          </w:tcPr>
          <w:p w:rsidR="00526B59" w:rsidRPr="001D3871" w:rsidRDefault="00526B59" w:rsidP="001D3871">
            <w:pPr>
              <w:pStyle w:val="Tabletext"/>
              <w:tabs>
                <w:tab w:val="decimal" w:pos="907"/>
              </w:tabs>
            </w:pPr>
            <w:r w:rsidRPr="001D3871">
              <w:t>30</w:t>
            </w:r>
          </w:p>
        </w:tc>
        <w:tc>
          <w:tcPr>
            <w:tcW w:w="1914" w:type="dxa"/>
          </w:tcPr>
          <w:p w:rsidR="00526B59" w:rsidRPr="001D3871" w:rsidRDefault="00526B59" w:rsidP="001D3871">
            <w:pPr>
              <w:pStyle w:val="Tabletext"/>
              <w:tabs>
                <w:tab w:val="decimal" w:pos="851"/>
              </w:tabs>
            </w:pPr>
            <w:r w:rsidRPr="001D3871">
              <w:t>73.1</w:t>
            </w:r>
          </w:p>
        </w:tc>
      </w:tr>
      <w:tr w:rsidR="00526B59" w:rsidRPr="001D3871" w:rsidTr="001D3871">
        <w:tc>
          <w:tcPr>
            <w:tcW w:w="4961" w:type="dxa"/>
          </w:tcPr>
          <w:p w:rsidR="00526B59" w:rsidRPr="001D3871" w:rsidRDefault="00526B59" w:rsidP="001D3871">
            <w:pPr>
              <w:pStyle w:val="Tabletext"/>
            </w:pPr>
            <w:r w:rsidRPr="001D3871">
              <w:t>Adequate preparation and ability of students</w:t>
            </w:r>
          </w:p>
        </w:tc>
        <w:tc>
          <w:tcPr>
            <w:tcW w:w="1914" w:type="dxa"/>
          </w:tcPr>
          <w:p w:rsidR="00526B59" w:rsidRPr="001D3871" w:rsidRDefault="00526B59" w:rsidP="001D3871">
            <w:pPr>
              <w:pStyle w:val="Tabletext"/>
              <w:tabs>
                <w:tab w:val="decimal" w:pos="907"/>
              </w:tabs>
            </w:pPr>
            <w:r w:rsidRPr="001D3871">
              <w:t>18</w:t>
            </w:r>
          </w:p>
        </w:tc>
        <w:tc>
          <w:tcPr>
            <w:tcW w:w="1914" w:type="dxa"/>
          </w:tcPr>
          <w:p w:rsidR="00526B59" w:rsidRPr="001D3871" w:rsidRDefault="00526B59" w:rsidP="001D3871">
            <w:pPr>
              <w:pStyle w:val="Tabletext"/>
              <w:tabs>
                <w:tab w:val="decimal" w:pos="851"/>
              </w:tabs>
            </w:pPr>
            <w:r w:rsidRPr="001D3871">
              <w:t>43.9</w:t>
            </w:r>
          </w:p>
        </w:tc>
      </w:tr>
      <w:tr w:rsidR="00526B59" w:rsidRPr="001D3871" w:rsidTr="001D3871">
        <w:tc>
          <w:tcPr>
            <w:tcW w:w="4961" w:type="dxa"/>
          </w:tcPr>
          <w:p w:rsidR="00526B59" w:rsidRPr="001D3871" w:rsidRDefault="00526B59" w:rsidP="001D3871">
            <w:pPr>
              <w:pStyle w:val="Tabletext"/>
            </w:pPr>
            <w:r w:rsidRPr="001D3871">
              <w:t>Expertise and efficiency of trainers and assessors</w:t>
            </w:r>
          </w:p>
        </w:tc>
        <w:tc>
          <w:tcPr>
            <w:tcW w:w="1914" w:type="dxa"/>
          </w:tcPr>
          <w:p w:rsidR="00526B59" w:rsidRPr="001D3871" w:rsidRDefault="00526B59" w:rsidP="001D3871">
            <w:pPr>
              <w:pStyle w:val="Tabletext"/>
              <w:tabs>
                <w:tab w:val="decimal" w:pos="907"/>
              </w:tabs>
            </w:pPr>
            <w:r w:rsidRPr="001D3871">
              <w:t>17</w:t>
            </w:r>
          </w:p>
        </w:tc>
        <w:tc>
          <w:tcPr>
            <w:tcW w:w="1914" w:type="dxa"/>
          </w:tcPr>
          <w:p w:rsidR="00526B59" w:rsidRPr="001D3871" w:rsidRDefault="00526B59" w:rsidP="001D3871">
            <w:pPr>
              <w:pStyle w:val="Tabletext"/>
              <w:tabs>
                <w:tab w:val="decimal" w:pos="851"/>
              </w:tabs>
            </w:pPr>
            <w:r w:rsidRPr="001D3871">
              <w:t>41.5</w:t>
            </w:r>
          </w:p>
        </w:tc>
      </w:tr>
    </w:tbl>
    <w:p w:rsidR="006340CC" w:rsidRPr="001D3871" w:rsidRDefault="00440509" w:rsidP="001D3871">
      <w:pPr>
        <w:pStyle w:val="Source"/>
      </w:pPr>
      <w:r>
        <w:t>Note:</w:t>
      </w:r>
      <w:r w:rsidR="001D3871">
        <w:tab/>
      </w:r>
      <w:r>
        <w:t>1</w:t>
      </w:r>
      <w:r w:rsidR="000748EF">
        <w:t xml:space="preserve"> </w:t>
      </w:r>
      <w:r w:rsidR="00B063A0">
        <w:t xml:space="preserve">  </w:t>
      </w:r>
      <w:r w:rsidR="000748EF">
        <w:t xml:space="preserve">This column refers </w:t>
      </w:r>
      <w:r w:rsidR="000748EF" w:rsidRPr="001D3871">
        <w:t>to the multiple responses provided by each of the 41 respondents in their interviews</w:t>
      </w:r>
      <w:r w:rsidR="006340CC" w:rsidRPr="001D3871">
        <w:t>.</w:t>
      </w:r>
    </w:p>
    <w:p w:rsidR="00DE4281" w:rsidRDefault="001D3871" w:rsidP="001D3871">
      <w:pPr>
        <w:pStyle w:val="Source"/>
      </w:pPr>
      <w:r>
        <w:t>Source:</w:t>
      </w:r>
      <w:r>
        <w:tab/>
      </w:r>
      <w:r w:rsidR="000748EF" w:rsidRPr="001D3871">
        <w:t>R</w:t>
      </w:r>
      <w:r w:rsidR="003F756A" w:rsidRPr="001D3871">
        <w:t>egistered training o</w:t>
      </w:r>
      <w:r w:rsidR="003F756A">
        <w:t>rganisation</w:t>
      </w:r>
      <w:r w:rsidR="00DE4281">
        <w:t xml:space="preserve"> questionnaire for this study</w:t>
      </w:r>
      <w:r w:rsidR="000748EF">
        <w:t>.</w:t>
      </w:r>
    </w:p>
    <w:p w:rsidR="00AD1707" w:rsidRDefault="00AD1707" w:rsidP="00AD1707">
      <w:pPr>
        <w:pStyle w:val="Text"/>
      </w:pPr>
    </w:p>
    <w:tbl>
      <w:tblPr>
        <w:tblStyle w:val="TableGrid"/>
        <w:tblW w:w="8789" w:type="dxa"/>
        <w:tblInd w:w="22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227" w:type="dxa"/>
          <w:right w:w="227" w:type="dxa"/>
        </w:tblCellMar>
        <w:tblLook w:val="04A0" w:firstRow="1" w:lastRow="0" w:firstColumn="1" w:lastColumn="0" w:noHBand="0" w:noVBand="1"/>
      </w:tblPr>
      <w:tblGrid>
        <w:gridCol w:w="8789"/>
      </w:tblGrid>
      <w:tr w:rsidR="00AD1707" w:rsidTr="00AD1707">
        <w:tc>
          <w:tcPr>
            <w:tcW w:w="9004" w:type="dxa"/>
            <w:shd w:val="clear" w:color="auto" w:fill="000000" w:themeFill="text1"/>
          </w:tcPr>
          <w:p w:rsidR="00AD1707" w:rsidRDefault="00AD1707" w:rsidP="00AD1707">
            <w:pPr>
              <w:pStyle w:val="Tablehead1"/>
            </w:pPr>
            <w:r>
              <w:t>What practitioners say</w:t>
            </w:r>
          </w:p>
        </w:tc>
      </w:tr>
      <w:tr w:rsidR="00AD1707" w:rsidTr="00AD1707">
        <w:tc>
          <w:tcPr>
            <w:tcW w:w="9004" w:type="dxa"/>
          </w:tcPr>
          <w:p w:rsidR="00AD1707" w:rsidRPr="00B1050E" w:rsidRDefault="00AD1707" w:rsidP="00AD1707">
            <w:pPr>
              <w:pStyle w:val="Tablehead1"/>
              <w:spacing w:before="120"/>
            </w:pPr>
            <w:r w:rsidRPr="00B1050E">
              <w:t>Effective or quality assessments</w:t>
            </w:r>
          </w:p>
          <w:p w:rsidR="00AD1707" w:rsidRPr="00435B76" w:rsidRDefault="00AD1707" w:rsidP="00AD1707">
            <w:pPr>
              <w:pStyle w:val="boxparastyle"/>
            </w:pPr>
            <w:r>
              <w:t>C</w:t>
            </w:r>
            <w:r w:rsidRPr="00435B76">
              <w:t>over all elements of competence and work-based concepts. They match the cohort of students being assessed, in that they are adjusted to student backgrounds. The marking criteria matches</w:t>
            </w:r>
            <w:r>
              <w:t xml:space="preserve"> [</w:t>
            </w:r>
            <w:r>
              <w:rPr>
                <w:i/>
              </w:rPr>
              <w:t>sic</w:t>
            </w:r>
            <w:r>
              <w:t>]</w:t>
            </w:r>
            <w:r w:rsidRPr="00435B76">
              <w:t xml:space="preserve"> the level of certificate being assessed</w:t>
            </w:r>
            <w:r>
              <w:t>.</w:t>
            </w:r>
            <w:r>
              <w:tab/>
              <w:t>(A</w:t>
            </w:r>
            <w:r w:rsidRPr="006340CC">
              <w:t>ged care, public provider)</w:t>
            </w:r>
          </w:p>
          <w:p w:rsidR="00AD1707" w:rsidRPr="00435B76" w:rsidRDefault="00AD1707" w:rsidP="00AD1707">
            <w:pPr>
              <w:pStyle w:val="boxparastyle"/>
            </w:pPr>
            <w:r>
              <w:t>C</w:t>
            </w:r>
            <w:r w:rsidRPr="00435B76">
              <w:t>hallenge students by making them analyse not recite. They are geared to make the student think even [though they might be] multiple choice tests. They represent systems for gathering data though more than one method of assessment</w:t>
            </w:r>
            <w:r>
              <w:t xml:space="preserve">, </w:t>
            </w:r>
            <w:r w:rsidRPr="00435B76">
              <w:t>including theoretical exercises, practical exercises, and 3rd party exercises (including e-profiling)</w:t>
            </w:r>
            <w:r>
              <w:t>,</w:t>
            </w:r>
            <w:r w:rsidRPr="00435B76">
              <w:t xml:space="preserve"> where the supervisor signs of</w:t>
            </w:r>
            <w:r>
              <w:t>f on the student electronic log</w:t>
            </w:r>
            <w:r w:rsidRPr="00435B76">
              <w:t>book</w:t>
            </w:r>
            <w:r>
              <w:t>,</w:t>
            </w:r>
            <w:r w:rsidRPr="00435B76">
              <w:t xml:space="preserve"> which lists</w:t>
            </w:r>
            <w:r>
              <w:t xml:space="preserve"> </w:t>
            </w:r>
            <w:r w:rsidRPr="00435B76">
              <w:t>what the student has done during the week for the various tasks they need to do</w:t>
            </w:r>
            <w:r>
              <w:t>.</w:t>
            </w:r>
            <w:r>
              <w:tab/>
              <w:t>(Electrical, public provider)</w:t>
            </w:r>
            <w:r w:rsidRPr="00435B76">
              <w:t xml:space="preserve"> </w:t>
            </w:r>
          </w:p>
          <w:p w:rsidR="00AD1707" w:rsidRPr="00435B76" w:rsidRDefault="00AD1707" w:rsidP="00AD1707">
            <w:pPr>
              <w:pStyle w:val="boxparastyle"/>
            </w:pPr>
            <w:r>
              <w:t>A</w:t>
            </w:r>
            <w:r w:rsidRPr="00435B76">
              <w:t>ssess what they are meant to be assessing and are flexible enough to demonstrate competencies in a number of ways</w:t>
            </w:r>
            <w:r>
              <w:t xml:space="preserve">, </w:t>
            </w:r>
            <w:r w:rsidRPr="00435B76">
              <w:t>including observation, role play or whatever is effective fo</w:t>
            </w:r>
            <w:r>
              <w:t>r that particular qualification.</w:t>
            </w:r>
            <w:r>
              <w:br/>
            </w:r>
            <w:r>
              <w:tab/>
              <w:t>(Business, private provider)</w:t>
            </w:r>
          </w:p>
          <w:p w:rsidR="00AD1707" w:rsidRDefault="00AD1707" w:rsidP="00AD1707">
            <w:pPr>
              <w:pStyle w:val="boxparastyle"/>
              <w:spacing w:after="120"/>
            </w:pPr>
            <w:r>
              <w:t>M</w:t>
            </w:r>
            <w:r w:rsidRPr="00435B76">
              <w:t>eet training package requirements, display currency, validity, and consistency,</w:t>
            </w:r>
            <w:r>
              <w:t xml:space="preserve"> </w:t>
            </w:r>
            <w:r w:rsidRPr="00435B76">
              <w:t>are</w:t>
            </w:r>
            <w:r>
              <w:t xml:space="preserve"> </w:t>
            </w:r>
            <w:r w:rsidRPr="00435B76">
              <w:t>aligned to AQTF requireme</w:t>
            </w:r>
            <w:r>
              <w:t>nts, and try not to over-assess.</w:t>
            </w:r>
            <w:r>
              <w:tab/>
              <w:t>(Business, public provider)</w:t>
            </w:r>
          </w:p>
        </w:tc>
      </w:tr>
    </w:tbl>
    <w:p w:rsidR="00E76AD3" w:rsidRDefault="00CF5119" w:rsidP="00E76AD3">
      <w:pPr>
        <w:pStyle w:val="Heading2"/>
      </w:pPr>
      <w:bookmarkStart w:id="43" w:name="_Toc381103177"/>
      <w:r>
        <w:t xml:space="preserve">Characteristics of </w:t>
      </w:r>
      <w:r w:rsidR="00E76AD3">
        <w:t>credible qualifications</w:t>
      </w:r>
      <w:bookmarkEnd w:id="43"/>
    </w:p>
    <w:p w:rsidR="007C6DDA" w:rsidRDefault="00E76AD3" w:rsidP="00A059D9">
      <w:pPr>
        <w:pStyle w:val="Text"/>
      </w:pPr>
      <w:r>
        <w:t xml:space="preserve">Practitioners believe </w:t>
      </w:r>
      <w:r w:rsidR="00EE61A2">
        <w:t>a variety of</w:t>
      </w:r>
      <w:r>
        <w:t xml:space="preserve"> </w:t>
      </w:r>
      <w:r w:rsidR="009E56B4">
        <w:t>features define</w:t>
      </w:r>
      <w:r>
        <w:t xml:space="preserve"> credible qualifications</w:t>
      </w:r>
      <w:r w:rsidR="00E84205">
        <w:t xml:space="preserve"> (table 3)</w:t>
      </w:r>
      <w:r>
        <w:t xml:space="preserve">. </w:t>
      </w:r>
      <w:r w:rsidR="00EE61A2">
        <w:t>First</w:t>
      </w:r>
      <w:r w:rsidR="001F52F0">
        <w:t>,</w:t>
      </w:r>
      <w:r w:rsidR="00D460B9">
        <w:t xml:space="preserve"> they </w:t>
      </w:r>
      <w:r w:rsidR="00EE61A2">
        <w:t>constitute</w:t>
      </w:r>
      <w:r w:rsidR="00D460B9">
        <w:t xml:space="preserve"> evidence that holders have the </w:t>
      </w:r>
      <w:r w:rsidR="009E56B4">
        <w:t>capacity</w:t>
      </w:r>
      <w:r w:rsidR="00D460B9">
        <w:t xml:space="preserve"> to apply </w:t>
      </w:r>
      <w:r w:rsidR="001F52F0">
        <w:t xml:space="preserve">the </w:t>
      </w:r>
      <w:r w:rsidR="00D460B9">
        <w:t>required standards of workplace competence</w:t>
      </w:r>
      <w:r w:rsidR="001F52F0">
        <w:t>, which</w:t>
      </w:r>
      <w:r w:rsidR="00D460B9">
        <w:t xml:space="preserve"> </w:t>
      </w:r>
      <w:r w:rsidR="00EE61A2">
        <w:t>ha</w:t>
      </w:r>
      <w:r w:rsidR="00D05DD3">
        <w:t>ve</w:t>
      </w:r>
      <w:r w:rsidR="00EE61A2">
        <w:t xml:space="preserve"> been </w:t>
      </w:r>
      <w:r w:rsidR="00D460B9">
        <w:t xml:space="preserve">gained through the practical application of skills in workplace settings. </w:t>
      </w:r>
      <w:r w:rsidR="00EE61A2">
        <w:t>For some qualifications (especially aged care) they require compulsory placement. Second</w:t>
      </w:r>
      <w:r w:rsidR="001F52F0">
        <w:t>,</w:t>
      </w:r>
      <w:r w:rsidR="00D460B9">
        <w:t xml:space="preserve"> they </w:t>
      </w:r>
      <w:r w:rsidR="00EE61A2">
        <w:t>must be</w:t>
      </w:r>
      <w:r w:rsidR="00E3166C">
        <w:t xml:space="preserve"> </w:t>
      </w:r>
      <w:r w:rsidR="00D460B9">
        <w:t>align</w:t>
      </w:r>
      <w:r w:rsidR="00EE61A2">
        <w:t>ed</w:t>
      </w:r>
      <w:r w:rsidR="00D460B9">
        <w:t xml:space="preserve"> to the requirements of </w:t>
      </w:r>
      <w:r w:rsidR="001F52F0">
        <w:t xml:space="preserve">the </w:t>
      </w:r>
      <w:r w:rsidR="00D460B9">
        <w:t xml:space="preserve">relevant </w:t>
      </w:r>
      <w:r w:rsidR="001F52F0">
        <w:t>training package</w:t>
      </w:r>
      <w:r w:rsidR="00E84205">
        <w:t xml:space="preserve"> and</w:t>
      </w:r>
      <w:r w:rsidR="00EE61A2">
        <w:t xml:space="preserve"> </w:t>
      </w:r>
      <w:r w:rsidR="00E84205">
        <w:t xml:space="preserve">meet the </w:t>
      </w:r>
      <w:r w:rsidR="00EE61A2">
        <w:t xml:space="preserve">associated </w:t>
      </w:r>
      <w:r w:rsidR="00D460B9">
        <w:t>performance criteria and</w:t>
      </w:r>
      <w:r w:rsidR="00DB454F">
        <w:t>,</w:t>
      </w:r>
      <w:r w:rsidR="00D460B9">
        <w:t xml:space="preserve"> where they exist</w:t>
      </w:r>
      <w:r w:rsidR="00EE61A2">
        <w:t>,</w:t>
      </w:r>
      <w:r w:rsidR="00D460B9">
        <w:t xml:space="preserve"> </w:t>
      </w:r>
      <w:r w:rsidR="00E84205">
        <w:t xml:space="preserve">the </w:t>
      </w:r>
      <w:r w:rsidR="00D460B9">
        <w:t xml:space="preserve">standards of regulatory frameworks (for example, electrical </w:t>
      </w:r>
      <w:r w:rsidR="00AB663D">
        <w:t>licensing</w:t>
      </w:r>
      <w:r w:rsidR="00D460B9">
        <w:t xml:space="preserve">). </w:t>
      </w:r>
      <w:r w:rsidR="00EE61A2">
        <w:t>Cred</w:t>
      </w:r>
      <w:r w:rsidR="00E84205">
        <w:t>ible qualifications are current</w:t>
      </w:r>
      <w:r w:rsidR="00EE61A2">
        <w:t xml:space="preserve"> </w:t>
      </w:r>
      <w:r w:rsidR="00B03909">
        <w:t xml:space="preserve">and </w:t>
      </w:r>
      <w:r w:rsidR="007C6DDA">
        <w:t xml:space="preserve">are </w:t>
      </w:r>
      <w:r w:rsidR="00EE61A2">
        <w:t>obtained through the application of rigorous delivery and assessment practice</w:t>
      </w:r>
      <w:r w:rsidR="00B03909">
        <w:t>s</w:t>
      </w:r>
      <w:r w:rsidR="00EE61A2">
        <w:t xml:space="preserve">. These </w:t>
      </w:r>
      <w:r w:rsidR="00B03909">
        <w:t xml:space="preserve">include </w:t>
      </w:r>
      <w:r w:rsidR="00EE61A2">
        <w:t xml:space="preserve">programs </w:t>
      </w:r>
      <w:r w:rsidR="00756705">
        <w:t>that are of sufficient duration</w:t>
      </w:r>
      <w:r w:rsidR="00EE61A2">
        <w:t xml:space="preserve"> </w:t>
      </w:r>
      <w:r w:rsidR="00756705" w:rsidRPr="00A059D9">
        <w:t xml:space="preserve">and </w:t>
      </w:r>
      <w:r w:rsidR="00E84205" w:rsidRPr="00A059D9">
        <w:t xml:space="preserve">which encompass </w:t>
      </w:r>
      <w:r w:rsidR="00EE61A2" w:rsidRPr="00A059D9">
        <w:t xml:space="preserve">processes for ensuring the validity and reliability of assessment and </w:t>
      </w:r>
      <w:r w:rsidR="00E84205" w:rsidRPr="00A059D9">
        <w:t xml:space="preserve">its </w:t>
      </w:r>
      <w:r w:rsidR="00EE61A2" w:rsidRPr="00A059D9">
        <w:t xml:space="preserve">outcomes. </w:t>
      </w:r>
      <w:r w:rsidR="00D460B9">
        <w:t xml:space="preserve">Credible qualifications are awarded by </w:t>
      </w:r>
      <w:r w:rsidR="003F756A">
        <w:t>registered training organisation</w:t>
      </w:r>
      <w:r w:rsidR="00D460B9">
        <w:t>s</w:t>
      </w:r>
      <w:r w:rsidR="009E56B4">
        <w:t xml:space="preserve"> </w:t>
      </w:r>
      <w:r w:rsidR="00DB454F">
        <w:t>that</w:t>
      </w:r>
      <w:r w:rsidR="00D460B9">
        <w:t xml:space="preserve"> </w:t>
      </w:r>
      <w:r w:rsidR="007C6DDA">
        <w:t xml:space="preserve">employ </w:t>
      </w:r>
      <w:r w:rsidR="00D460B9">
        <w:t>skilled trainers and assessors</w:t>
      </w:r>
      <w:r w:rsidR="00B03909">
        <w:t xml:space="preserve">. They </w:t>
      </w:r>
      <w:r w:rsidR="00AB663D">
        <w:t>also reflect</w:t>
      </w:r>
      <w:r w:rsidR="00B03909">
        <w:t xml:space="preserve"> the knowledge, skills and personal attributes of students (including language skills, understanding of job role, broad-based competence, confidence, </w:t>
      </w:r>
      <w:r w:rsidR="000F069E">
        <w:t xml:space="preserve">and </w:t>
      </w:r>
      <w:r w:rsidR="00B03909">
        <w:t>appropriateness for the job role)</w:t>
      </w:r>
      <w:r w:rsidR="00D460B9">
        <w:t>.</w:t>
      </w:r>
      <w:r w:rsidR="00EE61A2">
        <w:t xml:space="preserve"> </w:t>
      </w:r>
      <w:r w:rsidR="00B03909">
        <w:t>Credible qualifications meet student and community needs and are relevant to the student</w:t>
      </w:r>
      <w:r w:rsidR="00D52B39">
        <w:t>’</w:t>
      </w:r>
      <w:r w:rsidR="00B03909">
        <w:t>s area of interest.</w:t>
      </w:r>
    </w:p>
    <w:p w:rsidR="00A059D9" w:rsidRDefault="00A059D9">
      <w:pPr>
        <w:rPr>
          <w:rFonts w:ascii="Tahoma" w:hAnsi="Tahoma"/>
          <w:b/>
          <w:sz w:val="17"/>
          <w:szCs w:val="20"/>
          <w:lang w:eastAsia="en-US"/>
        </w:rPr>
      </w:pPr>
      <w:r>
        <w:br w:type="page"/>
      </w:r>
    </w:p>
    <w:p w:rsidR="008F2FBE" w:rsidRDefault="008F2FBE" w:rsidP="00A059D9">
      <w:pPr>
        <w:pStyle w:val="tabletitle"/>
      </w:pPr>
      <w:bookmarkStart w:id="44" w:name="_Toc381103327"/>
      <w:r>
        <w:lastRenderedPageBreak/>
        <w:t xml:space="preserve">Table </w:t>
      </w:r>
      <w:r w:rsidR="00B03909">
        <w:t>3</w:t>
      </w:r>
      <w:r w:rsidR="00A059D9">
        <w:tab/>
      </w:r>
      <w:r>
        <w:t xml:space="preserve">Practitioner views of </w:t>
      </w:r>
      <w:r w:rsidR="00EE61A2">
        <w:t>credible qualifications</w:t>
      </w:r>
      <w:bookmarkEnd w:id="44"/>
      <w:r>
        <w:t xml:space="preserve"> </w:t>
      </w:r>
    </w:p>
    <w:tbl>
      <w:tblPr>
        <w:tblStyle w:val="TableGrid"/>
        <w:tblW w:w="8789"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1772"/>
        <w:gridCol w:w="1772"/>
      </w:tblGrid>
      <w:tr w:rsidR="00526B59" w:rsidTr="00A059D9">
        <w:tc>
          <w:tcPr>
            <w:tcW w:w="5245" w:type="dxa"/>
            <w:tcBorders>
              <w:top w:val="single" w:sz="4" w:space="0" w:color="000000" w:themeColor="text1"/>
              <w:bottom w:val="single" w:sz="4" w:space="0" w:color="auto"/>
            </w:tcBorders>
          </w:tcPr>
          <w:p w:rsidR="00526B59" w:rsidRDefault="00526B59" w:rsidP="009F3D4E">
            <w:pPr>
              <w:pStyle w:val="Tablehead1"/>
            </w:pPr>
            <w:r>
              <w:t xml:space="preserve">Characteristics </w:t>
            </w:r>
          </w:p>
        </w:tc>
        <w:tc>
          <w:tcPr>
            <w:tcW w:w="1772" w:type="dxa"/>
            <w:tcBorders>
              <w:top w:val="single" w:sz="4" w:space="0" w:color="000000" w:themeColor="text1"/>
              <w:bottom w:val="single" w:sz="4" w:space="0" w:color="auto"/>
            </w:tcBorders>
          </w:tcPr>
          <w:p w:rsidR="00526B59" w:rsidRDefault="00526B59" w:rsidP="00A059D9">
            <w:pPr>
              <w:pStyle w:val="Tablehead1"/>
              <w:jc w:val="center"/>
            </w:pPr>
            <w:r>
              <w:t>No. of responses</w:t>
            </w:r>
          </w:p>
        </w:tc>
        <w:tc>
          <w:tcPr>
            <w:tcW w:w="1772" w:type="dxa"/>
            <w:tcBorders>
              <w:top w:val="single" w:sz="4" w:space="0" w:color="000000" w:themeColor="text1"/>
              <w:bottom w:val="single" w:sz="4" w:space="0" w:color="auto"/>
            </w:tcBorders>
          </w:tcPr>
          <w:p w:rsidR="00526B59" w:rsidRDefault="00E84205" w:rsidP="00A059D9">
            <w:pPr>
              <w:pStyle w:val="Tablehead1"/>
              <w:jc w:val="center"/>
            </w:pPr>
            <w:r>
              <w:t>% of respondents</w:t>
            </w:r>
            <w:r w:rsidRPr="00E84205">
              <w:rPr>
                <w:vertAlign w:val="superscript"/>
              </w:rPr>
              <w:t>1</w:t>
            </w:r>
            <w:r w:rsidR="00A059D9">
              <w:br/>
            </w:r>
            <w:r w:rsidR="00526B59">
              <w:t>(n</w:t>
            </w:r>
            <w:r>
              <w:t xml:space="preserve"> </w:t>
            </w:r>
            <w:r w:rsidR="00526B59">
              <w:t>=</w:t>
            </w:r>
            <w:r>
              <w:t xml:space="preserve"> </w:t>
            </w:r>
            <w:r w:rsidR="00526B59">
              <w:t>41)</w:t>
            </w:r>
          </w:p>
        </w:tc>
      </w:tr>
      <w:tr w:rsidR="00526B59" w:rsidRPr="00A059D9" w:rsidTr="00A059D9">
        <w:tc>
          <w:tcPr>
            <w:tcW w:w="5245" w:type="dxa"/>
            <w:tcBorders>
              <w:top w:val="single" w:sz="4" w:space="0" w:color="auto"/>
            </w:tcBorders>
          </w:tcPr>
          <w:p w:rsidR="00526B59" w:rsidRPr="00A059D9" w:rsidRDefault="00526B59" w:rsidP="00A059D9">
            <w:pPr>
              <w:pStyle w:val="Tabletext"/>
            </w:pPr>
            <w:r w:rsidRPr="00A059D9">
              <w:t>A credible qualification:</w:t>
            </w:r>
          </w:p>
        </w:tc>
        <w:tc>
          <w:tcPr>
            <w:tcW w:w="1772" w:type="dxa"/>
            <w:tcBorders>
              <w:top w:val="single" w:sz="4" w:space="0" w:color="auto"/>
            </w:tcBorders>
          </w:tcPr>
          <w:p w:rsidR="00526B59" w:rsidRPr="00A059D9" w:rsidRDefault="00526B59" w:rsidP="00A059D9">
            <w:pPr>
              <w:pStyle w:val="Tabletext"/>
            </w:pPr>
          </w:p>
        </w:tc>
        <w:tc>
          <w:tcPr>
            <w:tcW w:w="1772" w:type="dxa"/>
            <w:tcBorders>
              <w:top w:val="single" w:sz="4" w:space="0" w:color="auto"/>
            </w:tcBorders>
          </w:tcPr>
          <w:p w:rsidR="00526B59" w:rsidRPr="00A059D9" w:rsidRDefault="00526B59" w:rsidP="00A059D9">
            <w:pPr>
              <w:pStyle w:val="Tabletext"/>
            </w:pPr>
          </w:p>
        </w:tc>
      </w:tr>
      <w:tr w:rsidR="00526B59" w:rsidRPr="00A059D9" w:rsidTr="00A059D9">
        <w:tc>
          <w:tcPr>
            <w:tcW w:w="5245" w:type="dxa"/>
          </w:tcPr>
          <w:p w:rsidR="00526B59" w:rsidRPr="00A059D9" w:rsidRDefault="00526B59" w:rsidP="00A059D9">
            <w:pPr>
              <w:pStyle w:val="Tabletext"/>
              <w:ind w:left="227"/>
            </w:pPr>
            <w:r w:rsidRPr="00A059D9">
              <w:t>Is achieved via practical workplace training and experience that meets industry needs</w:t>
            </w:r>
          </w:p>
        </w:tc>
        <w:tc>
          <w:tcPr>
            <w:tcW w:w="1772" w:type="dxa"/>
          </w:tcPr>
          <w:p w:rsidR="00526B59" w:rsidRPr="00A059D9" w:rsidRDefault="00526B59" w:rsidP="00A059D9">
            <w:pPr>
              <w:pStyle w:val="Tabletext"/>
              <w:tabs>
                <w:tab w:val="decimal" w:pos="879"/>
              </w:tabs>
            </w:pPr>
            <w:r w:rsidRPr="00A059D9">
              <w:t>21</w:t>
            </w:r>
          </w:p>
        </w:tc>
        <w:tc>
          <w:tcPr>
            <w:tcW w:w="1772" w:type="dxa"/>
          </w:tcPr>
          <w:p w:rsidR="00526B59" w:rsidRPr="00A059D9" w:rsidRDefault="00526B59" w:rsidP="00A059D9">
            <w:pPr>
              <w:pStyle w:val="Tabletext"/>
              <w:tabs>
                <w:tab w:val="decimal" w:pos="794"/>
              </w:tabs>
            </w:pPr>
            <w:r w:rsidRPr="00A059D9">
              <w:t>51.2</w:t>
            </w:r>
          </w:p>
        </w:tc>
      </w:tr>
      <w:tr w:rsidR="00526B59" w:rsidRPr="00A059D9" w:rsidTr="00A059D9">
        <w:tc>
          <w:tcPr>
            <w:tcW w:w="5245" w:type="dxa"/>
          </w:tcPr>
          <w:p w:rsidR="00526B59" w:rsidRPr="00A059D9" w:rsidRDefault="00526B59" w:rsidP="00A059D9">
            <w:pPr>
              <w:pStyle w:val="Tabletext"/>
              <w:ind w:left="227"/>
            </w:pPr>
            <w:r w:rsidRPr="00A059D9">
              <w:t xml:space="preserve">Meets </w:t>
            </w:r>
            <w:r w:rsidR="001F52F0" w:rsidRPr="00A059D9">
              <w:t>training package</w:t>
            </w:r>
            <w:r w:rsidRPr="00A059D9">
              <w:t xml:space="preserve"> and regulatory requirements</w:t>
            </w:r>
          </w:p>
        </w:tc>
        <w:tc>
          <w:tcPr>
            <w:tcW w:w="1772" w:type="dxa"/>
          </w:tcPr>
          <w:p w:rsidR="00526B59" w:rsidRPr="00A059D9" w:rsidRDefault="00526B59" w:rsidP="00A059D9">
            <w:pPr>
              <w:pStyle w:val="Tabletext"/>
              <w:tabs>
                <w:tab w:val="decimal" w:pos="879"/>
              </w:tabs>
            </w:pPr>
            <w:r w:rsidRPr="00A059D9">
              <w:t>19</w:t>
            </w:r>
          </w:p>
        </w:tc>
        <w:tc>
          <w:tcPr>
            <w:tcW w:w="1772" w:type="dxa"/>
          </w:tcPr>
          <w:p w:rsidR="00526B59" w:rsidRPr="00A059D9" w:rsidRDefault="00526B59" w:rsidP="00A059D9">
            <w:pPr>
              <w:pStyle w:val="Tabletext"/>
              <w:tabs>
                <w:tab w:val="decimal" w:pos="794"/>
              </w:tabs>
            </w:pPr>
            <w:r w:rsidRPr="00A059D9">
              <w:t>46.3</w:t>
            </w:r>
          </w:p>
        </w:tc>
      </w:tr>
      <w:tr w:rsidR="00526B59" w:rsidRPr="00A059D9" w:rsidTr="00A059D9">
        <w:tc>
          <w:tcPr>
            <w:tcW w:w="5245" w:type="dxa"/>
          </w:tcPr>
          <w:p w:rsidR="00526B59" w:rsidRPr="00A059D9" w:rsidRDefault="00526B59" w:rsidP="00A059D9">
            <w:pPr>
              <w:pStyle w:val="Tabletext"/>
              <w:ind w:left="227"/>
            </w:pPr>
            <w:r w:rsidRPr="00A059D9">
              <w:t xml:space="preserve">Meets standards of rigorous and robust delivery and assessment practices (currency, meets students needs) </w:t>
            </w:r>
          </w:p>
        </w:tc>
        <w:tc>
          <w:tcPr>
            <w:tcW w:w="1772" w:type="dxa"/>
          </w:tcPr>
          <w:p w:rsidR="00526B59" w:rsidRPr="00A059D9" w:rsidRDefault="00526B59" w:rsidP="00A059D9">
            <w:pPr>
              <w:pStyle w:val="Tabletext"/>
              <w:tabs>
                <w:tab w:val="decimal" w:pos="879"/>
              </w:tabs>
            </w:pPr>
            <w:r w:rsidRPr="00A059D9">
              <w:t>13</w:t>
            </w:r>
          </w:p>
        </w:tc>
        <w:tc>
          <w:tcPr>
            <w:tcW w:w="1772" w:type="dxa"/>
          </w:tcPr>
          <w:p w:rsidR="00526B59" w:rsidRPr="00A059D9" w:rsidRDefault="00526B59" w:rsidP="00A059D9">
            <w:pPr>
              <w:pStyle w:val="Tabletext"/>
              <w:tabs>
                <w:tab w:val="decimal" w:pos="794"/>
              </w:tabs>
            </w:pPr>
            <w:r w:rsidRPr="00A059D9">
              <w:t>31.7</w:t>
            </w:r>
          </w:p>
        </w:tc>
      </w:tr>
      <w:tr w:rsidR="00526B59" w:rsidRPr="00A059D9" w:rsidTr="00A059D9">
        <w:tc>
          <w:tcPr>
            <w:tcW w:w="5245" w:type="dxa"/>
          </w:tcPr>
          <w:p w:rsidR="00526B59" w:rsidRPr="00A059D9" w:rsidRDefault="00526B59" w:rsidP="00A059D9">
            <w:pPr>
              <w:pStyle w:val="Tabletext"/>
              <w:ind w:left="227"/>
            </w:pPr>
            <w:r w:rsidRPr="00A059D9">
              <w:t>Is awarded by reputable RTOs with skilled trainers and assessors</w:t>
            </w:r>
          </w:p>
        </w:tc>
        <w:tc>
          <w:tcPr>
            <w:tcW w:w="1772" w:type="dxa"/>
          </w:tcPr>
          <w:p w:rsidR="00526B59" w:rsidRPr="00A059D9" w:rsidRDefault="00526B59" w:rsidP="00A059D9">
            <w:pPr>
              <w:pStyle w:val="Tabletext"/>
              <w:tabs>
                <w:tab w:val="decimal" w:pos="879"/>
              </w:tabs>
            </w:pPr>
            <w:r w:rsidRPr="00A059D9">
              <w:t>13</w:t>
            </w:r>
          </w:p>
        </w:tc>
        <w:tc>
          <w:tcPr>
            <w:tcW w:w="1772" w:type="dxa"/>
          </w:tcPr>
          <w:p w:rsidR="00526B59" w:rsidRPr="00A059D9" w:rsidRDefault="00526B59" w:rsidP="00A059D9">
            <w:pPr>
              <w:pStyle w:val="Tabletext"/>
              <w:tabs>
                <w:tab w:val="decimal" w:pos="794"/>
              </w:tabs>
            </w:pPr>
            <w:r w:rsidRPr="00A059D9">
              <w:t>31.7</w:t>
            </w:r>
          </w:p>
        </w:tc>
      </w:tr>
      <w:tr w:rsidR="00526B59" w:rsidRPr="00A059D9" w:rsidTr="00A059D9">
        <w:tc>
          <w:tcPr>
            <w:tcW w:w="5245" w:type="dxa"/>
          </w:tcPr>
          <w:p w:rsidR="00526B59" w:rsidRPr="00A059D9" w:rsidRDefault="00526B59" w:rsidP="00A059D9">
            <w:pPr>
              <w:pStyle w:val="Tabletext"/>
              <w:ind w:left="227"/>
            </w:pPr>
            <w:r w:rsidRPr="00A059D9">
              <w:t>Helps holders get a job,</w:t>
            </w:r>
            <w:r w:rsidR="00E3166C" w:rsidRPr="00A059D9">
              <w:t xml:space="preserve"> </w:t>
            </w:r>
            <w:r w:rsidRPr="00A059D9">
              <w:t>licence or move into further training</w:t>
            </w:r>
          </w:p>
        </w:tc>
        <w:tc>
          <w:tcPr>
            <w:tcW w:w="1772" w:type="dxa"/>
          </w:tcPr>
          <w:p w:rsidR="00526B59" w:rsidRPr="00A059D9" w:rsidRDefault="00526B59" w:rsidP="00A059D9">
            <w:pPr>
              <w:pStyle w:val="Tabletext"/>
              <w:tabs>
                <w:tab w:val="decimal" w:pos="879"/>
              </w:tabs>
            </w:pPr>
            <w:r w:rsidRPr="00A059D9">
              <w:t>12</w:t>
            </w:r>
          </w:p>
        </w:tc>
        <w:tc>
          <w:tcPr>
            <w:tcW w:w="1772" w:type="dxa"/>
          </w:tcPr>
          <w:p w:rsidR="00526B59" w:rsidRPr="00A059D9" w:rsidRDefault="00526B59" w:rsidP="00A059D9">
            <w:pPr>
              <w:pStyle w:val="Tabletext"/>
              <w:tabs>
                <w:tab w:val="decimal" w:pos="794"/>
              </w:tabs>
            </w:pPr>
            <w:r w:rsidRPr="00A059D9">
              <w:t>29.2</w:t>
            </w:r>
          </w:p>
        </w:tc>
      </w:tr>
      <w:tr w:rsidR="00526B59" w:rsidRPr="00A059D9" w:rsidTr="00A059D9">
        <w:tc>
          <w:tcPr>
            <w:tcW w:w="5245" w:type="dxa"/>
          </w:tcPr>
          <w:p w:rsidR="00526B59" w:rsidRPr="00A059D9" w:rsidRDefault="00526B59" w:rsidP="00A059D9">
            <w:pPr>
              <w:pStyle w:val="Tabletext"/>
              <w:ind w:left="227"/>
            </w:pPr>
            <w:r w:rsidRPr="00A059D9">
              <w:t>Is evidence of student knowledge and skill (including broad-based competence, understanding of job role, confidence and</w:t>
            </w:r>
            <w:r w:rsidR="00E3166C" w:rsidRPr="00A059D9">
              <w:t xml:space="preserve"> </w:t>
            </w:r>
            <w:r w:rsidRPr="00A059D9">
              <w:t>appropriateness for</w:t>
            </w:r>
            <w:r w:rsidR="00E3166C" w:rsidRPr="00A059D9">
              <w:t xml:space="preserve"> </w:t>
            </w:r>
            <w:r w:rsidRPr="00A059D9">
              <w:t>job role)</w:t>
            </w:r>
          </w:p>
        </w:tc>
        <w:tc>
          <w:tcPr>
            <w:tcW w:w="1772" w:type="dxa"/>
          </w:tcPr>
          <w:p w:rsidR="00526B59" w:rsidRPr="00A059D9" w:rsidRDefault="00526B59" w:rsidP="00A059D9">
            <w:pPr>
              <w:pStyle w:val="Tabletext"/>
              <w:tabs>
                <w:tab w:val="decimal" w:pos="879"/>
              </w:tabs>
            </w:pPr>
            <w:r w:rsidRPr="00A059D9">
              <w:t>11</w:t>
            </w:r>
          </w:p>
        </w:tc>
        <w:tc>
          <w:tcPr>
            <w:tcW w:w="1772" w:type="dxa"/>
          </w:tcPr>
          <w:p w:rsidR="00526B59" w:rsidRPr="00A059D9" w:rsidRDefault="00526B59" w:rsidP="00A059D9">
            <w:pPr>
              <w:pStyle w:val="Tabletext"/>
              <w:tabs>
                <w:tab w:val="decimal" w:pos="794"/>
              </w:tabs>
            </w:pPr>
            <w:r w:rsidRPr="00A059D9">
              <w:t>26.8</w:t>
            </w:r>
          </w:p>
        </w:tc>
      </w:tr>
      <w:tr w:rsidR="00526B59" w:rsidRPr="00A059D9" w:rsidTr="00A059D9">
        <w:tc>
          <w:tcPr>
            <w:tcW w:w="5245" w:type="dxa"/>
          </w:tcPr>
          <w:p w:rsidR="00526B59" w:rsidRPr="00A059D9" w:rsidRDefault="00526B59" w:rsidP="00A059D9">
            <w:pPr>
              <w:pStyle w:val="Tabletext"/>
              <w:ind w:left="227"/>
            </w:pPr>
            <w:r w:rsidRPr="00A059D9">
              <w:t>Other (meets student and community needs, relevant to area of interest)</w:t>
            </w:r>
          </w:p>
        </w:tc>
        <w:tc>
          <w:tcPr>
            <w:tcW w:w="1772" w:type="dxa"/>
          </w:tcPr>
          <w:p w:rsidR="00526B59" w:rsidRPr="00A059D9" w:rsidRDefault="00526B59" w:rsidP="00A059D9">
            <w:pPr>
              <w:pStyle w:val="Tabletext"/>
              <w:tabs>
                <w:tab w:val="decimal" w:pos="879"/>
              </w:tabs>
            </w:pPr>
            <w:r w:rsidRPr="00A059D9">
              <w:t>4</w:t>
            </w:r>
          </w:p>
        </w:tc>
        <w:tc>
          <w:tcPr>
            <w:tcW w:w="1772" w:type="dxa"/>
          </w:tcPr>
          <w:p w:rsidR="00526B59" w:rsidRPr="00A059D9" w:rsidRDefault="00526B59" w:rsidP="00A059D9">
            <w:pPr>
              <w:pStyle w:val="Tabletext"/>
              <w:tabs>
                <w:tab w:val="decimal" w:pos="794"/>
              </w:tabs>
            </w:pPr>
            <w:r w:rsidRPr="00A059D9">
              <w:t>9.7</w:t>
            </w:r>
          </w:p>
        </w:tc>
      </w:tr>
    </w:tbl>
    <w:p w:rsidR="00E84205" w:rsidRPr="00A059D9" w:rsidRDefault="009E56B4" w:rsidP="00A059D9">
      <w:pPr>
        <w:pStyle w:val="Source"/>
      </w:pPr>
      <w:r>
        <w:t>Note:</w:t>
      </w:r>
      <w:r w:rsidR="00A059D9">
        <w:tab/>
      </w:r>
      <w:r>
        <w:t>1</w:t>
      </w:r>
      <w:r w:rsidR="00B063A0">
        <w:t xml:space="preserve">  </w:t>
      </w:r>
      <w:r w:rsidR="00E84205">
        <w:t xml:space="preserve"> This </w:t>
      </w:r>
      <w:r w:rsidR="00E84205" w:rsidRPr="00A059D9">
        <w:t xml:space="preserve">column refers to the multiple responses provided by each of the 41 respondents in their interviews. </w:t>
      </w:r>
    </w:p>
    <w:p w:rsidR="00DE4281" w:rsidRDefault="00A059D9" w:rsidP="00A059D9">
      <w:pPr>
        <w:pStyle w:val="Source"/>
      </w:pPr>
      <w:r>
        <w:t>Source:</w:t>
      </w:r>
      <w:r>
        <w:tab/>
      </w:r>
      <w:r w:rsidR="00BD7DEC" w:rsidRPr="00A059D9">
        <w:t>R</w:t>
      </w:r>
      <w:r w:rsidR="003F756A" w:rsidRPr="00A059D9">
        <w:t>egistere</w:t>
      </w:r>
      <w:r w:rsidR="003F756A">
        <w:t>d training organisation</w:t>
      </w:r>
      <w:r w:rsidR="00DE4281">
        <w:t xml:space="preserve"> questionnaire for this study</w:t>
      </w:r>
      <w:r w:rsidR="009E56B4">
        <w:t>.</w:t>
      </w:r>
    </w:p>
    <w:p w:rsidR="00D70328" w:rsidRDefault="00D70328" w:rsidP="00A059D9">
      <w:pPr>
        <w:pStyle w:val="Heading2"/>
      </w:pPr>
      <w:bookmarkStart w:id="45" w:name="_Toc381103178"/>
      <w:r>
        <w:t>Student perspectives</w:t>
      </w:r>
      <w:bookmarkEnd w:id="45"/>
      <w:r>
        <w:t xml:space="preserve"> </w:t>
      </w:r>
    </w:p>
    <w:p w:rsidR="00D70328" w:rsidRPr="00531D3F" w:rsidRDefault="00D70328" w:rsidP="00531D3F">
      <w:pPr>
        <w:pStyle w:val="Text"/>
      </w:pPr>
      <w:r>
        <w:t xml:space="preserve">To get a sense of what students viewed as credible or useful qualifications we held focus groups and interviews with students from </w:t>
      </w:r>
      <w:r w:rsidRPr="009F3D4E">
        <w:t xml:space="preserve">four </w:t>
      </w:r>
      <w:r w:rsidRPr="00531D3F">
        <w:t>providers.</w:t>
      </w:r>
      <w:r w:rsidR="00E3166C" w:rsidRPr="00531D3F">
        <w:t xml:space="preserve"> </w:t>
      </w:r>
    </w:p>
    <w:p w:rsidR="003611E6" w:rsidRPr="00531D3F" w:rsidRDefault="00BD7DEC" w:rsidP="00531D3F">
      <w:pPr>
        <w:pStyle w:val="Text"/>
      </w:pPr>
      <w:r w:rsidRPr="00531D3F">
        <w:t>Twenty-three</w:t>
      </w:r>
      <w:r w:rsidR="003611E6" w:rsidRPr="00531D3F">
        <w:t xml:space="preserve"> students from Provider A (a TAFE </w:t>
      </w:r>
      <w:r w:rsidRPr="00531D3F">
        <w:t xml:space="preserve">[technical and further education] </w:t>
      </w:r>
      <w:r w:rsidR="003611E6" w:rsidRPr="00531D3F">
        <w:t>provider</w:t>
      </w:r>
      <w:r w:rsidR="007D7270" w:rsidRPr="00531D3F">
        <w:t xml:space="preserve">) </w:t>
      </w:r>
      <w:r w:rsidR="003611E6" w:rsidRPr="00531D3F">
        <w:t>participated in a focus group. The</w:t>
      </w:r>
      <w:r w:rsidR="007C6DDA" w:rsidRPr="00531D3F">
        <w:t xml:space="preserve">se students </w:t>
      </w:r>
      <w:r w:rsidR="003611E6" w:rsidRPr="00531D3F">
        <w:t>were undertaking their training in a face-to-face classroom</w:t>
      </w:r>
      <w:r w:rsidR="007C6DDA" w:rsidRPr="00531D3F">
        <w:t xml:space="preserve"> and </w:t>
      </w:r>
      <w:r w:rsidR="003611E6" w:rsidRPr="00531D3F">
        <w:t>were asse</w:t>
      </w:r>
      <w:r w:rsidRPr="00531D3F">
        <w:t>ssed via practical observations</w:t>
      </w:r>
      <w:r w:rsidR="003611E6" w:rsidRPr="00531D3F">
        <w:t xml:space="preserve"> and written assessments. They had completed a small practical assessment (as they were in week five of their 18-week course)</w:t>
      </w:r>
      <w:r w:rsidR="007C6DDA" w:rsidRPr="00531D3F">
        <w:t xml:space="preserve"> and </w:t>
      </w:r>
      <w:r w:rsidR="003611E6" w:rsidRPr="00531D3F">
        <w:t xml:space="preserve">had as yet </w:t>
      </w:r>
      <w:r w:rsidR="007C6DDA" w:rsidRPr="00531D3F">
        <w:t xml:space="preserve">to </w:t>
      </w:r>
      <w:r w:rsidRPr="00531D3F">
        <w:t>undertake</w:t>
      </w:r>
      <w:r w:rsidR="007C6DDA" w:rsidRPr="00531D3F">
        <w:t xml:space="preserve"> </w:t>
      </w:r>
      <w:r w:rsidR="003611E6" w:rsidRPr="00531D3F">
        <w:t xml:space="preserve">any assessments of theory. </w:t>
      </w:r>
      <w:r w:rsidR="007C6DDA" w:rsidRPr="00531D3F">
        <w:t>Students</w:t>
      </w:r>
      <w:r w:rsidR="003611E6" w:rsidRPr="00531D3F">
        <w:t xml:space="preserve"> were also expected to complete a flyer on one of the diseases which affected the aged. </w:t>
      </w:r>
      <w:r w:rsidR="00D70328" w:rsidRPr="00531D3F">
        <w:t xml:space="preserve">When students from Provider A were asked </w:t>
      </w:r>
      <w:r w:rsidR="009E56B4" w:rsidRPr="00531D3F">
        <w:t>their opinion on</w:t>
      </w:r>
      <w:r w:rsidR="007E0E5E" w:rsidRPr="00531D3F">
        <w:t xml:space="preserve"> </w:t>
      </w:r>
      <w:r w:rsidR="00D70328" w:rsidRPr="00531D3F">
        <w:t xml:space="preserve">what </w:t>
      </w:r>
      <w:r w:rsidR="007E0E5E" w:rsidRPr="00531D3F">
        <w:t xml:space="preserve">they </w:t>
      </w:r>
      <w:r w:rsidR="00D70328" w:rsidRPr="00531D3F">
        <w:t xml:space="preserve">believed </w:t>
      </w:r>
      <w:r w:rsidR="009E56B4" w:rsidRPr="00531D3F">
        <w:t>constituted</w:t>
      </w:r>
      <w:r w:rsidR="00D70328" w:rsidRPr="00531D3F">
        <w:t xml:space="preserve"> a useful, good, or credible qualification, they said that it was one that had been attained </w:t>
      </w:r>
      <w:r w:rsidR="009E56B4" w:rsidRPr="00531D3F">
        <w:t>through comprehensive</w:t>
      </w:r>
      <w:r w:rsidR="00D70328" w:rsidRPr="00531D3F">
        <w:t xml:space="preserve"> studies and led to a job. They were also of the view that it was a common perception in the community that getting the qualification through TAFE was best. A good qualification was one that was wanted by workplaces</w:t>
      </w:r>
      <w:r w:rsidRPr="00531D3F">
        <w:t>;</w:t>
      </w:r>
      <w:r w:rsidR="007E0E5E" w:rsidRPr="00531D3F">
        <w:t xml:space="preserve"> for example, there is a requirement in </w:t>
      </w:r>
      <w:r w:rsidR="00D70328" w:rsidRPr="00531D3F">
        <w:t xml:space="preserve">aged care facilities </w:t>
      </w:r>
      <w:r w:rsidR="007E0E5E" w:rsidRPr="00531D3F">
        <w:t xml:space="preserve">for personal care workers </w:t>
      </w:r>
      <w:r w:rsidR="00D70328" w:rsidRPr="00531D3F">
        <w:t>to hold the Certificate III</w:t>
      </w:r>
      <w:r w:rsidR="007E0E5E" w:rsidRPr="00531D3F">
        <w:t xml:space="preserve"> in Aged Care</w:t>
      </w:r>
      <w:r w:rsidR="00D70328" w:rsidRPr="00531D3F">
        <w:t xml:space="preserve">. </w:t>
      </w:r>
    </w:p>
    <w:p w:rsidR="003611E6" w:rsidRPr="00531D3F" w:rsidRDefault="003611E6" w:rsidP="00531D3F">
      <w:pPr>
        <w:pStyle w:val="Text"/>
        <w:ind w:right="-143"/>
      </w:pPr>
      <w:r w:rsidRPr="00531D3F">
        <w:t xml:space="preserve">Two students from Provider B </w:t>
      </w:r>
      <w:r w:rsidR="00BD7DEC" w:rsidRPr="00531D3F">
        <w:t>(a TAFE p</w:t>
      </w:r>
      <w:r w:rsidR="007D7270" w:rsidRPr="00531D3F">
        <w:t xml:space="preserve">rovider) </w:t>
      </w:r>
      <w:r w:rsidR="00BD7DEC" w:rsidRPr="00531D3F">
        <w:t>offered</w:t>
      </w:r>
      <w:r w:rsidRPr="00531D3F">
        <w:t xml:space="preserve"> their views on assessment.</w:t>
      </w:r>
      <w:r w:rsidR="00E3166C" w:rsidRPr="00531D3F">
        <w:t xml:space="preserve"> </w:t>
      </w:r>
      <w:r w:rsidR="00BD7DEC" w:rsidRPr="00531D3F">
        <w:t>Both were using the</w:t>
      </w:r>
      <w:r w:rsidR="00531D3F">
        <w:t> </w:t>
      </w:r>
      <w:r w:rsidR="00BD7DEC" w:rsidRPr="00531D3F">
        <w:t>c</w:t>
      </w:r>
      <w:r w:rsidRPr="00531D3F">
        <w:t>ertificate III as a pathway to the Diploma in Aged Care</w:t>
      </w:r>
      <w:r w:rsidR="00BD7DEC" w:rsidRPr="00531D3F">
        <w:t>,</w:t>
      </w:r>
      <w:r w:rsidRPr="00531D3F">
        <w:t xml:space="preserve"> hoping to move into a higher education degree program. They had </w:t>
      </w:r>
      <w:r w:rsidR="00BD7DEC" w:rsidRPr="00531D3F">
        <w:t>completed</w:t>
      </w:r>
      <w:r w:rsidRPr="00531D3F">
        <w:t xml:space="preserve"> their written assessments via the online a</w:t>
      </w:r>
      <w:r w:rsidR="00BD7DEC" w:rsidRPr="00531D3F">
        <w:t xml:space="preserve">pplication using </w:t>
      </w:r>
      <w:r w:rsidR="00D52B39">
        <w:t>‘</w:t>
      </w:r>
      <w:r w:rsidR="00BD7DEC" w:rsidRPr="00531D3F">
        <w:t>Blackboard</w:t>
      </w:r>
      <w:r w:rsidR="00D52B39">
        <w:t>’</w:t>
      </w:r>
      <w:r w:rsidR="00BD7DEC" w:rsidRPr="00531D3F">
        <w:t>. T</w:t>
      </w:r>
      <w:r w:rsidRPr="00531D3F">
        <w:t>heir practical assessments</w:t>
      </w:r>
      <w:r w:rsidR="00BD7DEC" w:rsidRPr="00531D3F">
        <w:t>, which</w:t>
      </w:r>
      <w:r w:rsidRPr="00531D3F">
        <w:t xml:space="preserve"> </w:t>
      </w:r>
      <w:r w:rsidR="00BD7DEC" w:rsidRPr="00531D3F">
        <w:t xml:space="preserve">included bed making, cleaning and using the hoist (lifter), </w:t>
      </w:r>
      <w:r w:rsidRPr="00531D3F">
        <w:t xml:space="preserve">were </w:t>
      </w:r>
      <w:r w:rsidR="00BD7DEC" w:rsidRPr="00531D3F">
        <w:t>conducted</w:t>
      </w:r>
      <w:r w:rsidR="00B17B48" w:rsidRPr="00531D3F">
        <w:t xml:space="preserve"> in the skills laboratory</w:t>
      </w:r>
      <w:r w:rsidR="00BD7DEC" w:rsidRPr="00531D3F">
        <w:t xml:space="preserve"> in a three-</w:t>
      </w:r>
      <w:r w:rsidRPr="00531D3F">
        <w:t xml:space="preserve">hour session on a </w:t>
      </w:r>
      <w:r w:rsidR="00B17B48" w:rsidRPr="00531D3F">
        <w:t>weekday morning.</w:t>
      </w:r>
      <w:r w:rsidRPr="00531D3F">
        <w:t xml:space="preserve"> </w:t>
      </w:r>
      <w:r w:rsidR="00B17B48" w:rsidRPr="00531D3F">
        <w:t>A</w:t>
      </w:r>
      <w:r w:rsidRPr="00531D3F">
        <w:t xml:space="preserve"> catch-up or debrief </w:t>
      </w:r>
      <w:r w:rsidR="00B17B48" w:rsidRPr="00531D3F">
        <w:t xml:space="preserve">was held </w:t>
      </w:r>
      <w:r w:rsidRPr="00531D3F">
        <w:t xml:space="preserve">in the afternoon. </w:t>
      </w:r>
      <w:r w:rsidR="00D70328" w:rsidRPr="00531D3F">
        <w:t xml:space="preserve">Students from </w:t>
      </w:r>
      <w:r w:rsidR="004434FE" w:rsidRPr="00531D3F">
        <w:t>this provider</w:t>
      </w:r>
      <w:r w:rsidR="00D70328" w:rsidRPr="00531D3F">
        <w:t xml:space="preserve"> </w:t>
      </w:r>
      <w:r w:rsidR="00B17B48" w:rsidRPr="00531D3F">
        <w:t>claimed</w:t>
      </w:r>
      <w:r w:rsidR="00D70328" w:rsidRPr="00531D3F">
        <w:t xml:space="preserve"> that a good qualification was one that </w:t>
      </w:r>
      <w:r w:rsidR="00DB454F">
        <w:t>was awarded by</w:t>
      </w:r>
      <w:r w:rsidR="00D70328" w:rsidRPr="00531D3F">
        <w:t xml:space="preserve"> a respected institution. They believed that their institution was well</w:t>
      </w:r>
      <w:r w:rsidR="00DB454F">
        <w:t xml:space="preserve"> </w:t>
      </w:r>
      <w:r w:rsidR="00D70328" w:rsidRPr="00531D3F">
        <w:t xml:space="preserve">respected for the Certificate III in Aged Care, and </w:t>
      </w:r>
      <w:r w:rsidR="004434FE" w:rsidRPr="00531D3F">
        <w:t xml:space="preserve">they </w:t>
      </w:r>
      <w:r w:rsidR="00D70328" w:rsidRPr="00531D3F">
        <w:t xml:space="preserve">felt that they would graduate with a credible </w:t>
      </w:r>
      <w:r w:rsidR="00B17B48" w:rsidRPr="00531D3F">
        <w:t>qualification;</w:t>
      </w:r>
      <w:r w:rsidR="00531D3F">
        <w:t> </w:t>
      </w:r>
      <w:r w:rsidR="00B17B48" w:rsidRPr="00531D3F">
        <w:t>t</w:t>
      </w:r>
      <w:r w:rsidR="00D70328" w:rsidRPr="00531D3F">
        <w:t>hat is, one valued by c</w:t>
      </w:r>
      <w:r w:rsidR="004434FE" w:rsidRPr="00531D3F">
        <w:t>urrent or prospective employers</w:t>
      </w:r>
      <w:r w:rsidR="00D70328" w:rsidRPr="00531D3F">
        <w:t xml:space="preserve"> and the community in general.</w:t>
      </w:r>
      <w:r w:rsidR="00E3166C" w:rsidRPr="00531D3F">
        <w:t xml:space="preserve"> </w:t>
      </w:r>
    </w:p>
    <w:p w:rsidR="00D70328" w:rsidRDefault="00D70328" w:rsidP="00531D3F">
      <w:pPr>
        <w:pStyle w:val="Text"/>
      </w:pPr>
      <w:r w:rsidRPr="00531D3F">
        <w:t>A credible or good qualification in the view of students</w:t>
      </w:r>
      <w:r>
        <w:t xml:space="preserve"> from Provider C</w:t>
      </w:r>
      <w:r w:rsidR="007E0E5E">
        <w:t xml:space="preserve"> </w:t>
      </w:r>
      <w:r w:rsidR="007D7270" w:rsidRPr="007D7270">
        <w:t xml:space="preserve">(a private provider) </w:t>
      </w:r>
      <w:r w:rsidR="00AB663D">
        <w:t>was</w:t>
      </w:r>
      <w:r>
        <w:t xml:space="preserve"> one that could be used as a stepping stone to another qualification. One student</w:t>
      </w:r>
      <w:r w:rsidR="00B17B48">
        <w:t xml:space="preserve"> with</w:t>
      </w:r>
      <w:r>
        <w:t xml:space="preserve"> an accounting background wanted to move from aged care into nursing, </w:t>
      </w:r>
      <w:r w:rsidR="004434FE">
        <w:t>while</w:t>
      </w:r>
      <w:r>
        <w:t xml:space="preserve"> one </w:t>
      </w:r>
      <w:r w:rsidR="00B17B48">
        <w:t>with</w:t>
      </w:r>
      <w:r>
        <w:t xml:space="preserve"> a hospitality management background wanted to move from aged care to health management. </w:t>
      </w:r>
    </w:p>
    <w:p w:rsidR="00D70328" w:rsidRDefault="003611E6" w:rsidP="00D70328">
      <w:pPr>
        <w:pStyle w:val="Text"/>
      </w:pPr>
      <w:r w:rsidRPr="003611E6">
        <w:t xml:space="preserve">A group of four students </w:t>
      </w:r>
      <w:r w:rsidR="00B17B48">
        <w:t>from Provider D (a public dual-</w:t>
      </w:r>
      <w:r w:rsidR="007D7270">
        <w:t xml:space="preserve">sector provider) </w:t>
      </w:r>
      <w:r w:rsidRPr="003611E6">
        <w:t xml:space="preserve">undertaking business administration participated in the focus group. The program they were undertaking was being </w:t>
      </w:r>
      <w:r w:rsidRPr="003611E6">
        <w:lastRenderedPageBreak/>
        <w:t xml:space="preserve">delivered </w:t>
      </w:r>
      <w:r w:rsidR="00B17B48">
        <w:t>via blended delivery methods, which</w:t>
      </w:r>
      <w:r w:rsidRPr="003611E6">
        <w:t xml:space="preserve"> includ</w:t>
      </w:r>
      <w:r w:rsidR="004434FE">
        <w:t>ed face-to-face lectures, PowerP</w:t>
      </w:r>
      <w:r w:rsidR="00B17B48">
        <w:t>oint presentations, hard-</w:t>
      </w:r>
      <w:r w:rsidRPr="003611E6">
        <w:t>copy workbook exercises and online training. Their assessme</w:t>
      </w:r>
      <w:r w:rsidR="00B17B48">
        <w:t>nts included assignments, short-answer tests</w:t>
      </w:r>
      <w:r w:rsidRPr="003611E6">
        <w:t xml:space="preserve"> and practical tasks (for example, completing an invoice). They were satisfied with the current approach to assessment but were divided on whether or not graded assessments were better than those </w:t>
      </w:r>
      <w:r w:rsidR="004434FE">
        <w:t>delivering</w:t>
      </w:r>
      <w:r w:rsidRPr="003611E6">
        <w:t xml:space="preserve"> pass/fail results. Those who wanted to move into higher education preferred a graded result because they believed that this was a good preparation for university studies. The others preferred the current pass/fail system because </w:t>
      </w:r>
      <w:r w:rsidR="00D52B39">
        <w:t>‘</w:t>
      </w:r>
      <w:r w:rsidRPr="003611E6">
        <w:t>in the end we will all get the same certificate</w:t>
      </w:r>
      <w:r w:rsidR="00D52B39">
        <w:t>’</w:t>
      </w:r>
      <w:r w:rsidRPr="003611E6">
        <w:t xml:space="preserve">. </w:t>
      </w:r>
      <w:r w:rsidR="007D7270">
        <w:t>These</w:t>
      </w:r>
      <w:r w:rsidR="00D70328">
        <w:t xml:space="preserve"> students were of the view that a good qualification was a qualification th</w:t>
      </w:r>
      <w:r w:rsidR="00B17B48">
        <w:t>at was broad in subject content</w:t>
      </w:r>
      <w:r w:rsidR="00D70328">
        <w:t xml:space="preserve"> and relevant to what students wanted to do. Some were convinced that </w:t>
      </w:r>
      <w:r w:rsidR="00D52B39">
        <w:t>‘</w:t>
      </w:r>
      <w:r w:rsidR="00D70328">
        <w:t>the more qualifications that you do the better your chances of employment</w:t>
      </w:r>
      <w:r w:rsidR="00D52B39">
        <w:t>’</w:t>
      </w:r>
      <w:r w:rsidR="00D70328">
        <w:t>, while others were awar</w:t>
      </w:r>
      <w:r w:rsidR="00B17B48">
        <w:t>e of the pitfalls of being over</w:t>
      </w:r>
      <w:r w:rsidR="00D70328">
        <w:t xml:space="preserve">qualified. </w:t>
      </w:r>
      <w:r w:rsidR="007E0E5E">
        <w:t>O</w:t>
      </w:r>
      <w:r w:rsidR="00D70328">
        <w:t xml:space="preserve">ne of the students thought that the ideal trajectory was to </w:t>
      </w:r>
      <w:r w:rsidR="00B17B48">
        <w:t>aim for</w:t>
      </w:r>
      <w:r w:rsidR="007E0E5E">
        <w:t xml:space="preserve"> </w:t>
      </w:r>
      <w:r w:rsidR="00D70328">
        <w:t xml:space="preserve">higher education </w:t>
      </w:r>
      <w:r w:rsidR="007E0E5E">
        <w:t>courses</w:t>
      </w:r>
      <w:r w:rsidR="00B17B48">
        <w:t>,</w:t>
      </w:r>
      <w:r w:rsidR="007E0E5E">
        <w:t xml:space="preserve"> </w:t>
      </w:r>
      <w:r w:rsidR="00D70328">
        <w:t xml:space="preserve">especially </w:t>
      </w:r>
      <w:r w:rsidR="007E0E5E">
        <w:t xml:space="preserve">at </w:t>
      </w:r>
      <w:r w:rsidR="00D70328">
        <w:t>RMIT</w:t>
      </w:r>
      <w:r w:rsidR="007E0E5E">
        <w:t xml:space="preserve"> University.</w:t>
      </w:r>
      <w:r w:rsidR="00D70328">
        <w:t xml:space="preserve"> </w:t>
      </w:r>
      <w:r w:rsidR="00D52B39">
        <w:t>‘</w:t>
      </w:r>
      <w:r w:rsidR="007E0E5E">
        <w:t>E</w:t>
      </w:r>
      <w:r w:rsidR="00D70328">
        <w:t>veryone wants to go to RMIT</w:t>
      </w:r>
      <w:r w:rsidR="00D52B39">
        <w:t>’</w:t>
      </w:r>
      <w:r w:rsidR="00B17B48">
        <w:t>,</w:t>
      </w:r>
      <w:r w:rsidR="007E0E5E">
        <w:t xml:space="preserve"> he said. However, </w:t>
      </w:r>
      <w:r w:rsidR="00D70328">
        <w:t>most understood the advantages of g</w:t>
      </w:r>
      <w:r w:rsidR="004434FE">
        <w:t>aining</w:t>
      </w:r>
      <w:r w:rsidR="00D70328">
        <w:t xml:space="preserve"> qualifications from institutions or specific programs with high reputations (regardless of the university</w:t>
      </w:r>
      <w:r w:rsidR="00756705">
        <w:t xml:space="preserve"> aspired to</w:t>
      </w:r>
      <w:r w:rsidR="00D70328">
        <w:t>). Nevertheless</w:t>
      </w:r>
      <w:r w:rsidR="00B17B48">
        <w:t>,</w:t>
      </w:r>
      <w:r w:rsidR="00D70328">
        <w:t xml:space="preserve"> there was also the view that in the long run </w:t>
      </w:r>
      <w:r w:rsidR="00D52B39">
        <w:t>‘</w:t>
      </w:r>
      <w:r w:rsidR="00D70328">
        <w:t>it was all about you</w:t>
      </w:r>
      <w:r w:rsidR="00D52B39">
        <w:t>’</w:t>
      </w:r>
      <w:r w:rsidR="00D70328">
        <w:t xml:space="preserve"> and that </w:t>
      </w:r>
      <w:r w:rsidR="00D52B39">
        <w:t>‘</w:t>
      </w:r>
      <w:r w:rsidR="00D70328">
        <w:t>to employers it does not matter where you do it [the qualification]</w:t>
      </w:r>
      <w:r w:rsidR="00D52B39">
        <w:t>’</w:t>
      </w:r>
      <w:r w:rsidR="00D70328">
        <w:t xml:space="preserve">. A common view was that </w:t>
      </w:r>
      <w:r w:rsidR="00D52B39">
        <w:t>‘</w:t>
      </w:r>
      <w:r w:rsidR="00D70328">
        <w:t>a qualification is only half or 60/40 of it [</w:t>
      </w:r>
      <w:r w:rsidR="00B17B48">
        <w:t>that is, getting a job</w:t>
      </w:r>
      <w:r w:rsidR="00D70328">
        <w:t>]</w:t>
      </w:r>
      <w:r w:rsidR="00D52B39">
        <w:t>’</w:t>
      </w:r>
      <w:r w:rsidR="00531D3F">
        <w:t>.</w:t>
      </w:r>
    </w:p>
    <w:p w:rsidR="00531D3F" w:rsidRDefault="00531D3F" w:rsidP="00531D3F">
      <w:pPr>
        <w:pStyle w:val="Textlessbefore"/>
      </w:pPr>
    </w:p>
    <w:tbl>
      <w:tblPr>
        <w:tblStyle w:val="TableGrid"/>
        <w:tblW w:w="8789" w:type="dxa"/>
        <w:tblInd w:w="22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227" w:type="dxa"/>
          <w:right w:w="227" w:type="dxa"/>
        </w:tblCellMar>
        <w:tblLook w:val="04A0" w:firstRow="1" w:lastRow="0" w:firstColumn="1" w:lastColumn="0" w:noHBand="0" w:noVBand="1"/>
      </w:tblPr>
      <w:tblGrid>
        <w:gridCol w:w="8789"/>
      </w:tblGrid>
      <w:tr w:rsidR="00531D3F" w:rsidTr="00531D3F">
        <w:tc>
          <w:tcPr>
            <w:tcW w:w="9004" w:type="dxa"/>
            <w:shd w:val="clear" w:color="auto" w:fill="000000" w:themeFill="text1"/>
          </w:tcPr>
          <w:p w:rsidR="00531D3F" w:rsidRDefault="00531D3F" w:rsidP="00531D3F">
            <w:pPr>
              <w:pStyle w:val="Tablehead1"/>
            </w:pPr>
            <w:r w:rsidRPr="009F3D4E">
              <w:t xml:space="preserve">What practitioners </w:t>
            </w:r>
            <w:r>
              <w:t xml:space="preserve">and students </w:t>
            </w:r>
            <w:r w:rsidRPr="009F3D4E">
              <w:t>say</w:t>
            </w:r>
          </w:p>
        </w:tc>
      </w:tr>
      <w:tr w:rsidR="00531D3F" w:rsidTr="00531D3F">
        <w:tc>
          <w:tcPr>
            <w:tcW w:w="9004" w:type="dxa"/>
          </w:tcPr>
          <w:p w:rsidR="00531D3F" w:rsidRPr="005909C5" w:rsidRDefault="00531D3F" w:rsidP="00557827">
            <w:pPr>
              <w:pStyle w:val="Tablehead1"/>
              <w:spacing w:before="120"/>
            </w:pPr>
            <w:r w:rsidRPr="00B1050E">
              <w:t>Credible qualifications</w:t>
            </w:r>
            <w:r w:rsidRPr="005909C5">
              <w:t xml:space="preserve"> </w:t>
            </w:r>
          </w:p>
          <w:p w:rsidR="00531D3F" w:rsidRPr="006E2F03" w:rsidRDefault="00531D3F" w:rsidP="00531D3F">
            <w:pPr>
              <w:pStyle w:val="boxparastyle"/>
            </w:pPr>
            <w:r>
              <w:t>S</w:t>
            </w:r>
            <w:r w:rsidRPr="006E2F03">
              <w:t>how student abilities</w:t>
            </w:r>
            <w:r>
              <w:t xml:space="preserve">. The piece of </w:t>
            </w:r>
            <w:r w:rsidRPr="006E2F03">
              <w:t>paper says I have done the study</w:t>
            </w:r>
            <w:r>
              <w:t>, practical skills are required to back it up.</w:t>
            </w:r>
            <w:r>
              <w:br/>
            </w:r>
            <w:r>
              <w:tab/>
              <w:t>(A</w:t>
            </w:r>
            <w:r w:rsidRPr="006E2F03">
              <w:t>ged care, private provider)</w:t>
            </w:r>
          </w:p>
          <w:p w:rsidR="00531D3F" w:rsidRPr="006E2F03" w:rsidRDefault="00531D3F" w:rsidP="00531D3F">
            <w:pPr>
              <w:pStyle w:val="boxparastyle"/>
            </w:pPr>
            <w:r>
              <w:t xml:space="preserve">Indicate that </w:t>
            </w:r>
            <w:r w:rsidRPr="006E2F03">
              <w:t>Cert</w:t>
            </w:r>
            <w:r>
              <w:t>.</w:t>
            </w:r>
            <w:r w:rsidRPr="006E2F03">
              <w:t xml:space="preserve"> IIIs </w:t>
            </w:r>
            <w:r>
              <w:t>are work-</w:t>
            </w:r>
            <w:r w:rsidRPr="006E2F03">
              <w:t>ready</w:t>
            </w:r>
            <w:r>
              <w:t>. F</w:t>
            </w:r>
            <w:r w:rsidRPr="006E2F03">
              <w:t>eedback from employers to say they want to hire</w:t>
            </w:r>
            <w:r>
              <w:t xml:space="preserve"> students, and </w:t>
            </w:r>
            <w:r w:rsidRPr="006E2F03">
              <w:t xml:space="preserve">prior knowledge of RTOs </w:t>
            </w:r>
            <w:r>
              <w:t>can also be used as indicators of credibility.</w:t>
            </w:r>
            <w:r>
              <w:tab/>
              <w:t>(B</w:t>
            </w:r>
            <w:r w:rsidRPr="006E2F03">
              <w:t>usiness, public provider)</w:t>
            </w:r>
          </w:p>
          <w:p w:rsidR="00531D3F" w:rsidRPr="006E2F03" w:rsidRDefault="00531D3F" w:rsidP="00531D3F">
            <w:pPr>
              <w:pStyle w:val="boxparastyle"/>
            </w:pPr>
            <w:r>
              <w:t xml:space="preserve">Are </w:t>
            </w:r>
            <w:r w:rsidRPr="006E2F03">
              <w:t>designed, developed and assessed appropria</w:t>
            </w:r>
            <w:r>
              <w:t>tely to meet desired outcomes. N</w:t>
            </w:r>
            <w:r w:rsidRPr="006E2F03">
              <w:t>ationally accredited qual</w:t>
            </w:r>
            <w:r>
              <w:t xml:space="preserve">ifications </w:t>
            </w:r>
            <w:r w:rsidRPr="006E2F03">
              <w:t xml:space="preserve">or non-accredited </w:t>
            </w:r>
            <w:r>
              <w:t xml:space="preserve">qualifications need </w:t>
            </w:r>
            <w:r w:rsidRPr="006E2F03">
              <w:t xml:space="preserve">to meet </w:t>
            </w:r>
            <w:r>
              <w:t xml:space="preserve">the </w:t>
            </w:r>
            <w:r w:rsidRPr="006E2F03">
              <w:t xml:space="preserve">needs of </w:t>
            </w:r>
            <w:r>
              <w:t xml:space="preserve">the </w:t>
            </w:r>
            <w:r w:rsidRPr="006E2F03">
              <w:t>organisation</w:t>
            </w:r>
            <w:r>
              <w:t>. They</w:t>
            </w:r>
            <w:r w:rsidRPr="006E2F03">
              <w:t xml:space="preserve"> test knowledge and skill in U</w:t>
            </w:r>
            <w:r>
              <w:t>nits of Competency, and</w:t>
            </w:r>
            <w:r w:rsidRPr="006E2F03">
              <w:t xml:space="preserve"> demonstrate </w:t>
            </w:r>
            <w:r>
              <w:t xml:space="preserve">the </w:t>
            </w:r>
            <w:r w:rsidRPr="006E2F03">
              <w:t>approp</w:t>
            </w:r>
            <w:r>
              <w:t>ri</w:t>
            </w:r>
            <w:r w:rsidRPr="006E2F03">
              <w:t xml:space="preserve">ate level of skills </w:t>
            </w:r>
            <w:r>
              <w:t>to enable employment.</w:t>
            </w:r>
            <w:r>
              <w:tab/>
              <w:t>(E</w:t>
            </w:r>
            <w:r w:rsidRPr="006E2F03">
              <w:t>lect</w:t>
            </w:r>
            <w:r>
              <w:t>r</w:t>
            </w:r>
            <w:r w:rsidRPr="006E2F03">
              <w:t>ical, private provider)</w:t>
            </w:r>
          </w:p>
          <w:p w:rsidR="00531D3F" w:rsidRDefault="00531D3F" w:rsidP="00531D3F">
            <w:pPr>
              <w:pStyle w:val="boxparastyle"/>
            </w:pPr>
            <w:r>
              <w:t>F</w:t>
            </w:r>
            <w:r w:rsidRPr="006E2F03">
              <w:t>rom TAFE</w:t>
            </w:r>
            <w:r w:rsidR="00D52B39">
              <w:t>’</w:t>
            </w:r>
            <w:r w:rsidRPr="006E2F03">
              <w:t>s perspective the qualification is grounded in work as well as theory. The applicant has a fairly good understanding of what the qualification allows them to do. It shows confidence and competence (including awareness of safety issues)</w:t>
            </w:r>
            <w:r>
              <w:t>.</w:t>
            </w:r>
            <w:r w:rsidRPr="006E2F03">
              <w:t xml:space="preserve"> It is flexible enough to meet needs of local employers. A cre</w:t>
            </w:r>
            <w:r>
              <w:t>dible qualification includes a C</w:t>
            </w:r>
            <w:r w:rsidRPr="006E2F03">
              <w:t>apstone component, which takes student through theory testing and variation of process. Licensing requires competency across the board. This means that employers need to provide all the competencies</w:t>
            </w:r>
            <w:r>
              <w:t>.</w:t>
            </w:r>
            <w:r>
              <w:tab/>
              <w:t>(E</w:t>
            </w:r>
            <w:r w:rsidRPr="006E2F03">
              <w:t>lectrical, public provider)</w:t>
            </w:r>
          </w:p>
          <w:p w:rsidR="00531D3F" w:rsidRDefault="00531D3F" w:rsidP="00531D3F">
            <w:pPr>
              <w:pStyle w:val="boxparastyle"/>
              <w:spacing w:after="120"/>
            </w:pPr>
            <w:r w:rsidRPr="007E0E5E">
              <w:t>If you have the qualification and don</w:t>
            </w:r>
            <w:r w:rsidR="00D52B39">
              <w:t>’</w:t>
            </w:r>
            <w:r w:rsidRPr="007E0E5E">
              <w:t xml:space="preserve">t apply </w:t>
            </w:r>
            <w:r>
              <w:t>yourself you won</w:t>
            </w:r>
            <w:r w:rsidR="00D52B39">
              <w:t>’</w:t>
            </w:r>
            <w:r>
              <w:t>t get the job.</w:t>
            </w:r>
            <w:r>
              <w:tab/>
            </w:r>
            <w:r w:rsidRPr="007E0E5E">
              <w:t>(</w:t>
            </w:r>
            <w:r>
              <w:t xml:space="preserve">Business student, </w:t>
            </w:r>
            <w:r w:rsidRPr="007E0E5E">
              <w:t>public provider)</w:t>
            </w:r>
          </w:p>
        </w:tc>
      </w:tr>
    </w:tbl>
    <w:p w:rsidR="00E76AD3" w:rsidRDefault="00CF5119" w:rsidP="000B221C">
      <w:pPr>
        <w:pStyle w:val="Heading2"/>
      </w:pPr>
      <w:bookmarkStart w:id="46" w:name="_Toc381103179"/>
      <w:r>
        <w:t>Characteristics of</w:t>
      </w:r>
      <w:r w:rsidR="000F069E">
        <w:t xml:space="preserve"> poor assessments</w:t>
      </w:r>
      <w:bookmarkEnd w:id="46"/>
    </w:p>
    <w:p w:rsidR="00756705" w:rsidRPr="00E34B2A" w:rsidRDefault="00C931AE" w:rsidP="00E34B2A">
      <w:pPr>
        <w:pStyle w:val="Text"/>
      </w:pPr>
      <w:r>
        <w:t xml:space="preserve">Practitioners were also </w:t>
      </w:r>
      <w:r w:rsidR="000F069E">
        <w:t xml:space="preserve">asked to list some </w:t>
      </w:r>
      <w:r w:rsidR="00941B49">
        <w:t>of the characteristics</w:t>
      </w:r>
      <w:r w:rsidR="000F069E">
        <w:t xml:space="preserve"> of assessments that did not </w:t>
      </w:r>
      <w:r w:rsidR="009F3D4E">
        <w:t>meet</w:t>
      </w:r>
      <w:r w:rsidR="000F069E">
        <w:t xml:space="preserve"> the mark</w:t>
      </w:r>
      <w:r w:rsidR="00B807A3">
        <w:t xml:space="preserve"> (table 4)</w:t>
      </w:r>
      <w:r w:rsidR="000F069E">
        <w:t xml:space="preserve">. </w:t>
      </w:r>
      <w:r w:rsidR="007E0E5E">
        <w:t>P</w:t>
      </w:r>
      <w:r w:rsidR="000F069E">
        <w:t xml:space="preserve">oor assessments lacked the key features </w:t>
      </w:r>
      <w:r w:rsidR="00941B49">
        <w:t>that</w:t>
      </w:r>
      <w:r w:rsidR="000F069E">
        <w:t xml:space="preserve"> had already been identified as effective or </w:t>
      </w:r>
      <w:r w:rsidR="00941B49">
        <w:t xml:space="preserve">of good </w:t>
      </w:r>
      <w:r w:rsidR="000F069E">
        <w:t>quality</w:t>
      </w:r>
      <w:r w:rsidR="00762886">
        <w:t>. T</w:t>
      </w:r>
      <w:r w:rsidR="000F069E">
        <w:t>he most frequent set of traits (identified by almost four-fifths of practitioners</w:t>
      </w:r>
      <w:r>
        <w:t>)</w:t>
      </w:r>
      <w:r w:rsidR="000F069E">
        <w:t xml:space="preserve"> w</w:t>
      </w:r>
      <w:r w:rsidR="00DB454F">
        <w:t>as</w:t>
      </w:r>
      <w:r w:rsidR="000F069E">
        <w:t xml:space="preserve"> </w:t>
      </w:r>
      <w:r w:rsidR="000F069E" w:rsidRPr="001911D5">
        <w:t xml:space="preserve">related to </w:t>
      </w:r>
      <w:r w:rsidR="00B72E15" w:rsidRPr="001911D5">
        <w:t>poor assessment instruments and processes.</w:t>
      </w:r>
      <w:r w:rsidR="000F069E" w:rsidRPr="001911D5">
        <w:t xml:space="preserve"> </w:t>
      </w:r>
      <w:r w:rsidR="00D305FC">
        <w:t>These included tools that were poorly designed</w:t>
      </w:r>
      <w:r w:rsidR="00DB454F">
        <w:t>;</w:t>
      </w:r>
      <w:r w:rsidR="00D305FC">
        <w:t xml:space="preserve"> lacked currency</w:t>
      </w:r>
      <w:r w:rsidR="00DB454F">
        <w:t>,</w:t>
      </w:r>
      <w:r w:rsidR="00D305FC">
        <w:t xml:space="preserve"> in that they had not been updated</w:t>
      </w:r>
      <w:r w:rsidR="00DB454F">
        <w:t>;</w:t>
      </w:r>
      <w:r w:rsidR="00D305FC">
        <w:t xml:space="preserve"> were not relevant to the qualification or industry in question</w:t>
      </w:r>
      <w:r w:rsidR="00DB454F">
        <w:t>;</w:t>
      </w:r>
      <w:r w:rsidR="00D305FC">
        <w:t xml:space="preserve"> and were inappropriate for what was being assessed. </w:t>
      </w:r>
      <w:r w:rsidR="00B72E15">
        <w:t xml:space="preserve">Using a </w:t>
      </w:r>
      <w:r w:rsidR="000F069E">
        <w:t xml:space="preserve">written essay </w:t>
      </w:r>
      <w:r w:rsidR="00B72E15">
        <w:t xml:space="preserve">instead of a </w:t>
      </w:r>
      <w:r w:rsidR="00B72E15" w:rsidRPr="00E34B2A">
        <w:t xml:space="preserve">practical test </w:t>
      </w:r>
      <w:r w:rsidR="00556416" w:rsidRPr="00E34B2A">
        <w:t xml:space="preserve">for the </w:t>
      </w:r>
      <w:r w:rsidR="00B72E15" w:rsidRPr="00E34B2A">
        <w:t xml:space="preserve">assessment of practical </w:t>
      </w:r>
      <w:r w:rsidR="00556416" w:rsidRPr="00E34B2A">
        <w:t>skills</w:t>
      </w:r>
      <w:r w:rsidR="00B72E15" w:rsidRPr="00E34B2A">
        <w:t xml:space="preserve"> or failing to pitch questions to the right level of qualifications were </w:t>
      </w:r>
      <w:r w:rsidR="00756705" w:rsidRPr="00E34B2A">
        <w:t xml:space="preserve">both </w:t>
      </w:r>
      <w:r w:rsidR="00556416" w:rsidRPr="00E34B2A">
        <w:t>considered to reduce the quality of assessments</w:t>
      </w:r>
      <w:r w:rsidR="000F069E" w:rsidRPr="00E34B2A">
        <w:t xml:space="preserve">. </w:t>
      </w:r>
    </w:p>
    <w:p w:rsidR="00BB5C84" w:rsidRPr="00E34B2A" w:rsidRDefault="00556416" w:rsidP="00E34B2A">
      <w:pPr>
        <w:pStyle w:val="Text"/>
      </w:pPr>
      <w:r w:rsidRPr="00E34B2A">
        <w:t>Some practitioners had c</w:t>
      </w:r>
      <w:r w:rsidR="000F069E" w:rsidRPr="00E34B2A">
        <w:t xml:space="preserve">oncerns about assessments that were too atomistic </w:t>
      </w:r>
      <w:r w:rsidR="004457A6" w:rsidRPr="00E34B2A">
        <w:t>or</w:t>
      </w:r>
      <w:r w:rsidR="00762886" w:rsidRPr="00E34B2A">
        <w:t xml:space="preserve"> task-</w:t>
      </w:r>
      <w:r w:rsidR="00D305FC" w:rsidRPr="00E34B2A">
        <w:t>oriented, believing that</w:t>
      </w:r>
      <w:r w:rsidR="004457A6" w:rsidRPr="00E34B2A">
        <w:t xml:space="preserve"> they </w:t>
      </w:r>
      <w:r w:rsidR="000F069E" w:rsidRPr="00E34B2A">
        <w:t>did not provide a holistic view of student und</w:t>
      </w:r>
      <w:r w:rsidR="00D305FC" w:rsidRPr="00E34B2A">
        <w:t>erstanding. T</w:t>
      </w:r>
      <w:r w:rsidRPr="00E34B2A">
        <w:t xml:space="preserve">hese </w:t>
      </w:r>
      <w:r w:rsidR="00D305FC" w:rsidRPr="00E34B2A">
        <w:t xml:space="preserve">views </w:t>
      </w:r>
      <w:r w:rsidR="004457A6" w:rsidRPr="00E34B2A">
        <w:t xml:space="preserve">were </w:t>
      </w:r>
      <w:r w:rsidR="00C931AE" w:rsidRPr="00E34B2A">
        <w:t>balanced</w:t>
      </w:r>
      <w:r w:rsidR="004457A6" w:rsidRPr="00E34B2A">
        <w:t xml:space="preserve"> by </w:t>
      </w:r>
      <w:r w:rsidRPr="00E34B2A">
        <w:t>those who believed</w:t>
      </w:r>
      <w:r w:rsidR="00E3166C" w:rsidRPr="00E34B2A">
        <w:t xml:space="preserve"> </w:t>
      </w:r>
      <w:r w:rsidR="004457A6" w:rsidRPr="00E34B2A">
        <w:t xml:space="preserve">that </w:t>
      </w:r>
      <w:r w:rsidR="00DB454F">
        <w:t xml:space="preserve">overly holistic </w:t>
      </w:r>
      <w:r w:rsidR="004457A6" w:rsidRPr="00E34B2A">
        <w:t xml:space="preserve">assessments </w:t>
      </w:r>
      <w:r w:rsidR="007E0E5E" w:rsidRPr="00E34B2A">
        <w:t xml:space="preserve">were too broad and did </w:t>
      </w:r>
      <w:r w:rsidR="004457A6" w:rsidRPr="00E34B2A">
        <w:t>not really give a clear indication of the different skills required.</w:t>
      </w:r>
      <w:r w:rsidR="00E3166C" w:rsidRPr="00E34B2A">
        <w:t xml:space="preserve"> </w:t>
      </w:r>
      <w:r w:rsidR="00BB5C84" w:rsidRPr="00E34B2A">
        <w:t>Practitioners</w:t>
      </w:r>
      <w:r w:rsidR="00CA563E" w:rsidRPr="00E34B2A">
        <w:t xml:space="preserve"> in elect</w:t>
      </w:r>
      <w:r w:rsidR="00762886" w:rsidRPr="00E34B2A">
        <w:t>rical program</w:t>
      </w:r>
      <w:r w:rsidR="00CA563E" w:rsidRPr="00E34B2A">
        <w:t xml:space="preserve">s were </w:t>
      </w:r>
      <w:r w:rsidR="00CA563E" w:rsidRPr="00E34B2A">
        <w:lastRenderedPageBreak/>
        <w:t xml:space="preserve">concerned about the quality of assessments when there was </w:t>
      </w:r>
      <w:r w:rsidR="00762886" w:rsidRPr="00E34B2A">
        <w:t>no</w:t>
      </w:r>
      <w:r w:rsidR="00CA563E" w:rsidRPr="00E34B2A">
        <w:t xml:space="preserve"> direct match between assessment items and the unit of competency being assessed.</w:t>
      </w:r>
      <w:r w:rsidR="00BB5C84" w:rsidRPr="00E34B2A">
        <w:t xml:space="preserve"> </w:t>
      </w:r>
    </w:p>
    <w:p w:rsidR="00DF1DA7" w:rsidRDefault="00556416" w:rsidP="00E34B2A">
      <w:pPr>
        <w:pStyle w:val="Text"/>
      </w:pPr>
      <w:r w:rsidRPr="00E34B2A">
        <w:t>P</w:t>
      </w:r>
      <w:r w:rsidR="00CA563E" w:rsidRPr="00E34B2A">
        <w:t>oor assessments were related to the lack of ex</w:t>
      </w:r>
      <w:r w:rsidR="00B807A3" w:rsidRPr="00E34B2A">
        <w:t>pertise</w:t>
      </w:r>
      <w:r w:rsidR="00B807A3">
        <w:t xml:space="preserve"> in </w:t>
      </w:r>
      <w:r w:rsidR="00D305FC">
        <w:t xml:space="preserve">the </w:t>
      </w:r>
      <w:r w:rsidR="00B807A3">
        <w:t>assessors themselves and</w:t>
      </w:r>
      <w:r w:rsidR="00EB632D">
        <w:t xml:space="preserve"> were g</w:t>
      </w:r>
      <w:r w:rsidR="00BB5C84">
        <w:t xml:space="preserve">enerally </w:t>
      </w:r>
      <w:r w:rsidR="00B807A3">
        <w:t>associated with</w:t>
      </w:r>
      <w:r w:rsidR="00C931AE">
        <w:t xml:space="preserve"> </w:t>
      </w:r>
      <w:r w:rsidR="00DB454F">
        <w:t>a</w:t>
      </w:r>
      <w:r w:rsidR="00C931AE">
        <w:t xml:space="preserve"> lack of </w:t>
      </w:r>
      <w:r w:rsidR="00DB454F">
        <w:t xml:space="preserve">the </w:t>
      </w:r>
      <w:r w:rsidR="00D305FC">
        <w:t xml:space="preserve">appropriate training </w:t>
      </w:r>
      <w:r w:rsidR="00DB454F">
        <w:t>that</w:t>
      </w:r>
      <w:r w:rsidR="00C931AE">
        <w:t xml:space="preserve"> enable</w:t>
      </w:r>
      <w:r w:rsidR="00D305FC">
        <w:t>d</w:t>
      </w:r>
      <w:r w:rsidR="00C931AE">
        <w:t xml:space="preserve"> </w:t>
      </w:r>
      <w:r w:rsidR="00EB632D">
        <w:t>assessors</w:t>
      </w:r>
      <w:r w:rsidR="00C931AE">
        <w:t xml:space="preserve"> to </w:t>
      </w:r>
      <w:r w:rsidR="00EB632D">
        <w:t>conduct</w:t>
      </w:r>
      <w:r w:rsidR="00D305FC">
        <w:t xml:space="preserve"> assessments;</w:t>
      </w:r>
      <w:r w:rsidR="00C931AE">
        <w:t xml:space="preserve"> </w:t>
      </w:r>
      <w:r w:rsidR="00B807A3">
        <w:t xml:space="preserve">the </w:t>
      </w:r>
      <w:r w:rsidR="00136535">
        <w:t>curren</w:t>
      </w:r>
      <w:r w:rsidR="00EB632D">
        <w:t>cy of</w:t>
      </w:r>
      <w:r w:rsidR="00B807A3">
        <w:t xml:space="preserve"> assessors</w:t>
      </w:r>
      <w:r w:rsidR="00D52B39">
        <w:t>’</w:t>
      </w:r>
      <w:r w:rsidR="00E3166C">
        <w:t xml:space="preserve"> </w:t>
      </w:r>
      <w:r w:rsidR="00136535">
        <w:t>knowledge</w:t>
      </w:r>
      <w:r w:rsidR="00EB632D">
        <w:t>,</w:t>
      </w:r>
      <w:r w:rsidR="00136535">
        <w:t xml:space="preserve"> including the </w:t>
      </w:r>
      <w:r>
        <w:t>knowledge of specific standa</w:t>
      </w:r>
      <w:r w:rsidR="00D305FC">
        <w:t>rds (in the case of electrical);</w:t>
      </w:r>
      <w:r>
        <w:t xml:space="preserve"> and </w:t>
      </w:r>
      <w:r w:rsidR="00B807A3">
        <w:t xml:space="preserve">assessors </w:t>
      </w:r>
      <w:r w:rsidR="00EB632D">
        <w:t xml:space="preserve">being </w:t>
      </w:r>
      <w:r w:rsidR="00136535">
        <w:t xml:space="preserve">unprofessional </w:t>
      </w:r>
      <w:r w:rsidR="00EB632D">
        <w:t>in their practice</w:t>
      </w:r>
      <w:r w:rsidR="00136535">
        <w:t xml:space="preserve">. </w:t>
      </w:r>
      <w:r w:rsidR="00756705">
        <w:t>Assessments were compromised w</w:t>
      </w:r>
      <w:r>
        <w:t>hen</w:t>
      </w:r>
      <w:r w:rsidR="00E3166C">
        <w:t xml:space="preserve"> </w:t>
      </w:r>
      <w:r>
        <w:t>trainers</w:t>
      </w:r>
      <w:r w:rsidR="00C931AE">
        <w:t xml:space="preserve"> were </w:t>
      </w:r>
      <w:r w:rsidR="00756705">
        <w:t xml:space="preserve">perceived as </w:t>
      </w:r>
      <w:r w:rsidR="00C931AE">
        <w:t xml:space="preserve">uncaring and did not take account of the needs of different students, including giving them enough time to complete assessments, </w:t>
      </w:r>
      <w:r>
        <w:t xml:space="preserve">and being </w:t>
      </w:r>
      <w:r w:rsidR="00C931AE">
        <w:t>flexible enough about the volume and detail of information required, especially with regard to assessments</w:t>
      </w:r>
      <w:r w:rsidR="00B807A3">
        <w:t xml:space="preserve"> of prior learning</w:t>
      </w:r>
      <w:r w:rsidR="00C931AE">
        <w:t xml:space="preserve">. </w:t>
      </w:r>
      <w:r w:rsidR="00EB632D">
        <w:t>Giving students too much time to complete their assessments might also be considered to compromise the quality of assessments in occupations like electrical</w:t>
      </w:r>
      <w:r w:rsidR="00B807A3">
        <w:t>,</w:t>
      </w:r>
      <w:r w:rsidR="00EB632D">
        <w:t xml:space="preserve"> where </w:t>
      </w:r>
      <w:r w:rsidR="001A0809">
        <w:t xml:space="preserve">work was costed according to </w:t>
      </w:r>
      <w:r w:rsidR="00B807A3">
        <w:t xml:space="preserve">the </w:t>
      </w:r>
      <w:r w:rsidR="001A0809">
        <w:t xml:space="preserve">time taken to complete a job. </w:t>
      </w:r>
    </w:p>
    <w:p w:rsidR="000F069E" w:rsidRPr="00E34B2A" w:rsidRDefault="00DB454F" w:rsidP="00E34B2A">
      <w:pPr>
        <w:pStyle w:val="Text"/>
      </w:pPr>
      <w:r>
        <w:t>A</w:t>
      </w:r>
      <w:r w:rsidR="00DF1DA7">
        <w:t xml:space="preserve"> lack of rigour</w:t>
      </w:r>
      <w:r w:rsidR="00B807A3">
        <w:t>,</w:t>
      </w:r>
      <w:r w:rsidR="00DF1DA7">
        <w:t xml:space="preserve"> especially with regard to effective moderation and validation arrangements an</w:t>
      </w:r>
      <w:r>
        <w:t>d</w:t>
      </w:r>
      <w:r w:rsidR="00DF1DA7">
        <w:t xml:space="preserve"> </w:t>
      </w:r>
      <w:r w:rsidR="00D305FC">
        <w:t xml:space="preserve">a </w:t>
      </w:r>
      <w:r w:rsidR="00DF1DA7">
        <w:t xml:space="preserve">lack of sufficient evidence and documentation were </w:t>
      </w:r>
      <w:r w:rsidR="007C6DDA">
        <w:t xml:space="preserve">considered to be </w:t>
      </w:r>
      <w:r w:rsidR="00DF1DA7">
        <w:t xml:space="preserve">other </w:t>
      </w:r>
      <w:r w:rsidR="00B807A3">
        <w:t>aspects</w:t>
      </w:r>
      <w:r w:rsidR="00DF1DA7">
        <w:t xml:space="preserve"> of poor assessment. </w:t>
      </w:r>
      <w:r w:rsidR="00D05DD3">
        <w:t xml:space="preserve">Another issue was ensuring that the assessments were </w:t>
      </w:r>
      <w:r w:rsidR="00DF1DA7" w:rsidRPr="00D05DD3">
        <w:t xml:space="preserve">pitched at the right level. </w:t>
      </w:r>
      <w:r w:rsidR="00DF1DA7">
        <w:t xml:space="preserve">Assessments were also compromised when materials were not validated or when </w:t>
      </w:r>
      <w:r w:rsidR="00527FA5">
        <w:t xml:space="preserve">assessors did not demonstrate consistency in their </w:t>
      </w:r>
      <w:r w:rsidR="00DF1DA7">
        <w:t>marking</w:t>
      </w:r>
      <w:r w:rsidR="00B807A3">
        <w:t>.</w:t>
      </w:r>
      <w:r w:rsidR="00DF1DA7">
        <w:t xml:space="preserve"> (</w:t>
      </w:r>
      <w:r w:rsidR="00B807A3">
        <w:t>T</w:t>
      </w:r>
      <w:r w:rsidR="001A0809">
        <w:t xml:space="preserve">he latter </w:t>
      </w:r>
      <w:r w:rsidR="00B807A3">
        <w:t xml:space="preserve">was </w:t>
      </w:r>
      <w:r w:rsidR="00DF1DA7">
        <w:t>felt to result from a lack of a suitable marking rubric or guide</w:t>
      </w:r>
      <w:r w:rsidR="00B807A3">
        <w:t>.)</w:t>
      </w:r>
      <w:r w:rsidR="00DF1DA7">
        <w:t xml:space="preserve"> The </w:t>
      </w:r>
      <w:r w:rsidR="00527FA5">
        <w:t>absence</w:t>
      </w:r>
      <w:r w:rsidR="00DF1DA7">
        <w:t xml:space="preserve"> of sufficient and appropriate evidence and good records and documentation </w:t>
      </w:r>
      <w:r w:rsidR="001A0809">
        <w:t>w</w:t>
      </w:r>
      <w:r w:rsidR="00B807A3">
        <w:t>as</w:t>
      </w:r>
      <w:r w:rsidR="001A0809">
        <w:t xml:space="preserve"> felt to be evidence of </w:t>
      </w:r>
      <w:r w:rsidR="00DF1DA7">
        <w:t>poor practice.</w:t>
      </w:r>
      <w:r w:rsidR="00E3166C">
        <w:t xml:space="preserve"> </w:t>
      </w:r>
      <w:r w:rsidR="001A0809">
        <w:t>T</w:t>
      </w:r>
      <w:r w:rsidR="00DF1DA7">
        <w:t xml:space="preserve">he lack of validation was believed to reduce the quality of assessments </w:t>
      </w:r>
      <w:r w:rsidR="00D05DD3">
        <w:t xml:space="preserve">and </w:t>
      </w:r>
      <w:r w:rsidR="00DF1DA7">
        <w:t xml:space="preserve">there were was also a concern </w:t>
      </w:r>
      <w:r w:rsidR="00DF1DA7" w:rsidRPr="00E34B2A">
        <w:t xml:space="preserve">that burdening employers (as independent </w:t>
      </w:r>
      <w:r w:rsidR="001A0809" w:rsidRPr="00E34B2A">
        <w:t xml:space="preserve">or external </w:t>
      </w:r>
      <w:r w:rsidR="00DF1DA7" w:rsidRPr="00E34B2A">
        <w:t xml:space="preserve">assessors) with validation tasks did not make good sense. </w:t>
      </w:r>
    </w:p>
    <w:p w:rsidR="0030385F" w:rsidRPr="00E34B2A" w:rsidRDefault="0030385F" w:rsidP="00E34B2A">
      <w:pPr>
        <w:pStyle w:val="Text"/>
      </w:pPr>
      <w:r w:rsidRPr="00E34B2A">
        <w:t>Poor assessments were characterised by the lack of authentic</w:t>
      </w:r>
      <w:r w:rsidR="00D05DD3" w:rsidRPr="00E34B2A">
        <w:t>,</w:t>
      </w:r>
      <w:r w:rsidRPr="00E34B2A">
        <w:t xml:space="preserve"> appropriate and safe testing environments </w:t>
      </w:r>
      <w:r w:rsidR="001A0809" w:rsidRPr="00E34B2A">
        <w:t xml:space="preserve">or </w:t>
      </w:r>
      <w:r w:rsidRPr="00E34B2A">
        <w:t xml:space="preserve">appropriate simulations. </w:t>
      </w:r>
      <w:r w:rsidR="001A0809" w:rsidRPr="00E34B2A">
        <w:t>The</w:t>
      </w:r>
      <w:r w:rsidRPr="00E34B2A">
        <w:t xml:space="preserve"> lack of appropriate physical resources and equipment, </w:t>
      </w:r>
      <w:r w:rsidR="001A0809" w:rsidRPr="00E34B2A">
        <w:t>essential</w:t>
      </w:r>
      <w:r w:rsidRPr="00E34B2A">
        <w:t xml:space="preserve"> practical components</w:t>
      </w:r>
      <w:r w:rsidR="001A0809" w:rsidRPr="00E34B2A">
        <w:t xml:space="preserve">, </w:t>
      </w:r>
      <w:r w:rsidRPr="00E34B2A">
        <w:t>and industry follow-up of classroom learning</w:t>
      </w:r>
      <w:r w:rsidR="001A0809" w:rsidRPr="00E34B2A">
        <w:t xml:space="preserve"> were also evidence of poor assessment practice</w:t>
      </w:r>
      <w:r w:rsidRPr="00E34B2A">
        <w:t>.</w:t>
      </w:r>
      <w:r w:rsidR="00E3166C" w:rsidRPr="00E34B2A">
        <w:t xml:space="preserve"> </w:t>
      </w:r>
    </w:p>
    <w:p w:rsidR="005909C5" w:rsidRDefault="0030385F" w:rsidP="00E34B2A">
      <w:pPr>
        <w:pStyle w:val="Text"/>
      </w:pPr>
      <w:r w:rsidRPr="00E34B2A">
        <w:t>Student factors were also held to have a negative effect on assessments</w:t>
      </w:r>
      <w:r>
        <w:t xml:space="preserve">. </w:t>
      </w:r>
      <w:r w:rsidR="00CF5119">
        <w:t>These included student</w:t>
      </w:r>
      <w:r w:rsidR="00B807A3">
        <w:t>s</w:t>
      </w:r>
      <w:r w:rsidR="00D52B39">
        <w:t>’</w:t>
      </w:r>
      <w:r w:rsidR="00CF5119">
        <w:t xml:space="preserve"> lack</w:t>
      </w:r>
      <w:r w:rsidR="00B807A3">
        <w:t>ing the</w:t>
      </w:r>
      <w:r w:rsidR="00CF5119">
        <w:t xml:space="preserve"> requir</w:t>
      </w:r>
      <w:r w:rsidR="004C1D24">
        <w:t>ed skills and knowledge</w:t>
      </w:r>
      <w:r w:rsidR="00CD4645">
        <w:t>,</w:t>
      </w:r>
      <w:r w:rsidR="004C1D24">
        <w:t xml:space="preserve"> and</w:t>
      </w:r>
      <w:r w:rsidR="00CF5119">
        <w:t xml:space="preserve"> readiness and preparation, </w:t>
      </w:r>
      <w:r w:rsidR="00CD4645">
        <w:t>as well as</w:t>
      </w:r>
      <w:r w:rsidR="00CF5119">
        <w:t xml:space="preserve"> </w:t>
      </w:r>
      <w:r w:rsidR="004C1D24">
        <w:t xml:space="preserve">inadequate </w:t>
      </w:r>
      <w:r w:rsidR="00CF5119">
        <w:t xml:space="preserve">language and literacy skills. </w:t>
      </w:r>
      <w:r w:rsidR="00D05DD3">
        <w:t>For example, w</w:t>
      </w:r>
      <w:r w:rsidR="00CF5119">
        <w:t xml:space="preserve">hen students were not provided with </w:t>
      </w:r>
      <w:r w:rsidR="004C1D24">
        <w:t xml:space="preserve">the </w:t>
      </w:r>
      <w:r w:rsidR="00CF5119">
        <w:t>required language, literacy or numeracy support</w:t>
      </w:r>
      <w:r w:rsidR="004C1D24">
        <w:t>,</w:t>
      </w:r>
      <w:r w:rsidR="00CF5119">
        <w:t xml:space="preserve"> their ability to demonstrate their knowledge and skill of the subject</w:t>
      </w:r>
      <w:r w:rsidR="004C1D24">
        <w:t xml:space="preserve"> was affected</w:t>
      </w:r>
      <w:r w:rsidR="00CF5119">
        <w:t>. The lack of desired personal attributes and behaviours w</w:t>
      </w:r>
      <w:r w:rsidR="00DB454F">
        <w:t>as</w:t>
      </w:r>
      <w:r w:rsidR="00CF5119">
        <w:t xml:space="preserve"> also felt to reduce </w:t>
      </w:r>
      <w:r w:rsidR="004C1D24">
        <w:t>students</w:t>
      </w:r>
      <w:r w:rsidR="00D52B39">
        <w:t>’</w:t>
      </w:r>
      <w:r w:rsidR="004C1D24">
        <w:t xml:space="preserve"> </w:t>
      </w:r>
      <w:r w:rsidR="00CF5119">
        <w:t xml:space="preserve">ability to pass assessments. </w:t>
      </w:r>
    </w:p>
    <w:p w:rsidR="00CF5119" w:rsidRDefault="00CF5119" w:rsidP="00E34B2A">
      <w:pPr>
        <w:pStyle w:val="tabletitle"/>
      </w:pPr>
      <w:bookmarkStart w:id="47" w:name="_Toc381103328"/>
      <w:r>
        <w:t xml:space="preserve">Table </w:t>
      </w:r>
      <w:r w:rsidR="00B1050E">
        <w:t>4</w:t>
      </w:r>
      <w:r w:rsidR="00E34B2A">
        <w:tab/>
      </w:r>
      <w:r>
        <w:t>Practitioner views on poor assessments</w:t>
      </w:r>
      <w:bookmarkEnd w:id="47"/>
      <w:r>
        <w:t xml:space="preserve"> </w:t>
      </w:r>
    </w:p>
    <w:tbl>
      <w:tblPr>
        <w:tblStyle w:val="TableGrid"/>
        <w:tblW w:w="8789"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69"/>
        <w:gridCol w:w="2010"/>
        <w:gridCol w:w="2010"/>
      </w:tblGrid>
      <w:tr w:rsidR="00526B59" w:rsidTr="00E34B2A">
        <w:tc>
          <w:tcPr>
            <w:tcW w:w="4769" w:type="dxa"/>
            <w:tcBorders>
              <w:top w:val="single" w:sz="4" w:space="0" w:color="000000" w:themeColor="text1"/>
              <w:bottom w:val="single" w:sz="4" w:space="0" w:color="auto"/>
            </w:tcBorders>
          </w:tcPr>
          <w:p w:rsidR="00526B59" w:rsidRDefault="00526B59" w:rsidP="00CF5119">
            <w:pPr>
              <w:pStyle w:val="Tablehead1"/>
            </w:pPr>
            <w:r>
              <w:t>Characteristics of poor assessments</w:t>
            </w:r>
          </w:p>
        </w:tc>
        <w:tc>
          <w:tcPr>
            <w:tcW w:w="2010" w:type="dxa"/>
            <w:tcBorders>
              <w:top w:val="single" w:sz="4" w:space="0" w:color="000000" w:themeColor="text1"/>
              <w:bottom w:val="single" w:sz="4" w:space="0" w:color="auto"/>
            </w:tcBorders>
          </w:tcPr>
          <w:p w:rsidR="00526B59" w:rsidRDefault="00526B59" w:rsidP="00E34B2A">
            <w:pPr>
              <w:pStyle w:val="Tablehead1"/>
              <w:jc w:val="center"/>
            </w:pPr>
            <w:r>
              <w:t>No. of responses</w:t>
            </w:r>
          </w:p>
        </w:tc>
        <w:tc>
          <w:tcPr>
            <w:tcW w:w="2010" w:type="dxa"/>
            <w:tcBorders>
              <w:top w:val="single" w:sz="4" w:space="0" w:color="000000" w:themeColor="text1"/>
              <w:bottom w:val="single" w:sz="4" w:space="0" w:color="auto"/>
            </w:tcBorders>
          </w:tcPr>
          <w:p w:rsidR="00526B59" w:rsidRDefault="00526B59" w:rsidP="00E34B2A">
            <w:pPr>
              <w:pStyle w:val="Tablehead1"/>
              <w:jc w:val="center"/>
            </w:pPr>
            <w:r>
              <w:t>% of responden</w:t>
            </w:r>
            <w:r w:rsidR="004C1D24">
              <w:t>ts</w:t>
            </w:r>
            <w:r w:rsidR="004C1D24" w:rsidRPr="004C1D24">
              <w:rPr>
                <w:vertAlign w:val="superscript"/>
              </w:rPr>
              <w:t>1</w:t>
            </w:r>
            <w:r w:rsidR="00E34B2A">
              <w:rPr>
                <w:vertAlign w:val="superscript"/>
              </w:rPr>
              <w:br/>
            </w:r>
            <w:r>
              <w:t>(n</w:t>
            </w:r>
            <w:r w:rsidR="004C1D24">
              <w:t xml:space="preserve"> </w:t>
            </w:r>
            <w:r>
              <w:t>=</w:t>
            </w:r>
            <w:r w:rsidR="004C1D24">
              <w:t xml:space="preserve"> </w:t>
            </w:r>
            <w:r>
              <w:t>41)</w:t>
            </w:r>
          </w:p>
        </w:tc>
      </w:tr>
      <w:tr w:rsidR="00526B59" w:rsidRPr="00E34B2A" w:rsidTr="00E34B2A">
        <w:tc>
          <w:tcPr>
            <w:tcW w:w="4769" w:type="dxa"/>
          </w:tcPr>
          <w:p w:rsidR="00526B59" w:rsidRPr="00E34B2A" w:rsidRDefault="00526B59" w:rsidP="00E34B2A">
            <w:pPr>
              <w:pStyle w:val="Tabletext"/>
            </w:pPr>
            <w:r w:rsidRPr="00E34B2A">
              <w:t>Poorly designed assessment tools</w:t>
            </w:r>
          </w:p>
        </w:tc>
        <w:tc>
          <w:tcPr>
            <w:tcW w:w="2010" w:type="dxa"/>
          </w:tcPr>
          <w:p w:rsidR="00526B59" w:rsidRPr="00E34B2A" w:rsidRDefault="00526B59" w:rsidP="00E34B2A">
            <w:pPr>
              <w:pStyle w:val="Tabletext"/>
              <w:tabs>
                <w:tab w:val="decimal" w:pos="992"/>
              </w:tabs>
            </w:pPr>
            <w:r w:rsidRPr="00E34B2A">
              <w:t>39</w:t>
            </w:r>
          </w:p>
        </w:tc>
        <w:tc>
          <w:tcPr>
            <w:tcW w:w="2010" w:type="dxa"/>
          </w:tcPr>
          <w:p w:rsidR="00526B59" w:rsidRPr="00E34B2A" w:rsidRDefault="00526B59" w:rsidP="00E34B2A">
            <w:pPr>
              <w:pStyle w:val="Tabletext"/>
              <w:tabs>
                <w:tab w:val="decimal" w:pos="907"/>
              </w:tabs>
            </w:pPr>
            <w:r w:rsidRPr="00E34B2A">
              <w:t>95.1</w:t>
            </w:r>
          </w:p>
        </w:tc>
      </w:tr>
      <w:tr w:rsidR="00526B59" w:rsidRPr="00E34B2A" w:rsidTr="00E34B2A">
        <w:tc>
          <w:tcPr>
            <w:tcW w:w="4769" w:type="dxa"/>
          </w:tcPr>
          <w:p w:rsidR="00526B59" w:rsidRPr="00E34B2A" w:rsidRDefault="00526B59" w:rsidP="00E34B2A">
            <w:pPr>
              <w:pStyle w:val="Tabletext"/>
            </w:pPr>
            <w:r w:rsidRPr="00E34B2A">
              <w:t>Lack of rigour</w:t>
            </w:r>
          </w:p>
        </w:tc>
        <w:tc>
          <w:tcPr>
            <w:tcW w:w="2010" w:type="dxa"/>
          </w:tcPr>
          <w:p w:rsidR="00526B59" w:rsidRPr="00E34B2A" w:rsidRDefault="00526B59" w:rsidP="00E34B2A">
            <w:pPr>
              <w:pStyle w:val="Tabletext"/>
              <w:tabs>
                <w:tab w:val="decimal" w:pos="992"/>
              </w:tabs>
            </w:pPr>
            <w:r w:rsidRPr="00E34B2A">
              <w:t>24</w:t>
            </w:r>
          </w:p>
        </w:tc>
        <w:tc>
          <w:tcPr>
            <w:tcW w:w="2010" w:type="dxa"/>
          </w:tcPr>
          <w:p w:rsidR="00526B59" w:rsidRPr="00E34B2A" w:rsidRDefault="00526B59" w:rsidP="00E34B2A">
            <w:pPr>
              <w:pStyle w:val="Tabletext"/>
              <w:tabs>
                <w:tab w:val="decimal" w:pos="907"/>
              </w:tabs>
            </w:pPr>
            <w:r w:rsidRPr="00E34B2A">
              <w:t>58.5</w:t>
            </w:r>
          </w:p>
        </w:tc>
      </w:tr>
      <w:tr w:rsidR="00526B59" w:rsidRPr="00E34B2A" w:rsidTr="00E34B2A">
        <w:tc>
          <w:tcPr>
            <w:tcW w:w="4769" w:type="dxa"/>
          </w:tcPr>
          <w:p w:rsidR="00526B59" w:rsidRPr="00E34B2A" w:rsidRDefault="00526B59" w:rsidP="00E34B2A">
            <w:pPr>
              <w:pStyle w:val="Tabletext"/>
            </w:pPr>
            <w:r w:rsidRPr="00E34B2A">
              <w:t>Lack of expertise in assessors</w:t>
            </w:r>
          </w:p>
        </w:tc>
        <w:tc>
          <w:tcPr>
            <w:tcW w:w="2010" w:type="dxa"/>
          </w:tcPr>
          <w:p w:rsidR="00526B59" w:rsidRPr="00E34B2A" w:rsidRDefault="00526B59" w:rsidP="00E34B2A">
            <w:pPr>
              <w:pStyle w:val="Tabletext"/>
              <w:tabs>
                <w:tab w:val="decimal" w:pos="992"/>
              </w:tabs>
            </w:pPr>
            <w:r w:rsidRPr="00E34B2A">
              <w:t>23</w:t>
            </w:r>
          </w:p>
        </w:tc>
        <w:tc>
          <w:tcPr>
            <w:tcW w:w="2010" w:type="dxa"/>
          </w:tcPr>
          <w:p w:rsidR="00526B59" w:rsidRPr="00E34B2A" w:rsidRDefault="00526B59" w:rsidP="00E34B2A">
            <w:pPr>
              <w:pStyle w:val="Tabletext"/>
              <w:tabs>
                <w:tab w:val="decimal" w:pos="907"/>
              </w:tabs>
            </w:pPr>
            <w:r w:rsidRPr="00E34B2A">
              <w:t>56.1</w:t>
            </w:r>
          </w:p>
        </w:tc>
      </w:tr>
      <w:tr w:rsidR="00526B59" w:rsidRPr="00E34B2A" w:rsidTr="00E34B2A">
        <w:tc>
          <w:tcPr>
            <w:tcW w:w="4769" w:type="dxa"/>
          </w:tcPr>
          <w:p w:rsidR="00526B59" w:rsidRPr="00E34B2A" w:rsidRDefault="00526B59" w:rsidP="00E34B2A">
            <w:pPr>
              <w:pStyle w:val="Tabletext"/>
            </w:pPr>
            <w:r w:rsidRPr="00E34B2A">
              <w:t>Lack of authentic environment and physical resources</w:t>
            </w:r>
          </w:p>
        </w:tc>
        <w:tc>
          <w:tcPr>
            <w:tcW w:w="2010" w:type="dxa"/>
          </w:tcPr>
          <w:p w:rsidR="00526B59" w:rsidRPr="00E34B2A" w:rsidRDefault="00526B59" w:rsidP="00E34B2A">
            <w:pPr>
              <w:pStyle w:val="Tabletext"/>
              <w:tabs>
                <w:tab w:val="decimal" w:pos="992"/>
              </w:tabs>
            </w:pPr>
            <w:r w:rsidRPr="00E34B2A">
              <w:t>16</w:t>
            </w:r>
          </w:p>
        </w:tc>
        <w:tc>
          <w:tcPr>
            <w:tcW w:w="2010" w:type="dxa"/>
          </w:tcPr>
          <w:p w:rsidR="00526B59" w:rsidRPr="00E34B2A" w:rsidRDefault="00526B59" w:rsidP="00E34B2A">
            <w:pPr>
              <w:pStyle w:val="Tabletext"/>
              <w:tabs>
                <w:tab w:val="decimal" w:pos="907"/>
              </w:tabs>
            </w:pPr>
            <w:r w:rsidRPr="00E34B2A">
              <w:t>39.0</w:t>
            </w:r>
          </w:p>
        </w:tc>
      </w:tr>
      <w:tr w:rsidR="00526B59" w:rsidRPr="00E34B2A" w:rsidTr="00E34B2A">
        <w:tc>
          <w:tcPr>
            <w:tcW w:w="4769" w:type="dxa"/>
          </w:tcPr>
          <w:p w:rsidR="00526B59" w:rsidRPr="00E34B2A" w:rsidRDefault="00526B59" w:rsidP="00E34B2A">
            <w:pPr>
              <w:pStyle w:val="Tabletext"/>
            </w:pPr>
            <w:r w:rsidRPr="00E34B2A">
              <w:t>Lack of student readiness or ability</w:t>
            </w:r>
          </w:p>
        </w:tc>
        <w:tc>
          <w:tcPr>
            <w:tcW w:w="2010" w:type="dxa"/>
          </w:tcPr>
          <w:p w:rsidR="00526B59" w:rsidRPr="00E34B2A" w:rsidRDefault="00526B59" w:rsidP="00E34B2A">
            <w:pPr>
              <w:pStyle w:val="Tabletext"/>
              <w:tabs>
                <w:tab w:val="decimal" w:pos="992"/>
              </w:tabs>
            </w:pPr>
            <w:r w:rsidRPr="00E34B2A">
              <w:t>11</w:t>
            </w:r>
          </w:p>
        </w:tc>
        <w:tc>
          <w:tcPr>
            <w:tcW w:w="2010" w:type="dxa"/>
          </w:tcPr>
          <w:p w:rsidR="00526B59" w:rsidRPr="00E34B2A" w:rsidRDefault="00526B59" w:rsidP="00E34B2A">
            <w:pPr>
              <w:pStyle w:val="Tabletext"/>
              <w:tabs>
                <w:tab w:val="decimal" w:pos="907"/>
              </w:tabs>
            </w:pPr>
            <w:r w:rsidRPr="00E34B2A">
              <w:t>26.8</w:t>
            </w:r>
          </w:p>
        </w:tc>
      </w:tr>
      <w:tr w:rsidR="00526B59" w:rsidRPr="00E34B2A" w:rsidTr="00E34B2A">
        <w:tc>
          <w:tcPr>
            <w:tcW w:w="4769" w:type="dxa"/>
          </w:tcPr>
          <w:p w:rsidR="00526B59" w:rsidRPr="00E34B2A" w:rsidRDefault="00526B59" w:rsidP="00E34B2A">
            <w:pPr>
              <w:pStyle w:val="Tabletext"/>
            </w:pPr>
            <w:r w:rsidRPr="00E34B2A">
              <w:t>Other (time, effort and cost of assessment)</w:t>
            </w:r>
          </w:p>
        </w:tc>
        <w:tc>
          <w:tcPr>
            <w:tcW w:w="2010" w:type="dxa"/>
          </w:tcPr>
          <w:p w:rsidR="00526B59" w:rsidRPr="00E34B2A" w:rsidRDefault="00526B59" w:rsidP="00E34B2A">
            <w:pPr>
              <w:pStyle w:val="Tabletext"/>
              <w:tabs>
                <w:tab w:val="decimal" w:pos="992"/>
              </w:tabs>
            </w:pPr>
            <w:r w:rsidRPr="00E34B2A">
              <w:t>1</w:t>
            </w:r>
          </w:p>
        </w:tc>
        <w:tc>
          <w:tcPr>
            <w:tcW w:w="2010" w:type="dxa"/>
          </w:tcPr>
          <w:p w:rsidR="00526B59" w:rsidRPr="00E34B2A" w:rsidRDefault="00526B59" w:rsidP="00E34B2A">
            <w:pPr>
              <w:pStyle w:val="Tabletext"/>
              <w:tabs>
                <w:tab w:val="decimal" w:pos="907"/>
              </w:tabs>
            </w:pPr>
            <w:r w:rsidRPr="00E34B2A">
              <w:t>2.4</w:t>
            </w:r>
          </w:p>
        </w:tc>
      </w:tr>
    </w:tbl>
    <w:p w:rsidR="004C1D24" w:rsidRPr="00E34B2A" w:rsidRDefault="004C1D24" w:rsidP="00E34B2A">
      <w:pPr>
        <w:pStyle w:val="Source"/>
      </w:pPr>
      <w:r>
        <w:t>Note:</w:t>
      </w:r>
      <w:r w:rsidR="00E34B2A">
        <w:tab/>
      </w:r>
      <w:r>
        <w:t>1</w:t>
      </w:r>
      <w:r w:rsidR="00B063A0">
        <w:t xml:space="preserve">  </w:t>
      </w:r>
      <w:r>
        <w:t xml:space="preserve"> This column </w:t>
      </w:r>
      <w:r w:rsidRPr="00E34B2A">
        <w:t xml:space="preserve">refers to the multiple responses provided by each of the 41 respondents in their interviews. </w:t>
      </w:r>
    </w:p>
    <w:p w:rsidR="00DE4281" w:rsidRDefault="00E34B2A" w:rsidP="00E34B2A">
      <w:pPr>
        <w:pStyle w:val="Source"/>
      </w:pPr>
      <w:r>
        <w:t>Source:</w:t>
      </w:r>
      <w:r>
        <w:tab/>
      </w:r>
      <w:r w:rsidR="004C1D24" w:rsidRPr="00E34B2A">
        <w:t>R</w:t>
      </w:r>
      <w:r w:rsidR="003F756A" w:rsidRPr="00E34B2A">
        <w:t>egistered trainin</w:t>
      </w:r>
      <w:r w:rsidR="003F756A">
        <w:t>g organisation</w:t>
      </w:r>
      <w:r w:rsidR="00DE4281">
        <w:t xml:space="preserve"> questionnaire for this study</w:t>
      </w:r>
      <w:r w:rsidR="004C1D24">
        <w:t>.</w:t>
      </w:r>
    </w:p>
    <w:p w:rsidR="00B063A0" w:rsidRDefault="00B063A0">
      <w:pPr>
        <w:rPr>
          <w:rFonts w:ascii="Trebuchet MS" w:hAnsi="Trebuchet MS"/>
          <w:sz w:val="19"/>
          <w:szCs w:val="20"/>
          <w:lang w:eastAsia="en-US"/>
        </w:rPr>
      </w:pPr>
      <w:r>
        <w:br w:type="page"/>
      </w:r>
    </w:p>
    <w:p w:rsidR="00E34B2A" w:rsidRDefault="00E34B2A" w:rsidP="00E34B2A">
      <w:pPr>
        <w:pStyle w:val="Textlessbefore"/>
      </w:pPr>
    </w:p>
    <w:tbl>
      <w:tblPr>
        <w:tblStyle w:val="TableGrid"/>
        <w:tblW w:w="8789" w:type="dxa"/>
        <w:tblInd w:w="22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227" w:type="dxa"/>
          <w:right w:w="227" w:type="dxa"/>
        </w:tblCellMar>
        <w:tblLook w:val="04A0" w:firstRow="1" w:lastRow="0" w:firstColumn="1" w:lastColumn="0" w:noHBand="0" w:noVBand="1"/>
      </w:tblPr>
      <w:tblGrid>
        <w:gridCol w:w="8789"/>
      </w:tblGrid>
      <w:tr w:rsidR="00E34B2A" w:rsidTr="00E34B2A">
        <w:tc>
          <w:tcPr>
            <w:tcW w:w="9004" w:type="dxa"/>
            <w:shd w:val="clear" w:color="auto" w:fill="000000" w:themeFill="text1"/>
          </w:tcPr>
          <w:p w:rsidR="00E34B2A" w:rsidRDefault="00E34B2A" w:rsidP="00E34B2A">
            <w:pPr>
              <w:pStyle w:val="Tablehead1"/>
            </w:pPr>
            <w:r w:rsidRPr="001A0809">
              <w:t>What practitioners say</w:t>
            </w:r>
          </w:p>
        </w:tc>
      </w:tr>
      <w:tr w:rsidR="00E34B2A" w:rsidTr="00E34B2A">
        <w:tc>
          <w:tcPr>
            <w:tcW w:w="9004" w:type="dxa"/>
          </w:tcPr>
          <w:p w:rsidR="00E34B2A" w:rsidRPr="004C1D24" w:rsidRDefault="00E34B2A" w:rsidP="00557827">
            <w:pPr>
              <w:pStyle w:val="Tablehead1"/>
              <w:spacing w:before="120"/>
            </w:pPr>
            <w:r w:rsidRPr="004C1D24">
              <w:t xml:space="preserve">Poor assessments </w:t>
            </w:r>
          </w:p>
          <w:p w:rsidR="00E34B2A" w:rsidRDefault="00E34B2A" w:rsidP="00E34B2A">
            <w:pPr>
              <w:pStyle w:val="boxparastyle"/>
            </w:pPr>
            <w:r>
              <w:t>Occur w</w:t>
            </w:r>
            <w:r w:rsidRPr="000E645A">
              <w:t xml:space="preserve">hen </w:t>
            </w:r>
            <w:r>
              <w:t>there are p</w:t>
            </w:r>
            <w:r w:rsidRPr="000E645A">
              <w:t xml:space="preserve">oorly designed assessment tools and practices, </w:t>
            </w:r>
            <w:r>
              <w:t xml:space="preserve">and </w:t>
            </w:r>
            <w:r w:rsidRPr="000E645A">
              <w:t>poor communication between the various parties</w:t>
            </w:r>
            <w:r>
              <w:t>. In these cases a</w:t>
            </w:r>
            <w:r w:rsidRPr="000E645A">
              <w:t>ssessors aren</w:t>
            </w:r>
            <w:r w:rsidR="00D52B39">
              <w:t>’</w:t>
            </w:r>
            <w:r w:rsidRPr="000E645A">
              <w:t>t assessing what they are supposed to be assessing, learners don</w:t>
            </w:r>
            <w:r w:rsidR="00D52B39">
              <w:t>’</w:t>
            </w:r>
            <w:r w:rsidRPr="000E645A">
              <w:t xml:space="preserve">t know or understand assessment questions, </w:t>
            </w:r>
            <w:r>
              <w:t xml:space="preserve">the </w:t>
            </w:r>
            <w:r w:rsidRPr="000E645A">
              <w:t>bar for passing assessment is too high or too low</w:t>
            </w:r>
            <w:r>
              <w:t xml:space="preserve"> (</w:t>
            </w:r>
            <w:r w:rsidRPr="000E645A">
              <w:t>feedback from ITAB</w:t>
            </w:r>
            <w:r w:rsidR="00D52B39">
              <w:t>’</w:t>
            </w:r>
            <w:r w:rsidRPr="000E645A">
              <w:t xml:space="preserve">s </w:t>
            </w:r>
            <w:r>
              <w:t xml:space="preserve">[industry training advisory body] </w:t>
            </w:r>
            <w:r w:rsidRPr="000E645A">
              <w:t>a</w:t>
            </w:r>
            <w:r>
              <w:t>ssessor network meeting says that some RTO</w:t>
            </w:r>
            <w:r w:rsidRPr="000E645A">
              <w:t>s are setting the bar too high</w:t>
            </w:r>
            <w:r>
              <w:t>)</w:t>
            </w:r>
            <w:r w:rsidRPr="000E645A">
              <w:t xml:space="preserve">, a theory assessment </w:t>
            </w:r>
            <w:r>
              <w:t xml:space="preserve">[is done] </w:t>
            </w:r>
            <w:r w:rsidRPr="000E645A">
              <w:t>when a practical assessment is required</w:t>
            </w:r>
            <w:r>
              <w:t>.</w:t>
            </w:r>
            <w:r>
              <w:tab/>
              <w:t>(A</w:t>
            </w:r>
            <w:r w:rsidRPr="000E645A">
              <w:t>ged care, private provider)</w:t>
            </w:r>
          </w:p>
          <w:p w:rsidR="00E34B2A" w:rsidRPr="000E645A" w:rsidRDefault="00E34B2A" w:rsidP="00E34B2A">
            <w:pPr>
              <w:pStyle w:val="boxparastyle"/>
            </w:pPr>
            <w:r>
              <w:t xml:space="preserve">Come from implementing a </w:t>
            </w:r>
            <w:r w:rsidRPr="000E645A">
              <w:t xml:space="preserve">non-standard approach </w:t>
            </w:r>
            <w:r>
              <w:t>when</w:t>
            </w:r>
            <w:r w:rsidRPr="000E645A">
              <w:t xml:space="preserve"> assessors </w:t>
            </w:r>
            <w:r w:rsidR="00DB454F">
              <w:t xml:space="preserve">are </w:t>
            </w:r>
            <w:r w:rsidRPr="000E645A">
              <w:t>all doing it differently, poor documentation, unclear instructions to assessors, unclear expectations to students, most students are workplace employe</w:t>
            </w:r>
            <w:r>
              <w:t>es, pushed through by employers.</w:t>
            </w:r>
            <w:r>
              <w:tab/>
              <w:t>(B</w:t>
            </w:r>
            <w:r w:rsidRPr="000E645A">
              <w:t>usiness, private provider)</w:t>
            </w:r>
          </w:p>
          <w:p w:rsidR="00E34B2A" w:rsidRPr="000E645A" w:rsidRDefault="00E34B2A" w:rsidP="00E34B2A">
            <w:pPr>
              <w:pStyle w:val="boxparastyle"/>
            </w:pPr>
            <w:r>
              <w:t xml:space="preserve">Display </w:t>
            </w:r>
            <w:r w:rsidRPr="000E645A">
              <w:t>failure to meet requirements for effective assessments, inadequate moderation of assessments may lead to inconsisten</w:t>
            </w:r>
            <w:r>
              <w:t>t</w:t>
            </w:r>
            <w:r w:rsidRPr="000E645A">
              <w:t xml:space="preserve"> results for student cohorts</w:t>
            </w:r>
            <w:r>
              <w:t>.</w:t>
            </w:r>
            <w:r>
              <w:tab/>
              <w:t>(E</w:t>
            </w:r>
            <w:r w:rsidRPr="000E645A">
              <w:t>lectrical</w:t>
            </w:r>
            <w:r>
              <w:t>,</w:t>
            </w:r>
            <w:r w:rsidRPr="000E645A">
              <w:t xml:space="preserve"> private provider)</w:t>
            </w:r>
          </w:p>
          <w:p w:rsidR="00E34B2A" w:rsidRDefault="00E34B2A" w:rsidP="00E34B2A">
            <w:pPr>
              <w:pStyle w:val="boxparastyle"/>
              <w:spacing w:after="120"/>
            </w:pPr>
            <w:r>
              <w:t>L</w:t>
            </w:r>
            <w:r w:rsidRPr="000E645A">
              <w:t>ack validation and moderation,</w:t>
            </w:r>
            <w:r>
              <w:t xml:space="preserve"> and</w:t>
            </w:r>
            <w:r w:rsidRPr="000E645A">
              <w:t xml:space="preserve"> procedures that oversee the whole process. </w:t>
            </w:r>
            <w:r>
              <w:t xml:space="preserve">They happen when </w:t>
            </w:r>
            <w:r w:rsidRPr="000E645A">
              <w:t xml:space="preserve">RTOs in </w:t>
            </w:r>
            <w:r>
              <w:t>o</w:t>
            </w:r>
            <w:r w:rsidRPr="000E645A">
              <w:t>ther fields take easy way out</w:t>
            </w:r>
            <w:r>
              <w:t xml:space="preserve"> and </w:t>
            </w:r>
            <w:r w:rsidRPr="000E645A">
              <w:t xml:space="preserve">lower </w:t>
            </w:r>
            <w:r>
              <w:t xml:space="preserve">the </w:t>
            </w:r>
            <w:r w:rsidRPr="000E645A">
              <w:t>pass mark bar</w:t>
            </w:r>
            <w:r>
              <w:t>. L</w:t>
            </w:r>
            <w:r w:rsidRPr="000E645A">
              <w:t>eading questions, lack of follow-up practices in the workplace, inaccurate lo</w:t>
            </w:r>
            <w:r>
              <w:t>gbooks, poor practice where log</w:t>
            </w:r>
            <w:r w:rsidRPr="000E645A">
              <w:t>book wasn</w:t>
            </w:r>
            <w:r w:rsidR="00D52B39">
              <w:t>’</w:t>
            </w:r>
            <w:r w:rsidRPr="000E645A">
              <w:t xml:space="preserve">t used for assessment decision </w:t>
            </w:r>
            <w:r>
              <w:t>are all examples of poor assessment processes.</w:t>
            </w:r>
            <w:r>
              <w:tab/>
              <w:t>(E</w:t>
            </w:r>
            <w:r w:rsidRPr="000E645A">
              <w:t>lectrical, public provider)</w:t>
            </w:r>
          </w:p>
        </w:tc>
      </w:tr>
    </w:tbl>
    <w:p w:rsidR="00527FA5" w:rsidRDefault="00527FA5">
      <w:pPr>
        <w:rPr>
          <w:rFonts w:ascii="Tahoma" w:hAnsi="Tahoma" w:cs="Tahoma"/>
          <w:color w:val="000000"/>
          <w:kern w:val="28"/>
          <w:sz w:val="56"/>
          <w:szCs w:val="56"/>
          <w:lang w:eastAsia="en-US"/>
        </w:rPr>
      </w:pPr>
      <w:r>
        <w:br w:type="page"/>
      </w:r>
    </w:p>
    <w:p w:rsidR="00785E85" w:rsidRDefault="00D05DD3" w:rsidP="00785E85">
      <w:pPr>
        <w:pStyle w:val="Heading1"/>
      </w:pPr>
      <w:bookmarkStart w:id="48" w:name="_Toc381103180"/>
      <w:r>
        <w:lastRenderedPageBreak/>
        <w:t xml:space="preserve">How do </w:t>
      </w:r>
      <w:r w:rsidR="00785E85">
        <w:t xml:space="preserve">providers </w:t>
      </w:r>
      <w:r>
        <w:t>validate assessment</w:t>
      </w:r>
      <w:r w:rsidR="00785E85">
        <w:t>?</w:t>
      </w:r>
      <w:bookmarkEnd w:id="48"/>
    </w:p>
    <w:p w:rsidR="00A37C2A" w:rsidRDefault="005E4AA2" w:rsidP="00EE2528">
      <w:pPr>
        <w:pStyle w:val="Text"/>
      </w:pPr>
      <w:r>
        <w:t>Having explored what practitioners see as the key factors in quality assessments and credible qualifications</w:t>
      </w:r>
      <w:r w:rsidR="002C41C1">
        <w:t>,</w:t>
      </w:r>
      <w:r>
        <w:t xml:space="preserve"> our interest was </w:t>
      </w:r>
      <w:r w:rsidR="002C41C1">
        <w:t xml:space="preserve">to </w:t>
      </w:r>
      <w:r>
        <w:t xml:space="preserve">understand how or if providers validated their assessment tools, approaches and results. </w:t>
      </w:r>
      <w:r w:rsidR="00705C1E">
        <w:t xml:space="preserve">We were also interested in finding out </w:t>
      </w:r>
      <w:r w:rsidR="002C41C1">
        <w:t>the</w:t>
      </w:r>
      <w:r w:rsidR="00A37C2A">
        <w:t xml:space="preserve"> extent </w:t>
      </w:r>
      <w:r w:rsidR="002C41C1">
        <w:t>to which organisations practis</w:t>
      </w:r>
      <w:r w:rsidR="00A37C2A">
        <w:t xml:space="preserve">e </w:t>
      </w:r>
      <w:r w:rsidR="00A37C2A" w:rsidRPr="00EE2528">
        <w:t>validation</w:t>
      </w:r>
      <w:r w:rsidR="00A37C2A">
        <w:t xml:space="preserve"> throug</w:t>
      </w:r>
      <w:r w:rsidR="002C41C1">
        <w:t>h the use of external assessors</w:t>
      </w:r>
      <w:r w:rsidR="00A37C2A">
        <w:t xml:space="preserve"> and industry stakeholders (especially employers)</w:t>
      </w:r>
      <w:r w:rsidR="00705C1E">
        <w:t xml:space="preserve"> and whether or not there were </w:t>
      </w:r>
      <w:r w:rsidR="00A37C2A">
        <w:t xml:space="preserve">any issues </w:t>
      </w:r>
      <w:r w:rsidR="002C41C1">
        <w:t>related to</w:t>
      </w:r>
      <w:r w:rsidR="00A37C2A">
        <w:t xml:space="preserve"> </w:t>
      </w:r>
      <w:r w:rsidR="00DB454F">
        <w:t xml:space="preserve">the </w:t>
      </w:r>
      <w:r w:rsidR="00A37C2A">
        <w:t>involv</w:t>
      </w:r>
      <w:r w:rsidR="00DB454F">
        <w:t>ement of</w:t>
      </w:r>
      <w:r w:rsidR="00A37C2A">
        <w:t xml:space="preserve"> employers in assessments</w:t>
      </w:r>
      <w:r w:rsidR="00705C1E">
        <w:t xml:space="preserve">. Although we </w:t>
      </w:r>
      <w:r w:rsidR="002C41C1">
        <w:t>collected</w:t>
      </w:r>
      <w:r w:rsidR="00705C1E">
        <w:t xml:space="preserve"> evidence about all </w:t>
      </w:r>
      <w:r w:rsidR="002C41C1">
        <w:t xml:space="preserve">of </w:t>
      </w:r>
      <w:r w:rsidR="00705C1E">
        <w:t>these areas from the practitioners themselves</w:t>
      </w:r>
      <w:r w:rsidR="002C41C1">
        <w:t>,</w:t>
      </w:r>
      <w:r w:rsidR="00705C1E">
        <w:t xml:space="preserve"> we also gathered information from employers and any other industry stakeholders. </w:t>
      </w:r>
    </w:p>
    <w:p w:rsidR="005E4AA2" w:rsidRDefault="005E4AA2" w:rsidP="005E4AA2">
      <w:pPr>
        <w:pStyle w:val="Heading2"/>
      </w:pPr>
      <w:bookmarkStart w:id="49" w:name="_Toc381103181"/>
      <w:r>
        <w:t xml:space="preserve">How providers </w:t>
      </w:r>
      <w:r w:rsidR="001B050B">
        <w:t>understand and implement</w:t>
      </w:r>
      <w:r>
        <w:t xml:space="preserve"> validation and moderation</w:t>
      </w:r>
      <w:r w:rsidR="00EE2528">
        <w:t> </w:t>
      </w:r>
      <w:r w:rsidR="001B050B">
        <w:t>processes</w:t>
      </w:r>
      <w:bookmarkEnd w:id="49"/>
    </w:p>
    <w:p w:rsidR="00A37C2A" w:rsidRPr="00EE2528" w:rsidRDefault="005E4AA2" w:rsidP="00EE2528">
      <w:pPr>
        <w:pStyle w:val="Text"/>
      </w:pPr>
      <w:r w:rsidRPr="001911D5">
        <w:t xml:space="preserve">When practitioners were asked to describe how the terms </w:t>
      </w:r>
      <w:r w:rsidR="00D52B39">
        <w:t>‘</w:t>
      </w:r>
      <w:r w:rsidRPr="002C41C1">
        <w:t>validation</w:t>
      </w:r>
      <w:r w:rsidR="00D52B39">
        <w:t>’</w:t>
      </w:r>
      <w:r w:rsidRPr="001911D5">
        <w:rPr>
          <w:i/>
        </w:rPr>
        <w:t xml:space="preserve"> </w:t>
      </w:r>
      <w:r w:rsidR="00CA563E">
        <w:t xml:space="preserve">and </w:t>
      </w:r>
      <w:r w:rsidR="00D52B39">
        <w:t>‘</w:t>
      </w:r>
      <w:r w:rsidR="00CA563E" w:rsidRPr="002C41C1">
        <w:t>moderation</w:t>
      </w:r>
      <w:r w:rsidR="00D52B39">
        <w:t>’</w:t>
      </w:r>
      <w:r w:rsidR="00CA563E" w:rsidRPr="002C41C1">
        <w:t xml:space="preserve"> </w:t>
      </w:r>
      <w:r w:rsidR="00CA563E">
        <w:t>were used in their institutions</w:t>
      </w:r>
      <w:r w:rsidR="002C41C1">
        <w:t>,</w:t>
      </w:r>
      <w:r w:rsidR="00CA563E">
        <w:t xml:space="preserve"> 85% of them described the term validation in the commonly accepted way. Validation meant ensuring that the assessment tools measured what they were meant to measure and that what was meant to be measured </w:t>
      </w:r>
      <w:r w:rsidR="00DB454F">
        <w:t>fulfilled</w:t>
      </w:r>
      <w:r w:rsidR="00CA563E">
        <w:t xml:space="preserve"> industry needs. There was less certainty and accuracy in the use of the term </w:t>
      </w:r>
      <w:r w:rsidR="00CA563E" w:rsidRPr="001A59DA">
        <w:t>moderation</w:t>
      </w:r>
      <w:r w:rsidR="00CA563E">
        <w:rPr>
          <w:i/>
        </w:rPr>
        <w:t xml:space="preserve">. </w:t>
      </w:r>
      <w:r w:rsidR="00CA563E">
        <w:t>Although</w:t>
      </w:r>
      <w:r w:rsidR="00CA563E">
        <w:rPr>
          <w:i/>
        </w:rPr>
        <w:t xml:space="preserve"> </w:t>
      </w:r>
      <w:r w:rsidR="00CA563E">
        <w:t xml:space="preserve">56% of respondents were able to align the term moderation with consistency of marking among assessors, or comparability of results, there was a large group (44%) of respondents </w:t>
      </w:r>
      <w:r w:rsidR="001A59DA">
        <w:t xml:space="preserve">who were </w:t>
      </w:r>
      <w:r w:rsidR="00CA563E">
        <w:t xml:space="preserve">either unclear about what the term meant, confusing it with the term validation, or </w:t>
      </w:r>
      <w:r w:rsidR="001A59DA">
        <w:t xml:space="preserve">who were </w:t>
      </w:r>
      <w:r w:rsidR="00CA563E">
        <w:t>not able to provide a suitable answer. This suggests that</w:t>
      </w:r>
      <w:r w:rsidR="003F2913">
        <w:t>,</w:t>
      </w:r>
      <w:r w:rsidR="00CA563E">
        <w:t xml:space="preserve"> although practitioners are q</w:t>
      </w:r>
      <w:r w:rsidR="003F2913">
        <w:t>uite clear about validation,</w:t>
      </w:r>
      <w:r w:rsidR="00CA563E">
        <w:t xml:space="preserve"> much more needs to be done to ensure that practitioners have a good understanding of </w:t>
      </w:r>
      <w:r w:rsidR="00CD4645">
        <w:t xml:space="preserve">the concept of </w:t>
      </w:r>
      <w:r w:rsidR="00CA563E">
        <w:t xml:space="preserve">moderation. A small group of respondents also reported that the terms were often used together. This </w:t>
      </w:r>
      <w:r w:rsidR="00CA563E" w:rsidRPr="00EE2528">
        <w:t>could also account for the general confusion, especially with regard to moderation.</w:t>
      </w:r>
      <w:r w:rsidR="00E3166C" w:rsidRPr="00EE2528">
        <w:t xml:space="preserve"> </w:t>
      </w:r>
    </w:p>
    <w:p w:rsidR="00FD21C1" w:rsidRDefault="00FD21C1" w:rsidP="00EE2528">
      <w:pPr>
        <w:pStyle w:val="Text"/>
      </w:pPr>
      <w:r w:rsidRPr="00EE2528">
        <w:t xml:space="preserve"> A small group of practitioners reported that they did not engage</w:t>
      </w:r>
      <w:r>
        <w:t xml:space="preserve"> in any moderation </w:t>
      </w:r>
      <w:r w:rsidR="003922A4">
        <w:t xml:space="preserve">activities </w:t>
      </w:r>
      <w:r>
        <w:t>but were intending to implement a process which would ensure consistency</w:t>
      </w:r>
      <w:r w:rsidR="003922A4">
        <w:t xml:space="preserve"> in the future</w:t>
      </w:r>
      <w:r w:rsidR="00A83513">
        <w:t xml:space="preserve"> </w:t>
      </w:r>
      <w:r w:rsidR="00A83513" w:rsidRPr="00EE2528">
        <w:t>(table 5)</w:t>
      </w:r>
      <w:r w:rsidRPr="00EE2528">
        <w:t>.</w:t>
      </w:r>
      <w:r w:rsidR="00A83513" w:rsidRPr="00EE2528">
        <w:t xml:space="preserve"> </w:t>
      </w:r>
      <w:r>
        <w:t xml:space="preserve">The remainder </w:t>
      </w:r>
      <w:r w:rsidR="003922A4">
        <w:t>said t</w:t>
      </w:r>
      <w:r w:rsidR="003F2913">
        <w:t>hey ensured consistency by focu</w:t>
      </w:r>
      <w:r w:rsidR="003922A4">
        <w:t>sing on the assessment tools and techniques, mostly before the assessments were conducted. They concentrated on ensuring</w:t>
      </w:r>
      <w:r>
        <w:t xml:space="preserve"> that questions could be understood by students in the way they were intended</w:t>
      </w:r>
      <w:r w:rsidRPr="001911D5">
        <w:t xml:space="preserve"> </w:t>
      </w:r>
      <w:r w:rsidR="00CA563E">
        <w:t xml:space="preserve">and </w:t>
      </w:r>
      <w:r w:rsidR="00CD4645">
        <w:t xml:space="preserve">on </w:t>
      </w:r>
      <w:r w:rsidR="00CA563E">
        <w:t>developing marking guides to ensure consistency in marking</w:t>
      </w:r>
      <w:r w:rsidR="003922A4">
        <w:t xml:space="preserve">. Once assessments </w:t>
      </w:r>
      <w:r w:rsidR="003F2913">
        <w:t>had been</w:t>
      </w:r>
      <w:r w:rsidR="003922A4">
        <w:t xml:space="preserve"> done</w:t>
      </w:r>
      <w:r w:rsidR="003F2913">
        <w:t>,</w:t>
      </w:r>
      <w:r w:rsidR="003922A4">
        <w:t xml:space="preserve"> there were those who used the</w:t>
      </w:r>
      <w:r>
        <w:t xml:space="preserve"> assessment results to </w:t>
      </w:r>
      <w:r w:rsidR="003922A4">
        <w:t xml:space="preserve">amend any questions for </w:t>
      </w:r>
      <w:r w:rsidR="00DF4C21">
        <w:t xml:space="preserve">use on future occasions. </w:t>
      </w:r>
      <w:r>
        <w:t xml:space="preserve">Rarely </w:t>
      </w:r>
      <w:r w:rsidR="00DF4C21">
        <w:t xml:space="preserve">were </w:t>
      </w:r>
      <w:r>
        <w:t>marks moderated upwards or downwards</w:t>
      </w:r>
      <w:r w:rsidR="003922A4">
        <w:t>. W</w:t>
      </w:r>
      <w:r>
        <w:t xml:space="preserve">hen they </w:t>
      </w:r>
      <w:r w:rsidR="00DF4C21">
        <w:t>were,</w:t>
      </w:r>
      <w:r>
        <w:t xml:space="preserve"> it was not the result of formal moderation procedures but </w:t>
      </w:r>
      <w:r w:rsidR="00DF4C21">
        <w:t>because</w:t>
      </w:r>
      <w:r>
        <w:t xml:space="preserve"> trainers and assessors were not sure whether or not the student had provided </w:t>
      </w:r>
      <w:r w:rsidRPr="00EE2528">
        <w:t xml:space="preserve">an adequate </w:t>
      </w:r>
      <w:r w:rsidR="003922A4" w:rsidRPr="00EE2528">
        <w:t xml:space="preserve">or strong enough </w:t>
      </w:r>
      <w:r w:rsidRPr="00EE2528">
        <w:t>response</w:t>
      </w:r>
      <w:r w:rsidR="00EE2528">
        <w:t xml:space="preserve"> to warrant a </w:t>
      </w:r>
      <w:r w:rsidR="00D52B39">
        <w:t>‘</w:t>
      </w:r>
      <w:r w:rsidR="00EE2528">
        <w:t>competent</w:t>
      </w:r>
      <w:r w:rsidR="00D52B39">
        <w:t>’</w:t>
      </w:r>
      <w:r w:rsidR="00EE2528">
        <w:t xml:space="preserve"> result</w:t>
      </w:r>
      <w:r w:rsidRPr="00EE2528">
        <w:t>.</w:t>
      </w:r>
    </w:p>
    <w:p w:rsidR="00BB2C84" w:rsidRDefault="00BB2C84">
      <w:r>
        <w:br w:type="page"/>
      </w:r>
    </w:p>
    <w:p w:rsidR="00BB2C84" w:rsidRDefault="00BB2C84" w:rsidP="00EE2528">
      <w:pPr>
        <w:pStyle w:val="tabletitle"/>
      </w:pPr>
      <w:bookmarkStart w:id="50" w:name="_Toc381103329"/>
      <w:r>
        <w:lastRenderedPageBreak/>
        <w:t xml:space="preserve">Table </w:t>
      </w:r>
      <w:r w:rsidR="00B1050E">
        <w:t>5</w:t>
      </w:r>
      <w:r w:rsidR="00EE2528">
        <w:tab/>
      </w:r>
      <w:r>
        <w:t>Moderation practices implemented by providers</w:t>
      </w:r>
      <w:bookmarkEnd w:id="50"/>
      <w:r>
        <w:t xml:space="preserve"> </w:t>
      </w:r>
    </w:p>
    <w:tbl>
      <w:tblPr>
        <w:tblStyle w:val="TableGrid"/>
        <w:tblW w:w="8789"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1985"/>
        <w:gridCol w:w="1985"/>
      </w:tblGrid>
      <w:tr w:rsidR="00526B59" w:rsidTr="00EE2528">
        <w:tc>
          <w:tcPr>
            <w:tcW w:w="4819" w:type="dxa"/>
            <w:tcBorders>
              <w:top w:val="single" w:sz="4" w:space="0" w:color="000000" w:themeColor="text1"/>
              <w:bottom w:val="single" w:sz="4" w:space="0" w:color="auto"/>
            </w:tcBorders>
          </w:tcPr>
          <w:p w:rsidR="00526B59" w:rsidRDefault="00526B59" w:rsidP="00BB2C84">
            <w:pPr>
              <w:pStyle w:val="Tablehead1"/>
            </w:pPr>
            <w:r>
              <w:t>Moderation practices</w:t>
            </w:r>
          </w:p>
        </w:tc>
        <w:tc>
          <w:tcPr>
            <w:tcW w:w="1985" w:type="dxa"/>
            <w:tcBorders>
              <w:top w:val="single" w:sz="4" w:space="0" w:color="000000" w:themeColor="text1"/>
              <w:bottom w:val="single" w:sz="4" w:space="0" w:color="auto"/>
            </w:tcBorders>
          </w:tcPr>
          <w:p w:rsidR="00526B59" w:rsidRDefault="00526B59" w:rsidP="00EE2528">
            <w:pPr>
              <w:pStyle w:val="Tablehead1"/>
              <w:jc w:val="center"/>
            </w:pPr>
            <w:r>
              <w:t>No. of responses</w:t>
            </w:r>
          </w:p>
        </w:tc>
        <w:tc>
          <w:tcPr>
            <w:tcW w:w="1985" w:type="dxa"/>
            <w:tcBorders>
              <w:top w:val="single" w:sz="4" w:space="0" w:color="000000" w:themeColor="text1"/>
              <w:bottom w:val="single" w:sz="4" w:space="0" w:color="auto"/>
            </w:tcBorders>
          </w:tcPr>
          <w:p w:rsidR="00526B59" w:rsidRDefault="00526B59" w:rsidP="00EE2528">
            <w:pPr>
              <w:pStyle w:val="Tablehead1"/>
              <w:jc w:val="center"/>
            </w:pPr>
            <w:r>
              <w:t>% of respondents</w:t>
            </w:r>
            <w:r w:rsidR="00A83513">
              <w:rPr>
                <w:vertAlign w:val="superscript"/>
              </w:rPr>
              <w:t>1</w:t>
            </w:r>
            <w:r w:rsidR="00EE2528">
              <w:br/>
            </w:r>
            <w:r>
              <w:t>(n</w:t>
            </w:r>
            <w:r w:rsidR="00DF4C21">
              <w:t xml:space="preserve"> </w:t>
            </w:r>
            <w:r>
              <w:t>=</w:t>
            </w:r>
            <w:r w:rsidR="00DF4C21">
              <w:t xml:space="preserve"> </w:t>
            </w:r>
            <w:r>
              <w:t>41)</w:t>
            </w:r>
          </w:p>
        </w:tc>
      </w:tr>
      <w:tr w:rsidR="00526B59" w:rsidRPr="00EE2528" w:rsidTr="00EE2528">
        <w:tc>
          <w:tcPr>
            <w:tcW w:w="4819" w:type="dxa"/>
          </w:tcPr>
          <w:p w:rsidR="00526B59" w:rsidRPr="00EE2528" w:rsidRDefault="00526B59" w:rsidP="00EE2528">
            <w:pPr>
              <w:pStyle w:val="Tabletext"/>
            </w:pPr>
            <w:r w:rsidRPr="00EE2528">
              <w:t xml:space="preserve">Developing tools and marking guides to achieve fairness and consistency </w:t>
            </w:r>
          </w:p>
        </w:tc>
        <w:tc>
          <w:tcPr>
            <w:tcW w:w="1985" w:type="dxa"/>
          </w:tcPr>
          <w:p w:rsidR="00526B59" w:rsidRPr="00EE2528" w:rsidRDefault="00526B59" w:rsidP="00EE2528">
            <w:pPr>
              <w:pStyle w:val="Tabletext"/>
              <w:tabs>
                <w:tab w:val="decimal" w:pos="1021"/>
              </w:tabs>
            </w:pPr>
            <w:r w:rsidRPr="00EE2528">
              <w:t>26</w:t>
            </w:r>
          </w:p>
        </w:tc>
        <w:tc>
          <w:tcPr>
            <w:tcW w:w="1985" w:type="dxa"/>
          </w:tcPr>
          <w:p w:rsidR="00526B59" w:rsidRPr="00EE2528" w:rsidRDefault="00526B59" w:rsidP="00EE2528">
            <w:pPr>
              <w:pStyle w:val="Tabletext"/>
              <w:tabs>
                <w:tab w:val="decimal" w:pos="879"/>
              </w:tabs>
            </w:pPr>
            <w:r w:rsidRPr="00EE2528">
              <w:t>63.4</w:t>
            </w:r>
          </w:p>
        </w:tc>
      </w:tr>
      <w:tr w:rsidR="00526B59" w:rsidRPr="00EE2528" w:rsidTr="00EE2528">
        <w:tc>
          <w:tcPr>
            <w:tcW w:w="4819" w:type="dxa"/>
          </w:tcPr>
          <w:p w:rsidR="00526B59" w:rsidRPr="00EE2528" w:rsidRDefault="00526B59" w:rsidP="00EE2528">
            <w:pPr>
              <w:pStyle w:val="Tabletext"/>
            </w:pPr>
            <w:r w:rsidRPr="00EE2528">
              <w:t>Traditional moderation practices undertaken internally and across campuses</w:t>
            </w:r>
          </w:p>
        </w:tc>
        <w:tc>
          <w:tcPr>
            <w:tcW w:w="1985" w:type="dxa"/>
          </w:tcPr>
          <w:p w:rsidR="00526B59" w:rsidRPr="00EE2528" w:rsidRDefault="00526B59" w:rsidP="00EE2528">
            <w:pPr>
              <w:pStyle w:val="Tabletext"/>
              <w:tabs>
                <w:tab w:val="decimal" w:pos="1021"/>
              </w:tabs>
            </w:pPr>
            <w:r w:rsidRPr="00EE2528">
              <w:t>25</w:t>
            </w:r>
          </w:p>
        </w:tc>
        <w:tc>
          <w:tcPr>
            <w:tcW w:w="1985" w:type="dxa"/>
          </w:tcPr>
          <w:p w:rsidR="00526B59" w:rsidRPr="00EE2528" w:rsidRDefault="00526B59" w:rsidP="00EE2528">
            <w:pPr>
              <w:pStyle w:val="Tabletext"/>
              <w:tabs>
                <w:tab w:val="decimal" w:pos="879"/>
              </w:tabs>
            </w:pPr>
            <w:r w:rsidRPr="00EE2528">
              <w:t>60.9</w:t>
            </w:r>
          </w:p>
        </w:tc>
      </w:tr>
      <w:tr w:rsidR="00526B59" w:rsidRPr="00EE2528" w:rsidTr="00EE2528">
        <w:tc>
          <w:tcPr>
            <w:tcW w:w="4819" w:type="dxa"/>
          </w:tcPr>
          <w:p w:rsidR="00526B59" w:rsidRPr="00EE2528" w:rsidRDefault="00526B59" w:rsidP="00EE2528">
            <w:pPr>
              <w:pStyle w:val="Tabletext"/>
            </w:pPr>
            <w:r w:rsidRPr="00EE2528">
              <w:t>Other (overlapping moderation and validation practice)</w:t>
            </w:r>
          </w:p>
        </w:tc>
        <w:tc>
          <w:tcPr>
            <w:tcW w:w="1985" w:type="dxa"/>
          </w:tcPr>
          <w:p w:rsidR="00526B59" w:rsidRPr="00EE2528" w:rsidRDefault="00526B59" w:rsidP="00EE2528">
            <w:pPr>
              <w:pStyle w:val="Tabletext"/>
              <w:tabs>
                <w:tab w:val="decimal" w:pos="1021"/>
              </w:tabs>
            </w:pPr>
            <w:r w:rsidRPr="00EE2528">
              <w:t>5</w:t>
            </w:r>
          </w:p>
        </w:tc>
        <w:tc>
          <w:tcPr>
            <w:tcW w:w="1985" w:type="dxa"/>
          </w:tcPr>
          <w:p w:rsidR="00526B59" w:rsidRPr="00EE2528" w:rsidRDefault="00526B59" w:rsidP="00EE2528">
            <w:pPr>
              <w:pStyle w:val="Tabletext"/>
              <w:tabs>
                <w:tab w:val="decimal" w:pos="879"/>
              </w:tabs>
            </w:pPr>
            <w:r w:rsidRPr="00EE2528">
              <w:t>12.2</w:t>
            </w:r>
          </w:p>
        </w:tc>
      </w:tr>
      <w:tr w:rsidR="00526B59" w:rsidRPr="00EE2528" w:rsidTr="00EE2528">
        <w:tc>
          <w:tcPr>
            <w:tcW w:w="4819" w:type="dxa"/>
          </w:tcPr>
          <w:p w:rsidR="00526B59" w:rsidRPr="00EE2528" w:rsidRDefault="00526B59" w:rsidP="00EE2528">
            <w:pPr>
              <w:pStyle w:val="Tabletext"/>
            </w:pPr>
            <w:r w:rsidRPr="00EE2528">
              <w:t>No moderation practice at present</w:t>
            </w:r>
          </w:p>
        </w:tc>
        <w:tc>
          <w:tcPr>
            <w:tcW w:w="1985" w:type="dxa"/>
          </w:tcPr>
          <w:p w:rsidR="00526B59" w:rsidRPr="00EE2528" w:rsidRDefault="00526B59" w:rsidP="00EE2528">
            <w:pPr>
              <w:pStyle w:val="Tabletext"/>
              <w:tabs>
                <w:tab w:val="decimal" w:pos="1021"/>
              </w:tabs>
            </w:pPr>
            <w:r w:rsidRPr="00EE2528">
              <w:t>6</w:t>
            </w:r>
          </w:p>
        </w:tc>
        <w:tc>
          <w:tcPr>
            <w:tcW w:w="1985" w:type="dxa"/>
          </w:tcPr>
          <w:p w:rsidR="00526B59" w:rsidRPr="00EE2528" w:rsidRDefault="00526B59" w:rsidP="00EE2528">
            <w:pPr>
              <w:pStyle w:val="Tabletext"/>
              <w:tabs>
                <w:tab w:val="decimal" w:pos="879"/>
              </w:tabs>
            </w:pPr>
            <w:r w:rsidRPr="00EE2528">
              <w:t>14.6</w:t>
            </w:r>
          </w:p>
        </w:tc>
      </w:tr>
    </w:tbl>
    <w:p w:rsidR="00A83513" w:rsidRPr="00EE2528" w:rsidRDefault="00EE2528" w:rsidP="00EE2528">
      <w:pPr>
        <w:pStyle w:val="Source"/>
      </w:pPr>
      <w:r>
        <w:t>Note:</w:t>
      </w:r>
      <w:r>
        <w:tab/>
      </w:r>
      <w:r w:rsidR="00A83513" w:rsidRPr="00EE2528">
        <w:t>1</w:t>
      </w:r>
      <w:r w:rsidR="00B063A0">
        <w:t xml:space="preserve">  </w:t>
      </w:r>
      <w:r w:rsidR="00A83513" w:rsidRPr="00EE2528">
        <w:t xml:space="preserve"> This column refers to the multiple responses provided by each of the 41 respondents in their interviews.</w:t>
      </w:r>
    </w:p>
    <w:p w:rsidR="00DE4281" w:rsidRDefault="00DE4281" w:rsidP="00EE2528">
      <w:pPr>
        <w:pStyle w:val="Source"/>
      </w:pPr>
      <w:r w:rsidRPr="00EE2528">
        <w:t>Source</w:t>
      </w:r>
      <w:r w:rsidR="00EE2528">
        <w:t>:</w:t>
      </w:r>
      <w:r w:rsidR="00EE2528">
        <w:tab/>
      </w:r>
      <w:r w:rsidR="00A83513">
        <w:t>R</w:t>
      </w:r>
      <w:r w:rsidR="003F756A">
        <w:t>egistered training organisation</w:t>
      </w:r>
      <w:r>
        <w:t xml:space="preserve"> questionnaire for this study</w:t>
      </w:r>
      <w:r w:rsidR="0033397A">
        <w:t>.</w:t>
      </w:r>
    </w:p>
    <w:p w:rsidR="005E4AA2" w:rsidRDefault="001B050B" w:rsidP="00EE2528">
      <w:pPr>
        <w:pStyle w:val="Textmorebefore"/>
      </w:pPr>
      <w:r>
        <w:t>Providers have varied approaches to validation</w:t>
      </w:r>
      <w:r w:rsidR="0033397A">
        <w:t xml:space="preserve"> (table 6)</w:t>
      </w:r>
      <w:r>
        <w:t xml:space="preserve">. The most common is to have in place formal arrangements to discuss and examine assessments, including </w:t>
      </w:r>
      <w:r w:rsidR="000F3AC5">
        <w:t xml:space="preserve">assessment </w:t>
      </w:r>
      <w:r>
        <w:t xml:space="preserve">validation days or events. </w:t>
      </w:r>
      <w:r w:rsidR="00DE4281">
        <w:t xml:space="preserve">Other validation practices include having staff from other disciplines or other colleges review </w:t>
      </w:r>
      <w:r w:rsidR="0033397A">
        <w:t>assessment instruments, the mapping</w:t>
      </w:r>
      <w:r w:rsidR="00DE4281">
        <w:t xml:space="preserve"> of assessment tools to relevant units of competency, and processes for continually reviewing and improving tools and practices. Getting feedback from industry stakeholders, including employers</w:t>
      </w:r>
      <w:r w:rsidR="0033397A">
        <w:t>,</w:t>
      </w:r>
      <w:r w:rsidR="00DE4281">
        <w:t xml:space="preserve"> is </w:t>
      </w:r>
      <w:r w:rsidR="000F3AC5">
        <w:t>also used for general validation</w:t>
      </w:r>
      <w:r w:rsidR="00DE4281">
        <w:t xml:space="preserve">. </w:t>
      </w:r>
    </w:p>
    <w:p w:rsidR="001B050B" w:rsidRDefault="001B050B" w:rsidP="00EE2528">
      <w:pPr>
        <w:pStyle w:val="tabletitle"/>
      </w:pPr>
      <w:bookmarkStart w:id="51" w:name="_Toc381103330"/>
      <w:r>
        <w:t xml:space="preserve">Table </w:t>
      </w:r>
      <w:r w:rsidR="00B1050E">
        <w:t>6</w:t>
      </w:r>
      <w:r w:rsidR="0033397A">
        <w:tab/>
      </w:r>
      <w:r>
        <w:t xml:space="preserve">Validation practices implemented by </w:t>
      </w:r>
      <w:r w:rsidRPr="00EE2528">
        <w:t>providers</w:t>
      </w:r>
      <w:bookmarkEnd w:id="51"/>
      <w:r>
        <w:t xml:space="preserve"> </w:t>
      </w:r>
    </w:p>
    <w:tbl>
      <w:tblPr>
        <w:tblStyle w:val="TableGrid"/>
        <w:tblW w:w="8789"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1985"/>
        <w:gridCol w:w="1985"/>
      </w:tblGrid>
      <w:tr w:rsidR="00526B59" w:rsidTr="00EE2528">
        <w:tc>
          <w:tcPr>
            <w:tcW w:w="4819" w:type="dxa"/>
            <w:tcBorders>
              <w:top w:val="single" w:sz="4" w:space="0" w:color="000000" w:themeColor="text1"/>
              <w:bottom w:val="single" w:sz="4" w:space="0" w:color="auto"/>
            </w:tcBorders>
          </w:tcPr>
          <w:p w:rsidR="00526B59" w:rsidRDefault="00526B59" w:rsidP="001B050B">
            <w:pPr>
              <w:pStyle w:val="Tablehead1"/>
            </w:pPr>
            <w:r>
              <w:t>Validation practices</w:t>
            </w:r>
          </w:p>
        </w:tc>
        <w:tc>
          <w:tcPr>
            <w:tcW w:w="1985" w:type="dxa"/>
            <w:tcBorders>
              <w:top w:val="single" w:sz="4" w:space="0" w:color="000000" w:themeColor="text1"/>
              <w:bottom w:val="single" w:sz="4" w:space="0" w:color="auto"/>
            </w:tcBorders>
          </w:tcPr>
          <w:p w:rsidR="00526B59" w:rsidRDefault="00526B59" w:rsidP="00EE2528">
            <w:pPr>
              <w:pStyle w:val="Tablehead1"/>
              <w:jc w:val="center"/>
            </w:pPr>
            <w:r>
              <w:t>No. of responses</w:t>
            </w:r>
          </w:p>
        </w:tc>
        <w:tc>
          <w:tcPr>
            <w:tcW w:w="1985" w:type="dxa"/>
            <w:tcBorders>
              <w:top w:val="single" w:sz="4" w:space="0" w:color="000000" w:themeColor="text1"/>
              <w:bottom w:val="single" w:sz="4" w:space="0" w:color="auto"/>
            </w:tcBorders>
          </w:tcPr>
          <w:p w:rsidR="00526B59" w:rsidRDefault="0033397A" w:rsidP="00EE2528">
            <w:pPr>
              <w:pStyle w:val="Tablehead1"/>
              <w:jc w:val="center"/>
            </w:pPr>
            <w:r>
              <w:t>% of respondents</w:t>
            </w:r>
            <w:r w:rsidRPr="0033397A">
              <w:rPr>
                <w:vertAlign w:val="superscript"/>
              </w:rPr>
              <w:t>1</w:t>
            </w:r>
            <w:r w:rsidR="00EE2528">
              <w:br/>
            </w:r>
            <w:r w:rsidR="00526B59">
              <w:t>(n</w:t>
            </w:r>
            <w:r>
              <w:t xml:space="preserve"> </w:t>
            </w:r>
            <w:r w:rsidR="00526B59">
              <w:t>=</w:t>
            </w:r>
            <w:r>
              <w:t xml:space="preserve"> </w:t>
            </w:r>
            <w:r w:rsidR="00526B59">
              <w:t>41)</w:t>
            </w:r>
          </w:p>
        </w:tc>
      </w:tr>
      <w:tr w:rsidR="00526B59" w:rsidRPr="00EE2528" w:rsidTr="00EE2528">
        <w:tc>
          <w:tcPr>
            <w:tcW w:w="4819" w:type="dxa"/>
            <w:vAlign w:val="bottom"/>
          </w:tcPr>
          <w:p w:rsidR="00526B59" w:rsidRPr="00EE2528" w:rsidRDefault="00526B59" w:rsidP="00EE2528">
            <w:pPr>
              <w:pStyle w:val="Tabletext"/>
            </w:pPr>
            <w:r w:rsidRPr="00EE2528">
              <w:t>Regular and formal validation events</w:t>
            </w:r>
            <w:r w:rsidR="00E3166C" w:rsidRPr="00EE2528">
              <w:t xml:space="preserve"> </w:t>
            </w:r>
          </w:p>
        </w:tc>
        <w:tc>
          <w:tcPr>
            <w:tcW w:w="1985" w:type="dxa"/>
            <w:vAlign w:val="bottom"/>
          </w:tcPr>
          <w:p w:rsidR="00526B59" w:rsidRPr="00EE2528" w:rsidRDefault="00526B59" w:rsidP="00EE2528">
            <w:pPr>
              <w:pStyle w:val="Tabletext"/>
              <w:tabs>
                <w:tab w:val="decimal" w:pos="1021"/>
              </w:tabs>
            </w:pPr>
            <w:r w:rsidRPr="00EE2528">
              <w:t>20</w:t>
            </w:r>
          </w:p>
        </w:tc>
        <w:tc>
          <w:tcPr>
            <w:tcW w:w="1985" w:type="dxa"/>
            <w:vAlign w:val="bottom"/>
          </w:tcPr>
          <w:p w:rsidR="00526B59" w:rsidRPr="00EE2528" w:rsidRDefault="00526B59" w:rsidP="00EE2528">
            <w:pPr>
              <w:pStyle w:val="Tabletext"/>
              <w:tabs>
                <w:tab w:val="decimal" w:pos="879"/>
              </w:tabs>
            </w:pPr>
            <w:r w:rsidRPr="00EE2528">
              <w:t>48.8</w:t>
            </w:r>
          </w:p>
        </w:tc>
      </w:tr>
      <w:tr w:rsidR="00526B59" w:rsidRPr="00EE2528" w:rsidTr="00EE2528">
        <w:tc>
          <w:tcPr>
            <w:tcW w:w="4819" w:type="dxa"/>
            <w:vAlign w:val="bottom"/>
          </w:tcPr>
          <w:p w:rsidR="00526B59" w:rsidRPr="00EE2528" w:rsidRDefault="00526B59" w:rsidP="00EE2528">
            <w:pPr>
              <w:pStyle w:val="Tabletext"/>
            </w:pPr>
            <w:r w:rsidRPr="00EE2528">
              <w:t>Validating instruments with internal and external trainers</w:t>
            </w:r>
          </w:p>
        </w:tc>
        <w:tc>
          <w:tcPr>
            <w:tcW w:w="1985" w:type="dxa"/>
            <w:vAlign w:val="bottom"/>
          </w:tcPr>
          <w:p w:rsidR="00526B59" w:rsidRPr="00EE2528" w:rsidRDefault="00526B59" w:rsidP="00EE2528">
            <w:pPr>
              <w:pStyle w:val="Tabletext"/>
              <w:tabs>
                <w:tab w:val="decimal" w:pos="1021"/>
              </w:tabs>
            </w:pPr>
            <w:r w:rsidRPr="00EE2528">
              <w:t>16</w:t>
            </w:r>
          </w:p>
        </w:tc>
        <w:tc>
          <w:tcPr>
            <w:tcW w:w="1985" w:type="dxa"/>
            <w:vAlign w:val="bottom"/>
          </w:tcPr>
          <w:p w:rsidR="00526B59" w:rsidRPr="00EE2528" w:rsidRDefault="00526B59" w:rsidP="00EE2528">
            <w:pPr>
              <w:pStyle w:val="Tabletext"/>
              <w:tabs>
                <w:tab w:val="decimal" w:pos="879"/>
              </w:tabs>
            </w:pPr>
            <w:r w:rsidRPr="00EE2528">
              <w:t>39.0</w:t>
            </w:r>
          </w:p>
        </w:tc>
      </w:tr>
      <w:tr w:rsidR="00526B59" w:rsidRPr="00EE2528" w:rsidTr="00EE2528">
        <w:tc>
          <w:tcPr>
            <w:tcW w:w="4819" w:type="dxa"/>
            <w:vAlign w:val="bottom"/>
          </w:tcPr>
          <w:p w:rsidR="00526B59" w:rsidRPr="00EE2528" w:rsidRDefault="00526B59" w:rsidP="00EE2528">
            <w:pPr>
              <w:pStyle w:val="Tabletext"/>
            </w:pPr>
            <w:r w:rsidRPr="00EE2528">
              <w:t>Mapping tools to units of competency</w:t>
            </w:r>
          </w:p>
        </w:tc>
        <w:tc>
          <w:tcPr>
            <w:tcW w:w="1985" w:type="dxa"/>
            <w:vAlign w:val="bottom"/>
          </w:tcPr>
          <w:p w:rsidR="00526B59" w:rsidRPr="00EE2528" w:rsidRDefault="00526B59" w:rsidP="00EE2528">
            <w:pPr>
              <w:pStyle w:val="Tabletext"/>
              <w:tabs>
                <w:tab w:val="decimal" w:pos="1021"/>
              </w:tabs>
            </w:pPr>
            <w:r w:rsidRPr="00EE2528">
              <w:t>15</w:t>
            </w:r>
          </w:p>
        </w:tc>
        <w:tc>
          <w:tcPr>
            <w:tcW w:w="1985" w:type="dxa"/>
            <w:vAlign w:val="bottom"/>
          </w:tcPr>
          <w:p w:rsidR="00526B59" w:rsidRPr="00EE2528" w:rsidRDefault="00526B59" w:rsidP="00EE2528">
            <w:pPr>
              <w:pStyle w:val="Tabletext"/>
              <w:tabs>
                <w:tab w:val="decimal" w:pos="879"/>
              </w:tabs>
            </w:pPr>
            <w:r w:rsidRPr="00EE2528">
              <w:t>36.6</w:t>
            </w:r>
          </w:p>
        </w:tc>
      </w:tr>
      <w:tr w:rsidR="00526B59" w:rsidRPr="00EE2528" w:rsidTr="00EE2528">
        <w:tc>
          <w:tcPr>
            <w:tcW w:w="4819" w:type="dxa"/>
            <w:vAlign w:val="bottom"/>
          </w:tcPr>
          <w:p w:rsidR="00526B59" w:rsidRPr="00EE2528" w:rsidRDefault="00526B59" w:rsidP="00EE2528">
            <w:pPr>
              <w:pStyle w:val="Tabletext"/>
            </w:pPr>
            <w:r w:rsidRPr="00EE2528">
              <w:t>Implementing processes for continuous improvement of tools and practice</w:t>
            </w:r>
          </w:p>
        </w:tc>
        <w:tc>
          <w:tcPr>
            <w:tcW w:w="1985" w:type="dxa"/>
            <w:vAlign w:val="bottom"/>
          </w:tcPr>
          <w:p w:rsidR="00526B59" w:rsidRPr="00EE2528" w:rsidRDefault="00526B59" w:rsidP="00EE2528">
            <w:pPr>
              <w:pStyle w:val="Tabletext"/>
              <w:tabs>
                <w:tab w:val="decimal" w:pos="1021"/>
              </w:tabs>
            </w:pPr>
            <w:r w:rsidRPr="00EE2528">
              <w:t>15</w:t>
            </w:r>
          </w:p>
        </w:tc>
        <w:tc>
          <w:tcPr>
            <w:tcW w:w="1985" w:type="dxa"/>
            <w:vAlign w:val="bottom"/>
          </w:tcPr>
          <w:p w:rsidR="00526B59" w:rsidRPr="00EE2528" w:rsidRDefault="00526B59" w:rsidP="00EE2528">
            <w:pPr>
              <w:pStyle w:val="Tabletext"/>
              <w:tabs>
                <w:tab w:val="decimal" w:pos="879"/>
              </w:tabs>
            </w:pPr>
            <w:r w:rsidRPr="00EE2528">
              <w:t>36.6</w:t>
            </w:r>
          </w:p>
        </w:tc>
      </w:tr>
      <w:tr w:rsidR="00526B59" w:rsidRPr="00EE2528" w:rsidTr="00EE2528">
        <w:tc>
          <w:tcPr>
            <w:tcW w:w="4819" w:type="dxa"/>
            <w:vAlign w:val="bottom"/>
          </w:tcPr>
          <w:p w:rsidR="00526B59" w:rsidRPr="00EE2528" w:rsidRDefault="00526B59" w:rsidP="00EE2528">
            <w:pPr>
              <w:pStyle w:val="Tabletext"/>
            </w:pPr>
            <w:r w:rsidRPr="00EE2528">
              <w:t xml:space="preserve">Validating instruments with industry </w:t>
            </w:r>
          </w:p>
        </w:tc>
        <w:tc>
          <w:tcPr>
            <w:tcW w:w="1985" w:type="dxa"/>
            <w:vAlign w:val="bottom"/>
          </w:tcPr>
          <w:p w:rsidR="00526B59" w:rsidRPr="00EE2528" w:rsidRDefault="00526B59" w:rsidP="00EE2528">
            <w:pPr>
              <w:pStyle w:val="Tabletext"/>
              <w:tabs>
                <w:tab w:val="decimal" w:pos="1021"/>
              </w:tabs>
            </w:pPr>
            <w:r w:rsidRPr="00EE2528">
              <w:t>14</w:t>
            </w:r>
          </w:p>
        </w:tc>
        <w:tc>
          <w:tcPr>
            <w:tcW w:w="1985" w:type="dxa"/>
            <w:vAlign w:val="bottom"/>
          </w:tcPr>
          <w:p w:rsidR="00526B59" w:rsidRPr="00EE2528" w:rsidRDefault="00526B59" w:rsidP="00EE2528">
            <w:pPr>
              <w:pStyle w:val="Tabletext"/>
              <w:tabs>
                <w:tab w:val="decimal" w:pos="879"/>
              </w:tabs>
            </w:pPr>
            <w:r w:rsidRPr="00EE2528">
              <w:t>34.1</w:t>
            </w:r>
          </w:p>
        </w:tc>
      </w:tr>
    </w:tbl>
    <w:p w:rsidR="0033397A" w:rsidRPr="00EE2528" w:rsidRDefault="0033397A" w:rsidP="00EE2528">
      <w:pPr>
        <w:pStyle w:val="Source"/>
      </w:pPr>
      <w:r>
        <w:t>Note:</w:t>
      </w:r>
      <w:r w:rsidR="00EE2528">
        <w:tab/>
      </w:r>
      <w:r>
        <w:t xml:space="preserve">1 </w:t>
      </w:r>
      <w:r w:rsidR="00B063A0">
        <w:t xml:space="preserve">  </w:t>
      </w:r>
      <w:r>
        <w:t xml:space="preserve">This </w:t>
      </w:r>
      <w:r w:rsidRPr="00EE2528">
        <w:t>column refers to the multiple responses provided by each of the 41 respondents in their interviews.</w:t>
      </w:r>
    </w:p>
    <w:p w:rsidR="00DE4281" w:rsidRDefault="00EE2528" w:rsidP="00EE2528">
      <w:pPr>
        <w:pStyle w:val="Source"/>
      </w:pPr>
      <w:r>
        <w:t>Source:</w:t>
      </w:r>
      <w:r>
        <w:tab/>
      </w:r>
      <w:r w:rsidR="0033397A" w:rsidRPr="00EE2528">
        <w:t>R</w:t>
      </w:r>
      <w:r w:rsidR="003F756A" w:rsidRPr="00EE2528">
        <w:t>egi</w:t>
      </w:r>
      <w:r w:rsidR="003F756A">
        <w:t>stered training organisation</w:t>
      </w:r>
      <w:r w:rsidR="00DE4281">
        <w:t xml:space="preserve"> questionnaire for this study</w:t>
      </w:r>
      <w:r w:rsidR="0033397A">
        <w:t>.</w:t>
      </w:r>
    </w:p>
    <w:p w:rsidR="006105D2" w:rsidRDefault="006105D2" w:rsidP="00EE2528">
      <w:pPr>
        <w:pStyle w:val="Heading2"/>
      </w:pPr>
      <w:bookmarkStart w:id="52" w:name="_Toc381103182"/>
      <w:r>
        <w:t>Use of external validation practices</w:t>
      </w:r>
      <w:bookmarkEnd w:id="52"/>
    </w:p>
    <w:p w:rsidR="000A3126" w:rsidRDefault="003B1B0F" w:rsidP="003B1B0F">
      <w:pPr>
        <w:pStyle w:val="Text"/>
      </w:pPr>
      <w:r>
        <w:t xml:space="preserve">Almost two-thirds of the </w:t>
      </w:r>
      <w:r w:rsidR="009F54D6">
        <w:t xml:space="preserve">41 practitioners interviewed for this study </w:t>
      </w:r>
      <w:r>
        <w:t>reported using some form of external validation</w:t>
      </w:r>
      <w:r w:rsidR="000A3126">
        <w:t>. Some used external st</w:t>
      </w:r>
      <w:r w:rsidR="0033397A">
        <w:t>akeholders on assessment panels</w:t>
      </w:r>
      <w:r w:rsidR="000A3126">
        <w:t xml:space="preserve"> or had assessments validated by internal assessors who were outside the discipline. </w:t>
      </w:r>
      <w:r w:rsidR="003922A4">
        <w:t>M</w:t>
      </w:r>
      <w:r w:rsidR="000F3AC5">
        <w:t>o</w:t>
      </w:r>
      <w:r w:rsidR="000A3126">
        <w:t xml:space="preserve">st of the providers had </w:t>
      </w:r>
      <w:r w:rsidR="00CD477A">
        <w:t>established</w:t>
      </w:r>
      <w:r w:rsidR="000A3126">
        <w:t xml:space="preserve"> some processes for obtaining industry feedback on what they were doing. </w:t>
      </w:r>
      <w:r w:rsidR="006404B0">
        <w:t>It was also not uncommon for providers to share information about assessment practice</w:t>
      </w:r>
      <w:r w:rsidR="00DB454F">
        <w:t>s</w:t>
      </w:r>
      <w:r w:rsidR="006404B0">
        <w:t xml:space="preserve">, including validation. However, it was clear that some of this sharing was constrained by competition. </w:t>
      </w:r>
    </w:p>
    <w:p w:rsidR="00EE2528" w:rsidRDefault="00EE2528">
      <w:pPr>
        <w:rPr>
          <w:rFonts w:ascii="Trebuchet MS" w:hAnsi="Trebuchet MS"/>
          <w:sz w:val="19"/>
          <w:szCs w:val="20"/>
          <w:lang w:eastAsia="en-US"/>
        </w:rPr>
      </w:pPr>
      <w:r>
        <w:br w:type="page"/>
      </w:r>
    </w:p>
    <w:tbl>
      <w:tblPr>
        <w:tblStyle w:val="TableGrid"/>
        <w:tblW w:w="8789" w:type="dxa"/>
        <w:tblInd w:w="22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227" w:type="dxa"/>
          <w:right w:w="227" w:type="dxa"/>
        </w:tblCellMar>
        <w:tblLook w:val="04A0" w:firstRow="1" w:lastRow="0" w:firstColumn="1" w:lastColumn="0" w:noHBand="0" w:noVBand="1"/>
      </w:tblPr>
      <w:tblGrid>
        <w:gridCol w:w="8789"/>
      </w:tblGrid>
      <w:tr w:rsidR="00EE2528" w:rsidTr="00EE2528">
        <w:tc>
          <w:tcPr>
            <w:tcW w:w="9004" w:type="dxa"/>
            <w:shd w:val="clear" w:color="auto" w:fill="000000" w:themeFill="text1"/>
          </w:tcPr>
          <w:p w:rsidR="00EE2528" w:rsidRDefault="00EE2528" w:rsidP="00EE2528">
            <w:pPr>
              <w:pStyle w:val="Tablehead1"/>
            </w:pPr>
            <w:r w:rsidRPr="00007BEA">
              <w:lastRenderedPageBreak/>
              <w:t>What practitioners say</w:t>
            </w:r>
          </w:p>
        </w:tc>
      </w:tr>
      <w:tr w:rsidR="00EE2528" w:rsidTr="00EE2528">
        <w:tc>
          <w:tcPr>
            <w:tcW w:w="9004" w:type="dxa"/>
          </w:tcPr>
          <w:p w:rsidR="00EE2528" w:rsidRPr="0033397A" w:rsidRDefault="00EE2528" w:rsidP="00557827">
            <w:pPr>
              <w:pStyle w:val="Tablehead1"/>
              <w:spacing w:before="120"/>
              <w:rPr>
                <w:sz w:val="16"/>
                <w:szCs w:val="16"/>
              </w:rPr>
            </w:pPr>
            <w:r w:rsidRPr="0033397A">
              <w:t>Using employers for external validation</w:t>
            </w:r>
          </w:p>
          <w:p w:rsidR="00EE2528" w:rsidRDefault="00EE2528" w:rsidP="00BE1A32">
            <w:pPr>
              <w:pStyle w:val="boxparastyle"/>
            </w:pPr>
            <w:r>
              <w:t>We don</w:t>
            </w:r>
            <w:r w:rsidR="00D52B39">
              <w:t>’</w:t>
            </w:r>
            <w:r>
              <w:t xml:space="preserve">t use them </w:t>
            </w:r>
            <w:r w:rsidRPr="00DA1549">
              <w:t>systematically</w:t>
            </w:r>
            <w:r>
              <w:t xml:space="preserve"> but </w:t>
            </w:r>
            <w:r w:rsidRPr="00DA1549">
              <w:t xml:space="preserve">have done </w:t>
            </w:r>
            <w:r>
              <w:t>so in the past.</w:t>
            </w:r>
            <w:r w:rsidRPr="00DA1549">
              <w:t xml:space="preserve"> </w:t>
            </w:r>
            <w:r>
              <w:t xml:space="preserve">We </w:t>
            </w:r>
            <w:r w:rsidRPr="00DA1549">
              <w:t xml:space="preserve">use </w:t>
            </w:r>
            <w:r>
              <w:t xml:space="preserve">the development of </w:t>
            </w:r>
            <w:r w:rsidRPr="00DA1549">
              <w:t xml:space="preserve">a business plan as </w:t>
            </w:r>
            <w:r>
              <w:t xml:space="preserve">a </w:t>
            </w:r>
            <w:r w:rsidRPr="00DA1549">
              <w:t xml:space="preserve">major form of assessment and bring </w:t>
            </w:r>
            <w:r>
              <w:t xml:space="preserve">in an </w:t>
            </w:r>
            <w:r w:rsidRPr="00DA1549">
              <w:t>external business person to assess the plan</w:t>
            </w:r>
            <w:r>
              <w:t>.</w:t>
            </w:r>
            <w:r>
              <w:tab/>
              <w:t>(B</w:t>
            </w:r>
            <w:r w:rsidRPr="0033397A">
              <w:t>usiness, public provider)</w:t>
            </w:r>
          </w:p>
          <w:p w:rsidR="00EE2528" w:rsidRPr="007D4CE6" w:rsidRDefault="00EE2528" w:rsidP="00BE1A32">
            <w:pPr>
              <w:pStyle w:val="boxparastyle"/>
            </w:pPr>
            <w:r>
              <w:t xml:space="preserve">We </w:t>
            </w:r>
            <w:r w:rsidRPr="00DA1549">
              <w:t>use contr</w:t>
            </w:r>
            <w:r>
              <w:t>actors to deliver some training</w:t>
            </w:r>
            <w:r w:rsidRPr="00DA1549">
              <w:t xml:space="preserve"> </w:t>
            </w:r>
            <w:r>
              <w:t xml:space="preserve">(including </w:t>
            </w:r>
            <w:r w:rsidRPr="00DA1549">
              <w:t>project management, warehousing and financial qualifications</w:t>
            </w:r>
            <w:r>
              <w:t>). S</w:t>
            </w:r>
            <w:r w:rsidRPr="00DA1549">
              <w:t xml:space="preserve">ome of these have their own RTOs, </w:t>
            </w:r>
            <w:r>
              <w:t xml:space="preserve">so in a </w:t>
            </w:r>
            <w:r w:rsidRPr="00DA1549">
              <w:t>de</w:t>
            </w:r>
            <w:r>
              <w:t>-</w:t>
            </w:r>
            <w:r w:rsidRPr="00DA1549">
              <w:t xml:space="preserve">facto </w:t>
            </w:r>
            <w:r>
              <w:t xml:space="preserve">sense they </w:t>
            </w:r>
            <w:r w:rsidRPr="00DA1549">
              <w:t>are helping to ex</w:t>
            </w:r>
            <w:r>
              <w:t>ternally validate assessments.</w:t>
            </w:r>
            <w:r w:rsidR="00BE1A32">
              <w:br/>
            </w:r>
            <w:r>
              <w:tab/>
            </w:r>
            <w:r w:rsidRPr="0033397A">
              <w:t>(</w:t>
            </w:r>
            <w:r>
              <w:t>Business, private provider</w:t>
            </w:r>
            <w:r w:rsidRPr="0033397A">
              <w:t>)</w:t>
            </w:r>
          </w:p>
          <w:p w:rsidR="00EE2528" w:rsidRPr="00CC3155" w:rsidRDefault="00EE2528" w:rsidP="00BE1A32">
            <w:pPr>
              <w:pStyle w:val="boxparastyle"/>
              <w:rPr>
                <w:i/>
              </w:rPr>
            </w:pPr>
            <w:r>
              <w:t xml:space="preserve">External assessments for licensing are conducted by the </w:t>
            </w:r>
            <w:r w:rsidRPr="00DA1549">
              <w:t>Office of Technical Regulator</w:t>
            </w:r>
            <w:r>
              <w:t xml:space="preserve">. </w:t>
            </w:r>
            <w:r w:rsidRPr="00DA1549">
              <w:t>Trade Recognition Australia</w:t>
            </w:r>
            <w:r>
              <w:t xml:space="preserve"> conducts </w:t>
            </w:r>
            <w:r w:rsidRPr="00DA1549">
              <w:t>trade test assessments for overseas s</w:t>
            </w:r>
            <w:r>
              <w:t>tudents).</w:t>
            </w:r>
            <w:r>
              <w:tab/>
              <w:t>(E</w:t>
            </w:r>
            <w:r w:rsidRPr="00B86579">
              <w:t>lectrical, public provider)</w:t>
            </w:r>
          </w:p>
          <w:p w:rsidR="00EE2528" w:rsidRPr="00B86579" w:rsidRDefault="00EE2528" w:rsidP="00BE1A32">
            <w:pPr>
              <w:pStyle w:val="boxparastyle"/>
            </w:pPr>
            <w:r>
              <w:t>We have an Industry Advisory C</w:t>
            </w:r>
            <w:r w:rsidRPr="00DA1549">
              <w:t>ommittee</w:t>
            </w:r>
            <w:r>
              <w:t xml:space="preserve"> with whom we</w:t>
            </w:r>
            <w:r w:rsidRPr="00DA1549">
              <w:t xml:space="preserve"> share assessment</w:t>
            </w:r>
            <w:r>
              <w:t>s</w:t>
            </w:r>
            <w:r w:rsidRPr="00DA1549">
              <w:t xml:space="preserve"> and ask for feedback</w:t>
            </w:r>
            <w:r>
              <w:t xml:space="preserve">. </w:t>
            </w:r>
            <w:r w:rsidRPr="000E01C9">
              <w:rPr>
                <w:i/>
              </w:rPr>
              <w:t>Does it meet the standards?</w:t>
            </w:r>
            <w:r>
              <w:rPr>
                <w:i/>
              </w:rPr>
              <w:t xml:space="preserve"> </w:t>
            </w:r>
            <w:r w:rsidRPr="000E01C9">
              <w:rPr>
                <w:i/>
              </w:rPr>
              <w:t>Are we assessing more than we should? Are there any gaps?</w:t>
            </w:r>
            <w:r>
              <w:t xml:space="preserve"> It </w:t>
            </w:r>
            <w:r w:rsidRPr="00DA1549">
              <w:t xml:space="preserve">meets </w:t>
            </w:r>
            <w:r>
              <w:t xml:space="preserve">twice </w:t>
            </w:r>
            <w:r w:rsidRPr="00DA1549">
              <w:t>a year</w:t>
            </w:r>
            <w:r>
              <w:t>.</w:t>
            </w:r>
            <w:r w:rsidR="00BE1A32">
              <w:br/>
            </w:r>
            <w:r>
              <w:tab/>
              <w:t>(E</w:t>
            </w:r>
            <w:r w:rsidRPr="00B86579">
              <w:t>lectrical, public provider)</w:t>
            </w:r>
          </w:p>
          <w:p w:rsidR="00EE2528" w:rsidRDefault="00EE2528" w:rsidP="00BE1A32">
            <w:pPr>
              <w:pStyle w:val="boxparastyle"/>
              <w:spacing w:after="120"/>
            </w:pPr>
            <w:r>
              <w:t>We use other aged care service providers. They will come into the college. We have also</w:t>
            </w:r>
            <w:r w:rsidRPr="00DA1549">
              <w:t xml:space="preserve"> sent students to them, asked for inputs</w:t>
            </w:r>
            <w:r>
              <w:t xml:space="preserve"> on </w:t>
            </w:r>
            <w:r w:rsidRPr="00DA1549">
              <w:t>minimal benchmar</w:t>
            </w:r>
            <w:r>
              <w:t xml:space="preserve">ks. We have </w:t>
            </w:r>
            <w:r w:rsidRPr="00DA1549">
              <w:t>close relationships with sites</w:t>
            </w:r>
            <w:r>
              <w:t xml:space="preserve"> and</w:t>
            </w:r>
            <w:r w:rsidRPr="00DA1549">
              <w:t xml:space="preserve"> if </w:t>
            </w:r>
            <w:r>
              <w:t xml:space="preserve">a </w:t>
            </w:r>
            <w:r w:rsidRPr="00DA1549">
              <w:t xml:space="preserve">student </w:t>
            </w:r>
            <w:r>
              <w:t xml:space="preserve">is </w:t>
            </w:r>
            <w:r w:rsidRPr="00DA1549">
              <w:t xml:space="preserve">not </w:t>
            </w:r>
            <w:r>
              <w:t>a good fit</w:t>
            </w:r>
            <w:r w:rsidRPr="00DA1549">
              <w:t xml:space="preserve"> </w:t>
            </w:r>
            <w:r>
              <w:t xml:space="preserve">we </w:t>
            </w:r>
            <w:r w:rsidRPr="00DA1549">
              <w:t>will liaise with</w:t>
            </w:r>
            <w:r>
              <w:t xml:space="preserve"> the </w:t>
            </w:r>
            <w:r w:rsidRPr="00DA1549">
              <w:t xml:space="preserve">site to confirm or validate </w:t>
            </w:r>
            <w:r>
              <w:t xml:space="preserve">whether or not the </w:t>
            </w:r>
            <w:r w:rsidRPr="00DA1549">
              <w:t xml:space="preserve">student is right for </w:t>
            </w:r>
            <w:r>
              <w:t xml:space="preserve">the </w:t>
            </w:r>
            <w:r w:rsidRPr="00DA1549">
              <w:t>industry</w:t>
            </w:r>
            <w:r>
              <w:t xml:space="preserve">. We have had an external assessor from one of the service providers to assess units in aged care and palliative care. There are </w:t>
            </w:r>
            <w:r w:rsidRPr="00DA1549">
              <w:t xml:space="preserve">also </w:t>
            </w:r>
            <w:r>
              <w:t xml:space="preserve">two </w:t>
            </w:r>
            <w:r w:rsidRPr="00DA1549">
              <w:t xml:space="preserve">assessors </w:t>
            </w:r>
            <w:r>
              <w:t xml:space="preserve">for </w:t>
            </w:r>
            <w:r w:rsidR="00DB454F">
              <w:t xml:space="preserve">[the] </w:t>
            </w:r>
            <w:r w:rsidRPr="00DA1549">
              <w:t>final asses</w:t>
            </w:r>
            <w:r>
              <w:t>s</w:t>
            </w:r>
            <w:r w:rsidRPr="00DA1549">
              <w:t xml:space="preserve">ment </w:t>
            </w:r>
            <w:r>
              <w:t>completed by students</w:t>
            </w:r>
            <w:r w:rsidRPr="00DA1549">
              <w:t xml:space="preserve"> </w:t>
            </w:r>
            <w:r>
              <w:t xml:space="preserve">prior to </w:t>
            </w:r>
            <w:r w:rsidRPr="00DA1549">
              <w:t>go</w:t>
            </w:r>
            <w:r>
              <w:t xml:space="preserve">ing </w:t>
            </w:r>
            <w:r w:rsidRPr="00DA1549">
              <w:t>out on placement</w:t>
            </w:r>
            <w:r>
              <w:t>. We have sent</w:t>
            </w:r>
            <w:r w:rsidRPr="00DA1549">
              <w:t xml:space="preserve"> assessment tools out</w:t>
            </w:r>
            <w:r>
              <w:t xml:space="preserve"> to centres and have asked: </w:t>
            </w:r>
            <w:r w:rsidRPr="000E01C9">
              <w:rPr>
                <w:i/>
              </w:rPr>
              <w:t>Here are some skills we think should be assessed in this way. Is there anything we have missed that you want in or clarified?</w:t>
            </w:r>
            <w:r>
              <w:t xml:space="preserve"> From such feedback we have included increased</w:t>
            </w:r>
            <w:r w:rsidRPr="00DA1549">
              <w:t xml:space="preserve"> repetition</w:t>
            </w:r>
            <w:r>
              <w:t xml:space="preserve"> in assessments</w:t>
            </w:r>
            <w:r w:rsidRPr="00DA1549">
              <w:t xml:space="preserve">, </w:t>
            </w:r>
            <w:r>
              <w:t xml:space="preserve">and developed standard operating procedures for each of the following tasks: </w:t>
            </w:r>
            <w:r w:rsidRPr="00DA1549">
              <w:t xml:space="preserve">moving </w:t>
            </w:r>
            <w:r>
              <w:t xml:space="preserve">the </w:t>
            </w:r>
            <w:r w:rsidRPr="00DA1549">
              <w:t xml:space="preserve">slide sheet, </w:t>
            </w:r>
            <w:r>
              <w:t xml:space="preserve">using the </w:t>
            </w:r>
            <w:r w:rsidRPr="00DA1549">
              <w:t xml:space="preserve">walking frame, </w:t>
            </w:r>
            <w:r>
              <w:t xml:space="preserve">and </w:t>
            </w:r>
            <w:r w:rsidRPr="00DA1549">
              <w:t>lifting device</w:t>
            </w:r>
            <w:r>
              <w:t>s.</w:t>
            </w:r>
            <w:r>
              <w:tab/>
              <w:t>(A</w:t>
            </w:r>
            <w:r w:rsidRPr="00CC09FE">
              <w:t>ged care, private provider)</w:t>
            </w:r>
          </w:p>
        </w:tc>
      </w:tr>
    </w:tbl>
    <w:p w:rsidR="006105D2" w:rsidRDefault="006105D2" w:rsidP="00BE1A32">
      <w:pPr>
        <w:pStyle w:val="Heading2"/>
      </w:pPr>
      <w:bookmarkStart w:id="53" w:name="_Toc381103183"/>
      <w:r>
        <w:t>Getting assistance from employers</w:t>
      </w:r>
      <w:bookmarkEnd w:id="53"/>
      <w:r>
        <w:t xml:space="preserve"> </w:t>
      </w:r>
    </w:p>
    <w:p w:rsidR="006105D2" w:rsidRDefault="006105D2" w:rsidP="00BE1A32">
      <w:pPr>
        <w:pStyle w:val="Text"/>
      </w:pPr>
      <w:r>
        <w:t xml:space="preserve">It was rare for providers to obtain any </w:t>
      </w:r>
      <w:r w:rsidR="00DB454F">
        <w:t xml:space="preserve">direct </w:t>
      </w:r>
      <w:r>
        <w:t xml:space="preserve">assistance from employers for </w:t>
      </w:r>
      <w:r w:rsidR="000E01C9">
        <w:t xml:space="preserve">the </w:t>
      </w:r>
      <w:r>
        <w:t>validation of assessment tools, and just five of the providers represented reported that they did send on assessment tests to employers for validation. The majority said that they generally used indu</w:t>
      </w:r>
      <w:r w:rsidR="00CC09FE">
        <w:t>stry networks, workplace visits</w:t>
      </w:r>
      <w:r>
        <w:t xml:space="preserve"> and industry representation on reference groups or assessment panels to determine </w:t>
      </w:r>
      <w:r w:rsidR="00CD477A">
        <w:t>whether</w:t>
      </w:r>
      <w:r>
        <w:t xml:space="preserve"> their training (including assessments) was meeting industry needs. It was also common for those programs with mandatory </w:t>
      </w:r>
      <w:r w:rsidRPr="00BE1A32">
        <w:t>employment</w:t>
      </w:r>
      <w:r>
        <w:t xml:space="preserve"> </w:t>
      </w:r>
      <w:r w:rsidR="00527FA5">
        <w:t xml:space="preserve">requirements (for example, apprenticeships and traineeships) </w:t>
      </w:r>
      <w:r>
        <w:t xml:space="preserve">to have employers sign off on the </w:t>
      </w:r>
      <w:r w:rsidR="008B58B2">
        <w:t>training plan —</w:t>
      </w:r>
      <w:r w:rsidR="00CC09FE">
        <w:t xml:space="preserve"> </w:t>
      </w:r>
      <w:r w:rsidR="00CD477A">
        <w:t xml:space="preserve">the plan </w:t>
      </w:r>
      <w:r w:rsidR="008B58B2">
        <w:t>that</w:t>
      </w:r>
      <w:r w:rsidR="00CD477A">
        <w:t xml:space="preserve"> identifies</w:t>
      </w:r>
      <w:r>
        <w:t xml:space="preserve"> the training </w:t>
      </w:r>
      <w:r w:rsidR="008B58B2">
        <w:t>to</w:t>
      </w:r>
      <w:r>
        <w:t xml:space="preserve"> be delivered. In these cases employers were </w:t>
      </w:r>
      <w:r w:rsidR="00527FA5">
        <w:t xml:space="preserve">responsible for </w:t>
      </w:r>
      <w:r>
        <w:t>the on-the-job training and signing off on the profiling doc</w:t>
      </w:r>
      <w:r w:rsidR="008B58B2">
        <w:t>umentation (traditionally a log</w:t>
      </w:r>
      <w:r>
        <w:t>book of activities for each apprentice</w:t>
      </w:r>
      <w:r w:rsidR="00B331A9">
        <w:t xml:space="preserve"> or trainee</w:t>
      </w:r>
      <w:r>
        <w:t>). Employers were also involved in signing off on practical placements. In these cases providers made regular visits to their students.</w:t>
      </w:r>
      <w:r w:rsidR="00E3166C">
        <w:t xml:space="preserve"> </w:t>
      </w:r>
    </w:p>
    <w:p w:rsidR="006105D2" w:rsidRDefault="006105D2" w:rsidP="00BE1A32">
      <w:pPr>
        <w:pStyle w:val="Textlessbefore"/>
      </w:pPr>
    </w:p>
    <w:tbl>
      <w:tblPr>
        <w:tblStyle w:val="TableGrid"/>
        <w:tblW w:w="8789" w:type="dxa"/>
        <w:tblInd w:w="22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227" w:type="dxa"/>
          <w:right w:w="227" w:type="dxa"/>
        </w:tblCellMar>
        <w:tblLook w:val="04A0" w:firstRow="1" w:lastRow="0" w:firstColumn="1" w:lastColumn="0" w:noHBand="0" w:noVBand="1"/>
      </w:tblPr>
      <w:tblGrid>
        <w:gridCol w:w="8789"/>
      </w:tblGrid>
      <w:tr w:rsidR="00BE1A32" w:rsidTr="00BE1A32">
        <w:tc>
          <w:tcPr>
            <w:tcW w:w="9004" w:type="dxa"/>
            <w:shd w:val="clear" w:color="auto" w:fill="000000" w:themeFill="text1"/>
          </w:tcPr>
          <w:p w:rsidR="00BE1A32" w:rsidRDefault="00BE1A32" w:rsidP="00BE1A32">
            <w:pPr>
              <w:pStyle w:val="Tablehead1"/>
              <w:rPr>
                <w:sz w:val="16"/>
                <w:szCs w:val="16"/>
              </w:rPr>
            </w:pPr>
            <w:r w:rsidRPr="00007BEA">
              <w:t>What practitioners say</w:t>
            </w:r>
          </w:p>
        </w:tc>
      </w:tr>
      <w:tr w:rsidR="00BE1A32" w:rsidTr="00BE1A32">
        <w:tc>
          <w:tcPr>
            <w:tcW w:w="9004" w:type="dxa"/>
          </w:tcPr>
          <w:p w:rsidR="00BE1A32" w:rsidRPr="00007BEA" w:rsidRDefault="00BE1A32" w:rsidP="00557827">
            <w:pPr>
              <w:pStyle w:val="Tablehead1"/>
              <w:spacing w:before="120"/>
            </w:pPr>
            <w:r w:rsidRPr="00007BEA">
              <w:t>Getting assistance from employers in validating assessments</w:t>
            </w:r>
          </w:p>
          <w:p w:rsidR="00BE1A32" w:rsidRPr="00390220" w:rsidRDefault="00BE1A32" w:rsidP="00BE1A32">
            <w:pPr>
              <w:pStyle w:val="boxparastyle"/>
            </w:pPr>
            <w:r w:rsidRPr="00390220">
              <w:t xml:space="preserve">We will give </w:t>
            </w:r>
            <w:r>
              <w:t xml:space="preserve">an </w:t>
            </w:r>
            <w:r w:rsidRPr="00390220">
              <w:t xml:space="preserve">assessment for someone in the workplace to look at and get feedback. We also talk to employers </w:t>
            </w:r>
            <w:r>
              <w:t>providing our students with</w:t>
            </w:r>
            <w:r w:rsidRPr="00390220">
              <w:t xml:space="preserve"> vocational placement</w:t>
            </w:r>
            <w:r>
              <w:t>s.</w:t>
            </w:r>
            <w:r>
              <w:tab/>
              <w:t>(A</w:t>
            </w:r>
            <w:r w:rsidRPr="00390220">
              <w:t>ged care, private provider)</w:t>
            </w:r>
          </w:p>
          <w:p w:rsidR="00BE1A32" w:rsidRPr="00390220" w:rsidRDefault="00BE1A32" w:rsidP="00BE1A32">
            <w:pPr>
              <w:pStyle w:val="boxparastyle"/>
            </w:pPr>
            <w:r w:rsidRPr="00390220">
              <w:t xml:space="preserve">We meet with industry employers every </w:t>
            </w:r>
            <w:r>
              <w:t>six</w:t>
            </w:r>
            <w:r w:rsidRPr="00390220">
              <w:t xml:space="preserve"> months for them to explain </w:t>
            </w:r>
            <w:r>
              <w:t>any</w:t>
            </w:r>
            <w:r w:rsidRPr="00390220">
              <w:t xml:space="preserve"> changes </w:t>
            </w:r>
            <w:r>
              <w:t xml:space="preserve">and expectations </w:t>
            </w:r>
            <w:r w:rsidRPr="00390220">
              <w:t xml:space="preserve">they require, </w:t>
            </w:r>
            <w:r>
              <w:t xml:space="preserve">and </w:t>
            </w:r>
            <w:r w:rsidRPr="00390220">
              <w:t>incorporate th</w:t>
            </w:r>
            <w:r>
              <w:t>ese into teaching.</w:t>
            </w:r>
            <w:r>
              <w:tab/>
              <w:t>(A</w:t>
            </w:r>
            <w:r w:rsidRPr="00390220">
              <w:t>ged care, public provider)</w:t>
            </w:r>
          </w:p>
          <w:p w:rsidR="00BE1A32" w:rsidRPr="00390220" w:rsidRDefault="00BE1A32" w:rsidP="00BE1A32">
            <w:pPr>
              <w:pStyle w:val="boxparastyle"/>
            </w:pPr>
            <w:r w:rsidRPr="00390220">
              <w:t>We gather feedback as part of compliance requirements for ASQA</w:t>
            </w:r>
            <w:r w:rsidR="00DB454F">
              <w:t xml:space="preserve"> [Australian Skills Quality Authority]</w:t>
            </w:r>
            <w:r w:rsidRPr="00390220">
              <w:t xml:space="preserve">. Each course is evaluated by employers and past students for satisfaction. Feedback is also part of </w:t>
            </w:r>
            <w:r>
              <w:t xml:space="preserve">the </w:t>
            </w:r>
            <w:r w:rsidRPr="00390220">
              <w:t>annual review and action plan. In some areas we link the diploma into the organisation</w:t>
            </w:r>
            <w:r w:rsidR="00D52B39">
              <w:t>’</w:t>
            </w:r>
            <w:r w:rsidRPr="00390220">
              <w:t xml:space="preserve">s workforce development plan </w:t>
            </w:r>
            <w:r>
              <w:t>and choose units on this basis.</w:t>
            </w:r>
            <w:r w:rsidR="00DB454F">
              <w:br/>
            </w:r>
            <w:r>
              <w:tab/>
              <w:t>(Business, public provider)</w:t>
            </w:r>
          </w:p>
          <w:p w:rsidR="00BE1A32" w:rsidRPr="00390220" w:rsidRDefault="00BE1A32" w:rsidP="00BE1A32">
            <w:pPr>
              <w:pStyle w:val="boxparastyle"/>
            </w:pPr>
            <w:r w:rsidRPr="00390220">
              <w:t>We get assistance from employers, but not to validate assessments. The Training Plan is signed by student, employer and the RTO. There is no agreement requested on assessment tools. The employer checks students</w:t>
            </w:r>
            <w:r w:rsidR="00D52B39">
              <w:t>’</w:t>
            </w:r>
            <w:r w:rsidRPr="00390220">
              <w:t xml:space="preserve"> progress</w:t>
            </w:r>
            <w:r>
              <w:t xml:space="preserve"> and</w:t>
            </w:r>
            <w:r w:rsidRPr="00390220">
              <w:t xml:space="preserve"> signs the </w:t>
            </w:r>
            <w:r>
              <w:t>T</w:t>
            </w:r>
            <w:r w:rsidRPr="00390220">
              <w:t>raining Plan when the student is competent</w:t>
            </w:r>
            <w:r>
              <w:t>.</w:t>
            </w:r>
            <w:r>
              <w:tab/>
              <w:t>(Electrical, public provider)</w:t>
            </w:r>
            <w:r w:rsidRPr="00390220">
              <w:t xml:space="preserve"> </w:t>
            </w:r>
          </w:p>
          <w:p w:rsidR="00BE1A32" w:rsidRDefault="00BE1A32" w:rsidP="00BE1A32">
            <w:pPr>
              <w:pStyle w:val="boxparastyle"/>
              <w:spacing w:after="120"/>
            </w:pPr>
            <w:r w:rsidRPr="00390220">
              <w:t>It is difficult to get employer assistance on assessment for both theory and practical. It is eas</w:t>
            </w:r>
            <w:r>
              <w:t>ier</w:t>
            </w:r>
            <w:r w:rsidRPr="00390220">
              <w:t xml:space="preserve"> to get assistance o</w:t>
            </w:r>
            <w:r>
              <w:t>n the practical side</w:t>
            </w:r>
            <w:r w:rsidRPr="00390220">
              <w:t xml:space="preserve"> than on the theory side (often employers are not good at this anyway). We meet with employers and apprentices once a year to look at </w:t>
            </w:r>
            <w:r>
              <w:t>the work they have done onsite.</w:t>
            </w:r>
            <w:r>
              <w:tab/>
              <w:t>(Electrical, not-for-profit provider)</w:t>
            </w:r>
          </w:p>
        </w:tc>
      </w:tr>
    </w:tbl>
    <w:p w:rsidR="0028600F" w:rsidRDefault="00390220" w:rsidP="00BE1A32">
      <w:pPr>
        <w:pStyle w:val="Textmorebefore"/>
      </w:pPr>
      <w:r>
        <w:lastRenderedPageBreak/>
        <w:t>Of our respondents</w:t>
      </w:r>
      <w:r w:rsidR="00007BEA">
        <w:t>,</w:t>
      </w:r>
      <w:r>
        <w:t xml:space="preserve"> 56% said it was easy to get employer involvement</w:t>
      </w:r>
      <w:r w:rsidR="00007BEA">
        <w:t>,</w:t>
      </w:r>
      <w:r w:rsidR="000A3139">
        <w:t xml:space="preserve"> with the remainder finding it quite difficult to get employers involved. There were those who would find it easy for certain tasks and difficult for others</w:t>
      </w:r>
      <w:r w:rsidR="00007BEA">
        <w:t>;</w:t>
      </w:r>
      <w:r w:rsidR="00510086">
        <w:t xml:space="preserve"> for example</w:t>
      </w:r>
      <w:r w:rsidR="00007BEA">
        <w:t>,</w:t>
      </w:r>
      <w:r w:rsidR="00510086">
        <w:t xml:space="preserve"> it was easier to get help </w:t>
      </w:r>
      <w:r w:rsidR="008B58B2">
        <w:t xml:space="preserve">from electrical contractors for </w:t>
      </w:r>
      <w:r w:rsidR="00510086">
        <w:t xml:space="preserve">practical assessments than </w:t>
      </w:r>
      <w:r w:rsidR="008B58B2">
        <w:t xml:space="preserve">for </w:t>
      </w:r>
      <w:r w:rsidR="00510086">
        <w:t>theory assessments.</w:t>
      </w:r>
      <w:r w:rsidR="00E3166C">
        <w:t xml:space="preserve"> </w:t>
      </w:r>
      <w:r w:rsidR="00510086">
        <w:t xml:space="preserve">Those </w:t>
      </w:r>
      <w:r w:rsidR="00007BEA">
        <w:t>who</w:t>
      </w:r>
      <w:r w:rsidR="00510086">
        <w:t xml:space="preserve"> found it easier were those who had in place strong networks and regular involvement with employers because of the programs they were running, especially if they required w</w:t>
      </w:r>
      <w:r w:rsidR="00CA6073">
        <w:t>ork placements</w:t>
      </w:r>
      <w:r w:rsidR="00510086">
        <w:t xml:space="preserve"> or on-the-job training (as in the case of apprentices and trainees). It was especially easy for those who </w:t>
      </w:r>
      <w:r w:rsidR="000F3AC5">
        <w:t>employed</w:t>
      </w:r>
      <w:r w:rsidR="00510086">
        <w:t xml:space="preserve"> sessional trainers </w:t>
      </w:r>
      <w:r w:rsidR="000F3AC5">
        <w:t>and assessors</w:t>
      </w:r>
      <w:r w:rsidR="00BE1A32">
        <w:t xml:space="preserve"> (who generally came from industry)</w:t>
      </w:r>
      <w:r w:rsidR="000F3AC5">
        <w:t xml:space="preserve"> </w:t>
      </w:r>
      <w:r w:rsidR="00BE1A32">
        <w:t>and</w:t>
      </w:r>
      <w:r w:rsidR="00510086">
        <w:t xml:space="preserve"> paid for their involvement</w:t>
      </w:r>
      <w:r w:rsidR="006105D2">
        <w:t xml:space="preserve"> in assessment</w:t>
      </w:r>
      <w:r w:rsidR="00BE1A32">
        <w:t>.</w:t>
      </w:r>
      <w:r w:rsidR="008B58B2">
        <w:t xml:space="preserve"> </w:t>
      </w:r>
      <w:r w:rsidR="00456F06">
        <w:t>It was also easier</w:t>
      </w:r>
      <w:r w:rsidR="00510086">
        <w:t xml:space="preserve"> to get involvement from some occupations than others, especially thos</w:t>
      </w:r>
      <w:r w:rsidR="00CA6073">
        <w:t>e who were involved in more out-of-</w:t>
      </w:r>
      <w:r w:rsidR="00510086">
        <w:t>hours work</w:t>
      </w:r>
      <w:r w:rsidR="006105D2">
        <w:t xml:space="preserve"> and </w:t>
      </w:r>
      <w:r w:rsidR="00456F06">
        <w:t xml:space="preserve">who </w:t>
      </w:r>
      <w:r w:rsidR="006105D2">
        <w:t>had the time to help in the validation of assessments</w:t>
      </w:r>
      <w:r w:rsidR="00510086">
        <w:t>.</w:t>
      </w:r>
      <w:r w:rsidR="00E3166C">
        <w:t xml:space="preserve"> </w:t>
      </w:r>
    </w:p>
    <w:p w:rsidR="0028600F" w:rsidRDefault="0028600F" w:rsidP="00BE1A32">
      <w:pPr>
        <w:pStyle w:val="Textlessbefore"/>
      </w:pPr>
    </w:p>
    <w:tbl>
      <w:tblPr>
        <w:tblStyle w:val="TableGrid"/>
        <w:tblW w:w="8789" w:type="dxa"/>
        <w:tblInd w:w="22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227" w:type="dxa"/>
          <w:right w:w="227" w:type="dxa"/>
        </w:tblCellMar>
        <w:tblLook w:val="04A0" w:firstRow="1" w:lastRow="0" w:firstColumn="1" w:lastColumn="0" w:noHBand="0" w:noVBand="1"/>
      </w:tblPr>
      <w:tblGrid>
        <w:gridCol w:w="8789"/>
      </w:tblGrid>
      <w:tr w:rsidR="00BE1A32" w:rsidTr="00BE1A32">
        <w:tc>
          <w:tcPr>
            <w:tcW w:w="9004" w:type="dxa"/>
            <w:shd w:val="clear" w:color="auto" w:fill="000000" w:themeFill="text1"/>
          </w:tcPr>
          <w:p w:rsidR="00BE1A32" w:rsidRDefault="00BE1A32" w:rsidP="00BE1A32">
            <w:pPr>
              <w:pStyle w:val="Tablehead1"/>
            </w:pPr>
            <w:r>
              <w:t>What practitioners say</w:t>
            </w:r>
          </w:p>
        </w:tc>
      </w:tr>
      <w:tr w:rsidR="00BE1A32" w:rsidTr="00BE1A32">
        <w:tc>
          <w:tcPr>
            <w:tcW w:w="9004" w:type="dxa"/>
          </w:tcPr>
          <w:p w:rsidR="00BE1A32" w:rsidRPr="00B1050E" w:rsidRDefault="00BE1A32" w:rsidP="00557827">
            <w:pPr>
              <w:pStyle w:val="Tablehead1"/>
              <w:spacing w:before="120"/>
            </w:pPr>
            <w:r w:rsidRPr="00B1050E">
              <w:t xml:space="preserve">Help from employers in validating assessments </w:t>
            </w:r>
          </w:p>
          <w:p w:rsidR="00BE1A32" w:rsidRPr="00510086" w:rsidRDefault="00BE1A32" w:rsidP="00557827">
            <w:pPr>
              <w:pStyle w:val="boxparastyle"/>
            </w:pPr>
            <w:r w:rsidRPr="00510086">
              <w:t>We have built good relationships and have trainers from industry, but getting employers involved can be difficult</w:t>
            </w:r>
            <w:r>
              <w:t xml:space="preserve"> with more isolated industries.</w:t>
            </w:r>
            <w:r>
              <w:tab/>
              <w:t>(A</w:t>
            </w:r>
            <w:r w:rsidRPr="00510086">
              <w:t>ged care, private provider)</w:t>
            </w:r>
          </w:p>
          <w:p w:rsidR="00BE1A32" w:rsidRPr="00510086" w:rsidRDefault="00BE1A32" w:rsidP="00557827">
            <w:pPr>
              <w:pStyle w:val="boxparastyle"/>
            </w:pPr>
            <w:r w:rsidRPr="00510086">
              <w:t>We h</w:t>
            </w:r>
            <w:r>
              <w:t>ave constant contact with them [employers]</w:t>
            </w:r>
            <w:r w:rsidRPr="00510086">
              <w:t xml:space="preserve"> but in regional areas it is difficult to get placements. We have tried to get input on assessments but employers are too busy. Some are happy to give verbal feedback, are reluctant to get involved because they do</w:t>
            </w:r>
            <w:r>
              <w:t>n</w:t>
            </w:r>
            <w:r w:rsidR="00D52B39">
              <w:t>’</w:t>
            </w:r>
            <w:r>
              <w:t>t want to formalise anything.</w:t>
            </w:r>
            <w:r>
              <w:tab/>
              <w:t>(A</w:t>
            </w:r>
            <w:r w:rsidRPr="00510086">
              <w:t>ged care, public provider)</w:t>
            </w:r>
          </w:p>
          <w:p w:rsidR="00BE1A32" w:rsidRPr="00510086" w:rsidRDefault="00BE1A32" w:rsidP="00557827">
            <w:pPr>
              <w:pStyle w:val="boxparastyle"/>
            </w:pPr>
            <w:r w:rsidRPr="00510086">
              <w:t>It is eas</w:t>
            </w:r>
            <w:r>
              <w:t>ier</w:t>
            </w:r>
            <w:r w:rsidRPr="00510086">
              <w:t xml:space="preserve"> to get consultants, accountan</w:t>
            </w:r>
            <w:r>
              <w:t xml:space="preserve">ts, real estate personnel, and </w:t>
            </w:r>
            <w:r w:rsidRPr="00510086">
              <w:t>sports administrators</w:t>
            </w:r>
            <w:r>
              <w:t xml:space="preserve"> to be involved.</w:t>
            </w:r>
            <w:r w:rsidR="00DB454F">
              <w:br/>
            </w:r>
            <w:r>
              <w:tab/>
              <w:t>(B</w:t>
            </w:r>
            <w:r w:rsidRPr="00510086">
              <w:t>usiness, public provider)</w:t>
            </w:r>
          </w:p>
          <w:p w:rsidR="00BE1A32" w:rsidRPr="00510086" w:rsidRDefault="00BE1A32" w:rsidP="00557827">
            <w:pPr>
              <w:pStyle w:val="boxparastyle"/>
              <w:rPr>
                <w:i/>
              </w:rPr>
            </w:pPr>
            <w:r w:rsidRPr="00510086">
              <w:t xml:space="preserve">For business </w:t>
            </w:r>
            <w:r>
              <w:t xml:space="preserve">subjects it is </w:t>
            </w:r>
            <w:r w:rsidRPr="00510086">
              <w:t xml:space="preserve">very difficult as there is no governing body. Business </w:t>
            </w:r>
            <w:r>
              <w:t xml:space="preserve">qualifications act </w:t>
            </w:r>
            <w:r w:rsidRPr="00510086">
              <w:t>more like a pathway</w:t>
            </w:r>
            <w:r>
              <w:t>. They are very broad</w:t>
            </w:r>
            <w:r w:rsidRPr="00510086">
              <w:t xml:space="preserve"> </w:t>
            </w:r>
            <w:r>
              <w:t>…</w:t>
            </w:r>
            <w:r w:rsidRPr="00510086">
              <w:t xml:space="preserve"> more </w:t>
            </w:r>
            <w:r>
              <w:t xml:space="preserve">like </w:t>
            </w:r>
            <w:r w:rsidRPr="00510086">
              <w:t>taster</w:t>
            </w:r>
            <w:r>
              <w:t>s</w:t>
            </w:r>
            <w:r w:rsidRPr="00510086">
              <w:t>, and can be morphed into different things,</w:t>
            </w:r>
            <w:r>
              <w:t xml:space="preserve"> certificate </w:t>
            </w:r>
            <w:r w:rsidRPr="00510086">
              <w:t>III, IV</w:t>
            </w:r>
            <w:r w:rsidR="00DB454F">
              <w:t>,</w:t>
            </w:r>
            <w:r w:rsidRPr="00510086">
              <w:t xml:space="preserve"> diploma, advanced diploma, OHS administration, advanced customer service. Getting employer involvement is easier for fi</w:t>
            </w:r>
            <w:r>
              <w:t>nance and marketing. I use my marketing manager networks</w:t>
            </w:r>
            <w:r w:rsidRPr="00510086">
              <w:t xml:space="preserve"> and get a good response quite quickly. I have a big network so </w:t>
            </w:r>
            <w:r>
              <w:t xml:space="preserve">I </w:t>
            </w:r>
            <w:r w:rsidRPr="00510086">
              <w:t>am a</w:t>
            </w:r>
            <w:r>
              <w:t>lways able to get a core group.</w:t>
            </w:r>
            <w:r>
              <w:tab/>
              <w:t>(B</w:t>
            </w:r>
            <w:r w:rsidRPr="00CA6073">
              <w:t xml:space="preserve">usiness </w:t>
            </w:r>
            <w:r>
              <w:t>and</w:t>
            </w:r>
            <w:r w:rsidRPr="00CA6073">
              <w:t xml:space="preserve"> marketing, public provider)</w:t>
            </w:r>
            <w:r w:rsidRPr="00510086">
              <w:rPr>
                <w:i/>
              </w:rPr>
              <w:t xml:space="preserve"> </w:t>
            </w:r>
          </w:p>
          <w:p w:rsidR="00BE1A32" w:rsidRDefault="00BE1A32" w:rsidP="00557827">
            <w:pPr>
              <w:pStyle w:val="boxparastyle"/>
              <w:spacing w:after="120"/>
            </w:pPr>
            <w:r w:rsidRPr="00510086">
              <w:t xml:space="preserve">Industry relies on </w:t>
            </w:r>
            <w:r>
              <w:t xml:space="preserve">the college to look after things to do with </w:t>
            </w:r>
            <w:r w:rsidRPr="00510086">
              <w:t>assessments</w:t>
            </w:r>
            <w:r>
              <w:t>. T</w:t>
            </w:r>
            <w:r w:rsidRPr="00510086">
              <w:t xml:space="preserve">hey </w:t>
            </w:r>
            <w:r>
              <w:t xml:space="preserve">do not </w:t>
            </w:r>
            <w:r w:rsidRPr="00510086">
              <w:t>have the time. It is also not their core business. They believe that this is college</w:t>
            </w:r>
            <w:r w:rsidR="00D52B39">
              <w:t>’</w:t>
            </w:r>
            <w:r w:rsidRPr="00510086">
              <w:t>s job</w:t>
            </w:r>
            <w:r>
              <w:t>.</w:t>
            </w:r>
            <w:r>
              <w:tab/>
              <w:t>(E</w:t>
            </w:r>
            <w:r w:rsidRPr="00CA6073">
              <w:t>lectrical, public provider)</w:t>
            </w:r>
          </w:p>
        </w:tc>
      </w:tr>
    </w:tbl>
    <w:p w:rsidR="006105D2" w:rsidRDefault="006105D2" w:rsidP="00557827">
      <w:pPr>
        <w:pStyle w:val="Heading2"/>
      </w:pPr>
      <w:bookmarkStart w:id="54" w:name="_Toc381103184"/>
      <w:r>
        <w:t>Key issues in getting employer involvement</w:t>
      </w:r>
      <w:bookmarkEnd w:id="54"/>
    </w:p>
    <w:p w:rsidR="00B2411F" w:rsidRDefault="00E3166A" w:rsidP="00E3166A">
      <w:pPr>
        <w:pStyle w:val="Text"/>
      </w:pPr>
      <w:r w:rsidRPr="00E3166A">
        <w:t>Practitioners who had found it difficult</w:t>
      </w:r>
      <w:r>
        <w:t xml:space="preserve"> to g</w:t>
      </w:r>
      <w:r w:rsidR="00CA6073">
        <w:t xml:space="preserve">ain </w:t>
      </w:r>
      <w:r>
        <w:t>employer involvement identified a list of key issues</w:t>
      </w:r>
      <w:r w:rsidRPr="00E3166A">
        <w:t xml:space="preserve"> </w:t>
      </w:r>
      <w:r>
        <w:t>in doing</w:t>
      </w:r>
      <w:r w:rsidR="00B2411F">
        <w:t xml:space="preserve"> so. The most frequent issue (reported by 45.4%) </w:t>
      </w:r>
      <w:r w:rsidR="00456F06">
        <w:t xml:space="preserve">cited by </w:t>
      </w:r>
      <w:r w:rsidR="00B2411F">
        <w:t xml:space="preserve">respondents </w:t>
      </w:r>
      <w:r w:rsidR="00456F06">
        <w:t>related to</w:t>
      </w:r>
      <w:r w:rsidR="00B2411F">
        <w:t xml:space="preserve"> employer</w:t>
      </w:r>
      <w:r w:rsidR="00456F06">
        <w:t>s</w:t>
      </w:r>
      <w:r w:rsidR="00D52B39">
        <w:t>’</w:t>
      </w:r>
      <w:r w:rsidR="00B2411F">
        <w:t xml:space="preserve"> lack of time to commit to being involved in validating assessments. The key issues reported by another third of respondents </w:t>
      </w:r>
      <w:r w:rsidR="001A13B3">
        <w:t>w</w:t>
      </w:r>
      <w:r w:rsidR="00DB454F">
        <w:t>ere</w:t>
      </w:r>
      <w:r w:rsidR="001A13B3">
        <w:t xml:space="preserve"> </w:t>
      </w:r>
      <w:r w:rsidR="00527FA5">
        <w:t>related to</w:t>
      </w:r>
      <w:r w:rsidR="00B2411F">
        <w:t xml:space="preserve"> employer</w:t>
      </w:r>
      <w:r w:rsidR="00456F06">
        <w:t>s</w:t>
      </w:r>
      <w:r w:rsidR="00D52B39">
        <w:t>’</w:t>
      </w:r>
      <w:r w:rsidR="00B2411F">
        <w:t xml:space="preserve"> lack of knowledge of what was involved in </w:t>
      </w:r>
      <w:r w:rsidR="001A13B3">
        <w:t xml:space="preserve">the units of competency </w:t>
      </w:r>
      <w:r w:rsidR="00B2411F">
        <w:t xml:space="preserve">to be assessed, as well as </w:t>
      </w:r>
      <w:r w:rsidR="00456F06">
        <w:t>their</w:t>
      </w:r>
      <w:r w:rsidR="001A13B3">
        <w:t xml:space="preserve"> </w:t>
      </w:r>
      <w:r w:rsidR="00B2411F">
        <w:t xml:space="preserve">inability to understand the language used in the </w:t>
      </w:r>
      <w:r w:rsidR="003F756A">
        <w:t>training packages</w:t>
      </w:r>
      <w:r w:rsidR="00B2411F">
        <w:t xml:space="preserve"> and by the assessors or trainers themselves. Other issues </w:t>
      </w:r>
      <w:r w:rsidR="00456F06">
        <w:t>relating to</w:t>
      </w:r>
      <w:r w:rsidR="00B2411F">
        <w:t xml:space="preserve"> the difficulty of </w:t>
      </w:r>
      <w:r w:rsidR="001A13B3">
        <w:t>attracting</w:t>
      </w:r>
      <w:r w:rsidR="00B2411F">
        <w:t xml:space="preserve"> employer involvement </w:t>
      </w:r>
      <w:r w:rsidR="001A13B3">
        <w:t>were</w:t>
      </w:r>
      <w:r w:rsidR="00B2411F">
        <w:t xml:space="preserve"> the broad industry coverage of the qualification (generally business qualifications), the lack of a strong relationship between employers and providers, </w:t>
      </w:r>
      <w:r w:rsidR="00923CA2">
        <w:t xml:space="preserve">and </w:t>
      </w:r>
      <w:r w:rsidR="001A13B3">
        <w:t xml:space="preserve">the </w:t>
      </w:r>
      <w:r w:rsidR="00B2411F">
        <w:t>limited availability of work placements (especially in regional areas but also in specific sectors). Finding the right person to talk to was another barrier to g</w:t>
      </w:r>
      <w:r w:rsidR="001A13B3">
        <w:t>aining</w:t>
      </w:r>
      <w:r w:rsidR="00B2411F">
        <w:t xml:space="preserve"> employer involvement in the validation of assessments. </w:t>
      </w:r>
    </w:p>
    <w:p w:rsidR="00923CA2" w:rsidRDefault="00923CA2">
      <w:r>
        <w:br w:type="page"/>
      </w:r>
    </w:p>
    <w:tbl>
      <w:tblPr>
        <w:tblStyle w:val="TableGrid"/>
        <w:tblW w:w="8789" w:type="dxa"/>
        <w:tblInd w:w="22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227" w:type="dxa"/>
          <w:right w:w="227" w:type="dxa"/>
        </w:tblCellMar>
        <w:tblLook w:val="04A0" w:firstRow="1" w:lastRow="0" w:firstColumn="1" w:lastColumn="0" w:noHBand="0" w:noVBand="1"/>
      </w:tblPr>
      <w:tblGrid>
        <w:gridCol w:w="8789"/>
      </w:tblGrid>
      <w:tr w:rsidR="00557827" w:rsidTr="00557827">
        <w:tc>
          <w:tcPr>
            <w:tcW w:w="9004" w:type="dxa"/>
            <w:shd w:val="clear" w:color="auto" w:fill="000000" w:themeFill="text1"/>
          </w:tcPr>
          <w:p w:rsidR="00557827" w:rsidRDefault="00557827" w:rsidP="00557827">
            <w:pPr>
              <w:pStyle w:val="Tablehead1"/>
              <w:rPr>
                <w:rFonts w:ascii="Trebuchet MS" w:hAnsi="Trebuchet MS"/>
                <w:sz w:val="19"/>
              </w:rPr>
            </w:pPr>
            <w:r w:rsidRPr="001A13B3">
              <w:lastRenderedPageBreak/>
              <w:t>What practitioners say</w:t>
            </w:r>
          </w:p>
        </w:tc>
      </w:tr>
      <w:tr w:rsidR="00557827" w:rsidTr="00557827">
        <w:tc>
          <w:tcPr>
            <w:tcW w:w="9004" w:type="dxa"/>
          </w:tcPr>
          <w:p w:rsidR="00557827" w:rsidRPr="001A13B3" w:rsidRDefault="00557827" w:rsidP="00557827">
            <w:pPr>
              <w:pStyle w:val="Tablehead1"/>
              <w:spacing w:before="120"/>
            </w:pPr>
            <w:r w:rsidRPr="001A13B3">
              <w:t>Getting employment involvement is difficult</w:t>
            </w:r>
          </w:p>
          <w:p w:rsidR="00557827" w:rsidRPr="00923CA2" w:rsidRDefault="00557827" w:rsidP="00557827">
            <w:pPr>
              <w:pStyle w:val="boxparastyle"/>
            </w:pPr>
            <w:r w:rsidRPr="00923CA2">
              <w:t>Employers may be worried about the language used. There may be a well-written plan but if it has not addressed the performance crit</w:t>
            </w:r>
            <w:r>
              <w:t>eria, the business may not know.</w:t>
            </w:r>
            <w:r>
              <w:tab/>
              <w:t>(B</w:t>
            </w:r>
            <w:r w:rsidRPr="001A13B3">
              <w:t>usiness, public provider)</w:t>
            </w:r>
            <w:r w:rsidRPr="00923CA2">
              <w:t xml:space="preserve"> </w:t>
            </w:r>
          </w:p>
          <w:p w:rsidR="00557827" w:rsidRPr="00923CA2" w:rsidRDefault="00557827" w:rsidP="00557827">
            <w:pPr>
              <w:pStyle w:val="boxparastyle"/>
              <w:rPr>
                <w:i/>
              </w:rPr>
            </w:pPr>
            <w:r w:rsidRPr="00923CA2">
              <w:t xml:space="preserve">Business </w:t>
            </w:r>
            <w:r>
              <w:t xml:space="preserve">program area </w:t>
            </w:r>
            <w:r w:rsidRPr="00923CA2">
              <w:t>is too difficult, it is too broad. We are trying to get an industry reference group for Business</w:t>
            </w:r>
            <w:r>
              <w:t xml:space="preserve"> </w:t>
            </w:r>
            <w:r w:rsidRPr="00923CA2">
              <w:t xml:space="preserve">Administration [but finding it slow going]. We experienced no issues in finding </w:t>
            </w:r>
            <w:r>
              <w:t>a reference group for Marketing</w:t>
            </w:r>
            <w:r w:rsidRPr="00923CA2">
              <w:t>.</w:t>
            </w:r>
            <w:r>
              <w:br/>
            </w:r>
            <w:r>
              <w:tab/>
              <w:t>(B</w:t>
            </w:r>
            <w:r w:rsidRPr="00191A03">
              <w:t>usiness and marketing, public provider)</w:t>
            </w:r>
            <w:r w:rsidRPr="00923CA2">
              <w:rPr>
                <w:i/>
              </w:rPr>
              <w:t xml:space="preserve"> </w:t>
            </w:r>
          </w:p>
          <w:p w:rsidR="00557827" w:rsidRDefault="00557827" w:rsidP="00557827">
            <w:pPr>
              <w:pStyle w:val="boxparastyle"/>
            </w:pPr>
            <w:r w:rsidRPr="00923CA2">
              <w:t>Getting the time to commit is difficult for employers. Employers generally ask</w:t>
            </w:r>
            <w:r>
              <w:t>:</w:t>
            </w:r>
            <w:r w:rsidRPr="00923CA2">
              <w:t xml:space="preserve"> </w:t>
            </w:r>
            <w:r w:rsidRPr="002F78DD">
              <w:rPr>
                <w:i/>
              </w:rPr>
              <w:t>Why are you asking me?</w:t>
            </w:r>
            <w:r w:rsidRPr="00923CA2">
              <w:t xml:space="preserve"> They also </w:t>
            </w:r>
            <w:r>
              <w:t>don</w:t>
            </w:r>
            <w:r w:rsidR="00D52B39">
              <w:t>’</w:t>
            </w:r>
            <w:r>
              <w:t>t know what they don</w:t>
            </w:r>
            <w:r w:rsidR="00D52B39">
              <w:t>’</w:t>
            </w:r>
            <w:r>
              <w:t>t know.</w:t>
            </w:r>
            <w:r>
              <w:tab/>
              <w:t>(E</w:t>
            </w:r>
            <w:r w:rsidRPr="00191A03">
              <w:t>lectrical, public provider)</w:t>
            </w:r>
          </w:p>
          <w:p w:rsidR="00557827" w:rsidRPr="00923CA2" w:rsidRDefault="00557827" w:rsidP="00557827">
            <w:pPr>
              <w:pStyle w:val="boxparastyle"/>
            </w:pPr>
            <w:r>
              <w:t>G</w:t>
            </w:r>
            <w:r w:rsidRPr="00B63339">
              <w:t>etting the right person to talk to</w:t>
            </w:r>
            <w:r>
              <w:t>.</w:t>
            </w:r>
            <w:r>
              <w:tab/>
              <w:t>(Business, private provider)</w:t>
            </w:r>
          </w:p>
          <w:p w:rsidR="00557827" w:rsidRPr="002E6C93" w:rsidRDefault="00557827" w:rsidP="00557827">
            <w:pPr>
              <w:pStyle w:val="boxparastyle"/>
              <w:rPr>
                <w:i/>
              </w:rPr>
            </w:pPr>
            <w:r w:rsidRPr="00923CA2">
              <w:t>Lack of time.</w:t>
            </w:r>
            <w:r>
              <w:t xml:space="preserve"> </w:t>
            </w:r>
            <w:r w:rsidRPr="00923CA2">
              <w:t>Lack of concerns. If apprentices are going well employers won</w:t>
            </w:r>
            <w:r w:rsidR="00D52B39">
              <w:t>’</w:t>
            </w:r>
            <w:r w:rsidRPr="00923CA2">
              <w:t xml:space="preserve">t get in touch, or give us compliments. However, if some concerns arise they will call </w:t>
            </w:r>
            <w:r>
              <w:t>us. P</w:t>
            </w:r>
            <w:r w:rsidRPr="00923CA2">
              <w:t xml:space="preserve">erhaps they may have </w:t>
            </w:r>
            <w:r>
              <w:t xml:space="preserve">an </w:t>
            </w:r>
            <w:r w:rsidRPr="00923CA2">
              <w:t>issue with t</w:t>
            </w:r>
            <w:r>
              <w:t>he t</w:t>
            </w:r>
            <w:r w:rsidRPr="00923CA2">
              <w:t>eacher not being organised, or if they leave early, or if appren</w:t>
            </w:r>
            <w:r>
              <w:t>tices can</w:t>
            </w:r>
            <w:r w:rsidR="00D52B39">
              <w:t>’</w:t>
            </w:r>
            <w:r>
              <w:t>t do load calculation.</w:t>
            </w:r>
            <w:r>
              <w:tab/>
              <w:t>(E</w:t>
            </w:r>
            <w:r w:rsidRPr="00191A03">
              <w:t>lectrical, public provider)</w:t>
            </w:r>
          </w:p>
          <w:p w:rsidR="00557827" w:rsidRDefault="00557827" w:rsidP="00557827">
            <w:pPr>
              <w:pStyle w:val="boxparastyle"/>
              <w:rPr>
                <w:i/>
              </w:rPr>
            </w:pPr>
            <w:r w:rsidRPr="00923CA2">
              <w:t>We find it difficult to infiltrate the big established care facilities because they are their own training provider and are not interested. Sometimes they are not very flexible. Independents are often easier to hook up with</w:t>
            </w:r>
            <w:r>
              <w:t>.</w:t>
            </w:r>
            <w:r>
              <w:br/>
            </w:r>
            <w:r>
              <w:tab/>
              <w:t>(A</w:t>
            </w:r>
            <w:r w:rsidRPr="00191A03">
              <w:t>ged care, public provider)</w:t>
            </w:r>
          </w:p>
          <w:p w:rsidR="00557827" w:rsidRDefault="00557827" w:rsidP="00557827">
            <w:pPr>
              <w:pStyle w:val="boxparastyle"/>
              <w:rPr>
                <w:i/>
              </w:rPr>
            </w:pPr>
            <w:r w:rsidRPr="00923CA2">
              <w:t>Lack of time for employers to complete what is required. Employers lack of knowledge about assessment process</w:t>
            </w:r>
            <w:r w:rsidRPr="00191A03">
              <w:t>.</w:t>
            </w:r>
            <w:r>
              <w:br/>
            </w:r>
            <w:r>
              <w:tab/>
              <w:t>(A</w:t>
            </w:r>
            <w:r w:rsidRPr="00191A03">
              <w:t>ged care, public provider)</w:t>
            </w:r>
          </w:p>
          <w:p w:rsidR="00557827" w:rsidRDefault="00557827" w:rsidP="00557827">
            <w:pPr>
              <w:pStyle w:val="boxparastyle"/>
              <w:spacing w:after="120"/>
              <w:rPr>
                <w:rFonts w:ascii="Trebuchet MS" w:hAnsi="Trebuchet MS"/>
                <w:sz w:val="19"/>
                <w:szCs w:val="20"/>
              </w:rPr>
            </w:pPr>
            <w:r w:rsidRPr="008760F8">
              <w:t>Time constraints, everyone is busy. Finding a common time for consultation</w:t>
            </w:r>
            <w:r>
              <w:t>.</w:t>
            </w:r>
            <w:r>
              <w:tab/>
              <w:t>(E</w:t>
            </w:r>
            <w:r w:rsidRPr="00191A03">
              <w:t>lectrical, private provider)</w:t>
            </w:r>
          </w:p>
        </w:tc>
      </w:tr>
    </w:tbl>
    <w:p w:rsidR="00EC5C6D" w:rsidRDefault="00EC5C6D" w:rsidP="00557827">
      <w:pPr>
        <w:pStyle w:val="Heading2"/>
      </w:pPr>
      <w:bookmarkStart w:id="55" w:name="_Toc381103185"/>
      <w:r>
        <w:t xml:space="preserve">Findings from </w:t>
      </w:r>
      <w:r w:rsidR="00B464D0">
        <w:t>other sources of validation</w:t>
      </w:r>
      <w:bookmarkEnd w:id="55"/>
    </w:p>
    <w:p w:rsidR="00DA342B" w:rsidRPr="007A28E7" w:rsidRDefault="00DA342B" w:rsidP="007A28E7">
      <w:pPr>
        <w:pStyle w:val="Text"/>
      </w:pPr>
      <w:r>
        <w:t>Findings from the assessment validation pilot fo</w:t>
      </w:r>
      <w:r w:rsidR="00191A03">
        <w:t>r Certificate III in Aged</w:t>
      </w:r>
      <w:r w:rsidR="007A28E7">
        <w:t xml:space="preserve"> Care</w:t>
      </w:r>
      <w:r w:rsidR="00191A03">
        <w:t xml:space="preserve"> (see a</w:t>
      </w:r>
      <w:r>
        <w:t>ppendix A)</w:t>
      </w:r>
      <w:r w:rsidR="007A28E7">
        <w:t>,</w:t>
      </w:r>
      <w:r>
        <w:t xml:space="preserve"> </w:t>
      </w:r>
      <w:r w:rsidR="00456F06" w:rsidRPr="007A28E7">
        <w:t xml:space="preserve">conducted </w:t>
      </w:r>
      <w:r w:rsidR="007A28E7">
        <w:t>in South Australia,</w:t>
      </w:r>
      <w:r w:rsidR="00456F06">
        <w:t xml:space="preserve"> </w:t>
      </w:r>
      <w:r>
        <w:t xml:space="preserve">found that over four-fifths of the 151 graduates responding to a survey about their training were very satisfied with the quality of the training they had </w:t>
      </w:r>
      <w:r w:rsidR="00DB454F">
        <w:t>received</w:t>
      </w:r>
      <w:r>
        <w:t>. Very few of the gra</w:t>
      </w:r>
      <w:r w:rsidR="00D0430C">
        <w:t xml:space="preserve">duates had not completed a work </w:t>
      </w:r>
      <w:r>
        <w:t xml:space="preserve">placement during the course </w:t>
      </w:r>
      <w:r w:rsidR="00740B69">
        <w:t xml:space="preserve">(Government of South Australia </w:t>
      </w:r>
      <w:r>
        <w:t>2013</w:t>
      </w:r>
      <w:r w:rsidR="00740B69">
        <w:t>b</w:t>
      </w:r>
      <w:r>
        <w:t>).</w:t>
      </w:r>
      <w:r w:rsidR="00E3166C">
        <w:t xml:space="preserve"> </w:t>
      </w:r>
      <w:r>
        <w:t xml:space="preserve">The pilot </w:t>
      </w:r>
      <w:r w:rsidR="00B464D0">
        <w:t xml:space="preserve">also </w:t>
      </w:r>
      <w:r>
        <w:t>found that</w:t>
      </w:r>
      <w:r w:rsidR="00456F06">
        <w:t>,</w:t>
      </w:r>
      <w:r>
        <w:t xml:space="preserve"> although courses were generally well structured</w:t>
      </w:r>
      <w:r w:rsidR="00456F06">
        <w:t>,</w:t>
      </w:r>
      <w:r>
        <w:t xml:space="preserve"> they were considered not long enough</w:t>
      </w:r>
      <w:r w:rsidR="00E3166C">
        <w:t xml:space="preserve"> </w:t>
      </w:r>
      <w:r>
        <w:t xml:space="preserve">to provide students with </w:t>
      </w:r>
      <w:r w:rsidR="00456F06">
        <w:t>sufficient</w:t>
      </w:r>
      <w:r>
        <w:t xml:space="preserve"> opp</w:t>
      </w:r>
      <w:r w:rsidR="00740B69">
        <w:t>ortunities for learning, practis</w:t>
      </w:r>
      <w:r>
        <w:t xml:space="preserve">ing and reviewing what they had learnt. A close look at assessment processes and documents found that in most cases there was not enough detailed documentation of assessment strategies, resources and learner support, and little employer involvement in </w:t>
      </w:r>
      <w:r w:rsidR="00740B69">
        <w:t xml:space="preserve">the </w:t>
      </w:r>
      <w:r>
        <w:t>validation of assessments. The major trouble spots for assessment</w:t>
      </w:r>
      <w:r w:rsidR="00DB454F">
        <w:t>s</w:t>
      </w:r>
      <w:r>
        <w:t xml:space="preserve"> in aged care training were related to condensed course durations, inadequate contextualisation to industry needs (often tied to lack of industry input), lack of mechanisms to ensure that assessors achieved consistency in their marking (for example</w:t>
      </w:r>
      <w:r w:rsidR="00740B69">
        <w:t>,</w:t>
      </w:r>
      <w:r>
        <w:t xml:space="preserve"> marking guides), and a lack of focus on healthy ageing competencies. Aged care workers themselves were found to be proficient in their performance in helping </w:t>
      </w:r>
      <w:r w:rsidR="00740B69">
        <w:t xml:space="preserve">the </w:t>
      </w:r>
      <w:r>
        <w:t xml:space="preserve">residents with specific caring tasks (for example, toiletting, bathing, dressing, eating, and other general life skill tasks). They had little knowledge of the Accreditation Standards and aged care services like Home and Community Care (HACC) services. There was also little knowledge </w:t>
      </w:r>
      <w:r w:rsidR="00E002E8">
        <w:t xml:space="preserve">of </w:t>
      </w:r>
      <w:r w:rsidR="00B464D0">
        <w:t xml:space="preserve">or focus </w:t>
      </w:r>
      <w:r w:rsidR="00E002E8">
        <w:t xml:space="preserve">on </w:t>
      </w:r>
      <w:r>
        <w:t xml:space="preserve">the concepts </w:t>
      </w:r>
      <w:r w:rsidRPr="007A28E7">
        <w:t>of health promotion or healthy ageing.</w:t>
      </w:r>
    </w:p>
    <w:p w:rsidR="00982644" w:rsidRPr="00982644" w:rsidRDefault="00F5292A" w:rsidP="007A28E7">
      <w:pPr>
        <w:pStyle w:val="Text"/>
      </w:pPr>
      <w:r w:rsidRPr="007A28E7">
        <w:t>A</w:t>
      </w:r>
      <w:r w:rsidR="00982644" w:rsidRPr="007A28E7">
        <w:t xml:space="preserve"> </w:t>
      </w:r>
      <w:r w:rsidR="00740B69" w:rsidRPr="007A28E7">
        <w:t>recent strategic review of the c</w:t>
      </w:r>
      <w:r w:rsidR="00982644" w:rsidRPr="007A28E7">
        <w:t xml:space="preserve">ertificate III and IV </w:t>
      </w:r>
      <w:r w:rsidR="00740B69" w:rsidRPr="007A28E7">
        <w:t>aged car</w:t>
      </w:r>
      <w:r w:rsidR="00740B69" w:rsidRPr="00982644">
        <w:t xml:space="preserve">e </w:t>
      </w:r>
      <w:r w:rsidR="00982644" w:rsidRPr="00982644">
        <w:t xml:space="preserve">qualifications </w:t>
      </w:r>
      <w:r w:rsidR="00527FA5">
        <w:t>conducted by the Australian Skills Q</w:t>
      </w:r>
      <w:r w:rsidR="00740B69">
        <w:t>uality Authority (ASQA</w:t>
      </w:r>
      <w:r w:rsidR="00A55C29">
        <w:t>;</w:t>
      </w:r>
      <w:r w:rsidR="00982644">
        <w:t xml:space="preserve"> 2013) </w:t>
      </w:r>
      <w:r w:rsidR="00982644" w:rsidRPr="00982644">
        <w:t xml:space="preserve">involving 20 </w:t>
      </w:r>
      <w:r w:rsidR="003F756A">
        <w:t>registered training organisation</w:t>
      </w:r>
      <w:r w:rsidR="00982644" w:rsidRPr="00982644">
        <w:t>s (selected at rando</w:t>
      </w:r>
      <w:r w:rsidR="00740B69">
        <w:t>m from different jurisdictions)</w:t>
      </w:r>
      <w:r w:rsidR="00982644" w:rsidRPr="00982644">
        <w:t xml:space="preserve"> and compliance audits of another 53 </w:t>
      </w:r>
      <w:r w:rsidR="003F756A">
        <w:t>registered training organisation</w:t>
      </w:r>
      <w:r w:rsidR="00982644" w:rsidRPr="00982644">
        <w:t>s identified a range of non-compliances with</w:t>
      </w:r>
      <w:r w:rsidR="007A28E7">
        <w:t xml:space="preserve"> their standards for</w:t>
      </w:r>
      <w:r w:rsidR="00982644" w:rsidRPr="00982644">
        <w:t xml:space="preserve"> assessment</w:t>
      </w:r>
      <w:r w:rsidR="007A28E7">
        <w:t>.</w:t>
      </w:r>
      <w:r w:rsidR="00982644" w:rsidRPr="00982644">
        <w:t xml:space="preserve"> </w:t>
      </w:r>
      <w:r>
        <w:t>Registered training organisations</w:t>
      </w:r>
      <w:r w:rsidRPr="00E80863">
        <w:t xml:space="preserve"> were found to lack well-documented training and assessment strat</w:t>
      </w:r>
      <w:r>
        <w:t xml:space="preserve">egies and </w:t>
      </w:r>
      <w:r w:rsidR="00DB454F">
        <w:t>possessed</w:t>
      </w:r>
      <w:r>
        <w:t xml:space="preserve"> few assessment materials that had been </w:t>
      </w:r>
      <w:r w:rsidRPr="00E80863">
        <w:t xml:space="preserve">developed </w:t>
      </w:r>
      <w:r>
        <w:t>in consultation with industry.</w:t>
      </w:r>
      <w:r w:rsidR="00982644" w:rsidRPr="00982644">
        <w:t xml:space="preserve"> Concerns were also raised a</w:t>
      </w:r>
      <w:r>
        <w:t>bout the over-reliance on third-</w:t>
      </w:r>
      <w:r w:rsidR="00982644" w:rsidRPr="00982644">
        <w:t xml:space="preserve">party reports, often represented by checklists of attributes and tasks, at the expense of </w:t>
      </w:r>
      <w:r w:rsidR="00DB454F">
        <w:t xml:space="preserve">the </w:t>
      </w:r>
      <w:r w:rsidR="00982644" w:rsidRPr="00982644">
        <w:t>direct observation of skills by assessors. Also of concern was the use of o</w:t>
      </w:r>
      <w:r w:rsidR="00740B69">
        <w:t>n</w:t>
      </w:r>
      <w:r w:rsidR="00982644" w:rsidRPr="00982644">
        <w:t>line assessme</w:t>
      </w:r>
      <w:r>
        <w:t>nts for soft-skill competencies, which</w:t>
      </w:r>
      <w:r w:rsidR="00982644" w:rsidRPr="00982644">
        <w:t xml:space="preserve"> needed to be assessed in </w:t>
      </w:r>
      <w:r w:rsidR="00982644" w:rsidRPr="00982644">
        <w:lastRenderedPageBreak/>
        <w:t xml:space="preserve">practical workplace settings. Another issue concerned the practice of </w:t>
      </w:r>
      <w:r w:rsidR="003F756A">
        <w:t>registered training organisation</w:t>
      </w:r>
      <w:r w:rsidR="00982644" w:rsidRPr="00982644">
        <w:t>s leav</w:t>
      </w:r>
      <w:r w:rsidR="00740B69">
        <w:t xml:space="preserve">ing the structuring of the work </w:t>
      </w:r>
      <w:r w:rsidR="00982644" w:rsidRPr="00982644">
        <w:t>placement to employers</w:t>
      </w:r>
      <w:r>
        <w:t>, but</w:t>
      </w:r>
      <w:r w:rsidR="00982644" w:rsidRPr="00982644">
        <w:t xml:space="preserve"> without providing them with sufficient instructions of what the student was expected to cover. </w:t>
      </w:r>
      <w:r w:rsidR="00740B69">
        <w:t>R</w:t>
      </w:r>
      <w:r w:rsidR="003F756A">
        <w:t>egistered training organisation</w:t>
      </w:r>
      <w:r w:rsidR="00982644" w:rsidRPr="00982644">
        <w:t>s were also found to rely on employers to sign off on a student</w:t>
      </w:r>
      <w:r w:rsidR="00D52B39">
        <w:t>’</w:t>
      </w:r>
      <w:r w:rsidR="00982644" w:rsidRPr="00982644">
        <w:t>s competency without assessors v</w:t>
      </w:r>
      <w:r w:rsidR="00CF3CDC">
        <w:t>erifying the demonstrated skill</w:t>
      </w:r>
      <w:r w:rsidR="00982644" w:rsidRPr="00982644">
        <w:t xml:space="preserve"> or trainers visiting employers to discuss </w:t>
      </w:r>
      <w:r w:rsidR="000D73D5" w:rsidRPr="00982644">
        <w:t xml:space="preserve">the performance of students </w:t>
      </w:r>
      <w:r w:rsidR="00982644" w:rsidRPr="00982644">
        <w:t xml:space="preserve">with them. </w:t>
      </w:r>
      <w:r w:rsidR="000D73D5" w:rsidRPr="00E80863">
        <w:t xml:space="preserve">There was little integration </w:t>
      </w:r>
      <w:r w:rsidR="000D73D5">
        <w:t>between</w:t>
      </w:r>
      <w:r w:rsidR="000D73D5" w:rsidRPr="00E80863">
        <w:t xml:space="preserve"> </w:t>
      </w:r>
      <w:r w:rsidR="000D73D5">
        <w:t>activities</w:t>
      </w:r>
      <w:r w:rsidR="000D73D5" w:rsidRPr="00E80863">
        <w:t xml:space="preserve"> in the workplace and </w:t>
      </w:r>
      <w:r w:rsidR="000D73D5">
        <w:t>those in</w:t>
      </w:r>
      <w:r w:rsidR="000D73D5" w:rsidRPr="00E80863">
        <w:t xml:space="preserve"> the classroom. The volume of learning was often found to be far less than </w:t>
      </w:r>
      <w:r w:rsidR="000D73D5">
        <w:t>that</w:t>
      </w:r>
      <w:r w:rsidR="000D73D5" w:rsidRPr="00E80863">
        <w:t xml:space="preserve"> identified by the </w:t>
      </w:r>
      <w:r w:rsidR="000D73D5">
        <w:t>AQF</w:t>
      </w:r>
      <w:r w:rsidR="000D73D5" w:rsidRPr="00E80863">
        <w:t xml:space="preserve"> guidelines. </w:t>
      </w:r>
      <w:r w:rsidR="000D73D5">
        <w:t>These shortcomings</w:t>
      </w:r>
      <w:r w:rsidR="000D73D5" w:rsidRPr="00E80863">
        <w:t xml:space="preserve"> also reflect the lack of prescription in </w:t>
      </w:r>
      <w:r w:rsidR="000D73D5">
        <w:t>training packages</w:t>
      </w:r>
      <w:r w:rsidR="000D73D5" w:rsidRPr="00E80863">
        <w:t xml:space="preserve"> </w:t>
      </w:r>
      <w:r w:rsidR="000D73D5" w:rsidRPr="001A6AD0">
        <w:t xml:space="preserve">and </w:t>
      </w:r>
      <w:r w:rsidR="001A6AD0">
        <w:t>in quality standards.</w:t>
      </w:r>
    </w:p>
    <w:p w:rsidR="00B464D0" w:rsidRDefault="00B464D0" w:rsidP="001A6AD0">
      <w:pPr>
        <w:pStyle w:val="Text"/>
        <w:ind w:right="-143"/>
      </w:pPr>
      <w:r>
        <w:t>The</w:t>
      </w:r>
      <w:r w:rsidR="00DA342B">
        <w:t xml:space="preserve"> Office of the Technical Regulator (OTR) </w:t>
      </w:r>
      <w:r w:rsidR="00B331A9">
        <w:t xml:space="preserve">in South Australia </w:t>
      </w:r>
      <w:r>
        <w:t xml:space="preserve">provided information about the types of issues experienced by </w:t>
      </w:r>
      <w:r w:rsidR="00CF3CDC">
        <w:t>electricians in the field (see a</w:t>
      </w:r>
      <w:r>
        <w:t xml:space="preserve">ppendix B). These issues generally relate to </w:t>
      </w:r>
      <w:r w:rsidR="00D52B39">
        <w:t>‘</w:t>
      </w:r>
      <w:r>
        <w:t>awareness of sa</w:t>
      </w:r>
      <w:r w:rsidR="00CF3CDC">
        <w:t>fe work practices</w:t>
      </w:r>
      <w:r w:rsidR="00D52B39">
        <w:t>’</w:t>
      </w:r>
      <w:r w:rsidR="00CF3CDC">
        <w:t xml:space="preserve">. </w:t>
      </w:r>
      <w:r w:rsidR="00DB454F">
        <w:t xml:space="preserve">The </w:t>
      </w:r>
      <w:r w:rsidR="00CF3CDC">
        <w:t xml:space="preserve">annual report </w:t>
      </w:r>
      <w:r>
        <w:t>of the Office of the Technical Regulator</w:t>
      </w:r>
      <w:r w:rsidR="00DB454F">
        <w:t xml:space="preserve"> for 2011—12 </w:t>
      </w:r>
      <w:r>
        <w:t xml:space="preserve">reported no prosecutions (although there were some </w:t>
      </w:r>
      <w:r w:rsidR="00CF3CDC">
        <w:t>instances of non-compliance</w:t>
      </w:r>
      <w:r w:rsidR="00BD7173">
        <w:t xml:space="preserve"> during that year)</w:t>
      </w:r>
      <w:r>
        <w:t>. The Regulator also issued 21 expiation notices for non-compliant electrical work. Most of these were related to electrical workers not completing the mandatory safety checks on electrical installations (</w:t>
      </w:r>
      <w:r w:rsidR="00CF3CDC">
        <w:t>South Australian Government 2013b</w:t>
      </w:r>
      <w:r>
        <w:t>).</w:t>
      </w:r>
      <w:r w:rsidR="00E3166C">
        <w:t xml:space="preserve"> </w:t>
      </w:r>
      <w:r>
        <w:t xml:space="preserve">This would suggest that the assessment </w:t>
      </w:r>
      <w:r w:rsidR="00CF3CDC">
        <w:t>of occupational health and safety</w:t>
      </w:r>
      <w:r>
        <w:t xml:space="preserve"> practices should continue to be </w:t>
      </w:r>
      <w:r w:rsidR="00CF3CDC">
        <w:t xml:space="preserve">a </w:t>
      </w:r>
      <w:r>
        <w:t xml:space="preserve">key </w:t>
      </w:r>
      <w:r w:rsidR="00CF3CDC">
        <w:t>component of</w:t>
      </w:r>
      <w:r>
        <w:t xml:space="preserve"> the assess</w:t>
      </w:r>
      <w:r w:rsidR="001A6AD0">
        <w:t>ment of electrical apprentices.</w:t>
      </w:r>
    </w:p>
    <w:p w:rsidR="001A6AD0" w:rsidRDefault="001A6AD0" w:rsidP="001A6AD0">
      <w:pPr>
        <w:pStyle w:val="Textlessbefore"/>
      </w:pPr>
    </w:p>
    <w:tbl>
      <w:tblPr>
        <w:tblStyle w:val="TableGrid"/>
        <w:tblW w:w="8789" w:type="dxa"/>
        <w:tblInd w:w="22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227" w:type="dxa"/>
          <w:right w:w="227" w:type="dxa"/>
        </w:tblCellMar>
        <w:tblLook w:val="04A0" w:firstRow="1" w:lastRow="0" w:firstColumn="1" w:lastColumn="0" w:noHBand="0" w:noVBand="1"/>
      </w:tblPr>
      <w:tblGrid>
        <w:gridCol w:w="8789"/>
      </w:tblGrid>
      <w:tr w:rsidR="001A6AD0" w:rsidTr="001A6AD0">
        <w:tc>
          <w:tcPr>
            <w:tcW w:w="9004" w:type="dxa"/>
            <w:shd w:val="clear" w:color="auto" w:fill="000000" w:themeFill="text1"/>
          </w:tcPr>
          <w:p w:rsidR="001A6AD0" w:rsidRDefault="001A6AD0" w:rsidP="001A6AD0">
            <w:pPr>
              <w:pStyle w:val="Tablehead1"/>
            </w:pPr>
            <w:r>
              <w:t>What industry auditors and advisers say</w:t>
            </w:r>
          </w:p>
        </w:tc>
      </w:tr>
      <w:tr w:rsidR="001A6AD0" w:rsidTr="001A6AD0">
        <w:tc>
          <w:tcPr>
            <w:tcW w:w="9004" w:type="dxa"/>
          </w:tcPr>
          <w:p w:rsidR="001A6AD0" w:rsidRPr="00B378BF" w:rsidRDefault="001A6AD0" w:rsidP="00E23E6C">
            <w:pPr>
              <w:pStyle w:val="boxparastyle"/>
              <w:spacing w:before="120"/>
            </w:pPr>
            <w:r w:rsidRPr="00B378BF">
              <w:t>Providers want to do the right thing, often th</w:t>
            </w:r>
            <w:r>
              <w:t>ey don</w:t>
            </w:r>
            <w:r w:rsidR="00D52B39">
              <w:t>’</w:t>
            </w:r>
            <w:r>
              <w:t>t know how.</w:t>
            </w:r>
            <w:r>
              <w:br/>
            </w:r>
            <w:r>
              <w:tab/>
              <w:t>(S</w:t>
            </w:r>
            <w:r w:rsidRPr="00B378BF">
              <w:t>enior project officer</w:t>
            </w:r>
            <w:r>
              <w:t>,</w:t>
            </w:r>
            <w:r w:rsidRPr="00B378BF">
              <w:t xml:space="preserve"> COAG </w:t>
            </w:r>
            <w:r>
              <w:t>Validation Project, aged care)</w:t>
            </w:r>
            <w:r w:rsidRPr="00B378BF">
              <w:t xml:space="preserve"> </w:t>
            </w:r>
          </w:p>
          <w:p w:rsidR="001A6AD0" w:rsidRPr="00B378BF" w:rsidRDefault="001A6AD0" w:rsidP="001A6AD0">
            <w:pPr>
              <w:pStyle w:val="boxparastyle"/>
            </w:pPr>
            <w:r w:rsidRPr="00B378BF">
              <w:t xml:space="preserve">Facilities are excruciatingly sedentary for residents. This needs to change. We need to focus on early health promotion intervention strategies. The paradigm is not right. We </w:t>
            </w:r>
            <w:r>
              <w:t>need to follow a paradigm shift.</w:t>
            </w:r>
            <w:r>
              <w:br/>
            </w:r>
            <w:r>
              <w:tab/>
              <w:t>(Industry advisor, COAG V</w:t>
            </w:r>
            <w:r w:rsidRPr="00B378BF">
              <w:t>alidation Project, aged care)</w:t>
            </w:r>
          </w:p>
          <w:p w:rsidR="001A6AD0" w:rsidRDefault="001A6AD0" w:rsidP="001A6AD0">
            <w:pPr>
              <w:pStyle w:val="boxparastyle"/>
              <w:spacing w:after="120"/>
            </w:pPr>
            <w:r w:rsidRPr="00B378BF">
              <w:t>Apprentices need to develop practical skills. Doing simulations will not let you do this. Need a balance between field work and simulatio</w:t>
            </w:r>
            <w:r>
              <w:t>ns.</w:t>
            </w:r>
            <w:r>
              <w:tab/>
            </w:r>
            <w:r w:rsidRPr="00B378BF">
              <w:t>(Auditor, gasfitters, plumbers and electrical contractors and trades)</w:t>
            </w:r>
          </w:p>
        </w:tc>
      </w:tr>
    </w:tbl>
    <w:p w:rsidR="00DA342B" w:rsidRDefault="00DA342B" w:rsidP="001A6AD0">
      <w:pPr>
        <w:pStyle w:val="Text"/>
      </w:pPr>
      <w:r>
        <w:br w:type="page"/>
      </w:r>
    </w:p>
    <w:p w:rsidR="00785E85" w:rsidRDefault="001C6B0E" w:rsidP="00785E85">
      <w:pPr>
        <w:pStyle w:val="Heading1"/>
      </w:pPr>
      <w:bookmarkStart w:id="56" w:name="_Toc381103186"/>
      <w:r>
        <w:lastRenderedPageBreak/>
        <w:t xml:space="preserve">Have providers streamlined their </w:t>
      </w:r>
      <w:r w:rsidR="001B6E23">
        <w:t>recognition</w:t>
      </w:r>
      <w:r w:rsidR="00E23E6C">
        <w:t xml:space="preserve"> of prior learning</w:t>
      </w:r>
      <w:r w:rsidR="002D7A14">
        <w:t xml:space="preserve"> </w:t>
      </w:r>
      <w:r>
        <w:t>assessments</w:t>
      </w:r>
      <w:r w:rsidR="002D7A14">
        <w:t>?</w:t>
      </w:r>
      <w:bookmarkEnd w:id="56"/>
      <w:r w:rsidR="002D7A14">
        <w:t xml:space="preserve"> </w:t>
      </w:r>
    </w:p>
    <w:p w:rsidR="009639D6" w:rsidRDefault="0020019B" w:rsidP="00796BEF">
      <w:pPr>
        <w:pStyle w:val="Text"/>
      </w:pPr>
      <w:r>
        <w:t xml:space="preserve">To answer this question we first look at the data on </w:t>
      </w:r>
      <w:r w:rsidR="001B6E23">
        <w:t>the recognition of prior learning</w:t>
      </w:r>
      <w:r>
        <w:t xml:space="preserve"> uptake for </w:t>
      </w:r>
      <w:r w:rsidR="001B6E23">
        <w:t>aged care and business services</w:t>
      </w:r>
      <w:r w:rsidR="00D77C66">
        <w:rPr>
          <w:rStyle w:val="FootnoteReference"/>
        </w:rPr>
        <w:footnoteReference w:id="6"/>
      </w:r>
      <w:r w:rsidR="00CC33E2">
        <w:t xml:space="preserve"> </w:t>
      </w:r>
      <w:r w:rsidR="000D73D5">
        <w:t xml:space="preserve">(table 7) </w:t>
      </w:r>
      <w:r>
        <w:t xml:space="preserve">and then we look at </w:t>
      </w:r>
      <w:r w:rsidR="00BD7173">
        <w:t xml:space="preserve">the </w:t>
      </w:r>
      <w:r>
        <w:t>information provided to us by providers.</w:t>
      </w:r>
      <w:r w:rsidR="00E3166C">
        <w:t xml:space="preserve"> </w:t>
      </w:r>
      <w:r w:rsidR="00CB06C2">
        <w:t xml:space="preserve">We find that </w:t>
      </w:r>
      <w:r w:rsidR="00907DC8">
        <w:t xml:space="preserve">uptake was low across the board for </w:t>
      </w:r>
      <w:r w:rsidR="00504A70">
        <w:t xml:space="preserve">students undertaking the </w:t>
      </w:r>
      <w:r w:rsidR="00907DC8">
        <w:t xml:space="preserve">Certificate </w:t>
      </w:r>
      <w:r w:rsidR="002D7A14">
        <w:t>III</w:t>
      </w:r>
      <w:r w:rsidR="00907DC8">
        <w:t xml:space="preserve"> in Aged Care and Certificate </w:t>
      </w:r>
      <w:r w:rsidR="002D7A14">
        <w:t>III</w:t>
      </w:r>
      <w:r w:rsidR="00907DC8">
        <w:t xml:space="preserve"> in Business</w:t>
      </w:r>
      <w:r w:rsidR="00E01C5B">
        <w:t>, although slightly higher for Business Services</w:t>
      </w:r>
      <w:r w:rsidR="00907DC8">
        <w:t>.</w:t>
      </w:r>
      <w:r w:rsidR="00DB23C4">
        <w:t xml:space="preserve"> </w:t>
      </w:r>
    </w:p>
    <w:p w:rsidR="0020019B" w:rsidRDefault="009639D6" w:rsidP="00E23E6C">
      <w:pPr>
        <w:pStyle w:val="tabletitle"/>
      </w:pPr>
      <w:bookmarkStart w:id="57" w:name="_Toc381103331"/>
      <w:r>
        <w:t xml:space="preserve">Table </w:t>
      </w:r>
      <w:r w:rsidR="000D73D5">
        <w:t>7</w:t>
      </w:r>
      <w:r w:rsidR="00E23E6C">
        <w:tab/>
      </w:r>
      <w:r>
        <w:t xml:space="preserve">Number and percentage of students who received RPL for </w:t>
      </w:r>
      <w:r w:rsidR="00DB23C4">
        <w:t xml:space="preserve">qualifications, </w:t>
      </w:r>
      <w:r w:rsidR="000D73D5">
        <w:t xml:space="preserve">aged care and </w:t>
      </w:r>
      <w:r w:rsidR="001B6E23">
        <w:t>busines</w:t>
      </w:r>
      <w:r>
        <w:t>s</w:t>
      </w:r>
      <w:r w:rsidR="001B6E23" w:rsidRPr="001B6E23">
        <w:rPr>
          <w:vertAlign w:val="superscript"/>
        </w:rPr>
        <w:t>1</w:t>
      </w:r>
      <w:bookmarkEnd w:id="57"/>
    </w:p>
    <w:tbl>
      <w:tblPr>
        <w:tblW w:w="8806" w:type="dxa"/>
        <w:tblInd w:w="91" w:type="dxa"/>
        <w:tblLayout w:type="fixed"/>
        <w:tblLook w:val="04A0" w:firstRow="1" w:lastRow="0" w:firstColumn="1" w:lastColumn="0" w:noHBand="0" w:noVBand="1"/>
      </w:tblPr>
      <w:tblGrid>
        <w:gridCol w:w="2287"/>
        <w:gridCol w:w="1629"/>
        <w:gridCol w:w="1630"/>
        <w:gridCol w:w="1630"/>
        <w:gridCol w:w="1630"/>
      </w:tblGrid>
      <w:tr w:rsidR="00E23E6C" w:rsidRPr="005D6B15" w:rsidTr="00CA7944">
        <w:trPr>
          <w:trHeight w:val="300"/>
        </w:trPr>
        <w:tc>
          <w:tcPr>
            <w:tcW w:w="2287" w:type="dxa"/>
            <w:tcBorders>
              <w:top w:val="single" w:sz="4" w:space="0" w:color="auto"/>
              <w:left w:val="nil"/>
              <w:right w:val="nil"/>
            </w:tcBorders>
            <w:shd w:val="clear" w:color="auto" w:fill="auto"/>
            <w:noWrap/>
            <w:vAlign w:val="bottom"/>
            <w:hideMark/>
          </w:tcPr>
          <w:p w:rsidR="00E23E6C" w:rsidRPr="005D6B15" w:rsidRDefault="00E23E6C" w:rsidP="00E23E6C">
            <w:pPr>
              <w:pStyle w:val="Tablehead1"/>
            </w:pPr>
          </w:p>
        </w:tc>
        <w:tc>
          <w:tcPr>
            <w:tcW w:w="3259" w:type="dxa"/>
            <w:gridSpan w:val="2"/>
            <w:tcBorders>
              <w:top w:val="single" w:sz="4" w:space="0" w:color="auto"/>
              <w:left w:val="nil"/>
              <w:right w:val="nil"/>
            </w:tcBorders>
            <w:shd w:val="clear" w:color="auto" w:fill="auto"/>
            <w:noWrap/>
            <w:hideMark/>
          </w:tcPr>
          <w:p w:rsidR="00E23E6C" w:rsidRDefault="00E23E6C" w:rsidP="00CA7944">
            <w:pPr>
              <w:pStyle w:val="Tablehead1"/>
              <w:jc w:val="center"/>
            </w:pPr>
            <w:r>
              <w:t>Aged care</w:t>
            </w:r>
          </w:p>
        </w:tc>
        <w:tc>
          <w:tcPr>
            <w:tcW w:w="3260" w:type="dxa"/>
            <w:gridSpan w:val="2"/>
            <w:tcBorders>
              <w:top w:val="single" w:sz="4" w:space="0" w:color="auto"/>
              <w:left w:val="nil"/>
              <w:right w:val="nil"/>
            </w:tcBorders>
            <w:shd w:val="clear" w:color="auto" w:fill="auto"/>
            <w:noWrap/>
            <w:hideMark/>
          </w:tcPr>
          <w:p w:rsidR="00E23E6C" w:rsidRDefault="00E23E6C" w:rsidP="00CA7944">
            <w:pPr>
              <w:pStyle w:val="Tablehead1"/>
              <w:jc w:val="center"/>
            </w:pPr>
            <w:r>
              <w:t>Business</w:t>
            </w:r>
          </w:p>
        </w:tc>
      </w:tr>
      <w:tr w:rsidR="00A125D9" w:rsidRPr="005D6B15" w:rsidTr="00CA7944">
        <w:trPr>
          <w:trHeight w:val="300"/>
        </w:trPr>
        <w:tc>
          <w:tcPr>
            <w:tcW w:w="2287" w:type="dxa"/>
            <w:tcBorders>
              <w:left w:val="nil"/>
              <w:bottom w:val="nil"/>
              <w:right w:val="nil"/>
            </w:tcBorders>
            <w:shd w:val="clear" w:color="auto" w:fill="auto"/>
            <w:noWrap/>
            <w:vAlign w:val="bottom"/>
            <w:hideMark/>
          </w:tcPr>
          <w:p w:rsidR="00A125D9" w:rsidRPr="005D6B15" w:rsidRDefault="00A125D9" w:rsidP="00E23E6C">
            <w:pPr>
              <w:pStyle w:val="Tablehead2"/>
            </w:pPr>
          </w:p>
        </w:tc>
        <w:tc>
          <w:tcPr>
            <w:tcW w:w="1629" w:type="dxa"/>
            <w:tcBorders>
              <w:left w:val="nil"/>
              <w:bottom w:val="nil"/>
              <w:right w:val="nil"/>
            </w:tcBorders>
            <w:shd w:val="clear" w:color="auto" w:fill="auto"/>
            <w:noWrap/>
            <w:hideMark/>
          </w:tcPr>
          <w:p w:rsidR="00A125D9" w:rsidRPr="005D6B15" w:rsidRDefault="00A125D9" w:rsidP="00CA7944">
            <w:pPr>
              <w:pStyle w:val="Tablehead2"/>
              <w:jc w:val="center"/>
            </w:pPr>
            <w:r>
              <w:t>No.</w:t>
            </w:r>
          </w:p>
        </w:tc>
        <w:tc>
          <w:tcPr>
            <w:tcW w:w="1630" w:type="dxa"/>
            <w:tcBorders>
              <w:left w:val="nil"/>
              <w:bottom w:val="nil"/>
              <w:right w:val="nil"/>
            </w:tcBorders>
            <w:shd w:val="clear" w:color="auto" w:fill="auto"/>
            <w:noWrap/>
            <w:hideMark/>
          </w:tcPr>
          <w:p w:rsidR="00A125D9" w:rsidRPr="005D6B15" w:rsidRDefault="00A125D9" w:rsidP="00CA7944">
            <w:pPr>
              <w:pStyle w:val="Tablehead2"/>
              <w:jc w:val="center"/>
            </w:pPr>
            <w:r>
              <w:t>%</w:t>
            </w:r>
          </w:p>
        </w:tc>
        <w:tc>
          <w:tcPr>
            <w:tcW w:w="1630" w:type="dxa"/>
            <w:tcBorders>
              <w:left w:val="nil"/>
              <w:bottom w:val="nil"/>
              <w:right w:val="nil"/>
            </w:tcBorders>
            <w:shd w:val="clear" w:color="auto" w:fill="auto"/>
            <w:noWrap/>
            <w:hideMark/>
          </w:tcPr>
          <w:p w:rsidR="00A125D9" w:rsidRPr="005D6B15" w:rsidRDefault="00A125D9" w:rsidP="00CA7944">
            <w:pPr>
              <w:pStyle w:val="Tablehead2"/>
              <w:jc w:val="center"/>
            </w:pPr>
            <w:r>
              <w:t>No.</w:t>
            </w:r>
          </w:p>
        </w:tc>
        <w:tc>
          <w:tcPr>
            <w:tcW w:w="1630" w:type="dxa"/>
            <w:tcBorders>
              <w:left w:val="nil"/>
              <w:bottom w:val="nil"/>
              <w:right w:val="nil"/>
            </w:tcBorders>
            <w:shd w:val="clear" w:color="auto" w:fill="auto"/>
            <w:noWrap/>
            <w:hideMark/>
          </w:tcPr>
          <w:p w:rsidR="00A125D9" w:rsidRPr="005D6B15" w:rsidRDefault="00A125D9" w:rsidP="00CA7944">
            <w:pPr>
              <w:pStyle w:val="Tablehead2"/>
              <w:jc w:val="center"/>
            </w:pPr>
            <w:r>
              <w:t>%</w:t>
            </w:r>
          </w:p>
        </w:tc>
      </w:tr>
      <w:tr w:rsidR="00A125D9" w:rsidRPr="00E23E6C" w:rsidTr="00E23E6C">
        <w:trPr>
          <w:trHeight w:val="300"/>
        </w:trPr>
        <w:tc>
          <w:tcPr>
            <w:tcW w:w="2287" w:type="dxa"/>
            <w:tcBorders>
              <w:top w:val="single" w:sz="4" w:space="0" w:color="auto"/>
              <w:left w:val="nil"/>
              <w:right w:val="nil"/>
            </w:tcBorders>
            <w:shd w:val="clear" w:color="auto" w:fill="auto"/>
            <w:noWrap/>
            <w:vAlign w:val="bottom"/>
            <w:hideMark/>
          </w:tcPr>
          <w:p w:rsidR="00A125D9" w:rsidRPr="00E23E6C" w:rsidRDefault="00A125D9" w:rsidP="00E23E6C">
            <w:pPr>
              <w:pStyle w:val="Tabletext"/>
            </w:pPr>
            <w:r w:rsidRPr="00E23E6C">
              <w:t>Did not receive RPL</w:t>
            </w:r>
          </w:p>
        </w:tc>
        <w:tc>
          <w:tcPr>
            <w:tcW w:w="1629" w:type="dxa"/>
            <w:tcBorders>
              <w:top w:val="single" w:sz="4" w:space="0" w:color="auto"/>
              <w:left w:val="nil"/>
              <w:right w:val="nil"/>
            </w:tcBorders>
            <w:shd w:val="clear" w:color="auto" w:fill="auto"/>
            <w:noWrap/>
            <w:vAlign w:val="bottom"/>
            <w:hideMark/>
          </w:tcPr>
          <w:p w:rsidR="00A125D9" w:rsidRPr="00E23E6C" w:rsidRDefault="00CA7944" w:rsidP="00CA7944">
            <w:pPr>
              <w:pStyle w:val="Tabletext"/>
              <w:tabs>
                <w:tab w:val="right" w:pos="879"/>
              </w:tabs>
            </w:pPr>
            <w:r>
              <w:tab/>
            </w:r>
            <w:r w:rsidR="00A125D9" w:rsidRPr="00E23E6C">
              <w:t>8</w:t>
            </w:r>
            <w:r w:rsidR="00180BC2" w:rsidRPr="00E23E6C">
              <w:t xml:space="preserve"> </w:t>
            </w:r>
            <w:r w:rsidR="00A125D9" w:rsidRPr="00E23E6C">
              <w:t>797</w:t>
            </w:r>
          </w:p>
        </w:tc>
        <w:tc>
          <w:tcPr>
            <w:tcW w:w="1630" w:type="dxa"/>
            <w:tcBorders>
              <w:top w:val="single" w:sz="4" w:space="0" w:color="auto"/>
              <w:left w:val="nil"/>
              <w:right w:val="nil"/>
            </w:tcBorders>
            <w:shd w:val="clear" w:color="auto" w:fill="auto"/>
            <w:noWrap/>
            <w:vAlign w:val="bottom"/>
            <w:hideMark/>
          </w:tcPr>
          <w:p w:rsidR="00A125D9" w:rsidRPr="00E23E6C" w:rsidRDefault="00A125D9" w:rsidP="00CA7944">
            <w:pPr>
              <w:pStyle w:val="Tabletext"/>
              <w:tabs>
                <w:tab w:val="decimal" w:pos="709"/>
              </w:tabs>
            </w:pPr>
            <w:r w:rsidRPr="00E23E6C">
              <w:t>94.1</w:t>
            </w:r>
          </w:p>
        </w:tc>
        <w:tc>
          <w:tcPr>
            <w:tcW w:w="1630" w:type="dxa"/>
            <w:tcBorders>
              <w:top w:val="single" w:sz="4" w:space="0" w:color="auto"/>
              <w:left w:val="nil"/>
              <w:right w:val="nil"/>
            </w:tcBorders>
            <w:shd w:val="clear" w:color="auto" w:fill="auto"/>
            <w:noWrap/>
            <w:vAlign w:val="bottom"/>
            <w:hideMark/>
          </w:tcPr>
          <w:p w:rsidR="00A125D9" w:rsidRPr="00E23E6C" w:rsidRDefault="00CA7944" w:rsidP="00CA7944">
            <w:pPr>
              <w:pStyle w:val="Tabletext"/>
              <w:tabs>
                <w:tab w:val="right" w:pos="907"/>
              </w:tabs>
            </w:pPr>
            <w:r>
              <w:tab/>
            </w:r>
            <w:r w:rsidR="00A125D9" w:rsidRPr="00E23E6C">
              <w:t>16</w:t>
            </w:r>
            <w:r w:rsidR="00180BC2" w:rsidRPr="00E23E6C">
              <w:t xml:space="preserve"> </w:t>
            </w:r>
            <w:r w:rsidR="00A125D9" w:rsidRPr="00E23E6C">
              <w:t>429</w:t>
            </w:r>
          </w:p>
        </w:tc>
        <w:tc>
          <w:tcPr>
            <w:tcW w:w="1630" w:type="dxa"/>
            <w:tcBorders>
              <w:top w:val="single" w:sz="4" w:space="0" w:color="auto"/>
              <w:left w:val="nil"/>
              <w:right w:val="nil"/>
            </w:tcBorders>
            <w:shd w:val="clear" w:color="auto" w:fill="auto"/>
            <w:noWrap/>
            <w:vAlign w:val="bottom"/>
            <w:hideMark/>
          </w:tcPr>
          <w:p w:rsidR="00A125D9" w:rsidRPr="00E23E6C" w:rsidRDefault="00A125D9" w:rsidP="00CA7944">
            <w:pPr>
              <w:pStyle w:val="Tabletext"/>
              <w:tabs>
                <w:tab w:val="decimal" w:pos="709"/>
              </w:tabs>
            </w:pPr>
            <w:r w:rsidRPr="00E23E6C">
              <w:t>93.1</w:t>
            </w:r>
          </w:p>
        </w:tc>
      </w:tr>
      <w:tr w:rsidR="00A125D9" w:rsidRPr="00E23E6C" w:rsidTr="00E23E6C">
        <w:trPr>
          <w:trHeight w:val="300"/>
        </w:trPr>
        <w:tc>
          <w:tcPr>
            <w:tcW w:w="2287" w:type="dxa"/>
            <w:tcBorders>
              <w:top w:val="nil"/>
              <w:left w:val="nil"/>
              <w:right w:val="nil"/>
            </w:tcBorders>
            <w:shd w:val="clear" w:color="auto" w:fill="auto"/>
            <w:noWrap/>
            <w:vAlign w:val="bottom"/>
            <w:hideMark/>
          </w:tcPr>
          <w:p w:rsidR="00A125D9" w:rsidRPr="00E23E6C" w:rsidRDefault="00A125D9" w:rsidP="00E23E6C">
            <w:pPr>
              <w:pStyle w:val="Tabletext"/>
            </w:pPr>
            <w:r w:rsidRPr="00E23E6C">
              <w:t>Received RPL</w:t>
            </w:r>
          </w:p>
        </w:tc>
        <w:tc>
          <w:tcPr>
            <w:tcW w:w="1629" w:type="dxa"/>
            <w:tcBorders>
              <w:top w:val="nil"/>
              <w:left w:val="nil"/>
              <w:right w:val="nil"/>
            </w:tcBorders>
            <w:shd w:val="clear" w:color="auto" w:fill="auto"/>
            <w:noWrap/>
            <w:vAlign w:val="bottom"/>
            <w:hideMark/>
          </w:tcPr>
          <w:p w:rsidR="00A125D9" w:rsidRPr="00E23E6C" w:rsidRDefault="00CA7944" w:rsidP="00CA7944">
            <w:pPr>
              <w:pStyle w:val="Tabletext"/>
              <w:tabs>
                <w:tab w:val="right" w:pos="879"/>
              </w:tabs>
            </w:pPr>
            <w:r>
              <w:tab/>
            </w:r>
            <w:r w:rsidR="00A125D9" w:rsidRPr="00E23E6C">
              <w:t>561</w:t>
            </w:r>
          </w:p>
        </w:tc>
        <w:tc>
          <w:tcPr>
            <w:tcW w:w="1630" w:type="dxa"/>
            <w:tcBorders>
              <w:top w:val="nil"/>
              <w:left w:val="nil"/>
              <w:right w:val="nil"/>
            </w:tcBorders>
            <w:shd w:val="clear" w:color="auto" w:fill="auto"/>
            <w:noWrap/>
            <w:vAlign w:val="bottom"/>
            <w:hideMark/>
          </w:tcPr>
          <w:p w:rsidR="00A125D9" w:rsidRPr="00E23E6C" w:rsidRDefault="00A125D9" w:rsidP="00CA7944">
            <w:pPr>
              <w:pStyle w:val="Tabletext"/>
              <w:tabs>
                <w:tab w:val="decimal" w:pos="709"/>
              </w:tabs>
            </w:pPr>
            <w:r w:rsidRPr="00E23E6C">
              <w:t>6.0</w:t>
            </w:r>
          </w:p>
        </w:tc>
        <w:tc>
          <w:tcPr>
            <w:tcW w:w="1630" w:type="dxa"/>
            <w:tcBorders>
              <w:top w:val="nil"/>
              <w:left w:val="nil"/>
              <w:right w:val="nil"/>
            </w:tcBorders>
            <w:shd w:val="clear" w:color="auto" w:fill="auto"/>
            <w:noWrap/>
            <w:vAlign w:val="bottom"/>
            <w:hideMark/>
          </w:tcPr>
          <w:p w:rsidR="00A125D9" w:rsidRPr="00E23E6C" w:rsidRDefault="00CA7944" w:rsidP="00CA7944">
            <w:pPr>
              <w:pStyle w:val="Tabletext"/>
              <w:tabs>
                <w:tab w:val="right" w:pos="907"/>
              </w:tabs>
            </w:pPr>
            <w:r>
              <w:tab/>
            </w:r>
            <w:r w:rsidR="00E3166C" w:rsidRPr="00E23E6C">
              <w:t xml:space="preserve"> </w:t>
            </w:r>
            <w:r w:rsidR="00A125D9" w:rsidRPr="00E23E6C">
              <w:t>1</w:t>
            </w:r>
            <w:r w:rsidR="00180BC2" w:rsidRPr="00E23E6C">
              <w:t xml:space="preserve"> </w:t>
            </w:r>
            <w:r w:rsidR="00A125D9" w:rsidRPr="00E23E6C">
              <w:t>218</w:t>
            </w:r>
          </w:p>
        </w:tc>
        <w:tc>
          <w:tcPr>
            <w:tcW w:w="1630" w:type="dxa"/>
            <w:tcBorders>
              <w:top w:val="nil"/>
              <w:left w:val="nil"/>
              <w:right w:val="nil"/>
            </w:tcBorders>
            <w:shd w:val="clear" w:color="auto" w:fill="auto"/>
            <w:noWrap/>
            <w:vAlign w:val="bottom"/>
            <w:hideMark/>
          </w:tcPr>
          <w:p w:rsidR="00A125D9" w:rsidRPr="00E23E6C" w:rsidRDefault="00A125D9" w:rsidP="00CA7944">
            <w:pPr>
              <w:pStyle w:val="Tabletext"/>
              <w:tabs>
                <w:tab w:val="decimal" w:pos="709"/>
              </w:tabs>
            </w:pPr>
            <w:r w:rsidRPr="00E23E6C">
              <w:t>6.9</w:t>
            </w:r>
          </w:p>
        </w:tc>
      </w:tr>
      <w:tr w:rsidR="00A125D9" w:rsidRPr="00E23E6C" w:rsidTr="00E23E6C">
        <w:trPr>
          <w:trHeight w:val="300"/>
        </w:trPr>
        <w:tc>
          <w:tcPr>
            <w:tcW w:w="2287" w:type="dxa"/>
            <w:tcBorders>
              <w:left w:val="nil"/>
              <w:bottom w:val="single" w:sz="4" w:space="0" w:color="auto"/>
              <w:right w:val="nil"/>
            </w:tcBorders>
            <w:shd w:val="clear" w:color="auto" w:fill="auto"/>
            <w:noWrap/>
            <w:vAlign w:val="bottom"/>
            <w:hideMark/>
          </w:tcPr>
          <w:p w:rsidR="00A125D9" w:rsidRPr="00E23E6C" w:rsidRDefault="00A125D9" w:rsidP="00E23E6C">
            <w:pPr>
              <w:pStyle w:val="Tabletext"/>
              <w:rPr>
                <w:b/>
              </w:rPr>
            </w:pPr>
            <w:r w:rsidRPr="00E23E6C">
              <w:rPr>
                <w:b/>
              </w:rPr>
              <w:t>Total students</w:t>
            </w:r>
          </w:p>
        </w:tc>
        <w:tc>
          <w:tcPr>
            <w:tcW w:w="1629" w:type="dxa"/>
            <w:tcBorders>
              <w:left w:val="nil"/>
              <w:bottom w:val="single" w:sz="4" w:space="0" w:color="auto"/>
              <w:right w:val="nil"/>
            </w:tcBorders>
            <w:shd w:val="clear" w:color="auto" w:fill="auto"/>
            <w:noWrap/>
            <w:vAlign w:val="bottom"/>
            <w:hideMark/>
          </w:tcPr>
          <w:p w:rsidR="00A125D9" w:rsidRPr="00E23E6C" w:rsidRDefault="00CA7944" w:rsidP="00CA7944">
            <w:pPr>
              <w:pStyle w:val="Tabletext"/>
              <w:tabs>
                <w:tab w:val="right" w:pos="879"/>
              </w:tabs>
              <w:rPr>
                <w:b/>
              </w:rPr>
            </w:pPr>
            <w:r>
              <w:rPr>
                <w:b/>
              </w:rPr>
              <w:tab/>
            </w:r>
            <w:r w:rsidR="00A125D9" w:rsidRPr="00E23E6C">
              <w:rPr>
                <w:b/>
              </w:rPr>
              <w:t>9</w:t>
            </w:r>
            <w:r w:rsidR="00180BC2" w:rsidRPr="00E23E6C">
              <w:rPr>
                <w:b/>
              </w:rPr>
              <w:t xml:space="preserve"> </w:t>
            </w:r>
            <w:r w:rsidR="00A125D9" w:rsidRPr="00E23E6C">
              <w:rPr>
                <w:b/>
              </w:rPr>
              <w:t>358</w:t>
            </w:r>
          </w:p>
        </w:tc>
        <w:tc>
          <w:tcPr>
            <w:tcW w:w="1630" w:type="dxa"/>
            <w:tcBorders>
              <w:left w:val="nil"/>
              <w:bottom w:val="single" w:sz="4" w:space="0" w:color="auto"/>
              <w:right w:val="nil"/>
            </w:tcBorders>
            <w:shd w:val="clear" w:color="auto" w:fill="auto"/>
            <w:noWrap/>
            <w:vAlign w:val="bottom"/>
            <w:hideMark/>
          </w:tcPr>
          <w:p w:rsidR="00A125D9" w:rsidRPr="0039128A" w:rsidRDefault="00A125D9" w:rsidP="00CA7944">
            <w:pPr>
              <w:pStyle w:val="Tabletext"/>
              <w:tabs>
                <w:tab w:val="decimal" w:pos="709"/>
              </w:tabs>
              <w:rPr>
                <w:b/>
              </w:rPr>
            </w:pPr>
            <w:r w:rsidRPr="0039128A">
              <w:rPr>
                <w:b/>
              </w:rPr>
              <w:t>100</w:t>
            </w:r>
            <w:r w:rsidR="00A55C29" w:rsidRPr="0039128A">
              <w:rPr>
                <w:b/>
              </w:rPr>
              <w:t>.0</w:t>
            </w:r>
          </w:p>
        </w:tc>
        <w:tc>
          <w:tcPr>
            <w:tcW w:w="1630" w:type="dxa"/>
            <w:tcBorders>
              <w:left w:val="nil"/>
              <w:bottom w:val="single" w:sz="4" w:space="0" w:color="auto"/>
              <w:right w:val="nil"/>
            </w:tcBorders>
            <w:shd w:val="clear" w:color="auto" w:fill="auto"/>
            <w:noWrap/>
            <w:vAlign w:val="bottom"/>
            <w:hideMark/>
          </w:tcPr>
          <w:p w:rsidR="00A125D9" w:rsidRPr="0039128A" w:rsidRDefault="00CA7944" w:rsidP="00CA7944">
            <w:pPr>
              <w:pStyle w:val="Tabletext"/>
              <w:tabs>
                <w:tab w:val="right" w:pos="907"/>
              </w:tabs>
              <w:rPr>
                <w:b/>
              </w:rPr>
            </w:pPr>
            <w:r w:rsidRPr="0039128A">
              <w:rPr>
                <w:b/>
              </w:rPr>
              <w:tab/>
            </w:r>
            <w:r w:rsidR="00A125D9" w:rsidRPr="0039128A">
              <w:rPr>
                <w:b/>
              </w:rPr>
              <w:t>17</w:t>
            </w:r>
            <w:r w:rsidRPr="0039128A">
              <w:rPr>
                <w:b/>
              </w:rPr>
              <w:t xml:space="preserve"> </w:t>
            </w:r>
            <w:r w:rsidR="00A125D9" w:rsidRPr="0039128A">
              <w:rPr>
                <w:b/>
              </w:rPr>
              <w:t>647</w:t>
            </w:r>
          </w:p>
        </w:tc>
        <w:tc>
          <w:tcPr>
            <w:tcW w:w="1630" w:type="dxa"/>
            <w:tcBorders>
              <w:left w:val="nil"/>
              <w:bottom w:val="single" w:sz="4" w:space="0" w:color="auto"/>
              <w:right w:val="nil"/>
            </w:tcBorders>
            <w:shd w:val="clear" w:color="auto" w:fill="auto"/>
            <w:noWrap/>
            <w:vAlign w:val="bottom"/>
            <w:hideMark/>
          </w:tcPr>
          <w:p w:rsidR="00A125D9" w:rsidRPr="0039128A" w:rsidRDefault="00A125D9" w:rsidP="00CA7944">
            <w:pPr>
              <w:pStyle w:val="Tabletext"/>
              <w:tabs>
                <w:tab w:val="decimal" w:pos="709"/>
              </w:tabs>
              <w:rPr>
                <w:b/>
              </w:rPr>
            </w:pPr>
            <w:r w:rsidRPr="0039128A">
              <w:rPr>
                <w:b/>
              </w:rPr>
              <w:t>100</w:t>
            </w:r>
            <w:r w:rsidR="00A55C29" w:rsidRPr="0039128A">
              <w:rPr>
                <w:b/>
              </w:rPr>
              <w:t>.0</w:t>
            </w:r>
          </w:p>
        </w:tc>
      </w:tr>
    </w:tbl>
    <w:p w:rsidR="001B6E23" w:rsidRPr="00E23E6C" w:rsidRDefault="001B6E23" w:rsidP="00E23E6C">
      <w:pPr>
        <w:pStyle w:val="Source"/>
      </w:pPr>
      <w:r>
        <w:t>Note</w:t>
      </w:r>
      <w:r w:rsidR="0039128A">
        <w:t>s</w:t>
      </w:r>
      <w:r>
        <w:t>:</w:t>
      </w:r>
      <w:r w:rsidR="00E23E6C">
        <w:tab/>
      </w:r>
      <w:r>
        <w:t>1</w:t>
      </w:r>
      <w:r w:rsidR="00B063A0">
        <w:t xml:space="preserve">  </w:t>
      </w:r>
      <w:r>
        <w:t xml:space="preserve"> </w:t>
      </w:r>
      <w:r w:rsidRPr="00E23E6C">
        <w:t>2010 Commencements match</w:t>
      </w:r>
      <w:r w:rsidR="0039128A">
        <w:t>ed to 2010 and 2011 completions; totals may not sum to 100 due to rounding.</w:t>
      </w:r>
    </w:p>
    <w:p w:rsidR="001C6B0E" w:rsidRDefault="00E23E6C" w:rsidP="00E23E6C">
      <w:pPr>
        <w:pStyle w:val="Source"/>
      </w:pPr>
      <w:r>
        <w:t>Source:</w:t>
      </w:r>
      <w:r>
        <w:tab/>
      </w:r>
      <w:r w:rsidR="001B6E23" w:rsidRPr="00E23E6C">
        <w:t>Nati</w:t>
      </w:r>
      <w:r w:rsidR="001B6E23">
        <w:t>onal VET P</w:t>
      </w:r>
      <w:r w:rsidR="001C6B0E">
        <w:t>rovider Collection, unpublished data</w:t>
      </w:r>
      <w:r w:rsidR="001B6E23">
        <w:t>.</w:t>
      </w:r>
    </w:p>
    <w:p w:rsidR="002D7A14" w:rsidRDefault="009639D6" w:rsidP="00CA7944">
      <w:pPr>
        <w:pStyle w:val="Textmorebefore"/>
      </w:pPr>
      <w:r>
        <w:t xml:space="preserve">If we plot the distribution of the amount of </w:t>
      </w:r>
      <w:r w:rsidR="001B6E23">
        <w:t>recognition of prior learning</w:t>
      </w:r>
      <w:r>
        <w:t xml:space="preserve"> received by students </w:t>
      </w:r>
      <w:r w:rsidR="008760F8">
        <w:t>as part of their assessment w</w:t>
      </w:r>
      <w:r>
        <w:t xml:space="preserve">e have a distribution </w:t>
      </w:r>
      <w:r w:rsidR="000D73D5">
        <w:t>with</w:t>
      </w:r>
      <w:r>
        <w:t xml:space="preserve"> two major peaks</w:t>
      </w:r>
      <w:r w:rsidR="000D73D5">
        <w:t xml:space="preserve"> (figure 1)</w:t>
      </w:r>
      <w:r>
        <w:t>.</w:t>
      </w:r>
      <w:r w:rsidR="00E3166C">
        <w:t xml:space="preserve"> </w:t>
      </w:r>
      <w:r>
        <w:t xml:space="preserve">The highest peak is for </w:t>
      </w:r>
      <w:r w:rsidR="00293F73">
        <w:t>students who receive</w:t>
      </w:r>
      <w:r w:rsidR="00C82A07">
        <w:t>d</w:t>
      </w:r>
      <w:r w:rsidR="00293F73">
        <w:t xml:space="preserve"> only </w:t>
      </w:r>
      <w:r>
        <w:t>a small percentage of t</w:t>
      </w:r>
      <w:r w:rsidR="00293F73">
        <w:t>he course (say around 4% of the course, typified by a unit or its equivalent). The next highest peak is for students who receive</w:t>
      </w:r>
      <w:r w:rsidR="00C82A07">
        <w:t>d</w:t>
      </w:r>
      <w:r w:rsidR="00293F73">
        <w:t xml:space="preserve"> recognition for the total course</w:t>
      </w:r>
      <w:r w:rsidR="00C82A07">
        <w:t>. (F</w:t>
      </w:r>
      <w:r w:rsidR="00293F73">
        <w:t>or example, this may refer to students who may have a long history of working in the industry and will have all necessary first aid certificates and the like</w:t>
      </w:r>
      <w:r w:rsidR="00C82A07">
        <w:t>.)</w:t>
      </w:r>
      <w:r w:rsidR="00405F66">
        <w:t xml:space="preserve"> The median percentage of courses recognised for the total groups was 25%. </w:t>
      </w:r>
    </w:p>
    <w:p w:rsidR="002D7A14" w:rsidRDefault="002D7A14">
      <w:pPr>
        <w:rPr>
          <w:rFonts w:ascii="Trebuchet MS" w:hAnsi="Trebuchet MS"/>
          <w:sz w:val="19"/>
          <w:szCs w:val="20"/>
          <w:lang w:eastAsia="en-US"/>
        </w:rPr>
      </w:pPr>
      <w:r>
        <w:br w:type="page"/>
      </w:r>
    </w:p>
    <w:p w:rsidR="005D6B15" w:rsidRDefault="00CA7944" w:rsidP="00CA7944">
      <w:pPr>
        <w:pStyle w:val="Figuretitle"/>
      </w:pPr>
      <w:r>
        <w:rPr>
          <w:noProof/>
          <w:lang w:eastAsia="en-AU"/>
        </w:rPr>
        <w:lastRenderedPageBreak/>
        <w:drawing>
          <wp:anchor distT="0" distB="0" distL="114300" distR="114300" simplePos="0" relativeHeight="251673600" behindDoc="0" locked="0" layoutInCell="1" allowOverlap="1">
            <wp:simplePos x="0" y="0"/>
            <wp:positionH relativeFrom="column">
              <wp:posOffset>-38735</wp:posOffset>
            </wp:positionH>
            <wp:positionV relativeFrom="paragraph">
              <wp:posOffset>326390</wp:posOffset>
            </wp:positionV>
            <wp:extent cx="5136515" cy="3760470"/>
            <wp:effectExtent l="0" t="0" r="0" b="0"/>
            <wp:wrapTopAndBottom/>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5136515" cy="3760470"/>
                    </a:xfrm>
                    <a:prstGeom prst="rect">
                      <a:avLst/>
                    </a:prstGeom>
                    <a:noFill/>
                    <a:ln w="9525">
                      <a:noFill/>
                      <a:miter lim="800000"/>
                      <a:headEnd/>
                      <a:tailEnd/>
                    </a:ln>
                  </pic:spPr>
                </pic:pic>
              </a:graphicData>
            </a:graphic>
          </wp:anchor>
        </w:drawing>
      </w:r>
      <w:bookmarkStart w:id="58" w:name="_Toc381103338"/>
      <w:r w:rsidR="001B6E23">
        <w:t>Figure</w:t>
      </w:r>
      <w:r w:rsidR="00854FD5">
        <w:t xml:space="preserve"> </w:t>
      </w:r>
      <w:r w:rsidR="001B6E23">
        <w:t>1</w:t>
      </w:r>
      <w:r>
        <w:tab/>
      </w:r>
      <w:r w:rsidR="00293F73" w:rsidRPr="00AD184D">
        <w:t>Distribution of percentage of course gained through RPL for Certificate III in Aged Care students</w:t>
      </w:r>
      <w:bookmarkEnd w:id="58"/>
      <w:r w:rsidR="00293F73" w:rsidRPr="00AD184D">
        <w:t xml:space="preserve"> </w:t>
      </w:r>
    </w:p>
    <w:p w:rsidR="00CB06C2" w:rsidRDefault="00CB06C2" w:rsidP="00CA7944">
      <w:pPr>
        <w:pStyle w:val="Source"/>
      </w:pPr>
      <w:r>
        <w:t>Source:</w:t>
      </w:r>
      <w:r w:rsidR="00CA7944">
        <w:tab/>
      </w:r>
      <w:r>
        <w:t>National VET Provider Collection</w:t>
      </w:r>
      <w:r w:rsidR="004B7135">
        <w:t>.</w:t>
      </w:r>
    </w:p>
    <w:p w:rsidR="002D7A14" w:rsidRDefault="00293F73" w:rsidP="00CA7944">
      <w:pPr>
        <w:pStyle w:val="Textmorebefore"/>
        <w:rPr>
          <w:rStyle w:val="TextChar"/>
        </w:rPr>
      </w:pPr>
      <w:r>
        <w:rPr>
          <w:rStyle w:val="TextChar"/>
        </w:rPr>
        <w:t xml:space="preserve">In </w:t>
      </w:r>
      <w:r w:rsidR="004B7135">
        <w:rPr>
          <w:rStyle w:val="TextChar"/>
        </w:rPr>
        <w:t xml:space="preserve">business services </w:t>
      </w:r>
      <w:r w:rsidR="00E01C5B">
        <w:rPr>
          <w:rStyle w:val="TextChar"/>
        </w:rPr>
        <w:t xml:space="preserve">students </w:t>
      </w:r>
      <w:r w:rsidR="00CB06C2">
        <w:rPr>
          <w:rStyle w:val="TextChar"/>
        </w:rPr>
        <w:t xml:space="preserve">are receiving </w:t>
      </w:r>
      <w:r w:rsidR="002D7A14">
        <w:rPr>
          <w:rStyle w:val="TextChar"/>
        </w:rPr>
        <w:t xml:space="preserve">recognition for </w:t>
      </w:r>
      <w:r w:rsidR="00E01C5B">
        <w:rPr>
          <w:rStyle w:val="TextChar"/>
        </w:rPr>
        <w:t xml:space="preserve">a greater </w:t>
      </w:r>
      <w:r w:rsidR="002D7A14">
        <w:rPr>
          <w:rStyle w:val="TextChar"/>
        </w:rPr>
        <w:t>percentage of</w:t>
      </w:r>
      <w:r w:rsidR="00E01C5B">
        <w:rPr>
          <w:rStyle w:val="TextChar"/>
        </w:rPr>
        <w:t xml:space="preserve"> their courses</w:t>
      </w:r>
      <w:r w:rsidR="002D7A14">
        <w:rPr>
          <w:rStyle w:val="TextChar"/>
        </w:rPr>
        <w:t xml:space="preserve"> than are aged care students</w:t>
      </w:r>
      <w:r w:rsidR="00AD184D">
        <w:rPr>
          <w:rStyle w:val="TextChar"/>
        </w:rPr>
        <w:t>. This is r</w:t>
      </w:r>
      <w:r w:rsidR="004B7135">
        <w:rPr>
          <w:rStyle w:val="TextChar"/>
        </w:rPr>
        <w:t>eflected in the following multi-</w:t>
      </w:r>
      <w:r w:rsidR="00AD184D">
        <w:rPr>
          <w:rStyle w:val="TextChar"/>
        </w:rPr>
        <w:t>modal distribution</w:t>
      </w:r>
      <w:r w:rsidR="00C82A07">
        <w:rPr>
          <w:rStyle w:val="TextChar"/>
        </w:rPr>
        <w:t xml:space="preserve"> (figure 2)</w:t>
      </w:r>
      <w:r w:rsidR="004B7135">
        <w:rPr>
          <w:rStyle w:val="TextChar"/>
        </w:rPr>
        <w:t>,</w:t>
      </w:r>
      <w:r w:rsidR="00AD184D">
        <w:rPr>
          <w:rStyle w:val="TextChar"/>
        </w:rPr>
        <w:t xml:space="preserve"> which has a number of peaks</w:t>
      </w:r>
      <w:r w:rsidR="00E01C5B">
        <w:rPr>
          <w:rStyle w:val="TextChar"/>
        </w:rPr>
        <w:t xml:space="preserve">. </w:t>
      </w:r>
      <w:r w:rsidR="00AD184D">
        <w:rPr>
          <w:rStyle w:val="TextChar"/>
        </w:rPr>
        <w:t>T</w:t>
      </w:r>
      <w:r w:rsidR="00E01C5B">
        <w:rPr>
          <w:rStyle w:val="TextChar"/>
        </w:rPr>
        <w:t xml:space="preserve">he highest peak </w:t>
      </w:r>
      <w:r w:rsidR="00AD184D">
        <w:rPr>
          <w:rStyle w:val="TextChar"/>
        </w:rPr>
        <w:t>refers to students who obtain recognition for a</w:t>
      </w:r>
      <w:r w:rsidR="00E01C5B">
        <w:rPr>
          <w:rStyle w:val="TextChar"/>
        </w:rPr>
        <w:t>round 3% of th</w:t>
      </w:r>
      <w:r w:rsidR="00AD184D">
        <w:rPr>
          <w:rStyle w:val="TextChar"/>
        </w:rPr>
        <w:t>eir</w:t>
      </w:r>
      <w:r w:rsidR="003C3A0E">
        <w:rPr>
          <w:rStyle w:val="TextChar"/>
        </w:rPr>
        <w:t xml:space="preserve"> course (may refer to a unit or parts of a unit)</w:t>
      </w:r>
      <w:r w:rsidR="002D7A14">
        <w:rPr>
          <w:rStyle w:val="TextChar"/>
        </w:rPr>
        <w:t>;</w:t>
      </w:r>
      <w:r w:rsidR="00E01C5B">
        <w:rPr>
          <w:rStyle w:val="TextChar"/>
        </w:rPr>
        <w:t xml:space="preserve"> the next highest peak </w:t>
      </w:r>
      <w:r w:rsidR="00AD184D">
        <w:rPr>
          <w:rStyle w:val="TextChar"/>
        </w:rPr>
        <w:t>refers to students who g</w:t>
      </w:r>
      <w:r w:rsidR="004B7135">
        <w:rPr>
          <w:rStyle w:val="TextChar"/>
        </w:rPr>
        <w:t>ain</w:t>
      </w:r>
      <w:r w:rsidR="00AD184D">
        <w:rPr>
          <w:rStyle w:val="TextChar"/>
        </w:rPr>
        <w:t xml:space="preserve"> recognition for 100% of their course. </w:t>
      </w:r>
      <w:r w:rsidR="00405F66">
        <w:rPr>
          <w:rStyle w:val="TextChar"/>
        </w:rPr>
        <w:t xml:space="preserve">The median amount of recognition for </w:t>
      </w:r>
      <w:r w:rsidR="00C93C43">
        <w:rPr>
          <w:rStyle w:val="TextChar"/>
        </w:rPr>
        <w:t xml:space="preserve">business </w:t>
      </w:r>
      <w:r w:rsidR="00405F66">
        <w:rPr>
          <w:rStyle w:val="TextChar"/>
        </w:rPr>
        <w:t xml:space="preserve">courses was </w:t>
      </w:r>
      <w:r w:rsidR="00C93C43">
        <w:rPr>
          <w:rStyle w:val="TextChar"/>
        </w:rPr>
        <w:t xml:space="preserve">25%. </w:t>
      </w:r>
    </w:p>
    <w:p w:rsidR="00D600D0" w:rsidRDefault="00D600D0" w:rsidP="00D600D0">
      <w:pPr>
        <w:pStyle w:val="Text"/>
      </w:pPr>
      <w:r w:rsidRPr="00D600D0">
        <w:t xml:space="preserve">Conversations with trainers and assessors confirm such findings and indicate the low importance placed on recognition for certificate III levels across the three programs. Across </w:t>
      </w:r>
      <w:r w:rsidR="00BD7173">
        <w:t xml:space="preserve">the </w:t>
      </w:r>
      <w:r w:rsidRPr="00D600D0">
        <w:t xml:space="preserve">aged care, electrical, and business sectors, providers indicated that recognition of prior learning was </w:t>
      </w:r>
      <w:r>
        <w:t xml:space="preserve">more important at the higher-level qualifications and </w:t>
      </w:r>
      <w:r w:rsidR="00BD7173">
        <w:t xml:space="preserve">then </w:t>
      </w:r>
      <w:r>
        <w:t>only for students with substantial current or past</w:t>
      </w:r>
      <w:r w:rsidR="00BD7173">
        <w:t> </w:t>
      </w:r>
      <w:r>
        <w:t xml:space="preserve">experience. </w:t>
      </w:r>
    </w:p>
    <w:p w:rsidR="00D600D0" w:rsidRDefault="00D600D0" w:rsidP="00D600D0">
      <w:pPr>
        <w:pStyle w:val="Text"/>
      </w:pPr>
      <w:r>
        <w:t xml:space="preserve">In some cases it was common for existing workers to receive recognition for occupational health and safety and first aid. In the community services and health sector recognition was not a significant part of certificate III aged care programs, especially as these programs often attracted migrants with little applicable experience. In the case of aged care workers who were currently working in the sector, the situation was felt to be different. Here some institutions were prepared to grant recognition for first aid and relevant work experience. Amongst study participants, recognition was not given for students taking courses in enrolled nursing in areas such as medical dispensing and other practical activities, perhaps reflecting a higher level of risk. </w:t>
      </w:r>
    </w:p>
    <w:p w:rsidR="005B6BD8" w:rsidRDefault="002D7A14" w:rsidP="005B6BD8">
      <w:pPr>
        <w:pStyle w:val="Figuretitle"/>
        <w:rPr>
          <w:rStyle w:val="TextChar"/>
        </w:rPr>
      </w:pPr>
      <w:r>
        <w:rPr>
          <w:rStyle w:val="TextChar"/>
        </w:rPr>
        <w:br w:type="page"/>
      </w:r>
    </w:p>
    <w:p w:rsidR="00AD184D" w:rsidRDefault="00CA7944" w:rsidP="00CA7944">
      <w:pPr>
        <w:pStyle w:val="Figuretitle"/>
        <w:rPr>
          <w:rStyle w:val="TextChar"/>
          <w:rFonts w:ascii="Tahoma" w:hAnsi="Tahoma"/>
          <w:sz w:val="17"/>
        </w:rPr>
      </w:pPr>
      <w:r>
        <w:rPr>
          <w:noProof/>
          <w:lang w:eastAsia="en-AU"/>
        </w:rPr>
        <w:lastRenderedPageBreak/>
        <w:drawing>
          <wp:anchor distT="0" distB="0" distL="114300" distR="114300" simplePos="0" relativeHeight="251674624" behindDoc="0" locked="0" layoutInCell="1" allowOverlap="1">
            <wp:simplePos x="0" y="0"/>
            <wp:positionH relativeFrom="column">
              <wp:posOffset>-50165</wp:posOffset>
            </wp:positionH>
            <wp:positionV relativeFrom="paragraph">
              <wp:posOffset>183515</wp:posOffset>
            </wp:positionV>
            <wp:extent cx="5136515" cy="3760470"/>
            <wp:effectExtent l="0" t="0" r="0" b="0"/>
            <wp:wrapTopAndBottom/>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5136515" cy="3760470"/>
                    </a:xfrm>
                    <a:prstGeom prst="rect">
                      <a:avLst/>
                    </a:prstGeom>
                    <a:noFill/>
                    <a:ln w="9525">
                      <a:noFill/>
                      <a:miter lim="800000"/>
                      <a:headEnd/>
                      <a:tailEnd/>
                    </a:ln>
                  </pic:spPr>
                </pic:pic>
              </a:graphicData>
            </a:graphic>
          </wp:anchor>
        </w:drawing>
      </w:r>
      <w:bookmarkStart w:id="59" w:name="_Toc381103339"/>
      <w:r w:rsidR="004B7135">
        <w:t>Figure 2</w:t>
      </w:r>
      <w:r>
        <w:tab/>
      </w:r>
      <w:r w:rsidR="005B6BD8">
        <w:t>Distribution of percentage of course gained through RPL for Certificate III in Business</w:t>
      </w:r>
      <w:bookmarkEnd w:id="59"/>
      <w:r w:rsidR="00AD184D" w:rsidRPr="005B6BD8">
        <w:rPr>
          <w:rStyle w:val="TextChar"/>
          <w:rFonts w:ascii="Tahoma" w:hAnsi="Tahoma"/>
          <w:sz w:val="17"/>
        </w:rPr>
        <w:t xml:space="preserve"> </w:t>
      </w:r>
    </w:p>
    <w:p w:rsidR="00293F73" w:rsidRPr="00EC5C6D" w:rsidRDefault="00CB06C2" w:rsidP="00CA7944">
      <w:pPr>
        <w:pStyle w:val="Source"/>
        <w:rPr>
          <w:rStyle w:val="TextChar"/>
          <w:rFonts w:ascii="Arial" w:hAnsi="Arial"/>
          <w:sz w:val="15"/>
        </w:rPr>
      </w:pPr>
      <w:r w:rsidRPr="00EC5C6D">
        <w:rPr>
          <w:rStyle w:val="TextChar"/>
          <w:rFonts w:ascii="Arial" w:hAnsi="Arial"/>
          <w:sz w:val="15"/>
        </w:rPr>
        <w:t>Source</w:t>
      </w:r>
      <w:r w:rsidR="00CA7944">
        <w:rPr>
          <w:rStyle w:val="TextChar"/>
          <w:rFonts w:ascii="Arial" w:hAnsi="Arial"/>
          <w:sz w:val="15"/>
        </w:rPr>
        <w:t>:</w:t>
      </w:r>
      <w:r w:rsidR="00CA7944">
        <w:rPr>
          <w:rStyle w:val="TextChar"/>
          <w:rFonts w:ascii="Arial" w:hAnsi="Arial"/>
          <w:sz w:val="15"/>
        </w:rPr>
        <w:tab/>
      </w:r>
      <w:r w:rsidRPr="00EC5C6D">
        <w:rPr>
          <w:rStyle w:val="TextChar"/>
          <w:rFonts w:ascii="Arial" w:hAnsi="Arial"/>
          <w:sz w:val="15"/>
        </w:rPr>
        <w:t>National VET Provider Collection</w:t>
      </w:r>
      <w:r w:rsidR="004B7135">
        <w:rPr>
          <w:rStyle w:val="TextChar"/>
          <w:rFonts w:ascii="Arial" w:hAnsi="Arial"/>
          <w:sz w:val="15"/>
        </w:rPr>
        <w:t>.</w:t>
      </w:r>
    </w:p>
    <w:p w:rsidR="00EA6EBC" w:rsidRDefault="004B7135" w:rsidP="00D600D0">
      <w:pPr>
        <w:pStyle w:val="Textmorebefore"/>
      </w:pPr>
      <w:r>
        <w:t>Recognition of prior learning</w:t>
      </w:r>
      <w:r w:rsidR="00796BEF">
        <w:t xml:space="preserve"> was not a significant part of programs for entry-level </w:t>
      </w:r>
      <w:r w:rsidR="00C93C43">
        <w:t xml:space="preserve">electrical </w:t>
      </w:r>
      <w:r>
        <w:t>trades</w:t>
      </w:r>
      <w:r w:rsidR="00C93C43">
        <w:t xml:space="preserve"> </w:t>
      </w:r>
      <w:r w:rsidR="00796BEF">
        <w:t>apprentices</w:t>
      </w:r>
      <w:r w:rsidR="00106FBE">
        <w:t xml:space="preserve">. An exception was often made for ex-navy candidates </w:t>
      </w:r>
      <w:r>
        <w:t>with</w:t>
      </w:r>
      <w:r w:rsidR="00106FBE">
        <w:t xml:space="preserve"> considerable and substantial experience in the communications sector. These are generally successful candidates for </w:t>
      </w:r>
      <w:r>
        <w:t>recognition of prior learning</w:t>
      </w:r>
      <w:r w:rsidR="00106FBE">
        <w:t>.</w:t>
      </w:r>
      <w:r w:rsidR="00796BEF">
        <w:t xml:space="preserve"> </w:t>
      </w:r>
      <w:r w:rsidR="00106FBE">
        <w:t>RPL</w:t>
      </w:r>
      <w:r w:rsidR="00EA6EBC">
        <w:t xml:space="preserve"> was often requested from overseas </w:t>
      </w:r>
      <w:r w:rsidR="00106FBE">
        <w:t xml:space="preserve">migrants </w:t>
      </w:r>
      <w:r>
        <w:t xml:space="preserve">hoping to work in the </w:t>
      </w:r>
      <w:r w:rsidR="00286743">
        <w:t>electrical industry. They</w:t>
      </w:r>
      <w:r>
        <w:t xml:space="preserve"> </w:t>
      </w:r>
      <w:r w:rsidR="00EA6EBC">
        <w:t xml:space="preserve">were generally referred </w:t>
      </w:r>
      <w:r w:rsidR="00106FBE">
        <w:t xml:space="preserve">on </w:t>
      </w:r>
      <w:r w:rsidR="00EA6EBC">
        <w:t xml:space="preserve">to </w:t>
      </w:r>
      <w:r w:rsidR="00106FBE">
        <w:t xml:space="preserve">organisations like </w:t>
      </w:r>
      <w:r w:rsidR="00EA6EBC">
        <w:t>Tra</w:t>
      </w:r>
      <w:r w:rsidR="00106FBE">
        <w:t>de</w:t>
      </w:r>
      <w:r w:rsidR="0022221E">
        <w:t>s</w:t>
      </w:r>
      <w:r w:rsidR="00106FBE">
        <w:t xml:space="preserve"> Recognition Australia or VET</w:t>
      </w:r>
      <w:r w:rsidR="00EA6EBC">
        <w:t>A</w:t>
      </w:r>
      <w:r w:rsidR="00106FBE">
        <w:t>SESS</w:t>
      </w:r>
      <w:r>
        <w:t xml:space="preserve"> (Vocational Education Training Assessment Services</w:t>
      </w:r>
      <w:r w:rsidR="006048F6">
        <w:t>)</w:t>
      </w:r>
      <w:r w:rsidR="00EA6EBC">
        <w:t xml:space="preserve">. </w:t>
      </w:r>
      <w:r w:rsidR="00106FBE">
        <w:t>U</w:t>
      </w:r>
      <w:r w:rsidR="00EA6EBC">
        <w:t xml:space="preserve">nless candidates came from countries </w:t>
      </w:r>
      <w:r w:rsidR="00BD7173">
        <w:t>that had</w:t>
      </w:r>
      <w:r w:rsidR="00EA6EBC">
        <w:t xml:space="preserve"> similar </w:t>
      </w:r>
      <w:r w:rsidR="00106FBE">
        <w:t xml:space="preserve">electrical </w:t>
      </w:r>
      <w:r w:rsidR="00EA6EBC">
        <w:t>standards to th</w:t>
      </w:r>
      <w:r w:rsidR="00BD7173">
        <w:t>os</w:t>
      </w:r>
      <w:r w:rsidR="00EA6EBC">
        <w:t>e</w:t>
      </w:r>
      <w:r w:rsidR="00BD7173">
        <w:t xml:space="preserve"> of</w:t>
      </w:r>
      <w:r w:rsidR="00EA6EBC">
        <w:t xml:space="preserve"> Australia (including Unite</w:t>
      </w:r>
      <w:r w:rsidR="006048F6">
        <w:t>d Kingdom, New Zealand, Ireland</w:t>
      </w:r>
      <w:r w:rsidR="00EA6EBC">
        <w:t xml:space="preserve"> or South Africa)</w:t>
      </w:r>
      <w:r w:rsidR="006048F6">
        <w:t>,</w:t>
      </w:r>
      <w:r w:rsidR="00EA6EBC">
        <w:t xml:space="preserve"> it was difficult for </w:t>
      </w:r>
      <w:r w:rsidR="00BD7173">
        <w:t>candidates</w:t>
      </w:r>
      <w:r w:rsidR="00EA6EBC">
        <w:t xml:space="preserve"> from other countries to have their prior experience formall</w:t>
      </w:r>
      <w:r w:rsidR="00CB6445">
        <w:t xml:space="preserve">y recognised. </w:t>
      </w:r>
    </w:p>
    <w:p w:rsidR="001D58C0" w:rsidRDefault="003C3A0E" w:rsidP="00796BEF">
      <w:pPr>
        <w:pStyle w:val="Text"/>
      </w:pPr>
      <w:r>
        <w:t>In business programs</w:t>
      </w:r>
      <w:r w:rsidR="00BD7173">
        <w:t>,</w:t>
      </w:r>
      <w:r>
        <w:t xml:space="preserve"> where </w:t>
      </w:r>
      <w:r w:rsidR="001D58C0">
        <w:t xml:space="preserve">RPL was </w:t>
      </w:r>
      <w:r>
        <w:t xml:space="preserve">considered to be a more </w:t>
      </w:r>
      <w:r w:rsidR="001D58C0">
        <w:t>important component</w:t>
      </w:r>
      <w:r w:rsidR="006048F6">
        <w:t>,</w:t>
      </w:r>
      <w:r w:rsidR="001D58C0">
        <w:t xml:space="preserve"> </w:t>
      </w:r>
      <w:r>
        <w:t xml:space="preserve">especially for </w:t>
      </w:r>
      <w:r w:rsidR="006048F6">
        <w:t>higher-</w:t>
      </w:r>
      <w:r w:rsidR="001D58C0">
        <w:t>level</w:t>
      </w:r>
      <w:r>
        <w:t xml:space="preserve"> qualifications, this did not translate in</w:t>
      </w:r>
      <w:r w:rsidR="006048F6">
        <w:t>to a significantly</w:t>
      </w:r>
      <w:r>
        <w:t xml:space="preserve"> </w:t>
      </w:r>
      <w:r w:rsidR="009E3A2B">
        <w:t xml:space="preserve">higher student uptake. </w:t>
      </w:r>
      <w:r w:rsidR="001D58C0">
        <w:t>Even at M</w:t>
      </w:r>
      <w:r w:rsidR="008760F8">
        <w:t xml:space="preserve">asters of </w:t>
      </w:r>
      <w:r w:rsidR="001D58C0">
        <w:t>B</w:t>
      </w:r>
      <w:r w:rsidR="008760F8">
        <w:t xml:space="preserve">usiness </w:t>
      </w:r>
      <w:r w:rsidR="001D58C0">
        <w:t>A</w:t>
      </w:r>
      <w:r w:rsidR="008760F8">
        <w:t>dministration (MBA)</w:t>
      </w:r>
      <w:r w:rsidR="001D58C0">
        <w:t xml:space="preserve"> levels</w:t>
      </w:r>
      <w:r w:rsidR="00BD7173">
        <w:t>,</w:t>
      </w:r>
      <w:r w:rsidR="001D58C0">
        <w:t xml:space="preserve"> where RPL is encouraged for </w:t>
      </w:r>
      <w:r w:rsidR="00106FBE">
        <w:t xml:space="preserve">units like </w:t>
      </w:r>
      <w:r w:rsidR="006048F6">
        <w:t>occupational health and safety, customer services, sales leadership and teamwork</w:t>
      </w:r>
      <w:r w:rsidR="00286743">
        <w:t>,</w:t>
      </w:r>
      <w:r w:rsidR="001D58C0">
        <w:t xml:space="preserve"> there were low levels of uptake. </w:t>
      </w:r>
      <w:r w:rsidR="008760F8">
        <w:t xml:space="preserve">This was reported as being due to </w:t>
      </w:r>
      <w:r w:rsidR="006048F6">
        <w:t>many mature-</w:t>
      </w:r>
      <w:r w:rsidR="001D58C0">
        <w:t>age</w:t>
      </w:r>
      <w:r w:rsidR="006048F6">
        <w:t>d</w:t>
      </w:r>
      <w:r w:rsidR="001D58C0">
        <w:t xml:space="preserve"> students want</w:t>
      </w:r>
      <w:r w:rsidR="008760F8">
        <w:t>ing</w:t>
      </w:r>
      <w:r w:rsidR="001D58C0">
        <w:t xml:space="preserve"> to do their programs from </w:t>
      </w:r>
      <w:r w:rsidR="00D52B39">
        <w:t>‘</w:t>
      </w:r>
      <w:r w:rsidR="001D58C0">
        <w:t>scratch</w:t>
      </w:r>
      <w:r w:rsidR="00D52B39">
        <w:t>’</w:t>
      </w:r>
      <w:r w:rsidR="001D58C0">
        <w:t>. In addition</w:t>
      </w:r>
      <w:r w:rsidR="006048F6">
        <w:t>,</w:t>
      </w:r>
      <w:r w:rsidR="001D58C0">
        <w:t xml:space="preserve"> the lack of a direct matching </w:t>
      </w:r>
      <w:r w:rsidR="006048F6">
        <w:t>between</w:t>
      </w:r>
      <w:r w:rsidR="001D58C0">
        <w:t xml:space="preserve"> </w:t>
      </w:r>
      <w:r w:rsidR="00BD7173">
        <w:t xml:space="preserve">the </w:t>
      </w:r>
      <w:r w:rsidR="001D58C0">
        <w:t xml:space="preserve">relevant content </w:t>
      </w:r>
      <w:r w:rsidR="006048F6">
        <w:t>and the</w:t>
      </w:r>
      <w:r w:rsidR="001D58C0">
        <w:t xml:space="preserve"> required </w:t>
      </w:r>
      <w:r w:rsidR="006048F6">
        <w:t xml:space="preserve">units of competency </w:t>
      </w:r>
      <w:r w:rsidR="001D58C0">
        <w:t xml:space="preserve">often precluded people from gaining </w:t>
      </w:r>
      <w:r w:rsidR="006048F6">
        <w:t>recognition</w:t>
      </w:r>
      <w:r w:rsidR="001D58C0">
        <w:t xml:space="preserve">. In business programs, </w:t>
      </w:r>
      <w:r w:rsidR="00405DFE">
        <w:t xml:space="preserve">for example, </w:t>
      </w:r>
      <w:r w:rsidR="001D58C0">
        <w:t xml:space="preserve">requests for </w:t>
      </w:r>
      <w:r w:rsidR="00286743">
        <w:t>recognition</w:t>
      </w:r>
      <w:r w:rsidR="001D58C0">
        <w:t xml:space="preserve"> in contract law would not be given to those who had only worked in the area of family law. Practising accountants would not be awarded </w:t>
      </w:r>
      <w:r w:rsidR="006048F6">
        <w:t>recognition</w:t>
      </w:r>
      <w:r w:rsidR="001D58C0">
        <w:t xml:space="preserve"> for taxation topics if they had </w:t>
      </w:r>
      <w:r w:rsidR="00286743">
        <w:t>no</w:t>
      </w:r>
      <w:r w:rsidR="001D58C0">
        <w:t xml:space="preserve"> relevant taxation experience. </w:t>
      </w:r>
      <w:r w:rsidR="003C4074" w:rsidRPr="003C4074">
        <w:t>One registered training organisation claimed that the substantial time, effort and cost of conducting recognition of prior learning assessments for higher qualifications w</w:t>
      </w:r>
      <w:r w:rsidR="00BD7173">
        <w:t>as</w:t>
      </w:r>
      <w:r w:rsidR="003C4074" w:rsidRPr="003C4074">
        <w:t xml:space="preserve"> not warranted.</w:t>
      </w:r>
    </w:p>
    <w:p w:rsidR="00AB0B56" w:rsidRDefault="00AB0B56" w:rsidP="00AB0B56">
      <w:pPr>
        <w:pStyle w:val="Heading2"/>
      </w:pPr>
      <w:bookmarkStart w:id="60" w:name="_Toc381103187"/>
      <w:r>
        <w:lastRenderedPageBreak/>
        <w:t xml:space="preserve">Have providers streamlined their </w:t>
      </w:r>
      <w:r w:rsidR="006048F6">
        <w:t>recognition</w:t>
      </w:r>
      <w:r>
        <w:t xml:space="preserve"> processes?</w:t>
      </w:r>
      <w:bookmarkEnd w:id="60"/>
    </w:p>
    <w:p w:rsidR="009E3A2B" w:rsidRDefault="009E3A2B" w:rsidP="009E3A2B">
      <w:pPr>
        <w:pStyle w:val="Text"/>
      </w:pPr>
      <w:r>
        <w:t xml:space="preserve">Despite the low student uptake of </w:t>
      </w:r>
      <w:r w:rsidR="006048F6">
        <w:t>recognition of prior learning</w:t>
      </w:r>
      <w:r>
        <w:t xml:space="preserve"> </w:t>
      </w:r>
      <w:r w:rsidR="00286743">
        <w:t xml:space="preserve">options </w:t>
      </w:r>
      <w:r>
        <w:t xml:space="preserve">and the low priority placed on </w:t>
      </w:r>
      <w:r w:rsidR="006048F6">
        <w:t xml:space="preserve">it </w:t>
      </w:r>
      <w:r>
        <w:t>by providers</w:t>
      </w:r>
      <w:r w:rsidR="006048F6">
        <w:t xml:space="preserve"> (especially at c</w:t>
      </w:r>
      <w:r>
        <w:t>ertificate III levels)</w:t>
      </w:r>
      <w:r w:rsidR="006048F6">
        <w:t>,</w:t>
      </w:r>
      <w:r>
        <w:t xml:space="preserve"> all providers had systematic processes in place to inform students of their rights to request </w:t>
      </w:r>
      <w:r w:rsidR="006048F6">
        <w:t>recognition</w:t>
      </w:r>
      <w:r>
        <w:t xml:space="preserve">. All </w:t>
      </w:r>
      <w:r w:rsidR="003F756A">
        <w:t>registered training organisation</w:t>
      </w:r>
      <w:r>
        <w:t xml:space="preserve">s offered RPL to students on or prior to enrolment, either </w:t>
      </w:r>
      <w:r w:rsidR="00106FBE">
        <w:t>via</w:t>
      </w:r>
      <w:r>
        <w:t xml:space="preserve"> websites and or </w:t>
      </w:r>
      <w:r w:rsidR="006048F6">
        <w:t>through</w:t>
      </w:r>
      <w:r>
        <w:t xml:space="preserve"> information kits and guidelines. </w:t>
      </w:r>
      <w:r w:rsidR="00106FBE">
        <w:t>T</w:t>
      </w:r>
      <w:r>
        <w:t xml:space="preserve">he active encouragement of RPL was reported </w:t>
      </w:r>
      <w:r w:rsidR="008760F8">
        <w:t xml:space="preserve">only </w:t>
      </w:r>
      <w:r>
        <w:t xml:space="preserve">for those </w:t>
      </w:r>
      <w:r w:rsidR="003F756A">
        <w:t>registered training organisation</w:t>
      </w:r>
      <w:r>
        <w:t xml:space="preserve">s who had this as a key objective in their </w:t>
      </w:r>
      <w:r w:rsidR="008760F8">
        <w:t>business strategies</w:t>
      </w:r>
      <w:r>
        <w:t xml:space="preserve">. </w:t>
      </w:r>
    </w:p>
    <w:p w:rsidR="009E3A2B" w:rsidRDefault="00B331A9" w:rsidP="009E3A2B">
      <w:pPr>
        <w:pStyle w:val="Text"/>
      </w:pPr>
      <w:r>
        <w:t xml:space="preserve">There is clearly a greater apprehension of risk in relation to </w:t>
      </w:r>
      <w:r w:rsidR="006048F6">
        <w:t>recognition of prior learning</w:t>
      </w:r>
      <w:r>
        <w:t xml:space="preserve">. </w:t>
      </w:r>
      <w:r w:rsidR="009E3A2B">
        <w:t xml:space="preserve">RPL assessments were mainly </w:t>
      </w:r>
      <w:r w:rsidR="00106FBE">
        <w:t>conducted</w:t>
      </w:r>
      <w:r w:rsidR="009E3A2B">
        <w:t xml:space="preserve"> by trainers and assessors, or lead assessors. In about a third of cases these were </w:t>
      </w:r>
      <w:r w:rsidR="00106FBE">
        <w:t>conducted</w:t>
      </w:r>
      <w:r w:rsidR="009E3A2B">
        <w:t xml:space="preserve"> by department heads and program coordinators. About a third of the providers also reported that they used specialist RPL teams or trainers who had undergone</w:t>
      </w:r>
      <w:r w:rsidR="00506B2A">
        <w:t xml:space="preserve"> specific</w:t>
      </w:r>
      <w:r w:rsidR="009E3A2B">
        <w:t xml:space="preserve"> training</w:t>
      </w:r>
      <w:r w:rsidR="00506B2A">
        <w:t xml:space="preserve"> in the area</w:t>
      </w:r>
      <w:r w:rsidR="009E3A2B">
        <w:t xml:space="preserve">. </w:t>
      </w:r>
    </w:p>
    <w:p w:rsidR="00AF620A" w:rsidRDefault="00AB0B56" w:rsidP="00AB0B56">
      <w:pPr>
        <w:pStyle w:val="Text"/>
      </w:pPr>
      <w:r>
        <w:t xml:space="preserve">To find out whether providers had implemented a streamlined approach to </w:t>
      </w:r>
      <w:r w:rsidR="00506B2A">
        <w:t>the recognition of prior learning</w:t>
      </w:r>
      <w:r w:rsidR="00BD7173">
        <w:t>,</w:t>
      </w:r>
      <w:r>
        <w:t xml:space="preserve"> as encouraged by </w:t>
      </w:r>
      <w:r w:rsidR="00506B2A">
        <w:t>the Council of Australian Governments</w:t>
      </w:r>
      <w:r>
        <w:t xml:space="preserve"> in 2008, providers were asked to estimate how long it would take them to conduct an assessment</w:t>
      </w:r>
      <w:r w:rsidR="00C1494C">
        <w:t xml:space="preserve"> for recognition</w:t>
      </w:r>
      <w:r>
        <w:t xml:space="preserve">. </w:t>
      </w:r>
      <w:r w:rsidR="008477AB">
        <w:t xml:space="preserve">Getting answers proved problematic since some providers had not undertaken enough recognition assessments to enable them to comment, while other providers </w:t>
      </w:r>
      <w:r w:rsidRPr="008477AB">
        <w:t xml:space="preserve">qualified their answers according to the amount of RPL that </w:t>
      </w:r>
      <w:r w:rsidR="008477AB" w:rsidRPr="008477AB">
        <w:t>had been</w:t>
      </w:r>
      <w:r w:rsidRPr="008477AB">
        <w:t xml:space="preserve"> requested and the amount of evidence required. </w:t>
      </w:r>
      <w:r>
        <w:t xml:space="preserve">RPL assessments were </w:t>
      </w:r>
      <w:r w:rsidR="00106FBE">
        <w:t xml:space="preserve">reported as </w:t>
      </w:r>
      <w:r>
        <w:t xml:space="preserve">either </w:t>
      </w:r>
      <w:r w:rsidR="00106FBE">
        <w:t xml:space="preserve">taking minimal time to complete or taking a </w:t>
      </w:r>
      <w:r w:rsidR="001E1AED">
        <w:t xml:space="preserve">great deal </w:t>
      </w:r>
      <w:r w:rsidR="00106FBE">
        <w:t xml:space="preserve">of time to complete. </w:t>
      </w:r>
      <w:r>
        <w:t>Quick assessments were completed when there was little or no validated experience</w:t>
      </w:r>
      <w:r w:rsidR="00106FBE">
        <w:t xml:space="preserve"> to take into account</w:t>
      </w:r>
      <w:r w:rsidR="002441B3">
        <w:t>,</w:t>
      </w:r>
      <w:r w:rsidR="00106FBE">
        <w:t xml:space="preserve"> which meant that </w:t>
      </w:r>
      <w:r>
        <w:t xml:space="preserve">no </w:t>
      </w:r>
      <w:r w:rsidR="002441B3">
        <w:t>recognition</w:t>
      </w:r>
      <w:r>
        <w:t xml:space="preserve"> was awarded. </w:t>
      </w:r>
      <w:r w:rsidR="00106FBE">
        <w:t xml:space="preserve">Those </w:t>
      </w:r>
      <w:r w:rsidR="002441B3">
        <w:t>that</w:t>
      </w:r>
      <w:r w:rsidR="00106FBE">
        <w:t xml:space="preserve"> took a long time </w:t>
      </w:r>
      <w:r w:rsidR="002441B3">
        <w:t xml:space="preserve">for </w:t>
      </w:r>
      <w:r w:rsidR="00106FBE">
        <w:t xml:space="preserve">both assessors and students involved many </w:t>
      </w:r>
      <w:r w:rsidR="002441B3">
        <w:t>units of competency</w:t>
      </w:r>
      <w:r w:rsidR="00106FBE">
        <w:t>.</w:t>
      </w:r>
      <w:r w:rsidR="00E3166C">
        <w:t xml:space="preserve"> </w:t>
      </w:r>
      <w:r>
        <w:t xml:space="preserve">Assessors would </w:t>
      </w:r>
      <w:r w:rsidR="005977BD">
        <w:t xml:space="preserve">create a matrix recording the </w:t>
      </w:r>
      <w:r w:rsidR="002441B3">
        <w:t xml:space="preserve">units of competency </w:t>
      </w:r>
      <w:r w:rsidR="005977BD">
        <w:t xml:space="preserve">for which </w:t>
      </w:r>
      <w:r w:rsidR="002441B3">
        <w:t>recognition</w:t>
      </w:r>
      <w:r w:rsidR="008477AB">
        <w:t xml:space="preserve"> was being sought; these were</w:t>
      </w:r>
      <w:r w:rsidR="005977BD">
        <w:t xml:space="preserve"> align</w:t>
      </w:r>
      <w:r w:rsidR="00AF620A">
        <w:t xml:space="preserve">ed with </w:t>
      </w:r>
      <w:r w:rsidR="005977BD">
        <w:t xml:space="preserve">the </w:t>
      </w:r>
      <w:r w:rsidR="00AF620A">
        <w:t>possible sources</w:t>
      </w:r>
      <w:r>
        <w:t xml:space="preserve"> of </w:t>
      </w:r>
      <w:r w:rsidR="008477AB">
        <w:t>acceptable evidence</w:t>
      </w:r>
      <w:r w:rsidR="00AF620A">
        <w:t xml:space="preserve">. </w:t>
      </w:r>
      <w:r>
        <w:t xml:space="preserve">Students would then need to </w:t>
      </w:r>
      <w:r w:rsidR="00AF620A">
        <w:t>address each of the elements and source the</w:t>
      </w:r>
      <w:r>
        <w:t xml:space="preserve"> various pieces of evidence</w:t>
      </w:r>
      <w:r w:rsidR="00AF620A">
        <w:t xml:space="preserve"> to support their claims of experience and knowledge. Such a process could be </w:t>
      </w:r>
      <w:r w:rsidR="002441B3">
        <w:t>quite time-</w:t>
      </w:r>
      <w:r>
        <w:t>consuming if the evidence had to be loca</w:t>
      </w:r>
      <w:r w:rsidR="002441B3">
        <w:t>ted from interstate or overseas</w:t>
      </w:r>
      <w:r w:rsidR="008477AB">
        <w:t>,</w:t>
      </w:r>
      <w:r>
        <w:t xml:space="preserve"> or if there were difficult</w:t>
      </w:r>
      <w:r w:rsidR="002441B3">
        <w:t>ies in getting third-</w:t>
      </w:r>
      <w:r>
        <w:t xml:space="preserve">party reports from </w:t>
      </w:r>
      <w:r w:rsidR="00AF620A">
        <w:t>former employers.</w:t>
      </w:r>
      <w:r w:rsidR="00E3166C">
        <w:t xml:space="preserve"> </w:t>
      </w:r>
      <w:r>
        <w:t xml:space="preserve">Once the evidence </w:t>
      </w:r>
      <w:r w:rsidR="00725213">
        <w:t>had been</w:t>
      </w:r>
      <w:r>
        <w:t xml:space="preserve"> collected and organised into suitable electronic or </w:t>
      </w:r>
      <w:r w:rsidR="00AF620A">
        <w:t xml:space="preserve">hardcopy </w:t>
      </w:r>
      <w:r>
        <w:t>portfolios of evidence</w:t>
      </w:r>
      <w:r w:rsidR="008477AB">
        <w:t>,</w:t>
      </w:r>
      <w:r>
        <w:t xml:space="preserve"> </w:t>
      </w:r>
      <w:r w:rsidR="00AF620A">
        <w:t xml:space="preserve">students would present these for assessment. Assessors would then </w:t>
      </w:r>
      <w:r>
        <w:t xml:space="preserve">spend time aligning </w:t>
      </w:r>
      <w:r w:rsidR="00112945">
        <w:t xml:space="preserve">the </w:t>
      </w:r>
      <w:r>
        <w:t xml:space="preserve">evidence </w:t>
      </w:r>
      <w:r w:rsidR="00AF620A">
        <w:t xml:space="preserve">presented </w:t>
      </w:r>
      <w:r w:rsidR="00112945">
        <w:t>with</w:t>
      </w:r>
      <w:r>
        <w:t xml:space="preserve"> relevant performance criteria, interviewing students to test their knowledge (in profes</w:t>
      </w:r>
      <w:r w:rsidR="00112945">
        <w:t>sional conversations) or observing</w:t>
      </w:r>
      <w:r>
        <w:t xml:space="preserve"> their practical </w:t>
      </w:r>
      <w:r w:rsidR="00AF620A">
        <w:t xml:space="preserve">workplace </w:t>
      </w:r>
      <w:r>
        <w:t xml:space="preserve">performance. </w:t>
      </w:r>
    </w:p>
    <w:p w:rsidR="00941B31" w:rsidRDefault="00941B31" w:rsidP="00941B31">
      <w:pPr>
        <w:pStyle w:val="Text"/>
      </w:pPr>
      <w:r w:rsidRPr="001911D5">
        <w:t xml:space="preserve">The majority of </w:t>
      </w:r>
      <w:r w:rsidR="00CA563E">
        <w:t xml:space="preserve">providers had decided to stay with </w:t>
      </w:r>
      <w:r w:rsidR="0043788F">
        <w:t xml:space="preserve">the practice of </w:t>
      </w:r>
      <w:r w:rsidR="00CA563E">
        <w:t xml:space="preserve">a comprehensive evidence-based assessment for </w:t>
      </w:r>
      <w:r w:rsidR="00112945">
        <w:t>recognition</w:t>
      </w:r>
      <w:r w:rsidR="00CA563E">
        <w:t>. Just a few providers had opted for a more streamlined approach</w:t>
      </w:r>
      <w:r w:rsidR="00112945">
        <w:t>,</w:t>
      </w:r>
      <w:r w:rsidR="00CA563E">
        <w:t xml:space="preserve"> where</w:t>
      </w:r>
      <w:r w:rsidR="00112945">
        <w:t>by</w:t>
      </w:r>
      <w:r w:rsidR="00CA563E">
        <w:t xml:space="preserve"> students did not have to </w:t>
      </w:r>
      <w:r w:rsidR="00112945">
        <w:t>undertake</w:t>
      </w:r>
      <w:r w:rsidR="00CA563E">
        <w:t xml:space="preserve"> substantial amounts of work to identify, collect and organise </w:t>
      </w:r>
      <w:r w:rsidR="00112945">
        <w:t xml:space="preserve">the </w:t>
      </w:r>
      <w:r w:rsidR="0043788F">
        <w:t>hard-</w:t>
      </w:r>
      <w:r w:rsidR="00CA563E">
        <w:t xml:space="preserve">copy or electronic evidence required, and where assessors did not spend large amounts of time going through thick portfolios of evidence and </w:t>
      </w:r>
      <w:r w:rsidR="00112945">
        <w:t xml:space="preserve">conducting </w:t>
      </w:r>
      <w:r w:rsidR="00CA563E">
        <w:t>in-depth interviews wi</w:t>
      </w:r>
      <w:r w:rsidR="00112945">
        <w:t>th students to arrive at a judg</w:t>
      </w:r>
      <w:r w:rsidR="00CA563E">
        <w:t>ment.</w:t>
      </w:r>
      <w:r w:rsidR="00AB0B56">
        <w:t xml:space="preserve"> In these </w:t>
      </w:r>
      <w:r w:rsidR="00112945">
        <w:t>instances</w:t>
      </w:r>
      <w:r w:rsidR="00AB0B56">
        <w:t xml:space="preserve"> assessors would </w:t>
      </w:r>
      <w:r>
        <w:t xml:space="preserve">either visit students in their workplaces to observe </w:t>
      </w:r>
      <w:r w:rsidR="00112945">
        <w:t xml:space="preserve">a </w:t>
      </w:r>
      <w:r>
        <w:t xml:space="preserve">practical performance or have </w:t>
      </w:r>
      <w:r w:rsidR="00AB0B56">
        <w:t xml:space="preserve">students </w:t>
      </w:r>
      <w:r>
        <w:t xml:space="preserve">(who were not in employment) </w:t>
      </w:r>
      <w:r w:rsidR="00AB0B56">
        <w:t xml:space="preserve">perform a </w:t>
      </w:r>
      <w:r>
        <w:t xml:space="preserve">specific </w:t>
      </w:r>
      <w:r w:rsidR="00AB0B56">
        <w:t>task (for example, apply a macro to</w:t>
      </w:r>
      <w:r w:rsidR="00112945">
        <w:t xml:space="preserve"> a spreadsheet) or use question-and-</w:t>
      </w:r>
      <w:r w:rsidR="00AB0B56">
        <w:t xml:space="preserve">answer techniques to assess </w:t>
      </w:r>
      <w:r w:rsidR="00AF620A">
        <w:t>a student</w:t>
      </w:r>
      <w:r w:rsidR="00D52B39">
        <w:t>’</w:t>
      </w:r>
      <w:r w:rsidR="00AF620A">
        <w:t xml:space="preserve">s understanding of </w:t>
      </w:r>
      <w:r w:rsidR="00AB0B56">
        <w:t xml:space="preserve">critical pieces of knowledge. </w:t>
      </w:r>
      <w:r>
        <w:t>Business programs are more likely to report the use of challenge tests, interv</w:t>
      </w:r>
      <w:r w:rsidR="00112945">
        <w:t>iews and workplace observations</w:t>
      </w:r>
      <w:r>
        <w:t xml:space="preserve"> for verifying knowledge and skill. </w:t>
      </w:r>
    </w:p>
    <w:p w:rsidR="00AB0B56" w:rsidRDefault="00AB0B56" w:rsidP="00AB0B56">
      <w:pPr>
        <w:pStyle w:val="Text"/>
      </w:pPr>
      <w:r>
        <w:t xml:space="preserve">The average duration of RPL assessments ranged from </w:t>
      </w:r>
      <w:r w:rsidR="00112945">
        <w:t>ten</w:t>
      </w:r>
      <w:r>
        <w:t xml:space="preserve"> to 15 minutes (for assessments where the candidate did not have enough evidence</w:t>
      </w:r>
      <w:r w:rsidR="00172BFF">
        <w:t xml:space="preserve"> </w:t>
      </w:r>
      <w:r w:rsidR="00CA7944">
        <w:t>to warrant recognition of prior learning)</w:t>
      </w:r>
      <w:r>
        <w:t xml:space="preserve"> to many weeks.</w:t>
      </w:r>
      <w:r w:rsidR="00E3166C">
        <w:t xml:space="preserve"> </w:t>
      </w:r>
      <w:r w:rsidR="00112945">
        <w:t>Low-</w:t>
      </w:r>
      <w:r>
        <w:t xml:space="preserve">risk units were reported to take less time. </w:t>
      </w:r>
    </w:p>
    <w:p w:rsidR="009E3A2B" w:rsidRDefault="00AE0482" w:rsidP="009E3A2B">
      <w:pPr>
        <w:pStyle w:val="Text"/>
      </w:pPr>
      <w:r>
        <w:lastRenderedPageBreak/>
        <w:t xml:space="preserve">There is </w:t>
      </w:r>
      <w:r w:rsidR="00112945">
        <w:t>little</w:t>
      </w:r>
      <w:r>
        <w:t xml:space="preserve"> evidence from this study that the streamlining of RPL approaches is widespread among providers. Part of the issue is that providers are keen </w:t>
      </w:r>
      <w:r w:rsidR="008760F8">
        <w:t>to avoid</w:t>
      </w:r>
      <w:r>
        <w:t xml:space="preserve"> compromis</w:t>
      </w:r>
      <w:r w:rsidR="008760F8">
        <w:t>ing</w:t>
      </w:r>
      <w:r>
        <w:t xml:space="preserve"> their reputations by less than rigorous approaches to assessments</w:t>
      </w:r>
      <w:r w:rsidR="00112945">
        <w:t xml:space="preserve"> of prior learning</w:t>
      </w:r>
      <w:r w:rsidRPr="001911D5">
        <w:t xml:space="preserve">. Another reason is that they do not want to fall foul of </w:t>
      </w:r>
      <w:r w:rsidR="00112945" w:rsidRPr="001911D5">
        <w:t>audit</w:t>
      </w:r>
      <w:r w:rsidR="00112945">
        <w:t>ors</w:t>
      </w:r>
      <w:r w:rsidR="00112945" w:rsidRPr="00F57411">
        <w:t xml:space="preserve"> </w:t>
      </w:r>
      <w:r w:rsidR="00112945">
        <w:t xml:space="preserve">from the </w:t>
      </w:r>
      <w:r w:rsidR="00112945" w:rsidRPr="00F57411">
        <w:t>Australian Skills Quality Authority</w:t>
      </w:r>
      <w:r w:rsidRPr="001911D5">
        <w:t xml:space="preserve"> or </w:t>
      </w:r>
      <w:r w:rsidR="00112945">
        <w:t>the Australian Quality Training Framework</w:t>
      </w:r>
      <w:r w:rsidR="00CA563E">
        <w:t>.</w:t>
      </w:r>
      <w:r>
        <w:t xml:space="preserve"> </w:t>
      </w:r>
      <w:r w:rsidR="009E3A2B">
        <w:t>Nevertheless</w:t>
      </w:r>
      <w:r w:rsidR="00172BFF">
        <w:t>,</w:t>
      </w:r>
      <w:r w:rsidR="009E3A2B">
        <w:t xml:space="preserve"> providers were concerned about the amount of time and effort (and associated cost</w:t>
      </w:r>
      <w:r w:rsidR="00172BFF">
        <w:t>s</w:t>
      </w:r>
      <w:r w:rsidR="009E3A2B">
        <w:t xml:space="preserve">) </w:t>
      </w:r>
      <w:r w:rsidR="00BA6EC8">
        <w:t xml:space="preserve">required for </w:t>
      </w:r>
      <w:r w:rsidR="009E3A2B">
        <w:t xml:space="preserve">both for </w:t>
      </w:r>
      <w:r w:rsidR="00BA6EC8">
        <w:t xml:space="preserve">RPL </w:t>
      </w:r>
      <w:r w:rsidR="009E3A2B">
        <w:t>candidates and teachers and or assessors. In view of this</w:t>
      </w:r>
      <w:r w:rsidR="00112945">
        <w:t>,</w:t>
      </w:r>
      <w:r w:rsidR="009E3A2B">
        <w:t xml:space="preserve"> the training option was felt to be an easier option for students. </w:t>
      </w:r>
    </w:p>
    <w:p w:rsidR="00AB0B56" w:rsidRDefault="00AB0B56" w:rsidP="00AB0B56">
      <w:pPr>
        <w:pStyle w:val="Heading2"/>
      </w:pPr>
      <w:bookmarkStart w:id="61" w:name="_Toc381103188"/>
      <w:r>
        <w:t xml:space="preserve">Practices which work best for </w:t>
      </w:r>
      <w:r w:rsidR="00112945">
        <w:t>recognition of prior learning</w:t>
      </w:r>
      <w:bookmarkEnd w:id="61"/>
    </w:p>
    <w:p w:rsidR="00AB0B56" w:rsidRDefault="00BD7173" w:rsidP="00AB0B56">
      <w:pPr>
        <w:pStyle w:val="Text"/>
      </w:pPr>
      <w:r>
        <w:t xml:space="preserve">Recognition </w:t>
      </w:r>
      <w:r w:rsidR="00AB0B56">
        <w:t>practices tend to follow similar arrangements</w:t>
      </w:r>
      <w:r>
        <w:t xml:space="preserve"> across programs and providers</w:t>
      </w:r>
      <w:r w:rsidR="00AB0B56">
        <w:t xml:space="preserve">. Students are generally given </w:t>
      </w:r>
      <w:r w:rsidR="00D46723">
        <w:t xml:space="preserve">up-front </w:t>
      </w:r>
      <w:r w:rsidR="001737D0">
        <w:t xml:space="preserve">information about </w:t>
      </w:r>
      <w:r w:rsidR="00172BFF">
        <w:t>recognition procedures. (I</w:t>
      </w:r>
      <w:r w:rsidR="00AB0B56">
        <w:t>n some plac</w:t>
      </w:r>
      <w:r w:rsidR="00D46723">
        <w:t>es there are formal kits</w:t>
      </w:r>
      <w:r w:rsidR="00172BFF">
        <w:t>.)</w:t>
      </w:r>
      <w:r w:rsidR="00D46723">
        <w:t xml:space="preserve"> A</w:t>
      </w:r>
      <w:r w:rsidR="00AB0B56">
        <w:t xml:space="preserve">n interview is scheduled </w:t>
      </w:r>
      <w:r w:rsidR="00674FFE">
        <w:t>for</w:t>
      </w:r>
      <w:r w:rsidR="00AB0B56">
        <w:t xml:space="preserve"> discuss</w:t>
      </w:r>
      <w:r w:rsidR="00674FFE">
        <w:t>ing</w:t>
      </w:r>
      <w:r w:rsidR="00AB0B56">
        <w:t xml:space="preserve"> a candidate</w:t>
      </w:r>
      <w:r w:rsidR="00D52B39">
        <w:t>’</w:t>
      </w:r>
      <w:r w:rsidR="00AB0B56">
        <w:t xml:space="preserve">s request for </w:t>
      </w:r>
      <w:r w:rsidR="001737D0">
        <w:t>recognition</w:t>
      </w:r>
      <w:r w:rsidR="00AB0B56">
        <w:t>. At this interview the trainer/assessor/RPL specialist collects preliminary information about a stud</w:t>
      </w:r>
      <w:r w:rsidR="001737D0">
        <w:t>ent</w:t>
      </w:r>
      <w:r w:rsidR="00D52B39">
        <w:t>’</w:t>
      </w:r>
      <w:r w:rsidR="001737D0">
        <w:t>s background and experience</w:t>
      </w:r>
      <w:r w:rsidR="00AB0B56">
        <w:t xml:space="preserve"> to determine whether the student might be eligible for </w:t>
      </w:r>
      <w:r w:rsidR="001737D0">
        <w:t>recognition</w:t>
      </w:r>
      <w:r w:rsidR="00AB0B56">
        <w:t xml:space="preserve">. If it looks </w:t>
      </w:r>
      <w:r w:rsidR="001737D0">
        <w:t xml:space="preserve">as if </w:t>
      </w:r>
      <w:r w:rsidR="00AB0B56">
        <w:t xml:space="preserve">RPL may be </w:t>
      </w:r>
      <w:r w:rsidR="001737D0">
        <w:t>appropriate</w:t>
      </w:r>
      <w:r w:rsidR="00AB0B56">
        <w:t xml:space="preserve"> for some areas and not for others</w:t>
      </w:r>
      <w:r w:rsidR="001737D0">
        <w:t>,</w:t>
      </w:r>
      <w:r w:rsidR="00AB0B56">
        <w:t xml:space="preserve"> the candidate is encouraged to undertake the class for those units for which</w:t>
      </w:r>
      <w:r w:rsidR="001737D0" w:rsidRPr="001737D0">
        <w:t xml:space="preserve"> </w:t>
      </w:r>
      <w:r w:rsidR="001737D0">
        <w:t xml:space="preserve">recognition </w:t>
      </w:r>
      <w:r w:rsidR="00AB0B56">
        <w:t xml:space="preserve">may not be awarded. For those units of competency which have a chance of attracting </w:t>
      </w:r>
      <w:r w:rsidR="001737D0">
        <w:t>recognition</w:t>
      </w:r>
      <w:r w:rsidR="00674FFE">
        <w:t>,</w:t>
      </w:r>
      <w:r w:rsidR="00AB0B56">
        <w:t xml:space="preserve"> the candidate is asked to </w:t>
      </w:r>
      <w:r w:rsidR="001737D0">
        <w:t>assemble</w:t>
      </w:r>
      <w:r w:rsidR="00AB0B56">
        <w:t xml:space="preserve"> the evidence to support the application. </w:t>
      </w:r>
    </w:p>
    <w:p w:rsidR="00AB0B56" w:rsidRDefault="00FE1C2C" w:rsidP="00AB0B56">
      <w:pPr>
        <w:pStyle w:val="Text"/>
      </w:pPr>
      <w:r>
        <w:t>Some providers will first undertake a formalised mapping exercise</w:t>
      </w:r>
      <w:r w:rsidR="001737D0">
        <w:t>,</w:t>
      </w:r>
      <w:r>
        <w:t xml:space="preserve"> aligning the </w:t>
      </w:r>
      <w:r w:rsidR="001737D0">
        <w:t xml:space="preserve">unit of competency </w:t>
      </w:r>
      <w:r>
        <w:t xml:space="preserve">to the types of evidence required. </w:t>
      </w:r>
      <w:r w:rsidR="00AB0B56">
        <w:t xml:space="preserve">The candidate is then asked to collect the evidence to support his or her application. When the assessor receives the evidence </w:t>
      </w:r>
      <w:r>
        <w:t>provided by the student</w:t>
      </w:r>
      <w:r w:rsidR="005B6E3E">
        <w:t>,</w:t>
      </w:r>
      <w:r>
        <w:t xml:space="preserve"> he or she will undertake </w:t>
      </w:r>
      <w:r w:rsidR="00AB0B56">
        <w:t xml:space="preserve">a direct matching of evidence to </w:t>
      </w:r>
      <w:r>
        <w:t xml:space="preserve">the </w:t>
      </w:r>
      <w:r w:rsidR="00AB0B56">
        <w:t xml:space="preserve">relevant </w:t>
      </w:r>
      <w:r w:rsidR="005B6E3E">
        <w:t>units of competency</w:t>
      </w:r>
      <w:r w:rsidR="00AB0B56">
        <w:t xml:space="preserve">. The information </w:t>
      </w:r>
      <w:r>
        <w:t>provided is then</w:t>
      </w:r>
      <w:r w:rsidR="00AB0B56">
        <w:t xml:space="preserve"> verified</w:t>
      </w:r>
      <w:r>
        <w:t xml:space="preserve"> by </w:t>
      </w:r>
      <w:r w:rsidR="002D2F3D">
        <w:t>checking for</w:t>
      </w:r>
      <w:r w:rsidR="005B6E3E">
        <w:t xml:space="preserve"> written third-</w:t>
      </w:r>
      <w:r w:rsidR="00AB0B56">
        <w:t>party reports to confir</w:t>
      </w:r>
      <w:r w:rsidR="00674FFE">
        <w:t>m and verify the extent, nature</w:t>
      </w:r>
      <w:r w:rsidR="00AB0B56">
        <w:t xml:space="preserve"> and level of the experience described. They may also contact the third party (often the employer) to discuss the information proffered as evidence of relevant and adequate experience. The assessor may also use another student interview (also known as professional conversations) to follow up and delve more deeply into the evidence of the student</w:t>
      </w:r>
      <w:r w:rsidR="00D52B39">
        <w:t>’</w:t>
      </w:r>
      <w:r w:rsidR="005B6E3E">
        <w:t>s</w:t>
      </w:r>
      <w:r w:rsidR="00AB0B56">
        <w:t xml:space="preserve"> knowledge and prior application of relevant competencies. Some providers, especially those </w:t>
      </w:r>
      <w:r w:rsidR="00BD7173">
        <w:t>who</w:t>
      </w:r>
      <w:r w:rsidR="00AB0B56">
        <w:t xml:space="preserve"> have opted for a more streamlined approach, may also visit candidates in the workplace to observe the </w:t>
      </w:r>
      <w:r w:rsidR="005B6E3E">
        <w:t>performance of practical skills</w:t>
      </w:r>
      <w:r w:rsidR="00AB0B56">
        <w:t xml:space="preserve"> and have discussions with candidates and</w:t>
      </w:r>
      <w:r w:rsidR="005B6E3E">
        <w:t xml:space="preserve"> their employers or supervisors</w:t>
      </w:r>
      <w:r w:rsidR="00AB0B56">
        <w:t xml:space="preserve"> and w</w:t>
      </w:r>
      <w:r w:rsidR="00674FFE">
        <w:t>ork colleagues. For those who</w:t>
      </w:r>
      <w:r w:rsidR="00AB0B56">
        <w:t xml:space="preserve"> are </w:t>
      </w:r>
      <w:r w:rsidR="00674FFE">
        <w:t xml:space="preserve">not </w:t>
      </w:r>
      <w:r w:rsidR="00AB0B56">
        <w:t>work</w:t>
      </w:r>
      <w:r w:rsidR="00674FFE">
        <w:t>ing</w:t>
      </w:r>
      <w:r w:rsidR="005B6E3E">
        <w:t>,</w:t>
      </w:r>
      <w:r w:rsidR="00AB0B56">
        <w:t xml:space="preserve"> </w:t>
      </w:r>
      <w:r w:rsidR="00BD7173">
        <w:t>providers</w:t>
      </w:r>
      <w:r w:rsidR="00AB0B56">
        <w:t xml:space="preserve"> may opt to assess candidates via a challenge test.</w:t>
      </w:r>
      <w:r w:rsidR="00E3166C">
        <w:t xml:space="preserve"> </w:t>
      </w:r>
      <w:r w:rsidR="00AB0B56">
        <w:t xml:space="preserve"> When the assessor is satisfied that the evidence is a true and accurate representation of </w:t>
      </w:r>
      <w:r w:rsidR="00BD7173">
        <w:t>candidate’s</w:t>
      </w:r>
      <w:r w:rsidR="005B6E3E">
        <w:t xml:space="preserve"> </w:t>
      </w:r>
      <w:r w:rsidR="00AB0B56">
        <w:t>skill and knowledge</w:t>
      </w:r>
      <w:r w:rsidR="005B6E3E">
        <w:t>, a judg</w:t>
      </w:r>
      <w:r w:rsidR="00AB0B56">
        <w:t>ment is made.</w:t>
      </w:r>
    </w:p>
    <w:p w:rsidR="00AB0B56" w:rsidRDefault="00AB0B56" w:rsidP="00AB0B56">
      <w:pPr>
        <w:pStyle w:val="Text"/>
      </w:pPr>
      <w:r>
        <w:t xml:space="preserve">Some providers will take a risk-management approach to the verification of evidence. Some will insist on certain practical </w:t>
      </w:r>
      <w:r w:rsidR="006469CB">
        <w:t>units of competence</w:t>
      </w:r>
      <w:r w:rsidR="00674FFE">
        <w:t xml:space="preserve"> </w:t>
      </w:r>
      <w:r w:rsidR="00944C19">
        <w:t>being repeated or undertaken</w:t>
      </w:r>
      <w:r w:rsidR="006469CB">
        <w:t xml:space="preserve"> </w:t>
      </w:r>
      <w:r>
        <w:t>(for example</w:t>
      </w:r>
      <w:r w:rsidR="006469CB">
        <w:t>,</w:t>
      </w:r>
      <w:r>
        <w:t xml:space="preserve"> medical dispensing and </w:t>
      </w:r>
      <w:r w:rsidR="006469CB">
        <w:t>occupational health and safety</w:t>
      </w:r>
      <w:r>
        <w:t xml:space="preserve">), </w:t>
      </w:r>
      <w:r w:rsidR="00674FFE">
        <w:t>while</w:t>
      </w:r>
      <w:r>
        <w:t xml:space="preserve"> others accept evidence of actual experience in the workplace. Where </w:t>
      </w:r>
      <w:r w:rsidR="006469CB">
        <w:t>mature-</w:t>
      </w:r>
      <w:r>
        <w:t>age</w:t>
      </w:r>
      <w:r w:rsidR="006469CB">
        <w:t>d</w:t>
      </w:r>
      <w:r>
        <w:t xml:space="preserve"> electrical apprentices are coming from another trade</w:t>
      </w:r>
      <w:r w:rsidR="006469CB">
        <w:t>,</w:t>
      </w:r>
      <w:r>
        <w:t xml:space="preserve"> they will generally be able to </w:t>
      </w:r>
      <w:r w:rsidR="006469CB">
        <w:t>gain recognition</w:t>
      </w:r>
      <w:r>
        <w:t xml:space="preserve"> for first aid and </w:t>
      </w:r>
      <w:r w:rsidR="006469CB">
        <w:t xml:space="preserve">occupational health and safety </w:t>
      </w:r>
      <w:r>
        <w:t xml:space="preserve">certificates. </w:t>
      </w:r>
    </w:p>
    <w:p w:rsidR="00AB0B56" w:rsidRDefault="00AB0B56" w:rsidP="00BD7173">
      <w:pPr>
        <w:pStyle w:val="Text"/>
      </w:pPr>
      <w:r>
        <w:t>It is common for assessors in regulated occupations (lik</w:t>
      </w:r>
      <w:r w:rsidR="006469CB">
        <w:t>e electrical) to require a unit-</w:t>
      </w:r>
      <w:r>
        <w:t>b</w:t>
      </w:r>
      <w:r w:rsidR="006469CB">
        <w:t>y-</w:t>
      </w:r>
      <w:r>
        <w:t>unit assessment. In other occupations a more holistic approac</w:t>
      </w:r>
      <w:r w:rsidR="006469CB">
        <w:t>h is applied. Although the unit-by-</w:t>
      </w:r>
      <w:r>
        <w:t>unit approach</w:t>
      </w:r>
      <w:r w:rsidR="006469CB">
        <w:t>,</w:t>
      </w:r>
      <w:r>
        <w:t xml:space="preserve"> coupled with </w:t>
      </w:r>
      <w:r w:rsidR="006469CB">
        <w:t>the presentation of</w:t>
      </w:r>
      <w:r>
        <w:t xml:space="preserve"> three pieces of evidence for each element</w:t>
      </w:r>
      <w:r w:rsidR="006469CB">
        <w:t>,</w:t>
      </w:r>
      <w:r>
        <w:t xml:space="preserve"> is considered</w:t>
      </w:r>
      <w:r w:rsidR="00BD7173">
        <w:t> </w:t>
      </w:r>
      <w:r>
        <w:t>to</w:t>
      </w:r>
      <w:r w:rsidR="002D2F3D">
        <w:t>o</w:t>
      </w:r>
      <w:r>
        <w:t xml:space="preserve"> </w:t>
      </w:r>
      <w:r w:rsidRPr="0043788F">
        <w:t>pedantic</w:t>
      </w:r>
      <w:r w:rsidR="002D2F3D">
        <w:t>,</w:t>
      </w:r>
      <w:r>
        <w:t xml:space="preserve"> assessor</w:t>
      </w:r>
      <w:r w:rsidR="002D2F3D">
        <w:t>s</w:t>
      </w:r>
      <w:r>
        <w:t xml:space="preserve"> justify this insistence o</w:t>
      </w:r>
      <w:r w:rsidR="006469CB">
        <w:t>n</w:t>
      </w:r>
      <w:r>
        <w:t xml:space="preserve"> multiple sources by citing the need to meet auditor requirements.</w:t>
      </w:r>
      <w:r w:rsidR="00E3166C">
        <w:t xml:space="preserve"> </w:t>
      </w:r>
    </w:p>
    <w:p w:rsidR="00AB0B56" w:rsidRDefault="00AB0B56" w:rsidP="00AB0B56">
      <w:pPr>
        <w:pStyle w:val="Text"/>
      </w:pPr>
      <w:r>
        <w:lastRenderedPageBreak/>
        <w:t xml:space="preserve">In aged care programs, </w:t>
      </w:r>
      <w:r w:rsidR="00674FFE">
        <w:t xml:space="preserve">which are </w:t>
      </w:r>
      <w:r>
        <w:t xml:space="preserve">often undertaken by people with literacy and language difficulties (including </w:t>
      </w:r>
      <w:r w:rsidR="002D2F3D">
        <w:t xml:space="preserve">both </w:t>
      </w:r>
      <w:r>
        <w:t>migrants and non-migrants)</w:t>
      </w:r>
      <w:r w:rsidR="006469CB">
        <w:t>,</w:t>
      </w:r>
      <w:r>
        <w:t xml:space="preserve"> providers generally undertake a literacy and language assessment on enrolment. For existing workers</w:t>
      </w:r>
      <w:r w:rsidR="00936ADD">
        <w:t>,</w:t>
      </w:r>
      <w:r>
        <w:t xml:space="preserve"> the vocational training practitioner and the </w:t>
      </w:r>
      <w:r w:rsidR="006469CB">
        <w:t>language, literacy and numeracy</w:t>
      </w:r>
      <w:r>
        <w:t xml:space="preserve"> specialist work together to help the student move through the gap training </w:t>
      </w:r>
      <w:r w:rsidR="00674FFE">
        <w:t>identified</w:t>
      </w:r>
      <w:r>
        <w:t xml:space="preserve"> by the RPL assessment. </w:t>
      </w:r>
    </w:p>
    <w:p w:rsidR="00AB0B56" w:rsidRDefault="00AB0B56" w:rsidP="00AB0B56">
      <w:pPr>
        <w:pStyle w:val="Text"/>
      </w:pPr>
      <w:r>
        <w:t>The knowledge and skill of asses</w:t>
      </w:r>
      <w:r w:rsidR="00674FFE">
        <w:t>sors conducting RPL assessments,</w:t>
      </w:r>
      <w:r>
        <w:t xml:space="preserve"> and their ability to communicate requirements to students</w:t>
      </w:r>
      <w:r w:rsidR="00AB663D">
        <w:t>, is</w:t>
      </w:r>
      <w:r>
        <w:t xml:space="preserve"> crucial to a valid </w:t>
      </w:r>
      <w:r w:rsidR="00936ADD">
        <w:t>recognition</w:t>
      </w:r>
      <w:r>
        <w:t xml:space="preserve"> assessment process. Assessors need to be able to map out the elements of the </w:t>
      </w:r>
      <w:r w:rsidR="00936ADD">
        <w:t xml:space="preserve">units of competency </w:t>
      </w:r>
      <w:r>
        <w:t>and identify the types of evidence that can be used for assessing each of the performance criteria. In interviews and professional conversations with students</w:t>
      </w:r>
      <w:r w:rsidR="00936ADD">
        <w:t>,</w:t>
      </w:r>
      <w:r>
        <w:t xml:space="preserve"> assessors need to </w:t>
      </w:r>
      <w:r w:rsidR="00936ADD">
        <w:t>ask the appropriate</w:t>
      </w:r>
      <w:r>
        <w:t xml:space="preserve"> questions </w:t>
      </w:r>
      <w:r w:rsidR="00936ADD">
        <w:t>for</w:t>
      </w:r>
      <w:r>
        <w:t xml:space="preserve"> identify</w:t>
      </w:r>
      <w:r w:rsidR="00936ADD">
        <w:t>ing</w:t>
      </w:r>
      <w:r>
        <w:t xml:space="preserve"> the critical elements. Both of these tasks are not straightforward and if not done well can be sources of assessor inconsistency</w:t>
      </w:r>
      <w:r w:rsidR="00936ADD">
        <w:t>,</w:t>
      </w:r>
      <w:r>
        <w:t xml:space="preserve"> even before the assessment is conducted.</w:t>
      </w:r>
      <w:r w:rsidR="00E3166C">
        <w:t xml:space="preserve"> </w:t>
      </w:r>
    </w:p>
    <w:p w:rsidR="00AB0B56" w:rsidRDefault="00AB0B56" w:rsidP="00AB0B56">
      <w:pPr>
        <w:pStyle w:val="Text"/>
      </w:pPr>
      <w:r>
        <w:t>Assessors also differ in the amount of confidence the</w:t>
      </w:r>
      <w:r w:rsidR="00936ADD">
        <w:t>y have in the veracity of third-party reports</w:t>
      </w:r>
      <w:r>
        <w:t xml:space="preserve"> or </w:t>
      </w:r>
      <w:r w:rsidR="00936ADD">
        <w:t>from</w:t>
      </w:r>
      <w:r>
        <w:t xml:space="preserve"> candidates in their assessment interviews. Those who lack sufficient confidence in these sources of evidence generally believe that the best indicator of RPL is the observation of practical performance in the workplace. </w:t>
      </w:r>
    </w:p>
    <w:p w:rsidR="00FA718F" w:rsidRDefault="00FA718F" w:rsidP="00FA718F">
      <w:pPr>
        <w:pStyle w:val="Heading2"/>
      </w:pPr>
      <w:bookmarkStart w:id="62" w:name="_Toc381103189"/>
      <w:r>
        <w:t>Student perspectives</w:t>
      </w:r>
      <w:bookmarkEnd w:id="62"/>
      <w:r>
        <w:t xml:space="preserve"> </w:t>
      </w:r>
    </w:p>
    <w:p w:rsidR="00FA718F" w:rsidRPr="00961C03" w:rsidRDefault="00FA718F" w:rsidP="00FA718F">
      <w:pPr>
        <w:pStyle w:val="Text"/>
      </w:pPr>
      <w:r>
        <w:t>All of the 23 students undertaking</w:t>
      </w:r>
      <w:r w:rsidR="00936ADD">
        <w:t xml:space="preserve"> the</w:t>
      </w:r>
      <w:r>
        <w:t xml:space="preserve"> Certificate III in Aged Care (Provider A focus group) were aware of </w:t>
      </w:r>
      <w:r w:rsidR="00936ADD">
        <w:t xml:space="preserve">recognition of prior learning </w:t>
      </w:r>
      <w:r>
        <w:t xml:space="preserve">and how it </w:t>
      </w:r>
      <w:r w:rsidR="00936ADD">
        <w:t>operated</w:t>
      </w:r>
      <w:r w:rsidR="009C1996">
        <w:t>.</w:t>
      </w:r>
      <w:r>
        <w:t xml:space="preserve"> </w:t>
      </w:r>
      <w:r w:rsidR="009C1996">
        <w:t xml:space="preserve">They generally </w:t>
      </w:r>
      <w:r w:rsidR="00936ADD">
        <w:t>confirm</w:t>
      </w:r>
      <w:r w:rsidR="009C1996">
        <w:t>ed</w:t>
      </w:r>
      <w:r>
        <w:t xml:space="preserve"> </w:t>
      </w:r>
      <w:r w:rsidR="009C1996">
        <w:t xml:space="preserve">their understanding that the granting of recognition was dependent </w:t>
      </w:r>
      <w:r>
        <w:t xml:space="preserve">on other </w:t>
      </w:r>
      <w:r w:rsidR="009C1996">
        <w:t xml:space="preserve">courses they had undertaken </w:t>
      </w:r>
      <w:r>
        <w:t xml:space="preserve">and </w:t>
      </w:r>
      <w:r w:rsidR="009C1996">
        <w:t xml:space="preserve">their </w:t>
      </w:r>
      <w:r>
        <w:t>experience. Nevertheless</w:t>
      </w:r>
      <w:r w:rsidR="00936ADD">
        <w:t>,</w:t>
      </w:r>
      <w:r>
        <w:t xml:space="preserve"> none of the students had requested RPL. One student who had a diploma of health science and massage therapy did not request </w:t>
      </w:r>
      <w:r w:rsidR="00936ADD">
        <w:t>recognition</w:t>
      </w:r>
      <w:r>
        <w:t xml:space="preserve">, nor was she encouraged to do </w:t>
      </w:r>
      <w:r w:rsidR="00936ADD">
        <w:t>so</w:t>
      </w:r>
      <w:r>
        <w:t>. Regardless</w:t>
      </w:r>
      <w:r w:rsidR="00936ADD">
        <w:t>,</w:t>
      </w:r>
      <w:r>
        <w:t xml:space="preserve"> she </w:t>
      </w:r>
      <w:r w:rsidR="00936ADD">
        <w:t>held</w:t>
      </w:r>
      <w:r>
        <w:t xml:space="preserve"> the view that it was good to do the whole course </w:t>
      </w:r>
      <w:r w:rsidR="009C1996">
        <w:t>since</w:t>
      </w:r>
      <w:r>
        <w:t xml:space="preserve"> it was a very </w:t>
      </w:r>
      <w:r w:rsidR="00936ADD">
        <w:t>useful</w:t>
      </w:r>
      <w:r>
        <w:t xml:space="preserve"> refresher for some </w:t>
      </w:r>
      <w:r w:rsidR="00936ADD">
        <w:t>areas</w:t>
      </w:r>
      <w:r>
        <w:t>.</w:t>
      </w:r>
      <w:r w:rsidR="00E3166C">
        <w:t xml:space="preserve"> </w:t>
      </w:r>
    </w:p>
    <w:p w:rsidR="00FA718F" w:rsidRDefault="00307179" w:rsidP="00FA718F">
      <w:pPr>
        <w:pStyle w:val="Text"/>
      </w:pPr>
      <w:r>
        <w:t>Similarly, b</w:t>
      </w:r>
      <w:r w:rsidR="00FA718F">
        <w:t xml:space="preserve">oth students from Provider B knew about </w:t>
      </w:r>
      <w:r w:rsidR="00936ADD">
        <w:t xml:space="preserve">recognition of prior learning </w:t>
      </w:r>
      <w:r w:rsidR="00FA718F">
        <w:t>and how it worked. Nevertheless</w:t>
      </w:r>
      <w:r>
        <w:t>, n</w:t>
      </w:r>
      <w:r w:rsidR="00ED42E9">
        <w:t>either</w:t>
      </w:r>
      <w:r>
        <w:t xml:space="preserve"> of them had requested RPL, again,</w:t>
      </w:r>
      <w:r w:rsidR="00FA718F">
        <w:t xml:space="preserve"> because they wanted to </w:t>
      </w:r>
      <w:r>
        <w:t>complete</w:t>
      </w:r>
      <w:r w:rsidR="00FA718F">
        <w:t xml:space="preserve"> the whole course. </w:t>
      </w:r>
      <w:r w:rsidR="009C1996">
        <w:t>(Anyway,</w:t>
      </w:r>
      <w:r w:rsidR="00FA718F">
        <w:t xml:space="preserve"> they </w:t>
      </w:r>
      <w:r>
        <w:t>had no</w:t>
      </w:r>
      <w:r w:rsidR="00FA718F">
        <w:t xml:space="preserve"> previous experience or qualifications that could be mapped against the Certificate III in Aged Care.</w:t>
      </w:r>
      <w:r w:rsidR="009C1996">
        <w:t>)</w:t>
      </w:r>
      <w:r w:rsidR="00FA718F">
        <w:t xml:space="preserve"> </w:t>
      </w:r>
      <w:r>
        <w:t>The group of students from</w:t>
      </w:r>
      <w:r w:rsidR="00FA718F">
        <w:t xml:space="preserve"> Provider D </w:t>
      </w:r>
      <w:r>
        <w:t xml:space="preserve">replicated the other groups, with the exception of one student who </w:t>
      </w:r>
      <w:r w:rsidR="00FA718F">
        <w:t xml:space="preserve">had requested and was able to get RPL in </w:t>
      </w:r>
      <w:r w:rsidR="00D52B39">
        <w:t>‘</w:t>
      </w:r>
      <w:r>
        <w:t>sustainability</w:t>
      </w:r>
      <w:r w:rsidR="00D52B39">
        <w:t>’</w:t>
      </w:r>
      <w:r>
        <w:t xml:space="preserve"> and </w:t>
      </w:r>
      <w:r w:rsidR="00D52B39">
        <w:t>‘</w:t>
      </w:r>
      <w:r>
        <w:t>customer service</w:t>
      </w:r>
      <w:r w:rsidR="00D52B39">
        <w:t>’</w:t>
      </w:r>
      <w:r>
        <w:t xml:space="preserve"> </w:t>
      </w:r>
      <w:r w:rsidR="00944C19">
        <w:t>units.</w:t>
      </w:r>
    </w:p>
    <w:p w:rsidR="00FA718F" w:rsidRDefault="00FA718F">
      <w:pPr>
        <w:rPr>
          <w:rFonts w:ascii="Trebuchet MS" w:hAnsi="Trebuchet MS"/>
          <w:sz w:val="19"/>
          <w:szCs w:val="20"/>
          <w:lang w:eastAsia="en-US"/>
        </w:rPr>
      </w:pPr>
      <w:r>
        <w:br w:type="page"/>
      </w:r>
    </w:p>
    <w:tbl>
      <w:tblPr>
        <w:tblStyle w:val="TableGrid"/>
        <w:tblW w:w="8789" w:type="dxa"/>
        <w:tblInd w:w="22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227" w:type="dxa"/>
          <w:right w:w="227" w:type="dxa"/>
        </w:tblCellMar>
        <w:tblLook w:val="04A0" w:firstRow="1" w:lastRow="0" w:firstColumn="1" w:lastColumn="0" w:noHBand="0" w:noVBand="1"/>
      </w:tblPr>
      <w:tblGrid>
        <w:gridCol w:w="8789"/>
      </w:tblGrid>
      <w:tr w:rsidR="006B4195" w:rsidTr="006B4195">
        <w:tc>
          <w:tcPr>
            <w:tcW w:w="9004" w:type="dxa"/>
            <w:shd w:val="clear" w:color="auto" w:fill="000000" w:themeFill="text1"/>
          </w:tcPr>
          <w:p w:rsidR="006B4195" w:rsidRDefault="006B4195" w:rsidP="006B4195">
            <w:pPr>
              <w:pStyle w:val="Tablehead1"/>
            </w:pPr>
            <w:r w:rsidRPr="001A32F2">
              <w:lastRenderedPageBreak/>
              <w:t>What practitioners say</w:t>
            </w:r>
          </w:p>
        </w:tc>
      </w:tr>
      <w:tr w:rsidR="006B4195" w:rsidTr="006B4195">
        <w:tc>
          <w:tcPr>
            <w:tcW w:w="9004" w:type="dxa"/>
          </w:tcPr>
          <w:p w:rsidR="006B4195" w:rsidRPr="00706A17" w:rsidRDefault="006B4195" w:rsidP="006B4195">
            <w:pPr>
              <w:pStyle w:val="Tablehead1"/>
              <w:spacing w:before="120"/>
              <w:rPr>
                <w:sz w:val="16"/>
                <w:szCs w:val="16"/>
              </w:rPr>
            </w:pPr>
            <w:r w:rsidRPr="007D4CE6">
              <w:t>Practices which work best for RPL</w:t>
            </w:r>
          </w:p>
          <w:p w:rsidR="006B4195" w:rsidRPr="00AF6987" w:rsidRDefault="006B4195" w:rsidP="006B4195">
            <w:pPr>
              <w:pStyle w:val="boxparastyle"/>
            </w:pPr>
            <w:r>
              <w:t>F</w:t>
            </w:r>
            <w:r w:rsidRPr="00AF6987">
              <w:t>ollowing guidelines, collecting evidence, verifying evidence,</w:t>
            </w:r>
            <w:r>
              <w:t xml:space="preserve"> contacting previous employers.</w:t>
            </w:r>
            <w:r>
              <w:br/>
            </w:r>
            <w:r>
              <w:tab/>
              <w:t>(A</w:t>
            </w:r>
            <w:r w:rsidRPr="00AF6987">
              <w:t>ged care, private provider)</w:t>
            </w:r>
          </w:p>
          <w:p w:rsidR="006B4195" w:rsidRPr="00B10C05" w:rsidRDefault="006B4195" w:rsidP="006B4195">
            <w:pPr>
              <w:pStyle w:val="boxparastyle"/>
              <w:rPr>
                <w:i/>
              </w:rPr>
            </w:pPr>
            <w:r>
              <w:t>U</w:t>
            </w:r>
            <w:r w:rsidRPr="00AF6987">
              <w:t>sing third party report, student self-assessment as a starting point, professional conversations, practical sighting, physiology and gap skills</w:t>
            </w:r>
            <w:r>
              <w:t>.</w:t>
            </w:r>
            <w:r>
              <w:tab/>
              <w:t>(A</w:t>
            </w:r>
            <w:r w:rsidRPr="001A32F2">
              <w:t>ged care, public provider)</w:t>
            </w:r>
          </w:p>
          <w:p w:rsidR="006B4195" w:rsidRPr="00B10C05" w:rsidRDefault="006B4195" w:rsidP="006B4195">
            <w:pPr>
              <w:pStyle w:val="boxparastyle"/>
            </w:pPr>
            <w:r>
              <w:t>Using log</w:t>
            </w:r>
            <w:r w:rsidRPr="00B10C05">
              <w:t>books, unit to unit mapping, processing about 300 units for RPL this summer</w:t>
            </w:r>
            <w:r>
              <w:t>.</w:t>
            </w:r>
            <w:r>
              <w:tab/>
              <w:t>(A</w:t>
            </w:r>
            <w:r w:rsidRPr="00B10C05">
              <w:t>ged care, public provider)</w:t>
            </w:r>
          </w:p>
          <w:p w:rsidR="006B4195" w:rsidRPr="00B10C05" w:rsidRDefault="006B4195" w:rsidP="006B4195">
            <w:pPr>
              <w:pStyle w:val="boxparastyle"/>
            </w:pPr>
            <w:r>
              <w:t>P</w:t>
            </w:r>
            <w:r w:rsidRPr="00B10C05">
              <w:t>ortfolio, meeting needs of participants, people need to understand upfront so initial interview is important, being available for questions, be very clear i</w:t>
            </w:r>
            <w:r>
              <w:t>n what is required and familiar.</w:t>
            </w:r>
            <w:r>
              <w:tab/>
              <w:t>(B</w:t>
            </w:r>
            <w:r w:rsidRPr="001A32F2">
              <w:t>usiness, private provider)</w:t>
            </w:r>
          </w:p>
          <w:p w:rsidR="006B4195" w:rsidRPr="00B10C05" w:rsidRDefault="006B4195" w:rsidP="006B4195">
            <w:pPr>
              <w:pStyle w:val="boxparastyle"/>
            </w:pPr>
            <w:r>
              <w:t>D</w:t>
            </w:r>
            <w:r w:rsidRPr="00B10C05">
              <w:t>ocumenting evidence and demonstration (for typing speed), inter</w:t>
            </w:r>
            <w:r>
              <w:t xml:space="preserve">view, third party confirmation </w:t>
            </w:r>
            <w:r w:rsidR="00BD7173">
              <w:t>–</w:t>
            </w:r>
            <w:r w:rsidRPr="00B10C05">
              <w:t xml:space="preserve"> employer, interview at beginning, tools, client submits, assessor review and determines, final interview for clarification an</w:t>
            </w:r>
            <w:r>
              <w:t>d oral/professional discussions.</w:t>
            </w:r>
            <w:r>
              <w:tab/>
              <w:t>(B</w:t>
            </w:r>
            <w:r w:rsidRPr="00EC7614">
              <w:t>usiness, public provider)</w:t>
            </w:r>
          </w:p>
          <w:p w:rsidR="006B4195" w:rsidRPr="00B10C05" w:rsidRDefault="006B4195" w:rsidP="006B4195">
            <w:pPr>
              <w:pStyle w:val="boxparastyle"/>
            </w:pPr>
            <w:r>
              <w:t>RPL</w:t>
            </w:r>
            <w:r w:rsidRPr="00B10C05">
              <w:t xml:space="preserve"> interview, phone call, email, picture, videos, written work, references, very difficult for RPL for Cert</w:t>
            </w:r>
            <w:r>
              <w:t>.</w:t>
            </w:r>
            <w:r w:rsidRPr="00B10C05">
              <w:t xml:space="preserve"> </w:t>
            </w:r>
            <w:r w:rsidR="00BD7173">
              <w:t>III</w:t>
            </w:r>
            <w:r w:rsidRPr="00B10C05">
              <w:t xml:space="preserve">, if go from old TP </w:t>
            </w:r>
            <w:r>
              <w:t xml:space="preserve">[training plan] </w:t>
            </w:r>
            <w:r w:rsidRPr="00B10C05">
              <w:t>to new TP but if subjects do not align with new name</w:t>
            </w:r>
            <w:r>
              <w:t>s, usually require gap training.</w:t>
            </w:r>
            <w:r>
              <w:br/>
            </w:r>
            <w:r>
              <w:tab/>
              <w:t>(E</w:t>
            </w:r>
            <w:r w:rsidRPr="00B10C05">
              <w:t>lectrical</w:t>
            </w:r>
            <w:r>
              <w:t>, public provider)</w:t>
            </w:r>
          </w:p>
          <w:p w:rsidR="006B4195" w:rsidRDefault="006B4195" w:rsidP="006B4195">
            <w:pPr>
              <w:pStyle w:val="boxparastyle"/>
            </w:pPr>
            <w:r>
              <w:t>G</w:t>
            </w:r>
            <w:r w:rsidRPr="00B10C05">
              <w:t>etting in third party evidence and then decide who will test them on this evidence, ask them verbally. For overseas qualifications we let VETASSESS do it or Training Recognition Australia for overseas qualifications. We will do it if need to, it is time consuming. Because some countries don</w:t>
            </w:r>
            <w:r w:rsidR="00D52B39">
              <w:t>’</w:t>
            </w:r>
            <w:r w:rsidRPr="00B10C05">
              <w:t>t have same practices to Australia we can</w:t>
            </w:r>
            <w:r w:rsidR="00D52B39">
              <w:t>’</w:t>
            </w:r>
            <w:r w:rsidRPr="00B10C05">
              <w:t>t do a proper process so we don</w:t>
            </w:r>
            <w:r w:rsidR="00D52B39">
              <w:t>’</w:t>
            </w:r>
            <w:r w:rsidRPr="00B10C05">
              <w:t>t do it</w:t>
            </w:r>
            <w:r>
              <w:t>.</w:t>
            </w:r>
            <w:r>
              <w:tab/>
              <w:t>(E</w:t>
            </w:r>
            <w:r w:rsidRPr="001408F1">
              <w:t>lectrical, public provider)</w:t>
            </w:r>
          </w:p>
          <w:p w:rsidR="006B4195" w:rsidRDefault="006B4195" w:rsidP="006B4195">
            <w:pPr>
              <w:pStyle w:val="boxparastyle"/>
              <w:spacing w:after="120"/>
            </w:pPr>
            <w:r>
              <w:t>U</w:t>
            </w:r>
            <w:r w:rsidRPr="004B6880">
              <w:t>s</w:t>
            </w:r>
            <w:r>
              <w:t>ing</w:t>
            </w:r>
            <w:r w:rsidRPr="004B6880">
              <w:t xml:space="preserve"> workplace assessment</w:t>
            </w:r>
            <w:r>
              <w:t>. We</w:t>
            </w:r>
            <w:r w:rsidRPr="004B6880">
              <w:t xml:space="preserve"> ask</w:t>
            </w:r>
            <w:r>
              <w:t xml:space="preserve">: </w:t>
            </w:r>
            <w:r w:rsidRPr="002F78DD">
              <w:rPr>
                <w:i/>
              </w:rPr>
              <w:t>T</w:t>
            </w:r>
            <w:r>
              <w:rPr>
                <w:i/>
              </w:rPr>
              <w:t>ell me what you do</w:t>
            </w:r>
            <w:r w:rsidRPr="00BD7173">
              <w:t xml:space="preserve">, we </w:t>
            </w:r>
            <w:r w:rsidRPr="004B6880">
              <w:t>use observations (</w:t>
            </w:r>
            <w:r>
              <w:t xml:space="preserve">e.g. </w:t>
            </w:r>
            <w:r w:rsidRPr="004B6880">
              <w:t xml:space="preserve">insert a formula into a spreadsheet), </w:t>
            </w:r>
            <w:r>
              <w:t xml:space="preserve">we </w:t>
            </w:r>
            <w:r w:rsidRPr="004B6880">
              <w:t>have 3rd party verification,</w:t>
            </w:r>
            <w:r>
              <w:t xml:space="preserve"> and look at </w:t>
            </w:r>
            <w:r w:rsidRPr="004B6880">
              <w:t>training certificates</w:t>
            </w:r>
            <w:r>
              <w:t xml:space="preserve"> and </w:t>
            </w:r>
            <w:r w:rsidRPr="004B6880">
              <w:t>samples of work. We don</w:t>
            </w:r>
            <w:r w:rsidR="00D52B39">
              <w:t>’</w:t>
            </w:r>
            <w:r w:rsidRPr="004B6880">
              <w:t>t ask them to collect folders of evidence. We call people they</w:t>
            </w:r>
            <w:r w:rsidR="00D52B39">
              <w:t>’</w:t>
            </w:r>
            <w:r w:rsidRPr="004B6880">
              <w:t>ve worked with.</w:t>
            </w:r>
            <w:r>
              <w:t xml:space="preserve"> </w:t>
            </w:r>
            <w:r w:rsidRPr="004B6880">
              <w:t xml:space="preserve">We will go to </w:t>
            </w:r>
            <w:r>
              <w:t xml:space="preserve">the </w:t>
            </w:r>
            <w:r w:rsidRPr="004B6880">
              <w:t>workplace for existing workers</w:t>
            </w:r>
            <w:r>
              <w:t>;</w:t>
            </w:r>
            <w:r w:rsidRPr="004B6880">
              <w:t xml:space="preserve"> if </w:t>
            </w:r>
            <w:r>
              <w:t xml:space="preserve">candidates </w:t>
            </w:r>
            <w:r w:rsidRPr="004B6880">
              <w:t>are not working we</w:t>
            </w:r>
            <w:r>
              <w:t xml:space="preserve"> get them to do challenge test.</w:t>
            </w:r>
            <w:r>
              <w:tab/>
              <w:t>(B</w:t>
            </w:r>
            <w:r w:rsidRPr="001408F1">
              <w:t>usiness, public provider)</w:t>
            </w:r>
          </w:p>
        </w:tc>
      </w:tr>
    </w:tbl>
    <w:p w:rsidR="00785E85" w:rsidRDefault="00785E85" w:rsidP="00796BEF">
      <w:pPr>
        <w:pStyle w:val="Text"/>
      </w:pPr>
      <w:r>
        <w:br w:type="page"/>
      </w:r>
    </w:p>
    <w:p w:rsidR="00785E85" w:rsidRDefault="00785E85" w:rsidP="00785E85">
      <w:pPr>
        <w:pStyle w:val="Heading1"/>
      </w:pPr>
      <w:bookmarkStart w:id="63" w:name="_Toc381103190"/>
      <w:r>
        <w:lastRenderedPageBreak/>
        <w:t xml:space="preserve">What </w:t>
      </w:r>
      <w:r w:rsidR="00B011C2">
        <w:t xml:space="preserve">is the impact of course </w:t>
      </w:r>
      <w:r w:rsidR="00196A82">
        <w:t>duration</w:t>
      </w:r>
      <w:r w:rsidR="00B011C2">
        <w:t xml:space="preserve"> on qualifications</w:t>
      </w:r>
      <w:r>
        <w:t>?</w:t>
      </w:r>
      <w:bookmarkEnd w:id="63"/>
    </w:p>
    <w:p w:rsidR="00A55C29" w:rsidRDefault="00A55C29" w:rsidP="00A55C29">
      <w:pPr>
        <w:pStyle w:val="Text"/>
      </w:pPr>
      <w:r>
        <w:t xml:space="preserve">To answer this question we needed to know the actual length of different courses, concentrating on the Certificate III in Aged Care and the </w:t>
      </w:r>
      <w:r w:rsidRPr="00A55C29">
        <w:t>Certificate IV in Training and Assessment. We</w:t>
      </w:r>
      <w:r>
        <w:t xml:space="preserve"> undertook an analysis of data on start and end dates for courses from the National VET Provider Collection for 2010 commencements and matched these with data on completions for 2010 and 2011. </w:t>
      </w:r>
    </w:p>
    <w:p w:rsidR="00C37F5F" w:rsidRDefault="00C37F5F" w:rsidP="00A55C29">
      <w:pPr>
        <w:pStyle w:val="Text"/>
      </w:pPr>
      <w:r>
        <w:t>To gain a clearer understanding of what registered training organisations are promoting as course durations, we undertook a web-based exercise of postings on 50 registered training organisation websites (table 8). To begin with we looked at two qualifications typically criticised for being delivered in shorter than acceptable timeframes. These were the Certificate III in Aged Care and the Certificate IV in Training and Assessment; we looked at 25 registered training organisations delivering each qualification.</w:t>
      </w:r>
    </w:p>
    <w:p w:rsidR="00C37F5F" w:rsidRDefault="00C37F5F" w:rsidP="00C37F5F">
      <w:pPr>
        <w:pStyle w:val="Text"/>
      </w:pPr>
      <w:r>
        <w:t xml:space="preserve">From the provider websites we recorded the duration and cost of the course. We also checked whether the registered training organisation had the qualification on scope. We followed this up with a ‘mystery shopping’ exercise to collect additional information on delivery mode, the shortest amount of time it would take someone with no prior experience to complete the course (in days and hours per day), the subjects (units) to be completed, and, in the case of aged care, the length of mandatory work placements, (table 8). </w:t>
      </w:r>
    </w:p>
    <w:p w:rsidR="00B331A9" w:rsidRDefault="00B331A9" w:rsidP="00B331A9">
      <w:pPr>
        <w:pStyle w:val="Heading2"/>
      </w:pPr>
      <w:bookmarkStart w:id="64" w:name="_Toc381103191"/>
      <w:r>
        <w:t>Certificate III in Aged Care</w:t>
      </w:r>
      <w:bookmarkEnd w:id="64"/>
      <w:r>
        <w:t xml:space="preserve"> </w:t>
      </w:r>
    </w:p>
    <w:p w:rsidR="00706A17" w:rsidRDefault="00706A17" w:rsidP="00706A17">
      <w:pPr>
        <w:pStyle w:val="Text"/>
      </w:pPr>
      <w:r>
        <w:t>For the Certificate III in Aged Care we found that the mean duration for commencem</w:t>
      </w:r>
      <w:r w:rsidR="00EE1CA9">
        <w:t>ents was 192</w:t>
      </w:r>
      <w:r w:rsidR="00B063A0">
        <w:t> </w:t>
      </w:r>
      <w:r w:rsidR="00EE1CA9">
        <w:t>days or 27 weeks, while t</w:t>
      </w:r>
      <w:r>
        <w:t>he median duration was 147 days</w:t>
      </w:r>
      <w:r w:rsidR="00EE1CA9">
        <w:t xml:space="preserve"> </w:t>
      </w:r>
      <w:r w:rsidR="00EE1CA9" w:rsidRPr="00ED42E9">
        <w:t>(figure 3)</w:t>
      </w:r>
      <w:r w:rsidRPr="00ED42E9">
        <w:t>.</w:t>
      </w:r>
    </w:p>
    <w:p w:rsidR="00C37F5F" w:rsidRDefault="00C37F5F" w:rsidP="00C37F5F">
      <w:pPr>
        <w:pStyle w:val="Text"/>
        <w:ind w:right="283"/>
      </w:pPr>
      <w:r>
        <w:t xml:space="preserve">While using this method gives an indication of the amount of time taken to complete a course, it does not provide any information on the expectations of registered training organisations for course durations. </w:t>
      </w:r>
    </w:p>
    <w:p w:rsidR="00C37F5F" w:rsidRDefault="00C37F5F" w:rsidP="00C37F5F">
      <w:pPr>
        <w:pStyle w:val="Text"/>
      </w:pPr>
      <w:r>
        <w:t xml:space="preserve">The costs of courses were also of interest. Gathering information on fees was not always straightforward because they were not always on the website, or a number of steps to access the information were required. We concentrated on tuition fees only, finding that these were subject to a number of different eligibility requirements. For example, in Victoria those who already hold a certificate III in any other area are generally not eligible for a government-funded place. Those with a concession card will also have different tuition fees. Another set of fees apply for international students. In view of this we selected the scenario of a local student undertaking the qualification as a fee-for-service course, without any RPL. </w:t>
      </w:r>
    </w:p>
    <w:p w:rsidR="00C37F5F" w:rsidRDefault="00C37F5F">
      <w:pPr>
        <w:rPr>
          <w:rFonts w:ascii="Tahoma" w:hAnsi="Tahoma"/>
          <w:b/>
          <w:sz w:val="17"/>
          <w:szCs w:val="20"/>
          <w:lang w:eastAsia="en-US"/>
        </w:rPr>
      </w:pPr>
      <w:r>
        <w:br w:type="page"/>
      </w:r>
    </w:p>
    <w:p w:rsidR="00706A17" w:rsidRDefault="00C37F5F" w:rsidP="00B063A0">
      <w:pPr>
        <w:pStyle w:val="Figuretitle"/>
      </w:pPr>
      <w:bookmarkStart w:id="65" w:name="_Toc381103340"/>
      <w:r>
        <w:rPr>
          <w:noProof/>
          <w:lang w:eastAsia="en-AU"/>
        </w:rPr>
        <w:lastRenderedPageBreak/>
        <w:drawing>
          <wp:anchor distT="0" distB="0" distL="114300" distR="114300" simplePos="0" relativeHeight="251675648" behindDoc="0" locked="0" layoutInCell="1" allowOverlap="1">
            <wp:simplePos x="0" y="0"/>
            <wp:positionH relativeFrom="column">
              <wp:posOffset>-43180</wp:posOffset>
            </wp:positionH>
            <wp:positionV relativeFrom="paragraph">
              <wp:posOffset>323215</wp:posOffset>
            </wp:positionV>
            <wp:extent cx="5133975" cy="376237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5133975" cy="3762375"/>
                    </a:xfrm>
                    <a:prstGeom prst="rect">
                      <a:avLst/>
                    </a:prstGeom>
                    <a:noFill/>
                    <a:ln w="9525">
                      <a:noFill/>
                      <a:miter lim="800000"/>
                      <a:headEnd/>
                      <a:tailEnd/>
                    </a:ln>
                  </pic:spPr>
                </pic:pic>
              </a:graphicData>
            </a:graphic>
          </wp:anchor>
        </w:drawing>
      </w:r>
      <w:r w:rsidR="00196A82">
        <w:t>Figure 3</w:t>
      </w:r>
      <w:r w:rsidR="00B063A0">
        <w:tab/>
      </w:r>
      <w:r w:rsidR="00706A17">
        <w:t>Elapsed days between course commencement and qualification awarded for students gaining Certificate III Aged Care qualifications</w:t>
      </w:r>
      <w:r w:rsidR="00196A82" w:rsidRPr="00196A82">
        <w:rPr>
          <w:vertAlign w:val="superscript"/>
        </w:rPr>
        <w:t>1</w:t>
      </w:r>
      <w:bookmarkEnd w:id="65"/>
    </w:p>
    <w:p w:rsidR="001B212B" w:rsidRPr="00B063A0" w:rsidRDefault="00B063A0" w:rsidP="00B063A0">
      <w:pPr>
        <w:pStyle w:val="Source"/>
      </w:pPr>
      <w:r>
        <w:t>Note:</w:t>
      </w:r>
      <w:r>
        <w:tab/>
      </w:r>
      <w:r w:rsidR="001B212B">
        <w:t>1</w:t>
      </w:r>
      <w:r>
        <w:t xml:space="preserve">  </w:t>
      </w:r>
      <w:r w:rsidR="001B212B">
        <w:t xml:space="preserve"> 2010 </w:t>
      </w:r>
      <w:r w:rsidR="001B212B" w:rsidRPr="00B063A0">
        <w:t>Commencements matched to 2010 and 2011 completions.</w:t>
      </w:r>
    </w:p>
    <w:p w:rsidR="00706A17" w:rsidRDefault="00B063A0" w:rsidP="00B063A0">
      <w:pPr>
        <w:pStyle w:val="Source"/>
      </w:pPr>
      <w:r w:rsidRPr="00B063A0">
        <w:t>Source:</w:t>
      </w:r>
      <w:r w:rsidRPr="00B063A0">
        <w:tab/>
      </w:r>
      <w:r w:rsidR="00706A17" w:rsidRPr="00B063A0">
        <w:t>National</w:t>
      </w:r>
      <w:r w:rsidR="00706A17">
        <w:t xml:space="preserve"> VET Provider Collection</w:t>
      </w:r>
      <w:r w:rsidR="001B212B">
        <w:t>.</w:t>
      </w:r>
    </w:p>
    <w:p w:rsidR="008756C2" w:rsidRDefault="00B063A0" w:rsidP="00C37F5F">
      <w:pPr>
        <w:pStyle w:val="Textmorebefore"/>
      </w:pPr>
      <w:r w:rsidRPr="00B063A0">
        <w:t xml:space="preserve">The </w:t>
      </w:r>
      <w:r w:rsidR="008F1107" w:rsidRPr="00B063A0">
        <w:t>number of days and hours of this course varied across all 25 RTOs</w:t>
      </w:r>
      <w:r>
        <w:t>.</w:t>
      </w:r>
      <w:r w:rsidR="008F1107" w:rsidRPr="00B063A0">
        <w:t xml:space="preserve"> </w:t>
      </w:r>
      <w:r w:rsidR="008756C2">
        <w:t xml:space="preserve">The shortest course was </w:t>
      </w:r>
      <w:r w:rsidR="00D62205">
        <w:t>four weeks full-time (</w:t>
      </w:r>
      <w:r w:rsidR="008756C2">
        <w:t>9.00</w:t>
      </w:r>
      <w:r w:rsidR="00D62205">
        <w:t xml:space="preserve"> am—</w:t>
      </w:r>
      <w:r w:rsidR="008756C2">
        <w:t>3.</w:t>
      </w:r>
      <w:r w:rsidR="002D2F3D">
        <w:t>00</w:t>
      </w:r>
      <w:r w:rsidR="00D62205">
        <w:t xml:space="preserve"> </w:t>
      </w:r>
      <w:r w:rsidR="008756C2">
        <w:t>pm)</w:t>
      </w:r>
      <w:r w:rsidR="00792475">
        <w:t>;</w:t>
      </w:r>
      <w:r w:rsidR="008756C2">
        <w:t xml:space="preserve"> the longest was </w:t>
      </w:r>
      <w:r w:rsidR="00D62205">
        <w:t xml:space="preserve">six </w:t>
      </w:r>
      <w:r w:rsidR="008756C2">
        <w:t>months (</w:t>
      </w:r>
      <w:r w:rsidR="00D62205">
        <w:t>at</w:t>
      </w:r>
      <w:r w:rsidR="008756C2">
        <w:t xml:space="preserve"> 24 hours per week). </w:t>
      </w:r>
      <w:r w:rsidR="00B51E71">
        <w:t>Both courses were face-to-face courses</w:t>
      </w:r>
      <w:r w:rsidR="00D62205">
        <w:t>,</w:t>
      </w:r>
      <w:r w:rsidR="00B51E71">
        <w:t xml:space="preserve"> with the first course requiring 80 hours of work placements (that is</w:t>
      </w:r>
      <w:r w:rsidR="00D62205">
        <w:t>, two 40-hour weeks);</w:t>
      </w:r>
      <w:r w:rsidR="00B51E71">
        <w:t xml:space="preserve"> the second one </w:t>
      </w:r>
      <w:r w:rsidR="00D62205">
        <w:t xml:space="preserve">was a </w:t>
      </w:r>
      <w:r w:rsidR="00B51E71">
        <w:t xml:space="preserve">full-time week (that is, 40 hours). All </w:t>
      </w:r>
      <w:r w:rsidR="003F756A">
        <w:t>registered training organisation</w:t>
      </w:r>
      <w:r w:rsidR="00DE3070">
        <w:t>s</w:t>
      </w:r>
      <w:r w:rsidR="00B51E71">
        <w:t xml:space="preserve"> reported a manda</w:t>
      </w:r>
      <w:r w:rsidR="00D62205">
        <w:t xml:space="preserve">tory work </w:t>
      </w:r>
      <w:r w:rsidR="00B51E71">
        <w:t xml:space="preserve">placement but there was little uniformity in the number of weeks required. </w:t>
      </w:r>
      <w:r w:rsidR="008756C2">
        <w:t xml:space="preserve">Students were expected to undertake a full shift, mainly </w:t>
      </w:r>
      <w:r w:rsidR="00792475">
        <w:t xml:space="preserve">a </w:t>
      </w:r>
      <w:r w:rsidR="008756C2">
        <w:t>daytime shift</w:t>
      </w:r>
      <w:r w:rsidR="0062677E">
        <w:t>.</w:t>
      </w:r>
      <w:r w:rsidR="008756C2">
        <w:t xml:space="preserve"> </w:t>
      </w:r>
      <w:r w:rsidR="00792475">
        <w:t>Evening shift</w:t>
      </w:r>
      <w:r w:rsidR="008F1107">
        <w:t>s</w:t>
      </w:r>
      <w:r w:rsidR="00792475">
        <w:t xml:space="preserve"> were seldom required. </w:t>
      </w:r>
      <w:r w:rsidR="008756C2">
        <w:t xml:space="preserve">Courses </w:t>
      </w:r>
      <w:r w:rsidR="0062677E">
        <w:t xml:space="preserve">that were </w:t>
      </w:r>
      <w:r w:rsidR="008F1107">
        <w:t>delivered either fully on</w:t>
      </w:r>
      <w:r w:rsidR="008756C2">
        <w:t xml:space="preserve">line or using a </w:t>
      </w:r>
      <w:r w:rsidR="0062677E">
        <w:t>mixture of online, f</w:t>
      </w:r>
      <w:r w:rsidR="00792475">
        <w:t>ace-to-face and distance method</w:t>
      </w:r>
      <w:r w:rsidR="00C37F5F">
        <w:t>s</w:t>
      </w:r>
      <w:r w:rsidR="00792475">
        <w:t xml:space="preserve"> </w:t>
      </w:r>
      <w:r w:rsidR="008756C2">
        <w:t>were often expected to be completed during a set number of months (gen</w:t>
      </w:r>
      <w:r w:rsidR="008F1107">
        <w:t>erally up to 12 or 18 months). Furthermore, i</w:t>
      </w:r>
      <w:r w:rsidR="008756C2">
        <w:t>t was also not unusual for courses to have different durations</w:t>
      </w:r>
      <w:r w:rsidR="008F1107">
        <w:t>, depending upon</w:t>
      </w:r>
      <w:r w:rsidR="008756C2">
        <w:t xml:space="preserve"> </w:t>
      </w:r>
      <w:r w:rsidR="002B01D0">
        <w:t xml:space="preserve">the </w:t>
      </w:r>
      <w:r w:rsidR="008756C2">
        <w:t>different delivery methods.</w:t>
      </w:r>
    </w:p>
    <w:p w:rsidR="008756C2" w:rsidRDefault="008756C2" w:rsidP="008756C2">
      <w:pPr>
        <w:pStyle w:val="Text"/>
      </w:pPr>
      <w:r>
        <w:t xml:space="preserve">Just over a third of the courses were delivered </w:t>
      </w:r>
      <w:r w:rsidR="008F1107">
        <w:t xml:space="preserve">in </w:t>
      </w:r>
      <w:r>
        <w:t>class (face-to-face delivery methods</w:t>
      </w:r>
      <w:r w:rsidR="008F1107">
        <w:t>). Almost a half offered online-</w:t>
      </w:r>
      <w:r>
        <w:t>only programs, with the remainder offering a blend of in-class and online training or a mix of delivery methods, including distance learning. Every delivery method wa</w:t>
      </w:r>
      <w:r w:rsidR="008F1107">
        <w:t xml:space="preserve">s accompanied by practical work </w:t>
      </w:r>
      <w:r>
        <w:t>placements.</w:t>
      </w:r>
      <w:r w:rsidR="00E3166C">
        <w:t xml:space="preserve"> </w:t>
      </w:r>
    </w:p>
    <w:p w:rsidR="008756C2" w:rsidRDefault="008756C2" w:rsidP="008756C2">
      <w:pPr>
        <w:pStyle w:val="Text"/>
      </w:pPr>
      <w:r>
        <w:t xml:space="preserve">The median cost of a course was around $1950.00. The shaded areas in table </w:t>
      </w:r>
      <w:r w:rsidR="00FE109F">
        <w:t xml:space="preserve">8 </w:t>
      </w:r>
      <w:r>
        <w:t xml:space="preserve">refer to those </w:t>
      </w:r>
      <w:r w:rsidR="003F756A">
        <w:t>registered training organisation</w:t>
      </w:r>
      <w:r>
        <w:t>s that were part of the mystery shopping exercise. That said</w:t>
      </w:r>
      <w:r w:rsidR="00EE1CA9">
        <w:t>,</w:t>
      </w:r>
      <w:r>
        <w:t xml:space="preserve"> there were also </w:t>
      </w:r>
      <w:r w:rsidR="00EE1CA9">
        <w:t>occasions</w:t>
      </w:r>
      <w:r>
        <w:t xml:space="preserve"> when other </w:t>
      </w:r>
      <w:r w:rsidR="003F756A">
        <w:t>registered training organisation</w:t>
      </w:r>
      <w:r>
        <w:t xml:space="preserve">s were contacted </w:t>
      </w:r>
      <w:r w:rsidR="00EE1CA9">
        <w:t xml:space="preserve">for information about fees and work </w:t>
      </w:r>
      <w:r>
        <w:t xml:space="preserve">placements. </w:t>
      </w:r>
    </w:p>
    <w:p w:rsidR="00792475" w:rsidRDefault="00792475">
      <w:pPr>
        <w:rPr>
          <w:rFonts w:ascii="Trebuchet MS" w:hAnsi="Trebuchet MS"/>
          <w:sz w:val="19"/>
          <w:szCs w:val="20"/>
          <w:lang w:eastAsia="en-US"/>
        </w:rPr>
      </w:pPr>
      <w:r>
        <w:br w:type="page"/>
      </w:r>
    </w:p>
    <w:p w:rsidR="008756C2" w:rsidRDefault="008756C2" w:rsidP="00B063A0">
      <w:pPr>
        <w:pStyle w:val="tabletitle"/>
      </w:pPr>
      <w:bookmarkStart w:id="66" w:name="_Toc381103332"/>
      <w:r>
        <w:lastRenderedPageBreak/>
        <w:t xml:space="preserve">Table </w:t>
      </w:r>
      <w:r w:rsidR="00EE1CA9">
        <w:t>8</w:t>
      </w:r>
      <w:r w:rsidR="00B063A0">
        <w:tab/>
      </w:r>
      <w:r>
        <w:t xml:space="preserve">Characteristics of delivery, duration and cost of Certificate III in Aged Care by </w:t>
      </w:r>
      <w:r w:rsidR="00DF4211">
        <w:t>registered training organisation</w:t>
      </w:r>
      <w:bookmarkEnd w:id="66"/>
    </w:p>
    <w:tbl>
      <w:tblPr>
        <w:tblStyle w:val="TableGrid"/>
        <w:tblW w:w="8789"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418"/>
        <w:gridCol w:w="2693"/>
        <w:gridCol w:w="2126"/>
        <w:gridCol w:w="992"/>
        <w:gridCol w:w="993"/>
      </w:tblGrid>
      <w:tr w:rsidR="008756C2" w:rsidTr="0041086D">
        <w:tc>
          <w:tcPr>
            <w:tcW w:w="567" w:type="dxa"/>
            <w:tcBorders>
              <w:top w:val="single" w:sz="4" w:space="0" w:color="auto"/>
              <w:bottom w:val="single" w:sz="4" w:space="0" w:color="auto"/>
            </w:tcBorders>
            <w:tcMar>
              <w:right w:w="0" w:type="dxa"/>
            </w:tcMar>
          </w:tcPr>
          <w:p w:rsidR="008756C2" w:rsidRDefault="0041086D" w:rsidP="008E3EBA">
            <w:pPr>
              <w:pStyle w:val="Tablehead1"/>
            </w:pPr>
            <w:r>
              <w:t>RTO</w:t>
            </w:r>
          </w:p>
        </w:tc>
        <w:tc>
          <w:tcPr>
            <w:tcW w:w="1418" w:type="dxa"/>
            <w:tcBorders>
              <w:top w:val="single" w:sz="4" w:space="0" w:color="auto"/>
              <w:bottom w:val="single" w:sz="4" w:space="0" w:color="auto"/>
            </w:tcBorders>
          </w:tcPr>
          <w:p w:rsidR="008756C2" w:rsidRDefault="008756C2" w:rsidP="008E3EBA">
            <w:pPr>
              <w:pStyle w:val="Tablehead1"/>
              <w:rPr>
                <w:rFonts w:cs="Arial"/>
                <w:color w:val="000000"/>
                <w:szCs w:val="16"/>
              </w:rPr>
            </w:pPr>
            <w:r>
              <w:rPr>
                <w:rFonts w:cs="Arial"/>
                <w:color w:val="000000"/>
                <w:szCs w:val="16"/>
              </w:rPr>
              <w:t>Delivery</w:t>
            </w:r>
          </w:p>
        </w:tc>
        <w:tc>
          <w:tcPr>
            <w:tcW w:w="2693" w:type="dxa"/>
            <w:tcBorders>
              <w:top w:val="single" w:sz="4" w:space="0" w:color="auto"/>
              <w:bottom w:val="single" w:sz="4" w:space="0" w:color="auto"/>
            </w:tcBorders>
          </w:tcPr>
          <w:p w:rsidR="008756C2" w:rsidRDefault="008756C2" w:rsidP="008E3EBA">
            <w:pPr>
              <w:pStyle w:val="Tablehead1"/>
              <w:rPr>
                <w:rFonts w:cs="Arial"/>
                <w:color w:val="000000"/>
                <w:szCs w:val="16"/>
              </w:rPr>
            </w:pPr>
            <w:r>
              <w:rPr>
                <w:rFonts w:cs="Arial"/>
                <w:color w:val="000000"/>
                <w:szCs w:val="16"/>
              </w:rPr>
              <w:t>Duration if starting course from scratch</w:t>
            </w:r>
          </w:p>
        </w:tc>
        <w:tc>
          <w:tcPr>
            <w:tcW w:w="2126" w:type="dxa"/>
            <w:tcBorders>
              <w:top w:val="single" w:sz="4" w:space="0" w:color="auto"/>
              <w:bottom w:val="single" w:sz="4" w:space="0" w:color="auto"/>
            </w:tcBorders>
          </w:tcPr>
          <w:p w:rsidR="008756C2" w:rsidRDefault="00DF4211" w:rsidP="008E3EBA">
            <w:pPr>
              <w:pStyle w:val="Tablehead1"/>
              <w:rPr>
                <w:rFonts w:cs="Arial"/>
                <w:color w:val="000000"/>
                <w:szCs w:val="16"/>
              </w:rPr>
            </w:pPr>
            <w:r>
              <w:rPr>
                <w:rFonts w:cs="Arial"/>
                <w:color w:val="000000"/>
                <w:szCs w:val="16"/>
              </w:rPr>
              <w:t xml:space="preserve">Work </w:t>
            </w:r>
            <w:r w:rsidR="008756C2">
              <w:rPr>
                <w:rFonts w:cs="Arial"/>
                <w:color w:val="000000"/>
                <w:szCs w:val="16"/>
              </w:rPr>
              <w:t>placement</w:t>
            </w:r>
            <w:r w:rsidR="00E3166C">
              <w:rPr>
                <w:rFonts w:cs="Arial"/>
                <w:color w:val="000000"/>
                <w:szCs w:val="16"/>
              </w:rPr>
              <w:t xml:space="preserve"> </w:t>
            </w:r>
            <w:r w:rsidR="008756C2">
              <w:rPr>
                <w:rFonts w:cs="Arial"/>
                <w:color w:val="000000"/>
                <w:szCs w:val="16"/>
              </w:rPr>
              <w:t>hours required</w:t>
            </w:r>
          </w:p>
        </w:tc>
        <w:tc>
          <w:tcPr>
            <w:tcW w:w="992" w:type="dxa"/>
            <w:tcBorders>
              <w:top w:val="single" w:sz="4" w:space="0" w:color="auto"/>
              <w:bottom w:val="single" w:sz="4" w:space="0" w:color="auto"/>
            </w:tcBorders>
          </w:tcPr>
          <w:p w:rsidR="008756C2" w:rsidRDefault="008756C2" w:rsidP="003E3FB8">
            <w:pPr>
              <w:pStyle w:val="Tablehead1"/>
              <w:jc w:val="center"/>
              <w:rPr>
                <w:rFonts w:cs="Arial"/>
                <w:color w:val="000000"/>
                <w:szCs w:val="16"/>
              </w:rPr>
            </w:pPr>
            <w:r>
              <w:rPr>
                <w:rFonts w:cs="Arial"/>
                <w:color w:val="000000"/>
                <w:szCs w:val="16"/>
              </w:rPr>
              <w:t xml:space="preserve">Cost </w:t>
            </w:r>
            <w:r w:rsidR="008E3EBA">
              <w:rPr>
                <w:rFonts w:cs="Arial"/>
                <w:color w:val="000000"/>
                <w:szCs w:val="16"/>
              </w:rPr>
              <w:t>($)</w:t>
            </w:r>
          </w:p>
        </w:tc>
        <w:tc>
          <w:tcPr>
            <w:tcW w:w="993" w:type="dxa"/>
            <w:tcBorders>
              <w:top w:val="single" w:sz="4" w:space="0" w:color="auto"/>
              <w:bottom w:val="single" w:sz="4" w:space="0" w:color="auto"/>
            </w:tcBorders>
            <w:tcMar>
              <w:left w:w="28" w:type="dxa"/>
              <w:right w:w="28" w:type="dxa"/>
            </w:tcMar>
          </w:tcPr>
          <w:p w:rsidR="008756C2" w:rsidRDefault="008756C2" w:rsidP="003E3FB8">
            <w:pPr>
              <w:pStyle w:val="Tablehead1"/>
              <w:jc w:val="center"/>
              <w:rPr>
                <w:rFonts w:cs="Arial"/>
                <w:color w:val="000000"/>
                <w:szCs w:val="16"/>
              </w:rPr>
            </w:pPr>
            <w:r>
              <w:rPr>
                <w:rFonts w:cs="Arial"/>
                <w:color w:val="000000"/>
                <w:szCs w:val="16"/>
              </w:rPr>
              <w:t>In-scope training.</w:t>
            </w:r>
            <w:r w:rsidR="008E3EBA">
              <w:rPr>
                <w:rFonts w:cs="Arial"/>
                <w:color w:val="000000"/>
                <w:szCs w:val="16"/>
              </w:rPr>
              <w:br/>
            </w:r>
            <w:r>
              <w:rPr>
                <w:rFonts w:cs="Arial"/>
                <w:color w:val="000000"/>
                <w:szCs w:val="16"/>
              </w:rPr>
              <w:t>gov.au</w:t>
            </w:r>
          </w:p>
        </w:tc>
      </w:tr>
      <w:tr w:rsidR="008756C2" w:rsidTr="0041086D">
        <w:tc>
          <w:tcPr>
            <w:tcW w:w="567" w:type="dxa"/>
            <w:tcBorders>
              <w:top w:val="single" w:sz="4" w:space="0" w:color="auto"/>
            </w:tcBorders>
          </w:tcPr>
          <w:p w:rsidR="008756C2" w:rsidRDefault="008756C2" w:rsidP="008E3EBA">
            <w:pPr>
              <w:pStyle w:val="Tabletext"/>
            </w:pPr>
            <w:r>
              <w:t>1</w:t>
            </w:r>
          </w:p>
        </w:tc>
        <w:tc>
          <w:tcPr>
            <w:tcW w:w="1418" w:type="dxa"/>
            <w:tcBorders>
              <w:top w:val="single" w:sz="4" w:space="0" w:color="auto"/>
            </w:tcBorders>
          </w:tcPr>
          <w:p w:rsidR="008756C2" w:rsidRDefault="008E3EBA" w:rsidP="008E3EBA">
            <w:pPr>
              <w:pStyle w:val="Tabletext"/>
              <w:rPr>
                <w:rFonts w:cs="Arial"/>
                <w:color w:val="000000"/>
                <w:szCs w:val="16"/>
              </w:rPr>
            </w:pPr>
            <w:r>
              <w:rPr>
                <w:rFonts w:cs="Arial"/>
                <w:color w:val="000000"/>
                <w:szCs w:val="16"/>
              </w:rPr>
              <w:t>In</w:t>
            </w:r>
            <w:r w:rsidR="008756C2">
              <w:rPr>
                <w:rFonts w:cs="Arial"/>
                <w:color w:val="000000"/>
                <w:szCs w:val="16"/>
              </w:rPr>
              <w:t>-class, online</w:t>
            </w:r>
          </w:p>
        </w:tc>
        <w:tc>
          <w:tcPr>
            <w:tcW w:w="2693" w:type="dxa"/>
            <w:tcBorders>
              <w:top w:val="single" w:sz="4" w:space="0" w:color="auto"/>
            </w:tcBorders>
          </w:tcPr>
          <w:p w:rsidR="008756C2" w:rsidRDefault="008756C2" w:rsidP="008E3EBA">
            <w:pPr>
              <w:pStyle w:val="Tabletext"/>
              <w:rPr>
                <w:rFonts w:cs="Arial"/>
                <w:color w:val="000000"/>
                <w:szCs w:val="16"/>
              </w:rPr>
            </w:pPr>
            <w:r>
              <w:rPr>
                <w:rFonts w:cs="Arial"/>
                <w:color w:val="000000"/>
                <w:szCs w:val="16"/>
              </w:rPr>
              <w:t xml:space="preserve">26 weeks </w:t>
            </w:r>
            <w:r w:rsidR="00DF4211">
              <w:rPr>
                <w:rFonts w:cs="Arial"/>
                <w:color w:val="000000"/>
                <w:szCs w:val="16"/>
              </w:rPr>
              <w:t>in class, up to 12</w:t>
            </w:r>
            <w:r w:rsidR="008E3EBA">
              <w:rPr>
                <w:rFonts w:cs="Arial"/>
                <w:color w:val="000000"/>
                <w:szCs w:val="16"/>
              </w:rPr>
              <w:t> </w:t>
            </w:r>
            <w:r w:rsidR="00DF4211">
              <w:rPr>
                <w:rFonts w:cs="Arial"/>
                <w:color w:val="000000"/>
                <w:szCs w:val="16"/>
              </w:rPr>
              <w:t>months if on</w:t>
            </w:r>
            <w:r>
              <w:rPr>
                <w:rFonts w:cs="Arial"/>
                <w:color w:val="000000"/>
                <w:szCs w:val="16"/>
              </w:rPr>
              <w:t xml:space="preserve">line </w:t>
            </w:r>
          </w:p>
        </w:tc>
        <w:tc>
          <w:tcPr>
            <w:tcW w:w="2126" w:type="dxa"/>
            <w:tcBorders>
              <w:top w:val="single" w:sz="4" w:space="0" w:color="auto"/>
            </w:tcBorders>
          </w:tcPr>
          <w:p w:rsidR="008756C2" w:rsidRDefault="00DF4211" w:rsidP="008E3EBA">
            <w:pPr>
              <w:pStyle w:val="Tabletext"/>
              <w:rPr>
                <w:rFonts w:cs="Arial"/>
                <w:color w:val="000000"/>
                <w:szCs w:val="16"/>
              </w:rPr>
            </w:pPr>
            <w:r>
              <w:rPr>
                <w:rFonts w:cs="Arial"/>
                <w:color w:val="000000"/>
                <w:szCs w:val="16"/>
              </w:rPr>
              <w:t>50–</w:t>
            </w:r>
            <w:r w:rsidR="008756C2">
              <w:rPr>
                <w:rFonts w:cs="Arial"/>
                <w:color w:val="000000"/>
                <w:szCs w:val="16"/>
              </w:rPr>
              <w:t>80 hours</w:t>
            </w:r>
          </w:p>
        </w:tc>
        <w:tc>
          <w:tcPr>
            <w:tcW w:w="992" w:type="dxa"/>
            <w:tcBorders>
              <w:top w:val="single" w:sz="4" w:space="0" w:color="auto"/>
            </w:tcBorders>
          </w:tcPr>
          <w:p w:rsidR="008756C2" w:rsidRDefault="00DF4211" w:rsidP="003E3FB8">
            <w:pPr>
              <w:pStyle w:val="Tabletext"/>
              <w:jc w:val="center"/>
              <w:rPr>
                <w:rFonts w:cs="Arial"/>
                <w:color w:val="000000"/>
                <w:szCs w:val="16"/>
              </w:rPr>
            </w:pPr>
            <w:r>
              <w:rPr>
                <w:rFonts w:cs="Arial"/>
                <w:color w:val="000000"/>
                <w:szCs w:val="16"/>
              </w:rPr>
              <w:t>2</w:t>
            </w:r>
            <w:r w:rsidR="005469E1">
              <w:rPr>
                <w:rFonts w:cs="Arial"/>
                <w:color w:val="000000"/>
                <w:szCs w:val="16"/>
              </w:rPr>
              <w:t xml:space="preserve"> </w:t>
            </w:r>
            <w:r w:rsidR="008756C2">
              <w:rPr>
                <w:rFonts w:cs="Arial"/>
                <w:color w:val="000000"/>
                <w:szCs w:val="16"/>
              </w:rPr>
              <w:t>000</w:t>
            </w:r>
          </w:p>
        </w:tc>
        <w:tc>
          <w:tcPr>
            <w:tcW w:w="993" w:type="dxa"/>
            <w:tcBorders>
              <w:top w:val="single" w:sz="4" w:space="0" w:color="auto"/>
            </w:tcBorders>
          </w:tcPr>
          <w:p w:rsidR="008756C2" w:rsidRDefault="008756C2" w:rsidP="003E3FB8">
            <w:pPr>
              <w:pStyle w:val="Tabletext"/>
              <w:jc w:val="center"/>
              <w:rPr>
                <w:rFonts w:cs="Arial"/>
                <w:color w:val="000000"/>
                <w:szCs w:val="16"/>
              </w:rPr>
            </w:pPr>
            <w:r>
              <w:rPr>
                <w:rFonts w:cs="Arial"/>
                <w:color w:val="000000"/>
                <w:szCs w:val="16"/>
              </w:rPr>
              <w:t>yes</w:t>
            </w:r>
          </w:p>
        </w:tc>
      </w:tr>
      <w:tr w:rsidR="008756C2" w:rsidTr="0041086D">
        <w:tc>
          <w:tcPr>
            <w:tcW w:w="567" w:type="dxa"/>
          </w:tcPr>
          <w:p w:rsidR="008756C2" w:rsidRDefault="008756C2" w:rsidP="008E3EBA">
            <w:pPr>
              <w:pStyle w:val="Tabletext"/>
            </w:pPr>
            <w:r>
              <w:t>2</w:t>
            </w:r>
          </w:p>
        </w:tc>
        <w:tc>
          <w:tcPr>
            <w:tcW w:w="1418" w:type="dxa"/>
          </w:tcPr>
          <w:p w:rsidR="008756C2" w:rsidRDefault="008E3EBA" w:rsidP="008E3EBA">
            <w:pPr>
              <w:pStyle w:val="Tabletext"/>
              <w:rPr>
                <w:rFonts w:cs="Arial"/>
                <w:color w:val="000000"/>
                <w:szCs w:val="16"/>
              </w:rPr>
            </w:pPr>
            <w:r>
              <w:rPr>
                <w:rFonts w:cs="Arial"/>
                <w:color w:val="000000"/>
                <w:szCs w:val="16"/>
              </w:rPr>
              <w:t>In</w:t>
            </w:r>
            <w:r w:rsidR="008756C2">
              <w:rPr>
                <w:rFonts w:cs="Arial"/>
                <w:color w:val="000000"/>
                <w:szCs w:val="16"/>
              </w:rPr>
              <w:t>-class</w:t>
            </w:r>
          </w:p>
        </w:tc>
        <w:tc>
          <w:tcPr>
            <w:tcW w:w="2693" w:type="dxa"/>
          </w:tcPr>
          <w:p w:rsidR="008756C2" w:rsidRDefault="008756C2" w:rsidP="008E3EBA">
            <w:pPr>
              <w:pStyle w:val="Tabletext"/>
              <w:rPr>
                <w:rFonts w:cs="Arial"/>
                <w:color w:val="000000"/>
                <w:szCs w:val="16"/>
              </w:rPr>
            </w:pPr>
            <w:r>
              <w:rPr>
                <w:rFonts w:cs="Arial"/>
                <w:color w:val="000000"/>
                <w:szCs w:val="16"/>
              </w:rPr>
              <w:t xml:space="preserve">12 weeks </w:t>
            </w:r>
            <w:r w:rsidR="00DF4211">
              <w:rPr>
                <w:rFonts w:cs="Arial"/>
                <w:color w:val="000000"/>
                <w:szCs w:val="16"/>
              </w:rPr>
              <w:t>(</w:t>
            </w:r>
            <w:r>
              <w:rPr>
                <w:rFonts w:cs="Arial"/>
                <w:color w:val="000000"/>
                <w:szCs w:val="16"/>
              </w:rPr>
              <w:t>48 days</w:t>
            </w:r>
            <w:r w:rsidR="00DF4211">
              <w:rPr>
                <w:rFonts w:cs="Arial"/>
                <w:color w:val="000000"/>
                <w:szCs w:val="16"/>
              </w:rPr>
              <w:t>)</w:t>
            </w:r>
          </w:p>
        </w:tc>
        <w:tc>
          <w:tcPr>
            <w:tcW w:w="2126" w:type="dxa"/>
          </w:tcPr>
          <w:p w:rsidR="008756C2" w:rsidRDefault="008756C2" w:rsidP="008E3EBA">
            <w:pPr>
              <w:pStyle w:val="Tabletext"/>
              <w:rPr>
                <w:rFonts w:cs="Arial"/>
                <w:color w:val="000000"/>
                <w:szCs w:val="16"/>
              </w:rPr>
            </w:pPr>
            <w:r>
              <w:rPr>
                <w:rFonts w:cs="Arial"/>
                <w:color w:val="000000"/>
                <w:szCs w:val="16"/>
              </w:rPr>
              <w:t>80 hours</w:t>
            </w:r>
          </w:p>
        </w:tc>
        <w:tc>
          <w:tcPr>
            <w:tcW w:w="992" w:type="dxa"/>
          </w:tcPr>
          <w:p w:rsidR="008756C2" w:rsidRDefault="008756C2" w:rsidP="003E3FB8">
            <w:pPr>
              <w:pStyle w:val="Tabletext"/>
              <w:jc w:val="center"/>
              <w:rPr>
                <w:rFonts w:cs="Arial"/>
                <w:color w:val="000000"/>
                <w:szCs w:val="16"/>
              </w:rPr>
            </w:pPr>
            <w:r>
              <w:rPr>
                <w:rFonts w:cs="Arial"/>
                <w:color w:val="000000"/>
                <w:szCs w:val="16"/>
              </w:rPr>
              <w:t>6</w:t>
            </w:r>
            <w:r w:rsidR="005469E1">
              <w:rPr>
                <w:rFonts w:cs="Arial"/>
                <w:color w:val="000000"/>
                <w:szCs w:val="16"/>
              </w:rPr>
              <w:t xml:space="preserve"> </w:t>
            </w:r>
            <w:r>
              <w:rPr>
                <w:rFonts w:cs="Arial"/>
                <w:color w:val="000000"/>
                <w:szCs w:val="16"/>
              </w:rPr>
              <w:t>250</w:t>
            </w:r>
          </w:p>
        </w:tc>
        <w:tc>
          <w:tcPr>
            <w:tcW w:w="993" w:type="dxa"/>
          </w:tcPr>
          <w:p w:rsidR="008756C2" w:rsidRDefault="008756C2" w:rsidP="003E3FB8">
            <w:pPr>
              <w:pStyle w:val="Tabletext"/>
              <w:jc w:val="center"/>
              <w:rPr>
                <w:rFonts w:cs="Arial"/>
                <w:color w:val="000000"/>
                <w:szCs w:val="16"/>
              </w:rPr>
            </w:pPr>
            <w:r>
              <w:rPr>
                <w:rFonts w:cs="Arial"/>
                <w:color w:val="000000"/>
                <w:szCs w:val="16"/>
              </w:rPr>
              <w:t>yes</w:t>
            </w:r>
          </w:p>
        </w:tc>
      </w:tr>
      <w:tr w:rsidR="008756C2" w:rsidTr="0041086D">
        <w:tc>
          <w:tcPr>
            <w:tcW w:w="567" w:type="dxa"/>
          </w:tcPr>
          <w:p w:rsidR="008756C2" w:rsidRDefault="008756C2" w:rsidP="008E3EBA">
            <w:pPr>
              <w:pStyle w:val="Tabletext"/>
            </w:pPr>
            <w:r>
              <w:t>3</w:t>
            </w:r>
          </w:p>
        </w:tc>
        <w:tc>
          <w:tcPr>
            <w:tcW w:w="1418" w:type="dxa"/>
          </w:tcPr>
          <w:p w:rsidR="008756C2" w:rsidRDefault="008E3EBA" w:rsidP="008E3EBA">
            <w:pPr>
              <w:pStyle w:val="Tabletext"/>
              <w:rPr>
                <w:rFonts w:cs="Arial"/>
                <w:color w:val="000000"/>
                <w:szCs w:val="16"/>
              </w:rPr>
            </w:pPr>
            <w:r>
              <w:rPr>
                <w:rFonts w:cs="Arial"/>
                <w:color w:val="000000"/>
                <w:szCs w:val="16"/>
              </w:rPr>
              <w:t>In</w:t>
            </w:r>
            <w:r w:rsidR="008756C2">
              <w:rPr>
                <w:rFonts w:cs="Arial"/>
                <w:color w:val="000000"/>
                <w:szCs w:val="16"/>
              </w:rPr>
              <w:t>-class, distance</w:t>
            </w:r>
          </w:p>
        </w:tc>
        <w:tc>
          <w:tcPr>
            <w:tcW w:w="2693" w:type="dxa"/>
          </w:tcPr>
          <w:p w:rsidR="008756C2" w:rsidRDefault="008756C2" w:rsidP="008E3EBA">
            <w:pPr>
              <w:pStyle w:val="Tabletext"/>
              <w:rPr>
                <w:rFonts w:cs="Arial"/>
                <w:color w:val="000000"/>
                <w:szCs w:val="16"/>
              </w:rPr>
            </w:pPr>
            <w:r>
              <w:rPr>
                <w:rFonts w:cs="Arial"/>
                <w:color w:val="000000"/>
                <w:szCs w:val="16"/>
              </w:rPr>
              <w:t>22 weeks</w:t>
            </w:r>
          </w:p>
        </w:tc>
        <w:tc>
          <w:tcPr>
            <w:tcW w:w="2126" w:type="dxa"/>
          </w:tcPr>
          <w:p w:rsidR="008756C2" w:rsidRDefault="008756C2" w:rsidP="008E3EBA">
            <w:pPr>
              <w:pStyle w:val="Tabletext"/>
              <w:rPr>
                <w:rFonts w:cs="Arial"/>
                <w:color w:val="000000"/>
                <w:szCs w:val="16"/>
              </w:rPr>
            </w:pPr>
            <w:r>
              <w:rPr>
                <w:rFonts w:cs="Arial"/>
                <w:color w:val="000000"/>
                <w:szCs w:val="16"/>
              </w:rPr>
              <w:t>2 weeks</w:t>
            </w:r>
          </w:p>
        </w:tc>
        <w:tc>
          <w:tcPr>
            <w:tcW w:w="992" w:type="dxa"/>
          </w:tcPr>
          <w:p w:rsidR="008756C2" w:rsidRDefault="008756C2" w:rsidP="003E3FB8">
            <w:pPr>
              <w:pStyle w:val="Tabletext"/>
              <w:jc w:val="center"/>
              <w:rPr>
                <w:rFonts w:cs="Arial"/>
                <w:color w:val="000000"/>
                <w:szCs w:val="16"/>
              </w:rPr>
            </w:pPr>
            <w:r>
              <w:rPr>
                <w:rFonts w:cs="Arial"/>
                <w:color w:val="000000"/>
                <w:szCs w:val="16"/>
              </w:rPr>
              <w:t>1</w:t>
            </w:r>
            <w:r w:rsidR="005469E1">
              <w:rPr>
                <w:rFonts w:cs="Arial"/>
                <w:color w:val="000000"/>
                <w:szCs w:val="16"/>
              </w:rPr>
              <w:t xml:space="preserve"> </w:t>
            </w:r>
            <w:r>
              <w:rPr>
                <w:rFonts w:cs="Arial"/>
                <w:color w:val="000000"/>
                <w:szCs w:val="16"/>
              </w:rPr>
              <w:t>000</w:t>
            </w:r>
          </w:p>
        </w:tc>
        <w:tc>
          <w:tcPr>
            <w:tcW w:w="993" w:type="dxa"/>
          </w:tcPr>
          <w:p w:rsidR="008756C2" w:rsidRDefault="008756C2" w:rsidP="003E3FB8">
            <w:pPr>
              <w:pStyle w:val="Tabletext"/>
              <w:jc w:val="center"/>
              <w:rPr>
                <w:rFonts w:cs="Arial"/>
                <w:color w:val="000000"/>
                <w:szCs w:val="16"/>
              </w:rPr>
            </w:pPr>
            <w:r>
              <w:rPr>
                <w:rFonts w:cs="Arial"/>
                <w:color w:val="000000"/>
                <w:szCs w:val="16"/>
              </w:rPr>
              <w:t>yes</w:t>
            </w:r>
          </w:p>
        </w:tc>
      </w:tr>
      <w:tr w:rsidR="008756C2" w:rsidTr="0041086D">
        <w:tc>
          <w:tcPr>
            <w:tcW w:w="567" w:type="dxa"/>
          </w:tcPr>
          <w:p w:rsidR="008756C2" w:rsidRDefault="008756C2" w:rsidP="008E3EBA">
            <w:pPr>
              <w:pStyle w:val="Tabletext"/>
            </w:pPr>
            <w:r>
              <w:t>4</w:t>
            </w:r>
          </w:p>
        </w:tc>
        <w:tc>
          <w:tcPr>
            <w:tcW w:w="1418" w:type="dxa"/>
          </w:tcPr>
          <w:p w:rsidR="008756C2" w:rsidRDefault="008E3EBA" w:rsidP="008E3EBA">
            <w:pPr>
              <w:pStyle w:val="Tabletext"/>
              <w:rPr>
                <w:rFonts w:cs="Arial"/>
                <w:color w:val="000000"/>
                <w:szCs w:val="16"/>
              </w:rPr>
            </w:pPr>
            <w:r>
              <w:rPr>
                <w:rFonts w:cs="Arial"/>
                <w:color w:val="000000"/>
                <w:szCs w:val="16"/>
              </w:rPr>
              <w:t>In</w:t>
            </w:r>
            <w:r w:rsidR="008756C2">
              <w:rPr>
                <w:rFonts w:cs="Arial"/>
                <w:color w:val="000000"/>
                <w:szCs w:val="16"/>
              </w:rPr>
              <w:t>-class, self-paced</w:t>
            </w:r>
          </w:p>
        </w:tc>
        <w:tc>
          <w:tcPr>
            <w:tcW w:w="2693" w:type="dxa"/>
          </w:tcPr>
          <w:p w:rsidR="008756C2" w:rsidRDefault="008756C2" w:rsidP="003E3FB8">
            <w:pPr>
              <w:pStyle w:val="Tabletext"/>
              <w:rPr>
                <w:rFonts w:cs="Arial"/>
                <w:color w:val="000000"/>
                <w:szCs w:val="16"/>
              </w:rPr>
            </w:pPr>
            <w:r>
              <w:rPr>
                <w:rFonts w:cs="Arial"/>
                <w:color w:val="000000"/>
                <w:szCs w:val="16"/>
              </w:rPr>
              <w:t>10 weeks (2 days per</w:t>
            </w:r>
            <w:r w:rsidR="00DF4211">
              <w:rPr>
                <w:rFonts w:cs="Arial"/>
                <w:color w:val="000000"/>
                <w:szCs w:val="16"/>
              </w:rPr>
              <w:t xml:space="preserve"> week, with 1</w:t>
            </w:r>
            <w:r w:rsidR="003E3FB8">
              <w:rPr>
                <w:rFonts w:cs="Arial"/>
                <w:color w:val="000000"/>
                <w:szCs w:val="16"/>
              </w:rPr>
              <w:t> </w:t>
            </w:r>
            <w:r w:rsidR="00DF4211">
              <w:rPr>
                <w:rFonts w:cs="Arial"/>
                <w:color w:val="000000"/>
                <w:szCs w:val="16"/>
              </w:rPr>
              <w:t>day per week self-</w:t>
            </w:r>
            <w:r>
              <w:rPr>
                <w:rFonts w:cs="Arial"/>
                <w:color w:val="000000"/>
                <w:szCs w:val="16"/>
              </w:rPr>
              <w:t xml:space="preserve">directed) </w:t>
            </w:r>
          </w:p>
        </w:tc>
        <w:tc>
          <w:tcPr>
            <w:tcW w:w="2126" w:type="dxa"/>
          </w:tcPr>
          <w:p w:rsidR="008756C2" w:rsidRDefault="008756C2" w:rsidP="008E3EBA">
            <w:pPr>
              <w:pStyle w:val="Tabletext"/>
              <w:rPr>
                <w:rFonts w:cs="Arial"/>
                <w:color w:val="000000"/>
                <w:szCs w:val="16"/>
              </w:rPr>
            </w:pPr>
            <w:r>
              <w:rPr>
                <w:rFonts w:cs="Arial"/>
                <w:color w:val="000000"/>
                <w:szCs w:val="16"/>
              </w:rPr>
              <w:t>40 hours, full-time day shifts</w:t>
            </w:r>
          </w:p>
        </w:tc>
        <w:tc>
          <w:tcPr>
            <w:tcW w:w="992" w:type="dxa"/>
          </w:tcPr>
          <w:p w:rsidR="008756C2" w:rsidRDefault="008756C2" w:rsidP="003E3FB8">
            <w:pPr>
              <w:pStyle w:val="Tabletext"/>
              <w:jc w:val="center"/>
              <w:rPr>
                <w:rFonts w:cs="Arial"/>
                <w:color w:val="000000"/>
                <w:szCs w:val="16"/>
              </w:rPr>
            </w:pPr>
            <w:r>
              <w:rPr>
                <w:rFonts w:cs="Arial"/>
                <w:color w:val="000000"/>
                <w:szCs w:val="16"/>
              </w:rPr>
              <w:t>1</w:t>
            </w:r>
            <w:r w:rsidR="005469E1">
              <w:rPr>
                <w:rFonts w:cs="Arial"/>
                <w:color w:val="000000"/>
                <w:szCs w:val="16"/>
              </w:rPr>
              <w:t xml:space="preserve"> </w:t>
            </w:r>
            <w:r>
              <w:rPr>
                <w:rFonts w:cs="Arial"/>
                <w:color w:val="000000"/>
                <w:szCs w:val="16"/>
              </w:rPr>
              <w:t>600</w:t>
            </w:r>
          </w:p>
        </w:tc>
        <w:tc>
          <w:tcPr>
            <w:tcW w:w="993" w:type="dxa"/>
          </w:tcPr>
          <w:p w:rsidR="008756C2" w:rsidRDefault="008756C2" w:rsidP="003E3FB8">
            <w:pPr>
              <w:pStyle w:val="Tabletext"/>
              <w:jc w:val="center"/>
              <w:rPr>
                <w:rFonts w:cs="Arial"/>
                <w:color w:val="000000"/>
                <w:szCs w:val="16"/>
              </w:rPr>
            </w:pPr>
            <w:r>
              <w:rPr>
                <w:rFonts w:cs="Arial"/>
                <w:color w:val="000000"/>
                <w:szCs w:val="16"/>
              </w:rPr>
              <w:t>yes</w:t>
            </w:r>
          </w:p>
        </w:tc>
      </w:tr>
      <w:tr w:rsidR="008756C2" w:rsidTr="0041086D">
        <w:tc>
          <w:tcPr>
            <w:tcW w:w="567" w:type="dxa"/>
          </w:tcPr>
          <w:p w:rsidR="008756C2" w:rsidRDefault="008756C2" w:rsidP="008E3EBA">
            <w:pPr>
              <w:pStyle w:val="Tabletext"/>
            </w:pPr>
            <w:r>
              <w:t>5</w:t>
            </w:r>
          </w:p>
        </w:tc>
        <w:tc>
          <w:tcPr>
            <w:tcW w:w="1418" w:type="dxa"/>
          </w:tcPr>
          <w:p w:rsidR="008756C2" w:rsidRDefault="008756C2" w:rsidP="008E3EBA">
            <w:pPr>
              <w:pStyle w:val="Tabletext"/>
              <w:rPr>
                <w:rFonts w:cs="Arial"/>
                <w:color w:val="000000"/>
                <w:szCs w:val="16"/>
              </w:rPr>
            </w:pPr>
            <w:r>
              <w:rPr>
                <w:rFonts w:cs="Arial"/>
                <w:color w:val="000000"/>
                <w:szCs w:val="16"/>
              </w:rPr>
              <w:t>In-class, some self-learning</w:t>
            </w:r>
          </w:p>
        </w:tc>
        <w:tc>
          <w:tcPr>
            <w:tcW w:w="2693" w:type="dxa"/>
          </w:tcPr>
          <w:p w:rsidR="008756C2" w:rsidRDefault="008756C2" w:rsidP="008E3EBA">
            <w:pPr>
              <w:pStyle w:val="Tabletext"/>
              <w:rPr>
                <w:rFonts w:cs="Arial"/>
                <w:color w:val="000000"/>
                <w:szCs w:val="16"/>
              </w:rPr>
            </w:pPr>
            <w:r>
              <w:rPr>
                <w:rFonts w:cs="Arial"/>
                <w:color w:val="000000"/>
                <w:szCs w:val="16"/>
              </w:rPr>
              <w:t>Fast-track intensive (9 weeks, 4</w:t>
            </w:r>
            <w:r w:rsidR="008E3EBA">
              <w:rPr>
                <w:rFonts w:cs="Arial"/>
                <w:color w:val="000000"/>
                <w:szCs w:val="16"/>
              </w:rPr>
              <w:t> </w:t>
            </w:r>
            <w:r>
              <w:rPr>
                <w:rFonts w:cs="Arial"/>
                <w:color w:val="000000"/>
                <w:szCs w:val="16"/>
              </w:rPr>
              <w:t>days per week), extended delivery 10 weeks (2</w:t>
            </w:r>
            <w:r w:rsidR="00DF4211">
              <w:rPr>
                <w:rFonts w:cs="Arial"/>
                <w:color w:val="000000"/>
                <w:szCs w:val="16"/>
              </w:rPr>
              <w:t xml:space="preserve"> </w:t>
            </w:r>
            <w:r>
              <w:rPr>
                <w:rFonts w:cs="Arial"/>
                <w:color w:val="000000"/>
                <w:szCs w:val="16"/>
              </w:rPr>
              <w:t>days per week)</w:t>
            </w:r>
          </w:p>
        </w:tc>
        <w:tc>
          <w:tcPr>
            <w:tcW w:w="2126" w:type="dxa"/>
          </w:tcPr>
          <w:p w:rsidR="008756C2" w:rsidRDefault="008756C2" w:rsidP="008E3EBA">
            <w:pPr>
              <w:pStyle w:val="Tabletext"/>
              <w:rPr>
                <w:rFonts w:cs="Arial"/>
                <w:color w:val="000000"/>
                <w:szCs w:val="16"/>
              </w:rPr>
            </w:pPr>
            <w:r>
              <w:rPr>
                <w:rFonts w:cs="Arial"/>
                <w:color w:val="000000"/>
                <w:szCs w:val="16"/>
              </w:rPr>
              <w:t xml:space="preserve">5 weeks </w:t>
            </w:r>
          </w:p>
        </w:tc>
        <w:tc>
          <w:tcPr>
            <w:tcW w:w="992" w:type="dxa"/>
          </w:tcPr>
          <w:p w:rsidR="008756C2" w:rsidRDefault="008756C2" w:rsidP="003E3FB8">
            <w:pPr>
              <w:pStyle w:val="Tabletext"/>
              <w:jc w:val="center"/>
              <w:rPr>
                <w:rFonts w:cs="Arial"/>
                <w:color w:val="000000"/>
                <w:szCs w:val="16"/>
              </w:rPr>
            </w:pPr>
            <w:r>
              <w:rPr>
                <w:rFonts w:cs="Arial"/>
                <w:color w:val="000000"/>
                <w:szCs w:val="16"/>
              </w:rPr>
              <w:t>7</w:t>
            </w:r>
            <w:r w:rsidR="005469E1">
              <w:rPr>
                <w:rFonts w:cs="Arial"/>
                <w:color w:val="000000"/>
                <w:szCs w:val="16"/>
              </w:rPr>
              <w:t xml:space="preserve"> </w:t>
            </w:r>
            <w:r>
              <w:rPr>
                <w:rFonts w:cs="Arial"/>
                <w:color w:val="000000"/>
                <w:szCs w:val="16"/>
              </w:rPr>
              <w:t>390</w:t>
            </w:r>
          </w:p>
        </w:tc>
        <w:tc>
          <w:tcPr>
            <w:tcW w:w="993" w:type="dxa"/>
          </w:tcPr>
          <w:p w:rsidR="008756C2" w:rsidRDefault="008756C2" w:rsidP="003E3FB8">
            <w:pPr>
              <w:pStyle w:val="Tabletext"/>
              <w:jc w:val="center"/>
              <w:rPr>
                <w:rFonts w:cs="Arial"/>
                <w:color w:val="000000"/>
                <w:szCs w:val="16"/>
              </w:rPr>
            </w:pPr>
          </w:p>
        </w:tc>
      </w:tr>
      <w:tr w:rsidR="008756C2" w:rsidTr="0041086D">
        <w:tc>
          <w:tcPr>
            <w:tcW w:w="567" w:type="dxa"/>
          </w:tcPr>
          <w:p w:rsidR="008756C2" w:rsidRDefault="008756C2" w:rsidP="008E3EBA">
            <w:pPr>
              <w:pStyle w:val="Tabletext"/>
            </w:pPr>
            <w:r>
              <w:t>6</w:t>
            </w:r>
          </w:p>
        </w:tc>
        <w:tc>
          <w:tcPr>
            <w:tcW w:w="1418" w:type="dxa"/>
          </w:tcPr>
          <w:p w:rsidR="008756C2" w:rsidRDefault="008E3EBA" w:rsidP="008E3EBA">
            <w:pPr>
              <w:pStyle w:val="Tabletext"/>
              <w:rPr>
                <w:rFonts w:cs="Arial"/>
                <w:color w:val="000000"/>
                <w:szCs w:val="16"/>
              </w:rPr>
            </w:pPr>
            <w:r>
              <w:rPr>
                <w:rFonts w:cs="Arial"/>
                <w:color w:val="000000"/>
                <w:szCs w:val="16"/>
              </w:rPr>
              <w:t>In</w:t>
            </w:r>
            <w:r w:rsidR="008756C2">
              <w:rPr>
                <w:rFonts w:cs="Arial"/>
                <w:color w:val="000000"/>
                <w:szCs w:val="16"/>
              </w:rPr>
              <w:t>-class, mixed mode</w:t>
            </w:r>
          </w:p>
        </w:tc>
        <w:tc>
          <w:tcPr>
            <w:tcW w:w="2693" w:type="dxa"/>
          </w:tcPr>
          <w:p w:rsidR="008756C2" w:rsidRDefault="008756C2" w:rsidP="008E3EBA">
            <w:pPr>
              <w:pStyle w:val="Tabletext"/>
              <w:rPr>
                <w:rFonts w:cs="Arial"/>
                <w:color w:val="000000"/>
                <w:szCs w:val="16"/>
              </w:rPr>
            </w:pPr>
            <w:r>
              <w:rPr>
                <w:rFonts w:cs="Arial"/>
                <w:color w:val="000000"/>
                <w:szCs w:val="16"/>
              </w:rPr>
              <w:t>12 weeks</w:t>
            </w:r>
          </w:p>
        </w:tc>
        <w:tc>
          <w:tcPr>
            <w:tcW w:w="2126" w:type="dxa"/>
          </w:tcPr>
          <w:p w:rsidR="008756C2" w:rsidRDefault="008756C2" w:rsidP="008E3EBA">
            <w:pPr>
              <w:pStyle w:val="Tabletext"/>
              <w:rPr>
                <w:rFonts w:cs="Arial"/>
                <w:color w:val="000000"/>
                <w:szCs w:val="16"/>
              </w:rPr>
            </w:pPr>
            <w:r>
              <w:rPr>
                <w:rFonts w:cs="Arial"/>
                <w:color w:val="000000"/>
                <w:szCs w:val="16"/>
              </w:rPr>
              <w:t>80 hours</w:t>
            </w:r>
          </w:p>
        </w:tc>
        <w:tc>
          <w:tcPr>
            <w:tcW w:w="992" w:type="dxa"/>
          </w:tcPr>
          <w:p w:rsidR="008756C2" w:rsidRDefault="008756C2" w:rsidP="003E3FB8">
            <w:pPr>
              <w:pStyle w:val="Tabletext"/>
              <w:jc w:val="center"/>
              <w:rPr>
                <w:rFonts w:cs="Arial"/>
                <w:color w:val="000000"/>
                <w:szCs w:val="16"/>
              </w:rPr>
            </w:pPr>
            <w:r>
              <w:rPr>
                <w:rFonts w:cs="Arial"/>
                <w:color w:val="000000"/>
                <w:szCs w:val="16"/>
              </w:rPr>
              <w:t>1</w:t>
            </w:r>
            <w:r w:rsidR="005469E1">
              <w:rPr>
                <w:rFonts w:cs="Arial"/>
                <w:color w:val="000000"/>
                <w:szCs w:val="16"/>
              </w:rPr>
              <w:t xml:space="preserve"> </w:t>
            </w:r>
            <w:r>
              <w:rPr>
                <w:rFonts w:cs="Arial"/>
                <w:color w:val="000000"/>
                <w:szCs w:val="16"/>
              </w:rPr>
              <w:t>900</w:t>
            </w:r>
          </w:p>
        </w:tc>
        <w:tc>
          <w:tcPr>
            <w:tcW w:w="993" w:type="dxa"/>
          </w:tcPr>
          <w:p w:rsidR="008756C2" w:rsidRDefault="008756C2" w:rsidP="003E3FB8">
            <w:pPr>
              <w:pStyle w:val="Tabletext"/>
              <w:jc w:val="center"/>
              <w:rPr>
                <w:rFonts w:cs="Arial"/>
                <w:color w:val="000000"/>
                <w:szCs w:val="16"/>
              </w:rPr>
            </w:pPr>
            <w:r>
              <w:rPr>
                <w:rFonts w:cs="Arial"/>
                <w:color w:val="000000"/>
                <w:szCs w:val="16"/>
              </w:rPr>
              <w:t>yes</w:t>
            </w:r>
          </w:p>
        </w:tc>
      </w:tr>
      <w:tr w:rsidR="008756C2" w:rsidTr="0041086D">
        <w:tc>
          <w:tcPr>
            <w:tcW w:w="567" w:type="dxa"/>
          </w:tcPr>
          <w:p w:rsidR="008756C2" w:rsidRDefault="008756C2" w:rsidP="008E3EBA">
            <w:pPr>
              <w:pStyle w:val="Tabletext"/>
            </w:pPr>
            <w:r>
              <w:t>7</w:t>
            </w:r>
          </w:p>
        </w:tc>
        <w:tc>
          <w:tcPr>
            <w:tcW w:w="1418" w:type="dxa"/>
          </w:tcPr>
          <w:p w:rsidR="008756C2" w:rsidRDefault="008E3EBA" w:rsidP="008E3EBA">
            <w:pPr>
              <w:pStyle w:val="Tabletext"/>
              <w:rPr>
                <w:rFonts w:cs="Arial"/>
                <w:color w:val="000000"/>
                <w:szCs w:val="16"/>
              </w:rPr>
            </w:pPr>
            <w:r>
              <w:rPr>
                <w:rFonts w:cs="Arial"/>
                <w:color w:val="000000"/>
                <w:szCs w:val="16"/>
              </w:rPr>
              <w:t>In</w:t>
            </w:r>
            <w:r w:rsidR="008756C2">
              <w:rPr>
                <w:rFonts w:cs="Arial"/>
                <w:color w:val="000000"/>
                <w:szCs w:val="16"/>
              </w:rPr>
              <w:t>-class</w:t>
            </w:r>
          </w:p>
        </w:tc>
        <w:tc>
          <w:tcPr>
            <w:tcW w:w="2693" w:type="dxa"/>
          </w:tcPr>
          <w:p w:rsidR="008756C2" w:rsidRDefault="008756C2" w:rsidP="008E3EBA">
            <w:pPr>
              <w:pStyle w:val="Tabletext"/>
              <w:rPr>
                <w:rFonts w:cs="Arial"/>
                <w:color w:val="000000"/>
                <w:szCs w:val="16"/>
              </w:rPr>
            </w:pPr>
            <w:r>
              <w:rPr>
                <w:rFonts w:cs="Arial"/>
                <w:color w:val="000000"/>
                <w:szCs w:val="16"/>
              </w:rPr>
              <w:t>22 weeks (20 hours per week)</w:t>
            </w:r>
          </w:p>
        </w:tc>
        <w:tc>
          <w:tcPr>
            <w:tcW w:w="2126" w:type="dxa"/>
          </w:tcPr>
          <w:p w:rsidR="008756C2" w:rsidRDefault="008756C2" w:rsidP="008E3EBA">
            <w:pPr>
              <w:pStyle w:val="Tabletext"/>
              <w:rPr>
                <w:rFonts w:cs="Arial"/>
                <w:color w:val="000000"/>
                <w:szCs w:val="16"/>
              </w:rPr>
            </w:pPr>
            <w:r>
              <w:rPr>
                <w:rFonts w:cs="Arial"/>
                <w:color w:val="000000"/>
                <w:szCs w:val="16"/>
              </w:rPr>
              <w:t>4 weeks</w:t>
            </w:r>
          </w:p>
        </w:tc>
        <w:tc>
          <w:tcPr>
            <w:tcW w:w="992" w:type="dxa"/>
          </w:tcPr>
          <w:p w:rsidR="008756C2" w:rsidRDefault="008756C2" w:rsidP="003E3FB8">
            <w:pPr>
              <w:pStyle w:val="Tabletext"/>
              <w:jc w:val="center"/>
              <w:rPr>
                <w:rFonts w:cs="Arial"/>
                <w:color w:val="000000"/>
                <w:szCs w:val="16"/>
              </w:rPr>
            </w:pPr>
            <w:r>
              <w:rPr>
                <w:rFonts w:cs="Arial"/>
                <w:color w:val="000000"/>
                <w:szCs w:val="16"/>
              </w:rPr>
              <w:t>4</w:t>
            </w:r>
            <w:r w:rsidR="005469E1">
              <w:rPr>
                <w:rFonts w:cs="Arial"/>
                <w:color w:val="000000"/>
                <w:szCs w:val="16"/>
              </w:rPr>
              <w:t xml:space="preserve"> </w:t>
            </w:r>
            <w:r>
              <w:rPr>
                <w:rFonts w:cs="Arial"/>
                <w:color w:val="000000"/>
                <w:szCs w:val="16"/>
              </w:rPr>
              <w:t>725</w:t>
            </w:r>
          </w:p>
        </w:tc>
        <w:tc>
          <w:tcPr>
            <w:tcW w:w="993" w:type="dxa"/>
          </w:tcPr>
          <w:p w:rsidR="008756C2" w:rsidRDefault="008756C2" w:rsidP="003E3FB8">
            <w:pPr>
              <w:pStyle w:val="Tabletext"/>
              <w:jc w:val="center"/>
              <w:rPr>
                <w:rFonts w:cs="Arial"/>
                <w:color w:val="000000"/>
                <w:szCs w:val="16"/>
              </w:rPr>
            </w:pPr>
            <w:r>
              <w:rPr>
                <w:rFonts w:cs="Arial"/>
                <w:color w:val="000000"/>
                <w:szCs w:val="16"/>
              </w:rPr>
              <w:t>yes</w:t>
            </w:r>
          </w:p>
        </w:tc>
      </w:tr>
      <w:tr w:rsidR="008756C2" w:rsidTr="0041086D">
        <w:tc>
          <w:tcPr>
            <w:tcW w:w="567" w:type="dxa"/>
          </w:tcPr>
          <w:p w:rsidR="008756C2" w:rsidRDefault="008756C2" w:rsidP="008E3EBA">
            <w:pPr>
              <w:pStyle w:val="Tabletext"/>
            </w:pPr>
            <w:r>
              <w:t>8</w:t>
            </w:r>
          </w:p>
        </w:tc>
        <w:tc>
          <w:tcPr>
            <w:tcW w:w="1418" w:type="dxa"/>
          </w:tcPr>
          <w:p w:rsidR="008756C2" w:rsidRDefault="008E3EBA" w:rsidP="008E3EBA">
            <w:pPr>
              <w:pStyle w:val="Tabletext"/>
              <w:rPr>
                <w:rFonts w:cs="Arial"/>
                <w:color w:val="000000"/>
                <w:szCs w:val="16"/>
              </w:rPr>
            </w:pPr>
            <w:r>
              <w:rPr>
                <w:rFonts w:cs="Arial"/>
                <w:color w:val="000000"/>
                <w:szCs w:val="16"/>
              </w:rPr>
              <w:t>In</w:t>
            </w:r>
            <w:r w:rsidR="008756C2">
              <w:rPr>
                <w:rFonts w:cs="Arial"/>
                <w:color w:val="000000"/>
                <w:szCs w:val="16"/>
              </w:rPr>
              <w:t>-class</w:t>
            </w:r>
          </w:p>
        </w:tc>
        <w:tc>
          <w:tcPr>
            <w:tcW w:w="2693" w:type="dxa"/>
          </w:tcPr>
          <w:p w:rsidR="008756C2" w:rsidRDefault="008756C2" w:rsidP="008E3EBA">
            <w:pPr>
              <w:pStyle w:val="Tabletext"/>
              <w:rPr>
                <w:rFonts w:cs="Arial"/>
                <w:color w:val="000000"/>
                <w:szCs w:val="16"/>
              </w:rPr>
            </w:pPr>
            <w:r>
              <w:rPr>
                <w:rFonts w:cs="Arial"/>
                <w:color w:val="000000"/>
                <w:szCs w:val="16"/>
              </w:rPr>
              <w:t>10 weeks</w:t>
            </w:r>
          </w:p>
        </w:tc>
        <w:tc>
          <w:tcPr>
            <w:tcW w:w="2126" w:type="dxa"/>
          </w:tcPr>
          <w:p w:rsidR="008756C2" w:rsidRDefault="008756C2" w:rsidP="008E3EBA">
            <w:pPr>
              <w:pStyle w:val="Tabletext"/>
              <w:rPr>
                <w:rFonts w:cs="Arial"/>
                <w:color w:val="000000"/>
                <w:szCs w:val="16"/>
              </w:rPr>
            </w:pPr>
            <w:r>
              <w:rPr>
                <w:rFonts w:cs="Arial"/>
                <w:color w:val="000000"/>
                <w:szCs w:val="16"/>
              </w:rPr>
              <w:t>3 weeks</w:t>
            </w:r>
          </w:p>
        </w:tc>
        <w:tc>
          <w:tcPr>
            <w:tcW w:w="992" w:type="dxa"/>
          </w:tcPr>
          <w:p w:rsidR="008756C2" w:rsidRDefault="008756C2" w:rsidP="003E3FB8">
            <w:pPr>
              <w:pStyle w:val="Tabletext"/>
              <w:jc w:val="center"/>
              <w:rPr>
                <w:rFonts w:cs="Arial"/>
                <w:color w:val="000000"/>
                <w:szCs w:val="16"/>
              </w:rPr>
            </w:pPr>
            <w:r>
              <w:rPr>
                <w:rFonts w:cs="Arial"/>
                <w:color w:val="000000"/>
                <w:szCs w:val="16"/>
              </w:rPr>
              <w:t>2</w:t>
            </w:r>
            <w:r w:rsidR="005469E1">
              <w:rPr>
                <w:rFonts w:cs="Arial"/>
                <w:color w:val="000000"/>
                <w:szCs w:val="16"/>
              </w:rPr>
              <w:t xml:space="preserve"> </w:t>
            </w:r>
            <w:r>
              <w:rPr>
                <w:rFonts w:cs="Arial"/>
                <w:color w:val="000000"/>
                <w:szCs w:val="16"/>
              </w:rPr>
              <w:t>000</w:t>
            </w:r>
          </w:p>
        </w:tc>
        <w:tc>
          <w:tcPr>
            <w:tcW w:w="993" w:type="dxa"/>
          </w:tcPr>
          <w:p w:rsidR="008756C2" w:rsidRDefault="008756C2" w:rsidP="003E3FB8">
            <w:pPr>
              <w:pStyle w:val="Tabletext"/>
              <w:jc w:val="center"/>
              <w:rPr>
                <w:rFonts w:cs="Arial"/>
                <w:color w:val="000000"/>
                <w:szCs w:val="16"/>
              </w:rPr>
            </w:pPr>
            <w:r>
              <w:rPr>
                <w:rFonts w:cs="Arial"/>
                <w:color w:val="000000"/>
                <w:szCs w:val="16"/>
              </w:rPr>
              <w:t>yes</w:t>
            </w:r>
          </w:p>
        </w:tc>
      </w:tr>
      <w:tr w:rsidR="008756C2" w:rsidTr="0041086D">
        <w:tc>
          <w:tcPr>
            <w:tcW w:w="567" w:type="dxa"/>
            <w:shd w:val="clear" w:color="auto" w:fill="DBE5F1" w:themeFill="accent1" w:themeFillTint="33"/>
          </w:tcPr>
          <w:p w:rsidR="008756C2" w:rsidRDefault="008756C2" w:rsidP="008E3EBA">
            <w:pPr>
              <w:pStyle w:val="Tabletext"/>
            </w:pPr>
            <w:r>
              <w:t>9</w:t>
            </w:r>
          </w:p>
        </w:tc>
        <w:tc>
          <w:tcPr>
            <w:tcW w:w="1418" w:type="dxa"/>
            <w:shd w:val="clear" w:color="auto" w:fill="DBE5F1" w:themeFill="accent1" w:themeFillTint="33"/>
          </w:tcPr>
          <w:p w:rsidR="008756C2" w:rsidRDefault="008E3EBA" w:rsidP="008E3EBA">
            <w:pPr>
              <w:pStyle w:val="Tabletext"/>
              <w:rPr>
                <w:rFonts w:cs="Arial"/>
                <w:color w:val="000000"/>
                <w:szCs w:val="16"/>
              </w:rPr>
            </w:pPr>
            <w:r>
              <w:rPr>
                <w:rFonts w:cs="Arial"/>
                <w:color w:val="000000"/>
                <w:szCs w:val="16"/>
              </w:rPr>
              <w:t>In</w:t>
            </w:r>
            <w:r w:rsidR="002D2F3D">
              <w:rPr>
                <w:rFonts w:cs="Arial"/>
                <w:color w:val="000000"/>
                <w:szCs w:val="16"/>
              </w:rPr>
              <w:t>-class and online (internation</w:t>
            </w:r>
            <w:r w:rsidR="008756C2">
              <w:rPr>
                <w:rFonts w:cs="Arial"/>
                <w:color w:val="000000"/>
                <w:szCs w:val="16"/>
              </w:rPr>
              <w:t>al students)</w:t>
            </w:r>
          </w:p>
        </w:tc>
        <w:tc>
          <w:tcPr>
            <w:tcW w:w="2693" w:type="dxa"/>
            <w:shd w:val="clear" w:color="auto" w:fill="DBE5F1" w:themeFill="accent1" w:themeFillTint="33"/>
          </w:tcPr>
          <w:p w:rsidR="008756C2" w:rsidRDefault="008756C2" w:rsidP="008E3EBA">
            <w:pPr>
              <w:pStyle w:val="Tabletext"/>
              <w:rPr>
                <w:rFonts w:cs="Arial"/>
                <w:color w:val="000000"/>
                <w:szCs w:val="16"/>
              </w:rPr>
            </w:pPr>
            <w:r>
              <w:rPr>
                <w:rFonts w:cs="Arial"/>
                <w:color w:val="000000"/>
                <w:szCs w:val="16"/>
              </w:rPr>
              <w:t xml:space="preserve">8 to 17 weeks for local students, up to 39 weeks for international students </w:t>
            </w:r>
          </w:p>
        </w:tc>
        <w:tc>
          <w:tcPr>
            <w:tcW w:w="2126" w:type="dxa"/>
            <w:shd w:val="clear" w:color="auto" w:fill="DBE5F1" w:themeFill="accent1" w:themeFillTint="33"/>
          </w:tcPr>
          <w:p w:rsidR="008756C2" w:rsidRDefault="008756C2" w:rsidP="008E3EBA">
            <w:pPr>
              <w:pStyle w:val="Tabletext"/>
              <w:rPr>
                <w:rFonts w:cs="Arial"/>
                <w:color w:val="000000"/>
                <w:szCs w:val="16"/>
              </w:rPr>
            </w:pPr>
            <w:r>
              <w:rPr>
                <w:rFonts w:cs="Arial"/>
                <w:color w:val="000000"/>
                <w:szCs w:val="16"/>
              </w:rPr>
              <w:t>160 hours (negotiate shift placement)</w:t>
            </w:r>
          </w:p>
        </w:tc>
        <w:tc>
          <w:tcPr>
            <w:tcW w:w="992" w:type="dxa"/>
            <w:shd w:val="clear" w:color="auto" w:fill="DBE5F1" w:themeFill="accent1" w:themeFillTint="33"/>
          </w:tcPr>
          <w:p w:rsidR="008756C2" w:rsidRDefault="008756C2" w:rsidP="003E3FB8">
            <w:pPr>
              <w:pStyle w:val="Tabletext"/>
              <w:jc w:val="center"/>
              <w:rPr>
                <w:rFonts w:cs="Arial"/>
                <w:color w:val="000000"/>
                <w:szCs w:val="16"/>
              </w:rPr>
            </w:pPr>
            <w:r>
              <w:rPr>
                <w:rFonts w:cs="Arial"/>
                <w:color w:val="000000"/>
                <w:szCs w:val="16"/>
              </w:rPr>
              <w:t>1</w:t>
            </w:r>
            <w:r w:rsidR="005469E1">
              <w:rPr>
                <w:rFonts w:cs="Arial"/>
                <w:color w:val="000000"/>
                <w:szCs w:val="16"/>
              </w:rPr>
              <w:t xml:space="preserve"> </w:t>
            </w:r>
            <w:r>
              <w:rPr>
                <w:rFonts w:cs="Arial"/>
                <w:color w:val="000000"/>
                <w:szCs w:val="16"/>
              </w:rPr>
              <w:t>500</w:t>
            </w:r>
          </w:p>
        </w:tc>
        <w:tc>
          <w:tcPr>
            <w:tcW w:w="993" w:type="dxa"/>
            <w:shd w:val="clear" w:color="auto" w:fill="DBE5F1" w:themeFill="accent1" w:themeFillTint="33"/>
          </w:tcPr>
          <w:p w:rsidR="008756C2" w:rsidRDefault="008756C2" w:rsidP="003E3FB8">
            <w:pPr>
              <w:pStyle w:val="Tabletext"/>
              <w:jc w:val="center"/>
              <w:rPr>
                <w:rFonts w:cs="Arial"/>
                <w:color w:val="000000"/>
                <w:szCs w:val="16"/>
              </w:rPr>
            </w:pPr>
            <w:r>
              <w:rPr>
                <w:rFonts w:cs="Arial"/>
                <w:color w:val="000000"/>
                <w:szCs w:val="16"/>
              </w:rPr>
              <w:t>yes</w:t>
            </w:r>
          </w:p>
        </w:tc>
      </w:tr>
      <w:tr w:rsidR="008756C2" w:rsidTr="0041086D">
        <w:tc>
          <w:tcPr>
            <w:tcW w:w="567" w:type="dxa"/>
            <w:shd w:val="clear" w:color="auto" w:fill="DBE5F1" w:themeFill="accent1" w:themeFillTint="33"/>
          </w:tcPr>
          <w:p w:rsidR="008756C2" w:rsidRDefault="008756C2" w:rsidP="008E3EBA">
            <w:pPr>
              <w:pStyle w:val="Tabletext"/>
            </w:pPr>
            <w:r>
              <w:t>10</w:t>
            </w:r>
          </w:p>
        </w:tc>
        <w:tc>
          <w:tcPr>
            <w:tcW w:w="1418" w:type="dxa"/>
            <w:shd w:val="clear" w:color="auto" w:fill="DBE5F1" w:themeFill="accent1" w:themeFillTint="33"/>
          </w:tcPr>
          <w:p w:rsidR="008756C2" w:rsidRDefault="008E3EBA" w:rsidP="008E3EBA">
            <w:pPr>
              <w:pStyle w:val="Tabletext"/>
              <w:rPr>
                <w:rFonts w:cs="Arial"/>
                <w:color w:val="000000"/>
                <w:szCs w:val="16"/>
              </w:rPr>
            </w:pPr>
            <w:r>
              <w:rPr>
                <w:rFonts w:cs="Arial"/>
                <w:color w:val="000000"/>
                <w:szCs w:val="16"/>
              </w:rPr>
              <w:t>In</w:t>
            </w:r>
            <w:r w:rsidR="008756C2">
              <w:rPr>
                <w:rFonts w:cs="Arial"/>
                <w:color w:val="000000"/>
                <w:szCs w:val="16"/>
              </w:rPr>
              <w:t>-class</w:t>
            </w:r>
          </w:p>
        </w:tc>
        <w:tc>
          <w:tcPr>
            <w:tcW w:w="2693" w:type="dxa"/>
            <w:shd w:val="clear" w:color="auto" w:fill="DBE5F1" w:themeFill="accent1" w:themeFillTint="33"/>
          </w:tcPr>
          <w:p w:rsidR="008756C2" w:rsidRDefault="008756C2" w:rsidP="008E3EBA">
            <w:pPr>
              <w:pStyle w:val="Tabletext"/>
              <w:rPr>
                <w:rFonts w:cs="Arial"/>
                <w:color w:val="000000"/>
                <w:szCs w:val="16"/>
              </w:rPr>
            </w:pPr>
            <w:r>
              <w:rPr>
                <w:rFonts w:cs="Arial"/>
                <w:color w:val="000000"/>
                <w:szCs w:val="16"/>
              </w:rPr>
              <w:t>4</w:t>
            </w:r>
            <w:r w:rsidR="00DF4211">
              <w:rPr>
                <w:rFonts w:cs="Arial"/>
                <w:color w:val="000000"/>
                <w:szCs w:val="16"/>
              </w:rPr>
              <w:t xml:space="preserve"> </w:t>
            </w:r>
            <w:r>
              <w:rPr>
                <w:rFonts w:cs="Arial"/>
                <w:color w:val="000000"/>
                <w:szCs w:val="16"/>
              </w:rPr>
              <w:t>weeks, full-time (9.00</w:t>
            </w:r>
            <w:r w:rsidR="00DF4211">
              <w:rPr>
                <w:rFonts w:cs="Arial"/>
                <w:color w:val="000000"/>
                <w:szCs w:val="16"/>
              </w:rPr>
              <w:t xml:space="preserve"> am–</w:t>
            </w:r>
            <w:r>
              <w:rPr>
                <w:rFonts w:cs="Arial"/>
                <w:color w:val="000000"/>
                <w:szCs w:val="16"/>
              </w:rPr>
              <w:t>3.00</w:t>
            </w:r>
            <w:r w:rsidR="008E3EBA">
              <w:rPr>
                <w:rFonts w:cs="Arial"/>
                <w:color w:val="000000"/>
                <w:szCs w:val="16"/>
              </w:rPr>
              <w:t> </w:t>
            </w:r>
            <w:r w:rsidR="00DF4211">
              <w:rPr>
                <w:rFonts w:cs="Arial"/>
                <w:color w:val="000000"/>
                <w:szCs w:val="16"/>
              </w:rPr>
              <w:t>pm), Monday–</w:t>
            </w:r>
            <w:r>
              <w:rPr>
                <w:rFonts w:cs="Arial"/>
                <w:color w:val="000000"/>
                <w:szCs w:val="16"/>
              </w:rPr>
              <w:t>Friday</w:t>
            </w:r>
          </w:p>
        </w:tc>
        <w:tc>
          <w:tcPr>
            <w:tcW w:w="2126" w:type="dxa"/>
            <w:shd w:val="clear" w:color="auto" w:fill="DBE5F1" w:themeFill="accent1" w:themeFillTint="33"/>
          </w:tcPr>
          <w:p w:rsidR="008756C2" w:rsidRDefault="008756C2" w:rsidP="008E3EBA">
            <w:pPr>
              <w:pStyle w:val="Tabletext"/>
              <w:rPr>
                <w:rFonts w:cs="Arial"/>
                <w:color w:val="000000"/>
                <w:szCs w:val="16"/>
              </w:rPr>
            </w:pPr>
            <w:r>
              <w:rPr>
                <w:rFonts w:cs="Arial"/>
                <w:color w:val="000000"/>
                <w:szCs w:val="16"/>
              </w:rPr>
              <w:t>2 weeks full-time</w:t>
            </w:r>
          </w:p>
        </w:tc>
        <w:tc>
          <w:tcPr>
            <w:tcW w:w="992" w:type="dxa"/>
            <w:shd w:val="clear" w:color="auto" w:fill="DBE5F1" w:themeFill="accent1" w:themeFillTint="33"/>
          </w:tcPr>
          <w:p w:rsidR="008756C2" w:rsidRDefault="008756C2" w:rsidP="003E3FB8">
            <w:pPr>
              <w:pStyle w:val="Tabletext"/>
              <w:jc w:val="center"/>
              <w:rPr>
                <w:rFonts w:cs="Arial"/>
                <w:color w:val="000000"/>
                <w:szCs w:val="16"/>
              </w:rPr>
            </w:pPr>
            <w:r>
              <w:rPr>
                <w:rFonts w:cs="Arial"/>
                <w:color w:val="000000"/>
                <w:szCs w:val="16"/>
              </w:rPr>
              <w:t>1</w:t>
            </w:r>
            <w:r w:rsidR="005469E1">
              <w:rPr>
                <w:rFonts w:cs="Arial"/>
                <w:color w:val="000000"/>
                <w:szCs w:val="16"/>
              </w:rPr>
              <w:t xml:space="preserve"> </w:t>
            </w:r>
            <w:r>
              <w:rPr>
                <w:rFonts w:cs="Arial"/>
                <w:color w:val="000000"/>
                <w:szCs w:val="16"/>
              </w:rPr>
              <w:t>990</w:t>
            </w:r>
          </w:p>
        </w:tc>
        <w:tc>
          <w:tcPr>
            <w:tcW w:w="993" w:type="dxa"/>
            <w:shd w:val="clear" w:color="auto" w:fill="DBE5F1" w:themeFill="accent1" w:themeFillTint="33"/>
          </w:tcPr>
          <w:p w:rsidR="008756C2" w:rsidRDefault="008756C2" w:rsidP="003E3FB8">
            <w:pPr>
              <w:pStyle w:val="Tabletext"/>
              <w:jc w:val="center"/>
              <w:rPr>
                <w:rFonts w:cs="Arial"/>
                <w:color w:val="000000"/>
                <w:szCs w:val="16"/>
              </w:rPr>
            </w:pPr>
            <w:r>
              <w:rPr>
                <w:rFonts w:cs="Arial"/>
                <w:color w:val="000000"/>
                <w:szCs w:val="16"/>
              </w:rPr>
              <w:t>yes</w:t>
            </w:r>
          </w:p>
        </w:tc>
      </w:tr>
      <w:tr w:rsidR="008756C2" w:rsidTr="0041086D">
        <w:tc>
          <w:tcPr>
            <w:tcW w:w="567" w:type="dxa"/>
            <w:shd w:val="clear" w:color="auto" w:fill="DBE5F1" w:themeFill="accent1" w:themeFillTint="33"/>
          </w:tcPr>
          <w:p w:rsidR="008756C2" w:rsidRDefault="008756C2" w:rsidP="008E3EBA">
            <w:pPr>
              <w:pStyle w:val="Tabletext"/>
            </w:pPr>
            <w:r>
              <w:t>11</w:t>
            </w:r>
          </w:p>
        </w:tc>
        <w:tc>
          <w:tcPr>
            <w:tcW w:w="1418" w:type="dxa"/>
            <w:shd w:val="clear" w:color="auto" w:fill="DBE5F1" w:themeFill="accent1" w:themeFillTint="33"/>
          </w:tcPr>
          <w:p w:rsidR="008756C2" w:rsidRDefault="008E3EBA" w:rsidP="008E3EBA">
            <w:pPr>
              <w:pStyle w:val="Tabletext"/>
              <w:rPr>
                <w:rFonts w:cs="Arial"/>
                <w:color w:val="000000"/>
                <w:szCs w:val="16"/>
              </w:rPr>
            </w:pPr>
            <w:r>
              <w:rPr>
                <w:rFonts w:cs="Arial"/>
                <w:color w:val="000000"/>
                <w:szCs w:val="16"/>
              </w:rPr>
              <w:t>Face</w:t>
            </w:r>
            <w:r w:rsidR="008756C2">
              <w:rPr>
                <w:rFonts w:cs="Arial"/>
                <w:color w:val="000000"/>
                <w:szCs w:val="16"/>
              </w:rPr>
              <w:t>-to</w:t>
            </w:r>
            <w:r w:rsidR="00DF4211">
              <w:rPr>
                <w:rFonts w:cs="Arial"/>
                <w:color w:val="000000"/>
                <w:szCs w:val="16"/>
              </w:rPr>
              <w:t xml:space="preserve">-face </w:t>
            </w:r>
            <w:r w:rsidR="008756C2">
              <w:rPr>
                <w:rFonts w:cs="Arial"/>
                <w:color w:val="000000"/>
                <w:szCs w:val="16"/>
              </w:rPr>
              <w:t>on-campus, online</w:t>
            </w:r>
          </w:p>
        </w:tc>
        <w:tc>
          <w:tcPr>
            <w:tcW w:w="2693" w:type="dxa"/>
            <w:shd w:val="clear" w:color="auto" w:fill="DBE5F1" w:themeFill="accent1" w:themeFillTint="33"/>
          </w:tcPr>
          <w:p w:rsidR="008756C2" w:rsidRDefault="008756C2" w:rsidP="00C37F5F">
            <w:pPr>
              <w:pStyle w:val="Tabletext"/>
              <w:rPr>
                <w:rFonts w:cs="Arial"/>
                <w:color w:val="000000"/>
                <w:szCs w:val="16"/>
              </w:rPr>
            </w:pPr>
            <w:r>
              <w:rPr>
                <w:rFonts w:cs="Arial"/>
                <w:color w:val="000000"/>
                <w:szCs w:val="16"/>
              </w:rPr>
              <w:t>3 fu</w:t>
            </w:r>
            <w:r w:rsidR="00DF4211">
              <w:rPr>
                <w:rFonts w:cs="Arial"/>
                <w:color w:val="000000"/>
                <w:szCs w:val="16"/>
              </w:rPr>
              <w:t>ll days per week for 2.5</w:t>
            </w:r>
            <w:r w:rsidR="008E3EBA">
              <w:rPr>
                <w:rFonts w:cs="Arial"/>
                <w:color w:val="000000"/>
                <w:szCs w:val="16"/>
              </w:rPr>
              <w:t> </w:t>
            </w:r>
            <w:r w:rsidR="00DF4211">
              <w:rPr>
                <w:rFonts w:cs="Arial"/>
                <w:color w:val="000000"/>
                <w:szCs w:val="16"/>
              </w:rPr>
              <w:t>months;</w:t>
            </w:r>
            <w:r>
              <w:rPr>
                <w:rFonts w:cs="Arial"/>
                <w:color w:val="000000"/>
                <w:szCs w:val="16"/>
              </w:rPr>
              <w:t xml:space="preserve"> online: between 1</w:t>
            </w:r>
            <w:r w:rsidR="008E3EBA">
              <w:rPr>
                <w:rFonts w:cs="Arial"/>
                <w:color w:val="000000"/>
                <w:szCs w:val="16"/>
              </w:rPr>
              <w:t> </w:t>
            </w:r>
            <w:r>
              <w:rPr>
                <w:rFonts w:cs="Arial"/>
                <w:color w:val="000000"/>
                <w:szCs w:val="16"/>
              </w:rPr>
              <w:t>month and 12 months</w:t>
            </w:r>
          </w:p>
        </w:tc>
        <w:tc>
          <w:tcPr>
            <w:tcW w:w="2126" w:type="dxa"/>
            <w:shd w:val="clear" w:color="auto" w:fill="DBE5F1" w:themeFill="accent1" w:themeFillTint="33"/>
          </w:tcPr>
          <w:p w:rsidR="008756C2" w:rsidRDefault="008756C2" w:rsidP="00C37F5F">
            <w:pPr>
              <w:pStyle w:val="Tabletext"/>
              <w:rPr>
                <w:rFonts w:cs="Arial"/>
                <w:color w:val="000000"/>
                <w:szCs w:val="16"/>
              </w:rPr>
            </w:pPr>
            <w:r>
              <w:rPr>
                <w:rFonts w:cs="Arial"/>
                <w:color w:val="000000"/>
                <w:szCs w:val="16"/>
              </w:rPr>
              <w:t>4 weeks (160</w:t>
            </w:r>
            <w:r w:rsidR="008E3EBA">
              <w:rPr>
                <w:rFonts w:cs="Arial"/>
                <w:color w:val="000000"/>
                <w:szCs w:val="16"/>
              </w:rPr>
              <w:t> </w:t>
            </w:r>
            <w:r>
              <w:rPr>
                <w:rFonts w:cs="Arial"/>
                <w:color w:val="000000"/>
                <w:szCs w:val="16"/>
              </w:rPr>
              <w:t>hours) day shift full</w:t>
            </w:r>
            <w:r w:rsidR="00C37F5F">
              <w:rPr>
                <w:rFonts w:cs="Arial"/>
                <w:color w:val="000000"/>
                <w:szCs w:val="16"/>
              </w:rPr>
              <w:t>-</w:t>
            </w:r>
            <w:r>
              <w:rPr>
                <w:rFonts w:cs="Arial"/>
                <w:color w:val="000000"/>
                <w:szCs w:val="16"/>
              </w:rPr>
              <w:t>time</w:t>
            </w:r>
          </w:p>
        </w:tc>
        <w:tc>
          <w:tcPr>
            <w:tcW w:w="992" w:type="dxa"/>
            <w:shd w:val="clear" w:color="auto" w:fill="DBE5F1" w:themeFill="accent1" w:themeFillTint="33"/>
          </w:tcPr>
          <w:p w:rsidR="008756C2" w:rsidRDefault="008756C2" w:rsidP="003E3FB8">
            <w:pPr>
              <w:pStyle w:val="Tabletext"/>
              <w:jc w:val="center"/>
              <w:rPr>
                <w:rFonts w:cs="Arial"/>
                <w:color w:val="000000"/>
                <w:szCs w:val="16"/>
              </w:rPr>
            </w:pPr>
            <w:r>
              <w:rPr>
                <w:rFonts w:cs="Arial"/>
                <w:color w:val="000000"/>
                <w:szCs w:val="16"/>
              </w:rPr>
              <w:t>2</w:t>
            </w:r>
            <w:r w:rsidR="005469E1">
              <w:rPr>
                <w:rFonts w:cs="Arial"/>
                <w:color w:val="000000"/>
                <w:szCs w:val="16"/>
              </w:rPr>
              <w:t xml:space="preserve"> </w:t>
            </w:r>
            <w:r>
              <w:rPr>
                <w:rFonts w:cs="Arial"/>
                <w:color w:val="000000"/>
                <w:szCs w:val="16"/>
              </w:rPr>
              <w:t>800</w:t>
            </w:r>
          </w:p>
        </w:tc>
        <w:tc>
          <w:tcPr>
            <w:tcW w:w="993" w:type="dxa"/>
            <w:shd w:val="clear" w:color="auto" w:fill="DBE5F1" w:themeFill="accent1" w:themeFillTint="33"/>
          </w:tcPr>
          <w:p w:rsidR="008756C2" w:rsidRDefault="008756C2" w:rsidP="003E3FB8">
            <w:pPr>
              <w:pStyle w:val="Tabletext"/>
              <w:jc w:val="center"/>
              <w:rPr>
                <w:rFonts w:cs="Arial"/>
                <w:color w:val="000000"/>
                <w:szCs w:val="16"/>
              </w:rPr>
            </w:pPr>
            <w:r>
              <w:rPr>
                <w:rFonts w:cs="Arial"/>
                <w:color w:val="000000"/>
                <w:szCs w:val="16"/>
              </w:rPr>
              <w:t>yes</w:t>
            </w:r>
          </w:p>
        </w:tc>
      </w:tr>
      <w:tr w:rsidR="008756C2" w:rsidTr="0041086D">
        <w:tc>
          <w:tcPr>
            <w:tcW w:w="567" w:type="dxa"/>
            <w:shd w:val="clear" w:color="auto" w:fill="DBE5F1" w:themeFill="accent1" w:themeFillTint="33"/>
          </w:tcPr>
          <w:p w:rsidR="008756C2" w:rsidRDefault="008756C2" w:rsidP="008E3EBA">
            <w:pPr>
              <w:pStyle w:val="Tabletext"/>
            </w:pPr>
            <w:r>
              <w:t>12</w:t>
            </w:r>
          </w:p>
        </w:tc>
        <w:tc>
          <w:tcPr>
            <w:tcW w:w="1418" w:type="dxa"/>
            <w:shd w:val="clear" w:color="auto" w:fill="DBE5F1" w:themeFill="accent1" w:themeFillTint="33"/>
          </w:tcPr>
          <w:p w:rsidR="008756C2" w:rsidRDefault="008E3EBA" w:rsidP="008E3EBA">
            <w:pPr>
              <w:pStyle w:val="Tabletext"/>
              <w:rPr>
                <w:rFonts w:cs="Arial"/>
                <w:color w:val="000000"/>
                <w:szCs w:val="16"/>
              </w:rPr>
            </w:pPr>
            <w:r>
              <w:rPr>
                <w:rFonts w:cs="Arial"/>
                <w:color w:val="000000"/>
                <w:szCs w:val="16"/>
              </w:rPr>
              <w:t>Online</w:t>
            </w:r>
          </w:p>
        </w:tc>
        <w:tc>
          <w:tcPr>
            <w:tcW w:w="2693" w:type="dxa"/>
            <w:shd w:val="clear" w:color="auto" w:fill="DBE5F1" w:themeFill="accent1" w:themeFillTint="33"/>
          </w:tcPr>
          <w:p w:rsidR="008756C2" w:rsidRDefault="008756C2" w:rsidP="008E3EBA">
            <w:pPr>
              <w:pStyle w:val="Tabletext"/>
              <w:rPr>
                <w:rFonts w:cs="Arial"/>
                <w:color w:val="000000"/>
                <w:szCs w:val="16"/>
              </w:rPr>
            </w:pPr>
            <w:r>
              <w:rPr>
                <w:rFonts w:cs="Arial"/>
                <w:color w:val="000000"/>
                <w:szCs w:val="16"/>
              </w:rPr>
              <w:t xml:space="preserve">up to 12 months </w:t>
            </w:r>
          </w:p>
        </w:tc>
        <w:tc>
          <w:tcPr>
            <w:tcW w:w="2126" w:type="dxa"/>
            <w:shd w:val="clear" w:color="auto" w:fill="DBE5F1" w:themeFill="accent1" w:themeFillTint="33"/>
          </w:tcPr>
          <w:p w:rsidR="008756C2" w:rsidRDefault="008756C2" w:rsidP="008E3EBA">
            <w:pPr>
              <w:pStyle w:val="Tabletext"/>
              <w:rPr>
                <w:rFonts w:cs="Arial"/>
                <w:color w:val="000000"/>
                <w:szCs w:val="16"/>
              </w:rPr>
            </w:pPr>
            <w:r>
              <w:rPr>
                <w:rFonts w:cs="Arial"/>
                <w:color w:val="000000"/>
                <w:szCs w:val="16"/>
              </w:rPr>
              <w:t>80 hours during working day or night shift</w:t>
            </w:r>
          </w:p>
        </w:tc>
        <w:tc>
          <w:tcPr>
            <w:tcW w:w="992" w:type="dxa"/>
            <w:shd w:val="clear" w:color="auto" w:fill="DBE5F1" w:themeFill="accent1" w:themeFillTint="33"/>
          </w:tcPr>
          <w:p w:rsidR="008756C2" w:rsidRDefault="008756C2" w:rsidP="003E3FB8">
            <w:pPr>
              <w:pStyle w:val="Tabletext"/>
              <w:jc w:val="center"/>
              <w:rPr>
                <w:rFonts w:cs="Arial"/>
                <w:color w:val="000000"/>
                <w:szCs w:val="16"/>
              </w:rPr>
            </w:pPr>
            <w:r>
              <w:rPr>
                <w:rFonts w:cs="Arial"/>
                <w:color w:val="000000"/>
                <w:szCs w:val="16"/>
              </w:rPr>
              <w:t>1</w:t>
            </w:r>
            <w:r w:rsidR="005469E1">
              <w:rPr>
                <w:rFonts w:cs="Arial"/>
                <w:color w:val="000000"/>
                <w:szCs w:val="16"/>
              </w:rPr>
              <w:t xml:space="preserve"> </w:t>
            </w:r>
            <w:r>
              <w:rPr>
                <w:rFonts w:cs="Arial"/>
                <w:color w:val="000000"/>
                <w:szCs w:val="16"/>
              </w:rPr>
              <w:t>490</w:t>
            </w:r>
          </w:p>
        </w:tc>
        <w:tc>
          <w:tcPr>
            <w:tcW w:w="993" w:type="dxa"/>
            <w:shd w:val="clear" w:color="auto" w:fill="DBE5F1" w:themeFill="accent1" w:themeFillTint="33"/>
          </w:tcPr>
          <w:p w:rsidR="008756C2" w:rsidRDefault="008756C2" w:rsidP="003E3FB8">
            <w:pPr>
              <w:pStyle w:val="Tabletext"/>
              <w:jc w:val="center"/>
              <w:rPr>
                <w:rFonts w:cs="Arial"/>
                <w:color w:val="000000"/>
                <w:szCs w:val="16"/>
              </w:rPr>
            </w:pPr>
            <w:r>
              <w:rPr>
                <w:rFonts w:cs="Arial"/>
                <w:color w:val="000000"/>
                <w:szCs w:val="16"/>
              </w:rPr>
              <w:t>yes</w:t>
            </w:r>
          </w:p>
        </w:tc>
      </w:tr>
      <w:tr w:rsidR="008756C2" w:rsidTr="0041086D">
        <w:tc>
          <w:tcPr>
            <w:tcW w:w="567" w:type="dxa"/>
            <w:shd w:val="clear" w:color="auto" w:fill="DBE5F1" w:themeFill="accent1" w:themeFillTint="33"/>
          </w:tcPr>
          <w:p w:rsidR="008756C2" w:rsidRDefault="008756C2" w:rsidP="008E3EBA">
            <w:pPr>
              <w:pStyle w:val="Tabletext"/>
            </w:pPr>
            <w:r>
              <w:t>13</w:t>
            </w:r>
          </w:p>
        </w:tc>
        <w:tc>
          <w:tcPr>
            <w:tcW w:w="1418" w:type="dxa"/>
            <w:shd w:val="clear" w:color="auto" w:fill="DBE5F1" w:themeFill="accent1" w:themeFillTint="33"/>
          </w:tcPr>
          <w:p w:rsidR="008756C2" w:rsidRDefault="008E3EBA" w:rsidP="008E3EBA">
            <w:pPr>
              <w:pStyle w:val="Tabletext"/>
              <w:rPr>
                <w:rFonts w:cs="Arial"/>
                <w:color w:val="000000"/>
                <w:szCs w:val="16"/>
              </w:rPr>
            </w:pPr>
            <w:r>
              <w:rPr>
                <w:rFonts w:cs="Arial"/>
                <w:color w:val="000000"/>
                <w:szCs w:val="16"/>
              </w:rPr>
              <w:t>Online</w:t>
            </w:r>
          </w:p>
        </w:tc>
        <w:tc>
          <w:tcPr>
            <w:tcW w:w="2693" w:type="dxa"/>
            <w:shd w:val="clear" w:color="auto" w:fill="DBE5F1" w:themeFill="accent1" w:themeFillTint="33"/>
          </w:tcPr>
          <w:p w:rsidR="008756C2" w:rsidRDefault="008756C2" w:rsidP="008E3EBA">
            <w:pPr>
              <w:pStyle w:val="Tabletext"/>
              <w:rPr>
                <w:rFonts w:cs="Arial"/>
                <w:color w:val="000000"/>
                <w:szCs w:val="16"/>
              </w:rPr>
            </w:pPr>
            <w:r>
              <w:rPr>
                <w:rFonts w:cs="Arial"/>
                <w:color w:val="000000"/>
                <w:szCs w:val="16"/>
              </w:rPr>
              <w:t xml:space="preserve">up to 18 months </w:t>
            </w:r>
          </w:p>
        </w:tc>
        <w:tc>
          <w:tcPr>
            <w:tcW w:w="2126" w:type="dxa"/>
            <w:shd w:val="clear" w:color="auto" w:fill="DBE5F1" w:themeFill="accent1" w:themeFillTint="33"/>
          </w:tcPr>
          <w:p w:rsidR="008756C2" w:rsidRDefault="008756C2" w:rsidP="008E3EBA">
            <w:pPr>
              <w:pStyle w:val="Tabletext"/>
              <w:rPr>
                <w:rFonts w:cs="Arial"/>
                <w:color w:val="000000"/>
                <w:szCs w:val="16"/>
              </w:rPr>
            </w:pPr>
          </w:p>
        </w:tc>
        <w:tc>
          <w:tcPr>
            <w:tcW w:w="992" w:type="dxa"/>
            <w:shd w:val="clear" w:color="auto" w:fill="DBE5F1" w:themeFill="accent1" w:themeFillTint="33"/>
          </w:tcPr>
          <w:p w:rsidR="008756C2" w:rsidRDefault="008756C2" w:rsidP="003E3FB8">
            <w:pPr>
              <w:pStyle w:val="Tabletext"/>
              <w:jc w:val="center"/>
              <w:rPr>
                <w:rFonts w:cs="Arial"/>
                <w:color w:val="000000"/>
                <w:szCs w:val="16"/>
              </w:rPr>
            </w:pPr>
            <w:r>
              <w:rPr>
                <w:rFonts w:cs="Arial"/>
                <w:color w:val="000000"/>
                <w:szCs w:val="16"/>
              </w:rPr>
              <w:t>2</w:t>
            </w:r>
            <w:r w:rsidR="005469E1">
              <w:rPr>
                <w:rFonts w:cs="Arial"/>
                <w:color w:val="000000"/>
                <w:szCs w:val="16"/>
              </w:rPr>
              <w:t xml:space="preserve"> </w:t>
            </w:r>
            <w:r>
              <w:rPr>
                <w:rFonts w:cs="Arial"/>
                <w:color w:val="000000"/>
                <w:szCs w:val="16"/>
              </w:rPr>
              <w:t>490</w:t>
            </w:r>
          </w:p>
        </w:tc>
        <w:tc>
          <w:tcPr>
            <w:tcW w:w="993" w:type="dxa"/>
            <w:shd w:val="clear" w:color="auto" w:fill="DBE5F1" w:themeFill="accent1" w:themeFillTint="33"/>
          </w:tcPr>
          <w:p w:rsidR="008756C2" w:rsidRDefault="008756C2" w:rsidP="003E3FB8">
            <w:pPr>
              <w:pStyle w:val="Tabletext"/>
              <w:jc w:val="center"/>
              <w:rPr>
                <w:rFonts w:cs="Arial"/>
                <w:color w:val="000000"/>
                <w:szCs w:val="16"/>
              </w:rPr>
            </w:pPr>
            <w:r>
              <w:rPr>
                <w:rFonts w:cs="Arial"/>
                <w:color w:val="000000"/>
                <w:szCs w:val="16"/>
              </w:rPr>
              <w:t>yes</w:t>
            </w:r>
          </w:p>
        </w:tc>
      </w:tr>
      <w:tr w:rsidR="008756C2" w:rsidTr="0041086D">
        <w:tc>
          <w:tcPr>
            <w:tcW w:w="567" w:type="dxa"/>
            <w:shd w:val="clear" w:color="auto" w:fill="DBE5F1" w:themeFill="accent1" w:themeFillTint="33"/>
          </w:tcPr>
          <w:p w:rsidR="008756C2" w:rsidRDefault="008756C2" w:rsidP="008E3EBA">
            <w:pPr>
              <w:pStyle w:val="Tabletext"/>
            </w:pPr>
            <w:r>
              <w:t>14</w:t>
            </w:r>
          </w:p>
        </w:tc>
        <w:tc>
          <w:tcPr>
            <w:tcW w:w="1418" w:type="dxa"/>
            <w:shd w:val="clear" w:color="auto" w:fill="DBE5F1" w:themeFill="accent1" w:themeFillTint="33"/>
          </w:tcPr>
          <w:p w:rsidR="008756C2" w:rsidRDefault="008E3EBA" w:rsidP="008E3EBA">
            <w:pPr>
              <w:pStyle w:val="Tabletext"/>
              <w:rPr>
                <w:rFonts w:cs="Arial"/>
                <w:color w:val="000000"/>
                <w:szCs w:val="16"/>
              </w:rPr>
            </w:pPr>
            <w:r>
              <w:rPr>
                <w:rFonts w:cs="Arial"/>
                <w:color w:val="000000"/>
                <w:szCs w:val="16"/>
              </w:rPr>
              <w:t>Mixed</w:t>
            </w:r>
          </w:p>
        </w:tc>
        <w:tc>
          <w:tcPr>
            <w:tcW w:w="2693" w:type="dxa"/>
            <w:shd w:val="clear" w:color="auto" w:fill="DBE5F1" w:themeFill="accent1" w:themeFillTint="33"/>
          </w:tcPr>
          <w:p w:rsidR="008756C2" w:rsidRDefault="00DF4211" w:rsidP="008E3EBA">
            <w:pPr>
              <w:pStyle w:val="Tabletext"/>
              <w:rPr>
                <w:rFonts w:cs="Arial"/>
                <w:color w:val="000000"/>
                <w:szCs w:val="16"/>
              </w:rPr>
            </w:pPr>
            <w:r>
              <w:rPr>
                <w:rFonts w:cs="Arial"/>
                <w:color w:val="000000"/>
                <w:szCs w:val="16"/>
              </w:rPr>
              <w:t>6–</w:t>
            </w:r>
            <w:r w:rsidR="008756C2">
              <w:rPr>
                <w:rFonts w:cs="Arial"/>
                <w:color w:val="000000"/>
                <w:szCs w:val="16"/>
              </w:rPr>
              <w:t>8</w:t>
            </w:r>
            <w:r w:rsidR="00E3166C">
              <w:rPr>
                <w:rFonts w:cs="Arial"/>
                <w:color w:val="000000"/>
                <w:szCs w:val="16"/>
              </w:rPr>
              <w:t xml:space="preserve"> </w:t>
            </w:r>
            <w:r w:rsidR="008756C2">
              <w:rPr>
                <w:rFonts w:cs="Arial"/>
                <w:color w:val="000000"/>
                <w:szCs w:val="16"/>
              </w:rPr>
              <w:t>months</w:t>
            </w:r>
          </w:p>
        </w:tc>
        <w:tc>
          <w:tcPr>
            <w:tcW w:w="2126" w:type="dxa"/>
            <w:shd w:val="clear" w:color="auto" w:fill="DBE5F1" w:themeFill="accent1" w:themeFillTint="33"/>
          </w:tcPr>
          <w:p w:rsidR="008756C2" w:rsidRDefault="008756C2" w:rsidP="008E3EBA">
            <w:pPr>
              <w:pStyle w:val="Tabletext"/>
              <w:rPr>
                <w:rFonts w:cs="Arial"/>
                <w:color w:val="000000"/>
                <w:szCs w:val="16"/>
              </w:rPr>
            </w:pPr>
            <w:r>
              <w:rPr>
                <w:rFonts w:cs="Arial"/>
                <w:color w:val="000000"/>
                <w:szCs w:val="16"/>
              </w:rPr>
              <w:t>4 weeks (150</w:t>
            </w:r>
            <w:r w:rsidR="008E3EBA">
              <w:rPr>
                <w:rFonts w:cs="Arial"/>
                <w:color w:val="000000"/>
                <w:szCs w:val="16"/>
              </w:rPr>
              <w:t> </w:t>
            </w:r>
            <w:r>
              <w:rPr>
                <w:rFonts w:cs="Arial"/>
                <w:color w:val="000000"/>
                <w:szCs w:val="16"/>
              </w:rPr>
              <w:t>hours)</w:t>
            </w:r>
          </w:p>
        </w:tc>
        <w:tc>
          <w:tcPr>
            <w:tcW w:w="992" w:type="dxa"/>
            <w:shd w:val="clear" w:color="auto" w:fill="DBE5F1" w:themeFill="accent1" w:themeFillTint="33"/>
          </w:tcPr>
          <w:p w:rsidR="008756C2" w:rsidRDefault="008756C2" w:rsidP="003E3FB8">
            <w:pPr>
              <w:pStyle w:val="Tabletext"/>
              <w:jc w:val="center"/>
              <w:rPr>
                <w:rFonts w:cs="Arial"/>
                <w:color w:val="000000"/>
                <w:szCs w:val="16"/>
              </w:rPr>
            </w:pPr>
            <w:r>
              <w:rPr>
                <w:rFonts w:cs="Arial"/>
                <w:color w:val="000000"/>
                <w:szCs w:val="16"/>
              </w:rPr>
              <w:t>1</w:t>
            </w:r>
            <w:r w:rsidR="005469E1">
              <w:rPr>
                <w:rFonts w:cs="Arial"/>
                <w:color w:val="000000"/>
                <w:szCs w:val="16"/>
              </w:rPr>
              <w:t xml:space="preserve"> </w:t>
            </w:r>
            <w:r>
              <w:rPr>
                <w:rFonts w:cs="Arial"/>
                <w:color w:val="000000"/>
                <w:szCs w:val="16"/>
              </w:rPr>
              <w:t>950</w:t>
            </w:r>
          </w:p>
        </w:tc>
        <w:tc>
          <w:tcPr>
            <w:tcW w:w="993" w:type="dxa"/>
            <w:shd w:val="clear" w:color="auto" w:fill="DBE5F1" w:themeFill="accent1" w:themeFillTint="33"/>
          </w:tcPr>
          <w:p w:rsidR="008756C2" w:rsidRDefault="008756C2" w:rsidP="003E3FB8">
            <w:pPr>
              <w:pStyle w:val="Tabletext"/>
              <w:jc w:val="center"/>
              <w:rPr>
                <w:rFonts w:cs="Arial"/>
                <w:color w:val="000000"/>
                <w:szCs w:val="16"/>
              </w:rPr>
            </w:pPr>
            <w:r>
              <w:rPr>
                <w:rFonts w:cs="Arial"/>
                <w:color w:val="000000"/>
                <w:szCs w:val="16"/>
              </w:rPr>
              <w:t>yes</w:t>
            </w:r>
          </w:p>
        </w:tc>
      </w:tr>
      <w:tr w:rsidR="008756C2" w:rsidTr="0041086D">
        <w:tc>
          <w:tcPr>
            <w:tcW w:w="567" w:type="dxa"/>
          </w:tcPr>
          <w:p w:rsidR="008756C2" w:rsidRDefault="008756C2" w:rsidP="008E3EBA">
            <w:pPr>
              <w:pStyle w:val="Tabletext"/>
            </w:pPr>
            <w:r>
              <w:t>15</w:t>
            </w:r>
          </w:p>
        </w:tc>
        <w:tc>
          <w:tcPr>
            <w:tcW w:w="1418" w:type="dxa"/>
          </w:tcPr>
          <w:p w:rsidR="008756C2" w:rsidRDefault="008E3EBA" w:rsidP="00C37F5F">
            <w:pPr>
              <w:pStyle w:val="Tabletext"/>
              <w:rPr>
                <w:rFonts w:cs="Arial"/>
                <w:color w:val="000000"/>
                <w:szCs w:val="16"/>
              </w:rPr>
            </w:pPr>
            <w:r>
              <w:rPr>
                <w:rFonts w:cs="Arial"/>
                <w:color w:val="000000"/>
                <w:szCs w:val="16"/>
              </w:rPr>
              <w:t>In</w:t>
            </w:r>
            <w:r w:rsidR="008756C2">
              <w:rPr>
                <w:rFonts w:cs="Arial"/>
                <w:color w:val="000000"/>
                <w:szCs w:val="16"/>
              </w:rPr>
              <w:t>-class</w:t>
            </w:r>
          </w:p>
        </w:tc>
        <w:tc>
          <w:tcPr>
            <w:tcW w:w="2693" w:type="dxa"/>
          </w:tcPr>
          <w:p w:rsidR="008756C2" w:rsidRDefault="00DF4211" w:rsidP="00C37F5F">
            <w:pPr>
              <w:pStyle w:val="Tabletext"/>
              <w:rPr>
                <w:rFonts w:cs="Arial"/>
                <w:color w:val="000000"/>
                <w:szCs w:val="16"/>
              </w:rPr>
            </w:pPr>
            <w:r>
              <w:rPr>
                <w:rFonts w:cs="Arial"/>
                <w:color w:val="000000"/>
                <w:szCs w:val="16"/>
              </w:rPr>
              <w:t>20 week</w:t>
            </w:r>
            <w:r w:rsidR="00C37F5F">
              <w:rPr>
                <w:rFonts w:cs="Arial"/>
                <w:color w:val="000000"/>
                <w:szCs w:val="16"/>
              </w:rPr>
              <w:t>s</w:t>
            </w:r>
            <w:r>
              <w:rPr>
                <w:rFonts w:cs="Arial"/>
                <w:color w:val="000000"/>
                <w:szCs w:val="16"/>
              </w:rPr>
              <w:t xml:space="preserve"> (1 day per week, 9.00</w:t>
            </w:r>
            <w:r w:rsidR="008E3EBA">
              <w:rPr>
                <w:rFonts w:cs="Arial"/>
                <w:color w:val="000000"/>
                <w:szCs w:val="16"/>
              </w:rPr>
              <w:t> </w:t>
            </w:r>
            <w:r>
              <w:rPr>
                <w:rFonts w:cs="Arial"/>
                <w:color w:val="000000"/>
                <w:szCs w:val="16"/>
              </w:rPr>
              <w:t>am–</w:t>
            </w:r>
            <w:r w:rsidR="008756C2">
              <w:rPr>
                <w:rFonts w:cs="Arial"/>
                <w:color w:val="000000"/>
                <w:szCs w:val="16"/>
              </w:rPr>
              <w:t>4.00</w:t>
            </w:r>
            <w:r>
              <w:rPr>
                <w:rFonts w:cs="Arial"/>
                <w:color w:val="000000"/>
                <w:szCs w:val="16"/>
              </w:rPr>
              <w:t xml:space="preserve"> pm</w:t>
            </w:r>
            <w:r w:rsidR="008756C2">
              <w:rPr>
                <w:rFonts w:cs="Arial"/>
                <w:color w:val="000000"/>
                <w:szCs w:val="16"/>
              </w:rPr>
              <w:t>)</w:t>
            </w:r>
          </w:p>
        </w:tc>
        <w:tc>
          <w:tcPr>
            <w:tcW w:w="2126" w:type="dxa"/>
          </w:tcPr>
          <w:p w:rsidR="008756C2" w:rsidRDefault="008756C2" w:rsidP="008E3EBA">
            <w:pPr>
              <w:pStyle w:val="Tabletext"/>
              <w:rPr>
                <w:rFonts w:cs="Arial"/>
                <w:color w:val="000000"/>
                <w:szCs w:val="16"/>
              </w:rPr>
            </w:pPr>
            <w:r>
              <w:rPr>
                <w:rFonts w:cs="Arial"/>
                <w:color w:val="000000"/>
                <w:szCs w:val="16"/>
              </w:rPr>
              <w:t>1 day per week</w:t>
            </w:r>
          </w:p>
        </w:tc>
        <w:tc>
          <w:tcPr>
            <w:tcW w:w="992" w:type="dxa"/>
          </w:tcPr>
          <w:p w:rsidR="008756C2" w:rsidRDefault="008756C2" w:rsidP="003E3FB8">
            <w:pPr>
              <w:pStyle w:val="Tabletext"/>
              <w:jc w:val="center"/>
              <w:rPr>
                <w:rFonts w:cs="Arial"/>
                <w:color w:val="000000"/>
                <w:szCs w:val="16"/>
              </w:rPr>
            </w:pPr>
            <w:r>
              <w:rPr>
                <w:rFonts w:cs="Arial"/>
                <w:color w:val="000000"/>
                <w:szCs w:val="16"/>
              </w:rPr>
              <w:t>2</w:t>
            </w:r>
            <w:r w:rsidR="005469E1">
              <w:rPr>
                <w:rFonts w:cs="Arial"/>
                <w:color w:val="000000"/>
                <w:szCs w:val="16"/>
              </w:rPr>
              <w:t xml:space="preserve"> </w:t>
            </w:r>
            <w:r>
              <w:rPr>
                <w:rFonts w:cs="Arial"/>
                <w:color w:val="000000"/>
                <w:szCs w:val="16"/>
              </w:rPr>
              <w:t>425</w:t>
            </w:r>
          </w:p>
        </w:tc>
        <w:tc>
          <w:tcPr>
            <w:tcW w:w="993" w:type="dxa"/>
          </w:tcPr>
          <w:p w:rsidR="008756C2" w:rsidRDefault="008756C2" w:rsidP="003E3FB8">
            <w:pPr>
              <w:pStyle w:val="Tabletext"/>
              <w:jc w:val="center"/>
              <w:rPr>
                <w:rFonts w:cs="Arial"/>
                <w:color w:val="000000"/>
                <w:szCs w:val="16"/>
              </w:rPr>
            </w:pPr>
            <w:r>
              <w:rPr>
                <w:rFonts w:cs="Arial"/>
                <w:color w:val="000000"/>
                <w:szCs w:val="16"/>
              </w:rPr>
              <w:t>yes</w:t>
            </w:r>
          </w:p>
        </w:tc>
      </w:tr>
      <w:tr w:rsidR="008756C2" w:rsidTr="0041086D">
        <w:tc>
          <w:tcPr>
            <w:tcW w:w="567" w:type="dxa"/>
          </w:tcPr>
          <w:p w:rsidR="008756C2" w:rsidRDefault="008756C2" w:rsidP="008E3EBA">
            <w:pPr>
              <w:pStyle w:val="Tabletext"/>
            </w:pPr>
            <w:r>
              <w:t>16</w:t>
            </w:r>
          </w:p>
        </w:tc>
        <w:tc>
          <w:tcPr>
            <w:tcW w:w="1418" w:type="dxa"/>
          </w:tcPr>
          <w:p w:rsidR="008756C2" w:rsidRDefault="008E3EBA" w:rsidP="008E3EBA">
            <w:pPr>
              <w:pStyle w:val="Tabletext"/>
              <w:rPr>
                <w:rFonts w:cs="Arial"/>
                <w:color w:val="000000"/>
                <w:szCs w:val="16"/>
              </w:rPr>
            </w:pPr>
            <w:r>
              <w:rPr>
                <w:rFonts w:cs="Arial"/>
                <w:color w:val="000000"/>
                <w:szCs w:val="16"/>
              </w:rPr>
              <w:t>Online</w:t>
            </w:r>
            <w:r w:rsidR="008756C2">
              <w:rPr>
                <w:rFonts w:cs="Arial"/>
                <w:color w:val="000000"/>
                <w:szCs w:val="16"/>
              </w:rPr>
              <w:t>, distance, blended, in-class</w:t>
            </w:r>
          </w:p>
        </w:tc>
        <w:tc>
          <w:tcPr>
            <w:tcW w:w="2693" w:type="dxa"/>
          </w:tcPr>
          <w:p w:rsidR="008756C2" w:rsidRDefault="008756C2" w:rsidP="008E3EBA">
            <w:pPr>
              <w:pStyle w:val="Tabletext"/>
              <w:rPr>
                <w:rFonts w:cs="Arial"/>
                <w:color w:val="000000"/>
                <w:szCs w:val="16"/>
              </w:rPr>
            </w:pPr>
            <w:r>
              <w:rPr>
                <w:rFonts w:cs="Arial"/>
                <w:color w:val="000000"/>
                <w:szCs w:val="16"/>
              </w:rPr>
              <w:t xml:space="preserve">Up to 12 months </w:t>
            </w:r>
          </w:p>
        </w:tc>
        <w:tc>
          <w:tcPr>
            <w:tcW w:w="2126" w:type="dxa"/>
          </w:tcPr>
          <w:p w:rsidR="008756C2" w:rsidRDefault="008756C2" w:rsidP="008E3EBA">
            <w:pPr>
              <w:pStyle w:val="Tabletext"/>
              <w:rPr>
                <w:rFonts w:cs="Arial"/>
                <w:color w:val="000000"/>
                <w:szCs w:val="16"/>
              </w:rPr>
            </w:pPr>
            <w:r>
              <w:rPr>
                <w:rFonts w:cs="Arial"/>
                <w:color w:val="000000"/>
                <w:szCs w:val="16"/>
              </w:rPr>
              <w:t>120 hours </w:t>
            </w:r>
          </w:p>
        </w:tc>
        <w:tc>
          <w:tcPr>
            <w:tcW w:w="992" w:type="dxa"/>
          </w:tcPr>
          <w:p w:rsidR="008756C2" w:rsidRDefault="008756C2" w:rsidP="003E3FB8">
            <w:pPr>
              <w:pStyle w:val="Tabletext"/>
              <w:jc w:val="center"/>
              <w:rPr>
                <w:rFonts w:cs="Arial"/>
                <w:color w:val="000000"/>
                <w:szCs w:val="16"/>
              </w:rPr>
            </w:pPr>
            <w:r>
              <w:rPr>
                <w:rFonts w:cs="Arial"/>
                <w:color w:val="000000"/>
                <w:szCs w:val="16"/>
              </w:rPr>
              <w:t>1</w:t>
            </w:r>
            <w:r w:rsidR="005469E1">
              <w:rPr>
                <w:rFonts w:cs="Arial"/>
                <w:color w:val="000000"/>
                <w:szCs w:val="16"/>
              </w:rPr>
              <w:t xml:space="preserve"> </w:t>
            </w:r>
            <w:r>
              <w:rPr>
                <w:rFonts w:cs="Arial"/>
                <w:color w:val="000000"/>
                <w:szCs w:val="16"/>
              </w:rPr>
              <w:t>800</w:t>
            </w:r>
          </w:p>
        </w:tc>
        <w:tc>
          <w:tcPr>
            <w:tcW w:w="993" w:type="dxa"/>
          </w:tcPr>
          <w:p w:rsidR="008756C2" w:rsidRDefault="008756C2" w:rsidP="003E3FB8">
            <w:pPr>
              <w:pStyle w:val="Tabletext"/>
              <w:jc w:val="center"/>
              <w:rPr>
                <w:rFonts w:cs="Arial"/>
                <w:color w:val="000000"/>
                <w:szCs w:val="16"/>
              </w:rPr>
            </w:pPr>
            <w:r>
              <w:rPr>
                <w:rFonts w:cs="Arial"/>
                <w:color w:val="000000"/>
                <w:szCs w:val="16"/>
              </w:rPr>
              <w:t>yes</w:t>
            </w:r>
          </w:p>
        </w:tc>
      </w:tr>
      <w:tr w:rsidR="008756C2" w:rsidTr="0041086D">
        <w:tc>
          <w:tcPr>
            <w:tcW w:w="567" w:type="dxa"/>
          </w:tcPr>
          <w:p w:rsidR="008756C2" w:rsidRDefault="008756C2" w:rsidP="008E3EBA">
            <w:pPr>
              <w:pStyle w:val="Tabletext"/>
            </w:pPr>
            <w:r>
              <w:t>17</w:t>
            </w:r>
          </w:p>
        </w:tc>
        <w:tc>
          <w:tcPr>
            <w:tcW w:w="1418" w:type="dxa"/>
          </w:tcPr>
          <w:p w:rsidR="008756C2" w:rsidRDefault="008E3EBA" w:rsidP="008E3EBA">
            <w:pPr>
              <w:pStyle w:val="Tabletext"/>
              <w:rPr>
                <w:rFonts w:cs="Arial"/>
                <w:color w:val="000000"/>
                <w:szCs w:val="16"/>
              </w:rPr>
            </w:pPr>
            <w:r>
              <w:rPr>
                <w:rFonts w:cs="Arial"/>
                <w:color w:val="000000"/>
                <w:szCs w:val="16"/>
              </w:rPr>
              <w:t>In</w:t>
            </w:r>
            <w:r w:rsidR="008756C2">
              <w:rPr>
                <w:rFonts w:cs="Arial"/>
                <w:color w:val="000000"/>
                <w:szCs w:val="16"/>
              </w:rPr>
              <w:t>-class</w:t>
            </w:r>
          </w:p>
        </w:tc>
        <w:tc>
          <w:tcPr>
            <w:tcW w:w="2693" w:type="dxa"/>
          </w:tcPr>
          <w:p w:rsidR="008756C2" w:rsidRDefault="008756C2" w:rsidP="00C37F5F">
            <w:pPr>
              <w:pStyle w:val="Tabletext"/>
              <w:rPr>
                <w:rFonts w:cs="Arial"/>
                <w:color w:val="000000"/>
                <w:szCs w:val="16"/>
              </w:rPr>
            </w:pPr>
            <w:r>
              <w:rPr>
                <w:rFonts w:cs="Arial"/>
                <w:color w:val="000000"/>
                <w:szCs w:val="16"/>
              </w:rPr>
              <w:t>1 day per week, 16 weeks</w:t>
            </w:r>
            <w:r w:rsidR="00C37F5F">
              <w:rPr>
                <w:rFonts w:cs="Arial"/>
                <w:color w:val="000000"/>
                <w:szCs w:val="16"/>
              </w:rPr>
              <w:t>;</w:t>
            </w:r>
            <w:r>
              <w:rPr>
                <w:rFonts w:cs="Arial"/>
                <w:color w:val="000000"/>
                <w:szCs w:val="16"/>
              </w:rPr>
              <w:t xml:space="preserve"> 2</w:t>
            </w:r>
            <w:r w:rsidR="008E3EBA">
              <w:rPr>
                <w:rFonts w:cs="Arial"/>
                <w:color w:val="000000"/>
                <w:szCs w:val="16"/>
              </w:rPr>
              <w:t> </w:t>
            </w:r>
            <w:r>
              <w:rPr>
                <w:rFonts w:cs="Arial"/>
                <w:color w:val="000000"/>
                <w:szCs w:val="16"/>
              </w:rPr>
              <w:t>evenings for 32 weeks, 1</w:t>
            </w:r>
            <w:r w:rsidR="008E3EBA">
              <w:rPr>
                <w:rFonts w:cs="Arial"/>
                <w:color w:val="000000"/>
                <w:szCs w:val="16"/>
              </w:rPr>
              <w:t> </w:t>
            </w:r>
            <w:r>
              <w:rPr>
                <w:rFonts w:cs="Arial"/>
                <w:color w:val="000000"/>
                <w:szCs w:val="16"/>
              </w:rPr>
              <w:t>S</w:t>
            </w:r>
            <w:r w:rsidR="00DF4211">
              <w:rPr>
                <w:rFonts w:cs="Arial"/>
                <w:color w:val="000000"/>
                <w:szCs w:val="16"/>
              </w:rPr>
              <w:t>aturday per week for 16 classes</w:t>
            </w:r>
            <w:r>
              <w:rPr>
                <w:rFonts w:cs="Arial"/>
                <w:color w:val="000000"/>
                <w:szCs w:val="16"/>
              </w:rPr>
              <w:t xml:space="preserve"> (approx. 530 hours)</w:t>
            </w:r>
          </w:p>
        </w:tc>
        <w:tc>
          <w:tcPr>
            <w:tcW w:w="2126" w:type="dxa"/>
          </w:tcPr>
          <w:p w:rsidR="008756C2" w:rsidRDefault="008756C2" w:rsidP="008E3EBA">
            <w:pPr>
              <w:pStyle w:val="Tabletext"/>
              <w:rPr>
                <w:rFonts w:cs="Arial"/>
                <w:color w:val="000000"/>
                <w:szCs w:val="16"/>
              </w:rPr>
            </w:pPr>
            <w:r>
              <w:rPr>
                <w:rFonts w:cs="Arial"/>
                <w:color w:val="000000"/>
                <w:szCs w:val="16"/>
              </w:rPr>
              <w:t>2 weeks for 40</w:t>
            </w:r>
            <w:r w:rsidR="008E3EBA">
              <w:rPr>
                <w:rFonts w:cs="Arial"/>
                <w:color w:val="000000"/>
                <w:szCs w:val="16"/>
              </w:rPr>
              <w:t> </w:t>
            </w:r>
            <w:r>
              <w:rPr>
                <w:rFonts w:cs="Arial"/>
                <w:color w:val="000000"/>
                <w:szCs w:val="16"/>
              </w:rPr>
              <w:t>hours per week, day shift</w:t>
            </w:r>
          </w:p>
        </w:tc>
        <w:tc>
          <w:tcPr>
            <w:tcW w:w="992" w:type="dxa"/>
          </w:tcPr>
          <w:p w:rsidR="008756C2" w:rsidRDefault="008756C2" w:rsidP="003E3FB8">
            <w:pPr>
              <w:pStyle w:val="Tabletext"/>
              <w:jc w:val="center"/>
              <w:rPr>
                <w:rFonts w:cs="Arial"/>
                <w:color w:val="000000"/>
                <w:szCs w:val="16"/>
              </w:rPr>
            </w:pPr>
            <w:r>
              <w:rPr>
                <w:rFonts w:cs="Arial"/>
                <w:color w:val="000000"/>
                <w:szCs w:val="16"/>
              </w:rPr>
              <w:t>1</w:t>
            </w:r>
            <w:r w:rsidR="005469E1">
              <w:rPr>
                <w:rFonts w:cs="Arial"/>
                <w:color w:val="000000"/>
                <w:szCs w:val="16"/>
              </w:rPr>
              <w:t xml:space="preserve"> </w:t>
            </w:r>
            <w:r>
              <w:rPr>
                <w:rFonts w:cs="Arial"/>
                <w:color w:val="000000"/>
                <w:szCs w:val="16"/>
              </w:rPr>
              <w:t>950</w:t>
            </w:r>
          </w:p>
        </w:tc>
        <w:tc>
          <w:tcPr>
            <w:tcW w:w="993" w:type="dxa"/>
          </w:tcPr>
          <w:p w:rsidR="008756C2" w:rsidRDefault="008756C2" w:rsidP="003E3FB8">
            <w:pPr>
              <w:pStyle w:val="Tabletext"/>
              <w:jc w:val="center"/>
              <w:rPr>
                <w:rFonts w:cs="Arial"/>
                <w:color w:val="000000"/>
                <w:szCs w:val="16"/>
              </w:rPr>
            </w:pPr>
            <w:r>
              <w:rPr>
                <w:rFonts w:cs="Arial"/>
                <w:color w:val="000000"/>
                <w:szCs w:val="16"/>
              </w:rPr>
              <w:t>yes</w:t>
            </w:r>
          </w:p>
        </w:tc>
      </w:tr>
      <w:tr w:rsidR="008756C2" w:rsidTr="0041086D">
        <w:tc>
          <w:tcPr>
            <w:tcW w:w="567" w:type="dxa"/>
            <w:shd w:val="clear" w:color="auto" w:fill="DBE5F1" w:themeFill="accent1" w:themeFillTint="33"/>
          </w:tcPr>
          <w:p w:rsidR="008756C2" w:rsidRDefault="008756C2" w:rsidP="008E3EBA">
            <w:pPr>
              <w:pStyle w:val="Tabletext"/>
            </w:pPr>
            <w:r>
              <w:t>18</w:t>
            </w:r>
          </w:p>
        </w:tc>
        <w:tc>
          <w:tcPr>
            <w:tcW w:w="1418" w:type="dxa"/>
            <w:shd w:val="clear" w:color="auto" w:fill="DBE5F1" w:themeFill="accent1" w:themeFillTint="33"/>
          </w:tcPr>
          <w:p w:rsidR="008756C2" w:rsidRDefault="008E3EBA" w:rsidP="00C37F5F">
            <w:pPr>
              <w:pStyle w:val="Tabletext"/>
              <w:rPr>
                <w:rFonts w:cs="Arial"/>
                <w:color w:val="000000"/>
                <w:szCs w:val="16"/>
              </w:rPr>
            </w:pPr>
            <w:r>
              <w:rPr>
                <w:rFonts w:cs="Arial"/>
                <w:color w:val="000000"/>
                <w:szCs w:val="16"/>
              </w:rPr>
              <w:t>In</w:t>
            </w:r>
            <w:r w:rsidR="008756C2">
              <w:rPr>
                <w:rFonts w:cs="Arial"/>
                <w:color w:val="000000"/>
                <w:szCs w:val="16"/>
              </w:rPr>
              <w:t>-class on campus</w:t>
            </w:r>
          </w:p>
        </w:tc>
        <w:tc>
          <w:tcPr>
            <w:tcW w:w="2693" w:type="dxa"/>
            <w:shd w:val="clear" w:color="auto" w:fill="DBE5F1" w:themeFill="accent1" w:themeFillTint="33"/>
          </w:tcPr>
          <w:p w:rsidR="008756C2" w:rsidRDefault="008761B5" w:rsidP="00C37F5F">
            <w:pPr>
              <w:pStyle w:val="Tabletext"/>
              <w:rPr>
                <w:rFonts w:cs="Arial"/>
                <w:color w:val="000000"/>
                <w:szCs w:val="16"/>
              </w:rPr>
            </w:pPr>
            <w:r>
              <w:rPr>
                <w:rFonts w:cs="Arial"/>
                <w:color w:val="000000"/>
                <w:szCs w:val="16"/>
              </w:rPr>
              <w:t>9.00 am–</w:t>
            </w:r>
            <w:r w:rsidR="008756C2">
              <w:rPr>
                <w:rFonts w:cs="Arial"/>
                <w:color w:val="000000"/>
                <w:szCs w:val="16"/>
              </w:rPr>
              <w:t>4.30</w:t>
            </w:r>
            <w:r>
              <w:rPr>
                <w:rFonts w:cs="Arial"/>
                <w:color w:val="000000"/>
                <w:szCs w:val="16"/>
              </w:rPr>
              <w:t xml:space="preserve"> </w:t>
            </w:r>
            <w:r w:rsidR="008756C2">
              <w:rPr>
                <w:rFonts w:cs="Arial"/>
                <w:color w:val="000000"/>
                <w:szCs w:val="16"/>
              </w:rPr>
              <w:t>pm</w:t>
            </w:r>
            <w:r w:rsidR="00C37F5F">
              <w:rPr>
                <w:rFonts w:cs="Arial"/>
                <w:color w:val="000000"/>
                <w:szCs w:val="16"/>
              </w:rPr>
              <w:t>,</w:t>
            </w:r>
            <w:r w:rsidR="008756C2">
              <w:rPr>
                <w:rFonts w:cs="Arial"/>
                <w:color w:val="000000"/>
                <w:szCs w:val="16"/>
              </w:rPr>
              <w:t xml:space="preserve"> 16 days (1</w:t>
            </w:r>
            <w:r w:rsidR="008E3EBA">
              <w:rPr>
                <w:rFonts w:cs="Arial"/>
                <w:color w:val="000000"/>
                <w:szCs w:val="16"/>
              </w:rPr>
              <w:t> </w:t>
            </w:r>
            <w:r w:rsidR="008756C2">
              <w:rPr>
                <w:rFonts w:cs="Arial"/>
                <w:color w:val="000000"/>
                <w:szCs w:val="16"/>
              </w:rPr>
              <w:t>day per week for 16 weeks</w:t>
            </w:r>
            <w:r w:rsidR="00C37F5F">
              <w:rPr>
                <w:rFonts w:cs="Arial"/>
                <w:color w:val="000000"/>
                <w:szCs w:val="16"/>
              </w:rPr>
              <w:t>;</w:t>
            </w:r>
            <w:r w:rsidR="008756C2">
              <w:rPr>
                <w:rFonts w:cs="Arial"/>
                <w:color w:val="000000"/>
                <w:szCs w:val="16"/>
              </w:rPr>
              <w:t xml:space="preserve"> 2</w:t>
            </w:r>
            <w:r w:rsidR="008E3EBA">
              <w:rPr>
                <w:rFonts w:cs="Arial"/>
                <w:color w:val="000000"/>
                <w:szCs w:val="16"/>
              </w:rPr>
              <w:t> </w:t>
            </w:r>
            <w:r w:rsidR="008756C2">
              <w:rPr>
                <w:rFonts w:cs="Arial"/>
                <w:color w:val="000000"/>
                <w:szCs w:val="16"/>
              </w:rPr>
              <w:t>days per week for 11 weeks)</w:t>
            </w:r>
          </w:p>
        </w:tc>
        <w:tc>
          <w:tcPr>
            <w:tcW w:w="2126" w:type="dxa"/>
            <w:shd w:val="clear" w:color="auto" w:fill="DBE5F1" w:themeFill="accent1" w:themeFillTint="33"/>
          </w:tcPr>
          <w:p w:rsidR="008756C2" w:rsidRDefault="008756C2" w:rsidP="003E3FB8">
            <w:pPr>
              <w:pStyle w:val="Tabletext"/>
              <w:rPr>
                <w:rFonts w:cs="Arial"/>
                <w:color w:val="000000"/>
                <w:szCs w:val="16"/>
              </w:rPr>
            </w:pPr>
            <w:r>
              <w:rPr>
                <w:rFonts w:cs="Arial"/>
                <w:color w:val="000000"/>
                <w:szCs w:val="16"/>
              </w:rPr>
              <w:t>3 weeks, full-time work, 40</w:t>
            </w:r>
            <w:r w:rsidR="003E3FB8">
              <w:rPr>
                <w:rFonts w:cs="Arial"/>
                <w:color w:val="000000"/>
                <w:szCs w:val="16"/>
              </w:rPr>
              <w:t> </w:t>
            </w:r>
            <w:r>
              <w:rPr>
                <w:rFonts w:cs="Arial"/>
                <w:color w:val="000000"/>
                <w:szCs w:val="16"/>
              </w:rPr>
              <w:t>hours per week)</w:t>
            </w:r>
          </w:p>
        </w:tc>
        <w:tc>
          <w:tcPr>
            <w:tcW w:w="992" w:type="dxa"/>
            <w:shd w:val="clear" w:color="auto" w:fill="DBE5F1" w:themeFill="accent1" w:themeFillTint="33"/>
          </w:tcPr>
          <w:p w:rsidR="008756C2" w:rsidRDefault="008756C2" w:rsidP="003E3FB8">
            <w:pPr>
              <w:pStyle w:val="Tabletext"/>
              <w:jc w:val="center"/>
              <w:rPr>
                <w:rFonts w:cs="Arial"/>
                <w:color w:val="000000"/>
                <w:szCs w:val="16"/>
              </w:rPr>
            </w:pPr>
            <w:r>
              <w:rPr>
                <w:rFonts w:cs="Arial"/>
                <w:color w:val="000000"/>
                <w:szCs w:val="16"/>
              </w:rPr>
              <w:t>3</w:t>
            </w:r>
            <w:r w:rsidR="005469E1">
              <w:rPr>
                <w:rFonts w:cs="Arial"/>
                <w:color w:val="000000"/>
                <w:szCs w:val="16"/>
              </w:rPr>
              <w:t xml:space="preserve"> </w:t>
            </w:r>
            <w:r>
              <w:rPr>
                <w:rFonts w:cs="Arial"/>
                <w:color w:val="000000"/>
                <w:szCs w:val="16"/>
              </w:rPr>
              <w:t>300</w:t>
            </w:r>
          </w:p>
        </w:tc>
        <w:tc>
          <w:tcPr>
            <w:tcW w:w="993" w:type="dxa"/>
            <w:shd w:val="clear" w:color="auto" w:fill="DBE5F1" w:themeFill="accent1" w:themeFillTint="33"/>
          </w:tcPr>
          <w:p w:rsidR="008756C2" w:rsidRDefault="008756C2" w:rsidP="003E3FB8">
            <w:pPr>
              <w:pStyle w:val="Tabletext"/>
              <w:jc w:val="center"/>
              <w:rPr>
                <w:rFonts w:cs="Arial"/>
                <w:color w:val="000000"/>
                <w:szCs w:val="16"/>
              </w:rPr>
            </w:pPr>
            <w:r>
              <w:rPr>
                <w:rFonts w:cs="Arial"/>
                <w:color w:val="000000"/>
                <w:szCs w:val="16"/>
              </w:rPr>
              <w:t>yes</w:t>
            </w:r>
          </w:p>
        </w:tc>
      </w:tr>
      <w:tr w:rsidR="008756C2" w:rsidTr="0041086D">
        <w:tc>
          <w:tcPr>
            <w:tcW w:w="567" w:type="dxa"/>
            <w:shd w:val="clear" w:color="auto" w:fill="auto"/>
          </w:tcPr>
          <w:p w:rsidR="008756C2" w:rsidRDefault="008756C2" w:rsidP="008E3EBA">
            <w:pPr>
              <w:pStyle w:val="Tabletext"/>
            </w:pPr>
            <w:r>
              <w:t>19</w:t>
            </w:r>
          </w:p>
        </w:tc>
        <w:tc>
          <w:tcPr>
            <w:tcW w:w="1418" w:type="dxa"/>
            <w:shd w:val="clear" w:color="auto" w:fill="auto"/>
          </w:tcPr>
          <w:p w:rsidR="008756C2" w:rsidRDefault="008E3EBA" w:rsidP="008E3EBA">
            <w:pPr>
              <w:pStyle w:val="Tabletext"/>
              <w:rPr>
                <w:rFonts w:cs="Arial"/>
                <w:color w:val="000000"/>
                <w:szCs w:val="16"/>
              </w:rPr>
            </w:pPr>
            <w:r>
              <w:rPr>
                <w:rFonts w:cs="Arial"/>
                <w:color w:val="000000"/>
                <w:szCs w:val="16"/>
              </w:rPr>
              <w:t>In</w:t>
            </w:r>
            <w:r w:rsidR="008756C2">
              <w:rPr>
                <w:rFonts w:cs="Arial"/>
                <w:color w:val="000000"/>
                <w:szCs w:val="16"/>
              </w:rPr>
              <w:t>-class</w:t>
            </w:r>
          </w:p>
        </w:tc>
        <w:tc>
          <w:tcPr>
            <w:tcW w:w="2693" w:type="dxa"/>
            <w:shd w:val="clear" w:color="auto" w:fill="auto"/>
          </w:tcPr>
          <w:p w:rsidR="008756C2" w:rsidRDefault="008756C2" w:rsidP="008E3EBA">
            <w:pPr>
              <w:pStyle w:val="Tabletext"/>
              <w:rPr>
                <w:rFonts w:cs="Arial"/>
                <w:color w:val="000000"/>
                <w:szCs w:val="16"/>
              </w:rPr>
            </w:pPr>
            <w:r>
              <w:rPr>
                <w:rFonts w:cs="Arial"/>
                <w:color w:val="000000"/>
                <w:szCs w:val="16"/>
              </w:rPr>
              <w:t>13 weeks</w:t>
            </w:r>
          </w:p>
        </w:tc>
        <w:tc>
          <w:tcPr>
            <w:tcW w:w="2126" w:type="dxa"/>
            <w:shd w:val="clear" w:color="auto" w:fill="auto"/>
          </w:tcPr>
          <w:p w:rsidR="008756C2" w:rsidRDefault="008756C2" w:rsidP="008E3EBA">
            <w:pPr>
              <w:pStyle w:val="Tabletext"/>
              <w:rPr>
                <w:rFonts w:cs="Arial"/>
                <w:color w:val="000000"/>
                <w:szCs w:val="16"/>
              </w:rPr>
            </w:pPr>
            <w:r>
              <w:rPr>
                <w:rFonts w:cs="Arial"/>
                <w:color w:val="000000"/>
                <w:szCs w:val="16"/>
              </w:rPr>
              <w:t>154 hours</w:t>
            </w:r>
          </w:p>
        </w:tc>
        <w:tc>
          <w:tcPr>
            <w:tcW w:w="992" w:type="dxa"/>
            <w:shd w:val="clear" w:color="auto" w:fill="auto"/>
          </w:tcPr>
          <w:p w:rsidR="008756C2" w:rsidRDefault="008756C2" w:rsidP="003E3FB8">
            <w:pPr>
              <w:pStyle w:val="Tabletext"/>
              <w:jc w:val="center"/>
              <w:rPr>
                <w:rFonts w:cs="Arial"/>
                <w:color w:val="000000"/>
                <w:szCs w:val="16"/>
              </w:rPr>
            </w:pPr>
            <w:r>
              <w:rPr>
                <w:rFonts w:cs="Arial"/>
                <w:color w:val="000000"/>
                <w:szCs w:val="16"/>
              </w:rPr>
              <w:t>5</w:t>
            </w:r>
            <w:r w:rsidR="005469E1">
              <w:rPr>
                <w:rFonts w:cs="Arial"/>
                <w:color w:val="000000"/>
                <w:szCs w:val="16"/>
              </w:rPr>
              <w:t xml:space="preserve"> </w:t>
            </w:r>
            <w:r>
              <w:rPr>
                <w:rFonts w:cs="Arial"/>
                <w:color w:val="000000"/>
                <w:szCs w:val="16"/>
              </w:rPr>
              <w:t>229</w:t>
            </w:r>
          </w:p>
        </w:tc>
        <w:tc>
          <w:tcPr>
            <w:tcW w:w="993" w:type="dxa"/>
            <w:shd w:val="clear" w:color="auto" w:fill="auto"/>
          </w:tcPr>
          <w:p w:rsidR="008756C2" w:rsidRDefault="008756C2" w:rsidP="003E3FB8">
            <w:pPr>
              <w:pStyle w:val="Tabletext"/>
              <w:jc w:val="center"/>
              <w:rPr>
                <w:rFonts w:cs="Arial"/>
                <w:color w:val="000000"/>
                <w:szCs w:val="16"/>
              </w:rPr>
            </w:pPr>
            <w:r>
              <w:rPr>
                <w:rFonts w:cs="Arial"/>
                <w:color w:val="000000"/>
                <w:szCs w:val="16"/>
              </w:rPr>
              <w:t>yes</w:t>
            </w:r>
          </w:p>
        </w:tc>
      </w:tr>
      <w:tr w:rsidR="008756C2" w:rsidTr="0041086D">
        <w:tc>
          <w:tcPr>
            <w:tcW w:w="567" w:type="dxa"/>
          </w:tcPr>
          <w:p w:rsidR="008756C2" w:rsidRDefault="008756C2" w:rsidP="008E3EBA">
            <w:pPr>
              <w:pStyle w:val="Tabletext"/>
            </w:pPr>
            <w:r>
              <w:t>20</w:t>
            </w:r>
          </w:p>
        </w:tc>
        <w:tc>
          <w:tcPr>
            <w:tcW w:w="1418" w:type="dxa"/>
          </w:tcPr>
          <w:p w:rsidR="008756C2" w:rsidRDefault="008E3EBA" w:rsidP="008E3EBA">
            <w:pPr>
              <w:pStyle w:val="Tabletext"/>
              <w:rPr>
                <w:rFonts w:cs="Arial"/>
                <w:color w:val="000000"/>
                <w:szCs w:val="16"/>
              </w:rPr>
            </w:pPr>
            <w:r>
              <w:rPr>
                <w:rFonts w:cs="Arial"/>
                <w:color w:val="000000"/>
                <w:szCs w:val="16"/>
              </w:rPr>
              <w:t>Online</w:t>
            </w:r>
            <w:r w:rsidR="008756C2">
              <w:rPr>
                <w:rFonts w:cs="Arial"/>
                <w:color w:val="000000"/>
                <w:szCs w:val="16"/>
              </w:rPr>
              <w:t>, distance</w:t>
            </w:r>
          </w:p>
        </w:tc>
        <w:tc>
          <w:tcPr>
            <w:tcW w:w="2693" w:type="dxa"/>
          </w:tcPr>
          <w:p w:rsidR="008756C2" w:rsidRDefault="008756C2" w:rsidP="008E3EBA">
            <w:pPr>
              <w:pStyle w:val="Tabletext"/>
              <w:rPr>
                <w:rFonts w:cs="Arial"/>
                <w:color w:val="000000"/>
                <w:szCs w:val="16"/>
              </w:rPr>
            </w:pPr>
            <w:r>
              <w:rPr>
                <w:rFonts w:cs="Arial"/>
                <w:color w:val="000000"/>
                <w:szCs w:val="16"/>
              </w:rPr>
              <w:t>self-paced, up to 12 months, (10</w:t>
            </w:r>
            <w:r w:rsidR="008E3EBA">
              <w:rPr>
                <w:rFonts w:cs="Arial"/>
                <w:color w:val="000000"/>
                <w:szCs w:val="16"/>
              </w:rPr>
              <w:t> </w:t>
            </w:r>
            <w:r>
              <w:rPr>
                <w:rFonts w:cs="Arial"/>
                <w:color w:val="000000"/>
                <w:szCs w:val="16"/>
              </w:rPr>
              <w:t>hours per week)</w:t>
            </w:r>
          </w:p>
        </w:tc>
        <w:tc>
          <w:tcPr>
            <w:tcW w:w="2126" w:type="dxa"/>
          </w:tcPr>
          <w:p w:rsidR="008756C2" w:rsidRDefault="008756C2" w:rsidP="008E3EBA">
            <w:pPr>
              <w:pStyle w:val="Tabletext"/>
              <w:rPr>
                <w:rFonts w:cs="Arial"/>
                <w:color w:val="000000"/>
                <w:szCs w:val="16"/>
              </w:rPr>
            </w:pPr>
            <w:r>
              <w:rPr>
                <w:rFonts w:cs="Arial"/>
                <w:color w:val="000000"/>
                <w:szCs w:val="16"/>
              </w:rPr>
              <w:t>100 hours</w:t>
            </w:r>
          </w:p>
        </w:tc>
        <w:tc>
          <w:tcPr>
            <w:tcW w:w="992" w:type="dxa"/>
          </w:tcPr>
          <w:p w:rsidR="008756C2" w:rsidRDefault="008756C2" w:rsidP="003E3FB8">
            <w:pPr>
              <w:pStyle w:val="Tabletext"/>
              <w:jc w:val="center"/>
              <w:rPr>
                <w:rFonts w:cs="Arial"/>
                <w:color w:val="000000"/>
                <w:szCs w:val="16"/>
              </w:rPr>
            </w:pPr>
            <w:r>
              <w:rPr>
                <w:rFonts w:cs="Arial"/>
                <w:color w:val="000000"/>
                <w:szCs w:val="16"/>
              </w:rPr>
              <w:t>1</w:t>
            </w:r>
            <w:r w:rsidR="005469E1">
              <w:rPr>
                <w:rFonts w:cs="Arial"/>
                <w:color w:val="000000"/>
                <w:szCs w:val="16"/>
              </w:rPr>
              <w:t xml:space="preserve"> </w:t>
            </w:r>
            <w:r>
              <w:rPr>
                <w:rFonts w:cs="Arial"/>
                <w:color w:val="000000"/>
                <w:szCs w:val="16"/>
              </w:rPr>
              <w:t>850</w:t>
            </w:r>
          </w:p>
        </w:tc>
        <w:tc>
          <w:tcPr>
            <w:tcW w:w="993" w:type="dxa"/>
          </w:tcPr>
          <w:p w:rsidR="008756C2" w:rsidRDefault="008756C2" w:rsidP="003E3FB8">
            <w:pPr>
              <w:pStyle w:val="Tabletext"/>
              <w:jc w:val="center"/>
              <w:rPr>
                <w:rFonts w:cs="Arial"/>
                <w:color w:val="000000"/>
                <w:szCs w:val="16"/>
              </w:rPr>
            </w:pPr>
            <w:r>
              <w:rPr>
                <w:rFonts w:cs="Arial"/>
                <w:color w:val="000000"/>
                <w:szCs w:val="16"/>
              </w:rPr>
              <w:t>yes</w:t>
            </w:r>
          </w:p>
        </w:tc>
      </w:tr>
      <w:tr w:rsidR="008756C2" w:rsidTr="0041086D">
        <w:tc>
          <w:tcPr>
            <w:tcW w:w="567" w:type="dxa"/>
          </w:tcPr>
          <w:p w:rsidR="008756C2" w:rsidRDefault="008756C2" w:rsidP="008E3EBA">
            <w:pPr>
              <w:pStyle w:val="Tabletext"/>
            </w:pPr>
            <w:r>
              <w:t>21</w:t>
            </w:r>
          </w:p>
        </w:tc>
        <w:tc>
          <w:tcPr>
            <w:tcW w:w="1418" w:type="dxa"/>
          </w:tcPr>
          <w:p w:rsidR="008756C2" w:rsidRDefault="008E3EBA" w:rsidP="008E3EBA">
            <w:pPr>
              <w:pStyle w:val="Tabletext"/>
              <w:rPr>
                <w:rFonts w:cs="Arial"/>
                <w:color w:val="000000"/>
                <w:szCs w:val="16"/>
              </w:rPr>
            </w:pPr>
            <w:r>
              <w:rPr>
                <w:rFonts w:cs="Arial"/>
                <w:color w:val="000000"/>
                <w:szCs w:val="16"/>
              </w:rPr>
              <w:t>In</w:t>
            </w:r>
            <w:r w:rsidR="008756C2">
              <w:rPr>
                <w:rFonts w:cs="Arial"/>
                <w:color w:val="000000"/>
                <w:szCs w:val="16"/>
              </w:rPr>
              <w:t>-class, flexible, distance</w:t>
            </w:r>
          </w:p>
        </w:tc>
        <w:tc>
          <w:tcPr>
            <w:tcW w:w="2693" w:type="dxa"/>
          </w:tcPr>
          <w:p w:rsidR="008756C2" w:rsidRDefault="008756C2" w:rsidP="008E3EBA">
            <w:pPr>
              <w:pStyle w:val="Tabletext"/>
              <w:rPr>
                <w:rFonts w:cs="Arial"/>
                <w:color w:val="000000"/>
                <w:szCs w:val="16"/>
              </w:rPr>
            </w:pPr>
            <w:r>
              <w:rPr>
                <w:rFonts w:cs="Arial"/>
                <w:color w:val="000000"/>
                <w:szCs w:val="16"/>
              </w:rPr>
              <w:t>5 weeks</w:t>
            </w:r>
          </w:p>
        </w:tc>
        <w:tc>
          <w:tcPr>
            <w:tcW w:w="2126" w:type="dxa"/>
          </w:tcPr>
          <w:p w:rsidR="008756C2" w:rsidRDefault="008756C2" w:rsidP="008E3EBA">
            <w:pPr>
              <w:pStyle w:val="Tabletext"/>
              <w:rPr>
                <w:rFonts w:cs="Arial"/>
                <w:color w:val="000000"/>
                <w:szCs w:val="16"/>
              </w:rPr>
            </w:pPr>
            <w:r>
              <w:rPr>
                <w:rFonts w:cs="Arial"/>
                <w:color w:val="000000"/>
                <w:szCs w:val="16"/>
              </w:rPr>
              <w:t>4 weeks</w:t>
            </w:r>
          </w:p>
        </w:tc>
        <w:tc>
          <w:tcPr>
            <w:tcW w:w="992" w:type="dxa"/>
          </w:tcPr>
          <w:p w:rsidR="008756C2" w:rsidRDefault="008756C2" w:rsidP="003E3FB8">
            <w:pPr>
              <w:pStyle w:val="Tabletext"/>
              <w:jc w:val="center"/>
              <w:rPr>
                <w:rFonts w:cs="Arial"/>
                <w:color w:val="000000"/>
                <w:szCs w:val="16"/>
              </w:rPr>
            </w:pPr>
            <w:r>
              <w:rPr>
                <w:rFonts w:cs="Arial"/>
                <w:color w:val="000000"/>
                <w:szCs w:val="16"/>
              </w:rPr>
              <w:t>1</w:t>
            </w:r>
            <w:r w:rsidR="005469E1">
              <w:rPr>
                <w:rFonts w:cs="Arial"/>
                <w:color w:val="000000"/>
                <w:szCs w:val="16"/>
              </w:rPr>
              <w:t xml:space="preserve"> </w:t>
            </w:r>
            <w:r>
              <w:rPr>
                <w:rFonts w:cs="Arial"/>
                <w:color w:val="000000"/>
                <w:szCs w:val="16"/>
              </w:rPr>
              <w:t>800</w:t>
            </w:r>
          </w:p>
        </w:tc>
        <w:tc>
          <w:tcPr>
            <w:tcW w:w="993" w:type="dxa"/>
          </w:tcPr>
          <w:p w:rsidR="008756C2" w:rsidRDefault="008756C2" w:rsidP="003E3FB8">
            <w:pPr>
              <w:pStyle w:val="Tabletext"/>
              <w:jc w:val="center"/>
              <w:rPr>
                <w:rFonts w:cs="Arial"/>
                <w:color w:val="000000"/>
                <w:szCs w:val="16"/>
              </w:rPr>
            </w:pPr>
            <w:r>
              <w:rPr>
                <w:rFonts w:cs="Arial"/>
                <w:color w:val="000000"/>
                <w:szCs w:val="16"/>
              </w:rPr>
              <w:t>yes</w:t>
            </w:r>
          </w:p>
        </w:tc>
      </w:tr>
      <w:tr w:rsidR="008756C2" w:rsidTr="0041086D">
        <w:tc>
          <w:tcPr>
            <w:tcW w:w="567" w:type="dxa"/>
          </w:tcPr>
          <w:p w:rsidR="008756C2" w:rsidRDefault="008756C2" w:rsidP="008E3EBA">
            <w:pPr>
              <w:pStyle w:val="Tabletext"/>
            </w:pPr>
            <w:r>
              <w:t>22</w:t>
            </w:r>
          </w:p>
        </w:tc>
        <w:tc>
          <w:tcPr>
            <w:tcW w:w="1418" w:type="dxa"/>
          </w:tcPr>
          <w:p w:rsidR="008756C2" w:rsidRDefault="008E3EBA" w:rsidP="008E3EBA">
            <w:pPr>
              <w:pStyle w:val="Tabletext"/>
              <w:rPr>
                <w:rFonts w:cs="Arial"/>
                <w:color w:val="000000"/>
                <w:szCs w:val="16"/>
              </w:rPr>
            </w:pPr>
            <w:r>
              <w:rPr>
                <w:rFonts w:cs="Arial"/>
                <w:color w:val="000000"/>
                <w:szCs w:val="16"/>
              </w:rPr>
              <w:t>In</w:t>
            </w:r>
            <w:r w:rsidR="008756C2">
              <w:rPr>
                <w:rFonts w:cs="Arial"/>
                <w:color w:val="000000"/>
                <w:szCs w:val="16"/>
              </w:rPr>
              <w:t xml:space="preserve">-class, full-time, external </w:t>
            </w:r>
          </w:p>
        </w:tc>
        <w:tc>
          <w:tcPr>
            <w:tcW w:w="2693" w:type="dxa"/>
          </w:tcPr>
          <w:p w:rsidR="008756C2" w:rsidRDefault="008761B5" w:rsidP="008E3EBA">
            <w:pPr>
              <w:pStyle w:val="Tabletext"/>
              <w:rPr>
                <w:rFonts w:cs="Arial"/>
                <w:color w:val="000000"/>
                <w:szCs w:val="16"/>
              </w:rPr>
            </w:pPr>
            <w:r>
              <w:rPr>
                <w:rFonts w:cs="Arial"/>
                <w:color w:val="000000"/>
                <w:szCs w:val="16"/>
              </w:rPr>
              <w:t>one semester full-</w:t>
            </w:r>
            <w:r w:rsidR="008756C2">
              <w:rPr>
                <w:rFonts w:cs="Arial"/>
                <w:color w:val="000000"/>
                <w:szCs w:val="16"/>
              </w:rPr>
              <w:t>time or equivalent part-time</w:t>
            </w:r>
          </w:p>
        </w:tc>
        <w:tc>
          <w:tcPr>
            <w:tcW w:w="2126" w:type="dxa"/>
          </w:tcPr>
          <w:p w:rsidR="008756C2" w:rsidRPr="00427794" w:rsidRDefault="008756C2" w:rsidP="008E3EBA">
            <w:pPr>
              <w:pStyle w:val="Tabletext"/>
            </w:pPr>
            <w:r w:rsidRPr="00427794">
              <w:t xml:space="preserve">100 </w:t>
            </w:r>
            <w:r w:rsidRPr="008E3EBA">
              <w:t>hours</w:t>
            </w:r>
          </w:p>
        </w:tc>
        <w:tc>
          <w:tcPr>
            <w:tcW w:w="992" w:type="dxa"/>
          </w:tcPr>
          <w:p w:rsidR="008756C2" w:rsidRDefault="008756C2" w:rsidP="003E3FB8">
            <w:pPr>
              <w:pStyle w:val="Tabletext"/>
              <w:jc w:val="center"/>
              <w:rPr>
                <w:rFonts w:cs="Arial"/>
                <w:color w:val="000000"/>
                <w:szCs w:val="16"/>
              </w:rPr>
            </w:pPr>
            <w:r>
              <w:rPr>
                <w:rFonts w:cs="Arial"/>
                <w:color w:val="000000"/>
                <w:szCs w:val="16"/>
              </w:rPr>
              <w:t>1</w:t>
            </w:r>
            <w:r w:rsidR="005469E1">
              <w:rPr>
                <w:rFonts w:cs="Arial"/>
                <w:color w:val="000000"/>
                <w:szCs w:val="16"/>
              </w:rPr>
              <w:t xml:space="preserve"> </w:t>
            </w:r>
            <w:r>
              <w:rPr>
                <w:rFonts w:cs="Arial"/>
                <w:color w:val="000000"/>
                <w:szCs w:val="16"/>
              </w:rPr>
              <w:t>800</w:t>
            </w:r>
          </w:p>
        </w:tc>
        <w:tc>
          <w:tcPr>
            <w:tcW w:w="993" w:type="dxa"/>
          </w:tcPr>
          <w:p w:rsidR="008756C2" w:rsidRDefault="008756C2" w:rsidP="003E3FB8">
            <w:pPr>
              <w:pStyle w:val="Tabletext"/>
              <w:jc w:val="center"/>
              <w:rPr>
                <w:rFonts w:cs="Arial"/>
                <w:color w:val="000000"/>
                <w:szCs w:val="16"/>
              </w:rPr>
            </w:pPr>
            <w:r>
              <w:rPr>
                <w:rFonts w:cs="Arial"/>
                <w:color w:val="000000"/>
                <w:szCs w:val="16"/>
              </w:rPr>
              <w:t>yes</w:t>
            </w:r>
          </w:p>
        </w:tc>
      </w:tr>
      <w:tr w:rsidR="008756C2" w:rsidTr="0041086D">
        <w:tc>
          <w:tcPr>
            <w:tcW w:w="567" w:type="dxa"/>
          </w:tcPr>
          <w:p w:rsidR="008756C2" w:rsidRDefault="008756C2" w:rsidP="008E3EBA">
            <w:pPr>
              <w:pStyle w:val="Tabletext"/>
            </w:pPr>
            <w:r>
              <w:t>23</w:t>
            </w:r>
          </w:p>
        </w:tc>
        <w:tc>
          <w:tcPr>
            <w:tcW w:w="1418" w:type="dxa"/>
          </w:tcPr>
          <w:p w:rsidR="008756C2" w:rsidRDefault="008E3EBA" w:rsidP="008E3EBA">
            <w:pPr>
              <w:pStyle w:val="Tabletext"/>
              <w:rPr>
                <w:rFonts w:cs="Arial"/>
                <w:color w:val="000000"/>
                <w:szCs w:val="16"/>
              </w:rPr>
            </w:pPr>
            <w:r>
              <w:rPr>
                <w:rFonts w:cs="Arial"/>
                <w:color w:val="000000"/>
                <w:szCs w:val="16"/>
              </w:rPr>
              <w:t>In</w:t>
            </w:r>
            <w:r w:rsidR="008756C2">
              <w:rPr>
                <w:rFonts w:cs="Arial"/>
                <w:color w:val="000000"/>
                <w:szCs w:val="16"/>
              </w:rPr>
              <w:t>-class</w:t>
            </w:r>
          </w:p>
        </w:tc>
        <w:tc>
          <w:tcPr>
            <w:tcW w:w="2693" w:type="dxa"/>
          </w:tcPr>
          <w:p w:rsidR="008756C2" w:rsidRDefault="008756C2" w:rsidP="008E3EBA">
            <w:pPr>
              <w:pStyle w:val="Tabletext"/>
              <w:rPr>
                <w:rFonts w:cs="Arial"/>
                <w:color w:val="000000"/>
                <w:szCs w:val="16"/>
              </w:rPr>
            </w:pPr>
            <w:r>
              <w:rPr>
                <w:rFonts w:cs="Arial"/>
                <w:color w:val="000000"/>
                <w:szCs w:val="16"/>
              </w:rPr>
              <w:t>6 months, intensive 2 days per week (1 semester)</w:t>
            </w:r>
          </w:p>
        </w:tc>
        <w:tc>
          <w:tcPr>
            <w:tcW w:w="2126" w:type="dxa"/>
          </w:tcPr>
          <w:p w:rsidR="008756C2" w:rsidRDefault="008756C2" w:rsidP="008E3EBA">
            <w:pPr>
              <w:pStyle w:val="Tabletext"/>
              <w:rPr>
                <w:rFonts w:cs="Arial"/>
                <w:color w:val="000000"/>
                <w:szCs w:val="16"/>
              </w:rPr>
            </w:pPr>
            <w:r>
              <w:rPr>
                <w:rFonts w:cs="Arial"/>
                <w:color w:val="000000"/>
                <w:szCs w:val="16"/>
              </w:rPr>
              <w:t>100 hours, full-time</w:t>
            </w:r>
          </w:p>
        </w:tc>
        <w:tc>
          <w:tcPr>
            <w:tcW w:w="992" w:type="dxa"/>
          </w:tcPr>
          <w:p w:rsidR="008756C2" w:rsidRDefault="008756C2" w:rsidP="003E3FB8">
            <w:pPr>
              <w:pStyle w:val="Tabletext"/>
              <w:jc w:val="center"/>
              <w:rPr>
                <w:rFonts w:cs="Arial"/>
                <w:color w:val="000000"/>
                <w:szCs w:val="16"/>
              </w:rPr>
            </w:pPr>
            <w:r>
              <w:rPr>
                <w:rFonts w:cs="Arial"/>
                <w:color w:val="000000"/>
                <w:szCs w:val="16"/>
              </w:rPr>
              <w:t>1</w:t>
            </w:r>
            <w:r w:rsidR="005469E1">
              <w:rPr>
                <w:rFonts w:cs="Arial"/>
                <w:color w:val="000000"/>
                <w:szCs w:val="16"/>
              </w:rPr>
              <w:t xml:space="preserve"> </w:t>
            </w:r>
            <w:r>
              <w:rPr>
                <w:rFonts w:cs="Arial"/>
                <w:color w:val="000000"/>
                <w:szCs w:val="16"/>
              </w:rPr>
              <w:t>500</w:t>
            </w:r>
          </w:p>
        </w:tc>
        <w:tc>
          <w:tcPr>
            <w:tcW w:w="993" w:type="dxa"/>
          </w:tcPr>
          <w:p w:rsidR="008756C2" w:rsidRDefault="008756C2" w:rsidP="003E3FB8">
            <w:pPr>
              <w:pStyle w:val="Tabletext"/>
              <w:jc w:val="center"/>
              <w:rPr>
                <w:rFonts w:cs="Arial"/>
                <w:color w:val="000000"/>
                <w:szCs w:val="16"/>
              </w:rPr>
            </w:pPr>
            <w:r>
              <w:rPr>
                <w:rFonts w:cs="Arial"/>
                <w:color w:val="000000"/>
                <w:szCs w:val="16"/>
              </w:rPr>
              <w:t>yes</w:t>
            </w:r>
          </w:p>
        </w:tc>
      </w:tr>
      <w:tr w:rsidR="008756C2" w:rsidTr="0041086D">
        <w:tc>
          <w:tcPr>
            <w:tcW w:w="567" w:type="dxa"/>
            <w:shd w:val="clear" w:color="auto" w:fill="DBE5F1" w:themeFill="accent1" w:themeFillTint="33"/>
          </w:tcPr>
          <w:p w:rsidR="008756C2" w:rsidRDefault="008756C2" w:rsidP="008E3EBA">
            <w:pPr>
              <w:pStyle w:val="Tabletext"/>
            </w:pPr>
            <w:r>
              <w:t>24</w:t>
            </w:r>
          </w:p>
        </w:tc>
        <w:tc>
          <w:tcPr>
            <w:tcW w:w="1418" w:type="dxa"/>
            <w:shd w:val="clear" w:color="auto" w:fill="DBE5F1" w:themeFill="accent1" w:themeFillTint="33"/>
          </w:tcPr>
          <w:p w:rsidR="008756C2" w:rsidRDefault="008E3EBA" w:rsidP="008E3EBA">
            <w:pPr>
              <w:pStyle w:val="Tabletext"/>
              <w:rPr>
                <w:rFonts w:cs="Arial"/>
                <w:color w:val="000000"/>
                <w:szCs w:val="16"/>
              </w:rPr>
            </w:pPr>
            <w:r>
              <w:rPr>
                <w:rFonts w:cs="Arial"/>
                <w:color w:val="000000"/>
                <w:szCs w:val="16"/>
              </w:rPr>
              <w:t>In</w:t>
            </w:r>
            <w:r w:rsidR="008756C2">
              <w:rPr>
                <w:rFonts w:cs="Arial"/>
                <w:color w:val="000000"/>
                <w:szCs w:val="16"/>
              </w:rPr>
              <w:t>-class, distance, self-paced</w:t>
            </w:r>
          </w:p>
        </w:tc>
        <w:tc>
          <w:tcPr>
            <w:tcW w:w="2693" w:type="dxa"/>
            <w:shd w:val="clear" w:color="auto" w:fill="DBE5F1" w:themeFill="accent1" w:themeFillTint="33"/>
          </w:tcPr>
          <w:p w:rsidR="008756C2" w:rsidRDefault="008756C2" w:rsidP="008E3EBA">
            <w:pPr>
              <w:pStyle w:val="Tabletext"/>
              <w:rPr>
                <w:rFonts w:cs="Arial"/>
                <w:color w:val="000000"/>
                <w:szCs w:val="16"/>
              </w:rPr>
            </w:pPr>
            <w:r>
              <w:rPr>
                <w:rFonts w:cs="Arial"/>
                <w:color w:val="000000"/>
                <w:szCs w:val="16"/>
              </w:rPr>
              <w:t>5 weeks full-time</w:t>
            </w:r>
          </w:p>
        </w:tc>
        <w:tc>
          <w:tcPr>
            <w:tcW w:w="2126" w:type="dxa"/>
            <w:shd w:val="clear" w:color="auto" w:fill="DBE5F1" w:themeFill="accent1" w:themeFillTint="33"/>
          </w:tcPr>
          <w:p w:rsidR="008756C2" w:rsidRDefault="008756C2" w:rsidP="008E3EBA">
            <w:pPr>
              <w:pStyle w:val="Tabletext"/>
              <w:rPr>
                <w:rFonts w:cs="Arial"/>
                <w:color w:val="000000"/>
                <w:szCs w:val="16"/>
              </w:rPr>
            </w:pPr>
            <w:r>
              <w:rPr>
                <w:rFonts w:cs="Arial"/>
                <w:color w:val="000000"/>
                <w:szCs w:val="16"/>
              </w:rPr>
              <w:t>76</w:t>
            </w:r>
            <w:r w:rsidR="008E3EBA">
              <w:rPr>
                <w:rFonts w:cs="Arial"/>
                <w:color w:val="000000"/>
                <w:szCs w:val="16"/>
              </w:rPr>
              <w:t>–</w:t>
            </w:r>
            <w:r>
              <w:rPr>
                <w:rFonts w:cs="Arial"/>
                <w:color w:val="000000"/>
                <w:szCs w:val="16"/>
              </w:rPr>
              <w:t>160 hours</w:t>
            </w:r>
          </w:p>
        </w:tc>
        <w:tc>
          <w:tcPr>
            <w:tcW w:w="992" w:type="dxa"/>
            <w:shd w:val="clear" w:color="auto" w:fill="DBE5F1" w:themeFill="accent1" w:themeFillTint="33"/>
          </w:tcPr>
          <w:p w:rsidR="008756C2" w:rsidRDefault="008756C2" w:rsidP="003E3FB8">
            <w:pPr>
              <w:pStyle w:val="Tabletext"/>
              <w:jc w:val="center"/>
              <w:rPr>
                <w:rFonts w:cs="Arial"/>
                <w:color w:val="000000"/>
                <w:szCs w:val="16"/>
              </w:rPr>
            </w:pPr>
            <w:r>
              <w:rPr>
                <w:rFonts w:cs="Arial"/>
                <w:color w:val="000000"/>
                <w:szCs w:val="16"/>
              </w:rPr>
              <w:t>1</w:t>
            </w:r>
            <w:r w:rsidR="005469E1">
              <w:rPr>
                <w:rFonts w:cs="Arial"/>
                <w:color w:val="000000"/>
                <w:szCs w:val="16"/>
              </w:rPr>
              <w:t xml:space="preserve"> </w:t>
            </w:r>
            <w:r>
              <w:rPr>
                <w:rFonts w:cs="Arial"/>
                <w:color w:val="000000"/>
                <w:szCs w:val="16"/>
              </w:rPr>
              <w:t>850</w:t>
            </w:r>
          </w:p>
        </w:tc>
        <w:tc>
          <w:tcPr>
            <w:tcW w:w="993" w:type="dxa"/>
            <w:shd w:val="clear" w:color="auto" w:fill="DBE5F1" w:themeFill="accent1" w:themeFillTint="33"/>
          </w:tcPr>
          <w:p w:rsidR="008756C2" w:rsidRDefault="008756C2" w:rsidP="003E3FB8">
            <w:pPr>
              <w:pStyle w:val="Tabletext"/>
              <w:jc w:val="center"/>
              <w:rPr>
                <w:rFonts w:cs="Arial"/>
                <w:color w:val="000000"/>
                <w:szCs w:val="16"/>
              </w:rPr>
            </w:pPr>
            <w:r>
              <w:rPr>
                <w:rFonts w:cs="Arial"/>
                <w:color w:val="000000"/>
                <w:szCs w:val="16"/>
              </w:rPr>
              <w:t>yes</w:t>
            </w:r>
          </w:p>
        </w:tc>
      </w:tr>
      <w:tr w:rsidR="008756C2" w:rsidTr="0041086D">
        <w:tc>
          <w:tcPr>
            <w:tcW w:w="567" w:type="dxa"/>
          </w:tcPr>
          <w:p w:rsidR="008756C2" w:rsidRDefault="008756C2" w:rsidP="008E3EBA">
            <w:pPr>
              <w:pStyle w:val="Tabletext"/>
            </w:pPr>
            <w:r>
              <w:t>25</w:t>
            </w:r>
          </w:p>
        </w:tc>
        <w:tc>
          <w:tcPr>
            <w:tcW w:w="1418" w:type="dxa"/>
          </w:tcPr>
          <w:p w:rsidR="008756C2" w:rsidRDefault="008756C2" w:rsidP="008E3EBA">
            <w:pPr>
              <w:pStyle w:val="Tabletext"/>
              <w:rPr>
                <w:rFonts w:cs="Arial"/>
                <w:color w:val="000000"/>
                <w:szCs w:val="16"/>
              </w:rPr>
            </w:pPr>
            <w:r>
              <w:rPr>
                <w:rFonts w:cs="Arial"/>
                <w:color w:val="000000"/>
                <w:szCs w:val="16"/>
              </w:rPr>
              <w:t>In class</w:t>
            </w:r>
          </w:p>
        </w:tc>
        <w:tc>
          <w:tcPr>
            <w:tcW w:w="2693" w:type="dxa"/>
          </w:tcPr>
          <w:p w:rsidR="008756C2" w:rsidRDefault="008761B5" w:rsidP="008E3EBA">
            <w:pPr>
              <w:pStyle w:val="Tabletext"/>
              <w:rPr>
                <w:rFonts w:cs="Arial"/>
                <w:color w:val="000000"/>
                <w:szCs w:val="16"/>
              </w:rPr>
            </w:pPr>
            <w:r>
              <w:rPr>
                <w:rFonts w:cs="Arial"/>
                <w:color w:val="000000"/>
                <w:szCs w:val="16"/>
              </w:rPr>
              <w:t>6 months full-time (24 hours per week);</w:t>
            </w:r>
            <w:r w:rsidR="008756C2">
              <w:rPr>
                <w:rFonts w:cs="Arial"/>
                <w:color w:val="000000"/>
                <w:szCs w:val="16"/>
              </w:rPr>
              <w:t xml:space="preserve"> part-time: 1 year (6 hours per week)</w:t>
            </w:r>
          </w:p>
        </w:tc>
        <w:tc>
          <w:tcPr>
            <w:tcW w:w="2126" w:type="dxa"/>
          </w:tcPr>
          <w:p w:rsidR="008756C2" w:rsidRDefault="008756C2" w:rsidP="008E3EBA">
            <w:pPr>
              <w:pStyle w:val="Tabletext"/>
              <w:rPr>
                <w:rFonts w:cs="Arial"/>
                <w:color w:val="000000"/>
                <w:szCs w:val="16"/>
              </w:rPr>
            </w:pPr>
            <w:r>
              <w:rPr>
                <w:rFonts w:cs="Arial"/>
                <w:color w:val="000000"/>
                <w:szCs w:val="16"/>
              </w:rPr>
              <w:t>40 hours</w:t>
            </w:r>
          </w:p>
        </w:tc>
        <w:tc>
          <w:tcPr>
            <w:tcW w:w="992" w:type="dxa"/>
          </w:tcPr>
          <w:p w:rsidR="008756C2" w:rsidRDefault="008756C2" w:rsidP="003E3FB8">
            <w:pPr>
              <w:pStyle w:val="Tabletext"/>
              <w:jc w:val="center"/>
              <w:rPr>
                <w:rFonts w:cs="Arial"/>
                <w:color w:val="000000"/>
                <w:szCs w:val="16"/>
              </w:rPr>
            </w:pPr>
            <w:r>
              <w:rPr>
                <w:rFonts w:cs="Arial"/>
                <w:color w:val="000000"/>
                <w:szCs w:val="16"/>
              </w:rPr>
              <w:t>2</w:t>
            </w:r>
            <w:r w:rsidR="005469E1">
              <w:rPr>
                <w:rFonts w:cs="Arial"/>
                <w:color w:val="000000"/>
                <w:szCs w:val="16"/>
              </w:rPr>
              <w:t xml:space="preserve"> </w:t>
            </w:r>
            <w:r>
              <w:rPr>
                <w:rFonts w:cs="Arial"/>
                <w:color w:val="000000"/>
                <w:szCs w:val="16"/>
              </w:rPr>
              <w:t>385</w:t>
            </w:r>
          </w:p>
        </w:tc>
        <w:tc>
          <w:tcPr>
            <w:tcW w:w="993" w:type="dxa"/>
          </w:tcPr>
          <w:p w:rsidR="008756C2" w:rsidRDefault="008756C2" w:rsidP="003E3FB8">
            <w:pPr>
              <w:pStyle w:val="Tabletext"/>
              <w:jc w:val="center"/>
              <w:rPr>
                <w:rFonts w:cs="Arial"/>
                <w:color w:val="000000"/>
                <w:szCs w:val="16"/>
              </w:rPr>
            </w:pPr>
            <w:r>
              <w:rPr>
                <w:rFonts w:cs="Arial"/>
                <w:color w:val="000000"/>
                <w:szCs w:val="16"/>
              </w:rPr>
              <w:t>yes</w:t>
            </w:r>
          </w:p>
        </w:tc>
      </w:tr>
    </w:tbl>
    <w:p w:rsidR="008756C2" w:rsidRDefault="001C6B0E" w:rsidP="003E3FB8">
      <w:pPr>
        <w:pStyle w:val="Source"/>
      </w:pPr>
      <w:r>
        <w:t>Source:</w:t>
      </w:r>
      <w:r w:rsidR="003E3FB8">
        <w:tab/>
      </w:r>
      <w:r>
        <w:t>Provider websites and results of mystery shopping</w:t>
      </w:r>
      <w:r w:rsidR="002B01D0">
        <w:t>.</w:t>
      </w:r>
      <w:r>
        <w:t xml:space="preserve"> </w:t>
      </w:r>
    </w:p>
    <w:p w:rsidR="00E02AB4" w:rsidRDefault="00E02AB4" w:rsidP="000A0306">
      <w:pPr>
        <w:pStyle w:val="Heading2"/>
      </w:pPr>
      <w:bookmarkStart w:id="67" w:name="_Toc381103192"/>
      <w:r>
        <w:lastRenderedPageBreak/>
        <w:t xml:space="preserve">Certificate IV in Training </w:t>
      </w:r>
      <w:r w:rsidR="007F4361">
        <w:t>and Assessment</w:t>
      </w:r>
      <w:bookmarkEnd w:id="67"/>
    </w:p>
    <w:p w:rsidR="007F4361" w:rsidRDefault="007F4361" w:rsidP="007F4361">
      <w:pPr>
        <w:pStyle w:val="Text"/>
      </w:pPr>
      <w:r>
        <w:t xml:space="preserve">The mean course duration for </w:t>
      </w:r>
      <w:r w:rsidR="00261331">
        <w:t xml:space="preserve">the Certificate IV Training and Assessment qualifications (from </w:t>
      </w:r>
      <w:r w:rsidR="002B01D0">
        <w:t xml:space="preserve">the </w:t>
      </w:r>
      <w:r w:rsidR="00261331">
        <w:t xml:space="preserve">Training and Education and Training and Assessment </w:t>
      </w:r>
      <w:r w:rsidR="003F756A">
        <w:t>training packages</w:t>
      </w:r>
      <w:r w:rsidR="00261331">
        <w:t xml:space="preserve">) </w:t>
      </w:r>
      <w:r w:rsidR="008761B5">
        <w:t>was 160 days, while</w:t>
      </w:r>
      <w:r>
        <w:t xml:space="preserve"> the median duration was 133 days</w:t>
      </w:r>
      <w:r w:rsidR="008761B5">
        <w:t xml:space="preserve"> (figure 4)</w:t>
      </w:r>
      <w:r>
        <w:t>. The distribution is multimodal</w:t>
      </w:r>
      <w:r w:rsidR="008761B5">
        <w:t>,</w:t>
      </w:r>
      <w:r>
        <w:t xml:space="preserve"> reflecting the course durations for different providers and the </w:t>
      </w:r>
      <w:r w:rsidR="00387C03">
        <w:t>time taken by students to complete the course.</w:t>
      </w:r>
      <w:r w:rsidR="00E3166C">
        <w:t xml:space="preserve"> </w:t>
      </w:r>
      <w:r>
        <w:t xml:space="preserve"> </w:t>
      </w:r>
    </w:p>
    <w:p w:rsidR="007F4361" w:rsidRDefault="000A0306" w:rsidP="000A0306">
      <w:pPr>
        <w:pStyle w:val="Figuretitle"/>
      </w:pPr>
      <w:r>
        <w:rPr>
          <w:noProof/>
          <w:lang w:eastAsia="en-AU"/>
        </w:rPr>
        <w:drawing>
          <wp:anchor distT="0" distB="0" distL="114300" distR="114300" simplePos="0" relativeHeight="251678720" behindDoc="0" locked="0" layoutInCell="1" allowOverlap="1">
            <wp:simplePos x="0" y="0"/>
            <wp:positionH relativeFrom="column">
              <wp:posOffset>-41910</wp:posOffset>
            </wp:positionH>
            <wp:positionV relativeFrom="paragraph">
              <wp:posOffset>417195</wp:posOffset>
            </wp:positionV>
            <wp:extent cx="5136515" cy="3768725"/>
            <wp:effectExtent l="0" t="0" r="0" b="0"/>
            <wp:wrapTopAndBottom/>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5136515" cy="3768725"/>
                    </a:xfrm>
                    <a:prstGeom prst="rect">
                      <a:avLst/>
                    </a:prstGeom>
                    <a:noFill/>
                    <a:ln w="9525">
                      <a:noFill/>
                      <a:miter lim="800000"/>
                      <a:headEnd/>
                      <a:tailEnd/>
                    </a:ln>
                  </pic:spPr>
                </pic:pic>
              </a:graphicData>
            </a:graphic>
          </wp:anchor>
        </w:drawing>
      </w:r>
      <w:bookmarkStart w:id="68" w:name="_Toc381103341"/>
      <w:r w:rsidR="007F4361">
        <w:t xml:space="preserve">Figure </w:t>
      </w:r>
      <w:r w:rsidR="00EC536C">
        <w:t>4</w:t>
      </w:r>
      <w:r>
        <w:tab/>
      </w:r>
      <w:r w:rsidR="007F4361">
        <w:t xml:space="preserve">Distribution of course durations </w:t>
      </w:r>
      <w:r w:rsidR="00261331">
        <w:t>for</w:t>
      </w:r>
      <w:r w:rsidR="007F4361">
        <w:t xml:space="preserve"> Certificate IV T</w:t>
      </w:r>
      <w:r w:rsidR="00261331">
        <w:t>raining and Assessment qualification</w:t>
      </w:r>
      <w:bookmarkEnd w:id="68"/>
    </w:p>
    <w:p w:rsidR="00D77C66" w:rsidRDefault="001C6B0E" w:rsidP="000A0306">
      <w:pPr>
        <w:pStyle w:val="Source"/>
      </w:pPr>
      <w:r>
        <w:t>Source:</w:t>
      </w:r>
      <w:r w:rsidR="000A0306">
        <w:tab/>
      </w:r>
      <w:r>
        <w:t>National VET Provider Collection, unpublished data</w:t>
      </w:r>
      <w:r w:rsidR="008761B5">
        <w:t>.</w:t>
      </w:r>
    </w:p>
    <w:p w:rsidR="00D77C66" w:rsidRDefault="00387C03" w:rsidP="000A0306">
      <w:pPr>
        <w:pStyle w:val="Textmorebefore"/>
      </w:pPr>
      <w:r>
        <w:t xml:space="preserve">Recognition of prior learning was </w:t>
      </w:r>
      <w:r w:rsidR="00D77C66">
        <w:t>four times high</w:t>
      </w:r>
      <w:r w:rsidR="008761B5">
        <w:t>er</w:t>
      </w:r>
      <w:r w:rsidR="00D77C66">
        <w:t xml:space="preserve"> for the Certificate IV in Training and </w:t>
      </w:r>
      <w:r w:rsidR="00AB663D">
        <w:t>Assessment than</w:t>
      </w:r>
      <w:r>
        <w:t xml:space="preserve"> it was for </w:t>
      </w:r>
      <w:r w:rsidR="008761B5">
        <w:t>the certificates in aged care and business (table 9)</w:t>
      </w:r>
      <w:r>
        <w:t xml:space="preserve">. </w:t>
      </w:r>
    </w:p>
    <w:p w:rsidR="007F4361" w:rsidRDefault="00387C03" w:rsidP="000A0306">
      <w:pPr>
        <w:pStyle w:val="tabletitle"/>
      </w:pPr>
      <w:bookmarkStart w:id="69" w:name="_Toc381103333"/>
      <w:r>
        <w:t xml:space="preserve">Table </w:t>
      </w:r>
      <w:r w:rsidR="00180BC2">
        <w:t>9</w:t>
      </w:r>
      <w:r w:rsidR="000A0306">
        <w:tab/>
      </w:r>
      <w:r>
        <w:t xml:space="preserve">RPL received by students in </w:t>
      </w:r>
      <w:r w:rsidR="00250161">
        <w:t xml:space="preserve">Certificate IV in Training and </w:t>
      </w:r>
      <w:r w:rsidR="003E4139">
        <w:t>Assessment</w:t>
      </w:r>
      <w:r w:rsidR="008761B5" w:rsidRPr="008761B5">
        <w:rPr>
          <w:vertAlign w:val="superscript"/>
        </w:rPr>
        <w:t>1</w:t>
      </w:r>
      <w:bookmarkEnd w:id="69"/>
    </w:p>
    <w:tbl>
      <w:tblPr>
        <w:tblW w:w="8381" w:type="dxa"/>
        <w:tblInd w:w="91" w:type="dxa"/>
        <w:tblLayout w:type="fixed"/>
        <w:tblLook w:val="04A0" w:firstRow="1" w:lastRow="0" w:firstColumn="1" w:lastColumn="0" w:noHBand="0" w:noVBand="1"/>
      </w:tblPr>
      <w:tblGrid>
        <w:gridCol w:w="5080"/>
        <w:gridCol w:w="1650"/>
        <w:gridCol w:w="1651"/>
      </w:tblGrid>
      <w:tr w:rsidR="00387C03" w:rsidTr="000A0306">
        <w:trPr>
          <w:trHeight w:val="300"/>
        </w:trPr>
        <w:tc>
          <w:tcPr>
            <w:tcW w:w="5080" w:type="dxa"/>
            <w:tcBorders>
              <w:top w:val="single" w:sz="4" w:space="0" w:color="auto"/>
              <w:left w:val="nil"/>
              <w:bottom w:val="nil"/>
              <w:right w:val="nil"/>
            </w:tcBorders>
          </w:tcPr>
          <w:p w:rsidR="00387C03" w:rsidRPr="000A0306" w:rsidRDefault="008761B5" w:rsidP="000A0306">
            <w:pPr>
              <w:pStyle w:val="Tablehead1"/>
            </w:pPr>
            <w:r w:rsidRPr="000A0306">
              <w:t>Recognition of p</w:t>
            </w:r>
            <w:r w:rsidR="00387C03" w:rsidRPr="000A0306">
              <w:t>rior learning</w:t>
            </w:r>
          </w:p>
        </w:tc>
        <w:tc>
          <w:tcPr>
            <w:tcW w:w="1650" w:type="dxa"/>
            <w:tcBorders>
              <w:top w:val="single" w:sz="4" w:space="0" w:color="auto"/>
              <w:left w:val="nil"/>
              <w:bottom w:val="nil"/>
              <w:right w:val="nil"/>
            </w:tcBorders>
          </w:tcPr>
          <w:p w:rsidR="00387C03" w:rsidRPr="000A0306" w:rsidRDefault="00387C03" w:rsidP="000A0306">
            <w:pPr>
              <w:pStyle w:val="Tablehead1"/>
              <w:jc w:val="center"/>
            </w:pPr>
            <w:r w:rsidRPr="000A0306">
              <w:t>No.</w:t>
            </w:r>
          </w:p>
        </w:tc>
        <w:tc>
          <w:tcPr>
            <w:tcW w:w="1651" w:type="dxa"/>
            <w:tcBorders>
              <w:top w:val="single" w:sz="4" w:space="0" w:color="auto"/>
              <w:left w:val="nil"/>
              <w:bottom w:val="nil"/>
              <w:right w:val="nil"/>
            </w:tcBorders>
          </w:tcPr>
          <w:p w:rsidR="00387C03" w:rsidRPr="000A0306" w:rsidRDefault="00387C03" w:rsidP="000A0306">
            <w:pPr>
              <w:pStyle w:val="Tablehead1"/>
              <w:jc w:val="center"/>
            </w:pPr>
            <w:r w:rsidRPr="000A0306">
              <w:t>%</w:t>
            </w:r>
          </w:p>
        </w:tc>
      </w:tr>
      <w:tr w:rsidR="00387C03" w:rsidRPr="005D6B15" w:rsidTr="000A0306">
        <w:trPr>
          <w:trHeight w:val="300"/>
        </w:trPr>
        <w:tc>
          <w:tcPr>
            <w:tcW w:w="5080" w:type="dxa"/>
            <w:tcBorders>
              <w:top w:val="single" w:sz="4" w:space="0" w:color="auto"/>
              <w:left w:val="nil"/>
              <w:right w:val="nil"/>
            </w:tcBorders>
          </w:tcPr>
          <w:p w:rsidR="00387C03" w:rsidRPr="000A0306" w:rsidRDefault="00387C03" w:rsidP="000A0306">
            <w:pPr>
              <w:pStyle w:val="Tabletext"/>
            </w:pPr>
            <w:r w:rsidRPr="000A0306">
              <w:t>Did not receive RPL</w:t>
            </w:r>
          </w:p>
        </w:tc>
        <w:tc>
          <w:tcPr>
            <w:tcW w:w="1650" w:type="dxa"/>
            <w:tcBorders>
              <w:top w:val="single" w:sz="4" w:space="0" w:color="auto"/>
              <w:left w:val="nil"/>
              <w:right w:val="nil"/>
            </w:tcBorders>
          </w:tcPr>
          <w:p w:rsidR="00387C03" w:rsidRPr="000A0306" w:rsidRDefault="00387C03" w:rsidP="0041086D">
            <w:pPr>
              <w:pStyle w:val="Tabletext"/>
              <w:ind w:right="510"/>
              <w:jc w:val="right"/>
            </w:pPr>
            <w:r w:rsidRPr="000A0306">
              <w:t>11</w:t>
            </w:r>
            <w:r w:rsidR="00180BC2" w:rsidRPr="000A0306">
              <w:t xml:space="preserve"> </w:t>
            </w:r>
            <w:r w:rsidRPr="000A0306">
              <w:t>750</w:t>
            </w:r>
          </w:p>
        </w:tc>
        <w:tc>
          <w:tcPr>
            <w:tcW w:w="1651" w:type="dxa"/>
            <w:tcBorders>
              <w:top w:val="single" w:sz="4" w:space="0" w:color="auto"/>
              <w:left w:val="nil"/>
              <w:right w:val="nil"/>
            </w:tcBorders>
          </w:tcPr>
          <w:p w:rsidR="00387C03" w:rsidRPr="000A0306" w:rsidRDefault="00387C03" w:rsidP="0041086D">
            <w:pPr>
              <w:pStyle w:val="Tabletext"/>
              <w:tabs>
                <w:tab w:val="decimal" w:pos="737"/>
              </w:tabs>
            </w:pPr>
            <w:r w:rsidRPr="000A0306">
              <w:t>75.0</w:t>
            </w:r>
          </w:p>
        </w:tc>
      </w:tr>
      <w:tr w:rsidR="00387C03" w:rsidRPr="005D6B15" w:rsidTr="000A0306">
        <w:trPr>
          <w:trHeight w:val="300"/>
        </w:trPr>
        <w:tc>
          <w:tcPr>
            <w:tcW w:w="5080" w:type="dxa"/>
            <w:tcBorders>
              <w:top w:val="nil"/>
              <w:left w:val="nil"/>
              <w:right w:val="nil"/>
            </w:tcBorders>
          </w:tcPr>
          <w:p w:rsidR="00387C03" w:rsidRPr="000A0306" w:rsidRDefault="00387C03" w:rsidP="000A0306">
            <w:pPr>
              <w:pStyle w:val="Tabletext"/>
            </w:pPr>
            <w:r w:rsidRPr="000A0306">
              <w:t>Did receive RPL</w:t>
            </w:r>
          </w:p>
        </w:tc>
        <w:tc>
          <w:tcPr>
            <w:tcW w:w="1650" w:type="dxa"/>
            <w:tcBorders>
              <w:top w:val="nil"/>
              <w:left w:val="nil"/>
              <w:right w:val="nil"/>
            </w:tcBorders>
          </w:tcPr>
          <w:p w:rsidR="00387C03" w:rsidRPr="000A0306" w:rsidRDefault="00E3166C" w:rsidP="0041086D">
            <w:pPr>
              <w:pStyle w:val="Tabletext"/>
              <w:ind w:right="510"/>
              <w:jc w:val="right"/>
            </w:pPr>
            <w:r w:rsidRPr="000A0306">
              <w:t xml:space="preserve"> </w:t>
            </w:r>
            <w:r w:rsidR="00387C03" w:rsidRPr="000A0306">
              <w:t>3</w:t>
            </w:r>
            <w:r w:rsidR="00180BC2" w:rsidRPr="000A0306">
              <w:t xml:space="preserve"> </w:t>
            </w:r>
            <w:r w:rsidR="00387C03" w:rsidRPr="000A0306">
              <w:t>915</w:t>
            </w:r>
          </w:p>
        </w:tc>
        <w:tc>
          <w:tcPr>
            <w:tcW w:w="1651" w:type="dxa"/>
            <w:tcBorders>
              <w:top w:val="nil"/>
              <w:left w:val="nil"/>
              <w:right w:val="nil"/>
            </w:tcBorders>
          </w:tcPr>
          <w:p w:rsidR="00387C03" w:rsidRPr="000A0306" w:rsidRDefault="00387C03" w:rsidP="0041086D">
            <w:pPr>
              <w:pStyle w:val="Tabletext"/>
              <w:tabs>
                <w:tab w:val="decimal" w:pos="737"/>
              </w:tabs>
            </w:pPr>
            <w:r w:rsidRPr="000A0306">
              <w:t>25.0</w:t>
            </w:r>
          </w:p>
        </w:tc>
      </w:tr>
      <w:tr w:rsidR="00387C03" w:rsidRPr="000A0306" w:rsidTr="000A0306">
        <w:trPr>
          <w:trHeight w:val="300"/>
        </w:trPr>
        <w:tc>
          <w:tcPr>
            <w:tcW w:w="5080" w:type="dxa"/>
            <w:tcBorders>
              <w:left w:val="nil"/>
              <w:bottom w:val="single" w:sz="4" w:space="0" w:color="auto"/>
              <w:right w:val="nil"/>
            </w:tcBorders>
          </w:tcPr>
          <w:p w:rsidR="00387C03" w:rsidRPr="000A0306" w:rsidRDefault="00387C03" w:rsidP="000A0306">
            <w:pPr>
              <w:pStyle w:val="Tabletext"/>
              <w:rPr>
                <w:b/>
              </w:rPr>
            </w:pPr>
          </w:p>
        </w:tc>
        <w:tc>
          <w:tcPr>
            <w:tcW w:w="1650" w:type="dxa"/>
            <w:tcBorders>
              <w:left w:val="nil"/>
              <w:bottom w:val="single" w:sz="4" w:space="0" w:color="auto"/>
              <w:right w:val="nil"/>
            </w:tcBorders>
          </w:tcPr>
          <w:p w:rsidR="00387C03" w:rsidRPr="000A0306" w:rsidRDefault="00387C03" w:rsidP="0041086D">
            <w:pPr>
              <w:pStyle w:val="Tabletext"/>
              <w:ind w:right="510"/>
              <w:jc w:val="right"/>
              <w:rPr>
                <w:b/>
              </w:rPr>
            </w:pPr>
            <w:r w:rsidRPr="000A0306">
              <w:rPr>
                <w:b/>
              </w:rPr>
              <w:t>15</w:t>
            </w:r>
            <w:r w:rsidR="00180BC2" w:rsidRPr="000A0306">
              <w:rPr>
                <w:b/>
              </w:rPr>
              <w:t xml:space="preserve"> </w:t>
            </w:r>
            <w:r w:rsidRPr="000A0306">
              <w:rPr>
                <w:b/>
              </w:rPr>
              <w:t>665</w:t>
            </w:r>
          </w:p>
        </w:tc>
        <w:tc>
          <w:tcPr>
            <w:tcW w:w="1651" w:type="dxa"/>
            <w:tcBorders>
              <w:left w:val="nil"/>
              <w:bottom w:val="single" w:sz="4" w:space="0" w:color="auto"/>
              <w:right w:val="nil"/>
            </w:tcBorders>
          </w:tcPr>
          <w:p w:rsidR="00387C03" w:rsidRPr="000A0306" w:rsidRDefault="00387C03" w:rsidP="0041086D">
            <w:pPr>
              <w:pStyle w:val="Tabletext"/>
              <w:tabs>
                <w:tab w:val="decimal" w:pos="737"/>
              </w:tabs>
              <w:rPr>
                <w:b/>
              </w:rPr>
            </w:pPr>
            <w:r w:rsidRPr="000A0306">
              <w:rPr>
                <w:b/>
              </w:rPr>
              <w:t>100.0</w:t>
            </w:r>
          </w:p>
        </w:tc>
      </w:tr>
    </w:tbl>
    <w:p w:rsidR="008761B5" w:rsidRDefault="008761B5" w:rsidP="008761B5">
      <w:pPr>
        <w:pStyle w:val="Source"/>
      </w:pPr>
      <w:r>
        <w:t>Note:</w:t>
      </w:r>
      <w:r w:rsidR="000A0306">
        <w:tab/>
      </w:r>
      <w:r>
        <w:t>1</w:t>
      </w:r>
      <w:r w:rsidR="000A0306">
        <w:t xml:space="preserve">  </w:t>
      </w:r>
      <w:r>
        <w:t xml:space="preserve"> 2010 commencements matched to 2010 and 2011 completions.</w:t>
      </w:r>
    </w:p>
    <w:p w:rsidR="00A125D9" w:rsidRDefault="00A125D9" w:rsidP="00A125D9">
      <w:pPr>
        <w:pStyle w:val="Source"/>
      </w:pPr>
      <w:r>
        <w:t>Source:</w:t>
      </w:r>
      <w:r w:rsidR="000A0306">
        <w:tab/>
      </w:r>
      <w:r>
        <w:t>National VET Provider Collection, unpublished data</w:t>
      </w:r>
      <w:r w:rsidR="008761B5">
        <w:t>.</w:t>
      </w:r>
    </w:p>
    <w:p w:rsidR="00E02AB4" w:rsidRDefault="00B51E71" w:rsidP="000A0306">
      <w:pPr>
        <w:pStyle w:val="Textmorebefore"/>
      </w:pPr>
      <w:r>
        <w:t xml:space="preserve">The shortest course was </w:t>
      </w:r>
      <w:r w:rsidR="008761B5">
        <w:t>five</w:t>
      </w:r>
      <w:r>
        <w:t xml:space="preserve"> days full-time; the longest course was 12 weeks full-time. </w:t>
      </w:r>
      <w:r w:rsidR="00744E22">
        <w:t xml:space="preserve">The median cost of tuition fees was $1895.00. Almost half of the </w:t>
      </w:r>
      <w:r w:rsidR="008761B5">
        <w:t xml:space="preserve">courses were delivered face to </w:t>
      </w:r>
      <w:r w:rsidR="00744E22">
        <w:t>face (in class)</w:t>
      </w:r>
      <w:r w:rsidR="003E4139">
        <w:t>;</w:t>
      </w:r>
      <w:r w:rsidR="00744E22">
        <w:t xml:space="preserve"> around a third by a mix</w:t>
      </w:r>
      <w:r w:rsidR="003E4139">
        <w:t>ture of methods, including face to face, online and distance; and</w:t>
      </w:r>
      <w:r w:rsidR="00744E22">
        <w:t xml:space="preserve"> a quarter were delivered solely via online methods. Typically</w:t>
      </w:r>
      <w:r w:rsidR="003E4139">
        <w:t>,</w:t>
      </w:r>
      <w:r w:rsidR="00744E22">
        <w:t xml:space="preserve"> courses delivered solely online or by distance </w:t>
      </w:r>
      <w:r w:rsidR="003E4139">
        <w:t xml:space="preserve">mode </w:t>
      </w:r>
      <w:r w:rsidR="00744E22">
        <w:t xml:space="preserve">were to be completed within 12 months. </w:t>
      </w:r>
      <w:r w:rsidR="00E02AB4">
        <w:t xml:space="preserve">The shaded areas represent those providers </w:t>
      </w:r>
      <w:r w:rsidR="00C37F5F">
        <w:t>who</w:t>
      </w:r>
      <w:r w:rsidR="00E02AB4">
        <w:t xml:space="preserve"> were part of the mystery shopping exercise. Information for the remainder was taken from the websites of these providers</w:t>
      </w:r>
      <w:r w:rsidR="003E4139">
        <w:t xml:space="preserve"> (table 10)</w:t>
      </w:r>
      <w:r w:rsidR="00E02AB4">
        <w:t xml:space="preserve">. </w:t>
      </w:r>
    </w:p>
    <w:p w:rsidR="00E02AB4" w:rsidRDefault="00E02AB4" w:rsidP="0041086D">
      <w:pPr>
        <w:pStyle w:val="tabletitle"/>
      </w:pPr>
      <w:bookmarkStart w:id="70" w:name="_Toc381103334"/>
      <w:r>
        <w:lastRenderedPageBreak/>
        <w:t xml:space="preserve">Table </w:t>
      </w:r>
      <w:r w:rsidR="00180BC2">
        <w:t>10</w:t>
      </w:r>
      <w:r w:rsidR="0041086D">
        <w:tab/>
      </w:r>
      <w:r>
        <w:t xml:space="preserve">Characteristics of delivery and duration of </w:t>
      </w:r>
      <w:r w:rsidR="00250161">
        <w:t>Certificate IV in Training and Assessment</w:t>
      </w:r>
      <w:r>
        <w:t xml:space="preserve"> by </w:t>
      </w:r>
      <w:r w:rsidR="003E4139">
        <w:t>registered training organisation</w:t>
      </w:r>
      <w:bookmarkEnd w:id="70"/>
      <w:r w:rsidR="003E4139">
        <w:t xml:space="preserve"> </w:t>
      </w:r>
    </w:p>
    <w:tbl>
      <w:tblPr>
        <w:tblStyle w:val="TableGrid"/>
        <w:tblW w:w="8789"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701"/>
        <w:gridCol w:w="3828"/>
        <w:gridCol w:w="1701"/>
        <w:gridCol w:w="992"/>
      </w:tblGrid>
      <w:tr w:rsidR="00326248" w:rsidRPr="0041086D" w:rsidTr="00A27B31">
        <w:tc>
          <w:tcPr>
            <w:tcW w:w="567" w:type="dxa"/>
            <w:tcBorders>
              <w:top w:val="single" w:sz="4" w:space="0" w:color="auto"/>
              <w:bottom w:val="single" w:sz="4" w:space="0" w:color="auto"/>
            </w:tcBorders>
            <w:tcMar>
              <w:right w:w="0" w:type="dxa"/>
            </w:tcMar>
          </w:tcPr>
          <w:p w:rsidR="00326248" w:rsidRPr="0041086D" w:rsidRDefault="00326248" w:rsidP="0041086D">
            <w:pPr>
              <w:pStyle w:val="Tablehead1"/>
            </w:pPr>
            <w:r w:rsidRPr="0041086D">
              <w:t>RTO</w:t>
            </w:r>
          </w:p>
        </w:tc>
        <w:tc>
          <w:tcPr>
            <w:tcW w:w="1701" w:type="dxa"/>
            <w:tcBorders>
              <w:top w:val="single" w:sz="4" w:space="0" w:color="auto"/>
              <w:bottom w:val="single" w:sz="4" w:space="0" w:color="auto"/>
            </w:tcBorders>
          </w:tcPr>
          <w:p w:rsidR="00326248" w:rsidRPr="0041086D" w:rsidRDefault="00326248" w:rsidP="0041086D">
            <w:pPr>
              <w:pStyle w:val="Tablehead1"/>
            </w:pPr>
            <w:r w:rsidRPr="0041086D">
              <w:t>Delivery method</w:t>
            </w:r>
          </w:p>
        </w:tc>
        <w:tc>
          <w:tcPr>
            <w:tcW w:w="3828" w:type="dxa"/>
            <w:tcBorders>
              <w:top w:val="single" w:sz="4" w:space="0" w:color="auto"/>
              <w:bottom w:val="single" w:sz="4" w:space="0" w:color="auto"/>
            </w:tcBorders>
          </w:tcPr>
          <w:p w:rsidR="00326248" w:rsidRPr="0041086D" w:rsidRDefault="00326248" w:rsidP="0041086D">
            <w:pPr>
              <w:pStyle w:val="Tablehead1"/>
            </w:pPr>
            <w:r w:rsidRPr="0041086D">
              <w:t>Duration if starting from scratch</w:t>
            </w:r>
          </w:p>
        </w:tc>
        <w:tc>
          <w:tcPr>
            <w:tcW w:w="1701" w:type="dxa"/>
            <w:tcBorders>
              <w:top w:val="single" w:sz="4" w:space="0" w:color="auto"/>
              <w:bottom w:val="single" w:sz="4" w:space="0" w:color="auto"/>
            </w:tcBorders>
          </w:tcPr>
          <w:p w:rsidR="00326248" w:rsidRPr="0041086D" w:rsidRDefault="00326248" w:rsidP="0041086D">
            <w:pPr>
              <w:pStyle w:val="Tablehead1"/>
            </w:pPr>
            <w:r w:rsidRPr="0041086D">
              <w:t xml:space="preserve">Advertised or reported </w:t>
            </w:r>
            <w:r w:rsidR="003E4139" w:rsidRPr="0041086D">
              <w:t>c</w:t>
            </w:r>
            <w:r w:rsidRPr="0041086D">
              <w:t>ost</w:t>
            </w:r>
          </w:p>
        </w:tc>
        <w:tc>
          <w:tcPr>
            <w:tcW w:w="992" w:type="dxa"/>
            <w:tcBorders>
              <w:top w:val="single" w:sz="4" w:space="0" w:color="auto"/>
              <w:bottom w:val="single" w:sz="4" w:space="0" w:color="auto"/>
            </w:tcBorders>
            <w:tcMar>
              <w:left w:w="28" w:type="dxa"/>
              <w:right w:w="28" w:type="dxa"/>
            </w:tcMar>
          </w:tcPr>
          <w:p w:rsidR="00326248" w:rsidRPr="0041086D" w:rsidRDefault="0041086D" w:rsidP="0041086D">
            <w:pPr>
              <w:pStyle w:val="Tablehead1"/>
              <w:jc w:val="center"/>
            </w:pPr>
            <w:r>
              <w:t>In-s</w:t>
            </w:r>
            <w:r w:rsidR="00326248" w:rsidRPr="0041086D">
              <w:t>cope</w:t>
            </w:r>
            <w:r>
              <w:t xml:space="preserve"> </w:t>
            </w:r>
            <w:r w:rsidR="00326248" w:rsidRPr="0041086D">
              <w:t>training.</w:t>
            </w:r>
            <w:r>
              <w:br/>
            </w:r>
            <w:r w:rsidR="00326248" w:rsidRPr="0041086D">
              <w:t>com.au</w:t>
            </w:r>
          </w:p>
        </w:tc>
      </w:tr>
      <w:tr w:rsidR="00326248" w:rsidTr="00A27B31">
        <w:tc>
          <w:tcPr>
            <w:tcW w:w="567" w:type="dxa"/>
            <w:tcBorders>
              <w:top w:val="single" w:sz="4" w:space="0" w:color="auto"/>
            </w:tcBorders>
            <w:shd w:val="clear" w:color="auto" w:fill="DBE5F1" w:themeFill="accent1" w:themeFillTint="33"/>
          </w:tcPr>
          <w:p w:rsidR="00326248" w:rsidRDefault="00326248" w:rsidP="0041086D">
            <w:pPr>
              <w:pStyle w:val="Tabletext"/>
            </w:pPr>
            <w:r>
              <w:t>1</w:t>
            </w:r>
          </w:p>
        </w:tc>
        <w:tc>
          <w:tcPr>
            <w:tcW w:w="1701" w:type="dxa"/>
            <w:tcBorders>
              <w:top w:val="single" w:sz="4" w:space="0" w:color="auto"/>
            </w:tcBorders>
            <w:shd w:val="clear" w:color="auto" w:fill="DBE5F1" w:themeFill="accent1" w:themeFillTint="33"/>
          </w:tcPr>
          <w:p w:rsidR="00326248" w:rsidRDefault="00326248" w:rsidP="0041086D">
            <w:pPr>
              <w:pStyle w:val="Tabletext"/>
              <w:rPr>
                <w:rFonts w:cs="Arial"/>
                <w:color w:val="000000"/>
                <w:szCs w:val="16"/>
              </w:rPr>
            </w:pPr>
            <w:r>
              <w:rPr>
                <w:rFonts w:cs="Arial"/>
                <w:color w:val="000000"/>
                <w:szCs w:val="16"/>
              </w:rPr>
              <w:t>Online, self-paced</w:t>
            </w:r>
          </w:p>
        </w:tc>
        <w:tc>
          <w:tcPr>
            <w:tcW w:w="3828" w:type="dxa"/>
            <w:tcBorders>
              <w:top w:val="single" w:sz="4" w:space="0" w:color="auto"/>
            </w:tcBorders>
            <w:shd w:val="clear" w:color="auto" w:fill="DBE5F1" w:themeFill="accent1" w:themeFillTint="33"/>
          </w:tcPr>
          <w:p w:rsidR="00326248" w:rsidRDefault="00326248" w:rsidP="0041086D">
            <w:pPr>
              <w:pStyle w:val="Tabletext"/>
              <w:rPr>
                <w:rFonts w:cs="Arial"/>
                <w:color w:val="000000"/>
                <w:szCs w:val="16"/>
              </w:rPr>
            </w:pPr>
            <w:r>
              <w:rPr>
                <w:rFonts w:cs="Arial"/>
                <w:color w:val="000000"/>
                <w:szCs w:val="16"/>
              </w:rPr>
              <w:t>up to 12 months</w:t>
            </w:r>
          </w:p>
        </w:tc>
        <w:tc>
          <w:tcPr>
            <w:tcW w:w="1701" w:type="dxa"/>
            <w:tcBorders>
              <w:top w:val="single" w:sz="4" w:space="0" w:color="auto"/>
            </w:tcBorders>
            <w:shd w:val="clear" w:color="auto" w:fill="DBE5F1" w:themeFill="accent1" w:themeFillTint="33"/>
            <w:tcMar>
              <w:right w:w="0" w:type="dxa"/>
            </w:tcMar>
          </w:tcPr>
          <w:p w:rsidR="00326248" w:rsidRDefault="0058266C" w:rsidP="0041086D">
            <w:pPr>
              <w:pStyle w:val="Tabletext"/>
              <w:rPr>
                <w:rFonts w:cs="Arial"/>
                <w:color w:val="000000"/>
                <w:szCs w:val="16"/>
              </w:rPr>
            </w:pPr>
            <w:r>
              <w:rPr>
                <w:rFonts w:cs="Arial"/>
                <w:color w:val="000000"/>
                <w:szCs w:val="16"/>
              </w:rPr>
              <w:t>$</w:t>
            </w:r>
            <w:r w:rsidR="00180BC2">
              <w:rPr>
                <w:rFonts w:cs="Arial"/>
                <w:color w:val="000000"/>
                <w:szCs w:val="16"/>
              </w:rPr>
              <w:t>1</w:t>
            </w:r>
            <w:r w:rsidR="00326248">
              <w:rPr>
                <w:rFonts w:cs="Arial"/>
                <w:color w:val="000000"/>
                <w:szCs w:val="16"/>
              </w:rPr>
              <w:t>880, 10% discount if pay up-front in full</w:t>
            </w:r>
          </w:p>
        </w:tc>
        <w:tc>
          <w:tcPr>
            <w:tcW w:w="992" w:type="dxa"/>
            <w:tcBorders>
              <w:top w:val="single" w:sz="4" w:space="0" w:color="auto"/>
            </w:tcBorders>
            <w:shd w:val="clear" w:color="auto" w:fill="DBE5F1" w:themeFill="accent1" w:themeFillTint="33"/>
          </w:tcPr>
          <w:p w:rsidR="00326248" w:rsidRDefault="00326248" w:rsidP="0041086D">
            <w:pPr>
              <w:pStyle w:val="Tabletext"/>
              <w:jc w:val="center"/>
              <w:rPr>
                <w:rFonts w:cs="Arial"/>
                <w:color w:val="000000"/>
                <w:szCs w:val="16"/>
              </w:rPr>
            </w:pPr>
            <w:r>
              <w:rPr>
                <w:rFonts w:cs="Arial"/>
                <w:color w:val="000000"/>
                <w:szCs w:val="16"/>
              </w:rPr>
              <w:t>yes</w:t>
            </w:r>
          </w:p>
        </w:tc>
      </w:tr>
      <w:tr w:rsidR="00326248" w:rsidTr="00A27B31">
        <w:tc>
          <w:tcPr>
            <w:tcW w:w="567" w:type="dxa"/>
            <w:shd w:val="clear" w:color="auto" w:fill="DBE5F1" w:themeFill="accent1" w:themeFillTint="33"/>
          </w:tcPr>
          <w:p w:rsidR="00326248" w:rsidRDefault="00326248" w:rsidP="0041086D">
            <w:pPr>
              <w:pStyle w:val="Tabletext"/>
            </w:pPr>
            <w:r>
              <w:t>2</w:t>
            </w:r>
          </w:p>
        </w:tc>
        <w:tc>
          <w:tcPr>
            <w:tcW w:w="1701" w:type="dxa"/>
            <w:shd w:val="clear" w:color="auto" w:fill="DBE5F1" w:themeFill="accent1" w:themeFillTint="33"/>
          </w:tcPr>
          <w:p w:rsidR="00326248" w:rsidRDefault="0041086D" w:rsidP="0041086D">
            <w:pPr>
              <w:pStyle w:val="Tabletext"/>
              <w:rPr>
                <w:rFonts w:cs="Arial"/>
                <w:color w:val="000000"/>
                <w:szCs w:val="16"/>
              </w:rPr>
            </w:pPr>
            <w:r>
              <w:rPr>
                <w:rFonts w:cs="Arial"/>
                <w:color w:val="000000"/>
                <w:szCs w:val="16"/>
              </w:rPr>
              <w:t>In</w:t>
            </w:r>
            <w:r w:rsidR="00326248">
              <w:rPr>
                <w:rFonts w:cs="Arial"/>
                <w:color w:val="000000"/>
                <w:szCs w:val="16"/>
              </w:rPr>
              <w:t>-class &amp; online</w:t>
            </w:r>
          </w:p>
        </w:tc>
        <w:tc>
          <w:tcPr>
            <w:tcW w:w="3828" w:type="dxa"/>
            <w:shd w:val="clear" w:color="auto" w:fill="DBE5F1" w:themeFill="accent1" w:themeFillTint="33"/>
          </w:tcPr>
          <w:p w:rsidR="00326248" w:rsidRDefault="00142F05" w:rsidP="0041086D">
            <w:pPr>
              <w:pStyle w:val="Tabletext"/>
              <w:rPr>
                <w:rFonts w:cs="Arial"/>
                <w:color w:val="000000"/>
                <w:szCs w:val="16"/>
              </w:rPr>
            </w:pPr>
            <w:r>
              <w:rPr>
                <w:rFonts w:cs="Arial"/>
                <w:color w:val="000000"/>
                <w:szCs w:val="16"/>
              </w:rPr>
              <w:t>16 weeks in-class;</w:t>
            </w:r>
            <w:r w:rsidR="00326248">
              <w:rPr>
                <w:rFonts w:cs="Arial"/>
                <w:color w:val="000000"/>
                <w:szCs w:val="16"/>
              </w:rPr>
              <w:t xml:space="preserve"> 12 weeks online</w:t>
            </w:r>
          </w:p>
        </w:tc>
        <w:tc>
          <w:tcPr>
            <w:tcW w:w="1701" w:type="dxa"/>
            <w:shd w:val="clear" w:color="auto" w:fill="DBE5F1" w:themeFill="accent1" w:themeFillTint="33"/>
          </w:tcPr>
          <w:p w:rsidR="00326248" w:rsidRDefault="00180BC2" w:rsidP="00A27B31">
            <w:pPr>
              <w:pStyle w:val="Tabletext"/>
              <w:rPr>
                <w:rFonts w:cs="Arial"/>
                <w:color w:val="000000"/>
                <w:szCs w:val="16"/>
              </w:rPr>
            </w:pPr>
            <w:r>
              <w:rPr>
                <w:rFonts w:cs="Arial"/>
                <w:color w:val="000000"/>
                <w:szCs w:val="16"/>
              </w:rPr>
              <w:t>$1</w:t>
            </w:r>
            <w:r w:rsidR="00E33E35">
              <w:rPr>
                <w:rFonts w:cs="Arial"/>
                <w:color w:val="000000"/>
                <w:szCs w:val="16"/>
              </w:rPr>
              <w:t xml:space="preserve">950 in-class/ </w:t>
            </w:r>
            <w:r w:rsidR="00A27B31">
              <w:rPr>
                <w:rFonts w:cs="Arial"/>
                <w:color w:val="000000"/>
                <w:szCs w:val="16"/>
              </w:rPr>
              <w:br/>
            </w:r>
            <w:r w:rsidR="00E33E35">
              <w:rPr>
                <w:rFonts w:cs="Arial"/>
                <w:color w:val="000000"/>
                <w:szCs w:val="16"/>
              </w:rPr>
              <w:t>$1</w:t>
            </w:r>
            <w:r w:rsidR="00326248">
              <w:rPr>
                <w:rFonts w:cs="Arial"/>
                <w:color w:val="000000"/>
                <w:szCs w:val="16"/>
              </w:rPr>
              <w:t>200 online</w:t>
            </w:r>
          </w:p>
        </w:tc>
        <w:tc>
          <w:tcPr>
            <w:tcW w:w="992" w:type="dxa"/>
            <w:shd w:val="clear" w:color="auto" w:fill="DBE5F1" w:themeFill="accent1" w:themeFillTint="33"/>
          </w:tcPr>
          <w:p w:rsidR="00326248" w:rsidRDefault="00326248" w:rsidP="0041086D">
            <w:pPr>
              <w:pStyle w:val="Tabletext"/>
              <w:jc w:val="center"/>
              <w:rPr>
                <w:rFonts w:cs="Arial"/>
                <w:color w:val="000000"/>
                <w:szCs w:val="16"/>
              </w:rPr>
            </w:pPr>
            <w:r>
              <w:rPr>
                <w:rFonts w:cs="Arial"/>
                <w:color w:val="000000"/>
                <w:szCs w:val="16"/>
              </w:rPr>
              <w:t>yes</w:t>
            </w:r>
          </w:p>
        </w:tc>
      </w:tr>
      <w:tr w:rsidR="00326248" w:rsidTr="00A27B31">
        <w:tc>
          <w:tcPr>
            <w:tcW w:w="567" w:type="dxa"/>
            <w:shd w:val="clear" w:color="auto" w:fill="DBE5F1" w:themeFill="accent1" w:themeFillTint="33"/>
          </w:tcPr>
          <w:p w:rsidR="00326248" w:rsidRDefault="00326248" w:rsidP="0041086D">
            <w:pPr>
              <w:pStyle w:val="Tabletext"/>
            </w:pPr>
            <w:r>
              <w:t>3</w:t>
            </w:r>
          </w:p>
        </w:tc>
        <w:tc>
          <w:tcPr>
            <w:tcW w:w="1701" w:type="dxa"/>
            <w:shd w:val="clear" w:color="auto" w:fill="DBE5F1" w:themeFill="accent1" w:themeFillTint="33"/>
          </w:tcPr>
          <w:p w:rsidR="00326248" w:rsidRDefault="0041086D" w:rsidP="0041086D">
            <w:pPr>
              <w:pStyle w:val="Tabletext"/>
              <w:rPr>
                <w:rFonts w:cs="Arial"/>
                <w:color w:val="000000"/>
                <w:szCs w:val="16"/>
              </w:rPr>
            </w:pPr>
            <w:r>
              <w:rPr>
                <w:rFonts w:cs="Arial"/>
                <w:color w:val="000000"/>
                <w:szCs w:val="16"/>
              </w:rPr>
              <w:t>In</w:t>
            </w:r>
            <w:r w:rsidR="00326248">
              <w:rPr>
                <w:rFonts w:cs="Arial"/>
                <w:color w:val="000000"/>
                <w:szCs w:val="16"/>
              </w:rPr>
              <w:t>-class &amp; online</w:t>
            </w:r>
          </w:p>
        </w:tc>
        <w:tc>
          <w:tcPr>
            <w:tcW w:w="3828" w:type="dxa"/>
            <w:shd w:val="clear" w:color="auto" w:fill="DBE5F1" w:themeFill="accent1" w:themeFillTint="33"/>
          </w:tcPr>
          <w:p w:rsidR="00326248" w:rsidRDefault="003E4139" w:rsidP="0041086D">
            <w:pPr>
              <w:pStyle w:val="Tabletext"/>
              <w:rPr>
                <w:rFonts w:cs="Arial"/>
                <w:color w:val="000000"/>
                <w:szCs w:val="16"/>
              </w:rPr>
            </w:pPr>
            <w:r>
              <w:rPr>
                <w:rFonts w:cs="Arial"/>
                <w:color w:val="000000"/>
                <w:szCs w:val="16"/>
              </w:rPr>
              <w:t>5 days in-class: 8.00 am–</w:t>
            </w:r>
            <w:r w:rsidR="00326248">
              <w:rPr>
                <w:rFonts w:cs="Arial"/>
                <w:color w:val="000000"/>
                <w:szCs w:val="16"/>
              </w:rPr>
              <w:t>4.00</w:t>
            </w:r>
            <w:r>
              <w:rPr>
                <w:rFonts w:cs="Arial"/>
                <w:color w:val="000000"/>
                <w:szCs w:val="16"/>
              </w:rPr>
              <w:t xml:space="preserve"> pm;</w:t>
            </w:r>
            <w:r w:rsidR="00E3166C">
              <w:rPr>
                <w:rFonts w:cs="Arial"/>
                <w:color w:val="000000"/>
                <w:szCs w:val="16"/>
              </w:rPr>
              <w:t xml:space="preserve"> </w:t>
            </w:r>
            <w:r w:rsidR="00326248">
              <w:rPr>
                <w:rFonts w:cs="Arial"/>
                <w:color w:val="000000"/>
                <w:szCs w:val="16"/>
              </w:rPr>
              <w:t xml:space="preserve">online: self-paced </w:t>
            </w:r>
          </w:p>
        </w:tc>
        <w:tc>
          <w:tcPr>
            <w:tcW w:w="1701" w:type="dxa"/>
            <w:shd w:val="clear" w:color="auto" w:fill="DBE5F1" w:themeFill="accent1" w:themeFillTint="33"/>
          </w:tcPr>
          <w:p w:rsidR="00326248" w:rsidRDefault="00180BC2" w:rsidP="00A27B31">
            <w:pPr>
              <w:pStyle w:val="Tabletext"/>
              <w:rPr>
                <w:rFonts w:cs="Arial"/>
                <w:color w:val="000000"/>
                <w:szCs w:val="16"/>
              </w:rPr>
            </w:pPr>
            <w:r>
              <w:rPr>
                <w:rFonts w:cs="Arial"/>
                <w:color w:val="000000"/>
                <w:szCs w:val="16"/>
              </w:rPr>
              <w:t>$1</w:t>
            </w:r>
            <w:r w:rsidR="00326248">
              <w:rPr>
                <w:rFonts w:cs="Arial"/>
                <w:color w:val="000000"/>
                <w:szCs w:val="16"/>
              </w:rPr>
              <w:t xml:space="preserve">250 in-class/ </w:t>
            </w:r>
            <w:r w:rsidR="00A27B31">
              <w:rPr>
                <w:rFonts w:cs="Arial"/>
                <w:color w:val="000000"/>
                <w:szCs w:val="16"/>
              </w:rPr>
              <w:br/>
            </w:r>
            <w:r w:rsidR="00326248">
              <w:rPr>
                <w:rFonts w:cs="Arial"/>
                <w:color w:val="000000"/>
                <w:szCs w:val="16"/>
              </w:rPr>
              <w:t>$915 online</w:t>
            </w:r>
          </w:p>
        </w:tc>
        <w:tc>
          <w:tcPr>
            <w:tcW w:w="992" w:type="dxa"/>
            <w:shd w:val="clear" w:color="auto" w:fill="DBE5F1" w:themeFill="accent1" w:themeFillTint="33"/>
          </w:tcPr>
          <w:p w:rsidR="00326248" w:rsidRDefault="00326248" w:rsidP="0041086D">
            <w:pPr>
              <w:pStyle w:val="Tabletext"/>
              <w:jc w:val="center"/>
              <w:rPr>
                <w:rFonts w:cs="Arial"/>
                <w:color w:val="000000"/>
                <w:szCs w:val="16"/>
              </w:rPr>
            </w:pPr>
            <w:r>
              <w:rPr>
                <w:rFonts w:cs="Arial"/>
                <w:color w:val="000000"/>
                <w:szCs w:val="16"/>
              </w:rPr>
              <w:t>yes</w:t>
            </w:r>
          </w:p>
        </w:tc>
      </w:tr>
      <w:tr w:rsidR="00326248" w:rsidTr="00A27B31">
        <w:tc>
          <w:tcPr>
            <w:tcW w:w="567" w:type="dxa"/>
          </w:tcPr>
          <w:p w:rsidR="00326248" w:rsidRDefault="00326248" w:rsidP="0041086D">
            <w:pPr>
              <w:pStyle w:val="Tabletext"/>
            </w:pPr>
            <w:r>
              <w:t>4</w:t>
            </w:r>
          </w:p>
        </w:tc>
        <w:tc>
          <w:tcPr>
            <w:tcW w:w="1701" w:type="dxa"/>
          </w:tcPr>
          <w:p w:rsidR="00326248" w:rsidRDefault="0041086D" w:rsidP="0041086D">
            <w:pPr>
              <w:pStyle w:val="Tabletext"/>
              <w:rPr>
                <w:rFonts w:cs="Arial"/>
                <w:color w:val="000000"/>
                <w:szCs w:val="16"/>
              </w:rPr>
            </w:pPr>
            <w:r>
              <w:rPr>
                <w:rFonts w:cs="Arial"/>
                <w:color w:val="000000"/>
                <w:szCs w:val="16"/>
              </w:rPr>
              <w:t>In</w:t>
            </w:r>
            <w:r w:rsidR="00326248">
              <w:rPr>
                <w:rFonts w:cs="Arial"/>
                <w:color w:val="000000"/>
                <w:szCs w:val="16"/>
              </w:rPr>
              <w:t>-class</w:t>
            </w:r>
          </w:p>
        </w:tc>
        <w:tc>
          <w:tcPr>
            <w:tcW w:w="3828" w:type="dxa"/>
          </w:tcPr>
          <w:p w:rsidR="00326248" w:rsidRDefault="00326248" w:rsidP="00A27B31">
            <w:pPr>
              <w:pStyle w:val="Tabletext"/>
              <w:rPr>
                <w:rFonts w:cs="Arial"/>
                <w:color w:val="000000"/>
                <w:szCs w:val="16"/>
              </w:rPr>
            </w:pPr>
            <w:r>
              <w:rPr>
                <w:rFonts w:cs="Arial"/>
                <w:color w:val="000000"/>
                <w:szCs w:val="16"/>
              </w:rPr>
              <w:t xml:space="preserve">10 </w:t>
            </w:r>
            <w:r w:rsidR="00142F05">
              <w:rPr>
                <w:rFonts w:cs="Arial"/>
                <w:color w:val="000000"/>
                <w:szCs w:val="16"/>
              </w:rPr>
              <w:t>weeks full-time (1 day per week,</w:t>
            </w:r>
            <w:r>
              <w:rPr>
                <w:rFonts w:cs="Arial"/>
                <w:color w:val="000000"/>
                <w:szCs w:val="16"/>
              </w:rPr>
              <w:t xml:space="preserve"> 9.00</w:t>
            </w:r>
            <w:r w:rsidR="003E4139">
              <w:rPr>
                <w:rFonts w:cs="Arial"/>
                <w:color w:val="000000"/>
                <w:szCs w:val="16"/>
              </w:rPr>
              <w:t xml:space="preserve"> am–</w:t>
            </w:r>
            <w:r>
              <w:rPr>
                <w:rFonts w:cs="Arial"/>
                <w:color w:val="000000"/>
                <w:szCs w:val="16"/>
              </w:rPr>
              <w:t>4.00</w:t>
            </w:r>
            <w:r w:rsidR="00A27B31">
              <w:rPr>
                <w:rFonts w:cs="Arial"/>
                <w:color w:val="000000"/>
                <w:szCs w:val="16"/>
              </w:rPr>
              <w:t> </w:t>
            </w:r>
            <w:r w:rsidR="003E4139">
              <w:rPr>
                <w:rFonts w:cs="Arial"/>
                <w:color w:val="000000"/>
                <w:szCs w:val="16"/>
              </w:rPr>
              <w:t>pm</w:t>
            </w:r>
            <w:r>
              <w:rPr>
                <w:rFonts w:cs="Arial"/>
                <w:color w:val="000000"/>
                <w:szCs w:val="16"/>
              </w:rPr>
              <w:t>)</w:t>
            </w:r>
            <w:r w:rsidR="003E4139">
              <w:rPr>
                <w:rFonts w:cs="Arial"/>
                <w:color w:val="000000"/>
                <w:szCs w:val="16"/>
              </w:rPr>
              <w:t>;</w:t>
            </w:r>
            <w:r>
              <w:rPr>
                <w:rFonts w:cs="Arial"/>
                <w:color w:val="000000"/>
                <w:szCs w:val="16"/>
              </w:rPr>
              <w:t xml:space="preserve"> 18 weeks part-time (1 evening per week</w:t>
            </w:r>
            <w:r w:rsidR="00142F05">
              <w:rPr>
                <w:rFonts w:cs="Arial"/>
                <w:color w:val="000000"/>
                <w:szCs w:val="16"/>
              </w:rPr>
              <w:t>,</w:t>
            </w:r>
            <w:r>
              <w:rPr>
                <w:rFonts w:cs="Arial"/>
                <w:color w:val="000000"/>
                <w:szCs w:val="16"/>
              </w:rPr>
              <w:t xml:space="preserve"> 5.15</w:t>
            </w:r>
            <w:r w:rsidR="003E4139">
              <w:rPr>
                <w:rFonts w:cs="Arial"/>
                <w:color w:val="000000"/>
                <w:szCs w:val="16"/>
              </w:rPr>
              <w:t xml:space="preserve"> pm–</w:t>
            </w:r>
            <w:r>
              <w:rPr>
                <w:rFonts w:cs="Arial"/>
                <w:color w:val="000000"/>
                <w:szCs w:val="16"/>
              </w:rPr>
              <w:t>8.30</w:t>
            </w:r>
            <w:r w:rsidR="003E4139">
              <w:rPr>
                <w:rFonts w:cs="Arial"/>
                <w:color w:val="000000"/>
                <w:szCs w:val="16"/>
              </w:rPr>
              <w:t xml:space="preserve"> </w:t>
            </w:r>
            <w:r>
              <w:rPr>
                <w:rFonts w:cs="Arial"/>
                <w:color w:val="000000"/>
                <w:szCs w:val="16"/>
              </w:rPr>
              <w:t>pm)</w:t>
            </w:r>
          </w:p>
        </w:tc>
        <w:tc>
          <w:tcPr>
            <w:tcW w:w="1701" w:type="dxa"/>
          </w:tcPr>
          <w:p w:rsidR="00326248" w:rsidRDefault="00180BC2" w:rsidP="00A27B31">
            <w:pPr>
              <w:pStyle w:val="Tabletext"/>
              <w:rPr>
                <w:rFonts w:cs="Arial"/>
                <w:color w:val="000000"/>
                <w:szCs w:val="16"/>
              </w:rPr>
            </w:pPr>
            <w:r>
              <w:rPr>
                <w:rFonts w:cs="Arial"/>
                <w:color w:val="000000"/>
                <w:szCs w:val="16"/>
              </w:rPr>
              <w:t>$1</w:t>
            </w:r>
            <w:r w:rsidR="00326248">
              <w:rPr>
                <w:rFonts w:cs="Arial"/>
                <w:color w:val="000000"/>
                <w:szCs w:val="16"/>
              </w:rPr>
              <w:t>200</w:t>
            </w:r>
          </w:p>
        </w:tc>
        <w:tc>
          <w:tcPr>
            <w:tcW w:w="992" w:type="dxa"/>
          </w:tcPr>
          <w:p w:rsidR="00326248" w:rsidRDefault="00326248" w:rsidP="0041086D">
            <w:pPr>
              <w:pStyle w:val="Tabletext"/>
              <w:jc w:val="center"/>
              <w:rPr>
                <w:rFonts w:cs="Arial"/>
                <w:color w:val="000000"/>
                <w:szCs w:val="16"/>
              </w:rPr>
            </w:pPr>
            <w:r>
              <w:rPr>
                <w:rFonts w:cs="Arial"/>
                <w:color w:val="000000"/>
                <w:szCs w:val="16"/>
              </w:rPr>
              <w:t>yes</w:t>
            </w:r>
          </w:p>
        </w:tc>
      </w:tr>
      <w:tr w:rsidR="00326248" w:rsidTr="00A27B31">
        <w:tc>
          <w:tcPr>
            <w:tcW w:w="567" w:type="dxa"/>
            <w:shd w:val="clear" w:color="auto" w:fill="DBE5F1" w:themeFill="accent1" w:themeFillTint="33"/>
          </w:tcPr>
          <w:p w:rsidR="00326248" w:rsidRDefault="00326248" w:rsidP="0041086D">
            <w:pPr>
              <w:pStyle w:val="Tabletext"/>
            </w:pPr>
            <w:r>
              <w:t>5</w:t>
            </w:r>
          </w:p>
        </w:tc>
        <w:tc>
          <w:tcPr>
            <w:tcW w:w="1701" w:type="dxa"/>
            <w:shd w:val="clear" w:color="auto" w:fill="DBE5F1" w:themeFill="accent1" w:themeFillTint="33"/>
          </w:tcPr>
          <w:p w:rsidR="00326248" w:rsidRDefault="0041086D" w:rsidP="0041086D">
            <w:pPr>
              <w:pStyle w:val="Tabletext"/>
              <w:rPr>
                <w:rFonts w:cs="Arial"/>
                <w:color w:val="000000"/>
                <w:szCs w:val="16"/>
              </w:rPr>
            </w:pPr>
            <w:r>
              <w:rPr>
                <w:rFonts w:cs="Arial"/>
                <w:color w:val="000000"/>
                <w:szCs w:val="16"/>
              </w:rPr>
              <w:t>In</w:t>
            </w:r>
            <w:r w:rsidR="00326248">
              <w:rPr>
                <w:rFonts w:cs="Arial"/>
                <w:color w:val="000000"/>
                <w:szCs w:val="16"/>
              </w:rPr>
              <w:t>-class</w:t>
            </w:r>
          </w:p>
        </w:tc>
        <w:tc>
          <w:tcPr>
            <w:tcW w:w="3828" w:type="dxa"/>
            <w:shd w:val="clear" w:color="auto" w:fill="DBE5F1" w:themeFill="accent1" w:themeFillTint="33"/>
          </w:tcPr>
          <w:p w:rsidR="00326248" w:rsidRDefault="00326248" w:rsidP="0041086D">
            <w:pPr>
              <w:pStyle w:val="Tabletext"/>
              <w:rPr>
                <w:rFonts w:cs="Arial"/>
                <w:color w:val="000000"/>
                <w:szCs w:val="16"/>
              </w:rPr>
            </w:pPr>
            <w:r>
              <w:rPr>
                <w:rFonts w:cs="Arial"/>
                <w:color w:val="000000"/>
                <w:szCs w:val="16"/>
              </w:rPr>
              <w:t>7 days (business days, 8.30</w:t>
            </w:r>
            <w:r w:rsidR="003E4139">
              <w:rPr>
                <w:rFonts w:cs="Arial"/>
                <w:color w:val="000000"/>
                <w:szCs w:val="16"/>
              </w:rPr>
              <w:t xml:space="preserve"> am–</w:t>
            </w:r>
            <w:r>
              <w:rPr>
                <w:rFonts w:cs="Arial"/>
                <w:color w:val="000000"/>
                <w:szCs w:val="16"/>
              </w:rPr>
              <w:t>4.00</w:t>
            </w:r>
            <w:r w:rsidR="003E4139">
              <w:rPr>
                <w:rFonts w:cs="Arial"/>
                <w:color w:val="000000"/>
                <w:szCs w:val="16"/>
              </w:rPr>
              <w:t xml:space="preserve"> </w:t>
            </w:r>
            <w:r>
              <w:rPr>
                <w:rFonts w:cs="Arial"/>
                <w:color w:val="000000"/>
                <w:szCs w:val="16"/>
              </w:rPr>
              <w:t>pm)</w:t>
            </w:r>
          </w:p>
        </w:tc>
        <w:tc>
          <w:tcPr>
            <w:tcW w:w="1701" w:type="dxa"/>
            <w:shd w:val="clear" w:color="auto" w:fill="DBE5F1" w:themeFill="accent1" w:themeFillTint="33"/>
          </w:tcPr>
          <w:p w:rsidR="00326248" w:rsidRDefault="00180BC2" w:rsidP="00A27B31">
            <w:pPr>
              <w:pStyle w:val="Tabletext"/>
              <w:rPr>
                <w:rFonts w:cs="Arial"/>
                <w:color w:val="000000"/>
                <w:szCs w:val="16"/>
              </w:rPr>
            </w:pPr>
            <w:r>
              <w:rPr>
                <w:rFonts w:cs="Arial"/>
                <w:color w:val="000000"/>
                <w:szCs w:val="16"/>
              </w:rPr>
              <w:t>$1</w:t>
            </w:r>
            <w:r w:rsidR="00326248">
              <w:rPr>
                <w:rFonts w:cs="Arial"/>
                <w:color w:val="000000"/>
                <w:szCs w:val="16"/>
              </w:rPr>
              <w:t>650</w:t>
            </w:r>
          </w:p>
        </w:tc>
        <w:tc>
          <w:tcPr>
            <w:tcW w:w="992" w:type="dxa"/>
            <w:shd w:val="clear" w:color="auto" w:fill="DBE5F1" w:themeFill="accent1" w:themeFillTint="33"/>
          </w:tcPr>
          <w:p w:rsidR="00326248" w:rsidRDefault="00326248" w:rsidP="0041086D">
            <w:pPr>
              <w:pStyle w:val="Tabletext"/>
              <w:jc w:val="center"/>
              <w:rPr>
                <w:rFonts w:cs="Arial"/>
                <w:color w:val="000000"/>
                <w:szCs w:val="16"/>
              </w:rPr>
            </w:pPr>
            <w:r>
              <w:rPr>
                <w:rFonts w:cs="Arial"/>
                <w:color w:val="000000"/>
                <w:szCs w:val="16"/>
              </w:rPr>
              <w:t>yes</w:t>
            </w:r>
          </w:p>
        </w:tc>
      </w:tr>
      <w:tr w:rsidR="00326248" w:rsidTr="00A27B31">
        <w:tc>
          <w:tcPr>
            <w:tcW w:w="567" w:type="dxa"/>
          </w:tcPr>
          <w:p w:rsidR="00326248" w:rsidRDefault="00326248" w:rsidP="0041086D">
            <w:pPr>
              <w:pStyle w:val="Tabletext"/>
            </w:pPr>
            <w:r>
              <w:t>6</w:t>
            </w:r>
          </w:p>
        </w:tc>
        <w:tc>
          <w:tcPr>
            <w:tcW w:w="1701" w:type="dxa"/>
          </w:tcPr>
          <w:p w:rsidR="00326248" w:rsidRDefault="0041086D" w:rsidP="0041086D">
            <w:pPr>
              <w:pStyle w:val="Tabletext"/>
              <w:rPr>
                <w:rFonts w:cs="Arial"/>
                <w:color w:val="000000"/>
                <w:szCs w:val="16"/>
              </w:rPr>
            </w:pPr>
            <w:r>
              <w:rPr>
                <w:rFonts w:cs="Arial"/>
                <w:color w:val="000000"/>
                <w:szCs w:val="16"/>
              </w:rPr>
              <w:t>Online</w:t>
            </w:r>
          </w:p>
        </w:tc>
        <w:tc>
          <w:tcPr>
            <w:tcW w:w="3828" w:type="dxa"/>
          </w:tcPr>
          <w:p w:rsidR="00326248" w:rsidRDefault="00326248" w:rsidP="0041086D">
            <w:pPr>
              <w:pStyle w:val="Tabletext"/>
              <w:rPr>
                <w:rFonts w:cs="Arial"/>
                <w:color w:val="000000"/>
                <w:szCs w:val="16"/>
              </w:rPr>
            </w:pPr>
            <w:r>
              <w:rPr>
                <w:rFonts w:cs="Arial"/>
                <w:color w:val="000000"/>
                <w:szCs w:val="16"/>
              </w:rPr>
              <w:t>11 weeks</w:t>
            </w:r>
          </w:p>
        </w:tc>
        <w:tc>
          <w:tcPr>
            <w:tcW w:w="1701" w:type="dxa"/>
          </w:tcPr>
          <w:p w:rsidR="00326248" w:rsidRDefault="00180BC2" w:rsidP="00A27B31">
            <w:pPr>
              <w:pStyle w:val="Tabletext"/>
              <w:rPr>
                <w:rFonts w:cs="Arial"/>
                <w:color w:val="000000"/>
                <w:szCs w:val="16"/>
              </w:rPr>
            </w:pPr>
            <w:r>
              <w:rPr>
                <w:rFonts w:cs="Arial"/>
                <w:color w:val="000000"/>
                <w:szCs w:val="16"/>
              </w:rPr>
              <w:t>$1</w:t>
            </w:r>
            <w:r w:rsidR="00326248">
              <w:rPr>
                <w:rFonts w:cs="Arial"/>
                <w:color w:val="000000"/>
                <w:szCs w:val="16"/>
              </w:rPr>
              <w:t>450</w:t>
            </w:r>
          </w:p>
        </w:tc>
        <w:tc>
          <w:tcPr>
            <w:tcW w:w="992" w:type="dxa"/>
          </w:tcPr>
          <w:p w:rsidR="00326248" w:rsidRDefault="00326248" w:rsidP="0041086D">
            <w:pPr>
              <w:pStyle w:val="Tabletext"/>
              <w:jc w:val="center"/>
              <w:rPr>
                <w:rFonts w:cs="Arial"/>
                <w:color w:val="000000"/>
                <w:szCs w:val="16"/>
              </w:rPr>
            </w:pPr>
            <w:r>
              <w:rPr>
                <w:rFonts w:cs="Arial"/>
                <w:color w:val="000000"/>
                <w:szCs w:val="16"/>
              </w:rPr>
              <w:t>yes</w:t>
            </w:r>
          </w:p>
        </w:tc>
      </w:tr>
      <w:tr w:rsidR="00326248" w:rsidTr="00A27B31">
        <w:tc>
          <w:tcPr>
            <w:tcW w:w="567" w:type="dxa"/>
            <w:shd w:val="clear" w:color="auto" w:fill="DBE5F1" w:themeFill="accent1" w:themeFillTint="33"/>
          </w:tcPr>
          <w:p w:rsidR="00326248" w:rsidRDefault="00326248" w:rsidP="0041086D">
            <w:pPr>
              <w:pStyle w:val="Tabletext"/>
            </w:pPr>
            <w:r>
              <w:t>7</w:t>
            </w:r>
          </w:p>
        </w:tc>
        <w:tc>
          <w:tcPr>
            <w:tcW w:w="1701" w:type="dxa"/>
            <w:shd w:val="clear" w:color="auto" w:fill="DBE5F1" w:themeFill="accent1" w:themeFillTint="33"/>
          </w:tcPr>
          <w:p w:rsidR="00326248" w:rsidRDefault="0041086D" w:rsidP="00C37F5F">
            <w:pPr>
              <w:pStyle w:val="Tabletext"/>
              <w:rPr>
                <w:rFonts w:cs="Arial"/>
                <w:color w:val="000000"/>
                <w:szCs w:val="16"/>
              </w:rPr>
            </w:pPr>
            <w:r>
              <w:rPr>
                <w:rFonts w:cs="Arial"/>
                <w:color w:val="000000"/>
                <w:szCs w:val="16"/>
              </w:rPr>
              <w:t>In</w:t>
            </w:r>
            <w:r w:rsidR="00326248">
              <w:rPr>
                <w:rFonts w:cs="Arial"/>
                <w:color w:val="000000"/>
                <w:szCs w:val="16"/>
              </w:rPr>
              <w:t>-class &amp; online, distance, blended</w:t>
            </w:r>
          </w:p>
        </w:tc>
        <w:tc>
          <w:tcPr>
            <w:tcW w:w="3828" w:type="dxa"/>
            <w:shd w:val="clear" w:color="auto" w:fill="DBE5F1" w:themeFill="accent1" w:themeFillTint="33"/>
          </w:tcPr>
          <w:p w:rsidR="00326248" w:rsidRDefault="00326248" w:rsidP="0041086D">
            <w:pPr>
              <w:pStyle w:val="Tabletext"/>
              <w:rPr>
                <w:rFonts w:cs="Arial"/>
                <w:color w:val="000000"/>
                <w:szCs w:val="16"/>
              </w:rPr>
            </w:pPr>
            <w:r>
              <w:rPr>
                <w:rFonts w:cs="Arial"/>
                <w:color w:val="000000"/>
                <w:szCs w:val="16"/>
              </w:rPr>
              <w:t>5 days intensive 8.00</w:t>
            </w:r>
            <w:r w:rsidR="003E4139">
              <w:rPr>
                <w:rFonts w:cs="Arial"/>
                <w:color w:val="000000"/>
                <w:szCs w:val="16"/>
              </w:rPr>
              <w:t xml:space="preserve"> am–</w:t>
            </w:r>
            <w:r>
              <w:rPr>
                <w:rFonts w:cs="Arial"/>
                <w:color w:val="000000"/>
                <w:szCs w:val="16"/>
              </w:rPr>
              <w:t>5.00</w:t>
            </w:r>
            <w:r w:rsidR="003E4139">
              <w:rPr>
                <w:rFonts w:cs="Arial"/>
                <w:color w:val="000000"/>
                <w:szCs w:val="16"/>
              </w:rPr>
              <w:t xml:space="preserve"> </w:t>
            </w:r>
            <w:r>
              <w:rPr>
                <w:rFonts w:cs="Arial"/>
                <w:color w:val="000000"/>
                <w:szCs w:val="16"/>
              </w:rPr>
              <w:t>pm or 8 day</w:t>
            </w:r>
            <w:r w:rsidR="002B01D0">
              <w:rPr>
                <w:rFonts w:cs="Arial"/>
                <w:color w:val="000000"/>
                <w:szCs w:val="16"/>
              </w:rPr>
              <w:t xml:space="preserve">s spread over 8 weeks in </w:t>
            </w:r>
            <w:r w:rsidR="00142F05">
              <w:rPr>
                <w:rFonts w:cs="Arial"/>
                <w:color w:val="000000"/>
                <w:szCs w:val="16"/>
              </w:rPr>
              <w:t>class</w:t>
            </w:r>
            <w:r w:rsidR="003E4139">
              <w:rPr>
                <w:rFonts w:cs="Arial"/>
                <w:color w:val="000000"/>
                <w:szCs w:val="16"/>
              </w:rPr>
              <w:t>;</w:t>
            </w:r>
            <w:r>
              <w:rPr>
                <w:rFonts w:cs="Arial"/>
                <w:color w:val="000000"/>
                <w:szCs w:val="16"/>
              </w:rPr>
              <w:t>16 weeks online</w:t>
            </w:r>
          </w:p>
        </w:tc>
        <w:tc>
          <w:tcPr>
            <w:tcW w:w="1701" w:type="dxa"/>
            <w:shd w:val="clear" w:color="auto" w:fill="DBE5F1" w:themeFill="accent1" w:themeFillTint="33"/>
          </w:tcPr>
          <w:p w:rsidR="00326248" w:rsidRDefault="00180BC2" w:rsidP="00A27B31">
            <w:pPr>
              <w:pStyle w:val="Tabletext"/>
              <w:rPr>
                <w:rFonts w:cs="Arial"/>
                <w:color w:val="000000"/>
                <w:szCs w:val="16"/>
              </w:rPr>
            </w:pPr>
            <w:r>
              <w:rPr>
                <w:rFonts w:cs="Arial"/>
                <w:color w:val="000000"/>
                <w:szCs w:val="16"/>
              </w:rPr>
              <w:t>$1697</w:t>
            </w:r>
            <w:r w:rsidR="00C37F5F">
              <w:rPr>
                <w:rFonts w:cs="Arial"/>
                <w:color w:val="000000"/>
                <w:szCs w:val="16"/>
              </w:rPr>
              <w:t xml:space="preserve"> </w:t>
            </w:r>
            <w:r>
              <w:rPr>
                <w:rFonts w:cs="Arial"/>
                <w:color w:val="000000"/>
                <w:szCs w:val="16"/>
              </w:rPr>
              <w:t xml:space="preserve">in-class/ </w:t>
            </w:r>
            <w:r w:rsidR="00A27B31">
              <w:rPr>
                <w:rFonts w:cs="Arial"/>
                <w:color w:val="000000"/>
                <w:szCs w:val="16"/>
              </w:rPr>
              <w:br/>
            </w:r>
            <w:r>
              <w:rPr>
                <w:rFonts w:cs="Arial"/>
                <w:color w:val="000000"/>
                <w:szCs w:val="16"/>
              </w:rPr>
              <w:t>$1</w:t>
            </w:r>
            <w:r w:rsidR="00326248">
              <w:rPr>
                <w:rFonts w:cs="Arial"/>
                <w:color w:val="000000"/>
                <w:szCs w:val="16"/>
              </w:rPr>
              <w:t>297 online</w:t>
            </w:r>
          </w:p>
        </w:tc>
        <w:tc>
          <w:tcPr>
            <w:tcW w:w="992" w:type="dxa"/>
            <w:shd w:val="clear" w:color="auto" w:fill="DBE5F1" w:themeFill="accent1" w:themeFillTint="33"/>
          </w:tcPr>
          <w:p w:rsidR="00326248" w:rsidRDefault="00326248" w:rsidP="0041086D">
            <w:pPr>
              <w:pStyle w:val="Tabletext"/>
              <w:jc w:val="center"/>
              <w:rPr>
                <w:rFonts w:cs="Arial"/>
                <w:color w:val="000000"/>
                <w:szCs w:val="16"/>
              </w:rPr>
            </w:pPr>
            <w:r>
              <w:rPr>
                <w:rFonts w:cs="Arial"/>
                <w:color w:val="000000"/>
                <w:szCs w:val="16"/>
              </w:rPr>
              <w:t>yes</w:t>
            </w:r>
          </w:p>
        </w:tc>
      </w:tr>
      <w:tr w:rsidR="00326248" w:rsidTr="00A27B31">
        <w:tc>
          <w:tcPr>
            <w:tcW w:w="567" w:type="dxa"/>
            <w:shd w:val="clear" w:color="auto" w:fill="DBE5F1" w:themeFill="accent1" w:themeFillTint="33"/>
          </w:tcPr>
          <w:p w:rsidR="00326248" w:rsidRDefault="00326248" w:rsidP="0041086D">
            <w:pPr>
              <w:pStyle w:val="Tabletext"/>
            </w:pPr>
            <w:r>
              <w:t>8</w:t>
            </w:r>
          </w:p>
        </w:tc>
        <w:tc>
          <w:tcPr>
            <w:tcW w:w="1701" w:type="dxa"/>
            <w:shd w:val="clear" w:color="auto" w:fill="DBE5F1" w:themeFill="accent1" w:themeFillTint="33"/>
          </w:tcPr>
          <w:p w:rsidR="00326248" w:rsidRDefault="00326248" w:rsidP="0041086D">
            <w:pPr>
              <w:pStyle w:val="Tabletext"/>
              <w:rPr>
                <w:rFonts w:cs="Arial"/>
                <w:color w:val="000000"/>
                <w:szCs w:val="16"/>
              </w:rPr>
            </w:pPr>
            <w:r>
              <w:rPr>
                <w:rFonts w:cs="Arial"/>
                <w:color w:val="000000"/>
                <w:szCs w:val="16"/>
              </w:rPr>
              <w:t>In-class (recommended), distance</w:t>
            </w:r>
          </w:p>
        </w:tc>
        <w:tc>
          <w:tcPr>
            <w:tcW w:w="3828" w:type="dxa"/>
            <w:shd w:val="clear" w:color="auto" w:fill="DBE5F1" w:themeFill="accent1" w:themeFillTint="33"/>
          </w:tcPr>
          <w:p w:rsidR="00326248" w:rsidRDefault="003E4139" w:rsidP="0041086D">
            <w:pPr>
              <w:pStyle w:val="Tabletext"/>
              <w:rPr>
                <w:rFonts w:cs="Arial"/>
                <w:color w:val="000000"/>
                <w:szCs w:val="16"/>
              </w:rPr>
            </w:pPr>
            <w:r>
              <w:rPr>
                <w:rFonts w:cs="Arial"/>
                <w:color w:val="000000"/>
                <w:szCs w:val="16"/>
              </w:rPr>
              <w:t>Part 1 (five units)</w:t>
            </w:r>
            <w:r w:rsidR="00142F05">
              <w:rPr>
                <w:rFonts w:cs="Arial"/>
                <w:color w:val="000000"/>
                <w:szCs w:val="16"/>
              </w:rPr>
              <w:t>,</w:t>
            </w:r>
            <w:r>
              <w:rPr>
                <w:rFonts w:cs="Arial"/>
                <w:color w:val="000000"/>
                <w:szCs w:val="16"/>
              </w:rPr>
              <w:t xml:space="preserve"> 5 full days; Part II</w:t>
            </w:r>
            <w:r w:rsidR="00142F05">
              <w:rPr>
                <w:rFonts w:cs="Arial"/>
                <w:color w:val="000000"/>
                <w:szCs w:val="16"/>
              </w:rPr>
              <w:t>,</w:t>
            </w:r>
            <w:r>
              <w:rPr>
                <w:rFonts w:cs="Arial"/>
                <w:color w:val="000000"/>
                <w:szCs w:val="16"/>
              </w:rPr>
              <w:t xml:space="preserve"> </w:t>
            </w:r>
            <w:r w:rsidR="00326248">
              <w:rPr>
                <w:rFonts w:cs="Arial"/>
                <w:color w:val="000000"/>
                <w:szCs w:val="16"/>
              </w:rPr>
              <w:t>5</w:t>
            </w:r>
            <w:r>
              <w:rPr>
                <w:rFonts w:cs="Arial"/>
                <w:color w:val="000000"/>
                <w:szCs w:val="16"/>
              </w:rPr>
              <w:t xml:space="preserve"> full days</w:t>
            </w:r>
            <w:r w:rsidR="00E3166C">
              <w:rPr>
                <w:rFonts w:cs="Arial"/>
                <w:color w:val="000000"/>
                <w:szCs w:val="16"/>
              </w:rPr>
              <w:t xml:space="preserve"> </w:t>
            </w:r>
            <w:r w:rsidR="00326248">
              <w:rPr>
                <w:rFonts w:cs="Arial"/>
                <w:color w:val="000000"/>
                <w:szCs w:val="16"/>
              </w:rPr>
              <w:t>each 8.30</w:t>
            </w:r>
            <w:r>
              <w:rPr>
                <w:rFonts w:cs="Arial"/>
                <w:color w:val="000000"/>
                <w:szCs w:val="16"/>
              </w:rPr>
              <w:t xml:space="preserve"> am–</w:t>
            </w:r>
            <w:r w:rsidR="00326248">
              <w:rPr>
                <w:rFonts w:cs="Arial"/>
                <w:color w:val="000000"/>
                <w:szCs w:val="16"/>
              </w:rPr>
              <w:t>4.30</w:t>
            </w:r>
            <w:r>
              <w:rPr>
                <w:rFonts w:cs="Arial"/>
                <w:color w:val="000000"/>
                <w:szCs w:val="16"/>
              </w:rPr>
              <w:t xml:space="preserve"> </w:t>
            </w:r>
            <w:r w:rsidR="00142F05">
              <w:rPr>
                <w:rFonts w:cs="Arial"/>
                <w:color w:val="000000"/>
                <w:szCs w:val="16"/>
              </w:rPr>
              <w:t>pm (including weekends);</w:t>
            </w:r>
            <w:r w:rsidR="00326248">
              <w:rPr>
                <w:rFonts w:cs="Arial"/>
                <w:color w:val="000000"/>
                <w:szCs w:val="16"/>
              </w:rPr>
              <w:t xml:space="preserve"> or distance at own pace</w:t>
            </w:r>
          </w:p>
        </w:tc>
        <w:tc>
          <w:tcPr>
            <w:tcW w:w="1701" w:type="dxa"/>
            <w:shd w:val="clear" w:color="auto" w:fill="DBE5F1" w:themeFill="accent1" w:themeFillTint="33"/>
          </w:tcPr>
          <w:p w:rsidR="00326248" w:rsidRDefault="00326248" w:rsidP="00A27B31">
            <w:pPr>
              <w:pStyle w:val="Tabletext"/>
              <w:rPr>
                <w:rFonts w:cs="Arial"/>
                <w:color w:val="000000"/>
                <w:szCs w:val="16"/>
              </w:rPr>
            </w:pPr>
            <w:r>
              <w:rPr>
                <w:rFonts w:cs="Arial"/>
                <w:color w:val="000000"/>
                <w:szCs w:val="16"/>
              </w:rPr>
              <w:t>$2</w:t>
            </w:r>
            <w:r w:rsidR="00E33E35">
              <w:rPr>
                <w:rFonts w:cs="Arial"/>
                <w:color w:val="000000"/>
                <w:szCs w:val="16"/>
              </w:rPr>
              <w:t>995 in-class, distance</w:t>
            </w:r>
          </w:p>
        </w:tc>
        <w:tc>
          <w:tcPr>
            <w:tcW w:w="992" w:type="dxa"/>
            <w:shd w:val="clear" w:color="auto" w:fill="DBE5F1" w:themeFill="accent1" w:themeFillTint="33"/>
          </w:tcPr>
          <w:p w:rsidR="00326248" w:rsidRDefault="00326248" w:rsidP="0041086D">
            <w:pPr>
              <w:pStyle w:val="Tabletext"/>
              <w:jc w:val="center"/>
              <w:rPr>
                <w:rFonts w:cs="Arial"/>
                <w:color w:val="000000"/>
                <w:szCs w:val="16"/>
              </w:rPr>
            </w:pPr>
            <w:r>
              <w:rPr>
                <w:rFonts w:cs="Arial"/>
                <w:color w:val="000000"/>
                <w:szCs w:val="16"/>
              </w:rPr>
              <w:t>yes</w:t>
            </w:r>
          </w:p>
        </w:tc>
      </w:tr>
      <w:tr w:rsidR="00326248" w:rsidTr="00A27B31">
        <w:tc>
          <w:tcPr>
            <w:tcW w:w="567" w:type="dxa"/>
            <w:shd w:val="clear" w:color="auto" w:fill="DBE5F1" w:themeFill="accent1" w:themeFillTint="33"/>
          </w:tcPr>
          <w:p w:rsidR="00326248" w:rsidRDefault="00326248" w:rsidP="0041086D">
            <w:pPr>
              <w:pStyle w:val="Tabletext"/>
            </w:pPr>
            <w:r>
              <w:t>9</w:t>
            </w:r>
          </w:p>
        </w:tc>
        <w:tc>
          <w:tcPr>
            <w:tcW w:w="1701" w:type="dxa"/>
            <w:shd w:val="clear" w:color="auto" w:fill="DBE5F1" w:themeFill="accent1" w:themeFillTint="33"/>
          </w:tcPr>
          <w:p w:rsidR="00326248" w:rsidRDefault="0041086D" w:rsidP="0041086D">
            <w:pPr>
              <w:pStyle w:val="Tabletext"/>
              <w:rPr>
                <w:rFonts w:cs="Arial"/>
                <w:color w:val="000000"/>
                <w:szCs w:val="16"/>
              </w:rPr>
            </w:pPr>
            <w:r>
              <w:rPr>
                <w:rFonts w:cs="Arial"/>
                <w:color w:val="000000"/>
                <w:szCs w:val="16"/>
              </w:rPr>
              <w:t>In</w:t>
            </w:r>
            <w:r w:rsidR="00326248">
              <w:rPr>
                <w:rFonts w:cs="Arial"/>
                <w:color w:val="000000"/>
                <w:szCs w:val="16"/>
              </w:rPr>
              <w:t>-class</w:t>
            </w:r>
          </w:p>
        </w:tc>
        <w:tc>
          <w:tcPr>
            <w:tcW w:w="3828" w:type="dxa"/>
            <w:shd w:val="clear" w:color="auto" w:fill="DBE5F1" w:themeFill="accent1" w:themeFillTint="33"/>
          </w:tcPr>
          <w:p w:rsidR="00326248" w:rsidRDefault="00326248" w:rsidP="0041086D">
            <w:pPr>
              <w:pStyle w:val="Tabletext"/>
              <w:rPr>
                <w:rFonts w:cs="Arial"/>
                <w:color w:val="000000"/>
                <w:szCs w:val="16"/>
              </w:rPr>
            </w:pPr>
            <w:r>
              <w:rPr>
                <w:rFonts w:cs="Arial"/>
                <w:color w:val="000000"/>
                <w:szCs w:val="16"/>
              </w:rPr>
              <w:t>10 days</w:t>
            </w:r>
          </w:p>
        </w:tc>
        <w:tc>
          <w:tcPr>
            <w:tcW w:w="1701" w:type="dxa"/>
            <w:shd w:val="clear" w:color="auto" w:fill="DBE5F1" w:themeFill="accent1" w:themeFillTint="33"/>
          </w:tcPr>
          <w:p w:rsidR="00326248" w:rsidRDefault="00180BC2" w:rsidP="00A27B31">
            <w:pPr>
              <w:pStyle w:val="Tabletext"/>
              <w:rPr>
                <w:rFonts w:cs="Arial"/>
                <w:color w:val="000000"/>
                <w:szCs w:val="16"/>
              </w:rPr>
            </w:pPr>
            <w:r>
              <w:rPr>
                <w:rFonts w:cs="Arial"/>
                <w:color w:val="000000"/>
                <w:szCs w:val="16"/>
              </w:rPr>
              <w:t>$3</w:t>
            </w:r>
            <w:r w:rsidR="00326248">
              <w:rPr>
                <w:rFonts w:cs="Arial"/>
                <w:color w:val="000000"/>
                <w:szCs w:val="16"/>
              </w:rPr>
              <w:t>000</w:t>
            </w:r>
          </w:p>
        </w:tc>
        <w:tc>
          <w:tcPr>
            <w:tcW w:w="992" w:type="dxa"/>
            <w:shd w:val="clear" w:color="auto" w:fill="DBE5F1" w:themeFill="accent1" w:themeFillTint="33"/>
          </w:tcPr>
          <w:p w:rsidR="00326248" w:rsidRDefault="00326248" w:rsidP="0041086D">
            <w:pPr>
              <w:pStyle w:val="Tabletext"/>
              <w:jc w:val="center"/>
              <w:rPr>
                <w:rFonts w:cs="Arial"/>
                <w:color w:val="000000"/>
                <w:szCs w:val="16"/>
              </w:rPr>
            </w:pPr>
            <w:r>
              <w:rPr>
                <w:rFonts w:cs="Arial"/>
                <w:color w:val="000000"/>
                <w:szCs w:val="16"/>
              </w:rPr>
              <w:t>yes</w:t>
            </w:r>
          </w:p>
        </w:tc>
      </w:tr>
      <w:tr w:rsidR="00326248" w:rsidTr="00A27B31">
        <w:tc>
          <w:tcPr>
            <w:tcW w:w="567" w:type="dxa"/>
            <w:shd w:val="clear" w:color="auto" w:fill="DBE5F1" w:themeFill="accent1" w:themeFillTint="33"/>
          </w:tcPr>
          <w:p w:rsidR="00326248" w:rsidRDefault="00326248" w:rsidP="0041086D">
            <w:pPr>
              <w:pStyle w:val="Tabletext"/>
            </w:pPr>
            <w:r>
              <w:t>10</w:t>
            </w:r>
          </w:p>
        </w:tc>
        <w:tc>
          <w:tcPr>
            <w:tcW w:w="1701" w:type="dxa"/>
            <w:shd w:val="clear" w:color="auto" w:fill="DBE5F1" w:themeFill="accent1" w:themeFillTint="33"/>
          </w:tcPr>
          <w:p w:rsidR="00326248" w:rsidRDefault="0041086D" w:rsidP="0041086D">
            <w:pPr>
              <w:pStyle w:val="Tabletext"/>
              <w:rPr>
                <w:rFonts w:cs="Arial"/>
                <w:color w:val="000000"/>
                <w:szCs w:val="16"/>
              </w:rPr>
            </w:pPr>
            <w:r>
              <w:rPr>
                <w:rFonts w:cs="Arial"/>
                <w:color w:val="000000"/>
                <w:szCs w:val="16"/>
              </w:rPr>
              <w:t>In</w:t>
            </w:r>
            <w:r w:rsidR="00326248">
              <w:rPr>
                <w:rFonts w:cs="Arial"/>
                <w:color w:val="000000"/>
                <w:szCs w:val="16"/>
              </w:rPr>
              <w:t>-class &amp; online</w:t>
            </w:r>
          </w:p>
        </w:tc>
        <w:tc>
          <w:tcPr>
            <w:tcW w:w="3828" w:type="dxa"/>
            <w:shd w:val="clear" w:color="auto" w:fill="DBE5F1" w:themeFill="accent1" w:themeFillTint="33"/>
          </w:tcPr>
          <w:p w:rsidR="00326248" w:rsidRDefault="00326248" w:rsidP="00A27B31">
            <w:pPr>
              <w:pStyle w:val="Tabletext"/>
              <w:rPr>
                <w:rFonts w:cs="Arial"/>
                <w:color w:val="000000"/>
                <w:szCs w:val="16"/>
              </w:rPr>
            </w:pPr>
            <w:r>
              <w:rPr>
                <w:rFonts w:cs="Arial"/>
                <w:color w:val="000000"/>
                <w:szCs w:val="16"/>
              </w:rPr>
              <w:t>5 days, 8.30</w:t>
            </w:r>
            <w:r w:rsidR="003E4139">
              <w:rPr>
                <w:rFonts w:cs="Arial"/>
                <w:color w:val="000000"/>
                <w:szCs w:val="16"/>
              </w:rPr>
              <w:t xml:space="preserve"> am–</w:t>
            </w:r>
            <w:r>
              <w:rPr>
                <w:rFonts w:cs="Arial"/>
                <w:color w:val="000000"/>
                <w:szCs w:val="16"/>
              </w:rPr>
              <w:t>5.00</w:t>
            </w:r>
            <w:r w:rsidR="003E4139">
              <w:rPr>
                <w:rFonts w:cs="Arial"/>
                <w:color w:val="000000"/>
                <w:szCs w:val="16"/>
              </w:rPr>
              <w:t xml:space="preserve"> </w:t>
            </w:r>
            <w:r>
              <w:rPr>
                <w:rFonts w:cs="Arial"/>
                <w:color w:val="000000"/>
                <w:szCs w:val="16"/>
              </w:rPr>
              <w:t>pm</w:t>
            </w:r>
            <w:r w:rsidR="003E4139">
              <w:rPr>
                <w:rFonts w:cs="Arial"/>
                <w:color w:val="000000"/>
                <w:szCs w:val="16"/>
              </w:rPr>
              <w:t>,</w:t>
            </w:r>
            <w:r>
              <w:rPr>
                <w:rFonts w:cs="Arial"/>
                <w:color w:val="000000"/>
                <w:szCs w:val="16"/>
              </w:rPr>
              <w:t xml:space="preserve"> Mon</w:t>
            </w:r>
            <w:r w:rsidR="003E4139">
              <w:rPr>
                <w:rFonts w:cs="Arial"/>
                <w:color w:val="000000"/>
                <w:szCs w:val="16"/>
              </w:rPr>
              <w:t>day–</w:t>
            </w:r>
            <w:r>
              <w:rPr>
                <w:rFonts w:cs="Arial"/>
                <w:color w:val="000000"/>
                <w:szCs w:val="16"/>
              </w:rPr>
              <w:t>Fri</w:t>
            </w:r>
            <w:r w:rsidR="003E4139">
              <w:rPr>
                <w:rFonts w:cs="Arial"/>
                <w:color w:val="000000"/>
                <w:szCs w:val="16"/>
              </w:rPr>
              <w:t>day plus 2</w:t>
            </w:r>
            <w:r w:rsidR="00A27B31">
              <w:rPr>
                <w:rFonts w:cs="Arial"/>
                <w:color w:val="000000"/>
                <w:szCs w:val="16"/>
              </w:rPr>
              <w:t> </w:t>
            </w:r>
            <w:r w:rsidR="003E4139">
              <w:rPr>
                <w:rFonts w:cs="Arial"/>
                <w:color w:val="000000"/>
                <w:szCs w:val="16"/>
              </w:rPr>
              <w:t>evenings</w:t>
            </w:r>
            <w:r w:rsidR="00142F05">
              <w:rPr>
                <w:rFonts w:cs="Arial"/>
                <w:color w:val="000000"/>
                <w:szCs w:val="16"/>
              </w:rPr>
              <w:t>,</w:t>
            </w:r>
            <w:r w:rsidR="003E4139">
              <w:rPr>
                <w:rFonts w:cs="Arial"/>
                <w:color w:val="000000"/>
                <w:szCs w:val="16"/>
              </w:rPr>
              <w:t xml:space="preserve"> 5.30 pm–</w:t>
            </w:r>
            <w:r>
              <w:rPr>
                <w:rFonts w:cs="Arial"/>
                <w:color w:val="000000"/>
                <w:szCs w:val="16"/>
              </w:rPr>
              <w:t>9.00</w:t>
            </w:r>
            <w:r w:rsidR="003E4139">
              <w:rPr>
                <w:rFonts w:cs="Arial"/>
                <w:color w:val="000000"/>
                <w:szCs w:val="16"/>
              </w:rPr>
              <w:t xml:space="preserve"> </w:t>
            </w:r>
            <w:r>
              <w:rPr>
                <w:rFonts w:cs="Arial"/>
                <w:color w:val="000000"/>
                <w:szCs w:val="16"/>
              </w:rPr>
              <w:t>pm</w:t>
            </w:r>
          </w:p>
        </w:tc>
        <w:tc>
          <w:tcPr>
            <w:tcW w:w="1701" w:type="dxa"/>
            <w:shd w:val="clear" w:color="auto" w:fill="DBE5F1" w:themeFill="accent1" w:themeFillTint="33"/>
          </w:tcPr>
          <w:p w:rsidR="00326248" w:rsidRDefault="00180BC2" w:rsidP="00A27B31">
            <w:pPr>
              <w:pStyle w:val="Tabletext"/>
              <w:rPr>
                <w:rFonts w:cs="Arial"/>
                <w:color w:val="000000"/>
                <w:szCs w:val="16"/>
              </w:rPr>
            </w:pPr>
            <w:r>
              <w:rPr>
                <w:rFonts w:cs="Arial"/>
                <w:color w:val="000000"/>
                <w:szCs w:val="16"/>
              </w:rPr>
              <w:t xml:space="preserve">$1500 in-class/ </w:t>
            </w:r>
            <w:r w:rsidR="00A27B31">
              <w:rPr>
                <w:rFonts w:cs="Arial"/>
                <w:color w:val="000000"/>
                <w:szCs w:val="16"/>
              </w:rPr>
              <w:br/>
            </w:r>
            <w:r>
              <w:rPr>
                <w:rFonts w:cs="Arial"/>
                <w:color w:val="000000"/>
                <w:szCs w:val="16"/>
              </w:rPr>
              <w:t>$1</w:t>
            </w:r>
            <w:r w:rsidR="00326248">
              <w:rPr>
                <w:rFonts w:cs="Arial"/>
                <w:color w:val="000000"/>
                <w:szCs w:val="16"/>
              </w:rPr>
              <w:t>200 online</w:t>
            </w:r>
          </w:p>
        </w:tc>
        <w:tc>
          <w:tcPr>
            <w:tcW w:w="992" w:type="dxa"/>
            <w:shd w:val="clear" w:color="auto" w:fill="DBE5F1" w:themeFill="accent1" w:themeFillTint="33"/>
          </w:tcPr>
          <w:p w:rsidR="00326248" w:rsidRDefault="00326248" w:rsidP="0041086D">
            <w:pPr>
              <w:pStyle w:val="Tabletext"/>
              <w:jc w:val="center"/>
              <w:rPr>
                <w:rFonts w:cs="Arial"/>
                <w:color w:val="000000"/>
                <w:szCs w:val="16"/>
              </w:rPr>
            </w:pPr>
            <w:r>
              <w:rPr>
                <w:rFonts w:cs="Arial"/>
                <w:color w:val="000000"/>
                <w:szCs w:val="16"/>
              </w:rPr>
              <w:t>yes</w:t>
            </w:r>
          </w:p>
        </w:tc>
      </w:tr>
      <w:tr w:rsidR="00326248" w:rsidTr="00A27B31">
        <w:tc>
          <w:tcPr>
            <w:tcW w:w="567" w:type="dxa"/>
            <w:shd w:val="clear" w:color="auto" w:fill="DBE5F1" w:themeFill="accent1" w:themeFillTint="33"/>
          </w:tcPr>
          <w:p w:rsidR="00326248" w:rsidRDefault="00326248" w:rsidP="0041086D">
            <w:pPr>
              <w:pStyle w:val="Tabletext"/>
            </w:pPr>
            <w:r>
              <w:t>11</w:t>
            </w:r>
          </w:p>
        </w:tc>
        <w:tc>
          <w:tcPr>
            <w:tcW w:w="1701" w:type="dxa"/>
            <w:shd w:val="clear" w:color="auto" w:fill="DBE5F1" w:themeFill="accent1" w:themeFillTint="33"/>
          </w:tcPr>
          <w:p w:rsidR="00326248" w:rsidRDefault="0041086D" w:rsidP="0041086D">
            <w:pPr>
              <w:pStyle w:val="Tabletext"/>
              <w:rPr>
                <w:rFonts w:cs="Arial"/>
                <w:color w:val="000000"/>
                <w:szCs w:val="16"/>
              </w:rPr>
            </w:pPr>
            <w:r>
              <w:rPr>
                <w:rFonts w:cs="Arial"/>
                <w:color w:val="000000"/>
                <w:szCs w:val="16"/>
              </w:rPr>
              <w:t>In</w:t>
            </w:r>
            <w:r w:rsidR="00326248">
              <w:rPr>
                <w:rFonts w:cs="Arial"/>
                <w:color w:val="000000"/>
                <w:szCs w:val="16"/>
              </w:rPr>
              <w:t>-class</w:t>
            </w:r>
          </w:p>
        </w:tc>
        <w:tc>
          <w:tcPr>
            <w:tcW w:w="3828" w:type="dxa"/>
            <w:shd w:val="clear" w:color="auto" w:fill="DBE5F1" w:themeFill="accent1" w:themeFillTint="33"/>
          </w:tcPr>
          <w:p w:rsidR="00326248" w:rsidRDefault="00326248" w:rsidP="0041086D">
            <w:pPr>
              <w:pStyle w:val="Tabletext"/>
              <w:rPr>
                <w:rFonts w:cs="Arial"/>
                <w:color w:val="000000"/>
                <w:szCs w:val="16"/>
              </w:rPr>
            </w:pPr>
            <w:r>
              <w:rPr>
                <w:rFonts w:cs="Arial"/>
                <w:color w:val="000000"/>
                <w:szCs w:val="16"/>
              </w:rPr>
              <w:t>10 days</w:t>
            </w:r>
          </w:p>
        </w:tc>
        <w:tc>
          <w:tcPr>
            <w:tcW w:w="1701" w:type="dxa"/>
            <w:shd w:val="clear" w:color="auto" w:fill="DBE5F1" w:themeFill="accent1" w:themeFillTint="33"/>
          </w:tcPr>
          <w:p w:rsidR="00326248" w:rsidRDefault="00180BC2" w:rsidP="00A27B31">
            <w:pPr>
              <w:pStyle w:val="Tabletext"/>
              <w:rPr>
                <w:rFonts w:cs="Arial"/>
                <w:color w:val="000000"/>
                <w:szCs w:val="16"/>
              </w:rPr>
            </w:pPr>
            <w:r>
              <w:rPr>
                <w:rFonts w:cs="Arial"/>
                <w:color w:val="000000"/>
                <w:szCs w:val="16"/>
              </w:rPr>
              <w:t>$2</w:t>
            </w:r>
            <w:r w:rsidR="00326248">
              <w:rPr>
                <w:rFonts w:cs="Arial"/>
                <w:color w:val="000000"/>
                <w:szCs w:val="16"/>
              </w:rPr>
              <w:t>000</w:t>
            </w:r>
          </w:p>
        </w:tc>
        <w:tc>
          <w:tcPr>
            <w:tcW w:w="992" w:type="dxa"/>
            <w:shd w:val="clear" w:color="auto" w:fill="DBE5F1" w:themeFill="accent1" w:themeFillTint="33"/>
          </w:tcPr>
          <w:p w:rsidR="00326248" w:rsidRDefault="00326248" w:rsidP="0041086D">
            <w:pPr>
              <w:pStyle w:val="Tabletext"/>
              <w:jc w:val="center"/>
              <w:rPr>
                <w:rFonts w:cs="Arial"/>
                <w:color w:val="000000"/>
                <w:szCs w:val="16"/>
              </w:rPr>
            </w:pPr>
            <w:r>
              <w:rPr>
                <w:rFonts w:cs="Arial"/>
                <w:color w:val="000000"/>
                <w:szCs w:val="16"/>
              </w:rPr>
              <w:t>yes</w:t>
            </w:r>
          </w:p>
        </w:tc>
      </w:tr>
      <w:tr w:rsidR="00326248" w:rsidTr="00A27B31">
        <w:tc>
          <w:tcPr>
            <w:tcW w:w="567" w:type="dxa"/>
          </w:tcPr>
          <w:p w:rsidR="00326248" w:rsidRDefault="00326248" w:rsidP="0041086D">
            <w:pPr>
              <w:pStyle w:val="Tabletext"/>
            </w:pPr>
            <w:r>
              <w:t>12</w:t>
            </w:r>
          </w:p>
        </w:tc>
        <w:tc>
          <w:tcPr>
            <w:tcW w:w="1701" w:type="dxa"/>
          </w:tcPr>
          <w:p w:rsidR="00326248" w:rsidRDefault="0041086D" w:rsidP="0041086D">
            <w:pPr>
              <w:pStyle w:val="Tabletext"/>
              <w:rPr>
                <w:rFonts w:cs="Arial"/>
                <w:color w:val="000000"/>
                <w:szCs w:val="16"/>
              </w:rPr>
            </w:pPr>
            <w:r>
              <w:rPr>
                <w:rFonts w:cs="Arial"/>
                <w:color w:val="000000"/>
                <w:szCs w:val="16"/>
              </w:rPr>
              <w:t>In</w:t>
            </w:r>
            <w:r w:rsidR="00326248">
              <w:rPr>
                <w:rFonts w:cs="Arial"/>
                <w:color w:val="000000"/>
                <w:szCs w:val="16"/>
              </w:rPr>
              <w:t>-class</w:t>
            </w:r>
          </w:p>
        </w:tc>
        <w:tc>
          <w:tcPr>
            <w:tcW w:w="3828" w:type="dxa"/>
          </w:tcPr>
          <w:p w:rsidR="00326248" w:rsidRDefault="00142F05" w:rsidP="0041086D">
            <w:pPr>
              <w:pStyle w:val="Tabletext"/>
              <w:rPr>
                <w:rFonts w:cs="Arial"/>
                <w:color w:val="000000"/>
                <w:szCs w:val="16"/>
              </w:rPr>
            </w:pPr>
            <w:r>
              <w:rPr>
                <w:rFonts w:cs="Arial"/>
                <w:color w:val="000000"/>
                <w:szCs w:val="16"/>
              </w:rPr>
              <w:t>12 weeks full-time; 23 weeks</w:t>
            </w:r>
            <w:r w:rsidR="00326248">
              <w:rPr>
                <w:rFonts w:cs="Arial"/>
                <w:color w:val="000000"/>
                <w:szCs w:val="16"/>
              </w:rPr>
              <w:t xml:space="preserve"> part-time</w:t>
            </w:r>
          </w:p>
        </w:tc>
        <w:tc>
          <w:tcPr>
            <w:tcW w:w="1701" w:type="dxa"/>
          </w:tcPr>
          <w:p w:rsidR="00326248" w:rsidRDefault="00180BC2" w:rsidP="00A27B31">
            <w:pPr>
              <w:pStyle w:val="Tabletext"/>
              <w:rPr>
                <w:rFonts w:cs="Arial"/>
                <w:color w:val="000000"/>
                <w:szCs w:val="16"/>
              </w:rPr>
            </w:pPr>
            <w:r>
              <w:rPr>
                <w:rFonts w:cs="Arial"/>
                <w:color w:val="000000"/>
                <w:szCs w:val="16"/>
              </w:rPr>
              <w:t>$1</w:t>
            </w:r>
            <w:r w:rsidR="00326248">
              <w:rPr>
                <w:rFonts w:cs="Arial"/>
                <w:color w:val="000000"/>
                <w:szCs w:val="16"/>
              </w:rPr>
              <w:t>890</w:t>
            </w:r>
          </w:p>
        </w:tc>
        <w:tc>
          <w:tcPr>
            <w:tcW w:w="992" w:type="dxa"/>
          </w:tcPr>
          <w:p w:rsidR="00326248" w:rsidRDefault="00326248" w:rsidP="0041086D">
            <w:pPr>
              <w:pStyle w:val="Tabletext"/>
              <w:jc w:val="center"/>
              <w:rPr>
                <w:rFonts w:cs="Arial"/>
                <w:color w:val="000000"/>
                <w:szCs w:val="16"/>
              </w:rPr>
            </w:pPr>
            <w:r>
              <w:rPr>
                <w:rFonts w:cs="Arial"/>
                <w:color w:val="000000"/>
                <w:szCs w:val="16"/>
              </w:rPr>
              <w:t>yes</w:t>
            </w:r>
          </w:p>
        </w:tc>
      </w:tr>
      <w:tr w:rsidR="00326248" w:rsidTr="00A27B31">
        <w:tc>
          <w:tcPr>
            <w:tcW w:w="567" w:type="dxa"/>
          </w:tcPr>
          <w:p w:rsidR="00326248" w:rsidRDefault="00326248" w:rsidP="0041086D">
            <w:pPr>
              <w:pStyle w:val="Tabletext"/>
            </w:pPr>
            <w:r>
              <w:t>13</w:t>
            </w:r>
          </w:p>
        </w:tc>
        <w:tc>
          <w:tcPr>
            <w:tcW w:w="1701" w:type="dxa"/>
          </w:tcPr>
          <w:p w:rsidR="00326248" w:rsidRDefault="0041086D" w:rsidP="0041086D">
            <w:pPr>
              <w:pStyle w:val="Tabletext"/>
              <w:rPr>
                <w:rFonts w:cs="Arial"/>
                <w:color w:val="000000"/>
                <w:szCs w:val="16"/>
              </w:rPr>
            </w:pPr>
            <w:r>
              <w:rPr>
                <w:rFonts w:cs="Arial"/>
                <w:color w:val="000000"/>
                <w:szCs w:val="16"/>
              </w:rPr>
              <w:t>In</w:t>
            </w:r>
            <w:r w:rsidR="00326248">
              <w:rPr>
                <w:rFonts w:cs="Arial"/>
                <w:color w:val="000000"/>
                <w:szCs w:val="16"/>
              </w:rPr>
              <w:t>-class</w:t>
            </w:r>
          </w:p>
        </w:tc>
        <w:tc>
          <w:tcPr>
            <w:tcW w:w="3828" w:type="dxa"/>
          </w:tcPr>
          <w:p w:rsidR="00326248" w:rsidRDefault="00326248" w:rsidP="0041086D">
            <w:pPr>
              <w:pStyle w:val="Tabletext"/>
              <w:rPr>
                <w:rFonts w:cs="Arial"/>
                <w:color w:val="000000"/>
                <w:szCs w:val="16"/>
              </w:rPr>
            </w:pPr>
            <w:r>
              <w:rPr>
                <w:rFonts w:cs="Arial"/>
                <w:color w:val="000000"/>
                <w:szCs w:val="16"/>
              </w:rPr>
              <w:t>14 days spread over 14 weeks</w:t>
            </w:r>
          </w:p>
        </w:tc>
        <w:tc>
          <w:tcPr>
            <w:tcW w:w="1701" w:type="dxa"/>
          </w:tcPr>
          <w:p w:rsidR="00326248" w:rsidRDefault="00326248" w:rsidP="0041086D">
            <w:pPr>
              <w:pStyle w:val="Tabletext"/>
              <w:rPr>
                <w:rFonts w:cs="Arial"/>
                <w:color w:val="000000"/>
                <w:szCs w:val="16"/>
              </w:rPr>
            </w:pPr>
            <w:r>
              <w:rPr>
                <w:rFonts w:cs="Arial"/>
                <w:color w:val="000000"/>
                <w:szCs w:val="16"/>
              </w:rPr>
              <w:t>$500</w:t>
            </w:r>
          </w:p>
        </w:tc>
        <w:tc>
          <w:tcPr>
            <w:tcW w:w="992" w:type="dxa"/>
          </w:tcPr>
          <w:p w:rsidR="00326248" w:rsidRDefault="00326248" w:rsidP="0041086D">
            <w:pPr>
              <w:pStyle w:val="Tabletext"/>
              <w:jc w:val="center"/>
              <w:rPr>
                <w:rFonts w:cs="Arial"/>
                <w:color w:val="000000"/>
                <w:szCs w:val="16"/>
              </w:rPr>
            </w:pPr>
            <w:r>
              <w:rPr>
                <w:rFonts w:cs="Arial"/>
                <w:color w:val="000000"/>
                <w:szCs w:val="16"/>
              </w:rPr>
              <w:t>yes</w:t>
            </w:r>
          </w:p>
        </w:tc>
      </w:tr>
      <w:tr w:rsidR="00326248" w:rsidTr="00A27B31">
        <w:tc>
          <w:tcPr>
            <w:tcW w:w="567" w:type="dxa"/>
          </w:tcPr>
          <w:p w:rsidR="00326248" w:rsidRDefault="00326248" w:rsidP="0041086D">
            <w:pPr>
              <w:pStyle w:val="Tabletext"/>
            </w:pPr>
            <w:r>
              <w:t>14</w:t>
            </w:r>
          </w:p>
        </w:tc>
        <w:tc>
          <w:tcPr>
            <w:tcW w:w="1701" w:type="dxa"/>
          </w:tcPr>
          <w:p w:rsidR="00326248" w:rsidRDefault="0041086D" w:rsidP="0041086D">
            <w:pPr>
              <w:pStyle w:val="Tabletext"/>
              <w:rPr>
                <w:rFonts w:cs="Arial"/>
                <w:color w:val="000000"/>
                <w:szCs w:val="16"/>
              </w:rPr>
            </w:pPr>
            <w:r>
              <w:rPr>
                <w:rFonts w:cs="Arial"/>
                <w:color w:val="000000"/>
                <w:szCs w:val="16"/>
              </w:rPr>
              <w:t>In</w:t>
            </w:r>
            <w:r w:rsidR="00326248">
              <w:rPr>
                <w:rFonts w:cs="Arial"/>
                <w:color w:val="000000"/>
                <w:szCs w:val="16"/>
              </w:rPr>
              <w:t>-class, workshops, workplace practice and review</w:t>
            </w:r>
          </w:p>
        </w:tc>
        <w:tc>
          <w:tcPr>
            <w:tcW w:w="3828" w:type="dxa"/>
          </w:tcPr>
          <w:p w:rsidR="00326248" w:rsidRDefault="00142F05" w:rsidP="00C37F5F">
            <w:pPr>
              <w:pStyle w:val="Tabletext"/>
              <w:rPr>
                <w:rFonts w:cs="Arial"/>
                <w:color w:val="000000"/>
                <w:szCs w:val="16"/>
              </w:rPr>
            </w:pPr>
            <w:r>
              <w:rPr>
                <w:rFonts w:cs="Arial"/>
                <w:color w:val="000000"/>
                <w:szCs w:val="16"/>
              </w:rPr>
              <w:t xml:space="preserve">3 months part-time (22 days, </w:t>
            </w:r>
            <w:r w:rsidR="00326248">
              <w:rPr>
                <w:rFonts w:cs="Arial"/>
                <w:color w:val="000000"/>
                <w:szCs w:val="16"/>
              </w:rPr>
              <w:t>6.00</w:t>
            </w:r>
            <w:r>
              <w:rPr>
                <w:rFonts w:cs="Arial"/>
                <w:color w:val="000000"/>
                <w:szCs w:val="16"/>
              </w:rPr>
              <w:t xml:space="preserve"> pm–</w:t>
            </w:r>
            <w:r w:rsidR="00326248">
              <w:rPr>
                <w:rFonts w:cs="Arial"/>
                <w:color w:val="000000"/>
                <w:szCs w:val="16"/>
              </w:rPr>
              <w:t>9.00</w:t>
            </w:r>
            <w:r>
              <w:rPr>
                <w:rFonts w:cs="Arial"/>
                <w:color w:val="000000"/>
                <w:szCs w:val="16"/>
              </w:rPr>
              <w:t xml:space="preserve"> pm); 12 days</w:t>
            </w:r>
            <w:r w:rsidR="00326248">
              <w:rPr>
                <w:rFonts w:cs="Arial"/>
                <w:color w:val="000000"/>
                <w:szCs w:val="16"/>
              </w:rPr>
              <w:t xml:space="preserve"> full-time (10.00</w:t>
            </w:r>
            <w:r>
              <w:rPr>
                <w:rFonts w:cs="Arial"/>
                <w:color w:val="000000"/>
                <w:szCs w:val="16"/>
              </w:rPr>
              <w:t xml:space="preserve"> </w:t>
            </w:r>
            <w:r w:rsidR="00326248">
              <w:rPr>
                <w:rFonts w:cs="Arial"/>
                <w:color w:val="000000"/>
                <w:szCs w:val="16"/>
              </w:rPr>
              <w:t>am</w:t>
            </w:r>
            <w:r w:rsidR="00C37F5F">
              <w:rPr>
                <w:rFonts w:cs="Arial"/>
                <w:color w:val="000000"/>
                <w:szCs w:val="16"/>
              </w:rPr>
              <w:t>–</w:t>
            </w:r>
            <w:r w:rsidR="00326248">
              <w:rPr>
                <w:rFonts w:cs="Arial"/>
                <w:color w:val="000000"/>
                <w:szCs w:val="16"/>
              </w:rPr>
              <w:t>5.00</w:t>
            </w:r>
            <w:r>
              <w:rPr>
                <w:rFonts w:cs="Arial"/>
                <w:color w:val="000000"/>
                <w:szCs w:val="16"/>
              </w:rPr>
              <w:t xml:space="preserve"> </w:t>
            </w:r>
            <w:r w:rsidR="00326248">
              <w:rPr>
                <w:rFonts w:cs="Arial"/>
                <w:color w:val="000000"/>
                <w:szCs w:val="16"/>
              </w:rPr>
              <w:t>pm)</w:t>
            </w:r>
          </w:p>
        </w:tc>
        <w:tc>
          <w:tcPr>
            <w:tcW w:w="1701" w:type="dxa"/>
          </w:tcPr>
          <w:p w:rsidR="00326248" w:rsidRDefault="00180BC2" w:rsidP="00A27B31">
            <w:pPr>
              <w:pStyle w:val="Tabletext"/>
              <w:rPr>
                <w:rFonts w:cs="Arial"/>
                <w:color w:val="000000"/>
                <w:szCs w:val="16"/>
              </w:rPr>
            </w:pPr>
            <w:r>
              <w:rPr>
                <w:rFonts w:cs="Arial"/>
                <w:color w:val="000000"/>
                <w:szCs w:val="16"/>
              </w:rPr>
              <w:t>$1</w:t>
            </w:r>
            <w:r w:rsidR="00326248">
              <w:rPr>
                <w:rFonts w:cs="Arial"/>
                <w:color w:val="000000"/>
                <w:szCs w:val="16"/>
              </w:rPr>
              <w:t>900</w:t>
            </w:r>
          </w:p>
        </w:tc>
        <w:tc>
          <w:tcPr>
            <w:tcW w:w="992" w:type="dxa"/>
          </w:tcPr>
          <w:p w:rsidR="00326248" w:rsidRDefault="00326248" w:rsidP="0041086D">
            <w:pPr>
              <w:pStyle w:val="Tabletext"/>
              <w:jc w:val="center"/>
              <w:rPr>
                <w:rFonts w:cs="Arial"/>
                <w:color w:val="000000"/>
                <w:szCs w:val="16"/>
              </w:rPr>
            </w:pPr>
            <w:r>
              <w:rPr>
                <w:rFonts w:cs="Arial"/>
                <w:color w:val="000000"/>
                <w:szCs w:val="16"/>
              </w:rPr>
              <w:t>yes</w:t>
            </w:r>
          </w:p>
        </w:tc>
      </w:tr>
      <w:tr w:rsidR="00326248" w:rsidTr="00A27B31">
        <w:tc>
          <w:tcPr>
            <w:tcW w:w="567" w:type="dxa"/>
            <w:shd w:val="clear" w:color="auto" w:fill="DBE5F1" w:themeFill="accent1" w:themeFillTint="33"/>
          </w:tcPr>
          <w:p w:rsidR="00326248" w:rsidRDefault="00326248" w:rsidP="0041086D">
            <w:pPr>
              <w:pStyle w:val="Tabletext"/>
            </w:pPr>
            <w:r>
              <w:t>15</w:t>
            </w:r>
          </w:p>
        </w:tc>
        <w:tc>
          <w:tcPr>
            <w:tcW w:w="1701" w:type="dxa"/>
            <w:shd w:val="clear" w:color="auto" w:fill="DBE5F1" w:themeFill="accent1" w:themeFillTint="33"/>
          </w:tcPr>
          <w:p w:rsidR="00326248" w:rsidRDefault="0041086D" w:rsidP="0041086D">
            <w:pPr>
              <w:pStyle w:val="Tabletext"/>
              <w:rPr>
                <w:rFonts w:cs="Arial"/>
                <w:color w:val="000000"/>
                <w:szCs w:val="16"/>
              </w:rPr>
            </w:pPr>
            <w:r>
              <w:rPr>
                <w:rFonts w:cs="Arial"/>
                <w:color w:val="000000"/>
                <w:szCs w:val="16"/>
              </w:rPr>
              <w:t>Distance</w:t>
            </w:r>
          </w:p>
        </w:tc>
        <w:tc>
          <w:tcPr>
            <w:tcW w:w="3828" w:type="dxa"/>
            <w:shd w:val="clear" w:color="auto" w:fill="DBE5F1" w:themeFill="accent1" w:themeFillTint="33"/>
          </w:tcPr>
          <w:p w:rsidR="00326248" w:rsidRDefault="00326248" w:rsidP="0041086D">
            <w:pPr>
              <w:pStyle w:val="Tabletext"/>
              <w:rPr>
                <w:rFonts w:cs="Arial"/>
                <w:color w:val="000000"/>
                <w:szCs w:val="16"/>
              </w:rPr>
            </w:pPr>
            <w:r>
              <w:rPr>
                <w:rFonts w:cs="Arial"/>
                <w:color w:val="000000"/>
                <w:szCs w:val="16"/>
              </w:rPr>
              <w:t>Self-paced anytime</w:t>
            </w:r>
          </w:p>
        </w:tc>
        <w:tc>
          <w:tcPr>
            <w:tcW w:w="1701" w:type="dxa"/>
            <w:shd w:val="clear" w:color="auto" w:fill="DBE5F1" w:themeFill="accent1" w:themeFillTint="33"/>
          </w:tcPr>
          <w:p w:rsidR="00326248" w:rsidRDefault="00180BC2" w:rsidP="00A27B31">
            <w:pPr>
              <w:pStyle w:val="Tabletext"/>
              <w:rPr>
                <w:rFonts w:cs="Arial"/>
                <w:color w:val="000000"/>
                <w:szCs w:val="16"/>
              </w:rPr>
            </w:pPr>
            <w:r>
              <w:rPr>
                <w:rFonts w:cs="Arial"/>
                <w:color w:val="000000"/>
                <w:szCs w:val="16"/>
              </w:rPr>
              <w:t>$1</w:t>
            </w:r>
            <w:r w:rsidR="00326248">
              <w:rPr>
                <w:rFonts w:cs="Arial"/>
                <w:color w:val="000000"/>
                <w:szCs w:val="16"/>
              </w:rPr>
              <w:t>960</w:t>
            </w:r>
          </w:p>
        </w:tc>
        <w:tc>
          <w:tcPr>
            <w:tcW w:w="992" w:type="dxa"/>
            <w:shd w:val="clear" w:color="auto" w:fill="DBE5F1" w:themeFill="accent1" w:themeFillTint="33"/>
          </w:tcPr>
          <w:p w:rsidR="00326248" w:rsidRDefault="00326248" w:rsidP="0041086D">
            <w:pPr>
              <w:pStyle w:val="Tabletext"/>
              <w:jc w:val="center"/>
              <w:rPr>
                <w:rFonts w:cs="Arial"/>
                <w:color w:val="000000"/>
                <w:szCs w:val="16"/>
              </w:rPr>
            </w:pPr>
            <w:r>
              <w:rPr>
                <w:rFonts w:cs="Arial"/>
                <w:color w:val="000000"/>
                <w:szCs w:val="16"/>
              </w:rPr>
              <w:t>yes</w:t>
            </w:r>
          </w:p>
        </w:tc>
      </w:tr>
      <w:tr w:rsidR="00326248" w:rsidTr="00A27B31">
        <w:tc>
          <w:tcPr>
            <w:tcW w:w="567" w:type="dxa"/>
            <w:shd w:val="clear" w:color="auto" w:fill="DBE5F1" w:themeFill="accent1" w:themeFillTint="33"/>
          </w:tcPr>
          <w:p w:rsidR="00326248" w:rsidRDefault="00326248" w:rsidP="0041086D">
            <w:pPr>
              <w:pStyle w:val="Tabletext"/>
            </w:pPr>
            <w:r>
              <w:t>16</w:t>
            </w:r>
          </w:p>
        </w:tc>
        <w:tc>
          <w:tcPr>
            <w:tcW w:w="1701" w:type="dxa"/>
            <w:shd w:val="clear" w:color="auto" w:fill="DBE5F1" w:themeFill="accent1" w:themeFillTint="33"/>
          </w:tcPr>
          <w:p w:rsidR="00326248" w:rsidRDefault="0041086D" w:rsidP="0041086D">
            <w:pPr>
              <w:pStyle w:val="Tabletext"/>
              <w:rPr>
                <w:rFonts w:cs="Arial"/>
                <w:color w:val="000000"/>
                <w:szCs w:val="16"/>
              </w:rPr>
            </w:pPr>
            <w:r>
              <w:rPr>
                <w:rFonts w:cs="Arial"/>
                <w:color w:val="000000"/>
                <w:szCs w:val="16"/>
              </w:rPr>
              <w:t>In</w:t>
            </w:r>
            <w:r w:rsidR="00326248">
              <w:rPr>
                <w:rFonts w:cs="Arial"/>
                <w:color w:val="000000"/>
                <w:szCs w:val="16"/>
              </w:rPr>
              <w:t>-class, distance, RPL</w:t>
            </w:r>
          </w:p>
        </w:tc>
        <w:tc>
          <w:tcPr>
            <w:tcW w:w="3828" w:type="dxa"/>
            <w:shd w:val="clear" w:color="auto" w:fill="DBE5F1" w:themeFill="accent1" w:themeFillTint="33"/>
          </w:tcPr>
          <w:p w:rsidR="00326248" w:rsidRDefault="00326248" w:rsidP="0041086D">
            <w:pPr>
              <w:pStyle w:val="Tabletext"/>
              <w:rPr>
                <w:rFonts w:cs="Arial"/>
                <w:color w:val="000000"/>
                <w:szCs w:val="16"/>
              </w:rPr>
            </w:pPr>
            <w:r>
              <w:rPr>
                <w:rFonts w:cs="Arial"/>
                <w:color w:val="000000"/>
                <w:szCs w:val="16"/>
              </w:rPr>
              <w:t>9.00</w:t>
            </w:r>
            <w:r w:rsidR="00142F05">
              <w:rPr>
                <w:rFonts w:cs="Arial"/>
                <w:color w:val="000000"/>
                <w:szCs w:val="16"/>
              </w:rPr>
              <w:t xml:space="preserve"> am–</w:t>
            </w:r>
            <w:r>
              <w:rPr>
                <w:rFonts w:cs="Arial"/>
                <w:color w:val="000000"/>
                <w:szCs w:val="16"/>
              </w:rPr>
              <w:t>5.00</w:t>
            </w:r>
            <w:r w:rsidR="00142F05">
              <w:rPr>
                <w:rFonts w:cs="Arial"/>
                <w:color w:val="000000"/>
                <w:szCs w:val="16"/>
              </w:rPr>
              <w:t xml:space="preserve"> </w:t>
            </w:r>
            <w:r w:rsidR="00E33E35">
              <w:rPr>
                <w:rFonts w:cs="Arial"/>
                <w:color w:val="000000"/>
                <w:szCs w:val="16"/>
              </w:rPr>
              <w:t>pm for 5 days;</w:t>
            </w:r>
            <w:r>
              <w:rPr>
                <w:rFonts w:cs="Arial"/>
                <w:color w:val="000000"/>
                <w:szCs w:val="16"/>
              </w:rPr>
              <w:t xml:space="preserve"> or 7 evenings</w:t>
            </w:r>
            <w:r w:rsidR="00142F05">
              <w:rPr>
                <w:rFonts w:cs="Arial"/>
                <w:color w:val="000000"/>
                <w:szCs w:val="16"/>
              </w:rPr>
              <w:t>,</w:t>
            </w:r>
            <w:r>
              <w:rPr>
                <w:rFonts w:cs="Arial"/>
                <w:color w:val="000000"/>
                <w:szCs w:val="16"/>
              </w:rPr>
              <w:t xml:space="preserve"> 5.00</w:t>
            </w:r>
            <w:r w:rsidR="0041086D">
              <w:rPr>
                <w:rFonts w:cs="Arial"/>
                <w:color w:val="000000"/>
                <w:szCs w:val="16"/>
              </w:rPr>
              <w:t> </w:t>
            </w:r>
            <w:r w:rsidR="00142F05">
              <w:rPr>
                <w:rFonts w:cs="Arial"/>
                <w:color w:val="000000"/>
                <w:szCs w:val="16"/>
              </w:rPr>
              <w:t>pm–</w:t>
            </w:r>
            <w:r>
              <w:rPr>
                <w:rFonts w:cs="Arial"/>
                <w:color w:val="000000"/>
                <w:szCs w:val="16"/>
              </w:rPr>
              <w:t>9.00</w:t>
            </w:r>
            <w:r w:rsidR="00142F05">
              <w:rPr>
                <w:rFonts w:cs="Arial"/>
                <w:color w:val="000000"/>
                <w:szCs w:val="16"/>
              </w:rPr>
              <w:t xml:space="preserve"> </w:t>
            </w:r>
            <w:r w:rsidR="00E33E35">
              <w:rPr>
                <w:rFonts w:cs="Arial"/>
                <w:color w:val="000000"/>
                <w:szCs w:val="16"/>
              </w:rPr>
              <w:t>pm;</w:t>
            </w:r>
            <w:r w:rsidR="00142F05">
              <w:rPr>
                <w:rFonts w:cs="Arial"/>
                <w:color w:val="000000"/>
                <w:szCs w:val="16"/>
              </w:rPr>
              <w:t xml:space="preserve"> or distance for 12 months</w:t>
            </w:r>
          </w:p>
        </w:tc>
        <w:tc>
          <w:tcPr>
            <w:tcW w:w="1701" w:type="dxa"/>
            <w:shd w:val="clear" w:color="auto" w:fill="DBE5F1" w:themeFill="accent1" w:themeFillTint="33"/>
          </w:tcPr>
          <w:p w:rsidR="00326248" w:rsidRDefault="00180BC2" w:rsidP="00A27B31">
            <w:pPr>
              <w:pStyle w:val="Tabletext"/>
              <w:rPr>
                <w:rFonts w:cs="Arial"/>
                <w:color w:val="000000"/>
                <w:szCs w:val="16"/>
              </w:rPr>
            </w:pPr>
            <w:r>
              <w:rPr>
                <w:rFonts w:cs="Arial"/>
                <w:color w:val="000000"/>
                <w:szCs w:val="16"/>
              </w:rPr>
              <w:t>$1</w:t>
            </w:r>
            <w:r w:rsidR="00326248">
              <w:rPr>
                <w:rFonts w:cs="Arial"/>
                <w:color w:val="000000"/>
                <w:szCs w:val="16"/>
              </w:rPr>
              <w:t xml:space="preserve">599 in class, distance $999, </w:t>
            </w:r>
          </w:p>
        </w:tc>
        <w:tc>
          <w:tcPr>
            <w:tcW w:w="992" w:type="dxa"/>
            <w:shd w:val="clear" w:color="auto" w:fill="DBE5F1" w:themeFill="accent1" w:themeFillTint="33"/>
          </w:tcPr>
          <w:p w:rsidR="00326248" w:rsidRDefault="00326248" w:rsidP="0041086D">
            <w:pPr>
              <w:pStyle w:val="Tabletext"/>
              <w:jc w:val="center"/>
              <w:rPr>
                <w:rFonts w:cs="Arial"/>
                <w:color w:val="000000"/>
                <w:szCs w:val="16"/>
              </w:rPr>
            </w:pPr>
            <w:r>
              <w:rPr>
                <w:rFonts w:cs="Arial"/>
                <w:color w:val="000000"/>
                <w:szCs w:val="16"/>
              </w:rPr>
              <w:t>yes</w:t>
            </w:r>
          </w:p>
        </w:tc>
      </w:tr>
      <w:tr w:rsidR="00326248" w:rsidTr="00A27B31">
        <w:tc>
          <w:tcPr>
            <w:tcW w:w="567" w:type="dxa"/>
          </w:tcPr>
          <w:p w:rsidR="00326248" w:rsidRDefault="00326248" w:rsidP="0041086D">
            <w:pPr>
              <w:pStyle w:val="Tabletext"/>
            </w:pPr>
            <w:r>
              <w:t>17</w:t>
            </w:r>
          </w:p>
        </w:tc>
        <w:tc>
          <w:tcPr>
            <w:tcW w:w="1701" w:type="dxa"/>
          </w:tcPr>
          <w:p w:rsidR="00326248" w:rsidRDefault="0041086D" w:rsidP="0041086D">
            <w:pPr>
              <w:pStyle w:val="Tabletext"/>
              <w:rPr>
                <w:rFonts w:cs="Arial"/>
                <w:color w:val="000000"/>
                <w:szCs w:val="16"/>
              </w:rPr>
            </w:pPr>
            <w:r>
              <w:rPr>
                <w:rFonts w:cs="Arial"/>
                <w:color w:val="000000"/>
                <w:szCs w:val="16"/>
              </w:rPr>
              <w:t>Online</w:t>
            </w:r>
          </w:p>
        </w:tc>
        <w:tc>
          <w:tcPr>
            <w:tcW w:w="3828" w:type="dxa"/>
          </w:tcPr>
          <w:p w:rsidR="00326248" w:rsidRDefault="00326248" w:rsidP="0041086D">
            <w:pPr>
              <w:pStyle w:val="Tabletext"/>
              <w:rPr>
                <w:rFonts w:cs="Arial"/>
                <w:color w:val="000000"/>
                <w:szCs w:val="16"/>
              </w:rPr>
            </w:pPr>
            <w:r>
              <w:rPr>
                <w:rFonts w:cs="Arial"/>
                <w:color w:val="000000"/>
                <w:szCs w:val="16"/>
              </w:rPr>
              <w:t xml:space="preserve">up to 6 months online </w:t>
            </w:r>
          </w:p>
        </w:tc>
        <w:tc>
          <w:tcPr>
            <w:tcW w:w="1701" w:type="dxa"/>
          </w:tcPr>
          <w:p w:rsidR="00326248" w:rsidRDefault="00326248" w:rsidP="0041086D">
            <w:pPr>
              <w:pStyle w:val="Tabletext"/>
              <w:rPr>
                <w:rFonts w:cs="Arial"/>
                <w:color w:val="000000"/>
                <w:szCs w:val="16"/>
              </w:rPr>
            </w:pPr>
            <w:r>
              <w:rPr>
                <w:rFonts w:cs="Arial"/>
                <w:color w:val="000000"/>
                <w:szCs w:val="16"/>
              </w:rPr>
              <w:t>no information</w:t>
            </w:r>
          </w:p>
        </w:tc>
        <w:tc>
          <w:tcPr>
            <w:tcW w:w="992" w:type="dxa"/>
          </w:tcPr>
          <w:p w:rsidR="00326248" w:rsidRDefault="00326248" w:rsidP="0041086D">
            <w:pPr>
              <w:pStyle w:val="Tabletext"/>
              <w:jc w:val="center"/>
              <w:rPr>
                <w:rFonts w:cs="Arial"/>
                <w:color w:val="000000"/>
                <w:szCs w:val="16"/>
              </w:rPr>
            </w:pPr>
            <w:r>
              <w:rPr>
                <w:rFonts w:cs="Arial"/>
                <w:color w:val="000000"/>
                <w:szCs w:val="16"/>
              </w:rPr>
              <w:t>yes</w:t>
            </w:r>
          </w:p>
        </w:tc>
      </w:tr>
      <w:tr w:rsidR="00326248" w:rsidTr="00A27B31">
        <w:tc>
          <w:tcPr>
            <w:tcW w:w="567" w:type="dxa"/>
          </w:tcPr>
          <w:p w:rsidR="00326248" w:rsidRDefault="00326248" w:rsidP="0041086D">
            <w:pPr>
              <w:pStyle w:val="Tabletext"/>
            </w:pPr>
            <w:r>
              <w:t>18</w:t>
            </w:r>
          </w:p>
        </w:tc>
        <w:tc>
          <w:tcPr>
            <w:tcW w:w="1701" w:type="dxa"/>
          </w:tcPr>
          <w:p w:rsidR="00326248" w:rsidRDefault="0041086D" w:rsidP="0041086D">
            <w:pPr>
              <w:pStyle w:val="Tabletext"/>
              <w:rPr>
                <w:rFonts w:cs="Arial"/>
                <w:color w:val="000000"/>
                <w:szCs w:val="16"/>
              </w:rPr>
            </w:pPr>
            <w:r>
              <w:rPr>
                <w:rFonts w:cs="Arial"/>
                <w:color w:val="000000"/>
                <w:szCs w:val="16"/>
              </w:rPr>
              <w:t>Online</w:t>
            </w:r>
          </w:p>
        </w:tc>
        <w:tc>
          <w:tcPr>
            <w:tcW w:w="3828" w:type="dxa"/>
          </w:tcPr>
          <w:p w:rsidR="00326248" w:rsidRDefault="00142F05" w:rsidP="0041086D">
            <w:pPr>
              <w:pStyle w:val="Tabletext"/>
              <w:rPr>
                <w:rFonts w:cs="Arial"/>
                <w:color w:val="000000"/>
                <w:szCs w:val="16"/>
              </w:rPr>
            </w:pPr>
            <w:r>
              <w:rPr>
                <w:rFonts w:cs="Arial"/>
                <w:color w:val="000000"/>
                <w:szCs w:val="16"/>
              </w:rPr>
              <w:t>4 weeks per unit, 4–</w:t>
            </w:r>
            <w:r w:rsidR="00326248">
              <w:rPr>
                <w:rFonts w:cs="Arial"/>
                <w:color w:val="000000"/>
                <w:szCs w:val="16"/>
              </w:rPr>
              <w:t>6 hours per week</w:t>
            </w:r>
          </w:p>
        </w:tc>
        <w:tc>
          <w:tcPr>
            <w:tcW w:w="1701" w:type="dxa"/>
          </w:tcPr>
          <w:p w:rsidR="00326248" w:rsidRDefault="00180BC2" w:rsidP="00A27B31">
            <w:pPr>
              <w:pStyle w:val="Tabletext"/>
              <w:rPr>
                <w:rFonts w:cs="Arial"/>
                <w:color w:val="000000"/>
                <w:szCs w:val="16"/>
              </w:rPr>
            </w:pPr>
            <w:r>
              <w:rPr>
                <w:rFonts w:cs="Arial"/>
                <w:color w:val="000000"/>
                <w:szCs w:val="16"/>
              </w:rPr>
              <w:t>$2</w:t>
            </w:r>
            <w:r w:rsidR="00326248">
              <w:rPr>
                <w:rFonts w:cs="Arial"/>
                <w:color w:val="000000"/>
                <w:szCs w:val="16"/>
              </w:rPr>
              <w:t>340</w:t>
            </w:r>
          </w:p>
        </w:tc>
        <w:tc>
          <w:tcPr>
            <w:tcW w:w="992" w:type="dxa"/>
          </w:tcPr>
          <w:p w:rsidR="00326248" w:rsidRDefault="00326248" w:rsidP="0041086D">
            <w:pPr>
              <w:pStyle w:val="Tabletext"/>
              <w:jc w:val="center"/>
              <w:rPr>
                <w:rFonts w:cs="Arial"/>
                <w:color w:val="000000"/>
                <w:szCs w:val="16"/>
              </w:rPr>
            </w:pPr>
            <w:r>
              <w:rPr>
                <w:rFonts w:cs="Arial"/>
                <w:color w:val="000000"/>
                <w:szCs w:val="16"/>
              </w:rPr>
              <w:t>yes</w:t>
            </w:r>
          </w:p>
        </w:tc>
      </w:tr>
      <w:tr w:rsidR="00326248" w:rsidTr="00A27B31">
        <w:tc>
          <w:tcPr>
            <w:tcW w:w="567" w:type="dxa"/>
          </w:tcPr>
          <w:p w:rsidR="00326248" w:rsidRDefault="00326248" w:rsidP="0041086D">
            <w:pPr>
              <w:pStyle w:val="Tabletext"/>
            </w:pPr>
            <w:r>
              <w:t>19</w:t>
            </w:r>
          </w:p>
        </w:tc>
        <w:tc>
          <w:tcPr>
            <w:tcW w:w="1701" w:type="dxa"/>
          </w:tcPr>
          <w:p w:rsidR="00326248" w:rsidRDefault="0041086D" w:rsidP="0041086D">
            <w:pPr>
              <w:pStyle w:val="Tabletext"/>
              <w:rPr>
                <w:rFonts w:cs="Arial"/>
                <w:color w:val="000000"/>
                <w:szCs w:val="16"/>
              </w:rPr>
            </w:pPr>
            <w:r>
              <w:rPr>
                <w:rFonts w:cs="Arial"/>
                <w:color w:val="000000"/>
                <w:szCs w:val="16"/>
              </w:rPr>
              <w:t>In</w:t>
            </w:r>
            <w:r w:rsidR="00326248">
              <w:rPr>
                <w:rFonts w:cs="Arial"/>
                <w:color w:val="000000"/>
                <w:szCs w:val="16"/>
              </w:rPr>
              <w:t>-class, face-to-face</w:t>
            </w:r>
          </w:p>
        </w:tc>
        <w:tc>
          <w:tcPr>
            <w:tcW w:w="3828" w:type="dxa"/>
          </w:tcPr>
          <w:p w:rsidR="00326248" w:rsidRDefault="00142F05" w:rsidP="0041086D">
            <w:pPr>
              <w:pStyle w:val="Tabletext"/>
              <w:rPr>
                <w:rFonts w:cs="Arial"/>
                <w:color w:val="000000"/>
                <w:szCs w:val="16"/>
              </w:rPr>
            </w:pPr>
            <w:r>
              <w:rPr>
                <w:rFonts w:cs="Arial"/>
                <w:color w:val="000000"/>
                <w:szCs w:val="16"/>
              </w:rPr>
              <w:t>8 days: Monday–</w:t>
            </w:r>
            <w:r w:rsidR="00326248">
              <w:rPr>
                <w:rFonts w:cs="Arial"/>
                <w:color w:val="000000"/>
                <w:szCs w:val="16"/>
              </w:rPr>
              <w:t>Fri</w:t>
            </w:r>
            <w:r>
              <w:rPr>
                <w:rFonts w:cs="Arial"/>
                <w:color w:val="000000"/>
                <w:szCs w:val="16"/>
              </w:rPr>
              <w:t>day</w:t>
            </w:r>
            <w:r w:rsidR="00E33E35">
              <w:rPr>
                <w:rFonts w:cs="Arial"/>
                <w:color w:val="000000"/>
                <w:szCs w:val="16"/>
              </w:rPr>
              <w:t>,</w:t>
            </w:r>
            <w:r w:rsidR="00326248">
              <w:rPr>
                <w:rFonts w:cs="Arial"/>
                <w:color w:val="000000"/>
                <w:szCs w:val="16"/>
              </w:rPr>
              <w:t xml:space="preserve"> 8.30</w:t>
            </w:r>
            <w:r>
              <w:rPr>
                <w:rFonts w:cs="Arial"/>
                <w:color w:val="000000"/>
                <w:szCs w:val="16"/>
              </w:rPr>
              <w:t xml:space="preserve"> am–</w:t>
            </w:r>
            <w:r w:rsidR="00326248">
              <w:rPr>
                <w:rFonts w:cs="Arial"/>
                <w:color w:val="000000"/>
                <w:szCs w:val="16"/>
              </w:rPr>
              <w:t>4.30</w:t>
            </w:r>
            <w:r>
              <w:rPr>
                <w:rFonts w:cs="Arial"/>
                <w:color w:val="000000"/>
                <w:szCs w:val="16"/>
              </w:rPr>
              <w:t xml:space="preserve"> </w:t>
            </w:r>
            <w:r w:rsidR="00326248">
              <w:rPr>
                <w:rFonts w:cs="Arial"/>
                <w:color w:val="000000"/>
                <w:szCs w:val="16"/>
              </w:rPr>
              <w:t>pm</w:t>
            </w:r>
          </w:p>
        </w:tc>
        <w:tc>
          <w:tcPr>
            <w:tcW w:w="1701" w:type="dxa"/>
          </w:tcPr>
          <w:p w:rsidR="00326248" w:rsidRDefault="00180BC2" w:rsidP="00A27B31">
            <w:pPr>
              <w:pStyle w:val="Tabletext"/>
              <w:rPr>
                <w:rFonts w:cs="Arial"/>
                <w:color w:val="000000"/>
                <w:szCs w:val="16"/>
              </w:rPr>
            </w:pPr>
            <w:r>
              <w:rPr>
                <w:rFonts w:cs="Arial"/>
                <w:color w:val="000000"/>
                <w:szCs w:val="16"/>
              </w:rPr>
              <w:t>$1</w:t>
            </w:r>
            <w:r w:rsidR="00326248">
              <w:rPr>
                <w:rFonts w:cs="Arial"/>
                <w:color w:val="000000"/>
                <w:szCs w:val="16"/>
              </w:rPr>
              <w:t>665</w:t>
            </w:r>
          </w:p>
        </w:tc>
        <w:tc>
          <w:tcPr>
            <w:tcW w:w="992" w:type="dxa"/>
          </w:tcPr>
          <w:p w:rsidR="00326248" w:rsidRDefault="00326248" w:rsidP="0041086D">
            <w:pPr>
              <w:pStyle w:val="Tabletext"/>
              <w:jc w:val="center"/>
              <w:rPr>
                <w:rFonts w:cs="Arial"/>
                <w:color w:val="000000"/>
                <w:szCs w:val="16"/>
              </w:rPr>
            </w:pPr>
            <w:r>
              <w:rPr>
                <w:rFonts w:cs="Arial"/>
                <w:color w:val="000000"/>
                <w:szCs w:val="16"/>
              </w:rPr>
              <w:t>yes</w:t>
            </w:r>
          </w:p>
        </w:tc>
      </w:tr>
      <w:tr w:rsidR="00326248" w:rsidTr="00A27B31">
        <w:tc>
          <w:tcPr>
            <w:tcW w:w="567" w:type="dxa"/>
            <w:shd w:val="clear" w:color="auto" w:fill="DBE5F1" w:themeFill="accent1" w:themeFillTint="33"/>
          </w:tcPr>
          <w:p w:rsidR="00326248" w:rsidRDefault="00326248" w:rsidP="0041086D">
            <w:pPr>
              <w:pStyle w:val="Tabletext"/>
            </w:pPr>
            <w:r>
              <w:t>20</w:t>
            </w:r>
          </w:p>
        </w:tc>
        <w:tc>
          <w:tcPr>
            <w:tcW w:w="1701" w:type="dxa"/>
            <w:shd w:val="clear" w:color="auto" w:fill="DBE5F1" w:themeFill="accent1" w:themeFillTint="33"/>
          </w:tcPr>
          <w:p w:rsidR="00326248" w:rsidRDefault="0041086D" w:rsidP="0041086D">
            <w:pPr>
              <w:pStyle w:val="Tabletext"/>
              <w:rPr>
                <w:rFonts w:cs="Arial"/>
                <w:color w:val="000000"/>
                <w:szCs w:val="16"/>
              </w:rPr>
            </w:pPr>
            <w:r>
              <w:rPr>
                <w:rFonts w:cs="Arial"/>
                <w:color w:val="000000"/>
                <w:szCs w:val="16"/>
              </w:rPr>
              <w:t>In</w:t>
            </w:r>
            <w:r w:rsidR="00326248">
              <w:rPr>
                <w:rFonts w:cs="Arial"/>
                <w:color w:val="000000"/>
                <w:szCs w:val="16"/>
              </w:rPr>
              <w:t>-class</w:t>
            </w:r>
          </w:p>
        </w:tc>
        <w:tc>
          <w:tcPr>
            <w:tcW w:w="3828" w:type="dxa"/>
            <w:shd w:val="clear" w:color="auto" w:fill="DBE5F1" w:themeFill="accent1" w:themeFillTint="33"/>
          </w:tcPr>
          <w:p w:rsidR="00326248" w:rsidRDefault="00326248" w:rsidP="0041086D">
            <w:pPr>
              <w:pStyle w:val="Tabletext"/>
              <w:rPr>
                <w:rFonts w:cs="Arial"/>
                <w:color w:val="000000"/>
                <w:szCs w:val="16"/>
              </w:rPr>
            </w:pPr>
            <w:r>
              <w:rPr>
                <w:rFonts w:cs="Arial"/>
                <w:color w:val="000000"/>
                <w:szCs w:val="16"/>
              </w:rPr>
              <w:t>8 days, 8.30</w:t>
            </w:r>
            <w:r w:rsidR="00142F05">
              <w:rPr>
                <w:rFonts w:cs="Arial"/>
                <w:color w:val="000000"/>
                <w:szCs w:val="16"/>
              </w:rPr>
              <w:t xml:space="preserve"> am–</w:t>
            </w:r>
            <w:r>
              <w:rPr>
                <w:rFonts w:cs="Arial"/>
                <w:color w:val="000000"/>
                <w:szCs w:val="16"/>
              </w:rPr>
              <w:t>5.00</w:t>
            </w:r>
            <w:r w:rsidR="00142F05">
              <w:rPr>
                <w:rFonts w:cs="Arial"/>
                <w:color w:val="000000"/>
                <w:szCs w:val="16"/>
              </w:rPr>
              <w:t xml:space="preserve"> pm for four weeks</w:t>
            </w:r>
            <w:r>
              <w:rPr>
                <w:rFonts w:cs="Arial"/>
                <w:color w:val="000000"/>
                <w:szCs w:val="16"/>
              </w:rPr>
              <w:t xml:space="preserve"> (2 days per week)</w:t>
            </w:r>
            <w:r w:rsidR="00E33E35">
              <w:rPr>
                <w:rFonts w:cs="Arial"/>
                <w:color w:val="000000"/>
                <w:szCs w:val="16"/>
              </w:rPr>
              <w:t>;</w:t>
            </w:r>
            <w:r>
              <w:rPr>
                <w:rFonts w:cs="Arial"/>
                <w:color w:val="000000"/>
                <w:szCs w:val="16"/>
              </w:rPr>
              <w:t xml:space="preserve"> or 8 weeks (1 day per week)</w:t>
            </w:r>
            <w:r w:rsidR="00E33E35">
              <w:rPr>
                <w:rFonts w:cs="Arial"/>
                <w:color w:val="000000"/>
                <w:szCs w:val="16"/>
              </w:rPr>
              <w:t>;</w:t>
            </w:r>
            <w:r>
              <w:rPr>
                <w:rFonts w:cs="Arial"/>
                <w:color w:val="000000"/>
                <w:szCs w:val="16"/>
              </w:rPr>
              <w:t xml:space="preserve"> or</w:t>
            </w:r>
            <w:r w:rsidR="00E3166C">
              <w:rPr>
                <w:rFonts w:cs="Arial"/>
                <w:color w:val="000000"/>
                <w:szCs w:val="16"/>
              </w:rPr>
              <w:t xml:space="preserve"> </w:t>
            </w:r>
            <w:r>
              <w:rPr>
                <w:rFonts w:cs="Arial"/>
                <w:color w:val="000000"/>
                <w:szCs w:val="16"/>
              </w:rPr>
              <w:t>7</w:t>
            </w:r>
            <w:r w:rsidR="0041086D">
              <w:rPr>
                <w:rFonts w:cs="Arial"/>
                <w:color w:val="000000"/>
                <w:szCs w:val="16"/>
              </w:rPr>
              <w:t> </w:t>
            </w:r>
            <w:r>
              <w:rPr>
                <w:rFonts w:cs="Arial"/>
                <w:color w:val="000000"/>
                <w:szCs w:val="16"/>
              </w:rPr>
              <w:t>weeks (2 evenings per week</w:t>
            </w:r>
            <w:r w:rsidR="0070392E">
              <w:rPr>
                <w:rFonts w:cs="Arial"/>
                <w:color w:val="000000"/>
                <w:szCs w:val="16"/>
              </w:rPr>
              <w:t>,</w:t>
            </w:r>
            <w:r>
              <w:rPr>
                <w:rFonts w:cs="Arial"/>
                <w:color w:val="000000"/>
                <w:szCs w:val="16"/>
              </w:rPr>
              <w:t xml:space="preserve"> 5.30</w:t>
            </w:r>
            <w:r w:rsidR="00142F05">
              <w:rPr>
                <w:rFonts w:cs="Arial"/>
                <w:color w:val="000000"/>
                <w:szCs w:val="16"/>
              </w:rPr>
              <w:t xml:space="preserve"> pm–</w:t>
            </w:r>
            <w:r>
              <w:rPr>
                <w:rFonts w:cs="Arial"/>
                <w:color w:val="000000"/>
                <w:szCs w:val="16"/>
              </w:rPr>
              <w:t>9.00</w:t>
            </w:r>
            <w:r w:rsidR="0041086D">
              <w:rPr>
                <w:rFonts w:cs="Arial"/>
                <w:color w:val="000000"/>
                <w:szCs w:val="16"/>
              </w:rPr>
              <w:t> </w:t>
            </w:r>
            <w:r w:rsidR="00142F05">
              <w:rPr>
                <w:rFonts w:cs="Arial"/>
                <w:color w:val="000000"/>
                <w:szCs w:val="16"/>
              </w:rPr>
              <w:t>pm)</w:t>
            </w:r>
          </w:p>
        </w:tc>
        <w:tc>
          <w:tcPr>
            <w:tcW w:w="1701" w:type="dxa"/>
            <w:shd w:val="clear" w:color="auto" w:fill="DBE5F1" w:themeFill="accent1" w:themeFillTint="33"/>
          </w:tcPr>
          <w:p w:rsidR="00326248" w:rsidRDefault="00FE109F" w:rsidP="00A27B31">
            <w:pPr>
              <w:pStyle w:val="Tabletext"/>
              <w:rPr>
                <w:rFonts w:cs="Arial"/>
                <w:color w:val="000000"/>
                <w:szCs w:val="16"/>
              </w:rPr>
            </w:pPr>
            <w:r>
              <w:rPr>
                <w:rFonts w:cs="Arial"/>
                <w:color w:val="000000"/>
                <w:szCs w:val="16"/>
              </w:rPr>
              <w:t>$1</w:t>
            </w:r>
            <w:r w:rsidR="00326248">
              <w:rPr>
                <w:rFonts w:cs="Arial"/>
                <w:color w:val="000000"/>
                <w:szCs w:val="16"/>
              </w:rPr>
              <w:t>650</w:t>
            </w:r>
          </w:p>
        </w:tc>
        <w:tc>
          <w:tcPr>
            <w:tcW w:w="992" w:type="dxa"/>
            <w:shd w:val="clear" w:color="auto" w:fill="DBE5F1" w:themeFill="accent1" w:themeFillTint="33"/>
          </w:tcPr>
          <w:p w:rsidR="00326248" w:rsidRDefault="00326248" w:rsidP="0041086D">
            <w:pPr>
              <w:pStyle w:val="Tabletext"/>
              <w:jc w:val="center"/>
              <w:rPr>
                <w:rFonts w:cs="Arial"/>
                <w:color w:val="000000"/>
                <w:szCs w:val="16"/>
              </w:rPr>
            </w:pPr>
            <w:r>
              <w:rPr>
                <w:rFonts w:cs="Arial"/>
                <w:color w:val="000000"/>
                <w:szCs w:val="16"/>
              </w:rPr>
              <w:t>yes</w:t>
            </w:r>
          </w:p>
        </w:tc>
      </w:tr>
      <w:tr w:rsidR="00326248" w:rsidTr="00A27B31">
        <w:tc>
          <w:tcPr>
            <w:tcW w:w="567" w:type="dxa"/>
          </w:tcPr>
          <w:p w:rsidR="00326248" w:rsidRDefault="00326248" w:rsidP="0041086D">
            <w:pPr>
              <w:pStyle w:val="Tabletext"/>
            </w:pPr>
            <w:r>
              <w:t>21</w:t>
            </w:r>
          </w:p>
        </w:tc>
        <w:tc>
          <w:tcPr>
            <w:tcW w:w="1701" w:type="dxa"/>
          </w:tcPr>
          <w:p w:rsidR="00326248" w:rsidRDefault="0041086D" w:rsidP="0041086D">
            <w:pPr>
              <w:pStyle w:val="Tabletext"/>
              <w:rPr>
                <w:rFonts w:cs="Arial"/>
                <w:color w:val="000000"/>
                <w:szCs w:val="16"/>
              </w:rPr>
            </w:pPr>
            <w:r>
              <w:rPr>
                <w:rFonts w:cs="Arial"/>
                <w:color w:val="000000"/>
                <w:szCs w:val="16"/>
              </w:rPr>
              <w:t>In</w:t>
            </w:r>
            <w:r w:rsidR="00326248">
              <w:rPr>
                <w:rFonts w:cs="Arial"/>
                <w:color w:val="000000"/>
                <w:szCs w:val="16"/>
              </w:rPr>
              <w:t>-class &amp; online</w:t>
            </w:r>
          </w:p>
        </w:tc>
        <w:tc>
          <w:tcPr>
            <w:tcW w:w="3828" w:type="dxa"/>
          </w:tcPr>
          <w:p w:rsidR="00326248" w:rsidRDefault="00142F05" w:rsidP="0041086D">
            <w:pPr>
              <w:pStyle w:val="Tabletext"/>
              <w:rPr>
                <w:rFonts w:cs="Arial"/>
                <w:color w:val="000000"/>
                <w:szCs w:val="16"/>
              </w:rPr>
            </w:pPr>
            <w:r>
              <w:rPr>
                <w:rFonts w:cs="Arial"/>
                <w:color w:val="000000"/>
                <w:szCs w:val="16"/>
              </w:rPr>
              <w:t xml:space="preserve">3 months in-class; </w:t>
            </w:r>
            <w:r w:rsidR="00326248">
              <w:rPr>
                <w:rFonts w:cs="Arial"/>
                <w:color w:val="000000"/>
                <w:szCs w:val="16"/>
              </w:rPr>
              <w:t>4 months online; 7 days intensive</w:t>
            </w:r>
          </w:p>
        </w:tc>
        <w:tc>
          <w:tcPr>
            <w:tcW w:w="1701" w:type="dxa"/>
          </w:tcPr>
          <w:p w:rsidR="00326248" w:rsidRDefault="00180BC2" w:rsidP="00A27B31">
            <w:pPr>
              <w:pStyle w:val="Tabletext"/>
              <w:rPr>
                <w:rFonts w:cs="Arial"/>
                <w:color w:val="000000"/>
                <w:szCs w:val="16"/>
              </w:rPr>
            </w:pPr>
            <w:r>
              <w:rPr>
                <w:rFonts w:cs="Arial"/>
                <w:color w:val="000000"/>
                <w:szCs w:val="16"/>
              </w:rPr>
              <w:t>$1</w:t>
            </w:r>
            <w:r w:rsidR="00326248">
              <w:rPr>
                <w:rFonts w:cs="Arial"/>
                <w:color w:val="000000"/>
                <w:szCs w:val="16"/>
              </w:rPr>
              <w:t xml:space="preserve">700 in-class/ </w:t>
            </w:r>
            <w:r w:rsidR="00A27B31">
              <w:rPr>
                <w:rFonts w:cs="Arial"/>
                <w:color w:val="000000"/>
                <w:szCs w:val="16"/>
              </w:rPr>
              <w:br/>
            </w:r>
            <w:r w:rsidR="00326248">
              <w:rPr>
                <w:rFonts w:cs="Arial"/>
                <w:color w:val="000000"/>
                <w:szCs w:val="16"/>
              </w:rPr>
              <w:t>$800 online</w:t>
            </w:r>
          </w:p>
        </w:tc>
        <w:tc>
          <w:tcPr>
            <w:tcW w:w="992" w:type="dxa"/>
          </w:tcPr>
          <w:p w:rsidR="00326248" w:rsidRDefault="00326248" w:rsidP="0041086D">
            <w:pPr>
              <w:pStyle w:val="Tabletext"/>
              <w:jc w:val="center"/>
              <w:rPr>
                <w:rFonts w:cs="Arial"/>
                <w:color w:val="000000"/>
                <w:szCs w:val="16"/>
              </w:rPr>
            </w:pPr>
            <w:r>
              <w:rPr>
                <w:rFonts w:cs="Arial"/>
                <w:color w:val="000000"/>
                <w:szCs w:val="16"/>
              </w:rPr>
              <w:t>yes</w:t>
            </w:r>
          </w:p>
        </w:tc>
      </w:tr>
      <w:tr w:rsidR="00326248" w:rsidTr="00A27B31">
        <w:tc>
          <w:tcPr>
            <w:tcW w:w="567" w:type="dxa"/>
            <w:shd w:val="clear" w:color="auto" w:fill="DBE5F1" w:themeFill="accent1" w:themeFillTint="33"/>
          </w:tcPr>
          <w:p w:rsidR="00326248" w:rsidRDefault="00326248" w:rsidP="0041086D">
            <w:pPr>
              <w:pStyle w:val="Tabletext"/>
            </w:pPr>
            <w:r>
              <w:t>22</w:t>
            </w:r>
          </w:p>
        </w:tc>
        <w:tc>
          <w:tcPr>
            <w:tcW w:w="1701" w:type="dxa"/>
            <w:shd w:val="clear" w:color="auto" w:fill="DBE5F1" w:themeFill="accent1" w:themeFillTint="33"/>
          </w:tcPr>
          <w:p w:rsidR="00326248" w:rsidRDefault="0041086D" w:rsidP="0041086D">
            <w:pPr>
              <w:pStyle w:val="Tabletext"/>
              <w:rPr>
                <w:rFonts w:cs="Arial"/>
                <w:color w:val="000000"/>
                <w:szCs w:val="16"/>
              </w:rPr>
            </w:pPr>
            <w:r>
              <w:rPr>
                <w:rFonts w:cs="Arial"/>
                <w:color w:val="000000"/>
                <w:szCs w:val="16"/>
              </w:rPr>
              <w:t>Mixed</w:t>
            </w:r>
          </w:p>
        </w:tc>
        <w:tc>
          <w:tcPr>
            <w:tcW w:w="3828" w:type="dxa"/>
            <w:shd w:val="clear" w:color="auto" w:fill="DBE5F1" w:themeFill="accent1" w:themeFillTint="33"/>
          </w:tcPr>
          <w:p w:rsidR="00326248" w:rsidRDefault="00142F05" w:rsidP="0070392E">
            <w:pPr>
              <w:pStyle w:val="Tabletext"/>
              <w:rPr>
                <w:rFonts w:cs="Arial"/>
                <w:color w:val="000000"/>
                <w:szCs w:val="16"/>
              </w:rPr>
            </w:pPr>
            <w:r>
              <w:rPr>
                <w:rFonts w:cs="Arial"/>
                <w:color w:val="000000"/>
                <w:szCs w:val="16"/>
              </w:rPr>
              <w:t>6–12 months part-</w:t>
            </w:r>
            <w:r w:rsidR="00326248">
              <w:rPr>
                <w:rFonts w:cs="Arial"/>
                <w:color w:val="000000"/>
                <w:szCs w:val="16"/>
              </w:rPr>
              <w:t>time</w:t>
            </w:r>
          </w:p>
        </w:tc>
        <w:tc>
          <w:tcPr>
            <w:tcW w:w="1701" w:type="dxa"/>
            <w:shd w:val="clear" w:color="auto" w:fill="DBE5F1" w:themeFill="accent1" w:themeFillTint="33"/>
          </w:tcPr>
          <w:p w:rsidR="00326248" w:rsidRDefault="00180BC2" w:rsidP="00A27B31">
            <w:pPr>
              <w:pStyle w:val="Tabletext"/>
              <w:rPr>
                <w:rFonts w:cs="Arial"/>
                <w:color w:val="000000"/>
                <w:szCs w:val="16"/>
              </w:rPr>
            </w:pPr>
            <w:r>
              <w:rPr>
                <w:rFonts w:cs="Arial"/>
                <w:color w:val="000000"/>
                <w:szCs w:val="16"/>
              </w:rPr>
              <w:t>$3</w:t>
            </w:r>
            <w:r w:rsidR="00326248">
              <w:rPr>
                <w:rFonts w:cs="Arial"/>
                <w:color w:val="000000"/>
                <w:szCs w:val="16"/>
              </w:rPr>
              <w:t>500</w:t>
            </w:r>
          </w:p>
        </w:tc>
        <w:tc>
          <w:tcPr>
            <w:tcW w:w="992" w:type="dxa"/>
            <w:shd w:val="clear" w:color="auto" w:fill="DBE5F1" w:themeFill="accent1" w:themeFillTint="33"/>
          </w:tcPr>
          <w:p w:rsidR="00326248" w:rsidRDefault="00326248" w:rsidP="0041086D">
            <w:pPr>
              <w:pStyle w:val="Tabletext"/>
              <w:jc w:val="center"/>
              <w:rPr>
                <w:rFonts w:cs="Arial"/>
                <w:color w:val="000000"/>
                <w:szCs w:val="16"/>
              </w:rPr>
            </w:pPr>
            <w:r>
              <w:rPr>
                <w:rFonts w:cs="Arial"/>
                <w:color w:val="000000"/>
                <w:szCs w:val="16"/>
              </w:rPr>
              <w:t>yes</w:t>
            </w:r>
          </w:p>
        </w:tc>
      </w:tr>
      <w:tr w:rsidR="00326248" w:rsidTr="00A27B31">
        <w:tc>
          <w:tcPr>
            <w:tcW w:w="567" w:type="dxa"/>
            <w:shd w:val="clear" w:color="auto" w:fill="DBE5F1" w:themeFill="accent1" w:themeFillTint="33"/>
          </w:tcPr>
          <w:p w:rsidR="00326248" w:rsidRDefault="00326248" w:rsidP="0041086D">
            <w:pPr>
              <w:pStyle w:val="Tabletext"/>
            </w:pPr>
            <w:r>
              <w:t>23</w:t>
            </w:r>
          </w:p>
        </w:tc>
        <w:tc>
          <w:tcPr>
            <w:tcW w:w="1701" w:type="dxa"/>
            <w:shd w:val="clear" w:color="auto" w:fill="DBE5F1" w:themeFill="accent1" w:themeFillTint="33"/>
          </w:tcPr>
          <w:p w:rsidR="00326248" w:rsidRDefault="0041086D" w:rsidP="0041086D">
            <w:pPr>
              <w:pStyle w:val="Tabletext"/>
              <w:rPr>
                <w:rFonts w:cs="Arial"/>
                <w:color w:val="000000"/>
                <w:szCs w:val="16"/>
              </w:rPr>
            </w:pPr>
            <w:r>
              <w:rPr>
                <w:rFonts w:cs="Arial"/>
                <w:color w:val="000000"/>
                <w:szCs w:val="16"/>
              </w:rPr>
              <w:t>Online</w:t>
            </w:r>
          </w:p>
        </w:tc>
        <w:tc>
          <w:tcPr>
            <w:tcW w:w="3828" w:type="dxa"/>
            <w:shd w:val="clear" w:color="auto" w:fill="DBE5F1" w:themeFill="accent1" w:themeFillTint="33"/>
          </w:tcPr>
          <w:p w:rsidR="00326248" w:rsidRDefault="00326248" w:rsidP="0041086D">
            <w:pPr>
              <w:pStyle w:val="Tabletext"/>
              <w:rPr>
                <w:rFonts w:cs="Arial"/>
                <w:color w:val="000000"/>
                <w:szCs w:val="16"/>
              </w:rPr>
            </w:pPr>
            <w:r>
              <w:rPr>
                <w:rFonts w:cs="Arial"/>
                <w:color w:val="000000"/>
                <w:szCs w:val="16"/>
              </w:rPr>
              <w:t>up to 12 months online access</w:t>
            </w:r>
          </w:p>
        </w:tc>
        <w:tc>
          <w:tcPr>
            <w:tcW w:w="1701" w:type="dxa"/>
            <w:shd w:val="clear" w:color="auto" w:fill="DBE5F1" w:themeFill="accent1" w:themeFillTint="33"/>
          </w:tcPr>
          <w:p w:rsidR="00326248" w:rsidRDefault="00326248" w:rsidP="0041086D">
            <w:pPr>
              <w:pStyle w:val="Tabletext"/>
              <w:rPr>
                <w:rFonts w:cs="Arial"/>
                <w:color w:val="000000"/>
                <w:szCs w:val="16"/>
              </w:rPr>
            </w:pPr>
            <w:r>
              <w:rPr>
                <w:rFonts w:cs="Arial"/>
                <w:color w:val="000000"/>
                <w:szCs w:val="16"/>
              </w:rPr>
              <w:t>$600</w:t>
            </w:r>
          </w:p>
        </w:tc>
        <w:tc>
          <w:tcPr>
            <w:tcW w:w="992" w:type="dxa"/>
            <w:shd w:val="clear" w:color="auto" w:fill="DBE5F1" w:themeFill="accent1" w:themeFillTint="33"/>
          </w:tcPr>
          <w:p w:rsidR="00326248" w:rsidRDefault="00326248" w:rsidP="0041086D">
            <w:pPr>
              <w:pStyle w:val="Tabletext"/>
              <w:jc w:val="center"/>
              <w:rPr>
                <w:rFonts w:cs="Arial"/>
                <w:color w:val="000000"/>
                <w:szCs w:val="16"/>
              </w:rPr>
            </w:pPr>
            <w:r>
              <w:rPr>
                <w:rFonts w:cs="Arial"/>
                <w:color w:val="000000"/>
                <w:szCs w:val="16"/>
              </w:rPr>
              <w:t>not found</w:t>
            </w:r>
          </w:p>
        </w:tc>
      </w:tr>
      <w:tr w:rsidR="00326248" w:rsidTr="00A27B31">
        <w:tc>
          <w:tcPr>
            <w:tcW w:w="567" w:type="dxa"/>
          </w:tcPr>
          <w:p w:rsidR="00326248" w:rsidRDefault="00326248" w:rsidP="0041086D">
            <w:pPr>
              <w:pStyle w:val="Tabletext"/>
            </w:pPr>
            <w:r>
              <w:t>24</w:t>
            </w:r>
          </w:p>
        </w:tc>
        <w:tc>
          <w:tcPr>
            <w:tcW w:w="1701" w:type="dxa"/>
          </w:tcPr>
          <w:p w:rsidR="00326248" w:rsidRDefault="0041086D" w:rsidP="0041086D">
            <w:pPr>
              <w:pStyle w:val="Tabletext"/>
              <w:rPr>
                <w:rFonts w:cs="Arial"/>
                <w:color w:val="000000"/>
                <w:szCs w:val="16"/>
              </w:rPr>
            </w:pPr>
            <w:r>
              <w:rPr>
                <w:rFonts w:cs="Arial"/>
                <w:color w:val="000000"/>
                <w:szCs w:val="16"/>
              </w:rPr>
              <w:t>In</w:t>
            </w:r>
            <w:r w:rsidR="00326248">
              <w:rPr>
                <w:rFonts w:cs="Arial"/>
                <w:color w:val="000000"/>
                <w:szCs w:val="16"/>
              </w:rPr>
              <w:t>-class</w:t>
            </w:r>
          </w:p>
        </w:tc>
        <w:tc>
          <w:tcPr>
            <w:tcW w:w="3828" w:type="dxa"/>
          </w:tcPr>
          <w:p w:rsidR="00326248" w:rsidRDefault="00326248" w:rsidP="0041086D">
            <w:pPr>
              <w:pStyle w:val="Tabletext"/>
              <w:rPr>
                <w:rFonts w:cs="Arial"/>
                <w:color w:val="000000"/>
                <w:szCs w:val="16"/>
              </w:rPr>
            </w:pPr>
            <w:r>
              <w:rPr>
                <w:rFonts w:cs="Arial"/>
                <w:color w:val="000000"/>
                <w:szCs w:val="16"/>
              </w:rPr>
              <w:t>12 days of training:1 day per week (including Saturday)</w:t>
            </w:r>
            <w:r w:rsidR="00E33E35">
              <w:rPr>
                <w:rFonts w:cs="Arial"/>
                <w:color w:val="000000"/>
                <w:szCs w:val="16"/>
              </w:rPr>
              <w:t>,</w:t>
            </w:r>
            <w:r>
              <w:rPr>
                <w:rFonts w:cs="Arial"/>
                <w:color w:val="000000"/>
                <w:szCs w:val="16"/>
              </w:rPr>
              <w:t xml:space="preserve"> 9.30</w:t>
            </w:r>
            <w:r w:rsidR="00142F05">
              <w:rPr>
                <w:rFonts w:cs="Arial"/>
                <w:color w:val="000000"/>
                <w:szCs w:val="16"/>
              </w:rPr>
              <w:t xml:space="preserve"> am–</w:t>
            </w:r>
            <w:r>
              <w:rPr>
                <w:rFonts w:cs="Arial"/>
                <w:color w:val="000000"/>
                <w:szCs w:val="16"/>
              </w:rPr>
              <w:t>4</w:t>
            </w:r>
            <w:r w:rsidR="00142F05">
              <w:rPr>
                <w:rFonts w:cs="Arial"/>
                <w:color w:val="000000"/>
                <w:szCs w:val="16"/>
              </w:rPr>
              <w:t>.</w:t>
            </w:r>
            <w:r>
              <w:rPr>
                <w:rFonts w:cs="Arial"/>
                <w:color w:val="000000"/>
                <w:szCs w:val="16"/>
              </w:rPr>
              <w:t>30</w:t>
            </w:r>
            <w:r w:rsidR="00142F05">
              <w:rPr>
                <w:rFonts w:cs="Arial"/>
                <w:color w:val="000000"/>
                <w:szCs w:val="16"/>
              </w:rPr>
              <w:t xml:space="preserve"> </w:t>
            </w:r>
            <w:r>
              <w:rPr>
                <w:rFonts w:cs="Arial"/>
                <w:color w:val="000000"/>
                <w:szCs w:val="16"/>
              </w:rPr>
              <w:t>pm</w:t>
            </w:r>
          </w:p>
        </w:tc>
        <w:tc>
          <w:tcPr>
            <w:tcW w:w="1701" w:type="dxa"/>
          </w:tcPr>
          <w:p w:rsidR="00326248" w:rsidRDefault="00326248" w:rsidP="00A27B31">
            <w:pPr>
              <w:pStyle w:val="Tabletext"/>
              <w:rPr>
                <w:rFonts w:cs="Arial"/>
                <w:color w:val="000000"/>
                <w:szCs w:val="16"/>
              </w:rPr>
            </w:pPr>
            <w:r>
              <w:rPr>
                <w:rFonts w:cs="Arial"/>
                <w:color w:val="000000"/>
                <w:szCs w:val="16"/>
              </w:rPr>
              <w:t>$2630</w:t>
            </w:r>
          </w:p>
        </w:tc>
        <w:tc>
          <w:tcPr>
            <w:tcW w:w="992" w:type="dxa"/>
          </w:tcPr>
          <w:p w:rsidR="00326248" w:rsidRDefault="00326248" w:rsidP="0041086D">
            <w:pPr>
              <w:pStyle w:val="Tabletext"/>
              <w:jc w:val="center"/>
              <w:rPr>
                <w:rFonts w:cs="Arial"/>
                <w:color w:val="000000"/>
                <w:szCs w:val="16"/>
              </w:rPr>
            </w:pPr>
            <w:r>
              <w:rPr>
                <w:rFonts w:cs="Arial"/>
                <w:color w:val="000000"/>
                <w:szCs w:val="16"/>
              </w:rPr>
              <w:t>yes</w:t>
            </w:r>
          </w:p>
        </w:tc>
      </w:tr>
      <w:tr w:rsidR="00326248" w:rsidTr="00A27B31">
        <w:tc>
          <w:tcPr>
            <w:tcW w:w="567" w:type="dxa"/>
            <w:shd w:val="clear" w:color="auto" w:fill="DBE5F1" w:themeFill="accent1" w:themeFillTint="33"/>
          </w:tcPr>
          <w:p w:rsidR="00326248" w:rsidRDefault="00326248" w:rsidP="0041086D">
            <w:pPr>
              <w:pStyle w:val="Tabletext"/>
            </w:pPr>
            <w:r>
              <w:t>25</w:t>
            </w:r>
          </w:p>
        </w:tc>
        <w:tc>
          <w:tcPr>
            <w:tcW w:w="1701" w:type="dxa"/>
            <w:shd w:val="clear" w:color="auto" w:fill="DBE5F1" w:themeFill="accent1" w:themeFillTint="33"/>
          </w:tcPr>
          <w:p w:rsidR="00326248" w:rsidRDefault="0041086D" w:rsidP="0041086D">
            <w:pPr>
              <w:pStyle w:val="Tabletext"/>
              <w:rPr>
                <w:rFonts w:cs="Arial"/>
                <w:color w:val="000000"/>
                <w:szCs w:val="16"/>
              </w:rPr>
            </w:pPr>
            <w:r>
              <w:rPr>
                <w:rFonts w:cs="Arial"/>
                <w:color w:val="000000"/>
                <w:szCs w:val="16"/>
              </w:rPr>
              <w:t>In</w:t>
            </w:r>
            <w:r w:rsidR="00326248">
              <w:rPr>
                <w:rFonts w:cs="Arial"/>
                <w:color w:val="000000"/>
                <w:szCs w:val="16"/>
              </w:rPr>
              <w:t>-class</w:t>
            </w:r>
          </w:p>
        </w:tc>
        <w:tc>
          <w:tcPr>
            <w:tcW w:w="3828" w:type="dxa"/>
            <w:shd w:val="clear" w:color="auto" w:fill="DBE5F1" w:themeFill="accent1" w:themeFillTint="33"/>
          </w:tcPr>
          <w:p w:rsidR="00326248" w:rsidRDefault="00326248" w:rsidP="0070392E">
            <w:pPr>
              <w:pStyle w:val="Tabletext"/>
              <w:rPr>
                <w:rFonts w:cs="Arial"/>
                <w:color w:val="000000"/>
                <w:szCs w:val="16"/>
              </w:rPr>
            </w:pPr>
            <w:r>
              <w:rPr>
                <w:rFonts w:cs="Arial"/>
                <w:color w:val="000000"/>
                <w:szCs w:val="16"/>
              </w:rPr>
              <w:t>3 months (1 four-day workshop per month</w:t>
            </w:r>
            <w:r w:rsidR="00E33E35">
              <w:rPr>
                <w:rFonts w:cs="Arial"/>
                <w:color w:val="000000"/>
                <w:szCs w:val="16"/>
              </w:rPr>
              <w:t>,</w:t>
            </w:r>
            <w:r>
              <w:rPr>
                <w:rFonts w:cs="Arial"/>
                <w:color w:val="000000"/>
                <w:szCs w:val="16"/>
              </w:rPr>
              <w:t xml:space="preserve"> 8.00</w:t>
            </w:r>
            <w:r w:rsidR="0041086D">
              <w:rPr>
                <w:rFonts w:cs="Arial"/>
                <w:color w:val="000000"/>
                <w:szCs w:val="16"/>
              </w:rPr>
              <w:t> </w:t>
            </w:r>
            <w:r w:rsidR="00142F05">
              <w:rPr>
                <w:rFonts w:cs="Arial"/>
                <w:color w:val="000000"/>
                <w:szCs w:val="16"/>
              </w:rPr>
              <w:t>am–</w:t>
            </w:r>
            <w:r>
              <w:rPr>
                <w:rFonts w:cs="Arial"/>
                <w:color w:val="000000"/>
                <w:szCs w:val="16"/>
              </w:rPr>
              <w:t>4.00</w:t>
            </w:r>
            <w:r w:rsidR="00142F05">
              <w:rPr>
                <w:rFonts w:cs="Arial"/>
                <w:color w:val="000000"/>
                <w:szCs w:val="16"/>
              </w:rPr>
              <w:t xml:space="preserve"> </w:t>
            </w:r>
            <w:r>
              <w:rPr>
                <w:rFonts w:cs="Arial"/>
                <w:color w:val="000000"/>
                <w:szCs w:val="16"/>
              </w:rPr>
              <w:t>pm)</w:t>
            </w:r>
          </w:p>
        </w:tc>
        <w:tc>
          <w:tcPr>
            <w:tcW w:w="1701" w:type="dxa"/>
            <w:shd w:val="clear" w:color="auto" w:fill="DBE5F1" w:themeFill="accent1" w:themeFillTint="33"/>
          </w:tcPr>
          <w:p w:rsidR="00326248" w:rsidRDefault="00180BC2" w:rsidP="00A27B31">
            <w:pPr>
              <w:pStyle w:val="Tabletext"/>
              <w:rPr>
                <w:rFonts w:cs="Arial"/>
                <w:color w:val="000000"/>
                <w:szCs w:val="16"/>
              </w:rPr>
            </w:pPr>
            <w:r>
              <w:rPr>
                <w:rFonts w:cs="Arial"/>
                <w:color w:val="000000"/>
                <w:szCs w:val="16"/>
              </w:rPr>
              <w:t>$1</w:t>
            </w:r>
            <w:r w:rsidR="00326248">
              <w:rPr>
                <w:rFonts w:cs="Arial"/>
                <w:color w:val="000000"/>
                <w:szCs w:val="16"/>
              </w:rPr>
              <w:t>800</w:t>
            </w:r>
          </w:p>
        </w:tc>
        <w:tc>
          <w:tcPr>
            <w:tcW w:w="992" w:type="dxa"/>
            <w:shd w:val="clear" w:color="auto" w:fill="DBE5F1" w:themeFill="accent1" w:themeFillTint="33"/>
          </w:tcPr>
          <w:p w:rsidR="00326248" w:rsidRDefault="00326248" w:rsidP="0041086D">
            <w:pPr>
              <w:pStyle w:val="Tabletext"/>
              <w:jc w:val="center"/>
              <w:rPr>
                <w:rFonts w:cs="Arial"/>
                <w:color w:val="000000"/>
                <w:szCs w:val="16"/>
              </w:rPr>
            </w:pPr>
            <w:r>
              <w:rPr>
                <w:rFonts w:cs="Arial"/>
                <w:color w:val="000000"/>
                <w:szCs w:val="16"/>
              </w:rPr>
              <w:t>yes</w:t>
            </w:r>
          </w:p>
        </w:tc>
      </w:tr>
    </w:tbl>
    <w:p w:rsidR="00A125D9" w:rsidRDefault="00A125D9" w:rsidP="00A27B31">
      <w:pPr>
        <w:pStyle w:val="Source"/>
      </w:pPr>
      <w:r>
        <w:t>Source:</w:t>
      </w:r>
      <w:r w:rsidR="00A27B31">
        <w:tab/>
      </w:r>
      <w:r>
        <w:t>Provider websites and results of mystery shopping exercise.</w:t>
      </w:r>
    </w:p>
    <w:p w:rsidR="00216BB4" w:rsidRDefault="00216BB4" w:rsidP="00A27B31">
      <w:pPr>
        <w:pStyle w:val="Heading2"/>
      </w:pPr>
      <w:bookmarkStart w:id="71" w:name="_Toc381103193"/>
      <w:r>
        <w:t>Pros and co</w:t>
      </w:r>
      <w:r w:rsidR="00E33E35">
        <w:t>ns of short-</w:t>
      </w:r>
      <w:r>
        <w:t xml:space="preserve">duration </w:t>
      </w:r>
      <w:r w:rsidRPr="00A27B31">
        <w:t>courses</w:t>
      </w:r>
      <w:bookmarkEnd w:id="71"/>
    </w:p>
    <w:p w:rsidR="00216BB4" w:rsidRDefault="00E33E35" w:rsidP="00216BB4">
      <w:pPr>
        <w:pStyle w:val="Text"/>
      </w:pPr>
      <w:r>
        <w:t>Courses of s</w:t>
      </w:r>
      <w:r w:rsidR="00216BB4">
        <w:t xml:space="preserve">hort duration may be </w:t>
      </w:r>
      <w:r>
        <w:t xml:space="preserve">those which have been </w:t>
      </w:r>
      <w:r w:rsidR="00216BB4">
        <w:t>determined to be less than the commonly accepted nominal hours or are accelerated to recognise existing knowledge and skill</w:t>
      </w:r>
      <w:r w:rsidR="002B01D0">
        <w:t>s</w:t>
      </w:r>
      <w:r w:rsidR="00216BB4">
        <w:t xml:space="preserve">. </w:t>
      </w:r>
      <w:r w:rsidR="000C4975">
        <w:t xml:space="preserve">We asked </w:t>
      </w:r>
      <w:r w:rsidR="00AA7F1C">
        <w:t>our</w:t>
      </w:r>
      <w:r w:rsidR="000C4975">
        <w:t xml:space="preserve"> provi</w:t>
      </w:r>
      <w:r>
        <w:t>ders what they thought of short-</w:t>
      </w:r>
      <w:r w:rsidR="000C4975">
        <w:t>duration courses</w:t>
      </w:r>
      <w:r>
        <w:t>.</w:t>
      </w:r>
      <w:r w:rsidR="00AA7F1C">
        <w:rPr>
          <w:rStyle w:val="FootnoteReference"/>
        </w:rPr>
        <w:footnoteReference w:id="7"/>
      </w:r>
      <w:r w:rsidR="000C4975">
        <w:t xml:space="preserve"> </w:t>
      </w:r>
      <w:r w:rsidR="00216BB4">
        <w:t>The</w:t>
      </w:r>
      <w:r w:rsidR="000C4975">
        <w:t>y</w:t>
      </w:r>
      <w:r w:rsidR="00216BB4">
        <w:t xml:space="preserve"> were of the view </w:t>
      </w:r>
      <w:r w:rsidR="008A032F">
        <w:t xml:space="preserve">that </w:t>
      </w:r>
      <w:r>
        <w:t>such</w:t>
      </w:r>
      <w:r w:rsidR="000C4975">
        <w:t xml:space="preserve"> courses </w:t>
      </w:r>
      <w:r w:rsidR="00A36340">
        <w:t xml:space="preserve">were not sufficiently </w:t>
      </w:r>
      <w:r w:rsidR="00216BB4">
        <w:t xml:space="preserve">long to provide students with repeated practice (in practical workplaces or appropriate simulations), </w:t>
      </w:r>
      <w:r>
        <w:t>which</w:t>
      </w:r>
      <w:r w:rsidR="00216BB4">
        <w:t xml:space="preserve"> reduced </w:t>
      </w:r>
      <w:r w:rsidR="002B01D0">
        <w:t>students</w:t>
      </w:r>
      <w:r w:rsidR="00D52B39">
        <w:t>’</w:t>
      </w:r>
      <w:r w:rsidR="00216BB4">
        <w:t xml:space="preserve"> ability to learn and absorb underpinning </w:t>
      </w:r>
      <w:r w:rsidR="00216BB4">
        <w:lastRenderedPageBreak/>
        <w:t xml:space="preserve">knowledge. </w:t>
      </w:r>
      <w:r w:rsidR="00A36340">
        <w:t xml:space="preserve">When students gained qualifications without </w:t>
      </w:r>
      <w:r w:rsidR="002B01D0">
        <w:t xml:space="preserve">having </w:t>
      </w:r>
      <w:r w:rsidR="00A36340">
        <w:t>sufficient depth and breadth of learning and practice</w:t>
      </w:r>
      <w:r>
        <w:t>,</w:t>
      </w:r>
      <w:r w:rsidR="00A36340">
        <w:t xml:space="preserve"> this </w:t>
      </w:r>
      <w:r w:rsidR="000C4975">
        <w:t xml:space="preserve">also </w:t>
      </w:r>
      <w:r w:rsidR="00A36340">
        <w:t xml:space="preserve">compromised the value of the qualification. </w:t>
      </w:r>
      <w:r w:rsidR="000C4975">
        <w:t>T</w:t>
      </w:r>
      <w:r w:rsidR="002B01D0">
        <w:t>here were some exceptions, one such being</w:t>
      </w:r>
      <w:r w:rsidR="00216BB4">
        <w:t xml:space="preserve"> the case of existing workers who had substantial amounts of experience in related skills. For example, </w:t>
      </w:r>
      <w:r>
        <w:t>in e</w:t>
      </w:r>
      <w:r w:rsidR="000C4975">
        <w:t xml:space="preserve">lectrical programs it was felt that </w:t>
      </w:r>
      <w:r w:rsidR="00216BB4">
        <w:t xml:space="preserve">accelerated </w:t>
      </w:r>
      <w:r w:rsidR="00261331">
        <w:t xml:space="preserve">delivery </w:t>
      </w:r>
      <w:r w:rsidR="000C4975">
        <w:t xml:space="preserve">was </w:t>
      </w:r>
      <w:r w:rsidR="00216BB4">
        <w:t xml:space="preserve">suitable for students who </w:t>
      </w:r>
      <w:r w:rsidR="0070392E">
        <w:t xml:space="preserve">had </w:t>
      </w:r>
      <w:r w:rsidR="00216BB4">
        <w:t xml:space="preserve">came </w:t>
      </w:r>
      <w:r w:rsidR="0070392E">
        <w:t>from</w:t>
      </w:r>
      <w:r w:rsidR="00216BB4">
        <w:t xml:space="preserve"> the navy </w:t>
      </w:r>
      <w:r w:rsidR="000C4975">
        <w:t xml:space="preserve">(where they had acquired relevant qualifications and experience) </w:t>
      </w:r>
      <w:r w:rsidR="00216BB4">
        <w:t>and were looking to get their electrical qualifications and licence</w:t>
      </w:r>
      <w:r w:rsidR="000C4975">
        <w:t>.</w:t>
      </w:r>
      <w:r w:rsidR="00216BB4">
        <w:t xml:space="preserve"> </w:t>
      </w:r>
    </w:p>
    <w:p w:rsidR="00024DFF" w:rsidRDefault="00E33E35" w:rsidP="00024DFF">
      <w:pPr>
        <w:pStyle w:val="Text"/>
      </w:pPr>
      <w:r>
        <w:t>Generally,</w:t>
      </w:r>
      <w:r w:rsidR="00024DFF">
        <w:t xml:space="preserve"> </w:t>
      </w:r>
      <w:r w:rsidR="00216BB4">
        <w:t xml:space="preserve">few advantages </w:t>
      </w:r>
      <w:r>
        <w:t>were identified for short-</w:t>
      </w:r>
      <w:r w:rsidR="00216BB4">
        <w:t>duration courses</w:t>
      </w:r>
      <w:r w:rsidR="00024DFF">
        <w:t xml:space="preserve"> in aged care</w:t>
      </w:r>
      <w:r w:rsidR="00216BB4">
        <w:t xml:space="preserve">, as many </w:t>
      </w:r>
      <w:r w:rsidR="00603C42">
        <w:t xml:space="preserve">of the courses </w:t>
      </w:r>
      <w:r w:rsidR="00024DFF">
        <w:t>do</w:t>
      </w:r>
      <w:r w:rsidR="00D13680">
        <w:t xml:space="preserve"> not support any condensed time</w:t>
      </w:r>
      <w:r w:rsidR="00216BB4">
        <w:t xml:space="preserve">frames. However, it was acknowledged that some students could finish </w:t>
      </w:r>
      <w:r w:rsidR="00D13680" w:rsidRPr="00A27B31">
        <w:t>competencies</w:t>
      </w:r>
      <w:r w:rsidR="00D13680">
        <w:t xml:space="preserve"> </w:t>
      </w:r>
      <w:r w:rsidR="00216BB4">
        <w:t xml:space="preserve">more quickly than others and that for these students </w:t>
      </w:r>
      <w:r w:rsidR="00603C42">
        <w:t>there should be some re</w:t>
      </w:r>
      <w:r w:rsidR="00A15DE1">
        <w:t>structuring of the course to enable their accelerated completion. This did not mean that the course needed to be condensed</w:t>
      </w:r>
      <w:r w:rsidR="00261331">
        <w:t>; rather</w:t>
      </w:r>
      <w:r w:rsidR="00603C42">
        <w:t>,</w:t>
      </w:r>
      <w:r w:rsidR="00A15DE1">
        <w:t xml:space="preserve"> that more flexible methods needed to be applied to enable them to progress quickly through the learning.</w:t>
      </w:r>
      <w:r w:rsidR="00E3166C">
        <w:t xml:space="preserve"> </w:t>
      </w:r>
      <w:r w:rsidR="00603C42">
        <w:t>On the other hand, the advantage for shorter-duration b</w:t>
      </w:r>
      <w:r w:rsidR="00024DFF">
        <w:t>usiness courses w</w:t>
      </w:r>
      <w:r w:rsidR="00603C42">
        <w:t xml:space="preserve">as that it </w:t>
      </w:r>
      <w:r w:rsidR="00024DFF">
        <w:t>help</w:t>
      </w:r>
      <w:r w:rsidR="00603C42">
        <w:t>ed</w:t>
      </w:r>
      <w:r w:rsidR="00024DFF">
        <w:t xml:space="preserve"> students who wanted to articulate into degree courses. </w:t>
      </w:r>
      <w:r w:rsidR="008A032F">
        <w:t xml:space="preserve">One provider reported that where </w:t>
      </w:r>
      <w:r w:rsidR="00261331">
        <w:t>a D</w:t>
      </w:r>
      <w:r w:rsidR="00024DFF">
        <w:t xml:space="preserve">iploma </w:t>
      </w:r>
      <w:r w:rsidR="00AA7F1C">
        <w:t xml:space="preserve">in Business </w:t>
      </w:r>
      <w:r w:rsidR="00024DFF">
        <w:t>had originally taken two years to complete</w:t>
      </w:r>
      <w:r w:rsidR="008A032F">
        <w:t xml:space="preserve">, </w:t>
      </w:r>
      <w:r w:rsidR="00603C42">
        <w:t xml:space="preserve">the </w:t>
      </w:r>
      <w:r w:rsidR="008A032F">
        <w:t xml:space="preserve">course </w:t>
      </w:r>
      <w:r w:rsidR="00024DFF">
        <w:t xml:space="preserve">had </w:t>
      </w:r>
      <w:r w:rsidR="00AA7F1C">
        <w:t xml:space="preserve">now </w:t>
      </w:r>
      <w:r w:rsidR="00024DFF">
        <w:t>been reduce</w:t>
      </w:r>
      <w:r w:rsidR="00AA7F1C">
        <w:t>d</w:t>
      </w:r>
      <w:r w:rsidR="00024DFF">
        <w:t xml:space="preserve"> to between 12 and 18 months</w:t>
      </w:r>
      <w:r w:rsidR="008A032F">
        <w:t xml:space="preserve">, mainly because </w:t>
      </w:r>
      <w:r w:rsidR="00603C42">
        <w:t>a</w:t>
      </w:r>
      <w:r w:rsidR="008A032F">
        <w:t xml:space="preserve"> student </w:t>
      </w:r>
      <w:r w:rsidR="00261331">
        <w:t xml:space="preserve">who wanted to articulate into </w:t>
      </w:r>
      <w:r w:rsidR="00024DFF">
        <w:t>a university degree</w:t>
      </w:r>
      <w:r w:rsidR="008A032F">
        <w:t xml:space="preserve"> would only get advanced standing for 12 months of the course</w:t>
      </w:r>
      <w:r w:rsidR="00024DFF">
        <w:t>.</w:t>
      </w:r>
      <w:r w:rsidR="008A032F">
        <w:t xml:space="preserve"> In this case it made sense to reduce the original </w:t>
      </w:r>
      <w:r w:rsidR="00603C42">
        <w:t xml:space="preserve">duration of the </w:t>
      </w:r>
      <w:r w:rsidR="008A032F">
        <w:t>course.</w:t>
      </w:r>
      <w:r w:rsidR="00E3166C">
        <w:t xml:space="preserve"> </w:t>
      </w:r>
    </w:p>
    <w:p w:rsidR="00A27B31" w:rsidRDefault="00A27B31" w:rsidP="00A27B31">
      <w:pPr>
        <w:pStyle w:val="Textlessbefore"/>
      </w:pPr>
    </w:p>
    <w:tbl>
      <w:tblPr>
        <w:tblStyle w:val="TableGrid"/>
        <w:tblW w:w="8789" w:type="dxa"/>
        <w:tblInd w:w="22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227" w:type="dxa"/>
          <w:right w:w="227" w:type="dxa"/>
        </w:tblCellMar>
        <w:tblLook w:val="04A0" w:firstRow="1" w:lastRow="0" w:firstColumn="1" w:lastColumn="0" w:noHBand="0" w:noVBand="1"/>
      </w:tblPr>
      <w:tblGrid>
        <w:gridCol w:w="8789"/>
      </w:tblGrid>
      <w:tr w:rsidR="00A27B31" w:rsidTr="00A27B31">
        <w:tc>
          <w:tcPr>
            <w:tcW w:w="9004" w:type="dxa"/>
            <w:shd w:val="clear" w:color="auto" w:fill="000000" w:themeFill="text1"/>
          </w:tcPr>
          <w:p w:rsidR="00A27B31" w:rsidRDefault="00A27B31" w:rsidP="00A27B31">
            <w:pPr>
              <w:pStyle w:val="Tablehead1"/>
            </w:pPr>
            <w:r w:rsidRPr="00603C42">
              <w:rPr>
                <w:szCs w:val="19"/>
              </w:rPr>
              <w:t>What practitioners say</w:t>
            </w:r>
          </w:p>
        </w:tc>
      </w:tr>
      <w:tr w:rsidR="00A27B31" w:rsidTr="00A27B31">
        <w:tc>
          <w:tcPr>
            <w:tcW w:w="9004" w:type="dxa"/>
          </w:tcPr>
          <w:p w:rsidR="00A27B31" w:rsidRPr="00671BF2" w:rsidRDefault="00A27B31" w:rsidP="00A27B31">
            <w:pPr>
              <w:pStyle w:val="Tablehead1"/>
              <w:spacing w:before="120"/>
            </w:pPr>
            <w:r w:rsidRPr="00671BF2">
              <w:t>The p</w:t>
            </w:r>
            <w:r>
              <w:t>ros and cons of short-</w:t>
            </w:r>
            <w:r w:rsidRPr="00671BF2">
              <w:t>duration courses</w:t>
            </w:r>
          </w:p>
          <w:p w:rsidR="00A27B31" w:rsidRPr="00024DFF" w:rsidRDefault="00A27B31" w:rsidP="00A27B31">
            <w:pPr>
              <w:pStyle w:val="boxparastyle"/>
            </w:pPr>
            <w:r w:rsidRPr="00024DFF">
              <w:t>Short dur</w:t>
            </w:r>
            <w:r>
              <w:t>ation courses are okay for long-</w:t>
            </w:r>
            <w:r w:rsidRPr="00024DFF">
              <w:t xml:space="preserve">term existing workers. If they are good </w:t>
            </w:r>
            <w:r>
              <w:t>students they should be fast-tracked.</w:t>
            </w:r>
            <w:r>
              <w:br/>
            </w:r>
            <w:r>
              <w:tab/>
              <w:t>(A</w:t>
            </w:r>
            <w:r w:rsidRPr="00603C42">
              <w:t>ged care, private provider)</w:t>
            </w:r>
          </w:p>
          <w:p w:rsidR="00A27B31" w:rsidRPr="00024DFF" w:rsidRDefault="00A27B31" w:rsidP="00A27B31">
            <w:pPr>
              <w:pStyle w:val="boxparastyle"/>
            </w:pPr>
            <w:r w:rsidRPr="00024DFF">
              <w:t>Short duration courses get student</w:t>
            </w:r>
            <w:r>
              <w:t>s</w:t>
            </w:r>
            <w:r w:rsidRPr="00024DFF">
              <w:t xml:space="preserve"> out in </w:t>
            </w:r>
            <w:r>
              <w:t>the market place more quickly</w:t>
            </w:r>
            <w:r w:rsidRPr="00024DFF">
              <w:t>. Our advanced diploma can be delivered in one term. Another term is available to do assignments and complete assessments.</w:t>
            </w:r>
            <w:r>
              <w:t xml:space="preserve"> </w:t>
            </w:r>
            <w:r w:rsidRPr="00024DFF">
              <w:t>A disadvantage could be that it might be too short to absorb all the material. Industry might have a negative perception</w:t>
            </w:r>
            <w:r>
              <w:t xml:space="preserve"> of such courses</w:t>
            </w:r>
            <w:r w:rsidRPr="00024DFF">
              <w:t>.</w:t>
            </w:r>
            <w:r>
              <w:br/>
            </w:r>
            <w:r>
              <w:tab/>
              <w:t>(B</w:t>
            </w:r>
            <w:r w:rsidRPr="00865DD2">
              <w:t>usiness, public provider)</w:t>
            </w:r>
          </w:p>
          <w:p w:rsidR="00A27B31" w:rsidRPr="00024DFF" w:rsidRDefault="00A27B31" w:rsidP="00A27B31">
            <w:pPr>
              <w:pStyle w:val="boxparastyle"/>
            </w:pPr>
            <w:r w:rsidRPr="00024DFF">
              <w:t xml:space="preserve">Condensed training works with people with previous experience. Those who come out of the navy have 95% of knowledge </w:t>
            </w:r>
            <w:r>
              <w:t xml:space="preserve">[in communications] </w:t>
            </w:r>
            <w:r w:rsidRPr="00024DFF">
              <w:t xml:space="preserve">so they can get significant </w:t>
            </w:r>
            <w:r>
              <w:t>RPL in knowledge and experience.</w:t>
            </w:r>
            <w:r>
              <w:br/>
            </w:r>
            <w:r>
              <w:tab/>
            </w:r>
            <w:r w:rsidRPr="00865DD2">
              <w:t>(</w:t>
            </w:r>
            <w:r>
              <w:t>E</w:t>
            </w:r>
            <w:r w:rsidRPr="00865DD2">
              <w:t>lectrical, public provider)</w:t>
            </w:r>
          </w:p>
          <w:p w:rsidR="00A27B31" w:rsidRPr="00024DFF" w:rsidRDefault="00A27B31" w:rsidP="00A27B31">
            <w:pPr>
              <w:pStyle w:val="boxparastyle"/>
            </w:pPr>
            <w:r>
              <w:t xml:space="preserve">Our course originally took </w:t>
            </w:r>
            <w:r w:rsidRPr="00024DFF">
              <w:t xml:space="preserve">10 weeks. Found this to be no good. Now it is 17 weeks for 27 hours a week. </w:t>
            </w:r>
            <w:r>
              <w:t>S</w:t>
            </w:r>
            <w:r w:rsidRPr="00024DFF">
              <w:t xml:space="preserve">tudents </w:t>
            </w:r>
            <w:r>
              <w:t xml:space="preserve">with language, literacy and numeracy deficiencies </w:t>
            </w:r>
            <w:r w:rsidRPr="00024DFF">
              <w:t xml:space="preserve">will get one week </w:t>
            </w:r>
            <w:r w:rsidR="0070392E">
              <w:t xml:space="preserve">of </w:t>
            </w:r>
            <w:r w:rsidRPr="00024DFF">
              <w:t>support before the class, and the remainder is made up of 12 weeks face-to-face t</w:t>
            </w:r>
            <w:r>
              <w:t>eaching and 3 weeks placement.</w:t>
            </w:r>
            <w:r>
              <w:tab/>
              <w:t>(A</w:t>
            </w:r>
            <w:r w:rsidRPr="006253B6">
              <w:t>ged care, public provider)</w:t>
            </w:r>
            <w:r w:rsidRPr="00024DFF">
              <w:t xml:space="preserve"> </w:t>
            </w:r>
          </w:p>
          <w:p w:rsidR="00A27B31" w:rsidRDefault="00A27B31" w:rsidP="00A27B31">
            <w:pPr>
              <w:pStyle w:val="boxparastyle"/>
            </w:pPr>
            <w:r>
              <w:t>Our course takes 9–</w:t>
            </w:r>
            <w:r w:rsidRPr="00024DFF">
              <w:t>10 weeks with 6 hours (for 4 days or 5 days) in the classroom. There ar</w:t>
            </w:r>
            <w:r>
              <w:t>e 100</w:t>
            </w:r>
            <w:r w:rsidR="00FA0842">
              <w:t>–</w:t>
            </w:r>
            <w:r w:rsidRPr="00024DFF">
              <w:t>120 hours of vocational placement. The ideal length would be 12 weeks but th</w:t>
            </w:r>
            <w:r>
              <w:t>is depends on the students. A 3</w:t>
            </w:r>
            <w:r w:rsidR="00FA0842">
              <w:t>–</w:t>
            </w:r>
            <w:r w:rsidRPr="00024DFF">
              <w:t>4 week vocational placement would also be ideal. Classroom training could be for six weeks for students with life skills. For young people t</w:t>
            </w:r>
            <w:r>
              <w:t xml:space="preserve">hey need a lot longer, </w:t>
            </w:r>
            <w:r w:rsidRPr="00024DFF">
              <w:t>maybe 6 months. Can</w:t>
            </w:r>
            <w:r w:rsidR="00D52B39">
              <w:t>’</w:t>
            </w:r>
            <w:r w:rsidRPr="00024DFF">
              <w:t xml:space="preserve">t generalise </w:t>
            </w:r>
            <w:r>
              <w:t>about what is the ideal time but 1</w:t>
            </w:r>
            <w:r w:rsidR="00FA0842">
              <w:t>–</w:t>
            </w:r>
            <w:r>
              <w:t>2 years is too long</w:t>
            </w:r>
            <w:r w:rsidRPr="00024DFF">
              <w:t>.</w:t>
            </w:r>
            <w:r>
              <w:tab/>
              <w:t>(A</w:t>
            </w:r>
            <w:r w:rsidRPr="006253B6">
              <w:t>ged care, private provider)</w:t>
            </w:r>
          </w:p>
          <w:p w:rsidR="00A27B31" w:rsidRDefault="00A27B31" w:rsidP="00A27B31">
            <w:pPr>
              <w:pStyle w:val="boxparastyle"/>
            </w:pPr>
            <w:r w:rsidRPr="00024DFF">
              <w:t>In a short course you would only be touching on key points an</w:t>
            </w:r>
            <w:r>
              <w:t>d employers would not be happy</w:t>
            </w:r>
            <w:r w:rsidRPr="00024DFF">
              <w:t>.</w:t>
            </w:r>
            <w:r w:rsidR="00FA0842">
              <w:br/>
            </w:r>
            <w:r>
              <w:tab/>
              <w:t>(A</w:t>
            </w:r>
            <w:r w:rsidRPr="006253B6">
              <w:t>ged care, public provider)</w:t>
            </w:r>
          </w:p>
          <w:p w:rsidR="00A27B31" w:rsidRDefault="00A27B31" w:rsidP="00FA0842">
            <w:pPr>
              <w:pStyle w:val="boxparastyle"/>
              <w:spacing w:after="120"/>
            </w:pPr>
            <w:r w:rsidRPr="00024DFF">
              <w:t xml:space="preserve">Shorter course needs to be more digestible but also valid and reliable. With a shorter course there is </w:t>
            </w:r>
            <w:r>
              <w:t>still room to meet expectations</w:t>
            </w:r>
            <w:r w:rsidRPr="00024DFF">
              <w:t>.</w:t>
            </w:r>
            <w:r>
              <w:tab/>
              <w:t>(B</w:t>
            </w:r>
            <w:r w:rsidRPr="006253B6">
              <w:t>usiness, public provider)</w:t>
            </w:r>
          </w:p>
        </w:tc>
      </w:tr>
    </w:tbl>
    <w:p w:rsidR="00FA0842" w:rsidRDefault="00FA0842" w:rsidP="00FA0842">
      <w:pPr>
        <w:pStyle w:val="Text"/>
      </w:pPr>
    </w:p>
    <w:p w:rsidR="00FA0842" w:rsidRDefault="00FA0842">
      <w:pPr>
        <w:rPr>
          <w:rFonts w:ascii="Trebuchet MS" w:hAnsi="Trebuchet MS"/>
          <w:sz w:val="19"/>
          <w:szCs w:val="20"/>
          <w:lang w:eastAsia="en-US"/>
        </w:rPr>
      </w:pPr>
      <w:r>
        <w:br w:type="page"/>
      </w:r>
    </w:p>
    <w:p w:rsidR="00F90633" w:rsidRPr="00FA0842" w:rsidRDefault="00E31F5E" w:rsidP="00FA0842">
      <w:pPr>
        <w:pStyle w:val="Heading1"/>
        <w:ind w:right="-284"/>
        <w:rPr>
          <w:sz w:val="54"/>
          <w:szCs w:val="54"/>
        </w:rPr>
      </w:pPr>
      <w:bookmarkStart w:id="72" w:name="_Toc381103194"/>
      <w:r w:rsidRPr="00FA0842">
        <w:rPr>
          <w:sz w:val="54"/>
          <w:szCs w:val="54"/>
        </w:rPr>
        <w:lastRenderedPageBreak/>
        <w:t xml:space="preserve">What are the </w:t>
      </w:r>
      <w:r w:rsidR="008A032F" w:rsidRPr="00FA0842">
        <w:rPr>
          <w:sz w:val="54"/>
          <w:szCs w:val="54"/>
        </w:rPr>
        <w:t xml:space="preserve">assessment </w:t>
      </w:r>
      <w:r w:rsidRPr="00FA0842">
        <w:rPr>
          <w:sz w:val="54"/>
          <w:szCs w:val="54"/>
        </w:rPr>
        <w:t>c</w:t>
      </w:r>
      <w:r w:rsidR="00F90633" w:rsidRPr="00FA0842">
        <w:rPr>
          <w:sz w:val="54"/>
          <w:szCs w:val="54"/>
        </w:rPr>
        <w:t xml:space="preserve">hallenges for </w:t>
      </w:r>
      <w:r w:rsidR="002B7FCA" w:rsidRPr="00FA0842">
        <w:rPr>
          <w:sz w:val="54"/>
          <w:szCs w:val="54"/>
        </w:rPr>
        <w:t xml:space="preserve">practitioners </w:t>
      </w:r>
      <w:r w:rsidR="00F90633" w:rsidRPr="00FA0842">
        <w:rPr>
          <w:sz w:val="54"/>
          <w:szCs w:val="54"/>
        </w:rPr>
        <w:t>and students</w:t>
      </w:r>
      <w:bookmarkEnd w:id="72"/>
    </w:p>
    <w:p w:rsidR="00D36B75" w:rsidRDefault="002B7FCA" w:rsidP="00FA0842">
      <w:pPr>
        <w:pStyle w:val="Text"/>
      </w:pPr>
      <w:r>
        <w:t xml:space="preserve">Practitioners were asked to identify the key assessment challenges for themselves and for their students. This </w:t>
      </w:r>
      <w:r w:rsidR="00F40B9D">
        <w:t>represented a</w:t>
      </w:r>
      <w:r>
        <w:t xml:space="preserve"> different </w:t>
      </w:r>
      <w:r w:rsidR="00F40B9D">
        <w:t>focus</w:t>
      </w:r>
      <w:r>
        <w:t xml:space="preserve"> from the question that had asked them to identify the </w:t>
      </w:r>
      <w:r w:rsidRPr="00FA0842">
        <w:t>characteristics</w:t>
      </w:r>
      <w:r>
        <w:t xml:space="preserve"> of poor assessments (</w:t>
      </w:r>
      <w:r w:rsidR="00474A98">
        <w:t>table 4). The</w:t>
      </w:r>
      <w:r w:rsidR="00F40B9D">
        <w:t xml:space="preserve"> </w:t>
      </w:r>
      <w:r w:rsidR="00855874">
        <w:t>challenges</w:t>
      </w:r>
      <w:r w:rsidR="00474A98">
        <w:t xml:space="preserve"> they identified</w:t>
      </w:r>
      <w:r w:rsidR="00855874">
        <w:t xml:space="preserve"> were </w:t>
      </w:r>
      <w:r w:rsidR="00A46E38">
        <w:t xml:space="preserve">often </w:t>
      </w:r>
      <w:r w:rsidR="006253B6">
        <w:t>associated</w:t>
      </w:r>
      <w:r w:rsidR="00855874">
        <w:t xml:space="preserve"> with their </w:t>
      </w:r>
      <w:r w:rsidR="00060C71">
        <w:t xml:space="preserve">own </w:t>
      </w:r>
      <w:r w:rsidR="00855874">
        <w:t>particular deficiencies in knowledge, skill and application</w:t>
      </w:r>
      <w:r w:rsidR="00474A98">
        <w:t xml:space="preserve">, while those </w:t>
      </w:r>
      <w:r w:rsidR="00855874">
        <w:t>they identified for students</w:t>
      </w:r>
      <w:r w:rsidR="00E31F5E">
        <w:t xml:space="preserve"> (</w:t>
      </w:r>
      <w:r w:rsidR="00A46E38">
        <w:t xml:space="preserve">which </w:t>
      </w:r>
      <w:r w:rsidR="00E31F5E">
        <w:t xml:space="preserve">they believed to </w:t>
      </w:r>
      <w:r w:rsidR="00A46E38">
        <w:t>affect their own practice</w:t>
      </w:r>
      <w:r w:rsidR="00E31F5E">
        <w:t>)</w:t>
      </w:r>
      <w:r w:rsidR="00A46E38">
        <w:t xml:space="preserve"> </w:t>
      </w:r>
      <w:r w:rsidR="00855874">
        <w:t>generally revolved around student</w:t>
      </w:r>
      <w:r w:rsidR="006253B6">
        <w:t>s</w:t>
      </w:r>
      <w:r w:rsidR="00D52B39">
        <w:t>’</w:t>
      </w:r>
      <w:r w:rsidR="00855874">
        <w:t xml:space="preserve"> lack of knowledge and </w:t>
      </w:r>
      <w:r w:rsidR="006253B6">
        <w:t xml:space="preserve">their </w:t>
      </w:r>
      <w:r w:rsidR="00855874">
        <w:t>readiness for assessment</w:t>
      </w:r>
      <w:r w:rsidR="006253B6">
        <w:t>,</w:t>
      </w:r>
      <w:r w:rsidR="00855874">
        <w:t xml:space="preserve"> as well as inadequate assessment processes</w:t>
      </w:r>
      <w:r w:rsidR="00F35112">
        <w:t xml:space="preserve">. </w:t>
      </w:r>
    </w:p>
    <w:p w:rsidR="001A3A67" w:rsidRDefault="001A3A67" w:rsidP="00FA0842">
      <w:pPr>
        <w:pStyle w:val="Heading2"/>
      </w:pPr>
      <w:bookmarkStart w:id="73" w:name="_Toc381103195"/>
      <w:r>
        <w:t xml:space="preserve">Challenges for </w:t>
      </w:r>
      <w:r w:rsidR="002B7FCA" w:rsidRPr="00FA0842">
        <w:t>practitioners</w:t>
      </w:r>
      <w:bookmarkEnd w:id="73"/>
      <w:r>
        <w:t xml:space="preserve"> </w:t>
      </w:r>
    </w:p>
    <w:p w:rsidR="00151897" w:rsidRPr="00FA0842" w:rsidRDefault="002B7FCA" w:rsidP="00FA0842">
      <w:pPr>
        <w:pStyle w:val="Text"/>
      </w:pPr>
      <w:r>
        <w:t>Practitioners</w:t>
      </w:r>
      <w:r w:rsidR="00F35112">
        <w:t xml:space="preserve"> identified a wide variety of challenges in developing and implementing assessments</w:t>
      </w:r>
      <w:r w:rsidR="00526B59">
        <w:t xml:space="preserve">, including </w:t>
      </w:r>
      <w:r w:rsidR="00474A98">
        <w:t>those</w:t>
      </w:r>
      <w:r w:rsidR="00526B59">
        <w:t xml:space="preserve"> </w:t>
      </w:r>
      <w:r w:rsidR="006253B6">
        <w:t>related</w:t>
      </w:r>
      <w:r w:rsidR="00526B59">
        <w:t xml:space="preserve"> </w:t>
      </w:r>
      <w:r w:rsidR="006253B6">
        <w:t>to students</w:t>
      </w:r>
      <w:r w:rsidR="00D52B39">
        <w:t>’</w:t>
      </w:r>
      <w:r w:rsidR="00526B59">
        <w:t xml:space="preserve"> de</w:t>
      </w:r>
      <w:r w:rsidR="006253B6">
        <w:t>ficiencies</w:t>
      </w:r>
      <w:r w:rsidR="008F37F0">
        <w:t xml:space="preserve"> (table 11)</w:t>
      </w:r>
      <w:r w:rsidR="00526B59">
        <w:t xml:space="preserve">. </w:t>
      </w:r>
      <w:r w:rsidR="00D36B75">
        <w:t xml:space="preserve">A </w:t>
      </w:r>
      <w:r w:rsidR="00CD62E0">
        <w:t>s</w:t>
      </w:r>
      <w:r w:rsidR="006253B6">
        <w:t>ubstantial</w:t>
      </w:r>
      <w:r w:rsidR="00855874">
        <w:t xml:space="preserve"> </w:t>
      </w:r>
      <w:r w:rsidR="00D36B75">
        <w:t xml:space="preserve">challenge </w:t>
      </w:r>
      <w:r w:rsidR="002F191B">
        <w:t xml:space="preserve">(identified by over four-fifths of </w:t>
      </w:r>
      <w:r>
        <w:t>respondents</w:t>
      </w:r>
      <w:r w:rsidR="002F191B">
        <w:t xml:space="preserve">) </w:t>
      </w:r>
      <w:r w:rsidR="00D36B75">
        <w:t xml:space="preserve">was </w:t>
      </w:r>
      <w:r w:rsidR="006253B6">
        <w:t>the achievement of</w:t>
      </w:r>
      <w:r w:rsidR="00F35112">
        <w:t xml:space="preserve"> </w:t>
      </w:r>
      <w:r w:rsidR="00855874">
        <w:t xml:space="preserve">fair, valid and reliable </w:t>
      </w:r>
      <w:r w:rsidR="00526B59">
        <w:t xml:space="preserve">or consistent </w:t>
      </w:r>
      <w:r w:rsidR="006253B6">
        <w:t>judg</w:t>
      </w:r>
      <w:r w:rsidR="007F144E">
        <w:t xml:space="preserve">ments </w:t>
      </w:r>
      <w:r w:rsidR="00F35112">
        <w:t>of student</w:t>
      </w:r>
      <w:r w:rsidR="007F144E">
        <w:t xml:space="preserve"> performance </w:t>
      </w:r>
      <w:r w:rsidR="00281165">
        <w:t xml:space="preserve">as well as </w:t>
      </w:r>
      <w:r w:rsidR="000211EF">
        <w:t xml:space="preserve">of </w:t>
      </w:r>
      <w:r w:rsidR="00281165">
        <w:t xml:space="preserve">prior </w:t>
      </w:r>
      <w:r w:rsidR="00B301CF">
        <w:t xml:space="preserve">learning and </w:t>
      </w:r>
      <w:r w:rsidR="00281165">
        <w:t xml:space="preserve">experience. </w:t>
      </w:r>
      <w:r w:rsidR="00B527FE">
        <w:t>This included</w:t>
      </w:r>
      <w:r w:rsidR="007F144E">
        <w:t xml:space="preserve"> </w:t>
      </w:r>
      <w:r w:rsidR="00CD62E0">
        <w:t xml:space="preserve">pitching the assessment to the right level </w:t>
      </w:r>
      <w:r w:rsidR="008F37F0">
        <w:t>and</w:t>
      </w:r>
      <w:r w:rsidR="00CD62E0">
        <w:t xml:space="preserve"> ensuring sufficient, varied and relevant sources of evidence (including for RPL). </w:t>
      </w:r>
      <w:r w:rsidR="000211EF">
        <w:t>C</w:t>
      </w:r>
      <w:r w:rsidR="00CD62E0">
        <w:t>urrency of assessment knowledge</w:t>
      </w:r>
      <w:r w:rsidR="000211EF">
        <w:t xml:space="preserve"> and</w:t>
      </w:r>
      <w:r w:rsidR="00CD62E0">
        <w:t xml:space="preserve"> confidence in </w:t>
      </w:r>
      <w:r w:rsidR="000211EF">
        <w:t xml:space="preserve">making </w:t>
      </w:r>
      <w:r w:rsidR="008F37F0">
        <w:t>judg</w:t>
      </w:r>
      <w:r w:rsidR="00CD62E0">
        <w:t>ment</w:t>
      </w:r>
      <w:r w:rsidR="000211EF">
        <w:t>s, especially about non-competent performance</w:t>
      </w:r>
      <w:r w:rsidR="008F37F0">
        <w:t>,</w:t>
      </w:r>
      <w:r w:rsidR="000211EF">
        <w:t xml:space="preserve"> were common </w:t>
      </w:r>
      <w:r w:rsidR="00474A98">
        <w:t>issues of concern</w:t>
      </w:r>
      <w:r w:rsidR="000211EF">
        <w:t xml:space="preserve">. Other </w:t>
      </w:r>
      <w:r w:rsidR="00474A98">
        <w:t>reservations</w:t>
      </w:r>
      <w:r w:rsidR="000211EF">
        <w:t xml:space="preserve"> included the difficulty of a</w:t>
      </w:r>
      <w:r w:rsidR="00151897">
        <w:t xml:space="preserve">chieving consistency </w:t>
      </w:r>
      <w:r w:rsidR="00151897" w:rsidRPr="00FA0842">
        <w:t>among assessors for the same qualifications</w:t>
      </w:r>
      <w:r w:rsidR="000211EF" w:rsidRPr="00FA0842">
        <w:t xml:space="preserve"> and </w:t>
      </w:r>
      <w:r w:rsidR="008F37F0" w:rsidRPr="00FA0842">
        <w:t xml:space="preserve">the </w:t>
      </w:r>
      <w:r w:rsidR="000211EF" w:rsidRPr="00FA0842">
        <w:t xml:space="preserve">lack of depth that </w:t>
      </w:r>
      <w:r w:rsidR="00F77F0D" w:rsidRPr="00FA0842">
        <w:t>can result from</w:t>
      </w:r>
      <w:r w:rsidR="000211EF" w:rsidRPr="00FA0842">
        <w:t xml:space="preserve"> h</w:t>
      </w:r>
      <w:r w:rsidR="00151897" w:rsidRPr="00FA0842">
        <w:t xml:space="preserve">olistic assessment </w:t>
      </w:r>
      <w:r w:rsidR="000211EF" w:rsidRPr="00FA0842">
        <w:t>techniques</w:t>
      </w:r>
      <w:r w:rsidR="00F77F0D" w:rsidRPr="00FA0842">
        <w:t>, wh</w:t>
      </w:r>
      <w:r w:rsidR="008F37F0" w:rsidRPr="00FA0842">
        <w:t>ereby</w:t>
      </w:r>
      <w:r w:rsidR="00F77F0D" w:rsidRPr="00FA0842">
        <w:t xml:space="preserve"> </w:t>
      </w:r>
      <w:r w:rsidR="00151897" w:rsidRPr="00FA0842">
        <w:t xml:space="preserve">some important </w:t>
      </w:r>
      <w:r w:rsidR="00F77F0D" w:rsidRPr="00FA0842">
        <w:t xml:space="preserve">and specific </w:t>
      </w:r>
      <w:r w:rsidR="00151897" w:rsidRPr="00FA0842">
        <w:t>components of knowledge and skill</w:t>
      </w:r>
      <w:r w:rsidR="008F37F0" w:rsidRPr="00FA0842">
        <w:t xml:space="preserve"> may be omitted</w:t>
      </w:r>
      <w:r w:rsidR="00151897" w:rsidRPr="00FA0842">
        <w:t xml:space="preserve">. </w:t>
      </w:r>
    </w:p>
    <w:p w:rsidR="0083110B" w:rsidRPr="00FA0842" w:rsidRDefault="002F191B" w:rsidP="00FA0842">
      <w:pPr>
        <w:pStyle w:val="Text"/>
      </w:pPr>
      <w:r w:rsidRPr="00FA0842">
        <w:t xml:space="preserve">Just </w:t>
      </w:r>
      <w:r w:rsidR="00526B59" w:rsidRPr="00FA0842">
        <w:t>under</w:t>
      </w:r>
      <w:r w:rsidRPr="00FA0842">
        <w:t xml:space="preserve"> half of the </w:t>
      </w:r>
      <w:r w:rsidR="002B7FCA" w:rsidRPr="00FA0842">
        <w:t>practitioners</w:t>
      </w:r>
      <w:r w:rsidRPr="00FA0842">
        <w:t xml:space="preserve"> believed that student</w:t>
      </w:r>
      <w:r w:rsidR="00474A98" w:rsidRPr="00FA0842">
        <w:t>s</w:t>
      </w:r>
      <w:r w:rsidR="00D52B39">
        <w:t>’</w:t>
      </w:r>
      <w:r w:rsidRPr="00FA0842">
        <w:t xml:space="preserve"> attributes</w:t>
      </w:r>
      <w:r w:rsidR="00B301CF" w:rsidRPr="00FA0842">
        <w:t>, skills</w:t>
      </w:r>
      <w:r w:rsidRPr="00FA0842">
        <w:t xml:space="preserve"> and behaviours made their own assessment practice more difficult</w:t>
      </w:r>
      <w:r w:rsidR="0070392E">
        <w:t>.</w:t>
      </w:r>
      <w:r w:rsidR="00474A98" w:rsidRPr="00FA0842">
        <w:t xml:space="preserve"> </w:t>
      </w:r>
      <w:r w:rsidR="0070392E">
        <w:t>These</w:t>
      </w:r>
      <w:r w:rsidRPr="00FA0842">
        <w:t xml:space="preserve"> included student deficiencies in ability, </w:t>
      </w:r>
      <w:r w:rsidR="008F37F0" w:rsidRPr="00FA0842">
        <w:t xml:space="preserve">and in </w:t>
      </w:r>
      <w:r w:rsidRPr="00FA0842">
        <w:t>language, literacy and numeracy skills, a</w:t>
      </w:r>
      <w:r w:rsidR="008F37F0" w:rsidRPr="00FA0842">
        <w:t>s well as their</w:t>
      </w:r>
      <w:r w:rsidRPr="00FA0842">
        <w:t xml:space="preserve"> understanding of subject content and </w:t>
      </w:r>
      <w:r w:rsidR="00B301CF" w:rsidRPr="00FA0842">
        <w:t>what was expected of them in assessments</w:t>
      </w:r>
      <w:r w:rsidR="008F37F0" w:rsidRPr="00FA0842">
        <w:t>. A l</w:t>
      </w:r>
      <w:r w:rsidRPr="00FA0842">
        <w:t>ack of mot</w:t>
      </w:r>
      <w:r w:rsidR="001E60F4" w:rsidRPr="00FA0842">
        <w:t>ivation, readiness and interest</w:t>
      </w:r>
      <w:r w:rsidRPr="00FA0842">
        <w:t xml:space="preserve"> and </w:t>
      </w:r>
      <w:r w:rsidR="001E60F4" w:rsidRPr="00FA0842">
        <w:t xml:space="preserve">a failure to demonstrate the </w:t>
      </w:r>
      <w:r w:rsidRPr="00FA0842">
        <w:t>appropriate key attributes, including employability skills</w:t>
      </w:r>
      <w:r w:rsidR="001E60F4" w:rsidRPr="00FA0842">
        <w:t>,</w:t>
      </w:r>
      <w:r w:rsidR="00526B59" w:rsidRPr="00FA0842">
        <w:t xml:space="preserve"> w</w:t>
      </w:r>
      <w:r w:rsidR="001E60F4" w:rsidRPr="00FA0842">
        <w:t xml:space="preserve">ere </w:t>
      </w:r>
      <w:r w:rsidR="00526B59" w:rsidRPr="00FA0842">
        <w:t>also identified</w:t>
      </w:r>
      <w:r w:rsidR="00F77F0D" w:rsidRPr="00FA0842">
        <w:t>.</w:t>
      </w:r>
      <w:r w:rsidRPr="00FA0842">
        <w:t xml:space="preserve"> </w:t>
      </w:r>
      <w:r w:rsidR="00F77F0D" w:rsidRPr="00FA0842">
        <w:t>Students f</w:t>
      </w:r>
      <w:r w:rsidRPr="00FA0842">
        <w:t>ailing to submit assignments on time, not being sufficiently expansive in their responses to questions and issues</w:t>
      </w:r>
      <w:r w:rsidR="00F77F0D" w:rsidRPr="00FA0842">
        <w:t xml:space="preserve">, and </w:t>
      </w:r>
      <w:r w:rsidRPr="00FA0842">
        <w:t>cheating</w:t>
      </w:r>
      <w:r w:rsidR="0083110B" w:rsidRPr="00FA0842">
        <w:t xml:space="preserve"> in assessments were other </w:t>
      </w:r>
      <w:r w:rsidR="008F37F0" w:rsidRPr="00FA0842">
        <w:t>issues</w:t>
      </w:r>
      <w:r w:rsidR="0083110B" w:rsidRPr="00FA0842">
        <w:t xml:space="preserve"> that </w:t>
      </w:r>
      <w:r w:rsidR="00526B59" w:rsidRPr="00FA0842">
        <w:t xml:space="preserve">assessors believed </w:t>
      </w:r>
      <w:r w:rsidR="0083110B" w:rsidRPr="00FA0842">
        <w:t xml:space="preserve">had an impact on the quality of assessments. </w:t>
      </w:r>
    </w:p>
    <w:p w:rsidR="007375E6" w:rsidRPr="00FA0842" w:rsidRDefault="002F191B" w:rsidP="00FA0842">
      <w:pPr>
        <w:pStyle w:val="Text"/>
      </w:pPr>
      <w:r w:rsidRPr="00FA0842">
        <w:t xml:space="preserve">The third most frequently reported group of challenges </w:t>
      </w:r>
      <w:r w:rsidR="007375E6" w:rsidRPr="00FA0842">
        <w:t xml:space="preserve">(reported by </w:t>
      </w:r>
      <w:r w:rsidR="00526B59" w:rsidRPr="00FA0842">
        <w:t>just over half</w:t>
      </w:r>
      <w:r w:rsidR="00151897" w:rsidRPr="00FA0842">
        <w:t xml:space="preserve"> of respondents) </w:t>
      </w:r>
      <w:r w:rsidR="007375E6" w:rsidRPr="00FA0842">
        <w:t>concerned the development, customisation and implementation of assessment tools and resources</w:t>
      </w:r>
      <w:r w:rsidR="00151897" w:rsidRPr="00FA0842">
        <w:t xml:space="preserve">, including </w:t>
      </w:r>
      <w:r w:rsidR="0083110B" w:rsidRPr="00FA0842">
        <w:t xml:space="preserve">the construction of </w:t>
      </w:r>
      <w:r w:rsidR="00151897" w:rsidRPr="00FA0842">
        <w:t>suitable marking guides</w:t>
      </w:r>
      <w:r w:rsidR="007375E6" w:rsidRPr="00FA0842">
        <w:t xml:space="preserve">. </w:t>
      </w:r>
      <w:r w:rsidR="008F37F0" w:rsidRPr="00FA0842">
        <w:t>P</w:t>
      </w:r>
      <w:r w:rsidR="002B7FCA" w:rsidRPr="00FA0842">
        <w:t>ractitioners</w:t>
      </w:r>
      <w:r w:rsidR="0083110B" w:rsidRPr="00FA0842">
        <w:t xml:space="preserve"> </w:t>
      </w:r>
      <w:r w:rsidR="008F37F0" w:rsidRPr="00FA0842">
        <w:t xml:space="preserve">found it challenging </w:t>
      </w:r>
      <w:r w:rsidR="0083110B" w:rsidRPr="00FA0842">
        <w:t>to keep</w:t>
      </w:r>
      <w:r w:rsidR="007375E6" w:rsidRPr="00FA0842">
        <w:t xml:space="preserve"> up with </w:t>
      </w:r>
      <w:r w:rsidR="001F52F0" w:rsidRPr="00FA0842">
        <w:t>training package</w:t>
      </w:r>
      <w:r w:rsidR="0083110B" w:rsidRPr="00FA0842">
        <w:t xml:space="preserve"> </w:t>
      </w:r>
      <w:r w:rsidR="008F37F0" w:rsidRPr="00FA0842">
        <w:t>changes and versions and</w:t>
      </w:r>
      <w:r w:rsidR="007375E6" w:rsidRPr="00FA0842">
        <w:t xml:space="preserve"> </w:t>
      </w:r>
      <w:r w:rsidR="001E60F4" w:rsidRPr="00FA0842">
        <w:t xml:space="preserve">to </w:t>
      </w:r>
      <w:r w:rsidR="0083110B" w:rsidRPr="00FA0842">
        <w:t>stay ab</w:t>
      </w:r>
      <w:r w:rsidR="008F37F0" w:rsidRPr="00FA0842">
        <w:t>reast of government legislation, regulations</w:t>
      </w:r>
      <w:r w:rsidR="0083110B" w:rsidRPr="00FA0842">
        <w:t xml:space="preserve"> and standards (for electrical)</w:t>
      </w:r>
      <w:r w:rsidR="008F37F0" w:rsidRPr="00FA0842">
        <w:t>. Also problematic was</w:t>
      </w:r>
      <w:r w:rsidR="0083110B" w:rsidRPr="00FA0842">
        <w:t xml:space="preserve"> </w:t>
      </w:r>
      <w:r w:rsidR="007375E6" w:rsidRPr="00FA0842">
        <w:t>align</w:t>
      </w:r>
      <w:r w:rsidR="008F37F0" w:rsidRPr="00FA0842">
        <w:t>ing</w:t>
      </w:r>
      <w:r w:rsidR="0083110B" w:rsidRPr="00FA0842">
        <w:t xml:space="preserve"> </w:t>
      </w:r>
      <w:r w:rsidR="007375E6" w:rsidRPr="00FA0842">
        <w:t>assessment</w:t>
      </w:r>
      <w:r w:rsidR="0083110B" w:rsidRPr="00FA0842">
        <w:t xml:space="preserve"> requirements with the </w:t>
      </w:r>
      <w:r w:rsidR="007375E6" w:rsidRPr="00FA0842">
        <w:t xml:space="preserve">different elements of </w:t>
      </w:r>
      <w:r w:rsidR="008F37F0" w:rsidRPr="00FA0842">
        <w:t>units of competency</w:t>
      </w:r>
      <w:r w:rsidR="007375E6" w:rsidRPr="00FA0842">
        <w:t xml:space="preserve">. </w:t>
      </w:r>
      <w:r w:rsidR="0083110B" w:rsidRPr="00FA0842">
        <w:t>The</w:t>
      </w:r>
      <w:r w:rsidR="007375E6" w:rsidRPr="00FA0842">
        <w:t xml:space="preserve"> ability to identify critical pieces of evidence and use effective questioning techniques to </w:t>
      </w:r>
      <w:r w:rsidR="0083110B" w:rsidRPr="00FA0842">
        <w:t xml:space="preserve">probe for and make judgments of </w:t>
      </w:r>
      <w:r w:rsidR="007375E6" w:rsidRPr="00FA0842">
        <w:t>students</w:t>
      </w:r>
      <w:r w:rsidR="00D52B39">
        <w:t>’</w:t>
      </w:r>
      <w:r w:rsidR="007375E6" w:rsidRPr="00FA0842">
        <w:t xml:space="preserve"> depth of knowledge and understanding</w:t>
      </w:r>
      <w:r w:rsidR="0083110B" w:rsidRPr="00FA0842">
        <w:t xml:space="preserve"> were also clear </w:t>
      </w:r>
      <w:r w:rsidR="001E60F4" w:rsidRPr="00FA0842">
        <w:t>areas of concern</w:t>
      </w:r>
      <w:r w:rsidR="007375E6" w:rsidRPr="00FA0842">
        <w:t xml:space="preserve">. </w:t>
      </w:r>
    </w:p>
    <w:p w:rsidR="00151897" w:rsidRDefault="00151897" w:rsidP="00FA0842">
      <w:pPr>
        <w:pStyle w:val="Text"/>
      </w:pPr>
      <w:r w:rsidRPr="00FA0842">
        <w:t>Less frequently identified w</w:t>
      </w:r>
      <w:r w:rsidR="0070392E">
        <w:t>ere</w:t>
      </w:r>
      <w:r w:rsidRPr="00FA0842">
        <w:t xml:space="preserve"> the time that it took to conduct the assessments and the associated marking of papers (in the case of written assess</w:t>
      </w:r>
      <w:r>
        <w:t>ments</w:t>
      </w:r>
      <w:r w:rsidR="0098185A">
        <w:t>)</w:t>
      </w:r>
      <w:r>
        <w:t xml:space="preserve">, and providing students with timely feedback. </w:t>
      </w:r>
    </w:p>
    <w:p w:rsidR="00FA0842" w:rsidRDefault="00FA0842">
      <w:pPr>
        <w:rPr>
          <w:rFonts w:ascii="Tahoma" w:hAnsi="Tahoma"/>
          <w:b/>
          <w:sz w:val="17"/>
          <w:szCs w:val="20"/>
          <w:lang w:eastAsia="en-US"/>
        </w:rPr>
      </w:pPr>
      <w:r>
        <w:br w:type="page"/>
      </w:r>
    </w:p>
    <w:p w:rsidR="00A917CC" w:rsidRDefault="00A917CC" w:rsidP="00A917CC">
      <w:pPr>
        <w:pStyle w:val="tabletitle"/>
      </w:pPr>
      <w:bookmarkStart w:id="74" w:name="_Toc381103335"/>
      <w:r>
        <w:lastRenderedPageBreak/>
        <w:t xml:space="preserve">Table </w:t>
      </w:r>
      <w:r w:rsidR="00671BF2">
        <w:t>1</w:t>
      </w:r>
      <w:r w:rsidR="006146B3">
        <w:t>1</w:t>
      </w:r>
      <w:r w:rsidR="00854FD5">
        <w:tab/>
      </w:r>
      <w:r>
        <w:t xml:space="preserve">Challenges </w:t>
      </w:r>
      <w:r w:rsidR="004014B0">
        <w:t>for</w:t>
      </w:r>
      <w:r>
        <w:t xml:space="preserve"> </w:t>
      </w:r>
      <w:r w:rsidR="004014B0">
        <w:t>practitioners</w:t>
      </w:r>
      <w:bookmarkEnd w:id="74"/>
    </w:p>
    <w:tbl>
      <w:tblPr>
        <w:tblStyle w:val="TableGrid"/>
        <w:tblW w:w="8789"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1772"/>
        <w:gridCol w:w="1772"/>
      </w:tblGrid>
      <w:tr w:rsidR="00526B59" w:rsidTr="00D52B39">
        <w:tc>
          <w:tcPr>
            <w:tcW w:w="5245" w:type="dxa"/>
            <w:tcBorders>
              <w:top w:val="single" w:sz="4" w:space="0" w:color="000000" w:themeColor="text1"/>
              <w:bottom w:val="single" w:sz="4" w:space="0" w:color="auto"/>
            </w:tcBorders>
          </w:tcPr>
          <w:p w:rsidR="00526B59" w:rsidRDefault="00526B59" w:rsidP="003C12E7">
            <w:pPr>
              <w:pStyle w:val="Tablehead1"/>
            </w:pPr>
            <w:r>
              <w:t>Challenges</w:t>
            </w:r>
          </w:p>
        </w:tc>
        <w:tc>
          <w:tcPr>
            <w:tcW w:w="1772" w:type="dxa"/>
            <w:tcBorders>
              <w:top w:val="single" w:sz="4" w:space="0" w:color="000000" w:themeColor="text1"/>
              <w:bottom w:val="single" w:sz="4" w:space="0" w:color="auto"/>
            </w:tcBorders>
          </w:tcPr>
          <w:p w:rsidR="00526B59" w:rsidRDefault="00526B59" w:rsidP="00D52B39">
            <w:pPr>
              <w:pStyle w:val="Tablehead1"/>
              <w:jc w:val="center"/>
            </w:pPr>
            <w:r>
              <w:t xml:space="preserve">No. of </w:t>
            </w:r>
            <w:r w:rsidR="00D52B39">
              <w:br/>
            </w:r>
            <w:r>
              <w:t>responses</w:t>
            </w:r>
          </w:p>
        </w:tc>
        <w:tc>
          <w:tcPr>
            <w:tcW w:w="1772" w:type="dxa"/>
            <w:tcBorders>
              <w:top w:val="single" w:sz="4" w:space="0" w:color="000000" w:themeColor="text1"/>
              <w:bottom w:val="single" w:sz="4" w:space="0" w:color="auto"/>
            </w:tcBorders>
          </w:tcPr>
          <w:p w:rsidR="00526B59" w:rsidRDefault="00526B59" w:rsidP="00D52B39">
            <w:pPr>
              <w:pStyle w:val="Tablehead1"/>
              <w:jc w:val="center"/>
            </w:pPr>
            <w:r>
              <w:t>% of respondents</w:t>
            </w:r>
            <w:r w:rsidR="00A91334">
              <w:rPr>
                <w:vertAlign w:val="superscript"/>
              </w:rPr>
              <w:t>1</w:t>
            </w:r>
            <w:r w:rsidR="00D52B39">
              <w:br/>
            </w:r>
            <w:r>
              <w:t>(n</w:t>
            </w:r>
            <w:r w:rsidR="00A91334">
              <w:t xml:space="preserve"> </w:t>
            </w:r>
            <w:r>
              <w:t>=</w:t>
            </w:r>
            <w:r w:rsidR="00A91334">
              <w:t xml:space="preserve"> </w:t>
            </w:r>
            <w:r>
              <w:t>38)</w:t>
            </w:r>
          </w:p>
        </w:tc>
      </w:tr>
      <w:tr w:rsidR="00526B59" w:rsidRPr="00D52B39" w:rsidTr="00D52B39">
        <w:tc>
          <w:tcPr>
            <w:tcW w:w="5245" w:type="dxa"/>
            <w:vAlign w:val="bottom"/>
          </w:tcPr>
          <w:p w:rsidR="00526B59" w:rsidRPr="00D52B39" w:rsidRDefault="00A91334" w:rsidP="00D52B39">
            <w:pPr>
              <w:pStyle w:val="Tabletext"/>
            </w:pPr>
            <w:r w:rsidRPr="00D52B39">
              <w:t>Arriving at judg</w:t>
            </w:r>
            <w:r w:rsidR="00526B59" w:rsidRPr="00D52B39">
              <w:t>ments that are fair, valid, and consistent (including for RPL and workplace assessments)</w:t>
            </w:r>
          </w:p>
        </w:tc>
        <w:tc>
          <w:tcPr>
            <w:tcW w:w="1772" w:type="dxa"/>
            <w:vAlign w:val="bottom"/>
          </w:tcPr>
          <w:p w:rsidR="00526B59" w:rsidRPr="00D52B39" w:rsidRDefault="00526B59" w:rsidP="00D52B39">
            <w:pPr>
              <w:pStyle w:val="Tabletext"/>
              <w:tabs>
                <w:tab w:val="decimal" w:pos="879"/>
              </w:tabs>
            </w:pPr>
            <w:r w:rsidRPr="00D52B39">
              <w:t>30</w:t>
            </w:r>
          </w:p>
        </w:tc>
        <w:tc>
          <w:tcPr>
            <w:tcW w:w="1772" w:type="dxa"/>
            <w:vAlign w:val="bottom"/>
          </w:tcPr>
          <w:p w:rsidR="00526B59" w:rsidRPr="00D52B39" w:rsidRDefault="00526B59" w:rsidP="00D52B39">
            <w:pPr>
              <w:pStyle w:val="Tabletext"/>
              <w:tabs>
                <w:tab w:val="decimal" w:pos="794"/>
              </w:tabs>
            </w:pPr>
            <w:r w:rsidRPr="00D52B39">
              <w:t>80.0</w:t>
            </w:r>
          </w:p>
        </w:tc>
      </w:tr>
      <w:tr w:rsidR="00526B59" w:rsidRPr="00D52B39" w:rsidTr="00D52B39">
        <w:tc>
          <w:tcPr>
            <w:tcW w:w="5245" w:type="dxa"/>
            <w:vAlign w:val="bottom"/>
          </w:tcPr>
          <w:p w:rsidR="00526B59" w:rsidRPr="00D52B39" w:rsidRDefault="00526B59" w:rsidP="00D52B39">
            <w:pPr>
              <w:pStyle w:val="Tabletext"/>
            </w:pPr>
            <w:r w:rsidRPr="00D52B39">
              <w:t>Dealing with student deficiencies in skills,</w:t>
            </w:r>
            <w:r w:rsidR="00E3166C" w:rsidRPr="00D52B39">
              <w:t xml:space="preserve"> </w:t>
            </w:r>
            <w:r w:rsidRPr="00D52B39">
              <w:t xml:space="preserve">knowledge and behaviour </w:t>
            </w:r>
          </w:p>
        </w:tc>
        <w:tc>
          <w:tcPr>
            <w:tcW w:w="1772" w:type="dxa"/>
            <w:vAlign w:val="bottom"/>
          </w:tcPr>
          <w:p w:rsidR="00526B59" w:rsidRPr="00D52B39" w:rsidRDefault="00526B59" w:rsidP="00D52B39">
            <w:pPr>
              <w:pStyle w:val="Tabletext"/>
              <w:tabs>
                <w:tab w:val="decimal" w:pos="879"/>
              </w:tabs>
            </w:pPr>
            <w:r w:rsidRPr="00D52B39">
              <w:t>18</w:t>
            </w:r>
          </w:p>
        </w:tc>
        <w:tc>
          <w:tcPr>
            <w:tcW w:w="1772" w:type="dxa"/>
            <w:vAlign w:val="bottom"/>
          </w:tcPr>
          <w:p w:rsidR="00526B59" w:rsidRPr="00D52B39" w:rsidRDefault="00526B59" w:rsidP="00D52B39">
            <w:pPr>
              <w:pStyle w:val="Tabletext"/>
              <w:tabs>
                <w:tab w:val="decimal" w:pos="794"/>
              </w:tabs>
            </w:pPr>
            <w:r w:rsidRPr="00D52B39">
              <w:t>47.3</w:t>
            </w:r>
          </w:p>
        </w:tc>
      </w:tr>
      <w:tr w:rsidR="00526B59" w:rsidRPr="00D52B39" w:rsidTr="00D52B39">
        <w:tc>
          <w:tcPr>
            <w:tcW w:w="5245" w:type="dxa"/>
            <w:vAlign w:val="bottom"/>
          </w:tcPr>
          <w:p w:rsidR="00526B59" w:rsidRPr="00D52B39" w:rsidRDefault="00526B59" w:rsidP="00D52B39">
            <w:pPr>
              <w:pStyle w:val="Tabletext"/>
            </w:pPr>
            <w:r w:rsidRPr="00D52B39">
              <w:t>Developing, customising and implementing assessment tools and techniques to suit</w:t>
            </w:r>
            <w:r w:rsidR="00E3166C" w:rsidRPr="00D52B39">
              <w:t xml:space="preserve"> </w:t>
            </w:r>
            <w:r w:rsidR="00A91334" w:rsidRPr="00D52B39">
              <w:t xml:space="preserve">the </w:t>
            </w:r>
            <w:r w:rsidRPr="00D52B39">
              <w:t xml:space="preserve">changing requirements of </w:t>
            </w:r>
            <w:r w:rsidR="003F756A" w:rsidRPr="00D52B39">
              <w:t>training packages</w:t>
            </w:r>
            <w:r w:rsidRPr="00D52B39">
              <w:t xml:space="preserve"> and other regulatory frameworks</w:t>
            </w:r>
          </w:p>
        </w:tc>
        <w:tc>
          <w:tcPr>
            <w:tcW w:w="1772" w:type="dxa"/>
            <w:vAlign w:val="bottom"/>
          </w:tcPr>
          <w:p w:rsidR="00526B59" w:rsidRPr="00D52B39" w:rsidRDefault="00526B59" w:rsidP="00D52B39">
            <w:pPr>
              <w:pStyle w:val="Tabletext"/>
              <w:tabs>
                <w:tab w:val="decimal" w:pos="879"/>
              </w:tabs>
            </w:pPr>
            <w:r w:rsidRPr="00D52B39">
              <w:t>20</w:t>
            </w:r>
          </w:p>
        </w:tc>
        <w:tc>
          <w:tcPr>
            <w:tcW w:w="1772" w:type="dxa"/>
            <w:vAlign w:val="bottom"/>
          </w:tcPr>
          <w:p w:rsidR="00526B59" w:rsidRPr="00D52B39" w:rsidRDefault="00526B59" w:rsidP="00D52B39">
            <w:pPr>
              <w:pStyle w:val="Tabletext"/>
              <w:tabs>
                <w:tab w:val="decimal" w:pos="794"/>
              </w:tabs>
            </w:pPr>
            <w:r w:rsidRPr="00D52B39">
              <w:t>52.6</w:t>
            </w:r>
          </w:p>
        </w:tc>
      </w:tr>
      <w:tr w:rsidR="00526B59" w:rsidRPr="00D52B39" w:rsidTr="00D52B39">
        <w:tc>
          <w:tcPr>
            <w:tcW w:w="5245" w:type="dxa"/>
            <w:vAlign w:val="bottom"/>
          </w:tcPr>
          <w:p w:rsidR="00526B59" w:rsidRPr="00D52B39" w:rsidRDefault="00526B59" w:rsidP="00D52B39">
            <w:pPr>
              <w:pStyle w:val="Tabletext"/>
            </w:pPr>
            <w:r w:rsidRPr="00D52B39">
              <w:t>Keeping up with assessment knowledge, marking workloads and employer relationships</w:t>
            </w:r>
          </w:p>
        </w:tc>
        <w:tc>
          <w:tcPr>
            <w:tcW w:w="1772" w:type="dxa"/>
            <w:vAlign w:val="bottom"/>
          </w:tcPr>
          <w:p w:rsidR="00526B59" w:rsidRPr="00D52B39" w:rsidRDefault="00526B59" w:rsidP="00D52B39">
            <w:pPr>
              <w:pStyle w:val="Tabletext"/>
              <w:tabs>
                <w:tab w:val="decimal" w:pos="879"/>
              </w:tabs>
            </w:pPr>
            <w:r w:rsidRPr="00D52B39">
              <w:t>6</w:t>
            </w:r>
          </w:p>
        </w:tc>
        <w:tc>
          <w:tcPr>
            <w:tcW w:w="1772" w:type="dxa"/>
            <w:vAlign w:val="bottom"/>
          </w:tcPr>
          <w:p w:rsidR="00526B59" w:rsidRPr="00D52B39" w:rsidRDefault="00526B59" w:rsidP="00D52B39">
            <w:pPr>
              <w:pStyle w:val="Tabletext"/>
              <w:tabs>
                <w:tab w:val="decimal" w:pos="794"/>
              </w:tabs>
            </w:pPr>
            <w:r w:rsidRPr="00D52B39">
              <w:t>15.8</w:t>
            </w:r>
          </w:p>
        </w:tc>
      </w:tr>
    </w:tbl>
    <w:p w:rsidR="00A91334" w:rsidRPr="00D52B39" w:rsidRDefault="00A91334" w:rsidP="00D52B39">
      <w:pPr>
        <w:pStyle w:val="Source"/>
      </w:pPr>
      <w:r>
        <w:t>Note:</w:t>
      </w:r>
      <w:r w:rsidR="00D52B39">
        <w:tab/>
      </w:r>
      <w:r>
        <w:t>1</w:t>
      </w:r>
      <w:r w:rsidR="00D52B39">
        <w:t xml:space="preserve">  </w:t>
      </w:r>
      <w:r>
        <w:t xml:space="preserve"> </w:t>
      </w:r>
      <w:r w:rsidRPr="00D52B39">
        <w:t>Refers to the multiple responses given by respondents in their interviews.</w:t>
      </w:r>
    </w:p>
    <w:p w:rsidR="00A917CC" w:rsidRDefault="00A917CC" w:rsidP="00D52B39">
      <w:pPr>
        <w:pStyle w:val="Source"/>
      </w:pPr>
      <w:r w:rsidRPr="00D52B39">
        <w:t>Source:</w:t>
      </w:r>
      <w:r w:rsidR="00D52B39" w:rsidRPr="00D52B39">
        <w:tab/>
      </w:r>
      <w:r w:rsidR="00A91334" w:rsidRPr="00D52B39">
        <w:t>R</w:t>
      </w:r>
      <w:r w:rsidR="003F756A" w:rsidRPr="00D52B39">
        <w:t>egistered</w:t>
      </w:r>
      <w:r w:rsidR="003F756A">
        <w:t xml:space="preserve"> training organisation</w:t>
      </w:r>
      <w:r>
        <w:t xml:space="preserve"> questionnaire for this study</w:t>
      </w:r>
      <w:r w:rsidR="00A91334">
        <w:t>.</w:t>
      </w:r>
    </w:p>
    <w:p w:rsidR="00A125D9" w:rsidRDefault="00A125D9" w:rsidP="00D52B39">
      <w:pPr>
        <w:pStyle w:val="Textlessbefore"/>
      </w:pPr>
    </w:p>
    <w:tbl>
      <w:tblPr>
        <w:tblStyle w:val="TableGrid"/>
        <w:tblW w:w="8789" w:type="dxa"/>
        <w:tblInd w:w="22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227" w:type="dxa"/>
          <w:right w:w="227" w:type="dxa"/>
        </w:tblCellMar>
        <w:tblLook w:val="04A0" w:firstRow="1" w:lastRow="0" w:firstColumn="1" w:lastColumn="0" w:noHBand="0" w:noVBand="1"/>
      </w:tblPr>
      <w:tblGrid>
        <w:gridCol w:w="8789"/>
      </w:tblGrid>
      <w:tr w:rsidR="00D52B39" w:rsidTr="00D52B39">
        <w:tc>
          <w:tcPr>
            <w:tcW w:w="8789" w:type="dxa"/>
            <w:shd w:val="clear" w:color="auto" w:fill="000000" w:themeFill="text1"/>
          </w:tcPr>
          <w:p w:rsidR="00D52B39" w:rsidRDefault="00D52B39" w:rsidP="00D52B39">
            <w:pPr>
              <w:pStyle w:val="Tablehead1"/>
            </w:pPr>
            <w:r>
              <w:t>What practitioners say</w:t>
            </w:r>
          </w:p>
        </w:tc>
      </w:tr>
      <w:tr w:rsidR="00D52B39" w:rsidTr="00D52B39">
        <w:tc>
          <w:tcPr>
            <w:tcW w:w="8789" w:type="dxa"/>
          </w:tcPr>
          <w:p w:rsidR="00D52B39" w:rsidRPr="00A91334" w:rsidRDefault="00D52B39" w:rsidP="00D52B39">
            <w:pPr>
              <w:pStyle w:val="Tablehead1"/>
              <w:spacing w:before="120"/>
            </w:pPr>
            <w:r>
              <w:t>Assessment c</w:t>
            </w:r>
            <w:r w:rsidRPr="00A91334">
              <w:t xml:space="preserve">hallenges </w:t>
            </w:r>
          </w:p>
          <w:p w:rsidR="00D52B39" w:rsidRPr="003A606A" w:rsidRDefault="00D52B39" w:rsidP="00D52B39">
            <w:pPr>
              <w:pStyle w:val="boxparastyle"/>
              <w:rPr>
                <w:i/>
              </w:rPr>
            </w:pPr>
            <w:r w:rsidRPr="003A606A">
              <w:t>Achieving consistency in the practical assessments (e</w:t>
            </w:r>
            <w:r>
              <w:t>.</w:t>
            </w:r>
            <w:r w:rsidRPr="003A606A">
              <w:t>g</w:t>
            </w:r>
            <w:r>
              <w:t>.</w:t>
            </w:r>
            <w:r w:rsidRPr="003A606A">
              <w:t xml:space="preserve"> manual handling) is a challenge. On Mondays we have theory classes and on Tuesdays and Wednesday we have practical classes.</w:t>
            </w:r>
            <w:r>
              <w:t xml:space="preserve"> </w:t>
            </w:r>
            <w:r w:rsidRPr="003A606A">
              <w:t>We need to make sure that both trainers are assessing exactly the same way. We also need to make sure</w:t>
            </w:r>
            <w:r>
              <w:t xml:space="preserve"> they can assess students from non-English-speaking b</w:t>
            </w:r>
            <w:r w:rsidRPr="003A606A">
              <w:t xml:space="preserve">ackgrounds (by contextualising assessments to their needs) but </w:t>
            </w:r>
            <w:r>
              <w:t xml:space="preserve">in doing so </w:t>
            </w:r>
            <w:r w:rsidRPr="003A606A">
              <w:t>we need to mak</w:t>
            </w:r>
            <w:r>
              <w:t>e sure they get the same result</w:t>
            </w:r>
            <w:r w:rsidRPr="003A606A">
              <w:t>.</w:t>
            </w:r>
            <w:r>
              <w:tab/>
              <w:t>(A</w:t>
            </w:r>
            <w:r w:rsidRPr="00A91334">
              <w:t>ged care, private provider)</w:t>
            </w:r>
          </w:p>
          <w:p w:rsidR="00D52B39" w:rsidRPr="00404B3B" w:rsidRDefault="00D52B39" w:rsidP="00D52B39">
            <w:pPr>
              <w:pStyle w:val="boxparastyle"/>
              <w:rPr>
                <w:i/>
              </w:rPr>
            </w:pPr>
            <w:r w:rsidRPr="00404B3B">
              <w:t>Getting work submitted on t</w:t>
            </w:r>
            <w:r>
              <w:t>ime. This often requires follow-</w:t>
            </w:r>
            <w:r w:rsidRPr="00404B3B">
              <w:t>up contact to remind students. Ensuring that over-assessment does not occur but that validity and sufficiency is reached. We have a mix of students so the challenge is</w:t>
            </w:r>
            <w:r>
              <w:t xml:space="preserve"> in </w:t>
            </w:r>
            <w:r w:rsidRPr="00404B3B">
              <w:t>how to a</w:t>
            </w:r>
            <w:r>
              <w:t>ssess them equitably and fairly</w:t>
            </w:r>
            <w:r w:rsidRPr="00404B3B">
              <w:t>.</w:t>
            </w:r>
            <w:r>
              <w:tab/>
              <w:t>(B</w:t>
            </w:r>
            <w:r w:rsidRPr="00A91334">
              <w:t>usiness, public provider)</w:t>
            </w:r>
          </w:p>
          <w:p w:rsidR="00D52B39" w:rsidRPr="00404B3B" w:rsidRDefault="00D52B39" w:rsidP="00D52B39">
            <w:pPr>
              <w:pStyle w:val="boxparastyle"/>
            </w:pPr>
            <w:r w:rsidRPr="00404B3B">
              <w:t xml:space="preserve">Moderation is challenging. Where you have 6 professionals you may have 7 [different] opinions. To achieve good moderation is quite hard. We try to reach a consensus but we can argue </w:t>
            </w:r>
            <w:r>
              <w:t>about having ‘</w:t>
            </w:r>
            <w:r w:rsidRPr="00404B3B">
              <w:t>local requirements</w:t>
            </w:r>
            <w:r>
              <w:t>’</w:t>
            </w:r>
            <w:r w:rsidRPr="00404B3B">
              <w:t xml:space="preserve"> (like those for</w:t>
            </w:r>
            <w:r>
              <w:t xml:space="preserve"> </w:t>
            </w:r>
            <w:r w:rsidRPr="00404B3B">
              <w:t>miners) contextualised. We argue about methodology as well as rule books.</w:t>
            </w:r>
            <w:r>
              <w:tab/>
              <w:t>(E</w:t>
            </w:r>
            <w:r w:rsidRPr="00A91334">
              <w:t>lectrical, public provider)</w:t>
            </w:r>
          </w:p>
          <w:p w:rsidR="00D52B39" w:rsidRPr="00404B3B" w:rsidRDefault="00D52B39" w:rsidP="00D52B39">
            <w:pPr>
              <w:pStyle w:val="boxparastyle"/>
              <w:rPr>
                <w:i/>
              </w:rPr>
            </w:pPr>
            <w:r w:rsidRPr="00404B3B">
              <w:t xml:space="preserve">Theory is easy to mark, practical is most challenging. Sometimes </w:t>
            </w:r>
            <w:r>
              <w:t>students</w:t>
            </w:r>
            <w:r w:rsidRPr="00404B3B">
              <w:t xml:space="preserve"> complete a practical but </w:t>
            </w:r>
            <w:r>
              <w:t xml:space="preserve">they </w:t>
            </w:r>
            <w:r w:rsidRPr="00404B3B">
              <w:t>may have issues in understanding. They can</w:t>
            </w:r>
            <w:r>
              <w:t>’</w:t>
            </w:r>
            <w:r w:rsidRPr="00404B3B">
              <w:t>t find the fault properly. He</w:t>
            </w:r>
            <w:r>
              <w:t>re it is difficult to make judg</w:t>
            </w:r>
            <w:r w:rsidRPr="00404B3B">
              <w:t>ments of competency. They need to finish on time. In some cases they may be given extra time because of lecturer empathy and compassion, but electricians are paid by the hour so students need to le</w:t>
            </w:r>
            <w:r>
              <w:t>arn to finish in the time given.</w:t>
            </w:r>
            <w:r>
              <w:tab/>
              <w:t>(E</w:t>
            </w:r>
            <w:r w:rsidRPr="00A91334">
              <w:t>lectrical, public provider)</w:t>
            </w:r>
          </w:p>
          <w:p w:rsidR="00D52B39" w:rsidRDefault="00D52B39" w:rsidP="00D52B39">
            <w:pPr>
              <w:pStyle w:val="boxparastyle"/>
              <w:spacing w:after="120"/>
            </w:pPr>
            <w:r>
              <w:t xml:space="preserve">Ensuring </w:t>
            </w:r>
            <w:r w:rsidRPr="00404B3B">
              <w:t>RPL currency</w:t>
            </w:r>
            <w:r>
              <w:t xml:space="preserve"> and</w:t>
            </w:r>
            <w:r w:rsidRPr="00404B3B">
              <w:t xml:space="preserve"> making sure that assessments align with wiring requirements and Australian Standards and </w:t>
            </w:r>
            <w:r>
              <w:t>training package</w:t>
            </w:r>
            <w:r w:rsidRPr="00404B3B">
              <w:t xml:space="preserve">. If there is an amendment we need to reflect this in assessment. </w:t>
            </w:r>
            <w:r>
              <w:t>T</w:t>
            </w:r>
            <w:r w:rsidRPr="00404B3B">
              <w:t>he time it takes to collect enough evidence to satisfy assessment criteria</w:t>
            </w:r>
            <w:r>
              <w:t xml:space="preserve"> for RPL and to do RPL correctly. Another challenge is the adequate </w:t>
            </w:r>
            <w:r w:rsidRPr="00404B3B">
              <w:t>training and expertise to conduct assessment</w:t>
            </w:r>
            <w:r>
              <w:t>s.</w:t>
            </w:r>
            <w:r>
              <w:tab/>
              <w:t>(E</w:t>
            </w:r>
            <w:r w:rsidRPr="00A91334">
              <w:t>lectrical, public provider)</w:t>
            </w:r>
          </w:p>
        </w:tc>
      </w:tr>
    </w:tbl>
    <w:p w:rsidR="003F4266" w:rsidRDefault="003F4266" w:rsidP="00D52B39">
      <w:pPr>
        <w:pStyle w:val="Textmorebefore"/>
      </w:pPr>
      <w:r>
        <w:t xml:space="preserve">Almost 60% of </w:t>
      </w:r>
      <w:r w:rsidR="004014B0">
        <w:t xml:space="preserve">respondents </w:t>
      </w:r>
      <w:r>
        <w:t xml:space="preserve">had either received information, guidelines or kits on assessment practice and or participated in related professional development programs, workshops and forums. Such events were either run internally by their own institutions or externally by </w:t>
      </w:r>
      <w:r w:rsidR="008645B8">
        <w:t>government training departments</w:t>
      </w:r>
      <w:r>
        <w:t xml:space="preserve"> and other agencies. Newsletters and websites (including </w:t>
      </w:r>
      <w:r w:rsidR="00BA48D4">
        <w:t xml:space="preserve">the websites of </w:t>
      </w:r>
      <w:r w:rsidR="008645B8">
        <w:t>industry skills councils</w:t>
      </w:r>
      <w:r>
        <w:t xml:space="preserve">) also kept them up to date </w:t>
      </w:r>
      <w:r w:rsidR="00BA48D4">
        <w:t xml:space="preserve">with </w:t>
      </w:r>
      <w:r>
        <w:t>recent trends or requirements.</w:t>
      </w:r>
      <w:r w:rsidR="00E3166C">
        <w:t xml:space="preserve"> </w:t>
      </w:r>
      <w:r>
        <w:t xml:space="preserve">Topics included </w:t>
      </w:r>
      <w:r w:rsidR="008645B8">
        <w:t>recognition of prior learning</w:t>
      </w:r>
      <w:r>
        <w:t>, validation and mode</w:t>
      </w:r>
      <w:r w:rsidR="008645B8">
        <w:t>ration, compliance requirements</w:t>
      </w:r>
      <w:r>
        <w:t xml:space="preserve"> and governance and risk. </w:t>
      </w:r>
      <w:r w:rsidR="00BA48D4">
        <w:t>However, this</w:t>
      </w:r>
      <w:r>
        <w:t xml:space="preserve"> </w:t>
      </w:r>
      <w:r w:rsidR="00BA48D4">
        <w:t>means that</w:t>
      </w:r>
      <w:r>
        <w:t xml:space="preserve"> a substantial proportion </w:t>
      </w:r>
      <w:r w:rsidR="0098185A">
        <w:t xml:space="preserve">of assessors </w:t>
      </w:r>
      <w:r w:rsidR="00BA48D4">
        <w:t xml:space="preserve">(that is, 40%) </w:t>
      </w:r>
      <w:r w:rsidR="0098185A">
        <w:t>undert</w:t>
      </w:r>
      <w:r w:rsidR="00BA48D4">
        <w:t>ook</w:t>
      </w:r>
      <w:r w:rsidR="0098185A">
        <w:t xml:space="preserve"> </w:t>
      </w:r>
      <w:r>
        <w:t xml:space="preserve">their own self-directed training to keep up with </w:t>
      </w:r>
      <w:r w:rsidR="008645B8" w:rsidRPr="00F57411">
        <w:t>Australian Skills Quality Authority</w:t>
      </w:r>
      <w:r>
        <w:t xml:space="preserve"> and other government updates. </w:t>
      </w:r>
    </w:p>
    <w:p w:rsidR="00D815D5" w:rsidRDefault="004014B0" w:rsidP="000737CD">
      <w:pPr>
        <w:pStyle w:val="Heading2"/>
      </w:pPr>
      <w:bookmarkStart w:id="75" w:name="_Toc381103196"/>
      <w:r>
        <w:t>C</w:t>
      </w:r>
      <w:r w:rsidR="000737CD">
        <w:t>hallenges for students</w:t>
      </w:r>
      <w:bookmarkEnd w:id="75"/>
      <w:r w:rsidR="000737CD">
        <w:t xml:space="preserve"> </w:t>
      </w:r>
    </w:p>
    <w:p w:rsidR="00BD2BB2" w:rsidRDefault="004014B0" w:rsidP="000737CD">
      <w:pPr>
        <w:pStyle w:val="Text"/>
      </w:pPr>
      <w:r>
        <w:t xml:space="preserve">Practitioners </w:t>
      </w:r>
      <w:r w:rsidR="000737CD">
        <w:t xml:space="preserve">were also asked for their </w:t>
      </w:r>
      <w:r>
        <w:t>perceptions</w:t>
      </w:r>
      <w:r w:rsidR="000737CD">
        <w:t xml:space="preserve"> on what </w:t>
      </w:r>
      <w:r w:rsidR="00BA48D4">
        <w:t>challenged</w:t>
      </w:r>
      <w:r w:rsidR="000737CD">
        <w:t xml:space="preserve"> students</w:t>
      </w:r>
      <w:r w:rsidR="008645B8">
        <w:t xml:space="preserve"> (table 12)</w:t>
      </w:r>
      <w:r w:rsidR="000737CD">
        <w:t xml:space="preserve">. Responses tended to </w:t>
      </w:r>
      <w:r w:rsidR="00BA48D4">
        <w:t>be associated with</w:t>
      </w:r>
      <w:r w:rsidR="000737CD">
        <w:t xml:space="preserve"> four key themes</w:t>
      </w:r>
      <w:r w:rsidR="008645B8">
        <w:t>:</w:t>
      </w:r>
      <w:r w:rsidR="00A004B3" w:rsidRPr="00A004B3">
        <w:t xml:space="preserve"> </w:t>
      </w:r>
      <w:r w:rsidR="00A004B3">
        <w:t xml:space="preserve">personal </w:t>
      </w:r>
      <w:r w:rsidR="008645B8">
        <w:t>situations,</w:t>
      </w:r>
      <w:r w:rsidR="00DA04D3">
        <w:t xml:space="preserve"> motivations</w:t>
      </w:r>
      <w:r w:rsidR="008645B8">
        <w:t xml:space="preserve"> and behaviour;</w:t>
      </w:r>
      <w:r w:rsidR="00A004B3">
        <w:t xml:space="preserve"> </w:t>
      </w:r>
      <w:r w:rsidR="00BD2BB2">
        <w:t>subject</w:t>
      </w:r>
      <w:r w:rsidR="00D52B39">
        <w:t> </w:t>
      </w:r>
      <w:r w:rsidR="00BD2BB2">
        <w:t>matter</w:t>
      </w:r>
      <w:r w:rsidR="008645B8">
        <w:t>,</w:t>
      </w:r>
      <w:r w:rsidR="00BD2BB2">
        <w:t xml:space="preserve"> knowledge and related skill</w:t>
      </w:r>
      <w:r w:rsidR="008645B8">
        <w:t>s; assessment process issues; and</w:t>
      </w:r>
      <w:r w:rsidR="00E3166C">
        <w:t xml:space="preserve"> </w:t>
      </w:r>
      <w:r w:rsidR="00BD2BB2">
        <w:t>language, literacy and numeracy skills</w:t>
      </w:r>
      <w:r w:rsidR="008645B8">
        <w:t>.</w:t>
      </w:r>
      <w:r w:rsidR="00E3166C">
        <w:t xml:space="preserve"> </w:t>
      </w:r>
    </w:p>
    <w:p w:rsidR="00492238" w:rsidRDefault="000737CD" w:rsidP="000737CD">
      <w:pPr>
        <w:pStyle w:val="Text"/>
      </w:pPr>
      <w:r>
        <w:lastRenderedPageBreak/>
        <w:t xml:space="preserve">Over half of </w:t>
      </w:r>
      <w:r w:rsidR="004014B0">
        <w:t xml:space="preserve">the respondents </w:t>
      </w:r>
      <w:r>
        <w:t xml:space="preserve">identified challenges </w:t>
      </w:r>
      <w:r w:rsidR="008645B8">
        <w:t>relating to</w:t>
      </w:r>
      <w:r>
        <w:t xml:space="preserve"> </w:t>
      </w:r>
      <w:r w:rsidR="00A004B3">
        <w:t>students</w:t>
      </w:r>
      <w:r w:rsidR="00D52B39">
        <w:t>’</w:t>
      </w:r>
      <w:r w:rsidR="00A004B3">
        <w:t xml:space="preserve"> personal situation</w:t>
      </w:r>
      <w:r w:rsidR="00AA7F1C">
        <w:t>s</w:t>
      </w:r>
      <w:r w:rsidR="00A004B3">
        <w:t xml:space="preserve">, motivations and behaviour. This included </w:t>
      </w:r>
      <w:r w:rsidR="00BA48D4">
        <w:t>their</w:t>
      </w:r>
      <w:r w:rsidR="00A004B3">
        <w:t xml:space="preserve"> motivation to persist </w:t>
      </w:r>
      <w:r w:rsidR="000028CC">
        <w:t>with</w:t>
      </w:r>
      <w:r w:rsidR="00A004B3">
        <w:t xml:space="preserve"> their studies, low attention spans and lack of interest in excelling in the subject</w:t>
      </w:r>
      <w:r w:rsidR="00DA04D3">
        <w:t xml:space="preserve">. </w:t>
      </w:r>
      <w:r w:rsidR="00492238">
        <w:t>O</w:t>
      </w:r>
      <w:r w:rsidR="00A004B3">
        <w:t xml:space="preserve">thers </w:t>
      </w:r>
      <w:r w:rsidR="004014B0">
        <w:t xml:space="preserve">referred to </w:t>
      </w:r>
      <w:r w:rsidR="008645B8">
        <w:t xml:space="preserve">the </w:t>
      </w:r>
      <w:r w:rsidR="004014B0">
        <w:t xml:space="preserve">difficulties experienced by those students who </w:t>
      </w:r>
      <w:r w:rsidR="00A004B3">
        <w:t xml:space="preserve">had returned to learning after long absences and found it </w:t>
      </w:r>
      <w:r w:rsidR="008645B8">
        <w:t xml:space="preserve">hard </w:t>
      </w:r>
      <w:r w:rsidR="00A004B3">
        <w:t>to apply themselv</w:t>
      </w:r>
      <w:r w:rsidR="008645B8">
        <w:t>es and who</w:t>
      </w:r>
      <w:r w:rsidR="00A004B3">
        <w:t xml:space="preserve"> lacked confidence or had a fear of assessments. </w:t>
      </w:r>
    </w:p>
    <w:p w:rsidR="00492238" w:rsidRDefault="00A004B3" w:rsidP="000737CD">
      <w:pPr>
        <w:pStyle w:val="Text"/>
      </w:pPr>
      <w:r>
        <w:t xml:space="preserve">A similar proportion of assessors had found </w:t>
      </w:r>
      <w:r w:rsidR="00BA48D4">
        <w:t xml:space="preserve">that </w:t>
      </w:r>
      <w:r>
        <w:t>student</w:t>
      </w:r>
      <w:r w:rsidR="0098185A">
        <w:t>s</w:t>
      </w:r>
      <w:r w:rsidR="00D52B39">
        <w:t>’</w:t>
      </w:r>
      <w:r w:rsidR="0098185A">
        <w:t xml:space="preserve"> </w:t>
      </w:r>
      <w:r>
        <w:t xml:space="preserve">challenges </w:t>
      </w:r>
      <w:r w:rsidR="008645B8">
        <w:t xml:space="preserve">were </w:t>
      </w:r>
      <w:r w:rsidR="0072449F">
        <w:t>related to</w:t>
      </w:r>
      <w:r>
        <w:t xml:space="preserve"> inadequate </w:t>
      </w:r>
      <w:r w:rsidR="0072449F">
        <w:t xml:space="preserve">knowledge of </w:t>
      </w:r>
      <w:r w:rsidR="008645B8">
        <w:t xml:space="preserve">the </w:t>
      </w:r>
      <w:r w:rsidR="0072449F">
        <w:t xml:space="preserve">relevant </w:t>
      </w:r>
      <w:r w:rsidR="008645B8">
        <w:t>subject matter</w:t>
      </w:r>
      <w:r w:rsidR="000737CD">
        <w:t xml:space="preserve"> </w:t>
      </w:r>
      <w:r w:rsidR="0072449F">
        <w:t xml:space="preserve">and deficiencies in practical </w:t>
      </w:r>
      <w:r w:rsidR="000737CD">
        <w:t>skill</w:t>
      </w:r>
      <w:r w:rsidR="008645B8">
        <w:t>s (including</w:t>
      </w:r>
      <w:r w:rsidR="0072449F">
        <w:t xml:space="preserve"> </w:t>
      </w:r>
      <w:r w:rsidR="000737CD">
        <w:t xml:space="preserve">manual handling for aged care </w:t>
      </w:r>
      <w:r w:rsidR="008645B8">
        <w:t>workers;</w:t>
      </w:r>
      <w:r w:rsidR="000737CD">
        <w:t xml:space="preserve"> </w:t>
      </w:r>
      <w:r w:rsidR="009A1B36">
        <w:t xml:space="preserve">business concepts and </w:t>
      </w:r>
      <w:r w:rsidR="000737CD">
        <w:t>financials for</w:t>
      </w:r>
      <w:r>
        <w:t xml:space="preserve"> those in </w:t>
      </w:r>
      <w:r w:rsidR="008645B8">
        <w:t>business;</w:t>
      </w:r>
      <w:r>
        <w:t xml:space="preserve"> </w:t>
      </w:r>
      <w:r w:rsidR="00DA04D3">
        <w:t xml:space="preserve">and </w:t>
      </w:r>
      <w:r w:rsidR="00BD2BB2">
        <w:t xml:space="preserve">technical standards and rules </w:t>
      </w:r>
      <w:r w:rsidR="000737CD">
        <w:t xml:space="preserve">for electrical). </w:t>
      </w:r>
      <w:r w:rsidR="00492238">
        <w:t xml:space="preserve">Theoretical concepts were </w:t>
      </w:r>
      <w:r w:rsidR="0098185A">
        <w:t xml:space="preserve">experienced </w:t>
      </w:r>
      <w:r w:rsidR="00492238">
        <w:t xml:space="preserve">to be a challenge </w:t>
      </w:r>
      <w:r w:rsidR="0098185A">
        <w:t xml:space="preserve">for students </w:t>
      </w:r>
      <w:r w:rsidR="00492238">
        <w:t xml:space="preserve">across all areas. </w:t>
      </w:r>
    </w:p>
    <w:p w:rsidR="00DA04D3" w:rsidRDefault="000737CD" w:rsidP="000737CD">
      <w:pPr>
        <w:pStyle w:val="Text"/>
      </w:pPr>
      <w:r>
        <w:t xml:space="preserve">Around </w:t>
      </w:r>
      <w:r w:rsidR="008645B8">
        <w:t>two-fifths</w:t>
      </w:r>
      <w:r>
        <w:t xml:space="preserve"> of </w:t>
      </w:r>
      <w:r w:rsidR="004014B0">
        <w:t>respondents</w:t>
      </w:r>
      <w:r>
        <w:t xml:space="preserve"> identified </w:t>
      </w:r>
      <w:r w:rsidR="005021C5">
        <w:t>challenges for students that were</w:t>
      </w:r>
      <w:r w:rsidR="009A1B36">
        <w:t xml:space="preserve"> </w:t>
      </w:r>
      <w:r w:rsidR="004014B0">
        <w:t>related to</w:t>
      </w:r>
      <w:r w:rsidR="009A1B36">
        <w:t xml:space="preserve"> assessment </w:t>
      </w:r>
      <w:r w:rsidR="00BD2BB2">
        <w:t xml:space="preserve">processes </w:t>
      </w:r>
      <w:r w:rsidR="009A1B36">
        <w:t xml:space="preserve">(for example, </w:t>
      </w:r>
      <w:r w:rsidR="0070392E">
        <w:t>the</w:t>
      </w:r>
      <w:r w:rsidR="00BD2BB2">
        <w:t xml:space="preserve"> </w:t>
      </w:r>
      <w:r w:rsidR="005021C5">
        <w:t>assessments</w:t>
      </w:r>
      <w:r w:rsidR="0070392E">
        <w:t>’ perceived lack of relevance</w:t>
      </w:r>
      <w:r w:rsidR="005021C5">
        <w:t xml:space="preserve"> </w:t>
      </w:r>
      <w:r w:rsidR="00BD2BB2">
        <w:t xml:space="preserve">to </w:t>
      </w:r>
      <w:r w:rsidR="00A004B3">
        <w:t xml:space="preserve">the </w:t>
      </w:r>
      <w:r w:rsidR="00BD2BB2">
        <w:t xml:space="preserve">workplace, time constraints, </w:t>
      </w:r>
      <w:r w:rsidR="00A004B3">
        <w:t xml:space="preserve">unclear </w:t>
      </w:r>
      <w:r w:rsidR="00BA48D4">
        <w:t>instructions</w:t>
      </w:r>
      <w:r w:rsidR="00BD2BB2">
        <w:t xml:space="preserve"> </w:t>
      </w:r>
      <w:r w:rsidR="00F31273">
        <w:t xml:space="preserve">and </w:t>
      </w:r>
      <w:r w:rsidR="00BD2BB2">
        <w:t>over-assessment</w:t>
      </w:r>
      <w:r w:rsidR="00F31273">
        <w:t xml:space="preserve">). </w:t>
      </w:r>
      <w:r w:rsidR="0098185A">
        <w:t>Inadequate preparation</w:t>
      </w:r>
      <w:r w:rsidR="00BA48D4">
        <w:t xml:space="preserve"> </w:t>
      </w:r>
      <w:r w:rsidR="00BA48D4" w:rsidRPr="005021C5">
        <w:t xml:space="preserve">by </w:t>
      </w:r>
      <w:r w:rsidR="0070392E">
        <w:t xml:space="preserve">the </w:t>
      </w:r>
      <w:r w:rsidR="005021C5">
        <w:t>students themselves</w:t>
      </w:r>
      <w:r w:rsidR="0098185A">
        <w:t xml:space="preserve">, </w:t>
      </w:r>
      <w:r w:rsidR="00B469AF">
        <w:t xml:space="preserve">a </w:t>
      </w:r>
      <w:r w:rsidR="0098185A">
        <w:t>l</w:t>
      </w:r>
      <w:r w:rsidR="00F31273">
        <w:t xml:space="preserve">ack of </w:t>
      </w:r>
      <w:r w:rsidR="0098185A">
        <w:t>meaningful</w:t>
      </w:r>
      <w:r w:rsidR="00BD2BB2">
        <w:t xml:space="preserve"> and timely feedback</w:t>
      </w:r>
      <w:r w:rsidR="00F31273">
        <w:t xml:space="preserve"> on prior assessments</w:t>
      </w:r>
      <w:r w:rsidR="00BD2BB2">
        <w:t xml:space="preserve">, </w:t>
      </w:r>
      <w:r w:rsidR="0098185A">
        <w:t xml:space="preserve">difficulties in </w:t>
      </w:r>
      <w:r w:rsidR="00F31273">
        <w:t xml:space="preserve">gathering </w:t>
      </w:r>
      <w:r w:rsidR="0098185A">
        <w:t xml:space="preserve">and having verified </w:t>
      </w:r>
      <w:r w:rsidR="00F31273">
        <w:t xml:space="preserve">evidence for RPL assessments, </w:t>
      </w:r>
      <w:r w:rsidR="00BD2BB2">
        <w:t xml:space="preserve">and </w:t>
      </w:r>
      <w:r w:rsidR="00B469AF">
        <w:t xml:space="preserve">an </w:t>
      </w:r>
      <w:r w:rsidR="00F31273">
        <w:t xml:space="preserve">inability to perform well in </w:t>
      </w:r>
      <w:r w:rsidR="00BD2BB2">
        <w:t>practical observations</w:t>
      </w:r>
      <w:r w:rsidR="00F31273">
        <w:t xml:space="preserve"> of skill were also cited</w:t>
      </w:r>
      <w:r w:rsidR="0098185A">
        <w:t>.</w:t>
      </w:r>
    </w:p>
    <w:p w:rsidR="00A917CC" w:rsidRDefault="00F31273" w:rsidP="000737CD">
      <w:pPr>
        <w:pStyle w:val="Text"/>
      </w:pPr>
      <w:r>
        <w:t>Literacy, language and numeracy issues were the fourth set of assessment challenges assessors identified for students. A key challenge for electrical apprentices was mathematical calculation</w:t>
      </w:r>
      <w:r w:rsidR="008645B8">
        <w:t>;</w:t>
      </w:r>
      <w:r w:rsidR="00492238">
        <w:t xml:space="preserve"> f</w:t>
      </w:r>
      <w:r>
        <w:t>or age</w:t>
      </w:r>
      <w:r w:rsidR="00492238">
        <w:t xml:space="preserve">d care students it was facility </w:t>
      </w:r>
      <w:r>
        <w:t>with language and literacy</w:t>
      </w:r>
      <w:r w:rsidR="00492238">
        <w:t xml:space="preserve"> (especially writing). </w:t>
      </w:r>
    </w:p>
    <w:p w:rsidR="00492238" w:rsidRDefault="00492238" w:rsidP="005021C5">
      <w:pPr>
        <w:pStyle w:val="tabletitle"/>
      </w:pPr>
      <w:bookmarkStart w:id="76" w:name="_Toc381103336"/>
      <w:r>
        <w:t xml:space="preserve">Table </w:t>
      </w:r>
      <w:r w:rsidR="00671BF2">
        <w:t>1</w:t>
      </w:r>
      <w:r w:rsidR="006146B3">
        <w:t>2</w:t>
      </w:r>
      <w:r w:rsidR="005021C5">
        <w:tab/>
      </w:r>
      <w:r>
        <w:t xml:space="preserve">Challenges identified by </w:t>
      </w:r>
      <w:r w:rsidR="003611E6">
        <w:t>practitioners</w:t>
      </w:r>
      <w:r>
        <w:t xml:space="preserve"> for students</w:t>
      </w:r>
      <w:bookmarkEnd w:id="76"/>
      <w:r>
        <w:t xml:space="preserve"> </w:t>
      </w:r>
    </w:p>
    <w:tbl>
      <w:tblPr>
        <w:tblStyle w:val="TableGrid"/>
        <w:tblW w:w="8789"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1701"/>
        <w:gridCol w:w="1701"/>
      </w:tblGrid>
      <w:tr w:rsidR="00517D32" w:rsidTr="005021C5">
        <w:tc>
          <w:tcPr>
            <w:tcW w:w="5387" w:type="dxa"/>
            <w:tcBorders>
              <w:top w:val="single" w:sz="4" w:space="0" w:color="000000" w:themeColor="text1"/>
              <w:bottom w:val="single" w:sz="4" w:space="0" w:color="auto"/>
            </w:tcBorders>
          </w:tcPr>
          <w:p w:rsidR="00517D32" w:rsidRDefault="00517D32" w:rsidP="00492238">
            <w:pPr>
              <w:pStyle w:val="Tablehead1"/>
            </w:pPr>
            <w:r>
              <w:t>Challenges for students</w:t>
            </w:r>
          </w:p>
        </w:tc>
        <w:tc>
          <w:tcPr>
            <w:tcW w:w="1701" w:type="dxa"/>
            <w:tcBorders>
              <w:top w:val="single" w:sz="4" w:space="0" w:color="000000" w:themeColor="text1"/>
              <w:bottom w:val="single" w:sz="4" w:space="0" w:color="auto"/>
            </w:tcBorders>
          </w:tcPr>
          <w:p w:rsidR="00517D32" w:rsidRDefault="00517D32" w:rsidP="005021C5">
            <w:pPr>
              <w:pStyle w:val="Tablehead1"/>
              <w:jc w:val="center"/>
            </w:pPr>
            <w:r>
              <w:t xml:space="preserve">No. of </w:t>
            </w:r>
            <w:r w:rsidR="005021C5">
              <w:br/>
            </w:r>
            <w:r>
              <w:t>responses</w:t>
            </w:r>
          </w:p>
        </w:tc>
        <w:tc>
          <w:tcPr>
            <w:tcW w:w="1701" w:type="dxa"/>
            <w:tcBorders>
              <w:top w:val="single" w:sz="4" w:space="0" w:color="000000" w:themeColor="text1"/>
              <w:bottom w:val="single" w:sz="4" w:space="0" w:color="auto"/>
            </w:tcBorders>
          </w:tcPr>
          <w:p w:rsidR="00517D32" w:rsidRDefault="00517D32" w:rsidP="005021C5">
            <w:pPr>
              <w:pStyle w:val="Tablehead1"/>
              <w:jc w:val="center"/>
            </w:pPr>
            <w:r>
              <w:t>% of respondents</w:t>
            </w:r>
            <w:r w:rsidR="005021C5">
              <w:br/>
            </w:r>
            <w:r>
              <w:t>(n</w:t>
            </w:r>
            <w:r w:rsidR="008645B8">
              <w:t xml:space="preserve"> </w:t>
            </w:r>
            <w:r>
              <w:t>=</w:t>
            </w:r>
            <w:r w:rsidR="008645B8">
              <w:t xml:space="preserve"> </w:t>
            </w:r>
            <w:r>
              <w:t>37)</w:t>
            </w:r>
            <w:r w:rsidR="008645B8" w:rsidRPr="008645B8">
              <w:rPr>
                <w:vertAlign w:val="superscript"/>
              </w:rPr>
              <w:t>1</w:t>
            </w:r>
          </w:p>
        </w:tc>
      </w:tr>
      <w:tr w:rsidR="00517D32" w:rsidRPr="005021C5" w:rsidTr="005021C5">
        <w:tc>
          <w:tcPr>
            <w:tcW w:w="5387" w:type="dxa"/>
            <w:vAlign w:val="bottom"/>
          </w:tcPr>
          <w:p w:rsidR="00517D32" w:rsidRPr="005021C5" w:rsidRDefault="00517D32" w:rsidP="005021C5">
            <w:pPr>
              <w:pStyle w:val="Tabletext"/>
            </w:pPr>
            <w:r w:rsidRPr="005021C5">
              <w:t>Deficiencies in personal attributes, attitudes, background and behaviours</w:t>
            </w:r>
          </w:p>
        </w:tc>
        <w:tc>
          <w:tcPr>
            <w:tcW w:w="1701" w:type="dxa"/>
            <w:vAlign w:val="bottom"/>
          </w:tcPr>
          <w:p w:rsidR="00517D32" w:rsidRPr="005021C5" w:rsidRDefault="00517D32" w:rsidP="005021C5">
            <w:pPr>
              <w:pStyle w:val="Tabletext"/>
              <w:tabs>
                <w:tab w:val="decimal" w:pos="851"/>
              </w:tabs>
            </w:pPr>
            <w:r w:rsidRPr="005021C5">
              <w:t>22</w:t>
            </w:r>
          </w:p>
        </w:tc>
        <w:tc>
          <w:tcPr>
            <w:tcW w:w="1701" w:type="dxa"/>
            <w:vAlign w:val="bottom"/>
          </w:tcPr>
          <w:p w:rsidR="00517D32" w:rsidRPr="005021C5" w:rsidRDefault="00517D32" w:rsidP="005021C5">
            <w:pPr>
              <w:pStyle w:val="Tabletext"/>
              <w:tabs>
                <w:tab w:val="decimal" w:pos="737"/>
              </w:tabs>
            </w:pPr>
            <w:r w:rsidRPr="005021C5">
              <w:t>59.4</w:t>
            </w:r>
          </w:p>
        </w:tc>
      </w:tr>
      <w:tr w:rsidR="00517D32" w:rsidRPr="005021C5" w:rsidTr="005021C5">
        <w:tc>
          <w:tcPr>
            <w:tcW w:w="5387" w:type="dxa"/>
            <w:vAlign w:val="bottom"/>
          </w:tcPr>
          <w:p w:rsidR="00517D32" w:rsidRPr="005021C5" w:rsidRDefault="00517D32" w:rsidP="005021C5">
            <w:pPr>
              <w:pStyle w:val="Tabletext"/>
            </w:pPr>
            <w:r w:rsidRPr="005021C5">
              <w:t xml:space="preserve">Inadequate subject content knowledge and skill </w:t>
            </w:r>
          </w:p>
        </w:tc>
        <w:tc>
          <w:tcPr>
            <w:tcW w:w="1701" w:type="dxa"/>
            <w:vAlign w:val="bottom"/>
          </w:tcPr>
          <w:p w:rsidR="00517D32" w:rsidRPr="005021C5" w:rsidRDefault="00517D32" w:rsidP="005021C5">
            <w:pPr>
              <w:pStyle w:val="Tabletext"/>
              <w:tabs>
                <w:tab w:val="decimal" w:pos="851"/>
              </w:tabs>
            </w:pPr>
            <w:r w:rsidRPr="005021C5">
              <w:t>21</w:t>
            </w:r>
          </w:p>
        </w:tc>
        <w:tc>
          <w:tcPr>
            <w:tcW w:w="1701" w:type="dxa"/>
            <w:vAlign w:val="bottom"/>
          </w:tcPr>
          <w:p w:rsidR="00517D32" w:rsidRPr="005021C5" w:rsidRDefault="00517D32" w:rsidP="005021C5">
            <w:pPr>
              <w:pStyle w:val="Tabletext"/>
              <w:tabs>
                <w:tab w:val="decimal" w:pos="737"/>
              </w:tabs>
            </w:pPr>
            <w:r w:rsidRPr="005021C5">
              <w:t>56.7</w:t>
            </w:r>
          </w:p>
        </w:tc>
      </w:tr>
      <w:tr w:rsidR="00517D32" w:rsidRPr="005021C5" w:rsidTr="005021C5">
        <w:tc>
          <w:tcPr>
            <w:tcW w:w="5387" w:type="dxa"/>
            <w:vAlign w:val="bottom"/>
          </w:tcPr>
          <w:p w:rsidR="00517D32" w:rsidRPr="005021C5" w:rsidRDefault="00517D32" w:rsidP="005021C5">
            <w:pPr>
              <w:pStyle w:val="Tabletext"/>
            </w:pPr>
            <w:r w:rsidRPr="005021C5">
              <w:t>Poor assessment practice</w:t>
            </w:r>
          </w:p>
        </w:tc>
        <w:tc>
          <w:tcPr>
            <w:tcW w:w="1701" w:type="dxa"/>
            <w:vAlign w:val="bottom"/>
          </w:tcPr>
          <w:p w:rsidR="00517D32" w:rsidRPr="005021C5" w:rsidRDefault="00517D32" w:rsidP="005021C5">
            <w:pPr>
              <w:pStyle w:val="Tabletext"/>
              <w:tabs>
                <w:tab w:val="decimal" w:pos="851"/>
              </w:tabs>
            </w:pPr>
            <w:r w:rsidRPr="005021C5">
              <w:t>16</w:t>
            </w:r>
          </w:p>
        </w:tc>
        <w:tc>
          <w:tcPr>
            <w:tcW w:w="1701" w:type="dxa"/>
            <w:vAlign w:val="bottom"/>
          </w:tcPr>
          <w:p w:rsidR="00517D32" w:rsidRPr="005021C5" w:rsidRDefault="00517D32" w:rsidP="005021C5">
            <w:pPr>
              <w:pStyle w:val="Tabletext"/>
              <w:tabs>
                <w:tab w:val="decimal" w:pos="737"/>
              </w:tabs>
            </w:pPr>
            <w:r w:rsidRPr="005021C5">
              <w:t>43.2</w:t>
            </w:r>
          </w:p>
        </w:tc>
      </w:tr>
      <w:tr w:rsidR="00517D32" w:rsidRPr="005021C5" w:rsidTr="005021C5">
        <w:tc>
          <w:tcPr>
            <w:tcW w:w="5387" w:type="dxa"/>
            <w:vAlign w:val="bottom"/>
          </w:tcPr>
          <w:p w:rsidR="00517D32" w:rsidRPr="005021C5" w:rsidRDefault="00517D32" w:rsidP="005021C5">
            <w:pPr>
              <w:pStyle w:val="Tabletext"/>
            </w:pPr>
            <w:r w:rsidRPr="005021C5">
              <w:t>Poor language, literacy and numeracy skills</w:t>
            </w:r>
          </w:p>
        </w:tc>
        <w:tc>
          <w:tcPr>
            <w:tcW w:w="1701" w:type="dxa"/>
            <w:vAlign w:val="bottom"/>
          </w:tcPr>
          <w:p w:rsidR="00517D32" w:rsidRPr="005021C5" w:rsidRDefault="00517D32" w:rsidP="005021C5">
            <w:pPr>
              <w:pStyle w:val="Tabletext"/>
              <w:tabs>
                <w:tab w:val="decimal" w:pos="851"/>
              </w:tabs>
            </w:pPr>
            <w:r w:rsidRPr="005021C5">
              <w:t>14</w:t>
            </w:r>
          </w:p>
        </w:tc>
        <w:tc>
          <w:tcPr>
            <w:tcW w:w="1701" w:type="dxa"/>
            <w:vAlign w:val="bottom"/>
          </w:tcPr>
          <w:p w:rsidR="00517D32" w:rsidRPr="005021C5" w:rsidRDefault="00517D32" w:rsidP="005021C5">
            <w:pPr>
              <w:pStyle w:val="Tabletext"/>
              <w:tabs>
                <w:tab w:val="decimal" w:pos="737"/>
              </w:tabs>
            </w:pPr>
            <w:r w:rsidRPr="005021C5">
              <w:t>37.8</w:t>
            </w:r>
          </w:p>
        </w:tc>
      </w:tr>
    </w:tbl>
    <w:p w:rsidR="00F91004" w:rsidRPr="005021C5" w:rsidRDefault="00F91004" w:rsidP="005021C5">
      <w:pPr>
        <w:pStyle w:val="Source"/>
      </w:pPr>
      <w:r>
        <w:t>Note:</w:t>
      </w:r>
      <w:r w:rsidR="005021C5">
        <w:tab/>
      </w:r>
      <w:r>
        <w:t>1</w:t>
      </w:r>
      <w:r w:rsidR="005021C5">
        <w:t xml:space="preserve">  </w:t>
      </w:r>
      <w:r>
        <w:t xml:space="preserve"> Refers to </w:t>
      </w:r>
      <w:r w:rsidRPr="005021C5">
        <w:t xml:space="preserve">multiple responses provided b y respondents in their interviews. </w:t>
      </w:r>
    </w:p>
    <w:p w:rsidR="00492238" w:rsidRDefault="005021C5" w:rsidP="005021C5">
      <w:pPr>
        <w:pStyle w:val="Source"/>
      </w:pPr>
      <w:r w:rsidRPr="005021C5">
        <w:t>Source:</w:t>
      </w:r>
      <w:r w:rsidRPr="005021C5">
        <w:tab/>
        <w:t>R</w:t>
      </w:r>
      <w:r w:rsidR="003F756A" w:rsidRPr="005021C5">
        <w:t>egistered training</w:t>
      </w:r>
      <w:r w:rsidR="003F756A">
        <w:t xml:space="preserve"> organisation</w:t>
      </w:r>
      <w:r w:rsidR="00492238">
        <w:t xml:space="preserve"> questionnaire for this study</w:t>
      </w:r>
      <w:r w:rsidR="00F91004">
        <w:t>.</w:t>
      </w:r>
    </w:p>
    <w:p w:rsidR="009E15E6" w:rsidRDefault="009E15E6" w:rsidP="00492238">
      <w:pPr>
        <w:pStyle w:val="Source"/>
      </w:pPr>
    </w:p>
    <w:p w:rsidR="00DA04D3" w:rsidRDefault="00DA04D3">
      <w:pPr>
        <w:rPr>
          <w:rFonts w:ascii="Arial" w:hAnsi="Arial"/>
          <w:sz w:val="15"/>
          <w:szCs w:val="20"/>
          <w:lang w:eastAsia="en-US"/>
        </w:rPr>
      </w:pPr>
      <w:r>
        <w:br w:type="page"/>
      </w:r>
    </w:p>
    <w:tbl>
      <w:tblPr>
        <w:tblStyle w:val="TableGrid"/>
        <w:tblW w:w="8789" w:type="dxa"/>
        <w:tblInd w:w="22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227" w:type="dxa"/>
          <w:right w:w="227" w:type="dxa"/>
        </w:tblCellMar>
        <w:tblLook w:val="04A0" w:firstRow="1" w:lastRow="0" w:firstColumn="1" w:lastColumn="0" w:noHBand="0" w:noVBand="1"/>
      </w:tblPr>
      <w:tblGrid>
        <w:gridCol w:w="8789"/>
      </w:tblGrid>
      <w:tr w:rsidR="00133B7A" w:rsidTr="00133B7A">
        <w:tc>
          <w:tcPr>
            <w:tcW w:w="9004" w:type="dxa"/>
            <w:shd w:val="clear" w:color="auto" w:fill="000000" w:themeFill="text1"/>
          </w:tcPr>
          <w:p w:rsidR="00133B7A" w:rsidRDefault="00133B7A" w:rsidP="00133B7A">
            <w:pPr>
              <w:pStyle w:val="Tablehead1"/>
            </w:pPr>
            <w:r w:rsidRPr="00F91004">
              <w:rPr>
                <w:szCs w:val="19"/>
              </w:rPr>
              <w:lastRenderedPageBreak/>
              <w:t>What practitioners say</w:t>
            </w:r>
          </w:p>
        </w:tc>
      </w:tr>
      <w:tr w:rsidR="00133B7A" w:rsidTr="00133B7A">
        <w:tc>
          <w:tcPr>
            <w:tcW w:w="9004" w:type="dxa"/>
          </w:tcPr>
          <w:p w:rsidR="005E6E2E" w:rsidRPr="00F469E6" w:rsidRDefault="005E6E2E" w:rsidP="005E6E2E">
            <w:pPr>
              <w:pStyle w:val="Tablehead1"/>
              <w:spacing w:before="120"/>
            </w:pPr>
            <w:r w:rsidRPr="00F469E6">
              <w:t>Challenges for students</w:t>
            </w:r>
          </w:p>
          <w:p w:rsidR="005E6E2E" w:rsidRDefault="005E6E2E" w:rsidP="005E6E2E">
            <w:pPr>
              <w:pStyle w:val="boxparastyle"/>
            </w:pPr>
            <w:r w:rsidRPr="009E15E6">
              <w:t xml:space="preserve">Students complete </w:t>
            </w:r>
            <w:r>
              <w:t xml:space="preserve">a </w:t>
            </w:r>
            <w:r w:rsidRPr="009E15E6">
              <w:t>survey every two years</w:t>
            </w:r>
            <w:r>
              <w:t xml:space="preserve"> and </w:t>
            </w:r>
            <w:r w:rsidRPr="009E15E6">
              <w:t xml:space="preserve">say </w:t>
            </w:r>
            <w:r>
              <w:t xml:space="preserve">that </w:t>
            </w:r>
            <w:r w:rsidRPr="009E15E6">
              <w:t>ade</w:t>
            </w:r>
            <w:r>
              <w:t xml:space="preserve">quate feedback is the challenge. When they do </w:t>
            </w:r>
            <w:r w:rsidRPr="009E15E6">
              <w:t xml:space="preserve">get feedback </w:t>
            </w:r>
            <w:r>
              <w:t xml:space="preserve">it is found to be </w:t>
            </w:r>
            <w:r w:rsidRPr="009E15E6">
              <w:t xml:space="preserve">too late </w:t>
            </w:r>
            <w:r>
              <w:t xml:space="preserve">and in the meanwhile they would have had to do </w:t>
            </w:r>
            <w:r w:rsidRPr="009E15E6">
              <w:t xml:space="preserve">another assessment, and would not have been able to build on </w:t>
            </w:r>
            <w:r>
              <w:t>their learning. For students undertaking Certificate III</w:t>
            </w:r>
            <w:r w:rsidRPr="009E15E6">
              <w:t xml:space="preserve"> some will struggle with numbers, </w:t>
            </w:r>
            <w:r>
              <w:t xml:space="preserve">and </w:t>
            </w:r>
            <w:r w:rsidRPr="009E15E6">
              <w:t>financial</w:t>
            </w:r>
            <w:r>
              <w:t>s. C</w:t>
            </w:r>
            <w:r w:rsidRPr="009E15E6">
              <w:t>ert</w:t>
            </w:r>
            <w:r>
              <w:t xml:space="preserve">ificate </w:t>
            </w:r>
            <w:r w:rsidRPr="009E15E6">
              <w:t>IV</w:t>
            </w:r>
            <w:r>
              <w:t xml:space="preserve"> students </w:t>
            </w:r>
            <w:r w:rsidRPr="009E15E6">
              <w:t>don</w:t>
            </w:r>
            <w:r>
              <w:t>’</w:t>
            </w:r>
            <w:r w:rsidRPr="009E15E6">
              <w:t>t put enou</w:t>
            </w:r>
            <w:r>
              <w:t>gh information in their answers and</w:t>
            </w:r>
            <w:r w:rsidRPr="009E15E6">
              <w:t xml:space="preserve"> will provide minimal info</w:t>
            </w:r>
            <w:r>
              <w:t>rmation</w:t>
            </w:r>
            <w:r w:rsidRPr="009E15E6">
              <w:t xml:space="preserve"> rather than as much as they can</w:t>
            </w:r>
            <w:r>
              <w:t>. No</w:t>
            </w:r>
            <w:r w:rsidRPr="009E15E6">
              <w:t xml:space="preserve">t enough detail could be </w:t>
            </w:r>
            <w:r>
              <w:t xml:space="preserve">due to </w:t>
            </w:r>
            <w:r w:rsidRPr="009E15E6">
              <w:t>over-confidence or not enough confidence</w:t>
            </w:r>
            <w:r>
              <w:t>. S</w:t>
            </w:r>
            <w:r w:rsidRPr="009E15E6">
              <w:t>ome people waffle rather than give substance especially those with uni</w:t>
            </w:r>
            <w:r>
              <w:t>versity</w:t>
            </w:r>
            <w:r w:rsidRPr="009E15E6">
              <w:t xml:space="preserve"> qual</w:t>
            </w:r>
            <w:r>
              <w:t>ification</w:t>
            </w:r>
            <w:r w:rsidRPr="009E15E6">
              <w:t>s</w:t>
            </w:r>
            <w:r>
              <w:t>.</w:t>
            </w:r>
            <w:r w:rsidRPr="009E15E6">
              <w:t xml:space="preserve"> </w:t>
            </w:r>
            <w:r>
              <w:t xml:space="preserve">They </w:t>
            </w:r>
            <w:r w:rsidRPr="009E15E6">
              <w:t>s</w:t>
            </w:r>
            <w:r>
              <w:t>ound good but have said nothing</w:t>
            </w:r>
            <w:r w:rsidRPr="009E15E6">
              <w:t>.</w:t>
            </w:r>
            <w:r>
              <w:tab/>
              <w:t>(B</w:t>
            </w:r>
            <w:r w:rsidRPr="00F91004">
              <w:t>usiness, public provider)</w:t>
            </w:r>
          </w:p>
          <w:p w:rsidR="005E6E2E" w:rsidRPr="00F469E6" w:rsidRDefault="005E6E2E" w:rsidP="005E6E2E">
            <w:pPr>
              <w:pStyle w:val="boxparastyle"/>
            </w:pPr>
            <w:r>
              <w:t>Challenges for students are b</w:t>
            </w:r>
            <w:r w:rsidRPr="003A606A">
              <w:t xml:space="preserve">eing able to undertake </w:t>
            </w:r>
            <w:r>
              <w:t xml:space="preserve">the </w:t>
            </w:r>
            <w:r w:rsidRPr="003A606A">
              <w:t>learning itself</w:t>
            </w:r>
            <w:r>
              <w:t>. The</w:t>
            </w:r>
            <w:r w:rsidRPr="003A606A">
              <w:t xml:space="preserve"> majority of students </w:t>
            </w:r>
            <w:r>
              <w:t xml:space="preserve">are </w:t>
            </w:r>
            <w:r w:rsidRPr="003A606A">
              <w:t xml:space="preserve">coming back to study after </w:t>
            </w:r>
            <w:r>
              <w:t xml:space="preserve">a </w:t>
            </w:r>
            <w:r w:rsidRPr="003A606A">
              <w:t>period of time</w:t>
            </w:r>
            <w:r>
              <w:t xml:space="preserve">. They find it challenging to do </w:t>
            </w:r>
            <w:r w:rsidRPr="003A606A">
              <w:t>finance and budget</w:t>
            </w:r>
            <w:r>
              <w:t>ing</w:t>
            </w:r>
            <w:r w:rsidRPr="003A606A">
              <w:t xml:space="preserve"> units, </w:t>
            </w:r>
            <w:r>
              <w:t xml:space="preserve">often because they don’t have the </w:t>
            </w:r>
            <w:r w:rsidRPr="003A606A">
              <w:t>financial</w:t>
            </w:r>
            <w:r>
              <w:t xml:space="preserve"> background to understand these.</w:t>
            </w:r>
            <w:r>
              <w:tab/>
              <w:t>(B</w:t>
            </w:r>
            <w:r w:rsidRPr="00F91004">
              <w:t>usiness</w:t>
            </w:r>
            <w:r>
              <w:t>,</w:t>
            </w:r>
            <w:r w:rsidRPr="00F91004">
              <w:t xml:space="preserve"> public provider)</w:t>
            </w:r>
          </w:p>
          <w:p w:rsidR="005E6E2E" w:rsidRPr="00F469E6" w:rsidRDefault="005E6E2E" w:rsidP="005E6E2E">
            <w:pPr>
              <w:pStyle w:val="boxparastyle"/>
            </w:pPr>
            <w:r>
              <w:t xml:space="preserve">Students have problems with </w:t>
            </w:r>
            <w:r w:rsidRPr="005976B1">
              <w:t>high end theory</w:t>
            </w:r>
            <w:r>
              <w:t xml:space="preserve"> (e.g. </w:t>
            </w:r>
            <w:r>
              <w:rPr>
                <w:i/>
              </w:rPr>
              <w:t>W</w:t>
            </w:r>
            <w:r w:rsidRPr="00DA04D3">
              <w:rPr>
                <w:i/>
              </w:rPr>
              <w:t>hat is electricity and how does it work</w:t>
            </w:r>
            <w:r>
              <w:t>)</w:t>
            </w:r>
            <w:r w:rsidRPr="005976B1">
              <w:t xml:space="preserve">, </w:t>
            </w:r>
            <w:r>
              <w:t xml:space="preserve">other fundamental </w:t>
            </w:r>
            <w:r w:rsidRPr="005976B1">
              <w:t xml:space="preserve">principles, </w:t>
            </w:r>
            <w:r>
              <w:t xml:space="preserve">and mathematical equations. They are also challenged by the </w:t>
            </w:r>
            <w:r w:rsidRPr="005976B1">
              <w:t xml:space="preserve">scientific units, E002 </w:t>
            </w:r>
            <w:r>
              <w:t>is specific to electrical programs</w:t>
            </w:r>
            <w:r w:rsidRPr="005976B1">
              <w:t>,</w:t>
            </w:r>
            <w:r>
              <w:t xml:space="preserve"> and </w:t>
            </w:r>
            <w:r w:rsidRPr="005976B1">
              <w:t xml:space="preserve">G002 </w:t>
            </w:r>
            <w:r>
              <w:t xml:space="preserve">is more </w:t>
            </w:r>
            <w:r w:rsidRPr="005976B1">
              <w:t>general</w:t>
            </w:r>
            <w:r>
              <w:t xml:space="preserve"> and applies to refrigeration.</w:t>
            </w:r>
            <w:r>
              <w:tab/>
              <w:t>(E</w:t>
            </w:r>
            <w:r w:rsidRPr="00F91004">
              <w:t>lectrical, public provider)</w:t>
            </w:r>
          </w:p>
          <w:p w:rsidR="005E6E2E" w:rsidRPr="00F91004" w:rsidRDefault="005E6E2E" w:rsidP="005E6E2E">
            <w:pPr>
              <w:pStyle w:val="boxparastyle"/>
            </w:pPr>
            <w:r>
              <w:t>They have trouble with m</w:t>
            </w:r>
            <w:r w:rsidRPr="005976B1">
              <w:t>ath</w:t>
            </w:r>
            <w:r>
              <w:t>ematic</w:t>
            </w:r>
            <w:r w:rsidRPr="005976B1">
              <w:t>s</w:t>
            </w:r>
            <w:r>
              <w:t xml:space="preserve">, Unit G002 (has a lot of maths </w:t>
            </w:r>
            <w:r w:rsidRPr="005976B1">
              <w:t>in it) and</w:t>
            </w:r>
            <w:r>
              <w:t xml:space="preserve"> </w:t>
            </w:r>
            <w:r w:rsidRPr="005976B1">
              <w:t>AC theory</w:t>
            </w:r>
            <w:r w:rsidRPr="00F91004">
              <w:t>.</w:t>
            </w:r>
            <w:r w:rsidR="0070392E">
              <w:br/>
            </w:r>
            <w:r>
              <w:tab/>
              <w:t>(Electrical, not-for-</w:t>
            </w:r>
            <w:r w:rsidRPr="00F91004">
              <w:t>profit provider)</w:t>
            </w:r>
          </w:p>
          <w:p w:rsidR="005E6E2E" w:rsidRPr="00F469E6" w:rsidRDefault="005E6E2E" w:rsidP="005E6E2E">
            <w:pPr>
              <w:pStyle w:val="boxparastyle"/>
            </w:pPr>
            <w:r w:rsidRPr="00517D32">
              <w:t>Challenges are about whether the</w:t>
            </w:r>
            <w:r>
              <w:t>y</w:t>
            </w:r>
            <w:r w:rsidRPr="00517D32">
              <w:t xml:space="preserve"> can they finish in time, ability to calculate the load, trouble shooting, AC DC circuits and finding faults. If they have not done the right calculations then </w:t>
            </w:r>
            <w:r>
              <w:t xml:space="preserve">[they] </w:t>
            </w:r>
            <w:r w:rsidRPr="00517D32">
              <w:t>will not be able to find the fault. If doing Telecom units on Renewable Energy the challenge is whether they can do the data cabling</w:t>
            </w:r>
            <w:r>
              <w:t>.</w:t>
            </w:r>
            <w:r>
              <w:br/>
            </w:r>
            <w:r>
              <w:tab/>
            </w:r>
            <w:r w:rsidRPr="00F91004">
              <w:t>(</w:t>
            </w:r>
            <w:r>
              <w:t>E</w:t>
            </w:r>
            <w:r w:rsidRPr="00F91004">
              <w:t>lectrical, public provider)</w:t>
            </w:r>
          </w:p>
          <w:p w:rsidR="005E6E2E" w:rsidRPr="00F469E6" w:rsidRDefault="005E6E2E" w:rsidP="005E6E2E">
            <w:pPr>
              <w:pStyle w:val="boxparastyle"/>
            </w:pPr>
            <w:r w:rsidRPr="00517D32">
              <w:t>For those who have</w:t>
            </w:r>
            <w:r>
              <w:t xml:space="preserve"> </w:t>
            </w:r>
            <w:r w:rsidRPr="00517D32">
              <w:t>lower computer literacy</w:t>
            </w:r>
            <w:r w:rsidR="0070392E">
              <w:t>,</w:t>
            </w:r>
            <w:r w:rsidRPr="00517D32">
              <w:t xml:space="preserve"> then meeting the technology requirements of exter</w:t>
            </w:r>
            <w:r>
              <w:t>nal delivery can be challenging</w:t>
            </w:r>
            <w:r w:rsidRPr="00517D32">
              <w:t xml:space="preserve"> (including scanning, email documents, using software programs, following instructions</w:t>
            </w:r>
            <w:r>
              <w:t xml:space="preserve"> </w:t>
            </w:r>
            <w:r w:rsidRPr="00517D32">
              <w:t>and ensuring that they have answered or done all the assessment requirements as required</w:t>
            </w:r>
            <w:r w:rsidR="0070392E">
              <w:t>)</w:t>
            </w:r>
            <w:r w:rsidRPr="00517D32">
              <w:t>. Lack of literacy and numeracy skills, and lack of employability skills are other challenges. The ability to use technology helps</w:t>
            </w:r>
            <w:r>
              <w:t>.</w:t>
            </w:r>
            <w:r>
              <w:rPr>
                <w:i/>
              </w:rPr>
              <w:tab/>
            </w:r>
            <w:r>
              <w:t>(B</w:t>
            </w:r>
            <w:r w:rsidRPr="005447F7">
              <w:t>usiness, private provider)</w:t>
            </w:r>
          </w:p>
          <w:p w:rsidR="005E6E2E" w:rsidRPr="00671BF2" w:rsidRDefault="005E6E2E" w:rsidP="005E6E2E">
            <w:pPr>
              <w:pStyle w:val="boxparastyle"/>
            </w:pPr>
            <w:r w:rsidRPr="00517D32">
              <w:t xml:space="preserve">Classroom students tend not to have any difficulties. E-learning students are challenged by the lack of motivation to stick at it. Challenges of motivation also have to do with students who are doing the course because they have to do it because </w:t>
            </w:r>
            <w:r w:rsidR="0070392E">
              <w:t xml:space="preserve">of </w:t>
            </w:r>
            <w:r w:rsidRPr="00517D32">
              <w:t>Centre-link requirements</w:t>
            </w:r>
            <w:r>
              <w:t>.</w:t>
            </w:r>
            <w:r>
              <w:rPr>
                <w:i/>
              </w:rPr>
              <w:tab/>
            </w:r>
            <w:r>
              <w:t>(B</w:t>
            </w:r>
            <w:r w:rsidRPr="005447F7">
              <w:t>usiness, private provider)</w:t>
            </w:r>
          </w:p>
          <w:p w:rsidR="005E6E2E" w:rsidRPr="00671BF2" w:rsidRDefault="005E6E2E" w:rsidP="005E6E2E">
            <w:pPr>
              <w:pStyle w:val="boxparastyle"/>
            </w:pPr>
            <w:r w:rsidRPr="009E15E6">
              <w:t>Students are quite scared of assessments. Mature</w:t>
            </w:r>
            <w:r>
              <w:t>-</w:t>
            </w:r>
            <w:r w:rsidRPr="009E15E6">
              <w:t>aged</w:t>
            </w:r>
            <w:r>
              <w:t xml:space="preserve"> students</w:t>
            </w:r>
            <w:r w:rsidRPr="009E15E6">
              <w:t xml:space="preserve"> are often scared of getting </w:t>
            </w:r>
            <w:r>
              <w:t xml:space="preserve">what they know </w:t>
            </w:r>
            <w:r w:rsidRPr="009E15E6">
              <w:t>onto paper (</w:t>
            </w:r>
            <w:r>
              <w:t xml:space="preserve">they </w:t>
            </w:r>
            <w:r w:rsidRPr="009E15E6">
              <w:t>have experienced low school expectations</w:t>
            </w:r>
            <w:r>
              <w:t xml:space="preserve">). Other challenges are </w:t>
            </w:r>
            <w:r w:rsidRPr="009E15E6">
              <w:t>trick questions</w:t>
            </w:r>
            <w:r>
              <w:t>,</w:t>
            </w:r>
            <w:r w:rsidRPr="009E15E6">
              <w:t xml:space="preserve"> literacy and numeracy issues for </w:t>
            </w:r>
            <w:r>
              <w:t>50-year-</w:t>
            </w:r>
            <w:r w:rsidRPr="009E15E6">
              <w:t xml:space="preserve">olds, </w:t>
            </w:r>
            <w:r>
              <w:t>completion</w:t>
            </w:r>
            <w:r w:rsidRPr="009E15E6">
              <w:t xml:space="preserve"> requirement</w:t>
            </w:r>
            <w:r>
              <w:t>s</w:t>
            </w:r>
            <w:r w:rsidRPr="009E15E6">
              <w:t>, financial stress, lack of time if working in another job,</w:t>
            </w:r>
            <w:r>
              <w:t xml:space="preserve"> </w:t>
            </w:r>
            <w:r w:rsidRPr="009E15E6">
              <w:t xml:space="preserve">childcare if single parents or </w:t>
            </w:r>
            <w:r>
              <w:t>one</w:t>
            </w:r>
            <w:r w:rsidRPr="009E15E6">
              <w:t xml:space="preserve"> partner </w:t>
            </w:r>
            <w:r>
              <w:t xml:space="preserve">is </w:t>
            </w:r>
            <w:r w:rsidRPr="009E15E6">
              <w:t>working away, and transport</w:t>
            </w:r>
            <w:r>
              <w:t xml:space="preserve"> difficulties.</w:t>
            </w:r>
            <w:r>
              <w:tab/>
              <w:t>(A</w:t>
            </w:r>
            <w:r w:rsidRPr="005447F7">
              <w:t>ged care, public provider)</w:t>
            </w:r>
          </w:p>
          <w:p w:rsidR="005E6E2E" w:rsidRPr="00671BF2" w:rsidRDefault="005E6E2E" w:rsidP="005E6E2E">
            <w:pPr>
              <w:pStyle w:val="boxparastyle"/>
            </w:pPr>
            <w:r>
              <w:t>The challenge is about b</w:t>
            </w:r>
            <w:r w:rsidRPr="009E15E6">
              <w:t>eing observed actually doing a task.</w:t>
            </w:r>
            <w:r>
              <w:tab/>
              <w:t>(A</w:t>
            </w:r>
            <w:r w:rsidRPr="005447F7">
              <w:t>ged care, private provider)</w:t>
            </w:r>
          </w:p>
          <w:p w:rsidR="005E6E2E" w:rsidRPr="00F469E6" w:rsidRDefault="005E6E2E" w:rsidP="005E6E2E">
            <w:pPr>
              <w:pStyle w:val="boxparastyle"/>
            </w:pPr>
            <w:r>
              <w:t xml:space="preserve">Students </w:t>
            </w:r>
            <w:r w:rsidRPr="009E15E6">
              <w:t xml:space="preserve">from </w:t>
            </w:r>
            <w:r>
              <w:t>non-E</w:t>
            </w:r>
            <w:r w:rsidRPr="009E15E6">
              <w:t>nglish-speaking</w:t>
            </w:r>
            <w:r w:rsidR="0070392E">
              <w:t xml:space="preserve"> </w:t>
            </w:r>
            <w:r w:rsidRPr="009E15E6">
              <w:t xml:space="preserve">backgrounds </w:t>
            </w:r>
            <w:r>
              <w:t>have i</w:t>
            </w:r>
            <w:r w:rsidRPr="009E15E6">
              <w:t>ssues with language, literacy and numeracy</w:t>
            </w:r>
            <w:r>
              <w:t xml:space="preserve">, and </w:t>
            </w:r>
            <w:r w:rsidRPr="009E15E6">
              <w:t>can have problems understanding wording in assessments. Too many assessments</w:t>
            </w:r>
            <w:r>
              <w:t xml:space="preserve"> are also a challenge for students</w:t>
            </w:r>
            <w:r w:rsidRPr="009E15E6">
              <w:t>.</w:t>
            </w:r>
            <w:r>
              <w:t xml:space="preserve"> </w:t>
            </w:r>
            <w:r w:rsidRPr="009E15E6">
              <w:t>Keeping up</w:t>
            </w:r>
            <w:r>
              <w:t xml:space="preserve"> with their studies </w:t>
            </w:r>
            <w:r w:rsidRPr="009E15E6">
              <w:t>(</w:t>
            </w:r>
            <w:r>
              <w:t>about 4 hour</w:t>
            </w:r>
            <w:r w:rsidRPr="009E15E6">
              <w:t xml:space="preserve">s a week study outside classroom Is required) </w:t>
            </w:r>
            <w:r>
              <w:t>is challenging, as is m</w:t>
            </w:r>
            <w:r w:rsidRPr="009E15E6">
              <w:t>eeting the high 90% pass marks bar</w:t>
            </w:r>
            <w:r>
              <w:t xml:space="preserve"> </w:t>
            </w:r>
            <w:r w:rsidRPr="009E15E6">
              <w:t>(required by auditors).</w:t>
            </w:r>
            <w:r>
              <w:tab/>
            </w:r>
            <w:r w:rsidRPr="005447F7">
              <w:t>(</w:t>
            </w:r>
            <w:r>
              <w:t>A</w:t>
            </w:r>
            <w:r w:rsidRPr="005447F7">
              <w:t>ged care, public provider)</w:t>
            </w:r>
          </w:p>
          <w:p w:rsidR="00133B7A" w:rsidRDefault="005E6E2E" w:rsidP="005E6E2E">
            <w:pPr>
              <w:pStyle w:val="boxparastyle"/>
              <w:spacing w:after="120"/>
            </w:pPr>
            <w:r w:rsidRPr="00517D32">
              <w:t xml:space="preserve">Getting the third party report completed </w:t>
            </w:r>
            <w:r>
              <w:t>(</w:t>
            </w:r>
            <w:r w:rsidRPr="00517D32">
              <w:t>because of time constraints</w:t>
            </w:r>
            <w:r>
              <w:t>)</w:t>
            </w:r>
            <w:r w:rsidRPr="00517D32">
              <w:t xml:space="preserve"> from employer and budd</w:t>
            </w:r>
            <w:r>
              <w:t>ies</w:t>
            </w:r>
            <w:r w:rsidRPr="00517D32">
              <w:t xml:space="preserve"> (students usually buddy up with someone). Budd</w:t>
            </w:r>
            <w:r>
              <w:t>ies</w:t>
            </w:r>
            <w:r w:rsidRPr="00517D32">
              <w:t xml:space="preserve"> might not have </w:t>
            </w:r>
            <w:r w:rsidRPr="005E6E2E">
              <w:t xml:space="preserve">time so </w:t>
            </w:r>
            <w:r w:rsidRPr="00517D32">
              <w:t>third party reports</w:t>
            </w:r>
            <w:r>
              <w:t xml:space="preserve"> they provide may be</w:t>
            </w:r>
            <w:r w:rsidRPr="00517D32">
              <w:t xml:space="preserve"> quite short.</w:t>
            </w:r>
            <w:r>
              <w:br/>
            </w:r>
            <w:r>
              <w:tab/>
              <w:t>(A</w:t>
            </w:r>
            <w:r w:rsidRPr="005447F7">
              <w:t>ged care, private provider)</w:t>
            </w:r>
          </w:p>
        </w:tc>
      </w:tr>
    </w:tbl>
    <w:p w:rsidR="003A606A" w:rsidRDefault="00613D3E" w:rsidP="00FF4C65">
      <w:pPr>
        <w:pStyle w:val="Heading2"/>
      </w:pPr>
      <w:bookmarkStart w:id="77" w:name="_Toc381103197"/>
      <w:r>
        <w:t>Listening to the students</w:t>
      </w:r>
      <w:bookmarkEnd w:id="77"/>
      <w:r>
        <w:t xml:space="preserve"> </w:t>
      </w:r>
    </w:p>
    <w:p w:rsidR="00B378BF" w:rsidRDefault="00D73901" w:rsidP="00D73901">
      <w:pPr>
        <w:pStyle w:val="Text"/>
      </w:pPr>
      <w:r w:rsidRPr="00D73901">
        <w:t xml:space="preserve">The </w:t>
      </w:r>
      <w:r w:rsidR="0070392E">
        <w:t xml:space="preserve">annual </w:t>
      </w:r>
      <w:r w:rsidRPr="00D73901">
        <w:t xml:space="preserve">Student Outcomes Survey </w:t>
      </w:r>
      <w:r w:rsidR="0073669D">
        <w:t xml:space="preserve">(SOS) </w:t>
      </w:r>
      <w:r>
        <w:t>conducted by the National Centre for Vocational Education Research</w:t>
      </w:r>
      <w:r w:rsidR="00174B45">
        <w:t xml:space="preserve"> </w:t>
      </w:r>
      <w:r w:rsidRPr="00D73901">
        <w:t xml:space="preserve">gathers information </w:t>
      </w:r>
      <w:r w:rsidR="00174B45">
        <w:t xml:space="preserve">on the level of satisfaction </w:t>
      </w:r>
      <w:r w:rsidR="006C52DE">
        <w:t xml:space="preserve">that </w:t>
      </w:r>
      <w:r w:rsidR="00174B45">
        <w:t xml:space="preserve">VET graduates have with their VET courses. Five of the questions deal with </w:t>
      </w:r>
      <w:r w:rsidR="00B378BF">
        <w:t xml:space="preserve">satisfaction with </w:t>
      </w:r>
      <w:r w:rsidR="00174B45">
        <w:t>assessment experience</w:t>
      </w:r>
      <w:r w:rsidR="00B378BF">
        <w:t>s</w:t>
      </w:r>
      <w:r w:rsidR="00860C63">
        <w:t xml:space="preserve">. </w:t>
      </w:r>
    </w:p>
    <w:p w:rsidR="00174B45" w:rsidRDefault="00174B45" w:rsidP="00D73901">
      <w:pPr>
        <w:pStyle w:val="Text"/>
      </w:pPr>
      <w:r>
        <w:t xml:space="preserve">Between 83% and 90% of all graduate respondents were satisfied with their </w:t>
      </w:r>
      <w:r w:rsidR="00B469AF">
        <w:t>various</w:t>
      </w:r>
      <w:r w:rsidR="00B378BF">
        <w:t xml:space="preserve"> </w:t>
      </w:r>
      <w:r>
        <w:t>assessment experiences</w:t>
      </w:r>
      <w:r w:rsidR="00B378BF">
        <w:t>, with 90% of all graduates reporting that they were satisfied across the board</w:t>
      </w:r>
      <w:r w:rsidR="008C1694">
        <w:t xml:space="preserve"> (table 13)</w:t>
      </w:r>
      <w:r w:rsidR="006C52DE">
        <w:t xml:space="preserve">. </w:t>
      </w:r>
      <w:r>
        <w:t xml:space="preserve">A similar satisfaction level was reported for graduates of Certificate III </w:t>
      </w:r>
      <w:r w:rsidR="006C52DE">
        <w:t>in Aged Care</w:t>
      </w:r>
      <w:r>
        <w:t xml:space="preserve"> and a range of Certificate III in Business programs.</w:t>
      </w:r>
      <w:r w:rsidR="00860C63">
        <w:t xml:space="preserve"> In the main</w:t>
      </w:r>
      <w:r w:rsidR="006C52DE">
        <w:t>,</w:t>
      </w:r>
      <w:r w:rsidR="00860C63">
        <w:t xml:space="preserve"> students knew how they </w:t>
      </w:r>
      <w:r w:rsidR="007B0005">
        <w:t>were</w:t>
      </w:r>
      <w:r w:rsidR="00860C63">
        <w:t xml:space="preserve"> to be assessed prior to the assessment taking place. They </w:t>
      </w:r>
      <w:r w:rsidR="008C1694">
        <w:t>considered</w:t>
      </w:r>
      <w:r w:rsidR="00860C63">
        <w:t xml:space="preserve"> the assessment to</w:t>
      </w:r>
      <w:r w:rsidR="006C52DE">
        <w:t xml:space="preserve"> be a fair test of their skills</w:t>
      </w:r>
      <w:r w:rsidR="00860C63">
        <w:t xml:space="preserve"> and a good test of what they had been taught. In addition, they reported being assessed at regular intervals throughout their c</w:t>
      </w:r>
      <w:r w:rsidR="006C52DE">
        <w:t>ourses</w:t>
      </w:r>
      <w:r w:rsidR="00860C63">
        <w:t xml:space="preserve"> and receiving useful feedback on their assessments.</w:t>
      </w:r>
      <w:r w:rsidR="00E3166C">
        <w:t xml:space="preserve"> </w:t>
      </w:r>
      <w:r w:rsidR="00A75B35">
        <w:t xml:space="preserve">Electrical apprentices </w:t>
      </w:r>
      <w:r w:rsidR="0073669D">
        <w:lastRenderedPageBreak/>
        <w:t xml:space="preserve">responding to the </w:t>
      </w:r>
      <w:r w:rsidR="006C52DE">
        <w:t>survey</w:t>
      </w:r>
      <w:r w:rsidR="0073669D">
        <w:t xml:space="preserve"> </w:t>
      </w:r>
      <w:r w:rsidR="00A75B35">
        <w:t xml:space="preserve">indicated less satisfaction </w:t>
      </w:r>
      <w:r w:rsidR="0073669D">
        <w:t xml:space="preserve">with the usefulness of the feedback they received on their assessments </w:t>
      </w:r>
      <w:r w:rsidR="00A75B35">
        <w:t xml:space="preserve">than </w:t>
      </w:r>
      <w:r w:rsidR="00AB663D">
        <w:t xml:space="preserve">either </w:t>
      </w:r>
      <w:r w:rsidR="006C52DE">
        <w:t xml:space="preserve">aged care or business </w:t>
      </w:r>
      <w:r w:rsidR="00A75B35">
        <w:t>graduate</w:t>
      </w:r>
      <w:r w:rsidR="007323AC">
        <w:t xml:space="preserve"> respondents</w:t>
      </w:r>
      <w:r w:rsidR="00A75B35">
        <w:t xml:space="preserve">. Business </w:t>
      </w:r>
      <w:r w:rsidR="007323AC">
        <w:t>graduate respondents</w:t>
      </w:r>
      <w:r w:rsidR="00A75B35">
        <w:t xml:space="preserve"> </w:t>
      </w:r>
      <w:r w:rsidR="006C52DE">
        <w:t xml:space="preserve">to the survey </w:t>
      </w:r>
      <w:r w:rsidR="00A75B35">
        <w:t>posted the highest overall satisfaction level</w:t>
      </w:r>
      <w:r w:rsidR="006C52DE">
        <w:t xml:space="preserve"> (table 13)</w:t>
      </w:r>
      <w:r w:rsidR="0073669D">
        <w:t>.</w:t>
      </w:r>
      <w:r w:rsidR="00A75B35">
        <w:t xml:space="preserve"> </w:t>
      </w:r>
    </w:p>
    <w:p w:rsidR="00860C63" w:rsidRDefault="00860C63" w:rsidP="00FF4C65">
      <w:pPr>
        <w:pStyle w:val="tabletitle"/>
      </w:pPr>
      <w:bookmarkStart w:id="78" w:name="_Toc381103337"/>
      <w:r>
        <w:t xml:space="preserve">Table </w:t>
      </w:r>
      <w:r w:rsidR="005B6BD8">
        <w:t>1</w:t>
      </w:r>
      <w:r w:rsidR="006146B3">
        <w:t>3</w:t>
      </w:r>
      <w:r w:rsidR="00FF4C65">
        <w:tab/>
      </w:r>
      <w:r>
        <w:t>Level of satisfaction with assessment processes reported by graduate respondents in the Students Outcomes Survey</w:t>
      </w:r>
      <w:r w:rsidR="00A125D9">
        <w:t xml:space="preserve"> 2012</w:t>
      </w:r>
      <w:bookmarkEnd w:id="78"/>
    </w:p>
    <w:tbl>
      <w:tblPr>
        <w:tblStyle w:val="TableGrid"/>
        <w:tblW w:w="8789"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1453"/>
        <w:gridCol w:w="1453"/>
        <w:gridCol w:w="1453"/>
        <w:gridCol w:w="1453"/>
      </w:tblGrid>
      <w:tr w:rsidR="00860C63" w:rsidRPr="00860C63" w:rsidTr="00FF4C65">
        <w:tc>
          <w:tcPr>
            <w:tcW w:w="2977" w:type="dxa"/>
          </w:tcPr>
          <w:p w:rsidR="00860C63" w:rsidRPr="00860C63" w:rsidRDefault="00860C63" w:rsidP="00B378BF">
            <w:pPr>
              <w:pStyle w:val="Tablehead1"/>
            </w:pPr>
            <w:r w:rsidRPr="00860C63">
              <w:t>Item</w:t>
            </w:r>
          </w:p>
        </w:tc>
        <w:tc>
          <w:tcPr>
            <w:tcW w:w="1453" w:type="dxa"/>
          </w:tcPr>
          <w:p w:rsidR="00860C63" w:rsidRPr="00860C63" w:rsidRDefault="00C939C8" w:rsidP="00FF4C65">
            <w:pPr>
              <w:pStyle w:val="Tablehead1"/>
              <w:jc w:val="center"/>
            </w:pPr>
            <w:r>
              <w:t>Total</w:t>
            </w:r>
            <w:r w:rsidRPr="00C939C8">
              <w:rPr>
                <w:vertAlign w:val="superscript"/>
              </w:rPr>
              <w:t>(1)</w:t>
            </w:r>
          </w:p>
        </w:tc>
        <w:tc>
          <w:tcPr>
            <w:tcW w:w="1453" w:type="dxa"/>
          </w:tcPr>
          <w:p w:rsidR="00860C63" w:rsidRPr="00860C63" w:rsidRDefault="00860C63" w:rsidP="00FF4C65">
            <w:pPr>
              <w:pStyle w:val="Tablehead1"/>
              <w:jc w:val="center"/>
            </w:pPr>
            <w:r w:rsidRPr="00860C63">
              <w:t>Certificate III Aged Care</w:t>
            </w:r>
          </w:p>
        </w:tc>
        <w:tc>
          <w:tcPr>
            <w:tcW w:w="1453" w:type="dxa"/>
          </w:tcPr>
          <w:p w:rsidR="00860C63" w:rsidRPr="00860C63" w:rsidRDefault="00860C63" w:rsidP="00FF4C65">
            <w:pPr>
              <w:pStyle w:val="Tablehead1"/>
              <w:jc w:val="center"/>
            </w:pPr>
            <w:r w:rsidRPr="00860C63">
              <w:t>Certificate III Business</w:t>
            </w:r>
            <w:r w:rsidR="00C939C8" w:rsidRPr="00C939C8">
              <w:rPr>
                <w:vertAlign w:val="superscript"/>
              </w:rPr>
              <w:t>(2)</w:t>
            </w:r>
          </w:p>
        </w:tc>
        <w:tc>
          <w:tcPr>
            <w:tcW w:w="1453" w:type="dxa"/>
          </w:tcPr>
          <w:p w:rsidR="00860C63" w:rsidRPr="00860C63" w:rsidRDefault="00860C63" w:rsidP="00FF4C65">
            <w:pPr>
              <w:pStyle w:val="Tablehead1"/>
              <w:jc w:val="center"/>
            </w:pPr>
            <w:r w:rsidRPr="00860C63">
              <w:t>Certificate III Electrical</w:t>
            </w:r>
            <w:r w:rsidR="00A75B35" w:rsidRPr="00C939C8">
              <w:rPr>
                <w:vertAlign w:val="superscript"/>
              </w:rPr>
              <w:t>(</w:t>
            </w:r>
            <w:r w:rsidR="00A75B35">
              <w:rPr>
                <w:vertAlign w:val="superscript"/>
              </w:rPr>
              <w:t>3</w:t>
            </w:r>
            <w:r w:rsidR="00A75B35" w:rsidRPr="00C939C8">
              <w:rPr>
                <w:vertAlign w:val="superscript"/>
              </w:rPr>
              <w:t>)</w:t>
            </w:r>
          </w:p>
        </w:tc>
      </w:tr>
      <w:tr w:rsidR="00B378BF" w:rsidRPr="00FF4C65" w:rsidTr="00FF4C65">
        <w:tc>
          <w:tcPr>
            <w:tcW w:w="2977" w:type="dxa"/>
            <w:vAlign w:val="center"/>
          </w:tcPr>
          <w:p w:rsidR="00B378BF" w:rsidRPr="00FF4C65" w:rsidRDefault="00B378BF" w:rsidP="00FF4C65">
            <w:pPr>
              <w:pStyle w:val="Tabletext"/>
            </w:pPr>
            <w:r w:rsidRPr="00FF4C65">
              <w:t>I knew how I was going to be assessed</w:t>
            </w:r>
          </w:p>
        </w:tc>
        <w:tc>
          <w:tcPr>
            <w:tcW w:w="1453" w:type="dxa"/>
            <w:vAlign w:val="center"/>
          </w:tcPr>
          <w:p w:rsidR="00B378BF" w:rsidRPr="00FF4C65" w:rsidRDefault="00B378BF" w:rsidP="00FF4C65">
            <w:pPr>
              <w:pStyle w:val="Tabletext"/>
              <w:tabs>
                <w:tab w:val="decimal" w:pos="652"/>
              </w:tabs>
            </w:pPr>
            <w:r w:rsidRPr="00FF4C65">
              <w:t>89.3</w:t>
            </w:r>
          </w:p>
        </w:tc>
        <w:tc>
          <w:tcPr>
            <w:tcW w:w="1453" w:type="dxa"/>
            <w:vAlign w:val="center"/>
          </w:tcPr>
          <w:p w:rsidR="00B378BF" w:rsidRPr="00FF4C65" w:rsidRDefault="00B378BF" w:rsidP="00FF4C65">
            <w:pPr>
              <w:pStyle w:val="Tabletext"/>
              <w:tabs>
                <w:tab w:val="decimal" w:pos="652"/>
              </w:tabs>
            </w:pPr>
            <w:r w:rsidRPr="00FF4C65">
              <w:t>89.4</w:t>
            </w:r>
          </w:p>
        </w:tc>
        <w:tc>
          <w:tcPr>
            <w:tcW w:w="1453" w:type="dxa"/>
            <w:vAlign w:val="center"/>
          </w:tcPr>
          <w:p w:rsidR="00B378BF" w:rsidRPr="00FF4C65" w:rsidRDefault="00B378BF" w:rsidP="00FF4C65">
            <w:pPr>
              <w:pStyle w:val="Tabletext"/>
              <w:tabs>
                <w:tab w:val="decimal" w:pos="652"/>
              </w:tabs>
            </w:pPr>
            <w:r w:rsidRPr="00FF4C65">
              <w:t>83.4</w:t>
            </w:r>
          </w:p>
        </w:tc>
        <w:tc>
          <w:tcPr>
            <w:tcW w:w="1453" w:type="dxa"/>
            <w:vAlign w:val="center"/>
          </w:tcPr>
          <w:p w:rsidR="00B378BF" w:rsidRPr="00FF4C65" w:rsidRDefault="00B378BF" w:rsidP="00FF4C65">
            <w:pPr>
              <w:pStyle w:val="Tabletext"/>
              <w:tabs>
                <w:tab w:val="decimal" w:pos="652"/>
              </w:tabs>
            </w:pPr>
            <w:r w:rsidRPr="00FF4C65">
              <w:t>89.7</w:t>
            </w:r>
          </w:p>
        </w:tc>
      </w:tr>
      <w:tr w:rsidR="00B378BF" w:rsidRPr="00FF4C65" w:rsidTr="00FF4C65">
        <w:tc>
          <w:tcPr>
            <w:tcW w:w="2977" w:type="dxa"/>
            <w:vAlign w:val="center"/>
          </w:tcPr>
          <w:p w:rsidR="00B378BF" w:rsidRPr="00FF4C65" w:rsidRDefault="00B378BF" w:rsidP="00FF4C65">
            <w:pPr>
              <w:pStyle w:val="Tabletext"/>
            </w:pPr>
            <w:r w:rsidRPr="00FF4C65">
              <w:t xml:space="preserve">The way I was assessed was a fair test of my skills </w:t>
            </w:r>
          </w:p>
        </w:tc>
        <w:tc>
          <w:tcPr>
            <w:tcW w:w="1453" w:type="dxa"/>
            <w:vAlign w:val="center"/>
          </w:tcPr>
          <w:p w:rsidR="00B378BF" w:rsidRPr="00FF4C65" w:rsidRDefault="00B378BF" w:rsidP="00FF4C65">
            <w:pPr>
              <w:pStyle w:val="Tabletext"/>
              <w:tabs>
                <w:tab w:val="decimal" w:pos="652"/>
              </w:tabs>
            </w:pPr>
            <w:r w:rsidRPr="00FF4C65">
              <w:t>90.5</w:t>
            </w:r>
          </w:p>
        </w:tc>
        <w:tc>
          <w:tcPr>
            <w:tcW w:w="1453" w:type="dxa"/>
            <w:vAlign w:val="center"/>
          </w:tcPr>
          <w:p w:rsidR="00B378BF" w:rsidRPr="00FF4C65" w:rsidRDefault="00B378BF" w:rsidP="00FF4C65">
            <w:pPr>
              <w:pStyle w:val="Tabletext"/>
              <w:tabs>
                <w:tab w:val="decimal" w:pos="652"/>
              </w:tabs>
            </w:pPr>
            <w:r w:rsidRPr="00FF4C65">
              <w:t>90.8</w:t>
            </w:r>
          </w:p>
        </w:tc>
        <w:tc>
          <w:tcPr>
            <w:tcW w:w="1453" w:type="dxa"/>
            <w:vAlign w:val="center"/>
          </w:tcPr>
          <w:p w:rsidR="00B378BF" w:rsidRPr="00FF4C65" w:rsidRDefault="00B378BF" w:rsidP="00FF4C65">
            <w:pPr>
              <w:pStyle w:val="Tabletext"/>
              <w:tabs>
                <w:tab w:val="decimal" w:pos="652"/>
              </w:tabs>
            </w:pPr>
            <w:r w:rsidRPr="00FF4C65">
              <w:t>97.4</w:t>
            </w:r>
          </w:p>
        </w:tc>
        <w:tc>
          <w:tcPr>
            <w:tcW w:w="1453" w:type="dxa"/>
            <w:vAlign w:val="center"/>
          </w:tcPr>
          <w:p w:rsidR="00B378BF" w:rsidRPr="00FF4C65" w:rsidRDefault="00B378BF" w:rsidP="00FF4C65">
            <w:pPr>
              <w:pStyle w:val="Tabletext"/>
              <w:tabs>
                <w:tab w:val="decimal" w:pos="652"/>
              </w:tabs>
            </w:pPr>
            <w:r w:rsidRPr="00FF4C65">
              <w:t>87.7</w:t>
            </w:r>
          </w:p>
        </w:tc>
      </w:tr>
      <w:tr w:rsidR="00B378BF" w:rsidRPr="00FF4C65" w:rsidTr="00FF4C65">
        <w:tc>
          <w:tcPr>
            <w:tcW w:w="2977" w:type="dxa"/>
            <w:vAlign w:val="center"/>
          </w:tcPr>
          <w:p w:rsidR="00B378BF" w:rsidRPr="00FF4C65" w:rsidRDefault="00B378BF" w:rsidP="00FF4C65">
            <w:pPr>
              <w:pStyle w:val="Tabletext"/>
            </w:pPr>
            <w:r w:rsidRPr="00FF4C65">
              <w:t>I was assessed at appropriate intervals</w:t>
            </w:r>
          </w:p>
        </w:tc>
        <w:tc>
          <w:tcPr>
            <w:tcW w:w="1453" w:type="dxa"/>
            <w:vAlign w:val="center"/>
          </w:tcPr>
          <w:p w:rsidR="00B378BF" w:rsidRPr="00FF4C65" w:rsidRDefault="00B378BF" w:rsidP="00FF4C65">
            <w:pPr>
              <w:pStyle w:val="Tabletext"/>
              <w:tabs>
                <w:tab w:val="decimal" w:pos="652"/>
              </w:tabs>
            </w:pPr>
            <w:r w:rsidRPr="00FF4C65">
              <w:t>90.4</w:t>
            </w:r>
          </w:p>
        </w:tc>
        <w:tc>
          <w:tcPr>
            <w:tcW w:w="1453" w:type="dxa"/>
            <w:vAlign w:val="center"/>
          </w:tcPr>
          <w:p w:rsidR="00B378BF" w:rsidRPr="00FF4C65" w:rsidRDefault="00B378BF" w:rsidP="00FF4C65">
            <w:pPr>
              <w:pStyle w:val="Tabletext"/>
              <w:tabs>
                <w:tab w:val="decimal" w:pos="652"/>
              </w:tabs>
            </w:pPr>
            <w:r w:rsidRPr="00FF4C65">
              <w:t>90.1</w:t>
            </w:r>
          </w:p>
        </w:tc>
        <w:tc>
          <w:tcPr>
            <w:tcW w:w="1453" w:type="dxa"/>
            <w:vAlign w:val="center"/>
          </w:tcPr>
          <w:p w:rsidR="00B378BF" w:rsidRPr="00FF4C65" w:rsidRDefault="00B378BF" w:rsidP="00FF4C65">
            <w:pPr>
              <w:pStyle w:val="Tabletext"/>
              <w:tabs>
                <w:tab w:val="decimal" w:pos="652"/>
              </w:tabs>
            </w:pPr>
            <w:r w:rsidRPr="00FF4C65">
              <w:t>96.4</w:t>
            </w:r>
          </w:p>
        </w:tc>
        <w:tc>
          <w:tcPr>
            <w:tcW w:w="1453" w:type="dxa"/>
            <w:vAlign w:val="center"/>
          </w:tcPr>
          <w:p w:rsidR="00B378BF" w:rsidRPr="00FF4C65" w:rsidRDefault="00B378BF" w:rsidP="00FF4C65">
            <w:pPr>
              <w:pStyle w:val="Tabletext"/>
              <w:tabs>
                <w:tab w:val="decimal" w:pos="652"/>
              </w:tabs>
            </w:pPr>
            <w:r w:rsidRPr="00FF4C65">
              <w:t>90.1</w:t>
            </w:r>
          </w:p>
        </w:tc>
      </w:tr>
      <w:tr w:rsidR="00B378BF" w:rsidRPr="00FF4C65" w:rsidTr="00FF4C65">
        <w:tc>
          <w:tcPr>
            <w:tcW w:w="2977" w:type="dxa"/>
            <w:vAlign w:val="center"/>
          </w:tcPr>
          <w:p w:rsidR="00B378BF" w:rsidRPr="00FF4C65" w:rsidRDefault="00B378BF" w:rsidP="00FF4C65">
            <w:pPr>
              <w:pStyle w:val="Tabletext"/>
            </w:pPr>
            <w:r w:rsidRPr="00FF4C65">
              <w:t>I received useful feedback on my assessment</w:t>
            </w:r>
          </w:p>
        </w:tc>
        <w:tc>
          <w:tcPr>
            <w:tcW w:w="1453" w:type="dxa"/>
            <w:vAlign w:val="center"/>
          </w:tcPr>
          <w:p w:rsidR="00B378BF" w:rsidRPr="00FF4C65" w:rsidRDefault="00B378BF" w:rsidP="00FF4C65">
            <w:pPr>
              <w:pStyle w:val="Tabletext"/>
              <w:tabs>
                <w:tab w:val="decimal" w:pos="652"/>
              </w:tabs>
            </w:pPr>
            <w:r w:rsidRPr="00FF4C65">
              <w:t>83.4</w:t>
            </w:r>
          </w:p>
        </w:tc>
        <w:tc>
          <w:tcPr>
            <w:tcW w:w="1453" w:type="dxa"/>
            <w:vAlign w:val="center"/>
          </w:tcPr>
          <w:p w:rsidR="00B378BF" w:rsidRPr="00FF4C65" w:rsidRDefault="00B378BF" w:rsidP="00FF4C65">
            <w:pPr>
              <w:pStyle w:val="Tabletext"/>
              <w:tabs>
                <w:tab w:val="decimal" w:pos="652"/>
              </w:tabs>
            </w:pPr>
            <w:r w:rsidRPr="00FF4C65">
              <w:t>87.3</w:t>
            </w:r>
          </w:p>
        </w:tc>
        <w:tc>
          <w:tcPr>
            <w:tcW w:w="1453" w:type="dxa"/>
            <w:vAlign w:val="center"/>
          </w:tcPr>
          <w:p w:rsidR="00B378BF" w:rsidRPr="00FF4C65" w:rsidRDefault="00B378BF" w:rsidP="00FF4C65">
            <w:pPr>
              <w:pStyle w:val="Tabletext"/>
              <w:tabs>
                <w:tab w:val="decimal" w:pos="652"/>
              </w:tabs>
            </w:pPr>
            <w:r w:rsidRPr="00FF4C65">
              <w:t>85.6</w:t>
            </w:r>
          </w:p>
        </w:tc>
        <w:tc>
          <w:tcPr>
            <w:tcW w:w="1453" w:type="dxa"/>
            <w:vAlign w:val="center"/>
          </w:tcPr>
          <w:p w:rsidR="00B378BF" w:rsidRPr="00FF4C65" w:rsidRDefault="00B378BF" w:rsidP="00FF4C65">
            <w:pPr>
              <w:pStyle w:val="Tabletext"/>
              <w:tabs>
                <w:tab w:val="decimal" w:pos="652"/>
              </w:tabs>
            </w:pPr>
            <w:r w:rsidRPr="00FF4C65">
              <w:t>77.7</w:t>
            </w:r>
          </w:p>
        </w:tc>
      </w:tr>
      <w:tr w:rsidR="00B378BF" w:rsidRPr="00FF4C65" w:rsidTr="00FF4C65">
        <w:tc>
          <w:tcPr>
            <w:tcW w:w="2977" w:type="dxa"/>
            <w:vAlign w:val="center"/>
          </w:tcPr>
          <w:p w:rsidR="00B378BF" w:rsidRPr="00FF4C65" w:rsidRDefault="00B378BF" w:rsidP="00FF4C65">
            <w:pPr>
              <w:pStyle w:val="Tabletext"/>
            </w:pPr>
            <w:r w:rsidRPr="00FF4C65">
              <w:t>The assessment was a good test of</w:t>
            </w:r>
            <w:r w:rsidR="00FF4C65">
              <w:t> </w:t>
            </w:r>
            <w:r w:rsidRPr="00FF4C65">
              <w:t>what I was taught</w:t>
            </w:r>
          </w:p>
        </w:tc>
        <w:tc>
          <w:tcPr>
            <w:tcW w:w="1453" w:type="dxa"/>
            <w:vAlign w:val="center"/>
          </w:tcPr>
          <w:p w:rsidR="00B378BF" w:rsidRPr="00FF4C65" w:rsidRDefault="00B378BF" w:rsidP="00FF4C65">
            <w:pPr>
              <w:pStyle w:val="Tabletext"/>
              <w:tabs>
                <w:tab w:val="decimal" w:pos="652"/>
              </w:tabs>
            </w:pPr>
            <w:r w:rsidRPr="00FF4C65">
              <w:t>88.6</w:t>
            </w:r>
          </w:p>
        </w:tc>
        <w:tc>
          <w:tcPr>
            <w:tcW w:w="1453" w:type="dxa"/>
            <w:vAlign w:val="center"/>
          </w:tcPr>
          <w:p w:rsidR="00B378BF" w:rsidRPr="00FF4C65" w:rsidRDefault="00B378BF" w:rsidP="00FF4C65">
            <w:pPr>
              <w:pStyle w:val="Tabletext"/>
              <w:tabs>
                <w:tab w:val="decimal" w:pos="652"/>
              </w:tabs>
            </w:pPr>
            <w:r w:rsidRPr="00FF4C65">
              <w:t>91.1</w:t>
            </w:r>
          </w:p>
        </w:tc>
        <w:tc>
          <w:tcPr>
            <w:tcW w:w="1453" w:type="dxa"/>
            <w:vAlign w:val="center"/>
          </w:tcPr>
          <w:p w:rsidR="00B378BF" w:rsidRPr="00FF4C65" w:rsidRDefault="00B378BF" w:rsidP="00FF4C65">
            <w:pPr>
              <w:pStyle w:val="Tabletext"/>
              <w:tabs>
                <w:tab w:val="decimal" w:pos="652"/>
              </w:tabs>
            </w:pPr>
            <w:r w:rsidRPr="00FF4C65">
              <w:t>91.3</w:t>
            </w:r>
          </w:p>
        </w:tc>
        <w:tc>
          <w:tcPr>
            <w:tcW w:w="1453" w:type="dxa"/>
            <w:vAlign w:val="center"/>
          </w:tcPr>
          <w:p w:rsidR="00B378BF" w:rsidRPr="00FF4C65" w:rsidRDefault="00B378BF" w:rsidP="00FF4C65">
            <w:pPr>
              <w:pStyle w:val="Tabletext"/>
              <w:tabs>
                <w:tab w:val="decimal" w:pos="652"/>
              </w:tabs>
            </w:pPr>
            <w:r w:rsidRPr="00FF4C65">
              <w:t>80.8</w:t>
            </w:r>
          </w:p>
        </w:tc>
      </w:tr>
      <w:tr w:rsidR="00B378BF" w:rsidRPr="00FF4C65" w:rsidTr="00FF4C65">
        <w:tc>
          <w:tcPr>
            <w:tcW w:w="2977" w:type="dxa"/>
            <w:vAlign w:val="center"/>
          </w:tcPr>
          <w:p w:rsidR="00B378BF" w:rsidRPr="00FF4C65" w:rsidRDefault="00B378BF" w:rsidP="00FF4C65">
            <w:pPr>
              <w:pStyle w:val="Tabletext"/>
            </w:pPr>
            <w:r w:rsidRPr="00FF4C65">
              <w:t xml:space="preserve">Overall satisfaction on </w:t>
            </w:r>
            <w:r w:rsidR="00FF4C65">
              <w:t>a</w:t>
            </w:r>
            <w:r w:rsidRPr="00FF4C65">
              <w:t>ssessment</w:t>
            </w:r>
          </w:p>
        </w:tc>
        <w:tc>
          <w:tcPr>
            <w:tcW w:w="1453" w:type="dxa"/>
            <w:vAlign w:val="center"/>
          </w:tcPr>
          <w:p w:rsidR="00B378BF" w:rsidRPr="00FF4C65" w:rsidRDefault="00B378BF" w:rsidP="00FF4C65">
            <w:pPr>
              <w:pStyle w:val="Tabletext"/>
              <w:tabs>
                <w:tab w:val="decimal" w:pos="652"/>
              </w:tabs>
            </w:pPr>
            <w:r w:rsidRPr="00FF4C65">
              <w:t>90.2</w:t>
            </w:r>
          </w:p>
        </w:tc>
        <w:tc>
          <w:tcPr>
            <w:tcW w:w="1453" w:type="dxa"/>
            <w:vAlign w:val="center"/>
          </w:tcPr>
          <w:p w:rsidR="00B378BF" w:rsidRPr="00FF4C65" w:rsidRDefault="00B378BF" w:rsidP="00FF4C65">
            <w:pPr>
              <w:pStyle w:val="Tabletext"/>
              <w:tabs>
                <w:tab w:val="decimal" w:pos="652"/>
              </w:tabs>
            </w:pPr>
            <w:r w:rsidRPr="00FF4C65">
              <w:t>91.0</w:t>
            </w:r>
          </w:p>
        </w:tc>
        <w:tc>
          <w:tcPr>
            <w:tcW w:w="1453" w:type="dxa"/>
            <w:vAlign w:val="center"/>
          </w:tcPr>
          <w:p w:rsidR="00B378BF" w:rsidRPr="00FF4C65" w:rsidRDefault="00B378BF" w:rsidP="00FF4C65">
            <w:pPr>
              <w:pStyle w:val="Tabletext"/>
              <w:tabs>
                <w:tab w:val="decimal" w:pos="652"/>
              </w:tabs>
            </w:pPr>
            <w:r w:rsidRPr="00FF4C65">
              <w:t>97.4</w:t>
            </w:r>
          </w:p>
        </w:tc>
        <w:tc>
          <w:tcPr>
            <w:tcW w:w="1453" w:type="dxa"/>
            <w:vAlign w:val="center"/>
          </w:tcPr>
          <w:p w:rsidR="00B378BF" w:rsidRPr="00FF4C65" w:rsidRDefault="00B378BF" w:rsidP="00FF4C65">
            <w:pPr>
              <w:pStyle w:val="Tabletext"/>
              <w:tabs>
                <w:tab w:val="decimal" w:pos="652"/>
              </w:tabs>
            </w:pPr>
            <w:r w:rsidRPr="00FF4C65">
              <w:t>88.5</w:t>
            </w:r>
          </w:p>
        </w:tc>
      </w:tr>
    </w:tbl>
    <w:p w:rsidR="00623073" w:rsidRDefault="00C939C8" w:rsidP="00623073">
      <w:pPr>
        <w:pStyle w:val="Source"/>
        <w:tabs>
          <w:tab w:val="left" w:pos="567"/>
        </w:tabs>
        <w:ind w:left="851" w:hanging="851"/>
      </w:pPr>
      <w:r>
        <w:t>Notes:</w:t>
      </w:r>
      <w:r w:rsidR="00FF4C65">
        <w:tab/>
      </w:r>
      <w:r w:rsidR="00AE64BF">
        <w:t>(</w:t>
      </w:r>
      <w:r>
        <w:t>1</w:t>
      </w:r>
      <w:r w:rsidR="00AE64BF">
        <w:t>)</w:t>
      </w:r>
      <w:r w:rsidR="00FF4C65">
        <w:tab/>
      </w:r>
      <w:r>
        <w:t xml:space="preserve">All </w:t>
      </w:r>
      <w:r w:rsidRPr="00FF4C65">
        <w:t>graduates</w:t>
      </w:r>
      <w:r w:rsidR="008C1694" w:rsidRPr="00FF4C65">
        <w:t>.</w:t>
      </w:r>
    </w:p>
    <w:p w:rsidR="00623073" w:rsidRDefault="00623073" w:rsidP="00623073">
      <w:pPr>
        <w:pStyle w:val="Source"/>
        <w:tabs>
          <w:tab w:val="left" w:pos="567"/>
        </w:tabs>
        <w:ind w:left="851" w:hanging="851"/>
      </w:pPr>
      <w:r>
        <w:tab/>
      </w:r>
      <w:r w:rsidR="00C939C8" w:rsidRPr="00FF4C65">
        <w:t>(2)</w:t>
      </w:r>
      <w:r w:rsidR="00FF4C65">
        <w:tab/>
      </w:r>
      <w:r w:rsidR="00C939C8" w:rsidRPr="00FF4C65">
        <w:t xml:space="preserve">In-the-scope business studies included </w:t>
      </w:r>
      <w:r w:rsidR="008C1694" w:rsidRPr="00FF4C65">
        <w:t>for this table are: C</w:t>
      </w:r>
      <w:r w:rsidR="00C939C8" w:rsidRPr="00FF4C65">
        <w:t xml:space="preserve">ertificate III in </w:t>
      </w:r>
      <w:r w:rsidR="008C1694" w:rsidRPr="00FF4C65">
        <w:t>Business (Legal Administration), Certificate</w:t>
      </w:r>
      <w:r>
        <w:t> </w:t>
      </w:r>
      <w:r w:rsidR="00C939C8" w:rsidRPr="00FF4C65">
        <w:t>III</w:t>
      </w:r>
      <w:r w:rsidR="008C1694" w:rsidRPr="00FF4C65">
        <w:t xml:space="preserve"> in B</w:t>
      </w:r>
      <w:r w:rsidR="00C939C8" w:rsidRPr="00FF4C65">
        <w:t>usiness (</w:t>
      </w:r>
      <w:r w:rsidR="008C1694" w:rsidRPr="00FF4C65">
        <w:t>Medical Administration</w:t>
      </w:r>
      <w:r w:rsidR="00C939C8" w:rsidRPr="00FF4C65">
        <w:t xml:space="preserve">), </w:t>
      </w:r>
      <w:r w:rsidR="008C1694" w:rsidRPr="00FF4C65">
        <w:t xml:space="preserve">Certificate </w:t>
      </w:r>
      <w:r w:rsidR="00C939C8" w:rsidRPr="00FF4C65">
        <w:t xml:space="preserve">III </w:t>
      </w:r>
      <w:r w:rsidR="008C1694" w:rsidRPr="00FF4C65">
        <w:t>in Music Industry (Music Business</w:t>
      </w:r>
      <w:r w:rsidR="00C939C8" w:rsidRPr="00FF4C65">
        <w:t xml:space="preserve">), </w:t>
      </w:r>
      <w:r w:rsidR="008C1694" w:rsidRPr="00FF4C65">
        <w:t xml:space="preserve">Certificate </w:t>
      </w:r>
      <w:r w:rsidR="00C939C8" w:rsidRPr="00FF4C65">
        <w:t xml:space="preserve">III </w:t>
      </w:r>
      <w:r w:rsidR="008C1694" w:rsidRPr="00FF4C65">
        <w:t>in Music Business</w:t>
      </w:r>
      <w:r w:rsidR="00C939C8" w:rsidRPr="00FF4C65">
        <w:t xml:space="preserve">, </w:t>
      </w:r>
      <w:r w:rsidR="008C1694" w:rsidRPr="00FF4C65">
        <w:t xml:space="preserve">Certificate </w:t>
      </w:r>
      <w:r w:rsidR="00C939C8" w:rsidRPr="00FF4C65">
        <w:t xml:space="preserve">III </w:t>
      </w:r>
      <w:r w:rsidR="008C1694" w:rsidRPr="00FF4C65">
        <w:t xml:space="preserve">in Business Administration (Education), Certificate </w:t>
      </w:r>
      <w:r w:rsidR="00C939C8" w:rsidRPr="00FF4C65">
        <w:t xml:space="preserve">III </w:t>
      </w:r>
      <w:r w:rsidR="008C1694" w:rsidRPr="00FF4C65">
        <w:t xml:space="preserve">in Micro Business Operations, Certificate </w:t>
      </w:r>
      <w:r w:rsidR="00C939C8" w:rsidRPr="00FF4C65">
        <w:t xml:space="preserve">III </w:t>
      </w:r>
      <w:r w:rsidR="008C1694" w:rsidRPr="00FF4C65">
        <w:t>in Business Administration (Legal).</w:t>
      </w:r>
    </w:p>
    <w:p w:rsidR="006C52DE" w:rsidRPr="00FF4C65" w:rsidRDefault="00623073" w:rsidP="00623073">
      <w:pPr>
        <w:pStyle w:val="Source"/>
        <w:tabs>
          <w:tab w:val="left" w:pos="567"/>
        </w:tabs>
        <w:ind w:left="851" w:hanging="851"/>
      </w:pPr>
      <w:r>
        <w:tab/>
      </w:r>
      <w:r w:rsidR="00B378BF" w:rsidRPr="00FF4C65">
        <w:t>(3)</w:t>
      </w:r>
      <w:r w:rsidR="00FF4C65">
        <w:tab/>
      </w:r>
      <w:r w:rsidR="00B378BF" w:rsidRPr="00FF4C65">
        <w:t>In-the-scope electrical studies fo</w:t>
      </w:r>
      <w:r w:rsidR="008C1694" w:rsidRPr="00FF4C65">
        <w:t>r this table are: C</w:t>
      </w:r>
      <w:r w:rsidR="00B378BF" w:rsidRPr="00FF4C65">
        <w:t xml:space="preserve">ertificate </w:t>
      </w:r>
      <w:r w:rsidR="00A75B35" w:rsidRPr="00FF4C65">
        <w:t>III I</w:t>
      </w:r>
      <w:r w:rsidR="00B378BF" w:rsidRPr="00FF4C65">
        <w:t xml:space="preserve">n </w:t>
      </w:r>
      <w:r w:rsidR="008C1694" w:rsidRPr="00FF4C65">
        <w:t xml:space="preserve">Electro-technology Electrician, Certificate </w:t>
      </w:r>
      <w:r w:rsidR="00A75B35" w:rsidRPr="00FF4C65">
        <w:t xml:space="preserve">III </w:t>
      </w:r>
      <w:r w:rsidR="008C1694" w:rsidRPr="00FF4C65">
        <w:t xml:space="preserve">in </w:t>
      </w:r>
      <w:r>
        <w:br/>
      </w:r>
      <w:r w:rsidR="008C1694" w:rsidRPr="00FF4C65">
        <w:t>E</w:t>
      </w:r>
      <w:r w:rsidR="00B378BF" w:rsidRPr="00FF4C65">
        <w:t>lectro</w:t>
      </w:r>
      <w:r w:rsidR="00A75B35" w:rsidRPr="00FF4C65">
        <w:t>-</w:t>
      </w:r>
      <w:r w:rsidR="00B378BF" w:rsidRPr="00FF4C65">
        <w:t xml:space="preserve">technology </w:t>
      </w:r>
      <w:r w:rsidR="008C1694" w:rsidRPr="00FF4C65">
        <w:t>Systems Electrician</w:t>
      </w:r>
      <w:r w:rsidR="00B378BF" w:rsidRPr="00FF4C65">
        <w:t>.</w:t>
      </w:r>
    </w:p>
    <w:p w:rsidR="006C52DE" w:rsidRDefault="006C52DE" w:rsidP="00FF4C65">
      <w:pPr>
        <w:pStyle w:val="Source"/>
      </w:pPr>
      <w:r w:rsidRPr="00FF4C65">
        <w:t>Source:</w:t>
      </w:r>
      <w:r w:rsidR="00FF4C65">
        <w:tab/>
      </w:r>
      <w:r w:rsidRPr="00FF4C65">
        <w:t>Students Outcomes</w:t>
      </w:r>
      <w:r>
        <w:t xml:space="preserve"> Survey 2012.</w:t>
      </w:r>
    </w:p>
    <w:p w:rsidR="00955CCF" w:rsidRDefault="00355AFF" w:rsidP="00623073">
      <w:pPr>
        <w:pStyle w:val="Textmorebefore"/>
      </w:pPr>
      <w:r>
        <w:t>We also spoke to s</w:t>
      </w:r>
      <w:r w:rsidR="00955CCF">
        <w:t xml:space="preserve">tudents </w:t>
      </w:r>
      <w:r>
        <w:t xml:space="preserve">from the various programs </w:t>
      </w:r>
      <w:r w:rsidR="008C1694">
        <w:t>via</w:t>
      </w:r>
      <w:r>
        <w:t xml:space="preserve"> </w:t>
      </w:r>
      <w:r w:rsidR="00955CCF">
        <w:t xml:space="preserve">focus groups </w:t>
      </w:r>
      <w:r w:rsidR="002A0494">
        <w:t>or interviews</w:t>
      </w:r>
      <w:r>
        <w:t>. The aim was to</w:t>
      </w:r>
      <w:r w:rsidR="00E3166C">
        <w:t xml:space="preserve"> </w:t>
      </w:r>
      <w:r>
        <w:t xml:space="preserve">explore </w:t>
      </w:r>
      <w:r w:rsidR="00955CCF">
        <w:t xml:space="preserve">their experiences of assessment. They were first asked to identify the mode of delivery </w:t>
      </w:r>
      <w:r w:rsidR="00961C03">
        <w:t>and assessment used for their programs. They were then asked to evaluate their experiences.</w:t>
      </w:r>
      <w:r w:rsidR="00E3166C">
        <w:t xml:space="preserve"> </w:t>
      </w:r>
    </w:p>
    <w:p w:rsidR="00955CCF" w:rsidRDefault="00955CCF" w:rsidP="00955CCF">
      <w:pPr>
        <w:pStyle w:val="Heading3"/>
      </w:pPr>
      <w:r>
        <w:t xml:space="preserve">Certificate III </w:t>
      </w:r>
      <w:r w:rsidR="006C52DE">
        <w:t xml:space="preserve">in </w:t>
      </w:r>
      <w:r>
        <w:t xml:space="preserve">Aged Care </w:t>
      </w:r>
    </w:p>
    <w:p w:rsidR="0022768A" w:rsidRDefault="00613D3E" w:rsidP="00623073">
      <w:pPr>
        <w:pStyle w:val="Textlessbefore"/>
      </w:pPr>
      <w:r>
        <w:t xml:space="preserve">Students </w:t>
      </w:r>
      <w:r w:rsidR="003611E6">
        <w:t xml:space="preserve">from Provider A </w:t>
      </w:r>
      <w:r>
        <w:t>said they</w:t>
      </w:r>
      <w:r w:rsidR="00961C03">
        <w:t xml:space="preserve"> were generally satisfied with the assessment process</w:t>
      </w:r>
      <w:r w:rsidR="006C52DE">
        <w:t xml:space="preserve"> they had experienced thus far. However, t</w:t>
      </w:r>
      <w:r w:rsidR="0022768A">
        <w:t xml:space="preserve">hey believed there was </w:t>
      </w:r>
      <w:r w:rsidR="008C1694">
        <w:t>insufficient</w:t>
      </w:r>
      <w:r w:rsidR="006C52DE">
        <w:t xml:space="preserve"> time to absorb the information</w:t>
      </w:r>
      <w:r w:rsidR="0022768A">
        <w:t xml:space="preserve"> and </w:t>
      </w:r>
      <w:r>
        <w:t xml:space="preserve">complete the </w:t>
      </w:r>
      <w:r w:rsidR="00961C03">
        <w:t>assignments</w:t>
      </w:r>
      <w:r>
        <w:t>. They found the course</w:t>
      </w:r>
      <w:r w:rsidR="00961C03">
        <w:t xml:space="preserve"> </w:t>
      </w:r>
      <w:r w:rsidR="00F469E6">
        <w:t xml:space="preserve">to be </w:t>
      </w:r>
      <w:r w:rsidR="00961C03">
        <w:t xml:space="preserve">a </w:t>
      </w:r>
      <w:r w:rsidR="008C1694">
        <w:t>great deal</w:t>
      </w:r>
      <w:r w:rsidR="00961C03">
        <w:t xml:space="preserve"> of work and very involved, especiall</w:t>
      </w:r>
      <w:r w:rsidR="006C52DE">
        <w:t>y the additional components to c</w:t>
      </w:r>
      <w:r w:rsidR="00961C03">
        <w:t xml:space="preserve">ertificate III requirements. They </w:t>
      </w:r>
      <w:r>
        <w:t xml:space="preserve">also believed that they could cope with the work if </w:t>
      </w:r>
      <w:r w:rsidR="00961C03">
        <w:t xml:space="preserve">they had more time to study </w:t>
      </w:r>
      <w:r>
        <w:t xml:space="preserve">(including </w:t>
      </w:r>
      <w:r w:rsidR="00961C03">
        <w:t>at home</w:t>
      </w:r>
      <w:r>
        <w:t>)</w:t>
      </w:r>
      <w:r w:rsidR="00961C03">
        <w:t xml:space="preserve">. </w:t>
      </w:r>
      <w:r>
        <w:t xml:space="preserve">Students </w:t>
      </w:r>
      <w:r w:rsidR="00F469E6">
        <w:t>felt</w:t>
      </w:r>
      <w:r w:rsidR="0022768A">
        <w:t xml:space="preserve"> that the course </w:t>
      </w:r>
      <w:r>
        <w:t>should be of a</w:t>
      </w:r>
      <w:r w:rsidR="0022768A">
        <w:t xml:space="preserve"> higher level than </w:t>
      </w:r>
      <w:r w:rsidR="006C52DE">
        <w:t>a</w:t>
      </w:r>
      <w:r w:rsidR="0022768A">
        <w:t xml:space="preserve"> certificate III </w:t>
      </w:r>
      <w:r>
        <w:t>bec</w:t>
      </w:r>
      <w:r w:rsidR="000028CC">
        <w:t>ause</w:t>
      </w:r>
      <w:r w:rsidR="0022768A">
        <w:t xml:space="preserve"> there was </w:t>
      </w:r>
      <w:r w:rsidR="000903D9">
        <w:t>much</w:t>
      </w:r>
      <w:r w:rsidR="0022768A">
        <w:t xml:space="preserve"> more work and responsibility </w:t>
      </w:r>
      <w:r>
        <w:t>required</w:t>
      </w:r>
      <w:r w:rsidR="0022768A">
        <w:t>.</w:t>
      </w:r>
    </w:p>
    <w:p w:rsidR="002A0494" w:rsidRDefault="003611E6" w:rsidP="002A0494">
      <w:pPr>
        <w:pStyle w:val="Text"/>
      </w:pPr>
      <w:r>
        <w:t>Provider B s</w:t>
      </w:r>
      <w:r w:rsidR="007E2BB8">
        <w:t xml:space="preserve">tudents were </w:t>
      </w:r>
      <w:r>
        <w:t xml:space="preserve">also </w:t>
      </w:r>
      <w:r w:rsidR="007E2BB8">
        <w:t xml:space="preserve">generally satisfied with the assessment process and the training. There was just one subject </w:t>
      </w:r>
      <w:r w:rsidR="00623073">
        <w:t>in which they felt they required additional support.</w:t>
      </w:r>
      <w:r w:rsidR="000903D9">
        <w:t xml:space="preserve"> </w:t>
      </w:r>
      <w:r w:rsidR="002A0494">
        <w:t xml:space="preserve">The duration of the program they were undertaking was 17 weeks. They believed that this length </w:t>
      </w:r>
      <w:r w:rsidR="00EE07AB">
        <w:t>of time was sufficient for the c</w:t>
      </w:r>
      <w:r w:rsidR="002A0494">
        <w:t xml:space="preserve">ertificate III and pointed out that one of them was attempting to complete two </w:t>
      </w:r>
      <w:r w:rsidR="000903D9">
        <w:t>c</w:t>
      </w:r>
      <w:r w:rsidR="002A0494">
        <w:t>ert</w:t>
      </w:r>
      <w:r w:rsidR="00613D3E">
        <w:t xml:space="preserve">ificate III </w:t>
      </w:r>
      <w:r w:rsidR="000028CC">
        <w:t xml:space="preserve">qualifications </w:t>
      </w:r>
      <w:r w:rsidR="00EE07AB">
        <w:t>during the 17-</w:t>
      </w:r>
      <w:r w:rsidR="00613D3E">
        <w:t>week period</w:t>
      </w:r>
      <w:r w:rsidR="002A0494">
        <w:t xml:space="preserve">. </w:t>
      </w:r>
      <w:r w:rsidR="00D4094F">
        <w:t>One of the key challenges for students was English</w:t>
      </w:r>
      <w:r w:rsidR="00EE07AB">
        <w:t>,</w:t>
      </w:r>
      <w:r w:rsidR="00D4094F">
        <w:t xml:space="preserve"> especially if they were from a </w:t>
      </w:r>
      <w:r w:rsidR="00EE07AB">
        <w:t>non-English-speaking background</w:t>
      </w:r>
      <w:r w:rsidR="00D4094F">
        <w:t xml:space="preserve">. </w:t>
      </w:r>
    </w:p>
    <w:p w:rsidR="00F00FA4" w:rsidRDefault="003611E6" w:rsidP="00D4094F">
      <w:pPr>
        <w:pStyle w:val="Text"/>
      </w:pPr>
      <w:r>
        <w:t xml:space="preserve">Provider C students </w:t>
      </w:r>
      <w:r w:rsidR="00D4094F">
        <w:t xml:space="preserve">undertaking </w:t>
      </w:r>
      <w:r w:rsidR="00613D3E">
        <w:t xml:space="preserve">a </w:t>
      </w:r>
      <w:r w:rsidR="00D4094F">
        <w:t>fast-t</w:t>
      </w:r>
      <w:r w:rsidR="006449A6">
        <w:t>r</w:t>
      </w:r>
      <w:r w:rsidR="00D4094F">
        <w:t xml:space="preserve">ack </w:t>
      </w:r>
      <w:r w:rsidR="00EE07AB">
        <w:t>blended-delivery program</w:t>
      </w:r>
      <w:r w:rsidR="006449A6">
        <w:t xml:space="preserve"> in </w:t>
      </w:r>
      <w:r w:rsidR="0022768A">
        <w:t>the Certificate III</w:t>
      </w:r>
      <w:r w:rsidR="00EE07AB">
        <w:t xml:space="preserve"> in Aged Care</w:t>
      </w:r>
      <w:r w:rsidR="006449A6">
        <w:t xml:space="preserve"> </w:t>
      </w:r>
      <w:r w:rsidR="00613D3E">
        <w:t>reported that the c</w:t>
      </w:r>
      <w:r w:rsidR="00F00FA4">
        <w:t>ourse duration for the</w:t>
      </w:r>
      <w:r w:rsidR="00613D3E">
        <w:t xml:space="preserve">ir </w:t>
      </w:r>
      <w:r w:rsidR="00EE07AB">
        <w:t>program</w:t>
      </w:r>
      <w:r w:rsidR="00F00FA4">
        <w:t xml:space="preserve"> </w:t>
      </w:r>
      <w:r w:rsidR="00613D3E">
        <w:t>was</w:t>
      </w:r>
      <w:r w:rsidR="00F00FA4">
        <w:t xml:space="preserve"> </w:t>
      </w:r>
      <w:r w:rsidR="006449A6">
        <w:t>18 weeks (for one day per week)</w:t>
      </w:r>
      <w:r w:rsidR="00F00FA4">
        <w:t>.</w:t>
      </w:r>
      <w:r>
        <w:t xml:space="preserve"> </w:t>
      </w:r>
      <w:r w:rsidR="006449A6">
        <w:t>So far they had experienced a variety of assessments and were generally satisfied with the approaches</w:t>
      </w:r>
      <w:r w:rsidR="00613D3E">
        <w:t xml:space="preserve"> that had been used</w:t>
      </w:r>
      <w:r w:rsidR="006449A6">
        <w:t>. These included group and individual presentations, video presentations, case studies, a 30</w:t>
      </w:r>
      <w:r w:rsidR="00D73901">
        <w:t>-</w:t>
      </w:r>
      <w:r w:rsidR="006449A6">
        <w:t>minute sh</w:t>
      </w:r>
      <w:r w:rsidR="000903D9">
        <w:t>ort-</w:t>
      </w:r>
      <w:r w:rsidR="006449A6">
        <w:t>answer test</w:t>
      </w:r>
      <w:r w:rsidR="00613D3E">
        <w:t xml:space="preserve"> and </w:t>
      </w:r>
      <w:r w:rsidR="00D73901">
        <w:t xml:space="preserve">a set of </w:t>
      </w:r>
      <w:r w:rsidR="00613D3E">
        <w:t xml:space="preserve">practical assessments. </w:t>
      </w:r>
      <w:r w:rsidR="00EE07AB">
        <w:t>These students considered g</w:t>
      </w:r>
      <w:r w:rsidR="00613D3E">
        <w:t xml:space="preserve">roup </w:t>
      </w:r>
      <w:r w:rsidR="00613D3E">
        <w:lastRenderedPageBreak/>
        <w:t>a</w:t>
      </w:r>
      <w:r w:rsidR="00F00FA4">
        <w:t>ssessments to be the most difficult</w:t>
      </w:r>
      <w:r w:rsidR="000028CC">
        <w:t xml:space="preserve">. This was due </w:t>
      </w:r>
      <w:r w:rsidR="00D73901">
        <w:t xml:space="preserve">to </w:t>
      </w:r>
      <w:r w:rsidR="00EE07AB">
        <w:t>the difficulty of co</w:t>
      </w:r>
      <w:r w:rsidR="000028CC">
        <w:t xml:space="preserve">ordinating tasks for a </w:t>
      </w:r>
      <w:r w:rsidR="00F00FA4">
        <w:t xml:space="preserve">group of people </w:t>
      </w:r>
      <w:r w:rsidR="000028CC">
        <w:t>with</w:t>
      </w:r>
      <w:r w:rsidR="00F00FA4">
        <w:t xml:space="preserve"> different level</w:t>
      </w:r>
      <w:r w:rsidR="00933615">
        <w:t xml:space="preserve">s of abilities, including difficulties </w:t>
      </w:r>
      <w:r w:rsidR="00F00FA4">
        <w:t xml:space="preserve">with English communication. </w:t>
      </w:r>
    </w:p>
    <w:p w:rsidR="00036DF8" w:rsidRDefault="00036DF8" w:rsidP="00036DF8">
      <w:pPr>
        <w:pStyle w:val="Text"/>
      </w:pPr>
      <w:r>
        <w:t xml:space="preserve">When students </w:t>
      </w:r>
      <w:r w:rsidR="007D7270">
        <w:t xml:space="preserve">undertaking </w:t>
      </w:r>
      <w:r w:rsidR="000903D9">
        <w:t xml:space="preserve">the </w:t>
      </w:r>
      <w:r w:rsidR="007D7270">
        <w:t xml:space="preserve">Certificate III in Business Administration </w:t>
      </w:r>
      <w:r>
        <w:t xml:space="preserve">were asked </w:t>
      </w:r>
      <w:r w:rsidR="00933615">
        <w:t xml:space="preserve">what was most difficult </w:t>
      </w:r>
      <w:r w:rsidR="00595A9F">
        <w:t>about assessment</w:t>
      </w:r>
      <w:r w:rsidR="00EE07AB">
        <w:t>,</w:t>
      </w:r>
      <w:r w:rsidR="00595A9F">
        <w:t xml:space="preserve"> they</w:t>
      </w:r>
      <w:r w:rsidR="00EE07AB">
        <w:t xml:space="preserve"> highlighted</w:t>
      </w:r>
      <w:r w:rsidR="00595A9F">
        <w:t xml:space="preserve"> some minor frustrations.</w:t>
      </w:r>
      <w:r w:rsidR="00595A9F" w:rsidRPr="00595A9F">
        <w:t xml:space="preserve"> </w:t>
      </w:r>
      <w:r w:rsidR="00595A9F">
        <w:t>In the main they were of the view that the assessments</w:t>
      </w:r>
      <w:r w:rsidR="00EE07AB">
        <w:t xml:space="preserve"> were not particularly</w:t>
      </w:r>
      <w:r w:rsidR="000903D9">
        <w:t xml:space="preserve"> difficult</w:t>
      </w:r>
      <w:r w:rsidR="00595A9F">
        <w:t xml:space="preserve">. </w:t>
      </w:r>
      <w:r w:rsidR="00D52B39">
        <w:t>‘</w:t>
      </w:r>
      <w:r w:rsidR="00595A9F">
        <w:t>If you apply yourself, it</w:t>
      </w:r>
      <w:r w:rsidR="00D52B39">
        <w:t>’</w:t>
      </w:r>
      <w:r w:rsidR="00595A9F">
        <w:t>s like everything else. You have to put in the effort to do the work and hand it in to the required deadlines</w:t>
      </w:r>
      <w:r w:rsidR="00EE07AB">
        <w:t>.</w:t>
      </w:r>
      <w:r w:rsidR="00D52B39">
        <w:t>’</w:t>
      </w:r>
      <w:r w:rsidR="00595A9F">
        <w:t xml:space="preserve"> </w:t>
      </w:r>
      <w:r w:rsidR="00933615">
        <w:t>Remembering definitions and key terms was identified as a minor challenge.</w:t>
      </w:r>
    </w:p>
    <w:p w:rsidR="003611E6" w:rsidRDefault="003611E6">
      <w:pPr>
        <w:rPr>
          <w:rFonts w:ascii="Tahoma" w:hAnsi="Tahoma" w:cs="Tahoma"/>
          <w:sz w:val="28"/>
          <w:szCs w:val="20"/>
          <w:lang w:eastAsia="en-US"/>
        </w:rPr>
      </w:pPr>
      <w:r>
        <w:rPr>
          <w:rFonts w:ascii="Tahoma" w:hAnsi="Tahoma" w:cs="Tahoma"/>
          <w:sz w:val="28"/>
          <w:szCs w:val="20"/>
          <w:lang w:eastAsia="en-US"/>
        </w:rPr>
        <w:br w:type="page"/>
      </w:r>
    </w:p>
    <w:p w:rsidR="00785E85" w:rsidRPr="00785E85" w:rsidRDefault="004363BB" w:rsidP="0006598B">
      <w:pPr>
        <w:pStyle w:val="Heading1"/>
      </w:pPr>
      <w:bookmarkStart w:id="79" w:name="_Toc381103198"/>
      <w:r>
        <w:lastRenderedPageBreak/>
        <w:t>Conclusions</w:t>
      </w:r>
      <w:bookmarkEnd w:id="79"/>
    </w:p>
    <w:p w:rsidR="00F553F6" w:rsidRDefault="00F553F6" w:rsidP="00825983">
      <w:pPr>
        <w:pStyle w:val="Text"/>
      </w:pPr>
      <w:r>
        <w:t xml:space="preserve">Our findings suggest that </w:t>
      </w:r>
      <w:r w:rsidR="009C39FD">
        <w:t xml:space="preserve">regulatory considerations and requirements are </w:t>
      </w:r>
      <w:r>
        <w:t xml:space="preserve">the key drivers of quality assessments </w:t>
      </w:r>
      <w:r w:rsidR="009C39FD">
        <w:t>across electrical and aged care qualifications. They are less critical for business qualifications</w:t>
      </w:r>
      <w:r w:rsidR="00123913">
        <w:t>,</w:t>
      </w:r>
      <w:r w:rsidR="009C39FD">
        <w:t xml:space="preserve"> which are broader in their scope. </w:t>
      </w:r>
    </w:p>
    <w:p w:rsidR="004363BB" w:rsidRDefault="004363BB" w:rsidP="004363BB">
      <w:pPr>
        <w:pStyle w:val="Text"/>
      </w:pPr>
      <w:r>
        <w:t>Practitioners have a general understanding that assessments need to be valid and rigorous. That is, they need to be able to gather sufficient evidence of candidates</w:t>
      </w:r>
      <w:r w:rsidR="00D52B39">
        <w:t>’</w:t>
      </w:r>
      <w:r>
        <w:t xml:space="preserve"> practical performa</w:t>
      </w:r>
      <w:r w:rsidR="00123913">
        <w:t>nce of relevant workplace tasks</w:t>
      </w:r>
      <w:r>
        <w:t xml:space="preserve"> and </w:t>
      </w:r>
      <w:r w:rsidR="00123913">
        <w:t xml:space="preserve">their </w:t>
      </w:r>
      <w:r>
        <w:t xml:space="preserve">knowledge of industry or occupational job roles. The importance of </w:t>
      </w:r>
      <w:r w:rsidR="00123913">
        <w:t xml:space="preserve">the </w:t>
      </w:r>
      <w:r>
        <w:t>accurate mapping of assessments to</w:t>
      </w:r>
      <w:r w:rsidR="00123913">
        <w:t xml:space="preserve"> the</w:t>
      </w:r>
      <w:r>
        <w:t xml:space="preserve"> performance criteria of </w:t>
      </w:r>
      <w:r w:rsidR="00123913">
        <w:t xml:space="preserve">the </w:t>
      </w:r>
      <w:r>
        <w:t xml:space="preserve">relevant </w:t>
      </w:r>
      <w:r w:rsidR="00123913">
        <w:t xml:space="preserve">units of competency </w:t>
      </w:r>
      <w:r>
        <w:t xml:space="preserve">in </w:t>
      </w:r>
      <w:r w:rsidR="003F756A">
        <w:t>training packages</w:t>
      </w:r>
      <w:r>
        <w:t xml:space="preserve">, and to the right level of the qualification, is also generally understood. Practitioners </w:t>
      </w:r>
      <w:r w:rsidR="00AE64BF">
        <w:t xml:space="preserve">report </w:t>
      </w:r>
      <w:r>
        <w:t>the importance of having well-designed assessment tools</w:t>
      </w:r>
      <w:r w:rsidR="00123913">
        <w:t xml:space="preserve">, </w:t>
      </w:r>
      <w:r w:rsidR="00D92151">
        <w:t>those that</w:t>
      </w:r>
      <w:r>
        <w:t xml:space="preserve"> provide clear instructions, meet candidates</w:t>
      </w:r>
      <w:r w:rsidR="00D52B39">
        <w:t>’</w:t>
      </w:r>
      <w:r>
        <w:t xml:space="preserve"> </w:t>
      </w:r>
      <w:r w:rsidR="00123913">
        <w:t>needs for reasonable adjustment</w:t>
      </w:r>
      <w:r>
        <w:t xml:space="preserve"> and are relevant to the qualification being assessed.</w:t>
      </w:r>
      <w:r w:rsidR="00E3166C">
        <w:t xml:space="preserve"> </w:t>
      </w:r>
      <w:r>
        <w:t>Th</w:t>
      </w:r>
      <w:r w:rsidR="001F170F">
        <w:t xml:space="preserve">ey also speak about the </w:t>
      </w:r>
      <w:r>
        <w:t xml:space="preserve">need </w:t>
      </w:r>
      <w:r w:rsidR="001F170F">
        <w:t xml:space="preserve">for assessments </w:t>
      </w:r>
      <w:r>
        <w:t xml:space="preserve">to be conducted in authentic and appropriate settings. Quality assessments </w:t>
      </w:r>
      <w:r w:rsidR="00AE64BF">
        <w:t xml:space="preserve">in their view </w:t>
      </w:r>
      <w:r>
        <w:t>not only requir</w:t>
      </w:r>
      <w:r w:rsidR="00123913">
        <w:t>e skilled and trained assessors;</w:t>
      </w:r>
      <w:r>
        <w:t xml:space="preserve"> they also require students who are ready to be assessed, have had advanced notice of the assessment, and </w:t>
      </w:r>
      <w:r w:rsidR="00123913">
        <w:t xml:space="preserve">have </w:t>
      </w:r>
      <w:r>
        <w:t xml:space="preserve">the ability and knowledge to do what is expected of them. </w:t>
      </w:r>
      <w:r w:rsidR="005B4FF0">
        <w:t>As this study did not observe trainers and assessors conducting assessments</w:t>
      </w:r>
      <w:r w:rsidR="00123913">
        <w:t>,</w:t>
      </w:r>
      <w:r w:rsidR="005B4FF0">
        <w:t xml:space="preserve"> it is difficult to comment on the extent to which this knowledge was trans</w:t>
      </w:r>
      <w:r w:rsidR="00123913">
        <w:t>lated</w:t>
      </w:r>
      <w:r w:rsidR="005B4FF0">
        <w:t xml:space="preserve"> into effective practice.</w:t>
      </w:r>
      <w:r w:rsidR="00E3166C">
        <w:t xml:space="preserve"> </w:t>
      </w:r>
    </w:p>
    <w:p w:rsidR="00D92151" w:rsidRDefault="008E3EAD" w:rsidP="002D7A14">
      <w:pPr>
        <w:pStyle w:val="Text"/>
      </w:pPr>
      <w:r>
        <w:t>Validation is seen as being more imp</w:t>
      </w:r>
      <w:r w:rsidR="005E6DC7">
        <w:t>ortant than moderation.</w:t>
      </w:r>
      <w:r>
        <w:t xml:space="preserve"> </w:t>
      </w:r>
      <w:r w:rsidR="005E6DC7">
        <w:t>Moderation is still not fully unde</w:t>
      </w:r>
      <w:r w:rsidR="00123913">
        <w:t>rstood or practis</w:t>
      </w:r>
      <w:r w:rsidR="005E6DC7">
        <w:t xml:space="preserve">ed in the way that is commonly accepted by assessment experts and commentators. Many practitioners </w:t>
      </w:r>
      <w:r w:rsidR="00C74243">
        <w:t>claim</w:t>
      </w:r>
      <w:r w:rsidR="005E6DC7">
        <w:t xml:space="preserve"> that the two concepts are not clearly differentiated</w:t>
      </w:r>
      <w:r w:rsidR="009D60E5">
        <w:t>,</w:t>
      </w:r>
      <w:r w:rsidR="005E6DC7">
        <w:t xml:space="preserve"> although their </w:t>
      </w:r>
      <w:r w:rsidR="000F302F">
        <w:t xml:space="preserve">reported </w:t>
      </w:r>
      <w:r w:rsidR="005E6DC7">
        <w:t xml:space="preserve">practices point to the great importance placed on validation. </w:t>
      </w:r>
      <w:r>
        <w:t xml:space="preserve">There may be a number of reasons for this. </w:t>
      </w:r>
      <w:r w:rsidR="0039128A">
        <w:t>Trainers</w:t>
      </w:r>
      <w:r>
        <w:t xml:space="preserve"> and assessors are mostly concerned that students can </w:t>
      </w:r>
      <w:r w:rsidR="009D60E5">
        <w:t>demonstrate</w:t>
      </w:r>
      <w:r>
        <w:t xml:space="preserve"> they have acquired the knowledge that has been imparted and can give an accurate or correct representation of this knowledge in written or practical tasks. Attaining a successful outcome (that is</w:t>
      </w:r>
      <w:r w:rsidR="009D60E5">
        <w:t>,</w:t>
      </w:r>
      <w:r>
        <w:t xml:space="preserve"> a pass) signifies for both the assessor and the student that they have been able to meet their objectives. These events however are more connected to concepts of validation than moderation. It seems that trainers and assessors are more intent on implementing front-end pre-emptive approaches </w:t>
      </w:r>
      <w:r w:rsidR="005E6DC7">
        <w:t xml:space="preserve">to ensuring reliability and consistency than post-assessment moderation measures. </w:t>
      </w:r>
    </w:p>
    <w:p w:rsidR="006215B0" w:rsidRDefault="006215B0" w:rsidP="002D7A14">
      <w:pPr>
        <w:pStyle w:val="Text"/>
      </w:pPr>
      <w:r>
        <w:t xml:space="preserve">Although the standards for initial and continuing registration point to the need for </w:t>
      </w:r>
      <w:r w:rsidR="003F756A">
        <w:t>registered training organisation</w:t>
      </w:r>
      <w:r>
        <w:t xml:space="preserve">s to </w:t>
      </w:r>
      <w:r w:rsidR="00C74243">
        <w:t>demonstrate</w:t>
      </w:r>
      <w:r>
        <w:t xml:space="preserve"> that they have </w:t>
      </w:r>
      <w:r w:rsidR="009D60E5">
        <w:t xml:space="preserve">established </w:t>
      </w:r>
      <w:r>
        <w:t>processes for ensuring the reliability of assessments</w:t>
      </w:r>
      <w:r w:rsidR="009D60E5">
        <w:t>,</w:t>
      </w:r>
      <w:r>
        <w:t xml:space="preserve"> there is no mandatory requirement for them to implement moderation techniques. However</w:t>
      </w:r>
      <w:r w:rsidR="009D60E5">
        <w:t>,</w:t>
      </w:r>
      <w:r>
        <w:t xml:space="preserve"> the standards require </w:t>
      </w:r>
      <w:r w:rsidR="003F756A">
        <w:t>training organisation</w:t>
      </w:r>
      <w:r>
        <w:t xml:space="preserve">s to have </w:t>
      </w:r>
      <w:r w:rsidR="00C74243">
        <w:t xml:space="preserve">arrangements </w:t>
      </w:r>
      <w:r>
        <w:t xml:space="preserve">in place for the </w:t>
      </w:r>
      <w:r w:rsidR="00FF60D6">
        <w:t xml:space="preserve">external validation of assessments. The </w:t>
      </w:r>
      <w:r w:rsidR="00FF60D6" w:rsidRPr="009D60E5">
        <w:t>National Partnership Agreement on Skills Reform</w:t>
      </w:r>
      <w:r w:rsidR="00FF60D6">
        <w:t xml:space="preserve"> between the Commonwealth and the </w:t>
      </w:r>
      <w:r w:rsidR="009D60E5">
        <w:t xml:space="preserve">states and territories </w:t>
      </w:r>
      <w:r w:rsidR="000E60EE">
        <w:t xml:space="preserve">(Council of Australian Governments 2012) also </w:t>
      </w:r>
      <w:r w:rsidR="00FF60D6">
        <w:t>refers to jurisdictions implemen</w:t>
      </w:r>
      <w:r w:rsidR="000E60EE">
        <w:t xml:space="preserve">ting projects in which </w:t>
      </w:r>
      <w:r w:rsidR="00C74243">
        <w:t xml:space="preserve">the </w:t>
      </w:r>
      <w:r w:rsidR="000E60EE">
        <w:t xml:space="preserve">external </w:t>
      </w:r>
      <w:r w:rsidR="00FF60D6">
        <w:t xml:space="preserve">validation of assessments </w:t>
      </w:r>
      <w:r w:rsidR="00C74243">
        <w:t xml:space="preserve">is </w:t>
      </w:r>
      <w:r w:rsidR="004F16DB">
        <w:t xml:space="preserve">trialled </w:t>
      </w:r>
      <w:r w:rsidR="00FF60D6">
        <w:t xml:space="preserve">and </w:t>
      </w:r>
      <w:r w:rsidR="004F16DB">
        <w:t>(</w:t>
      </w:r>
      <w:r w:rsidR="00FF60D6">
        <w:t xml:space="preserve">subject to outcomes) </w:t>
      </w:r>
      <w:r w:rsidR="00C74243">
        <w:t>subsequently</w:t>
      </w:r>
      <w:r w:rsidR="00FF60D6">
        <w:t xml:space="preserve"> implemented as a national model</w:t>
      </w:r>
      <w:r w:rsidR="000E60EE">
        <w:t xml:space="preserve"> (</w:t>
      </w:r>
      <w:r w:rsidR="009D60E5">
        <w:t>Council of Australian Governments 2012</w:t>
      </w:r>
      <w:r w:rsidR="000E60EE">
        <w:t>, p</w:t>
      </w:r>
      <w:r w:rsidR="009D60E5">
        <w:t>.</w:t>
      </w:r>
      <w:r w:rsidR="000E60EE">
        <w:t>22)</w:t>
      </w:r>
      <w:r w:rsidR="00FF60D6">
        <w:t xml:space="preserve">. </w:t>
      </w:r>
      <w:r w:rsidR="00EB23D1">
        <w:t>Although there has been a tendency by practitioners to use the two terms (validation and moderation) interchangeably</w:t>
      </w:r>
      <w:r w:rsidR="009D60E5">
        <w:t>,</w:t>
      </w:r>
      <w:r w:rsidR="00EB23D1">
        <w:t xml:space="preserve"> assessment experts </w:t>
      </w:r>
      <w:r w:rsidR="008419AB">
        <w:t xml:space="preserve">and commentators working in conjunction with the Workplace Education Research Centre of Victoria University </w:t>
      </w:r>
      <w:r w:rsidR="00EB23D1">
        <w:t xml:space="preserve">have developed some detailed resources </w:t>
      </w:r>
      <w:r w:rsidR="00EB23D1" w:rsidRPr="00EB23D1">
        <w:t xml:space="preserve">that </w:t>
      </w:r>
      <w:r w:rsidR="003B4393">
        <w:t xml:space="preserve">explicitly refer to the </w:t>
      </w:r>
      <w:r w:rsidR="00EB23D1">
        <w:t xml:space="preserve">importance of </w:t>
      </w:r>
      <w:r w:rsidR="00EB23D1" w:rsidRPr="00EB23D1">
        <w:t>incorporating moderation approaches in</w:t>
      </w:r>
      <w:r w:rsidR="00EB23D1">
        <w:t>to</w:t>
      </w:r>
      <w:r w:rsidR="00EB23D1" w:rsidRPr="00EB23D1">
        <w:t xml:space="preserve"> </w:t>
      </w:r>
      <w:r w:rsidR="00317F02">
        <w:t xml:space="preserve">the </w:t>
      </w:r>
      <w:r w:rsidR="00317F02" w:rsidRPr="00EB23D1">
        <w:t>assessment strategies</w:t>
      </w:r>
      <w:r w:rsidR="00317F02">
        <w:t xml:space="preserve"> of </w:t>
      </w:r>
      <w:r w:rsidR="003F756A">
        <w:t>registered training organisation</w:t>
      </w:r>
      <w:r w:rsidR="00317F02">
        <w:t>s. The aim of these is to enable training organisations</w:t>
      </w:r>
      <w:r w:rsidR="003B4393">
        <w:t xml:space="preserve"> </w:t>
      </w:r>
      <w:r w:rsidR="007C0A83">
        <w:t xml:space="preserve">to meet </w:t>
      </w:r>
      <w:r w:rsidR="004F16DB">
        <w:t xml:space="preserve">the </w:t>
      </w:r>
      <w:r w:rsidR="007C0A83">
        <w:t>standard</w:t>
      </w:r>
      <w:r w:rsidR="00317F02">
        <w:t>s</w:t>
      </w:r>
      <w:r w:rsidR="007C0A83">
        <w:t xml:space="preserve"> </w:t>
      </w:r>
      <w:r w:rsidR="004F16DB">
        <w:t xml:space="preserve">relating </w:t>
      </w:r>
      <w:r w:rsidR="007C0A83">
        <w:t xml:space="preserve">to reliability in assessment </w:t>
      </w:r>
      <w:r w:rsidR="00EB23D1">
        <w:t>(Nation</w:t>
      </w:r>
      <w:r w:rsidR="00317F02">
        <w:t>al Quality Council</w:t>
      </w:r>
      <w:r w:rsidR="00EB23D1">
        <w:t xml:space="preserve"> 2009a</w:t>
      </w:r>
      <w:r w:rsidR="008419AB">
        <w:t>,</w:t>
      </w:r>
      <w:r w:rsidR="00EB23D1">
        <w:t xml:space="preserve"> 2009b</w:t>
      </w:r>
      <w:r w:rsidR="00317F02">
        <w:t>;</w:t>
      </w:r>
      <w:r w:rsidR="008419AB">
        <w:t xml:space="preserve"> </w:t>
      </w:r>
      <w:r w:rsidR="003B4393">
        <w:t xml:space="preserve">TVET </w:t>
      </w:r>
      <w:r w:rsidR="008419AB">
        <w:t>2010</w:t>
      </w:r>
      <w:r w:rsidR="00EB23D1">
        <w:t>)</w:t>
      </w:r>
      <w:r w:rsidR="00EB23D1" w:rsidRPr="00EB23D1">
        <w:t>.</w:t>
      </w:r>
    </w:p>
    <w:p w:rsidR="002D7A14" w:rsidRDefault="00291E39" w:rsidP="002D7A14">
      <w:pPr>
        <w:pStyle w:val="Text"/>
      </w:pPr>
      <w:r>
        <w:lastRenderedPageBreak/>
        <w:t>T</w:t>
      </w:r>
      <w:r w:rsidR="002D7A14">
        <w:t>rainers</w:t>
      </w:r>
      <w:r>
        <w:t xml:space="preserve"> and </w:t>
      </w:r>
      <w:r w:rsidR="002D7A14">
        <w:t xml:space="preserve">assessors </w:t>
      </w:r>
      <w:r>
        <w:t>understand the wisdom of g</w:t>
      </w:r>
      <w:r w:rsidR="00317F02">
        <w:t>aining</w:t>
      </w:r>
      <w:r>
        <w:t xml:space="preserve"> employer feedback to </w:t>
      </w:r>
      <w:r w:rsidR="001F170F">
        <w:t xml:space="preserve">ensure that </w:t>
      </w:r>
      <w:r w:rsidR="00B72258">
        <w:t>their classroom practices are</w:t>
      </w:r>
      <w:r>
        <w:t xml:space="preserve"> </w:t>
      </w:r>
      <w:r w:rsidR="004F16DB">
        <w:t>those</w:t>
      </w:r>
      <w:r>
        <w:t xml:space="preserve"> required by industry. They also understand the </w:t>
      </w:r>
      <w:r w:rsidR="00B72258">
        <w:t>difficulties</w:t>
      </w:r>
      <w:r>
        <w:t xml:space="preserve"> of getting employers to devote </w:t>
      </w:r>
      <w:r w:rsidR="00B72258">
        <w:t xml:space="preserve">time </w:t>
      </w:r>
      <w:r>
        <w:t>to the validation of assessment tools. Where practitioners already have good networks with employers</w:t>
      </w:r>
      <w:r w:rsidR="00B72258">
        <w:t>,</w:t>
      </w:r>
      <w:r>
        <w:t xml:space="preserve"> getting this involvement seems to be less difficult. </w:t>
      </w:r>
    </w:p>
    <w:p w:rsidR="00FA718F" w:rsidRDefault="00FA718F" w:rsidP="00FA718F">
      <w:pPr>
        <w:pStyle w:val="Text"/>
      </w:pPr>
      <w:r>
        <w:t xml:space="preserve">The uptake of </w:t>
      </w:r>
      <w:r w:rsidR="00B72258">
        <w:t>recognition of prior learning</w:t>
      </w:r>
      <w:r>
        <w:t xml:space="preserve"> is still </w:t>
      </w:r>
      <w:r w:rsidR="00B72258">
        <w:t>relatively low, especially for c</w:t>
      </w:r>
      <w:r>
        <w:t>ertificate III programs, although it is mor</w:t>
      </w:r>
      <w:r w:rsidR="00B72258">
        <w:t>e commonly requested for higher-</w:t>
      </w:r>
      <w:r>
        <w:t xml:space="preserve">level programs. Where </w:t>
      </w:r>
      <w:r w:rsidR="00B72258">
        <w:t>RPL</w:t>
      </w:r>
      <w:r>
        <w:t xml:space="preserve"> does occur</w:t>
      </w:r>
      <w:r w:rsidR="00B72258">
        <w:t>,</w:t>
      </w:r>
      <w:r>
        <w:t xml:space="preserve"> it generally </w:t>
      </w:r>
      <w:r w:rsidR="00B72258">
        <w:t>demands</w:t>
      </w:r>
      <w:r>
        <w:t xml:space="preserve"> considerable time and effort on the part of assessors and students. </w:t>
      </w:r>
      <w:r w:rsidR="00F876F0">
        <w:t>Although</w:t>
      </w:r>
      <w:r>
        <w:t xml:space="preserve"> </w:t>
      </w:r>
      <w:r w:rsidR="004F16DB">
        <w:t>COAG</w:t>
      </w:r>
      <w:r w:rsidR="00D52B39">
        <w:t>’</w:t>
      </w:r>
      <w:r w:rsidR="004F16DB">
        <w:t>s</w:t>
      </w:r>
      <w:r>
        <w:t xml:space="preserve"> aim </w:t>
      </w:r>
      <w:r w:rsidR="00F876F0">
        <w:t>is the streamlining of the recognition of prior learning by providers, the practice</w:t>
      </w:r>
      <w:r>
        <w:t xml:space="preserve"> </w:t>
      </w:r>
      <w:r w:rsidR="00AB2A82">
        <w:t>is not widespread</w:t>
      </w:r>
      <w:r>
        <w:t xml:space="preserve"> </w:t>
      </w:r>
      <w:r w:rsidR="000F48BC">
        <w:t>for qualifications in this study</w:t>
      </w:r>
      <w:r>
        <w:t xml:space="preserve">. This is not to say that it </w:t>
      </w:r>
      <w:r w:rsidR="00F876F0">
        <w:t>is not occurring</w:t>
      </w:r>
      <w:r>
        <w:t xml:space="preserve">, but it is still common for providers to spend substantial amounts of time </w:t>
      </w:r>
      <w:r w:rsidR="00F876F0">
        <w:t>ensuring</w:t>
      </w:r>
      <w:r>
        <w:t xml:space="preserve"> that they accurate</w:t>
      </w:r>
      <w:r w:rsidR="00F876F0">
        <w:t>ly map</w:t>
      </w:r>
      <w:r>
        <w:t xml:space="preserve"> evidence to elements of competence, </w:t>
      </w:r>
      <w:r w:rsidR="00F876F0">
        <w:t xml:space="preserve">with </w:t>
      </w:r>
      <w:r w:rsidR="004F16DB">
        <w:t xml:space="preserve">the </w:t>
      </w:r>
      <w:r w:rsidR="00F876F0">
        <w:t>concomitant</w:t>
      </w:r>
      <w:r w:rsidR="004F16DB">
        <w:t xml:space="preserve"> expectation</w:t>
      </w:r>
      <w:r>
        <w:t xml:space="preserve"> that students will provide </w:t>
      </w:r>
      <w:r w:rsidR="004F16DB">
        <w:t>the appropriate amount</w:t>
      </w:r>
      <w:r>
        <w:t xml:space="preserve"> of evidence.</w:t>
      </w:r>
      <w:r w:rsidR="00E3166C">
        <w:t xml:space="preserve"> </w:t>
      </w:r>
      <w:r>
        <w:t xml:space="preserve">A key driver of this behaviour is the objective of </w:t>
      </w:r>
      <w:r w:rsidR="004F16DB">
        <w:t>fulfilling</w:t>
      </w:r>
      <w:r>
        <w:t xml:space="preserve"> auditor expectations. Another key driver is the need for institutions to protect their brand. </w:t>
      </w:r>
    </w:p>
    <w:p w:rsidR="009C39FD" w:rsidRDefault="009C39FD" w:rsidP="00FA718F">
      <w:pPr>
        <w:pStyle w:val="Text"/>
      </w:pPr>
      <w:r>
        <w:t xml:space="preserve">The results of the </w:t>
      </w:r>
      <w:r w:rsidR="00E20E0D">
        <w:t xml:space="preserve">independent </w:t>
      </w:r>
      <w:r>
        <w:t xml:space="preserve">assessment validation </w:t>
      </w:r>
      <w:r w:rsidR="00E20E0D">
        <w:t xml:space="preserve">pilot </w:t>
      </w:r>
      <w:r>
        <w:t xml:space="preserve">have highlighted the need to provide a higher level of prescription or direction to </w:t>
      </w:r>
      <w:r w:rsidR="003F756A">
        <w:t>registered training organisation</w:t>
      </w:r>
      <w:r>
        <w:t xml:space="preserve">s delivering the </w:t>
      </w:r>
      <w:r w:rsidR="00F876F0">
        <w:t xml:space="preserve">aged care qualifications, </w:t>
      </w:r>
      <w:r>
        <w:t xml:space="preserve">especially in terms of course duration and </w:t>
      </w:r>
      <w:r w:rsidR="0011471F">
        <w:t xml:space="preserve">the </w:t>
      </w:r>
      <w:r>
        <w:t>content and quality of training and assessment.</w:t>
      </w:r>
      <w:r w:rsidR="00E3166C">
        <w:t xml:space="preserve"> </w:t>
      </w:r>
      <w:r>
        <w:t xml:space="preserve">Such an approach could be </w:t>
      </w:r>
      <w:r w:rsidR="00AB663D">
        <w:t>considered for</w:t>
      </w:r>
      <w:r>
        <w:t xml:space="preserve"> other qualifications where the quality of assessment has been of concern.</w:t>
      </w:r>
      <w:r w:rsidR="00E3166C">
        <w:t xml:space="preserve"> </w:t>
      </w:r>
    </w:p>
    <w:p w:rsidR="009C39FD" w:rsidRDefault="009C39FD" w:rsidP="00FA718F">
      <w:pPr>
        <w:pStyle w:val="Text"/>
      </w:pPr>
    </w:p>
    <w:p w:rsidR="009C39FD" w:rsidRDefault="009C39FD">
      <w:pPr>
        <w:rPr>
          <w:rFonts w:ascii="Trebuchet MS" w:hAnsi="Trebuchet MS"/>
          <w:sz w:val="19"/>
          <w:szCs w:val="20"/>
          <w:lang w:eastAsia="en-US"/>
        </w:rPr>
      </w:pPr>
      <w:r>
        <w:br w:type="page"/>
      </w:r>
    </w:p>
    <w:p w:rsidR="00A50895" w:rsidRDefault="00A50895" w:rsidP="00D33709">
      <w:pPr>
        <w:pStyle w:val="Heading1"/>
      </w:pPr>
      <w:bookmarkStart w:id="80" w:name="_Toc456000800"/>
      <w:bookmarkStart w:id="81" w:name="_Toc457122465"/>
      <w:bookmarkStart w:id="82" w:name="_Toc188077643"/>
      <w:bookmarkStart w:id="83" w:name="_Toc381103199"/>
      <w:r>
        <w:lastRenderedPageBreak/>
        <w:t>References</w:t>
      </w:r>
      <w:bookmarkEnd w:id="80"/>
      <w:bookmarkEnd w:id="81"/>
      <w:bookmarkEnd w:id="82"/>
      <w:bookmarkEnd w:id="83"/>
    </w:p>
    <w:p w:rsidR="00112945" w:rsidRPr="00F57411" w:rsidRDefault="00112945" w:rsidP="00112945">
      <w:pPr>
        <w:pStyle w:val="References"/>
      </w:pPr>
      <w:r w:rsidRPr="00F57411">
        <w:t>Aust</w:t>
      </w:r>
      <w:r w:rsidR="0011471F">
        <w:t>ralian Skills Quality Authority</w:t>
      </w:r>
      <w:r w:rsidRPr="00F57411">
        <w:t xml:space="preserve"> 2013, </w:t>
      </w:r>
      <w:r w:rsidRPr="0011471F">
        <w:rPr>
          <w:i/>
        </w:rPr>
        <w:t>Training for aged and community care in Australia: a national strategic review of registered training organisations offering aged and community care sector training</w:t>
      </w:r>
      <w:r w:rsidRPr="00F57411">
        <w:t xml:space="preserve">, </w:t>
      </w:r>
      <w:r w:rsidR="0011471F" w:rsidRPr="00F57411">
        <w:t>viewed December 2013</w:t>
      </w:r>
      <w:r w:rsidR="0011471F">
        <w:t xml:space="preserve">, </w:t>
      </w:r>
      <w:r w:rsidRPr="00F57411">
        <w:t>&lt;</w:t>
      </w:r>
      <w:hyperlink r:id="rId24" w:history="1">
        <w:r w:rsidR="00D33709" w:rsidRPr="00185A64">
          <w:rPr>
            <w:rStyle w:val="Hyperlink"/>
            <w:sz w:val="18"/>
          </w:rPr>
          <w:t>http://www.asqa.gov.au/verve/_resources/Strategic_Reviews_2013_Aged_ Care_Report.pdf</w:t>
        </w:r>
      </w:hyperlink>
      <w:r w:rsidR="0011471F">
        <w:t>&gt;.</w:t>
      </w:r>
    </w:p>
    <w:p w:rsidR="00FF60D6" w:rsidRDefault="00FF60D6" w:rsidP="00F57411">
      <w:pPr>
        <w:pStyle w:val="References"/>
      </w:pPr>
      <w:r>
        <w:t>Cou</w:t>
      </w:r>
      <w:r w:rsidR="0011471F">
        <w:t>ncil of Australian Governments 2012,</w:t>
      </w:r>
      <w:r>
        <w:t xml:space="preserve"> </w:t>
      </w:r>
      <w:r w:rsidRPr="0011471F">
        <w:rPr>
          <w:i/>
        </w:rPr>
        <w:t>National Partnership Agreement on Skills Reform</w:t>
      </w:r>
      <w:r>
        <w:t xml:space="preserve">, </w:t>
      </w:r>
      <w:r w:rsidR="0011471F">
        <w:t>viewed December 2013, &lt;</w:t>
      </w:r>
      <w:hyperlink r:id="rId25" w:history="1">
        <w:r w:rsidR="00116FA4" w:rsidRPr="00AB1FF9">
          <w:rPr>
            <w:rStyle w:val="Hyperlink"/>
            <w:sz w:val="18"/>
          </w:rPr>
          <w:t>http://www.federalfinancialrelations.gov.au/content/npa/skills/skills-reform/national_partnership.pdf</w:t>
        </w:r>
      </w:hyperlink>
      <w:r w:rsidR="0011471F">
        <w:t>&gt;.</w:t>
      </w:r>
    </w:p>
    <w:p w:rsidR="00724DE5" w:rsidRPr="00F57411" w:rsidRDefault="00724DE5" w:rsidP="00F57411">
      <w:pPr>
        <w:pStyle w:val="References"/>
      </w:pPr>
      <w:r w:rsidRPr="00F57411">
        <w:t xml:space="preserve">Clayton, B 2009, </w:t>
      </w:r>
      <w:r w:rsidRPr="0011471F">
        <w:rPr>
          <w:i/>
        </w:rPr>
        <w:t>Practitioner experiences and expectations with the Certificate IV in Training and Assessment (TAA40104): a discussion of the issues</w:t>
      </w:r>
      <w:r w:rsidRPr="00F57411">
        <w:t xml:space="preserve">, NCVER occasional paper, NCVER, Adelaide, </w:t>
      </w:r>
      <w:r w:rsidR="0011471F" w:rsidRPr="00F57411">
        <w:t>viewed 20 Jan</w:t>
      </w:r>
      <w:r w:rsidR="0011471F">
        <w:t>uary</w:t>
      </w:r>
      <w:r w:rsidR="0011471F" w:rsidRPr="00F57411">
        <w:t xml:space="preserve"> 2013</w:t>
      </w:r>
      <w:r w:rsidR="0011471F">
        <w:t>, &lt;</w:t>
      </w:r>
      <w:hyperlink r:id="rId26" w:history="1">
        <w:r w:rsidR="00116FA4" w:rsidRPr="00AB1FF9">
          <w:rPr>
            <w:rStyle w:val="Hyperlink"/>
            <w:sz w:val="18"/>
          </w:rPr>
          <w:t>http://www.ncver.edu.au/publications/2183.html</w:t>
        </w:r>
      </w:hyperlink>
      <w:r w:rsidR="0011471F">
        <w:t xml:space="preserve">&gt;. </w:t>
      </w:r>
    </w:p>
    <w:p w:rsidR="00724DE5" w:rsidRPr="00F57411" w:rsidRDefault="00724DE5" w:rsidP="00F57411">
      <w:pPr>
        <w:pStyle w:val="References"/>
      </w:pPr>
      <w:r w:rsidRPr="00F57411">
        <w:t xml:space="preserve">Halliday Wynes, S </w:t>
      </w:r>
      <w:r w:rsidR="0011471F">
        <w:t>&amp; Misko</w:t>
      </w:r>
      <w:r w:rsidR="00D33709">
        <w:t>,</w:t>
      </w:r>
      <w:r w:rsidR="0011471F">
        <w:t xml:space="preserve"> J 2013</w:t>
      </w:r>
      <w:r w:rsidRPr="00F57411">
        <w:t xml:space="preserve">, </w:t>
      </w:r>
      <w:r w:rsidRPr="0011471F">
        <w:rPr>
          <w:i/>
        </w:rPr>
        <w:t>Issues in assessment: minimising the level of risk</w:t>
      </w:r>
      <w:r w:rsidRPr="00F57411">
        <w:t>, NCVER, Adelaide</w:t>
      </w:r>
      <w:r w:rsidR="0011471F">
        <w:t>.</w:t>
      </w:r>
      <w:r w:rsidRPr="00F57411">
        <w:t xml:space="preserve"> </w:t>
      </w:r>
    </w:p>
    <w:p w:rsidR="00D33709" w:rsidRDefault="00D33709" w:rsidP="0039128A">
      <w:pPr>
        <w:pStyle w:val="References"/>
      </w:pPr>
      <w:r>
        <w:t xml:space="preserve">National Quality Council 2008, </w:t>
      </w:r>
      <w:r w:rsidRPr="00D33709">
        <w:rPr>
          <w:i/>
        </w:rPr>
        <w:t>Investigation into industry expectations of vocational education and training assessment</w:t>
      </w:r>
      <w:r>
        <w:t>, final report, June</w:t>
      </w:r>
      <w:r w:rsidR="0039128A">
        <w:t>, viewed May 2013,</w:t>
      </w:r>
      <w:r>
        <w:t xml:space="preserve"> &lt;</w:t>
      </w:r>
      <w:hyperlink r:id="rId27" w:history="1">
        <w:r w:rsidR="00F17881" w:rsidRPr="00185A64">
          <w:rPr>
            <w:rStyle w:val="Hyperlink"/>
            <w:sz w:val="18"/>
          </w:rPr>
          <w:t>http://www.nssc.natese.gov.au/__data/assets/pdf_file/0007/ 46177/NQC_VET_Assessment_Report_-_V8_ONLINE.pdf</w:t>
        </w:r>
      </w:hyperlink>
      <w:r>
        <w:t>&gt;.</w:t>
      </w:r>
    </w:p>
    <w:p w:rsidR="008419AB" w:rsidRDefault="00F17881" w:rsidP="00F57411">
      <w:pPr>
        <w:pStyle w:val="References"/>
      </w:pPr>
      <w:r>
        <w:t>——</w:t>
      </w:r>
      <w:r w:rsidR="00EB23D1">
        <w:t xml:space="preserve">2009a, </w:t>
      </w:r>
      <w:r w:rsidR="00EB23D1" w:rsidRPr="0011471F">
        <w:rPr>
          <w:i/>
        </w:rPr>
        <w:t xml:space="preserve">A </w:t>
      </w:r>
      <w:r w:rsidR="0011471F" w:rsidRPr="0011471F">
        <w:rPr>
          <w:i/>
        </w:rPr>
        <w:t xml:space="preserve">code of professional practice </w:t>
      </w:r>
      <w:r w:rsidR="00EB23D1" w:rsidRPr="0011471F">
        <w:rPr>
          <w:i/>
        </w:rPr>
        <w:t>for validation and moderation</w:t>
      </w:r>
      <w:r w:rsidR="00EB23D1">
        <w:t xml:space="preserve">, </w:t>
      </w:r>
      <w:r w:rsidR="0011471F">
        <w:t>viewed May 2013, &lt;</w:t>
      </w:r>
      <w:hyperlink r:id="rId28" w:history="1">
        <w:r w:rsidR="00D33709" w:rsidRPr="00185A64">
          <w:rPr>
            <w:rStyle w:val="Hyperlink"/>
            <w:sz w:val="18"/>
          </w:rPr>
          <w:t>http://www.nssc.natese.gov.au/__data/assets/pdf_file/0010/51022/Validation_and_ Moderation_-_Code_of_Professional_Practice.pdf</w:t>
        </w:r>
      </w:hyperlink>
      <w:r w:rsidR="0011471F">
        <w:t>&gt;.</w:t>
      </w:r>
    </w:p>
    <w:p w:rsidR="0011471F" w:rsidRDefault="0011471F" w:rsidP="0011471F">
      <w:pPr>
        <w:pStyle w:val="References"/>
      </w:pPr>
      <w:r>
        <w:t>——</w:t>
      </w:r>
      <w:r w:rsidR="008419AB">
        <w:t xml:space="preserve">2009b, </w:t>
      </w:r>
      <w:r w:rsidR="008419AB" w:rsidRPr="0011471F">
        <w:rPr>
          <w:i/>
        </w:rPr>
        <w:t xml:space="preserve">Implementation </w:t>
      </w:r>
      <w:r w:rsidRPr="0011471F">
        <w:rPr>
          <w:i/>
        </w:rPr>
        <w:t>guide validation and moderation</w:t>
      </w:r>
      <w:r w:rsidR="008419AB">
        <w:t xml:space="preserve">, </w:t>
      </w:r>
      <w:r>
        <w:t>viewed May 2013, &lt;</w:t>
      </w:r>
      <w:hyperlink w:history="1">
        <w:r w:rsidR="00D33709" w:rsidRPr="00185A64">
          <w:rPr>
            <w:rStyle w:val="Hyperlink"/>
            <w:sz w:val="18"/>
          </w:rPr>
          <w:t>http://www.nssc.natese. gov.au/__data/assets/pdf_file/0012/51024/Validation_and_Moderation_-_Implementation_Guide.pdf</w:t>
        </w:r>
      </w:hyperlink>
      <w:r>
        <w:t>&gt;.</w:t>
      </w:r>
    </w:p>
    <w:p w:rsidR="0011471F" w:rsidRDefault="0011471F" w:rsidP="0011471F">
      <w:pPr>
        <w:pStyle w:val="References"/>
      </w:pPr>
      <w:r>
        <w:t>——</w:t>
      </w:r>
      <w:r w:rsidRPr="00F57411">
        <w:t xml:space="preserve">2011, </w:t>
      </w:r>
      <w:r w:rsidRPr="0011471F">
        <w:rPr>
          <w:i/>
        </w:rPr>
        <w:t>Feasibility study of the development of a panel of experts in assessment to work with RTOs found not to be compliant with AQTF 1.5: final draft report</w:t>
      </w:r>
      <w:r w:rsidRPr="00F57411">
        <w:t xml:space="preserve">, TVET Australia, Melbourne, </w:t>
      </w:r>
      <w:r w:rsidRPr="00116FA4">
        <w:t>vie</w:t>
      </w:r>
      <w:r>
        <w:t>wed 20 January 2013, &lt;</w:t>
      </w:r>
      <w:hyperlink r:id="rId29" w:history="1">
        <w:r w:rsidR="00D33709" w:rsidRPr="00185A64">
          <w:rPr>
            <w:rStyle w:val="Hyperlink"/>
            <w:sz w:val="18"/>
          </w:rPr>
          <w:t>http://www.nssc.natese.gov.au/__data/assets/pdf_file/0015/58101/Feasibility_study_re_ panel_of_assessment_experts.pdf</w:t>
        </w:r>
      </w:hyperlink>
      <w:r>
        <w:t>&gt;</w:t>
      </w:r>
      <w:r w:rsidRPr="00F57411">
        <w:t xml:space="preserve">. </w:t>
      </w:r>
    </w:p>
    <w:p w:rsidR="008419AB" w:rsidRPr="00F57411" w:rsidRDefault="008419AB" w:rsidP="00F57411">
      <w:pPr>
        <w:pStyle w:val="References"/>
      </w:pPr>
      <w:r>
        <w:t xml:space="preserve">TVET </w:t>
      </w:r>
      <w:r w:rsidR="0011471F">
        <w:t>Australia</w:t>
      </w:r>
      <w:r>
        <w:t xml:space="preserve"> 2010, </w:t>
      </w:r>
      <w:r w:rsidRPr="0011471F">
        <w:rPr>
          <w:i/>
        </w:rPr>
        <w:t xml:space="preserve">Assessor </w:t>
      </w:r>
      <w:r w:rsidR="0011471F" w:rsidRPr="0011471F">
        <w:rPr>
          <w:i/>
        </w:rPr>
        <w:t>guide: validation and moderation</w:t>
      </w:r>
      <w:r>
        <w:t xml:space="preserve">, </w:t>
      </w:r>
      <w:r w:rsidR="00D7195F">
        <w:t>viewed December 2013, &lt;</w:t>
      </w:r>
      <w:hyperlink r:id="rId30" w:history="1">
        <w:r w:rsidRPr="00AB1FF9">
          <w:rPr>
            <w:rStyle w:val="Hyperlink"/>
            <w:sz w:val="18"/>
          </w:rPr>
          <w:t>http://www.rtoconsultant.com.au/uploads/Assessor_Guide_-_Validation_and_Moderation.pdf</w:t>
        </w:r>
      </w:hyperlink>
      <w:r w:rsidR="00D7195F">
        <w:t>&gt;.</w:t>
      </w:r>
    </w:p>
    <w:p w:rsidR="00364C51" w:rsidRPr="00F57411" w:rsidRDefault="00D0430C" w:rsidP="00F57411">
      <w:pPr>
        <w:pStyle w:val="References"/>
      </w:pPr>
      <w:r>
        <w:t>South Australia</w:t>
      </w:r>
      <w:r w:rsidR="00CF3CDC">
        <w:t>n Government 2013a</w:t>
      </w:r>
      <w:r>
        <w:t>,</w:t>
      </w:r>
      <w:r w:rsidR="00364C51" w:rsidRPr="00F57411">
        <w:t xml:space="preserve"> </w:t>
      </w:r>
      <w:r>
        <w:rPr>
          <w:i/>
        </w:rPr>
        <w:t>Annual report of Technical Regulator, e</w:t>
      </w:r>
      <w:r w:rsidR="00364C51" w:rsidRPr="00D0430C">
        <w:rPr>
          <w:i/>
        </w:rPr>
        <w:t>lectricity 2012</w:t>
      </w:r>
      <w:r w:rsidR="00364C51" w:rsidRPr="00F57411">
        <w:t>, Department of Manufacturing, Innovation, Trade, Resources and Energy</w:t>
      </w:r>
      <w:r>
        <w:t>, Adelaide.</w:t>
      </w:r>
    </w:p>
    <w:p w:rsidR="0009671C" w:rsidRPr="00F57411" w:rsidRDefault="00D7195F" w:rsidP="00F57411">
      <w:pPr>
        <w:pStyle w:val="References"/>
      </w:pPr>
      <w:r>
        <w:t>——</w:t>
      </w:r>
      <w:r w:rsidR="0009671C" w:rsidRPr="00F57411">
        <w:t>2013</w:t>
      </w:r>
      <w:r w:rsidR="00CF3CDC">
        <w:t>b</w:t>
      </w:r>
      <w:r>
        <w:t xml:space="preserve">, </w:t>
      </w:r>
      <w:r w:rsidR="00D92151">
        <w:t>‘</w:t>
      </w:r>
      <w:r w:rsidRPr="00D92151">
        <w:t>Skills for all</w:t>
      </w:r>
      <w:r w:rsidR="00D92151">
        <w:t>’</w:t>
      </w:r>
      <w:r w:rsidRPr="00D92151">
        <w:t>:</w:t>
      </w:r>
      <w:r w:rsidR="0009671C" w:rsidRPr="00F57411">
        <w:t xml:space="preserve"> Aged Care Training Providers Forum</w:t>
      </w:r>
      <w:r w:rsidR="00B21E7A">
        <w:t>, unpublished</w:t>
      </w:r>
      <w:r w:rsidR="00D92151">
        <w:t>, Adelaide</w:t>
      </w:r>
      <w:r w:rsidR="00B21E7A">
        <w:t>.</w:t>
      </w:r>
    </w:p>
    <w:p w:rsidR="0009671C" w:rsidRDefault="0009671C">
      <w:pPr>
        <w:rPr>
          <w:rFonts w:ascii="Trebuchet MS" w:hAnsi="Trebuchet MS"/>
          <w:sz w:val="18"/>
          <w:szCs w:val="20"/>
          <w:lang w:eastAsia="en-US"/>
        </w:rPr>
      </w:pPr>
      <w:r>
        <w:br w:type="page"/>
      </w:r>
    </w:p>
    <w:p w:rsidR="00D0430C" w:rsidRDefault="00E167BB" w:rsidP="0009671C">
      <w:pPr>
        <w:pStyle w:val="Heading1"/>
      </w:pPr>
      <w:bookmarkStart w:id="84" w:name="_Toc381103200"/>
      <w:r w:rsidRPr="00E167BB">
        <w:lastRenderedPageBreak/>
        <w:t>Appendix A</w:t>
      </w:r>
      <w:bookmarkEnd w:id="84"/>
    </w:p>
    <w:p w:rsidR="0009671C" w:rsidRDefault="0009671C" w:rsidP="00E167BB">
      <w:pPr>
        <w:pStyle w:val="Heading2"/>
      </w:pPr>
      <w:bookmarkStart w:id="85" w:name="_Toc381103201"/>
      <w:r>
        <w:t xml:space="preserve">Lessons from </w:t>
      </w:r>
      <w:r w:rsidR="00214E96">
        <w:t xml:space="preserve">independent </w:t>
      </w:r>
      <w:r>
        <w:t>assessment validation pilot</w:t>
      </w:r>
      <w:r w:rsidR="007F1E27">
        <w:t xml:space="preserve">s and </w:t>
      </w:r>
      <w:r w:rsidR="001C37CD">
        <w:t xml:space="preserve">quality </w:t>
      </w:r>
      <w:r w:rsidR="007F1E27">
        <w:t>reviews of</w:t>
      </w:r>
      <w:r w:rsidR="001C37CD">
        <w:t xml:space="preserve"> aged care qualifications</w:t>
      </w:r>
      <w:bookmarkEnd w:id="85"/>
    </w:p>
    <w:p w:rsidR="0009671C" w:rsidRDefault="0009671C" w:rsidP="0009671C">
      <w:pPr>
        <w:pStyle w:val="Text"/>
      </w:pPr>
      <w:r>
        <w:t xml:space="preserve">The aim of the </w:t>
      </w:r>
      <w:r w:rsidR="000B300C">
        <w:t xml:space="preserve">Assessment Validation Project </w:t>
      </w:r>
      <w:r>
        <w:t xml:space="preserve">(conducted as part of the national </w:t>
      </w:r>
      <w:r w:rsidR="000B300C">
        <w:t>COAG</w:t>
      </w:r>
      <w:r>
        <w:t xml:space="preserve"> </w:t>
      </w:r>
      <w:r w:rsidR="00214E96">
        <w:t xml:space="preserve">Independent Assessment </w:t>
      </w:r>
      <w:r w:rsidR="00A036E1">
        <w:t>V</w:t>
      </w:r>
      <w:r>
        <w:t xml:space="preserve">alidation </w:t>
      </w:r>
      <w:r w:rsidRPr="00A036E1">
        <w:t>pilot</w:t>
      </w:r>
      <w:r>
        <w:t xml:space="preserve">) was to </w:t>
      </w:r>
      <w:r w:rsidR="00214E96">
        <w:t xml:space="preserve">trial </w:t>
      </w:r>
      <w:r>
        <w:t xml:space="preserve">a process to independently validate graduate outcomes from </w:t>
      </w:r>
      <w:r w:rsidR="00D7195F">
        <w:t xml:space="preserve">the </w:t>
      </w:r>
      <w:r>
        <w:t>Certificate III in Aged Care. The validation process had a number of stages. First</w:t>
      </w:r>
      <w:r w:rsidR="00A036E1">
        <w:t>,</w:t>
      </w:r>
      <w:r>
        <w:t xml:space="preserve"> industry stakeholders were involved in the development of a gr</w:t>
      </w:r>
      <w:r w:rsidR="000B300C">
        <w:t>aduate specification instrument,</w:t>
      </w:r>
      <w:r>
        <w:t xml:space="preserve"> which listed the key attributes and competencies that should be demonstrated by graduates. Industry advisers were then recruited to help </w:t>
      </w:r>
      <w:r w:rsidR="00D7195F">
        <w:t xml:space="preserve">state training authority personnel </w:t>
      </w:r>
      <w:r w:rsidR="000B300C">
        <w:t xml:space="preserve">to </w:t>
      </w:r>
      <w:r w:rsidR="00D7195F">
        <w:t>make site visits to training providers</w:t>
      </w:r>
      <w:r>
        <w:t>. A group of 12 graduates w</w:t>
      </w:r>
      <w:r w:rsidR="00D92151">
        <w:t>ere</w:t>
      </w:r>
      <w:r>
        <w:t xml:space="preserve"> also involved in a workplace assessment conducted by industry advisers. In addition</w:t>
      </w:r>
      <w:r w:rsidR="00D7195F">
        <w:t>,</w:t>
      </w:r>
      <w:r>
        <w:t xml:space="preserve"> a telephone survey of 151 graduates from 12 </w:t>
      </w:r>
      <w:r w:rsidR="00D7195F">
        <w:t xml:space="preserve">training providers </w:t>
      </w:r>
      <w:r>
        <w:t xml:space="preserve">was undertaken to assess </w:t>
      </w:r>
      <w:r w:rsidR="00D7195F">
        <w:t xml:space="preserve">their </w:t>
      </w:r>
      <w:r>
        <w:t>employment status and satisfaction with training. The survey found that of the 151 gradua</w:t>
      </w:r>
      <w:r w:rsidR="00D7195F">
        <w:t xml:space="preserve">tes of </w:t>
      </w:r>
      <w:r w:rsidR="00D7195F" w:rsidRPr="002D254F">
        <w:t>the Certificate III in Aged C</w:t>
      </w:r>
      <w:r w:rsidRPr="002D254F">
        <w:t>are almost half were</w:t>
      </w:r>
      <w:r w:rsidR="002D254F" w:rsidRPr="002D254F">
        <w:t xml:space="preserve"> currently working in aged care</w:t>
      </w:r>
      <w:r w:rsidR="002D254F">
        <w:t xml:space="preserve"> and a</w:t>
      </w:r>
      <w:r w:rsidR="002D254F" w:rsidRPr="002D254F">
        <w:t>lmost</w:t>
      </w:r>
      <w:r w:rsidRPr="002D254F">
        <w:t xml:space="preserve"> a quarter of these </w:t>
      </w:r>
      <w:r w:rsidR="002D254F" w:rsidRPr="002D254F">
        <w:t>were already employed in the sector before they started the training course.</w:t>
      </w:r>
      <w:r w:rsidR="002D254F">
        <w:t xml:space="preserve"> </w:t>
      </w:r>
      <w:r w:rsidRPr="002D254F">
        <w:t>The remainder of</w:t>
      </w:r>
      <w:r>
        <w:t xml:space="preserve"> the graduates were still seeking jobs in aged care. Over four-fifths of the graduates were very satisfied with the quality of the training they had </w:t>
      </w:r>
      <w:r w:rsidR="000B300C">
        <w:t>received</w:t>
      </w:r>
      <w:r>
        <w:t>. Very few of the gra</w:t>
      </w:r>
      <w:r w:rsidR="00D7195F">
        <w:t xml:space="preserve">duates had not completed a work </w:t>
      </w:r>
      <w:r>
        <w:t>placement during the</w:t>
      </w:r>
      <w:r w:rsidR="000B300C">
        <w:t>ir</w:t>
      </w:r>
      <w:r>
        <w:t xml:space="preserve"> course (</w:t>
      </w:r>
      <w:r w:rsidR="00D7195F">
        <w:t xml:space="preserve">South Australian </w:t>
      </w:r>
      <w:r>
        <w:t>Government 2013</w:t>
      </w:r>
      <w:r w:rsidR="00D7195F">
        <w:t>b</w:t>
      </w:r>
      <w:r>
        <w:t>).</w:t>
      </w:r>
      <w:r w:rsidR="00E3166C">
        <w:t xml:space="preserve"> </w:t>
      </w:r>
    </w:p>
    <w:p w:rsidR="0009671C" w:rsidRDefault="0009671C" w:rsidP="0009671C">
      <w:pPr>
        <w:pStyle w:val="Text"/>
      </w:pPr>
      <w:r>
        <w:t xml:space="preserve">The pilot found courses to be generally well structured but not long enough to provide students with </w:t>
      </w:r>
      <w:r w:rsidR="00D7195F">
        <w:t>sufficient</w:t>
      </w:r>
      <w:r>
        <w:t xml:space="preserve"> opp</w:t>
      </w:r>
      <w:r w:rsidR="00D7195F">
        <w:t>ortunities for learning, practis</w:t>
      </w:r>
      <w:r>
        <w:t xml:space="preserve">ing and reviewing what they had learnt. Providers were also found to be using printed commercial materials that often were not specifically </w:t>
      </w:r>
      <w:r w:rsidR="00A65D61">
        <w:t>contextualised to local needs, while t</w:t>
      </w:r>
      <w:r>
        <w:t xml:space="preserve">here was also a </w:t>
      </w:r>
      <w:r w:rsidR="00A65D61">
        <w:t>heavy reliance on written short-</w:t>
      </w:r>
      <w:r>
        <w:t>answer questions. A close look at assessment processes and documents found that</w:t>
      </w:r>
      <w:r w:rsidR="000B300C">
        <w:t>,</w:t>
      </w:r>
      <w:r>
        <w:t xml:space="preserve"> in most cases</w:t>
      </w:r>
      <w:r w:rsidR="000B300C">
        <w:t>,</w:t>
      </w:r>
      <w:r>
        <w:t xml:space="preserve"> there was </w:t>
      </w:r>
      <w:r w:rsidR="00A65D61">
        <w:t>insufficient</w:t>
      </w:r>
      <w:r>
        <w:t xml:space="preserve"> detailed documentation of assessment strategies, resources and learner support. There was also little employer involvement in the formal validation of assessments. In addition, students wer</w:t>
      </w:r>
      <w:r w:rsidR="00A65D61">
        <w:t xml:space="preserve">e often sent on work </w:t>
      </w:r>
      <w:r>
        <w:t>placements without specific instructions about what was expected of them. In some cases trainers and assessors were found not to be signing off on logbooks</w:t>
      </w:r>
      <w:r w:rsidR="00A65D61">
        <w:t xml:space="preserve"> or</w:t>
      </w:r>
      <w:r>
        <w:t xml:space="preserve"> engaging in thorough discussions with the workplace supervisors about the performance of students. The major trouble spots for assessment in aged care training were related to condensed course durations, inadequate contextualisation to industry needs (often tied to lack of industry input), </w:t>
      </w:r>
      <w:r w:rsidR="00A65D61">
        <w:t xml:space="preserve">a </w:t>
      </w:r>
      <w:r>
        <w:t>lack of mechanisms to ensure that assessors achieved consistency in their marking (for example</w:t>
      </w:r>
      <w:r w:rsidR="00A65D61">
        <w:t>,</w:t>
      </w:r>
      <w:r>
        <w:t xml:space="preserve"> marking guides), and </w:t>
      </w:r>
      <w:r w:rsidR="00A65D61">
        <w:t>little or no</w:t>
      </w:r>
      <w:r>
        <w:t xml:space="preserve"> focus on healthy ageing competencies. </w:t>
      </w:r>
    </w:p>
    <w:p w:rsidR="0009671C" w:rsidRDefault="00A65D61" w:rsidP="0009671C">
      <w:pPr>
        <w:pStyle w:val="Text"/>
      </w:pPr>
      <w:r>
        <w:t>The a</w:t>
      </w:r>
      <w:r w:rsidR="0009671C">
        <w:t>ged care workers themselves were found to be proficient in their performance of key tasks</w:t>
      </w:r>
      <w:r>
        <w:t>, which</w:t>
      </w:r>
      <w:r w:rsidR="0009671C">
        <w:t xml:space="preserve"> involved helping residents with specific caring tasks (for example, toilet</w:t>
      </w:r>
      <w:r>
        <w:t>ting, bathing, dressing, eating</w:t>
      </w:r>
      <w:r w:rsidR="0009671C">
        <w:t xml:space="preserve"> and ot</w:t>
      </w:r>
      <w:r w:rsidR="00081583">
        <w:t>her general life skill tasks). However, t</w:t>
      </w:r>
      <w:r w:rsidR="0009671C">
        <w:t>hey had little knowledge of the Accreditation Standards and aged care services like Home and Community Care services. There was also little knowledge of the concepts of health promotion or healthy ageing. The Community Services Training Package tended to concentrate on the medical model approach to care</w:t>
      </w:r>
      <w:r>
        <w:t>,</w:t>
      </w:r>
      <w:r w:rsidR="0009671C">
        <w:t xml:space="preserve"> wh</w:t>
      </w:r>
      <w:r>
        <w:t>ich is more often than not focu</w:t>
      </w:r>
      <w:r w:rsidR="0009671C">
        <w:t>s</w:t>
      </w:r>
      <w:r>
        <w:t>ed on the current physical well</w:t>
      </w:r>
      <w:r w:rsidR="0009671C">
        <w:t xml:space="preserve">being and health of the resident, rather than on the prevention of further decline. Clear and quantifiable measures that can be used to assess the extent </w:t>
      </w:r>
      <w:r>
        <w:t>to which workers adopt a health-</w:t>
      </w:r>
      <w:r w:rsidR="0009671C">
        <w:t>promotion approach are also required.</w:t>
      </w:r>
      <w:r w:rsidR="00E3166C">
        <w:t xml:space="preserve"> </w:t>
      </w:r>
    </w:p>
    <w:p w:rsidR="0009671C" w:rsidRDefault="0009671C" w:rsidP="0009671C">
      <w:pPr>
        <w:pStyle w:val="Text"/>
      </w:pPr>
      <w:r>
        <w:t xml:space="preserve">Six key areas for the improvement were agreed with industry. Training and assessment in </w:t>
      </w:r>
      <w:r w:rsidR="0037336D">
        <w:t xml:space="preserve">aged care </w:t>
      </w:r>
      <w:r>
        <w:t>should ensure</w:t>
      </w:r>
      <w:r w:rsidR="0037336D">
        <w:t xml:space="preserve"> that</w:t>
      </w:r>
      <w:r>
        <w:t xml:space="preserve">: </w:t>
      </w:r>
    </w:p>
    <w:p w:rsidR="0009671C" w:rsidRPr="00E167BB" w:rsidRDefault="0009671C" w:rsidP="00E167BB">
      <w:pPr>
        <w:pStyle w:val="Dotpoint1"/>
      </w:pPr>
      <w:r>
        <w:lastRenderedPageBreak/>
        <w:t xml:space="preserve">Students were sufficiently exposed to current practices and contexts (including knowledge of </w:t>
      </w:r>
      <w:r w:rsidR="0037336D">
        <w:t xml:space="preserve">the Aged Care Accreditation </w:t>
      </w:r>
      <w:r w:rsidR="0037336D" w:rsidRPr="00E167BB">
        <w:t>Standards</w:t>
      </w:r>
      <w:r w:rsidRPr="00E167BB">
        <w:t>, different care levels</w:t>
      </w:r>
      <w:r w:rsidR="00411CED" w:rsidRPr="00E167BB">
        <w:t xml:space="preserve"> (residential high and low care</w:t>
      </w:r>
      <w:r w:rsidRPr="00E167BB">
        <w:t xml:space="preserve">, community care) and </w:t>
      </w:r>
      <w:r w:rsidR="0037336D" w:rsidRPr="00E167BB">
        <w:t xml:space="preserve">the </w:t>
      </w:r>
      <w:r w:rsidRPr="00E167BB">
        <w:t>principles and practices of healthy ageing</w:t>
      </w:r>
      <w:r w:rsidR="0037336D" w:rsidRPr="00E167BB">
        <w:t>.</w:t>
      </w:r>
      <w:r w:rsidR="00E3166C" w:rsidRPr="00E167BB">
        <w:t xml:space="preserve"> </w:t>
      </w:r>
    </w:p>
    <w:p w:rsidR="0009671C" w:rsidRPr="00E167BB" w:rsidRDefault="0009671C" w:rsidP="00E167BB">
      <w:pPr>
        <w:pStyle w:val="Dotpoint1"/>
      </w:pPr>
      <w:r w:rsidRPr="00E167BB">
        <w:t xml:space="preserve">Course durations were sufficient to enable students to develop </w:t>
      </w:r>
      <w:r w:rsidR="0037336D" w:rsidRPr="00E167BB">
        <w:t xml:space="preserve">the </w:t>
      </w:r>
      <w:r w:rsidRPr="00E167BB">
        <w:t>required skills and knowledge to industry standards</w:t>
      </w:r>
      <w:r w:rsidR="0037336D" w:rsidRPr="00E167BB">
        <w:t>. (C</w:t>
      </w:r>
      <w:r w:rsidRPr="00E167BB">
        <w:t xml:space="preserve">ourse durations should be </w:t>
      </w:r>
      <w:r w:rsidR="00411CED" w:rsidRPr="00E167BB">
        <w:t xml:space="preserve">a </w:t>
      </w:r>
      <w:r w:rsidRPr="00E167BB">
        <w:t xml:space="preserve">minimum of </w:t>
      </w:r>
      <w:r w:rsidR="0037336D" w:rsidRPr="00E167BB">
        <w:t>nine</w:t>
      </w:r>
      <w:r w:rsidRPr="00E167BB">
        <w:t xml:space="preserve"> wee</w:t>
      </w:r>
      <w:r w:rsidR="0037336D" w:rsidRPr="00E167BB">
        <w:t xml:space="preserve">ks full-time, exclusive of the work </w:t>
      </w:r>
      <w:r w:rsidRPr="00E167BB">
        <w:t>placement</w:t>
      </w:r>
      <w:r w:rsidR="0037336D" w:rsidRPr="00E167BB">
        <w:t>,</w:t>
      </w:r>
      <w:r w:rsidRPr="00E167BB">
        <w:t xml:space="preserve"> which should be of 120 hours duration</w:t>
      </w:r>
      <w:r w:rsidR="0037336D" w:rsidRPr="00E167BB">
        <w:t>.</w:t>
      </w:r>
      <w:r w:rsidRPr="00E167BB">
        <w:t>)</w:t>
      </w:r>
    </w:p>
    <w:p w:rsidR="0009671C" w:rsidRPr="00E167BB" w:rsidRDefault="0009671C" w:rsidP="00E167BB">
      <w:pPr>
        <w:pStyle w:val="Dotpoint1"/>
      </w:pPr>
      <w:r w:rsidRPr="00E167BB">
        <w:t xml:space="preserve">Trainers and assessors should </w:t>
      </w:r>
      <w:r w:rsidR="00081583" w:rsidRPr="00E167BB">
        <w:t>possess</w:t>
      </w:r>
      <w:r w:rsidRPr="00E167BB">
        <w:t xml:space="preserve"> the </w:t>
      </w:r>
      <w:r w:rsidR="00250161" w:rsidRPr="00E167BB">
        <w:t>Certificate IV in Training and Assessment</w:t>
      </w:r>
      <w:r w:rsidRPr="00E167BB">
        <w:t xml:space="preserve">, </w:t>
      </w:r>
      <w:r w:rsidR="0037336D" w:rsidRPr="00E167BB">
        <w:t xml:space="preserve">a </w:t>
      </w:r>
      <w:r w:rsidRPr="00E167BB">
        <w:t xml:space="preserve">vocational qualification </w:t>
      </w:r>
      <w:r w:rsidR="00F62932">
        <w:t>at</w:t>
      </w:r>
      <w:r w:rsidRPr="00E167BB">
        <w:t xml:space="preserve"> </w:t>
      </w:r>
      <w:r w:rsidRPr="00F62932">
        <w:t>the</w:t>
      </w:r>
      <w:r w:rsidR="00F62932">
        <w:t xml:space="preserve"> same</w:t>
      </w:r>
      <w:r w:rsidRPr="00F62932">
        <w:t xml:space="preserve"> level </w:t>
      </w:r>
      <w:r w:rsidRPr="00E167BB">
        <w:t>or above</w:t>
      </w:r>
      <w:r w:rsidR="00F62932">
        <w:t xml:space="preserve"> as the one being delivered</w:t>
      </w:r>
      <w:r w:rsidRPr="00E167BB">
        <w:t xml:space="preserve"> and </w:t>
      </w:r>
      <w:r w:rsidR="0037336D" w:rsidRPr="00E167BB">
        <w:t>current experience of aged care</w:t>
      </w:r>
      <w:r w:rsidRPr="00E167BB">
        <w:t xml:space="preserve"> (in a facility as a personal carer or nurse</w:t>
      </w:r>
      <w:r w:rsidR="00D92151">
        <w:t>)</w:t>
      </w:r>
      <w:r w:rsidR="00081583" w:rsidRPr="00E167BB">
        <w:t>,</w:t>
      </w:r>
      <w:r w:rsidRPr="00E167BB">
        <w:t xml:space="preserve"> with aged care facility experience, knowledge of </w:t>
      </w:r>
      <w:r w:rsidR="0037336D" w:rsidRPr="00E167BB">
        <w:t xml:space="preserve">the </w:t>
      </w:r>
      <w:r w:rsidRPr="00E167BB">
        <w:t xml:space="preserve">Aged Care Accreditation Standards, and </w:t>
      </w:r>
      <w:r w:rsidR="003F2948" w:rsidRPr="00E167BB">
        <w:t xml:space="preserve">the </w:t>
      </w:r>
      <w:r w:rsidRPr="00E167BB">
        <w:t>application of healthy ageing practices and principles</w:t>
      </w:r>
      <w:r w:rsidR="003F2948" w:rsidRPr="00E167BB">
        <w:t>.</w:t>
      </w:r>
    </w:p>
    <w:p w:rsidR="002524DC" w:rsidRDefault="003F2948" w:rsidP="00E167BB">
      <w:pPr>
        <w:pStyle w:val="Dotpoint1"/>
      </w:pPr>
      <w:r w:rsidRPr="002524DC">
        <w:t>The</w:t>
      </w:r>
      <w:r w:rsidR="002524DC">
        <w:t>re is a range of current</w:t>
      </w:r>
      <w:r w:rsidRPr="002524DC">
        <w:t xml:space="preserve"> industry equipment </w:t>
      </w:r>
      <w:r w:rsidR="002524DC">
        <w:t>used in assessments</w:t>
      </w:r>
      <w:r w:rsidRPr="002524DC">
        <w:t xml:space="preserve"> </w:t>
      </w:r>
      <w:r w:rsidR="0009671C" w:rsidRPr="002524DC">
        <w:t>(including</w:t>
      </w:r>
      <w:r w:rsidRPr="002524DC">
        <w:t xml:space="preserve"> recommended types of equipment</w:t>
      </w:r>
      <w:r w:rsidR="0009671C" w:rsidRPr="002524DC">
        <w:t xml:space="preserve"> and skills laboratories that replicate the workplac</w:t>
      </w:r>
      <w:r w:rsidRPr="002524DC">
        <w:t>e</w:t>
      </w:r>
      <w:r w:rsidR="002524DC">
        <w:t>).</w:t>
      </w:r>
    </w:p>
    <w:p w:rsidR="0009671C" w:rsidRPr="002524DC" w:rsidRDefault="002524DC" w:rsidP="00E167BB">
      <w:pPr>
        <w:pStyle w:val="Dotpoint1"/>
      </w:pPr>
      <w:r>
        <w:t>Training programs had a</w:t>
      </w:r>
      <w:r w:rsidRPr="002524DC">
        <w:t xml:space="preserve">dequate </w:t>
      </w:r>
      <w:r w:rsidR="003F2948" w:rsidRPr="002524DC">
        <w:t>teacher—</w:t>
      </w:r>
      <w:r w:rsidR="0009671C" w:rsidRPr="002524DC">
        <w:t>student ratio</w:t>
      </w:r>
      <w:r w:rsidR="00D92151">
        <w:t>s</w:t>
      </w:r>
      <w:r>
        <w:t xml:space="preserve"> and</w:t>
      </w:r>
      <w:r w:rsidR="0009671C" w:rsidRPr="002524DC">
        <w:t xml:space="preserve"> adequate repetition of practical skill</w:t>
      </w:r>
      <w:r w:rsidR="003F2948" w:rsidRPr="002524DC">
        <w:t>s</w:t>
      </w:r>
      <w:r w:rsidR="0009671C" w:rsidRPr="002524DC">
        <w:t xml:space="preserve"> by student</w:t>
      </w:r>
      <w:r w:rsidR="00D92151">
        <w:t>s</w:t>
      </w:r>
      <w:r>
        <w:t>.</w:t>
      </w:r>
    </w:p>
    <w:p w:rsidR="0009671C" w:rsidRPr="00E167BB" w:rsidRDefault="003F2948" w:rsidP="00E167BB">
      <w:pPr>
        <w:pStyle w:val="Dotpoint1"/>
      </w:pPr>
      <w:r w:rsidRPr="00E167BB">
        <w:t xml:space="preserve">Quality-assured work </w:t>
      </w:r>
      <w:r w:rsidR="0009671C" w:rsidRPr="00E167BB">
        <w:t xml:space="preserve">placements </w:t>
      </w:r>
      <w:r w:rsidR="005C0FFC" w:rsidRPr="00E167BB">
        <w:t>are provided, in which</w:t>
      </w:r>
      <w:r w:rsidR="0009671C" w:rsidRPr="00E167BB">
        <w:t xml:space="preserve"> the role of the </w:t>
      </w:r>
      <w:r w:rsidR="005C0FFC" w:rsidRPr="00E167BB">
        <w:t>registered training organisation, the s</w:t>
      </w:r>
      <w:r w:rsidR="0009671C" w:rsidRPr="00E167BB">
        <w:t>tudent and workplace superviso</w:t>
      </w:r>
      <w:r w:rsidR="005C0FFC" w:rsidRPr="00E167BB">
        <w:t xml:space="preserve">r are defined and </w:t>
      </w:r>
      <w:r w:rsidR="0009671C" w:rsidRPr="00E167BB">
        <w:t xml:space="preserve">clear instructions </w:t>
      </w:r>
      <w:r w:rsidR="005C0FFC" w:rsidRPr="00E167BB">
        <w:t>are provided about the format of the placement. R</w:t>
      </w:r>
      <w:r w:rsidR="0009671C" w:rsidRPr="00E167BB">
        <w:t xml:space="preserve">egular contact </w:t>
      </w:r>
      <w:r w:rsidR="005C0FFC" w:rsidRPr="00E167BB">
        <w:t xml:space="preserve">should be maintained </w:t>
      </w:r>
      <w:r w:rsidR="0009671C" w:rsidRPr="00E167BB">
        <w:t>with th</w:t>
      </w:r>
      <w:r w:rsidR="005C0FFC" w:rsidRPr="00E167BB">
        <w:t>e student. In relation to assessment, the evidence should be reviewed and verified</w:t>
      </w:r>
      <w:r w:rsidR="0009671C" w:rsidRPr="00E167BB">
        <w:t xml:space="preserve"> against </w:t>
      </w:r>
      <w:r w:rsidR="00411CED" w:rsidRPr="00E167BB">
        <w:t xml:space="preserve">the </w:t>
      </w:r>
      <w:r w:rsidR="0009671C" w:rsidRPr="00E167BB">
        <w:t>criteria for competency.</w:t>
      </w:r>
    </w:p>
    <w:p w:rsidR="0009671C" w:rsidRDefault="0009671C" w:rsidP="00E167BB">
      <w:pPr>
        <w:pStyle w:val="Dotpoint1"/>
      </w:pPr>
      <w:r w:rsidRPr="00E167BB">
        <w:t>Rigorous assessment methods and</w:t>
      </w:r>
      <w:r>
        <w:t xml:space="preserve"> tools (including assessor instructions, marking guides, and documentation of evidence of industry engagement)</w:t>
      </w:r>
      <w:r w:rsidR="00411CED">
        <w:t xml:space="preserve"> should be used</w:t>
      </w:r>
      <w:r>
        <w:t>.</w:t>
      </w:r>
    </w:p>
    <w:p w:rsidR="0009671C" w:rsidRDefault="0009671C" w:rsidP="00E167BB">
      <w:pPr>
        <w:pStyle w:val="Text"/>
      </w:pPr>
      <w:r>
        <w:t xml:space="preserve">A range of miscellaneous issues dealing with human resources issues </w:t>
      </w:r>
      <w:r w:rsidR="00081583">
        <w:t>were also identified (including</w:t>
      </w:r>
      <w:r>
        <w:t xml:space="preserve"> career planning, industry orientation, professional development, workplace exposure, and role descriptions for all students, workplaces and </w:t>
      </w:r>
      <w:r w:rsidR="00411CED">
        <w:t>registered training organisations</w:t>
      </w:r>
      <w:r>
        <w:t>).</w:t>
      </w:r>
      <w:r w:rsidR="00E3166C">
        <w:t xml:space="preserve"> </w:t>
      </w:r>
    </w:p>
    <w:p w:rsidR="0009671C" w:rsidRDefault="0009671C" w:rsidP="00E167BB">
      <w:pPr>
        <w:pStyle w:val="Textlessbefore"/>
      </w:pPr>
    </w:p>
    <w:tbl>
      <w:tblPr>
        <w:tblStyle w:val="TableGrid"/>
        <w:tblW w:w="8789" w:type="dxa"/>
        <w:tblInd w:w="22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227" w:type="dxa"/>
          <w:right w:w="227" w:type="dxa"/>
        </w:tblCellMar>
        <w:tblLook w:val="04A0" w:firstRow="1" w:lastRow="0" w:firstColumn="1" w:lastColumn="0" w:noHBand="0" w:noVBand="1"/>
      </w:tblPr>
      <w:tblGrid>
        <w:gridCol w:w="8789"/>
      </w:tblGrid>
      <w:tr w:rsidR="00F84A34" w:rsidTr="00F84A34">
        <w:tc>
          <w:tcPr>
            <w:tcW w:w="9004" w:type="dxa"/>
            <w:shd w:val="clear" w:color="auto" w:fill="000000" w:themeFill="text1"/>
          </w:tcPr>
          <w:p w:rsidR="00F84A34" w:rsidRDefault="00F84A34" w:rsidP="00F84A34">
            <w:pPr>
              <w:pStyle w:val="Tablehead1"/>
            </w:pPr>
            <w:r>
              <w:t>What industry auditors and advisers say</w:t>
            </w:r>
          </w:p>
        </w:tc>
      </w:tr>
      <w:tr w:rsidR="00F84A34" w:rsidTr="00F84A34">
        <w:tc>
          <w:tcPr>
            <w:tcW w:w="9004" w:type="dxa"/>
          </w:tcPr>
          <w:p w:rsidR="00F84A34" w:rsidRPr="00B378BF" w:rsidRDefault="00F84A34" w:rsidP="00F84A34">
            <w:pPr>
              <w:pStyle w:val="boxparastyle"/>
            </w:pPr>
            <w:r w:rsidRPr="00B378BF">
              <w:t>Providers want to do the right thing</w:t>
            </w:r>
            <w:r>
              <w:t>, often they don’t know how.</w:t>
            </w:r>
            <w:r>
              <w:br/>
            </w:r>
            <w:r>
              <w:tab/>
              <w:t>(S</w:t>
            </w:r>
            <w:r w:rsidRPr="00B378BF">
              <w:t>enior project officer</w:t>
            </w:r>
            <w:r>
              <w:t>,</w:t>
            </w:r>
            <w:r w:rsidRPr="00B378BF">
              <w:t xml:space="preserve"> COAG </w:t>
            </w:r>
            <w:r>
              <w:t xml:space="preserve">Validation </w:t>
            </w:r>
            <w:r w:rsidRPr="00F62932">
              <w:t>Project</w:t>
            </w:r>
            <w:r>
              <w:t>, aged care)</w:t>
            </w:r>
            <w:r w:rsidRPr="00B378BF">
              <w:t xml:space="preserve"> </w:t>
            </w:r>
          </w:p>
          <w:p w:rsidR="00F84A34" w:rsidRPr="00B378BF" w:rsidRDefault="00F84A34" w:rsidP="00F84A34">
            <w:pPr>
              <w:pStyle w:val="boxparastyle"/>
            </w:pPr>
            <w:r w:rsidRPr="00B378BF">
              <w:t>Facilities are excruciatingly sedentary for residents. This needs to change. We need to focus on early health promotion intervention strategies. The paradigm is not right. We need to follow a paradigm shift</w:t>
            </w:r>
            <w:r>
              <w:t>.</w:t>
            </w:r>
            <w:r>
              <w:br/>
            </w:r>
            <w:r>
              <w:tab/>
              <w:t>(Industry advisor for COAG V</w:t>
            </w:r>
            <w:r w:rsidRPr="00B378BF">
              <w:t xml:space="preserve">alidation </w:t>
            </w:r>
            <w:r w:rsidRPr="00F62932">
              <w:t>Project</w:t>
            </w:r>
            <w:r w:rsidRPr="00B378BF">
              <w:t>, aged care)</w:t>
            </w:r>
          </w:p>
          <w:p w:rsidR="00F84A34" w:rsidRDefault="00F84A34" w:rsidP="00F84A34">
            <w:pPr>
              <w:pStyle w:val="boxparastyle"/>
              <w:spacing w:after="120"/>
            </w:pPr>
            <w:r w:rsidRPr="00B378BF">
              <w:t>Apprentices need to develop practical skills. Doing simulations will not let you do this. Need a balance between field work and simulatio</w:t>
            </w:r>
            <w:r>
              <w:t>ns.</w:t>
            </w:r>
            <w:r>
              <w:tab/>
            </w:r>
            <w:r w:rsidRPr="00B378BF">
              <w:t>(Auditor, gasfitters, plumbers and ele</w:t>
            </w:r>
            <w:r>
              <w:t>ctrical contractors and trades)</w:t>
            </w:r>
          </w:p>
        </w:tc>
      </w:tr>
    </w:tbl>
    <w:p w:rsidR="00F84A34" w:rsidRDefault="00F84A34" w:rsidP="0009671C">
      <w:pPr>
        <w:pStyle w:val="Heading1"/>
      </w:pPr>
    </w:p>
    <w:p w:rsidR="00F84A34" w:rsidRDefault="00F84A34" w:rsidP="00F84A34">
      <w:pPr>
        <w:pStyle w:val="Text"/>
        <w:rPr>
          <w:rFonts w:ascii="Tahoma" w:hAnsi="Tahoma" w:cs="Tahoma"/>
          <w:color w:val="000000"/>
          <w:kern w:val="28"/>
          <w:sz w:val="56"/>
          <w:szCs w:val="56"/>
        </w:rPr>
      </w:pPr>
      <w:r>
        <w:br w:type="page"/>
      </w:r>
    </w:p>
    <w:p w:rsidR="00F62932" w:rsidRDefault="00F62932" w:rsidP="0009671C">
      <w:pPr>
        <w:pStyle w:val="Heading1"/>
      </w:pPr>
      <w:bookmarkStart w:id="86" w:name="_Toc381103202"/>
      <w:r>
        <w:lastRenderedPageBreak/>
        <w:t>Appendix B</w:t>
      </w:r>
      <w:bookmarkEnd w:id="86"/>
    </w:p>
    <w:p w:rsidR="0009671C" w:rsidRDefault="0009671C" w:rsidP="00F62932">
      <w:pPr>
        <w:pStyle w:val="Heading2"/>
      </w:pPr>
      <w:bookmarkStart w:id="87" w:name="_Toc381103203"/>
      <w:r>
        <w:t>Lessons from regulators and auditors</w:t>
      </w:r>
      <w:bookmarkEnd w:id="87"/>
      <w:r>
        <w:t xml:space="preserve"> </w:t>
      </w:r>
    </w:p>
    <w:p w:rsidR="0009671C" w:rsidRDefault="0009671C" w:rsidP="00F62932">
      <w:pPr>
        <w:pStyle w:val="Heading3"/>
      </w:pPr>
      <w:r>
        <w:t>Electro-technology</w:t>
      </w:r>
    </w:p>
    <w:p w:rsidR="0009671C" w:rsidRDefault="0009671C" w:rsidP="0009671C">
      <w:pPr>
        <w:pStyle w:val="Text"/>
      </w:pPr>
      <w:r>
        <w:t>The Office of the Technical Regulator (OTR) in South Australia conducts compliance audits against the Electricity Act, Gas Act and Water Industry Act. As such</w:t>
      </w:r>
      <w:r w:rsidR="00411CED">
        <w:t>,</w:t>
      </w:r>
      <w:r>
        <w:t xml:space="preserve"> it conducts compliance audits of electricians and electrical contractors. Under the Electrical Act and the Australian Standard</w:t>
      </w:r>
      <w:r w:rsidR="00411CED">
        <w:t>,</w:t>
      </w:r>
      <w:r>
        <w:t xml:space="preserve"> electricians must undertake mandatory testing and checking of their work. This involves a visual audit an</w:t>
      </w:r>
      <w:r w:rsidR="003B4300">
        <w:t>d an electrical test on any wiring that has been installed.</w:t>
      </w:r>
    </w:p>
    <w:p w:rsidR="0009671C" w:rsidRDefault="00411CED" w:rsidP="0009671C">
      <w:pPr>
        <w:pStyle w:val="Text"/>
      </w:pPr>
      <w:r>
        <w:t xml:space="preserve">The Office of the Technical Regulator </w:t>
      </w:r>
      <w:r w:rsidR="0009671C">
        <w:t>finds that</w:t>
      </w:r>
      <w:r w:rsidR="0038668C">
        <w:t>,</w:t>
      </w:r>
      <w:r w:rsidR="0009671C">
        <w:t xml:space="preserve"> although apprentices may be able to apply the correct processes while they working with supervisors</w:t>
      </w:r>
      <w:r w:rsidR="0038668C">
        <w:t>,</w:t>
      </w:r>
      <w:r w:rsidR="0009671C">
        <w:t xml:space="preserve"> who are driving the completion of the task, one of the key competencies that seem</w:t>
      </w:r>
      <w:r w:rsidR="0069359A">
        <w:t>s</w:t>
      </w:r>
      <w:r w:rsidR="0009671C">
        <w:t xml:space="preserve"> to cause issues for them when they </w:t>
      </w:r>
      <w:r w:rsidR="0038668C">
        <w:t>enter the field as licens</w:t>
      </w:r>
      <w:r w:rsidR="0009671C">
        <w:t xml:space="preserve">ed electricians is </w:t>
      </w:r>
      <w:r w:rsidR="00D52B39">
        <w:t>‘</w:t>
      </w:r>
      <w:r w:rsidR="0009671C">
        <w:t>awareness of safe work practices</w:t>
      </w:r>
      <w:r w:rsidR="00D52B39">
        <w:t>’</w:t>
      </w:r>
      <w:r w:rsidR="0009671C">
        <w:t>. When auditors find individuals to be non-compliant</w:t>
      </w:r>
      <w:r w:rsidR="0038668C">
        <w:t>,</w:t>
      </w:r>
      <w:r w:rsidR="0009671C">
        <w:t xml:space="preserve"> the general approach is to </w:t>
      </w:r>
      <w:r w:rsidR="00D52B39">
        <w:t>‘</w:t>
      </w:r>
      <w:r w:rsidR="0009671C">
        <w:t>educate rather than expiate</w:t>
      </w:r>
      <w:r w:rsidR="00D52B39">
        <w:t>’</w:t>
      </w:r>
      <w:r w:rsidR="0009671C">
        <w:t>. Th</w:t>
      </w:r>
      <w:r w:rsidR="0038668C">
        <w:t>is means giving them time to re</w:t>
      </w:r>
      <w:r w:rsidR="0009671C">
        <w:t>train to improve. Sometimes there may be a misun</w:t>
      </w:r>
      <w:r w:rsidR="0069359A">
        <w:t>derstanding of the requirements, which</w:t>
      </w:r>
      <w:r w:rsidR="0009671C">
        <w:t xml:space="preserve"> can be cleared up. </w:t>
      </w:r>
    </w:p>
    <w:p w:rsidR="0009671C" w:rsidRDefault="0038668C" w:rsidP="0009671C">
      <w:pPr>
        <w:pStyle w:val="Text"/>
      </w:pPr>
      <w:r>
        <w:t>T</w:t>
      </w:r>
      <w:r w:rsidR="0009671C">
        <w:t xml:space="preserve">he </w:t>
      </w:r>
      <w:r>
        <w:t xml:space="preserve">annual report </w:t>
      </w:r>
      <w:r w:rsidR="0009671C">
        <w:t xml:space="preserve">of the Office of the Technical Regulator reported no prosecutions </w:t>
      </w:r>
      <w:r>
        <w:t xml:space="preserve">during 2011—12 </w:t>
      </w:r>
      <w:r w:rsidR="0009671C">
        <w:t>(although there were some non-compliances that might result in future prosecutions). The Regulator also issued 21 expiation notices for non-compliant electrical work. Most of these were related to electrical workers not completing the mandatory safety checks on electrical installations (</w:t>
      </w:r>
      <w:r>
        <w:t>South Australian Government 2013a</w:t>
      </w:r>
      <w:r w:rsidR="0009671C">
        <w:t>).</w:t>
      </w:r>
      <w:r w:rsidR="00E3166C">
        <w:t xml:space="preserve"> </w:t>
      </w:r>
    </w:p>
    <w:p w:rsidR="0009671C" w:rsidRDefault="0038668C" w:rsidP="0009671C">
      <w:pPr>
        <w:pStyle w:val="Text"/>
      </w:pPr>
      <w:r>
        <w:t>The Office of the Technical Regulator</w:t>
      </w:r>
      <w:r w:rsidR="0009671C">
        <w:t xml:space="preserve"> is sometimes asked to take the role of an industry advisor on the auditing of training for the VET sector. Some of the key issues experienced</w:t>
      </w:r>
      <w:r>
        <w:t xml:space="preserve"> with assessment of apprentices relate</w:t>
      </w:r>
      <w:r w:rsidR="0009671C">
        <w:t xml:space="preserve"> to t</w:t>
      </w:r>
      <w:r>
        <w:t>he variability of the Capstone T</w:t>
      </w:r>
      <w:r w:rsidR="0009671C">
        <w:t xml:space="preserve">est processes, because the </w:t>
      </w:r>
      <w:r>
        <w:t>registered training organisations</w:t>
      </w:r>
      <w:r w:rsidR="0009671C">
        <w:t xml:space="preserve"> </w:t>
      </w:r>
      <w:r>
        <w:t>conduct</w:t>
      </w:r>
      <w:r w:rsidR="0009671C">
        <w:t xml:space="preserve"> </w:t>
      </w:r>
      <w:r>
        <w:t>this</w:t>
      </w:r>
      <w:r w:rsidR="0009671C">
        <w:t xml:space="preserve"> at their own premises, and th</w:t>
      </w:r>
      <w:r w:rsidR="00487CB1">
        <w:t>e test</w:t>
      </w:r>
      <w:r w:rsidR="0009671C">
        <w:t xml:space="preserve"> varies from </w:t>
      </w:r>
      <w:r w:rsidR="003C7D4C">
        <w:t>training organisation</w:t>
      </w:r>
      <w:r w:rsidR="0009671C">
        <w:t xml:space="preserve"> to </w:t>
      </w:r>
      <w:r w:rsidR="003C7D4C">
        <w:t>training organisation</w:t>
      </w:r>
      <w:r w:rsidR="0009671C">
        <w:t xml:space="preserve">. Other issues relate to the currency of student workbooks, </w:t>
      </w:r>
      <w:r w:rsidR="003B7050">
        <w:t>untidy</w:t>
      </w:r>
      <w:r w:rsidR="0009671C">
        <w:t xml:space="preserve"> housekeeping in workshops, the quality and quantity of equipment available for practice, and an adequate balance of simulations and field work to ensure that students work in realistic settings. </w:t>
      </w:r>
    </w:p>
    <w:p w:rsidR="0009671C" w:rsidRDefault="003C7D4C" w:rsidP="003B4300">
      <w:pPr>
        <w:pStyle w:val="Heading3"/>
      </w:pPr>
      <w:r>
        <w:t>Aged c</w:t>
      </w:r>
      <w:r w:rsidR="001C37CD">
        <w:t>are</w:t>
      </w:r>
    </w:p>
    <w:p w:rsidR="00436F95" w:rsidRDefault="00E55273" w:rsidP="003B4300">
      <w:pPr>
        <w:pStyle w:val="Textlessbefore"/>
      </w:pPr>
      <w:r>
        <w:t>A</w:t>
      </w:r>
      <w:r w:rsidR="00E80863" w:rsidRPr="00E80863">
        <w:t xml:space="preserve"> strategic review of the Certificate III and IV Aged Care qualifications </w:t>
      </w:r>
      <w:r w:rsidR="009E0DF2">
        <w:t xml:space="preserve">conducted by the Australian Skills Quality Authority </w:t>
      </w:r>
      <w:r w:rsidR="003C7D4C">
        <w:t>(</w:t>
      </w:r>
      <w:r>
        <w:t>2013</w:t>
      </w:r>
      <w:r w:rsidR="00A15589">
        <w:t xml:space="preserve">) </w:t>
      </w:r>
      <w:r>
        <w:t xml:space="preserve">involved 20 </w:t>
      </w:r>
      <w:r w:rsidR="003C7D4C">
        <w:t>registered training organisations</w:t>
      </w:r>
      <w:r>
        <w:t xml:space="preserve"> </w:t>
      </w:r>
      <w:r w:rsidR="00E80863" w:rsidRPr="00E80863">
        <w:t>selected at random from different jurisdictions</w:t>
      </w:r>
      <w:r w:rsidR="00A15589">
        <w:t xml:space="preserve"> and audited specifically as part of the review</w:t>
      </w:r>
      <w:r w:rsidR="00E80863" w:rsidRPr="00E80863">
        <w:t xml:space="preserve"> and </w:t>
      </w:r>
      <w:r w:rsidRPr="00E80863">
        <w:t xml:space="preserve">53 </w:t>
      </w:r>
      <w:r w:rsidR="003C7D4C">
        <w:t>training organisation</w:t>
      </w:r>
      <w:r w:rsidR="00487CB1">
        <w:t>s</w:t>
      </w:r>
      <w:r w:rsidRPr="00E80863">
        <w:t xml:space="preserve"> </w:t>
      </w:r>
      <w:r>
        <w:t xml:space="preserve">undergoing </w:t>
      </w:r>
      <w:r w:rsidR="00A15589">
        <w:t xml:space="preserve">re-registration </w:t>
      </w:r>
      <w:r w:rsidR="00E80863" w:rsidRPr="00E80863">
        <w:t>compliance audits</w:t>
      </w:r>
      <w:r>
        <w:t>. The findings uncovered</w:t>
      </w:r>
      <w:r w:rsidR="00E80863" w:rsidRPr="00E80863">
        <w:t xml:space="preserve"> a range of non-compliances with the assessment practices. </w:t>
      </w:r>
      <w:r w:rsidR="003C7D4C">
        <w:t>Registered training organisations</w:t>
      </w:r>
      <w:r w:rsidR="00E80863" w:rsidRPr="00E80863">
        <w:t xml:space="preserve"> were found to lack well-documented training and assessment strat</w:t>
      </w:r>
      <w:r w:rsidR="00A15589">
        <w:t xml:space="preserve">egies and </w:t>
      </w:r>
      <w:r w:rsidR="00487CB1">
        <w:t xml:space="preserve">had few </w:t>
      </w:r>
      <w:r w:rsidR="00A15589">
        <w:t xml:space="preserve">assessment materials that had been </w:t>
      </w:r>
      <w:r w:rsidR="00E80863" w:rsidRPr="00E80863">
        <w:t xml:space="preserve">developed </w:t>
      </w:r>
      <w:r w:rsidR="00A15589">
        <w:t>in</w:t>
      </w:r>
      <w:r w:rsidR="00487CB1">
        <w:t xml:space="preserve"> consultation</w:t>
      </w:r>
      <w:r w:rsidR="00E80863" w:rsidRPr="00E80863">
        <w:t xml:space="preserve"> with industry. Concerns were also raised a</w:t>
      </w:r>
      <w:r w:rsidR="003C7D4C">
        <w:t>bout the over-reliance on third-</w:t>
      </w:r>
      <w:r w:rsidR="00E80863" w:rsidRPr="00E80863">
        <w:t xml:space="preserve">party reports, often represented by checklists of attributes and tasks, at the expense of </w:t>
      </w:r>
      <w:r w:rsidR="00D92151">
        <w:t xml:space="preserve">the </w:t>
      </w:r>
      <w:r w:rsidR="00E80863" w:rsidRPr="00E80863">
        <w:t>direct observation of skills by assessors. Al</w:t>
      </w:r>
      <w:r w:rsidR="003C7D4C">
        <w:t>so of concern was the use of on</w:t>
      </w:r>
      <w:r w:rsidR="00E80863" w:rsidRPr="00E80863">
        <w:t>line assessments for soft-skill competencies</w:t>
      </w:r>
      <w:r w:rsidR="003C7D4C">
        <w:t>,</w:t>
      </w:r>
      <w:r w:rsidR="00E80863" w:rsidRPr="00E80863">
        <w:t xml:space="preserve"> which needed to be assessed in practical workplace settings. Another issue concerned the practice of </w:t>
      </w:r>
      <w:r w:rsidR="003C7D4C">
        <w:t>training organisation</w:t>
      </w:r>
      <w:r w:rsidR="00487CB1">
        <w:t>s</w:t>
      </w:r>
      <w:r w:rsidR="00E80863" w:rsidRPr="00E80863">
        <w:t xml:space="preserve"> leav</w:t>
      </w:r>
      <w:r w:rsidR="003C7D4C">
        <w:t xml:space="preserve">ing the structuring of the work </w:t>
      </w:r>
      <w:r w:rsidR="00E80863" w:rsidRPr="00E80863">
        <w:t>placement to employers</w:t>
      </w:r>
      <w:r w:rsidR="00487CB1">
        <w:t>,</w:t>
      </w:r>
      <w:r w:rsidR="00E80863" w:rsidRPr="00E80863">
        <w:t xml:space="preserve"> </w:t>
      </w:r>
      <w:r w:rsidR="003C7D4C">
        <w:t xml:space="preserve">but </w:t>
      </w:r>
      <w:r w:rsidR="00E80863" w:rsidRPr="00E80863">
        <w:t xml:space="preserve">without providing them with </w:t>
      </w:r>
      <w:r w:rsidR="003C7D4C">
        <w:t>adequate</w:t>
      </w:r>
      <w:r w:rsidR="00E80863" w:rsidRPr="00E80863">
        <w:t xml:space="preserve"> instructions of what the student was expected to cover. </w:t>
      </w:r>
      <w:r w:rsidR="003C7D4C">
        <w:t xml:space="preserve">Training </w:t>
      </w:r>
      <w:r w:rsidR="003C7D4C">
        <w:lastRenderedPageBreak/>
        <w:t>organisation</w:t>
      </w:r>
      <w:r w:rsidR="00487CB1">
        <w:t>s</w:t>
      </w:r>
      <w:r w:rsidR="00E80863" w:rsidRPr="00E80863">
        <w:t xml:space="preserve"> were also found to rely on employers sign</w:t>
      </w:r>
      <w:r w:rsidR="00487CB1">
        <w:t>ing</w:t>
      </w:r>
      <w:r w:rsidR="00E80863" w:rsidRPr="00E80863">
        <w:t xml:space="preserve"> off on a student</w:t>
      </w:r>
      <w:r w:rsidR="00D52B39">
        <w:t>’</w:t>
      </w:r>
      <w:r w:rsidR="00E80863" w:rsidRPr="00E80863">
        <w:t>s competency without assessors v</w:t>
      </w:r>
      <w:r w:rsidR="00487CB1">
        <w:t>erifying the demonstrated skill</w:t>
      </w:r>
      <w:r w:rsidR="00E80863" w:rsidRPr="00E80863">
        <w:t xml:space="preserve"> or trainers visiting employers to discuss the performance of students</w:t>
      </w:r>
      <w:r w:rsidR="003C7D4C" w:rsidRPr="003C7D4C">
        <w:t xml:space="preserve"> </w:t>
      </w:r>
      <w:r w:rsidR="003C7D4C" w:rsidRPr="00E80863">
        <w:t>with them</w:t>
      </w:r>
      <w:r w:rsidR="00E80863" w:rsidRPr="00E80863">
        <w:t xml:space="preserve">. There was little integration </w:t>
      </w:r>
      <w:r w:rsidR="00487CB1">
        <w:t>between</w:t>
      </w:r>
      <w:r w:rsidR="00E80863" w:rsidRPr="00E80863">
        <w:t xml:space="preserve"> </w:t>
      </w:r>
      <w:r w:rsidR="003C7D4C">
        <w:t>activities</w:t>
      </w:r>
      <w:r w:rsidR="00E80863" w:rsidRPr="00E80863">
        <w:t xml:space="preserve"> in the workplace and </w:t>
      </w:r>
      <w:r w:rsidR="003C7D4C">
        <w:t xml:space="preserve">those </w:t>
      </w:r>
      <w:r w:rsidR="00487CB1">
        <w:t>in</w:t>
      </w:r>
      <w:r w:rsidR="00E80863" w:rsidRPr="00E80863">
        <w:t xml:space="preserve"> the classroom. The volume of learning was often found to be far less than </w:t>
      </w:r>
      <w:r w:rsidR="00A036E1">
        <w:t>that</w:t>
      </w:r>
      <w:r w:rsidR="00E80863" w:rsidRPr="00E80863">
        <w:t xml:space="preserve"> identified by the </w:t>
      </w:r>
      <w:r w:rsidR="003C7D4C">
        <w:t>AQF</w:t>
      </w:r>
      <w:r w:rsidR="00E80863" w:rsidRPr="00E80863">
        <w:t xml:space="preserve"> guidelines. </w:t>
      </w:r>
      <w:r w:rsidR="00A036E1">
        <w:t>These shortcomings</w:t>
      </w:r>
      <w:r w:rsidR="00E80863" w:rsidRPr="00E80863">
        <w:t xml:space="preserve"> also reflect the lack of prescription in </w:t>
      </w:r>
      <w:r w:rsidR="003F756A">
        <w:t>training packages</w:t>
      </w:r>
      <w:r w:rsidR="00E80863" w:rsidRPr="00E80863">
        <w:t xml:space="preserve"> </w:t>
      </w:r>
      <w:r w:rsidR="00A15589" w:rsidRPr="003B4300">
        <w:t xml:space="preserve">and </w:t>
      </w:r>
      <w:r w:rsidR="003B4300">
        <w:t xml:space="preserve">in </w:t>
      </w:r>
      <w:r w:rsidR="00A15589" w:rsidRPr="003B4300">
        <w:t>quality</w:t>
      </w:r>
      <w:r w:rsidR="00E80863" w:rsidRPr="003B4300">
        <w:t xml:space="preserve"> standards</w:t>
      </w:r>
      <w:r w:rsidR="003B4300">
        <w:t>.</w:t>
      </w:r>
      <w:r w:rsidR="00A15589">
        <w:t xml:space="preserve"> </w:t>
      </w:r>
      <w:r w:rsidR="00A036E1">
        <w:t xml:space="preserve">Registered training organisations </w:t>
      </w:r>
      <w:r w:rsidR="00A15589">
        <w:t xml:space="preserve">were provided with opportunities to rectify their non-compliances, and 86.8% of the 53 audited </w:t>
      </w:r>
      <w:r w:rsidR="00A036E1">
        <w:t>training organisation</w:t>
      </w:r>
      <w:r w:rsidR="00487CB1">
        <w:t>s</w:t>
      </w:r>
      <w:r w:rsidR="00A15589">
        <w:t xml:space="preserve"> were judged as compliant once rectificati</w:t>
      </w:r>
      <w:r>
        <w:t xml:space="preserve">on audits </w:t>
      </w:r>
      <w:r w:rsidR="00487CB1">
        <w:t>had been</w:t>
      </w:r>
      <w:r>
        <w:t xml:space="preserve"> completed. Aroun</w:t>
      </w:r>
      <w:r w:rsidR="00A15589">
        <w:t xml:space="preserve">d 20% still remained non-compliant. </w:t>
      </w:r>
    </w:p>
    <w:p w:rsidR="008A2E28" w:rsidRDefault="008A2E28">
      <w:pPr>
        <w:rPr>
          <w:rFonts w:ascii="Trebuchet MS" w:hAnsi="Trebuchet MS"/>
          <w:sz w:val="18"/>
          <w:szCs w:val="20"/>
          <w:lang w:eastAsia="en-US"/>
        </w:rPr>
      </w:pPr>
      <w:r>
        <w:br w:type="page"/>
      </w:r>
    </w:p>
    <w:p w:rsidR="008A2E28" w:rsidRDefault="008A2E28" w:rsidP="008A2E28">
      <w:pPr>
        <w:pStyle w:val="Heading1"/>
      </w:pPr>
      <w:bookmarkStart w:id="88" w:name="_Toc378849950"/>
      <w:bookmarkStart w:id="89" w:name="_Toc381103204"/>
      <w:r>
        <w:lastRenderedPageBreak/>
        <w:t>Funding information</w:t>
      </w:r>
      <w:bookmarkEnd w:id="88"/>
      <w:bookmarkEnd w:id="89"/>
    </w:p>
    <w:p w:rsidR="008A2E28" w:rsidRPr="008A2E28" w:rsidRDefault="008A2E28" w:rsidP="008A2E28">
      <w:pPr>
        <w:pStyle w:val="Text"/>
        <w:ind w:right="283"/>
      </w:pPr>
      <w:r w:rsidRPr="007D3AA5">
        <w:t xml:space="preserve">This work has been produced by NCVER under the National Vocational Education and Training Research (NVETR) Program, which is coordinated and managed by NCVER on behalf of the Australian Government and state and territory </w:t>
      </w:r>
      <w:r w:rsidRPr="008A2E28">
        <w:t xml:space="preserve">governments. Funding is provided through the Department of Industry. </w:t>
      </w:r>
    </w:p>
    <w:p w:rsidR="008A2E28" w:rsidRPr="008A2E28" w:rsidRDefault="008A2E28" w:rsidP="008A2E28">
      <w:pPr>
        <w:pStyle w:val="Text"/>
        <w:ind w:right="283"/>
      </w:pPr>
      <w:r w:rsidRPr="008A2E28">
        <w:t xml:space="preserve">The NVETR Program aims to improve policy and practice in the VET sector. The research effort itself is collaborative and requires strong relationships with the research community in Australia’s universities and beyond. NCVER may also involve various stakeholders, including state and territory governments, industry and practitioners, to inform the commissioned research and use a variety of mechanisms such as project roundtables and forums. </w:t>
      </w:r>
    </w:p>
    <w:p w:rsidR="008A2E28" w:rsidRPr="008A2E28" w:rsidRDefault="008A2E28" w:rsidP="008A2E28">
      <w:pPr>
        <w:pStyle w:val="Text"/>
        <w:ind w:right="283"/>
      </w:pPr>
      <w:r w:rsidRPr="008A2E28">
        <w:t xml:space="preserve">In addition to the commissioned research, each year a pool of NVETR funds is set aside to support the provision of research and policy advice to assist with the Council of Australian Governments’ reform agenda. This work has been produced as part of this initiative. </w:t>
      </w:r>
    </w:p>
    <w:p w:rsidR="0009671C" w:rsidRPr="008A2E28" w:rsidRDefault="008A2E28" w:rsidP="008A2E28">
      <w:pPr>
        <w:pStyle w:val="Text"/>
        <w:ind w:right="283"/>
      </w:pPr>
      <w:r w:rsidRPr="008A2E28">
        <w:t>For further information about the program go to the NCVER Portal &lt;http://www.ncver.edu.au&gt;.</w:t>
      </w:r>
    </w:p>
    <w:sectPr w:rsidR="0009671C" w:rsidRPr="008A2E28" w:rsidSect="00F60BA5">
      <w:footerReference w:type="even" r:id="rId31"/>
      <w:footerReference w:type="default" r:id="rId32"/>
      <w:pgSz w:w="11907" w:h="16840" w:code="9"/>
      <w:pgMar w:top="1276" w:right="1701" w:bottom="1276" w:left="1418" w:header="70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2F8" w:rsidRDefault="004A52F8">
      <w:r>
        <w:separator/>
      </w:r>
    </w:p>
  </w:endnote>
  <w:endnote w:type="continuationSeparator" w:id="0">
    <w:p w:rsidR="004A52F8" w:rsidRDefault="004A5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RotisSemiSans">
    <w:altName w:val="RotisSemiSans"/>
    <w:panose1 w:val="00000000000000000000"/>
    <w:charset w:val="00"/>
    <w:family w:val="swiss"/>
    <w:notTrueType/>
    <w:pitch w:val="default"/>
    <w:sig w:usb0="00000003" w:usb1="00000000" w:usb2="00000000" w:usb3="00000000" w:csb0="00000001"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8" w:rsidRPr="008C0A74" w:rsidRDefault="004A52F8" w:rsidP="00FF5931">
    <w:pPr>
      <w:pStyle w:val="Footer"/>
      <w:tabs>
        <w:tab w:val="clear" w:pos="8505"/>
        <w:tab w:val="right" w:pos="8789"/>
      </w:tabs>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8" w:rsidRPr="009775C7" w:rsidRDefault="004A52F8" w:rsidP="008C0A74">
    <w:pPr>
      <w:pStyle w:val="Footer"/>
      <w:tabs>
        <w:tab w:val="clear" w:pos="8505"/>
        <w:tab w:val="right" w:pos="8789"/>
      </w:tabs>
      <w:rPr>
        <w:color w:val="FFFFFF" w:themeColor="background1"/>
      </w:rPr>
    </w:pPr>
    <w:r w:rsidRPr="009775C7">
      <w:rPr>
        <w:color w:val="FFFFFF" w:themeColor="background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8" w:rsidRPr="008C0A74" w:rsidRDefault="001A19D9" w:rsidP="00FF5931">
    <w:pPr>
      <w:pStyle w:val="Footer"/>
      <w:tabs>
        <w:tab w:val="clear" w:pos="8505"/>
        <w:tab w:val="right" w:pos="8789"/>
      </w:tabs>
      <w:rPr>
        <w:b/>
      </w:rPr>
    </w:pPr>
    <w:r>
      <w:rPr>
        <w:b/>
        <w:noProof/>
        <w:color w:val="FFFFFF" w:themeColor="background1"/>
      </w:rPr>
      <w:pict>
        <v:rect id="Rectangle 3" o:spid="_x0000_s2056" style="position:absolute;margin-left:-85.05pt;margin-top:-2.45pt;width:99pt;height:18.7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" fillcolor="black [3213]" stroked="f" strokecolor="#bfbfbf [2412]"/>
      </w:pict>
    </w:r>
    <w:r w:rsidR="004A52F8" w:rsidRPr="008C0A74">
      <w:rPr>
        <w:b/>
        <w:color w:val="FFFFFF" w:themeColor="background1"/>
      </w:rPr>
      <w:fldChar w:fldCharType="begin"/>
    </w:r>
    <w:r w:rsidR="004A52F8" w:rsidRPr="008C0A74">
      <w:rPr>
        <w:b/>
        <w:color w:val="FFFFFF" w:themeColor="background1"/>
      </w:rPr>
      <w:instrText xml:space="preserve"> PAGE </w:instrText>
    </w:r>
    <w:r w:rsidR="004A52F8" w:rsidRPr="008C0A74">
      <w:rPr>
        <w:b/>
        <w:color w:val="FFFFFF" w:themeColor="background1"/>
      </w:rPr>
      <w:fldChar w:fldCharType="separate"/>
    </w:r>
    <w:r>
      <w:rPr>
        <w:b/>
        <w:noProof/>
        <w:color w:val="FFFFFF" w:themeColor="background1"/>
      </w:rPr>
      <w:t>52</w:t>
    </w:r>
    <w:r w:rsidR="004A52F8" w:rsidRPr="008C0A74">
      <w:rPr>
        <w:b/>
        <w:color w:val="FFFFFF" w:themeColor="background1"/>
      </w:rPr>
      <w:fldChar w:fldCharType="end"/>
    </w:r>
    <w:r w:rsidR="004A52F8" w:rsidRPr="008C0A74">
      <w:rPr>
        <w:b/>
        <w:color w:val="FFFFFF" w:themeColor="background1"/>
      </w:rPr>
      <w:tab/>
    </w:r>
    <w:r w:rsidR="004A52F8">
      <w:rPr>
        <w:b/>
        <w:color w:val="FFFFFF" w:themeColor="background1"/>
      </w:rPr>
      <w:t xml:space="preserve">Quality </w:t>
    </w:r>
    <w:r w:rsidR="004A52F8">
      <w:rPr>
        <w:b/>
      </w:rPr>
      <w:t>Quality assessments: practice and perspectives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F8" w:rsidRPr="009775C7" w:rsidRDefault="001A19D9" w:rsidP="008C0A74">
    <w:pPr>
      <w:pStyle w:val="Footer"/>
      <w:tabs>
        <w:tab w:val="clear" w:pos="8505"/>
        <w:tab w:val="right" w:pos="8789"/>
      </w:tabs>
      <w:rPr>
        <w:color w:val="FFFFFF" w:themeColor="background1"/>
      </w:rPr>
    </w:pPr>
    <w:r>
      <w:rPr>
        <w:b/>
        <w:noProof/>
      </w:rPr>
      <w:pict>
        <v:rect id="Rectangle 4" o:spid="_x0000_s2057" style="position:absolute;margin-left:425.6pt;margin-top:-2.45pt;width:99pt;height:18.7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" fillcolor="black [3213]" stroked="f" strokecolor="#bfbfbf [2412]"/>
      </w:pict>
    </w:r>
    <w:r w:rsidR="004A52F8" w:rsidRPr="009775C7">
      <w:rPr>
        <w:b/>
      </w:rPr>
      <w:t>NCVER</w:t>
    </w:r>
    <w:r w:rsidR="004A52F8" w:rsidRPr="009775C7">
      <w:tab/>
    </w:r>
    <w:r w:rsidR="004A52F8" w:rsidRPr="009775C7">
      <w:rPr>
        <w:rStyle w:val="PageNumber"/>
        <w:rFonts w:cs="Tahoma"/>
        <w:b/>
        <w:color w:val="FFFFFF" w:themeColor="background1"/>
        <w:sz w:val="17"/>
      </w:rPr>
      <w:fldChar w:fldCharType="begin"/>
    </w:r>
    <w:r w:rsidR="004A52F8" w:rsidRPr="009775C7">
      <w:rPr>
        <w:rStyle w:val="PageNumber"/>
        <w:rFonts w:cs="Tahoma"/>
        <w:b/>
        <w:color w:val="FFFFFF" w:themeColor="background1"/>
        <w:sz w:val="17"/>
      </w:rPr>
      <w:instrText xml:space="preserve"> PAGE </w:instrText>
    </w:r>
    <w:r w:rsidR="004A52F8" w:rsidRPr="009775C7">
      <w:rPr>
        <w:rStyle w:val="PageNumber"/>
        <w:rFonts w:cs="Tahoma"/>
        <w:b/>
        <w:color w:val="FFFFFF" w:themeColor="background1"/>
        <w:sz w:val="17"/>
      </w:rPr>
      <w:fldChar w:fldCharType="separate"/>
    </w:r>
    <w:r>
      <w:rPr>
        <w:rStyle w:val="PageNumber"/>
        <w:rFonts w:cs="Tahoma"/>
        <w:b/>
        <w:noProof/>
        <w:color w:val="FFFFFF" w:themeColor="background1"/>
        <w:sz w:val="17"/>
      </w:rPr>
      <w:t>53</w:t>
    </w:r>
    <w:r w:rsidR="004A52F8" w:rsidRPr="009775C7">
      <w:rPr>
        <w:rStyle w:val="PageNumber"/>
        <w:rFonts w:cs="Tahoma"/>
        <w:b/>
        <w:color w:val="FFFFFF" w:themeColor="background1"/>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2F8" w:rsidRDefault="004A52F8">
      <w:r>
        <w:separator/>
      </w:r>
    </w:p>
  </w:footnote>
  <w:footnote w:type="continuationSeparator" w:id="0">
    <w:p w:rsidR="004A52F8" w:rsidRDefault="004A52F8">
      <w:r>
        <w:continuationSeparator/>
      </w:r>
    </w:p>
  </w:footnote>
  <w:footnote w:id="1">
    <w:p w:rsidR="004A52F8" w:rsidRDefault="004A52F8" w:rsidP="00F73449">
      <w:pPr>
        <w:pStyle w:val="FootnoteText"/>
      </w:pPr>
      <w:r>
        <w:rPr>
          <w:rStyle w:val="FootnoteReference"/>
        </w:rPr>
        <w:footnoteRef/>
      </w:r>
      <w:r>
        <w:t xml:space="preserve"> </w:t>
      </w:r>
      <w:r>
        <w:tab/>
        <w:t>Including trainers and assessors and educational managers or their equivalents.</w:t>
      </w:r>
    </w:p>
  </w:footnote>
  <w:footnote w:id="2">
    <w:p w:rsidR="004A52F8" w:rsidRDefault="004A52F8">
      <w:pPr>
        <w:pStyle w:val="FootnoteText"/>
      </w:pPr>
      <w:r>
        <w:rPr>
          <w:rStyle w:val="FootnoteReference"/>
        </w:rPr>
        <w:footnoteRef/>
      </w:r>
      <w:r>
        <w:t xml:space="preserve"> </w:t>
      </w:r>
      <w:r>
        <w:tab/>
      </w:r>
      <w:r w:rsidRPr="00F73449">
        <w:t xml:space="preserve">In 2012 the Council of Australian Governments launched the national Independent Assessment Validation pilots (see </w:t>
      </w:r>
      <w:r w:rsidRPr="0039128A">
        <w:t>page 13) to</w:t>
      </w:r>
      <w:r w:rsidRPr="00F73449">
        <w:t xml:space="preserve"> trial a process for the independent validation of graduate outcomes</w:t>
      </w:r>
      <w:r>
        <w:t>,</w:t>
      </w:r>
      <w:r w:rsidRPr="00F73449">
        <w:t xml:space="preserve"> including for the Certificate III in Aged Care qualification.</w:t>
      </w:r>
    </w:p>
  </w:footnote>
  <w:footnote w:id="3">
    <w:p w:rsidR="004A52F8" w:rsidRDefault="004A52F8">
      <w:pPr>
        <w:pStyle w:val="FootnoteText"/>
      </w:pPr>
      <w:r>
        <w:rPr>
          <w:rStyle w:val="FootnoteReference"/>
        </w:rPr>
        <w:footnoteRef/>
      </w:r>
      <w:r>
        <w:tab/>
        <w:t xml:space="preserve">All aged care providers in this study had work placement requirements, with some placements more substantial than others. </w:t>
      </w:r>
    </w:p>
  </w:footnote>
  <w:footnote w:id="4">
    <w:p w:rsidR="004A52F8" w:rsidRDefault="004A52F8" w:rsidP="00D16CF6">
      <w:pPr>
        <w:pStyle w:val="FootnoteText"/>
      </w:pPr>
      <w:r>
        <w:rPr>
          <w:rStyle w:val="FootnoteReference"/>
        </w:rPr>
        <w:footnoteRef/>
      </w:r>
      <w:r>
        <w:t xml:space="preserve"> </w:t>
      </w:r>
      <w:r>
        <w:tab/>
        <w:t>Including trainers and assessors and educational managers or their equivalents.</w:t>
      </w:r>
    </w:p>
  </w:footnote>
  <w:footnote w:id="5">
    <w:p w:rsidR="004A52F8" w:rsidRDefault="004A52F8" w:rsidP="00250161">
      <w:pPr>
        <w:pStyle w:val="FootnoteText"/>
        <w:ind w:right="-143"/>
      </w:pPr>
      <w:r>
        <w:rPr>
          <w:rStyle w:val="FootnoteReference"/>
        </w:rPr>
        <w:footnoteRef/>
      </w:r>
      <w:r>
        <w:t xml:space="preserve"> </w:t>
      </w:r>
      <w:r>
        <w:tab/>
        <w:t xml:space="preserve">More specifically the code encourages the transparency of purposes and processes, the representativeness of samples used to validate or moderate assessment tools and judgments, </w:t>
      </w:r>
      <w:r w:rsidRPr="00250161">
        <w:t xml:space="preserve">confidentiality </w:t>
      </w:r>
      <w:r>
        <w:t>of information about individual learners, assessors and providers, the educative role of the validation and moderation processes, including its integration into the assessment process, the provision of constructive feedback, and tolerance for specified margins of error.</w:t>
      </w:r>
    </w:p>
  </w:footnote>
  <w:footnote w:id="6">
    <w:p w:rsidR="004A52F8" w:rsidRDefault="004A52F8">
      <w:pPr>
        <w:pStyle w:val="FootnoteText"/>
      </w:pPr>
      <w:r>
        <w:rPr>
          <w:rStyle w:val="FootnoteReference"/>
        </w:rPr>
        <w:footnoteRef/>
      </w:r>
      <w:r>
        <w:t xml:space="preserve"> </w:t>
      </w:r>
      <w:r>
        <w:tab/>
        <w:t>We do not look at national statistics on certificate III for electrical apprentices, as for many it is an entry-level qualification. However, we do report on our conversations with registered training organisations about how they go about awarding RPL.</w:t>
      </w:r>
    </w:p>
  </w:footnote>
  <w:footnote w:id="7">
    <w:p w:rsidR="004A52F8" w:rsidRDefault="004A52F8">
      <w:pPr>
        <w:pStyle w:val="FootnoteText"/>
      </w:pPr>
      <w:r>
        <w:rPr>
          <w:rStyle w:val="FootnoteReference"/>
        </w:rPr>
        <w:footnoteRef/>
      </w:r>
      <w:r>
        <w:t xml:space="preserve"> </w:t>
      </w:r>
      <w:r>
        <w:tab/>
        <w:t>Providers who participated in the main interviews about assessment practices.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FAC"/>
    <w:multiLevelType w:val="hybridMultilevel"/>
    <w:tmpl w:val="1310C0E6"/>
    <w:lvl w:ilvl="0" w:tplc="EB025F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F410EF"/>
    <w:multiLevelType w:val="hybridMultilevel"/>
    <w:tmpl w:val="04C080C2"/>
    <w:lvl w:ilvl="0" w:tplc="24BA3DD4">
      <w:start w:val="1"/>
      <w:numFmt w:val="decimal"/>
      <w:pStyle w:val="NumberedListContinuing"/>
      <w:lvlText w:val="%1"/>
      <w:lvlJc w:val="left"/>
      <w:pPr>
        <w:tabs>
          <w:tab w:val="num" w:pos="284"/>
        </w:tabs>
        <w:ind w:left="0" w:firstLine="0"/>
      </w:pPr>
      <w:rPr>
        <w:rFonts w:hint="default"/>
      </w:rPr>
    </w:lvl>
    <w:lvl w:ilvl="1" w:tplc="0994B9E0">
      <w:start w:val="1"/>
      <w:numFmt w:val="lowerLetter"/>
      <w:pStyle w:val="NumberedAlpha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30517CE"/>
    <w:multiLevelType w:val="hybridMultilevel"/>
    <w:tmpl w:val="F224E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6FB7107"/>
    <w:multiLevelType w:val="hybridMultilevel"/>
    <w:tmpl w:val="5094958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DBD24F8"/>
    <w:multiLevelType w:val="hybridMultilevel"/>
    <w:tmpl w:val="0DFE4BA2"/>
    <w:lvl w:ilvl="0" w:tplc="EB025F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8840687"/>
    <w:multiLevelType w:val="hybridMultilevel"/>
    <w:tmpl w:val="A44A52F8"/>
    <w:lvl w:ilvl="0" w:tplc="EB025F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4A278D9"/>
    <w:multiLevelType w:val="hybridMultilevel"/>
    <w:tmpl w:val="E00E1176"/>
    <w:lvl w:ilvl="0" w:tplc="EB025F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78E4D5D"/>
    <w:multiLevelType w:val="hybridMultilevel"/>
    <w:tmpl w:val="A44A52F8"/>
    <w:lvl w:ilvl="0" w:tplc="EB025F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44479B1"/>
    <w:multiLevelType w:val="hybridMultilevel"/>
    <w:tmpl w:val="E00E1176"/>
    <w:lvl w:ilvl="0" w:tplc="EB025F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4EA659E"/>
    <w:multiLevelType w:val="hybridMultilevel"/>
    <w:tmpl w:val="E00E1176"/>
    <w:lvl w:ilvl="0" w:tplc="EB025F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5CC3B1D"/>
    <w:multiLevelType w:val="hybridMultilevel"/>
    <w:tmpl w:val="F224E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A2A3A43"/>
    <w:multiLevelType w:val="hybridMultilevel"/>
    <w:tmpl w:val="E00E1176"/>
    <w:lvl w:ilvl="0" w:tplc="EB025F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A95411B"/>
    <w:multiLevelType w:val="hybridMultilevel"/>
    <w:tmpl w:val="1610CD12"/>
    <w:lvl w:ilvl="0" w:tplc="EB025F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nsid w:val="63DA62E2"/>
    <w:multiLevelType w:val="hybridMultilevel"/>
    <w:tmpl w:val="E00E1176"/>
    <w:lvl w:ilvl="0" w:tplc="EB025F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B0861B7"/>
    <w:multiLevelType w:val="hybridMultilevel"/>
    <w:tmpl w:val="E8A45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E296804"/>
    <w:multiLevelType w:val="hybridMultilevel"/>
    <w:tmpl w:val="6062EA7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E6568BB"/>
    <w:multiLevelType w:val="hybridMultilevel"/>
    <w:tmpl w:val="E27C6F86"/>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0757F25"/>
    <w:multiLevelType w:val="hybridMultilevel"/>
    <w:tmpl w:val="246C92F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496710E"/>
    <w:multiLevelType w:val="hybridMultilevel"/>
    <w:tmpl w:val="CB0C3CB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4FD6C85"/>
    <w:multiLevelType w:val="hybridMultilevel"/>
    <w:tmpl w:val="167E604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3"/>
  </w:num>
  <w:num w:numId="3">
    <w:abstractNumId w:val="1"/>
  </w:num>
  <w:num w:numId="4">
    <w:abstractNumId w:val="10"/>
  </w:num>
  <w:num w:numId="5">
    <w:abstractNumId w:val="2"/>
  </w:num>
  <w:num w:numId="6">
    <w:abstractNumId w:val="11"/>
  </w:num>
  <w:num w:numId="7">
    <w:abstractNumId w:val="14"/>
  </w:num>
  <w:num w:numId="8">
    <w:abstractNumId w:val="8"/>
  </w:num>
  <w:num w:numId="9">
    <w:abstractNumId w:val="9"/>
  </w:num>
  <w:num w:numId="10">
    <w:abstractNumId w:val="6"/>
  </w:num>
  <w:num w:numId="11">
    <w:abstractNumId w:val="7"/>
  </w:num>
  <w:num w:numId="12">
    <w:abstractNumId w:val="5"/>
  </w:num>
  <w:num w:numId="13">
    <w:abstractNumId w:val="4"/>
  </w:num>
  <w:num w:numId="14">
    <w:abstractNumId w:val="0"/>
  </w:num>
  <w:num w:numId="15">
    <w:abstractNumId w:val="12"/>
  </w:num>
  <w:num w:numId="16">
    <w:abstractNumId w:val="3"/>
  </w:num>
  <w:num w:numId="17">
    <w:abstractNumId w:val="18"/>
  </w:num>
  <w:num w:numId="18">
    <w:abstractNumId w:val="19"/>
  </w:num>
  <w:num w:numId="19">
    <w:abstractNumId w:val="16"/>
  </w:num>
  <w:num w:numId="20">
    <w:abstractNumId w:val="20"/>
  </w:num>
  <w:num w:numId="21">
    <w:abstractNumId w:val="15"/>
  </w:num>
  <w:num w:numId="22">
    <w:abstractNumId w:val="17"/>
  </w:num>
  <w:num w:numId="2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activeWritingStyle w:appName="MSWord" w:lang="en-US" w:vendorID="8" w:dllVersion="513" w:checkStyle="1"/>
  <w:activeWritingStyle w:appName="MSWord" w:lang="en-AU" w:vendorID="8" w:dllVersion="513" w:checkStyle="1"/>
  <w:activeWritingStyle w:appName="MSWord" w:lang="en-GB" w:vendorID="8" w:dllVersion="513" w:checkStyle="1"/>
  <w:stylePaneFormatFilter w:val="9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1"/>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1005E"/>
    <w:rsid w:val="00001B23"/>
    <w:rsid w:val="00001D5E"/>
    <w:rsid w:val="00002890"/>
    <w:rsid w:val="000028CC"/>
    <w:rsid w:val="00002973"/>
    <w:rsid w:val="00005F08"/>
    <w:rsid w:val="00006668"/>
    <w:rsid w:val="00007BEA"/>
    <w:rsid w:val="000108B2"/>
    <w:rsid w:val="000109D8"/>
    <w:rsid w:val="00010BFF"/>
    <w:rsid w:val="00012B64"/>
    <w:rsid w:val="00013265"/>
    <w:rsid w:val="00013AF5"/>
    <w:rsid w:val="0001464E"/>
    <w:rsid w:val="0002022C"/>
    <w:rsid w:val="000211EF"/>
    <w:rsid w:val="00022290"/>
    <w:rsid w:val="00024DFF"/>
    <w:rsid w:val="000315D7"/>
    <w:rsid w:val="0003272A"/>
    <w:rsid w:val="00036DF8"/>
    <w:rsid w:val="00041691"/>
    <w:rsid w:val="00042664"/>
    <w:rsid w:val="00042D51"/>
    <w:rsid w:val="00050941"/>
    <w:rsid w:val="000533C0"/>
    <w:rsid w:val="00060C71"/>
    <w:rsid w:val="0006125F"/>
    <w:rsid w:val="0006550E"/>
    <w:rsid w:val="0006598B"/>
    <w:rsid w:val="000706F1"/>
    <w:rsid w:val="000737CD"/>
    <w:rsid w:val="0007401D"/>
    <w:rsid w:val="000748EF"/>
    <w:rsid w:val="00074BD4"/>
    <w:rsid w:val="00077D8D"/>
    <w:rsid w:val="00081583"/>
    <w:rsid w:val="00084910"/>
    <w:rsid w:val="00085460"/>
    <w:rsid w:val="000903D9"/>
    <w:rsid w:val="00095E7C"/>
    <w:rsid w:val="0009671C"/>
    <w:rsid w:val="00096F91"/>
    <w:rsid w:val="000A0306"/>
    <w:rsid w:val="000A06E5"/>
    <w:rsid w:val="000A0745"/>
    <w:rsid w:val="000A3126"/>
    <w:rsid w:val="000A3139"/>
    <w:rsid w:val="000A5805"/>
    <w:rsid w:val="000B221C"/>
    <w:rsid w:val="000B300C"/>
    <w:rsid w:val="000B4A5E"/>
    <w:rsid w:val="000C2F3E"/>
    <w:rsid w:val="000C4975"/>
    <w:rsid w:val="000C74CA"/>
    <w:rsid w:val="000D2DB4"/>
    <w:rsid w:val="000D73D5"/>
    <w:rsid w:val="000D7F56"/>
    <w:rsid w:val="000E01C9"/>
    <w:rsid w:val="000E2917"/>
    <w:rsid w:val="000E408A"/>
    <w:rsid w:val="000E4753"/>
    <w:rsid w:val="000E5F7C"/>
    <w:rsid w:val="000E60EE"/>
    <w:rsid w:val="000E645A"/>
    <w:rsid w:val="000E76EB"/>
    <w:rsid w:val="000F069E"/>
    <w:rsid w:val="000F2E97"/>
    <w:rsid w:val="000F302F"/>
    <w:rsid w:val="000F3AC5"/>
    <w:rsid w:val="000F48BC"/>
    <w:rsid w:val="000F641C"/>
    <w:rsid w:val="001006DF"/>
    <w:rsid w:val="00102FDA"/>
    <w:rsid w:val="00106FBE"/>
    <w:rsid w:val="0010700B"/>
    <w:rsid w:val="0010761A"/>
    <w:rsid w:val="001113A2"/>
    <w:rsid w:val="00112945"/>
    <w:rsid w:val="0011471F"/>
    <w:rsid w:val="001164B7"/>
    <w:rsid w:val="00116FA4"/>
    <w:rsid w:val="00123913"/>
    <w:rsid w:val="00123B5C"/>
    <w:rsid w:val="0013099A"/>
    <w:rsid w:val="00130C3B"/>
    <w:rsid w:val="0013165D"/>
    <w:rsid w:val="00133B7A"/>
    <w:rsid w:val="00135C75"/>
    <w:rsid w:val="00136535"/>
    <w:rsid w:val="001408F1"/>
    <w:rsid w:val="00142B34"/>
    <w:rsid w:val="00142F05"/>
    <w:rsid w:val="001452BD"/>
    <w:rsid w:val="00150874"/>
    <w:rsid w:val="001509F3"/>
    <w:rsid w:val="00151897"/>
    <w:rsid w:val="001542CD"/>
    <w:rsid w:val="00154D12"/>
    <w:rsid w:val="00155839"/>
    <w:rsid w:val="0016133C"/>
    <w:rsid w:val="00166EF6"/>
    <w:rsid w:val="00170452"/>
    <w:rsid w:val="00171AD5"/>
    <w:rsid w:val="00172BFF"/>
    <w:rsid w:val="00172F6B"/>
    <w:rsid w:val="001737D0"/>
    <w:rsid w:val="00174B45"/>
    <w:rsid w:val="0017634D"/>
    <w:rsid w:val="00177827"/>
    <w:rsid w:val="0018048B"/>
    <w:rsid w:val="00180BC2"/>
    <w:rsid w:val="00184504"/>
    <w:rsid w:val="00185050"/>
    <w:rsid w:val="00187140"/>
    <w:rsid w:val="001911D5"/>
    <w:rsid w:val="00191A03"/>
    <w:rsid w:val="0019261D"/>
    <w:rsid w:val="001933F2"/>
    <w:rsid w:val="001952B4"/>
    <w:rsid w:val="00196A82"/>
    <w:rsid w:val="00197254"/>
    <w:rsid w:val="0019772A"/>
    <w:rsid w:val="001A0809"/>
    <w:rsid w:val="001A13B3"/>
    <w:rsid w:val="001A19D9"/>
    <w:rsid w:val="001A32F2"/>
    <w:rsid w:val="001A3A67"/>
    <w:rsid w:val="001A454E"/>
    <w:rsid w:val="001A45B8"/>
    <w:rsid w:val="001A508C"/>
    <w:rsid w:val="001A59DA"/>
    <w:rsid w:val="001A6AD0"/>
    <w:rsid w:val="001B050B"/>
    <w:rsid w:val="001B1771"/>
    <w:rsid w:val="001B212B"/>
    <w:rsid w:val="001B43CF"/>
    <w:rsid w:val="001B581D"/>
    <w:rsid w:val="001B6E23"/>
    <w:rsid w:val="001C37CD"/>
    <w:rsid w:val="001C6B0E"/>
    <w:rsid w:val="001C72DD"/>
    <w:rsid w:val="001D105A"/>
    <w:rsid w:val="001D18D6"/>
    <w:rsid w:val="001D1A75"/>
    <w:rsid w:val="001D3871"/>
    <w:rsid w:val="001D58C0"/>
    <w:rsid w:val="001D6D62"/>
    <w:rsid w:val="001E1529"/>
    <w:rsid w:val="001E1AED"/>
    <w:rsid w:val="001E3911"/>
    <w:rsid w:val="001E4C80"/>
    <w:rsid w:val="001E60F4"/>
    <w:rsid w:val="001F0A85"/>
    <w:rsid w:val="001F170F"/>
    <w:rsid w:val="001F52F0"/>
    <w:rsid w:val="001F692D"/>
    <w:rsid w:val="001F6C4E"/>
    <w:rsid w:val="001F71B3"/>
    <w:rsid w:val="001F7D84"/>
    <w:rsid w:val="0020019B"/>
    <w:rsid w:val="0020518E"/>
    <w:rsid w:val="00214E96"/>
    <w:rsid w:val="00216BB4"/>
    <w:rsid w:val="0022221E"/>
    <w:rsid w:val="0022768A"/>
    <w:rsid w:val="002277A9"/>
    <w:rsid w:val="002304B9"/>
    <w:rsid w:val="00233BFA"/>
    <w:rsid w:val="00241635"/>
    <w:rsid w:val="002441B3"/>
    <w:rsid w:val="00246946"/>
    <w:rsid w:val="00247E99"/>
    <w:rsid w:val="00250161"/>
    <w:rsid w:val="002505D8"/>
    <w:rsid w:val="002524DC"/>
    <w:rsid w:val="00252598"/>
    <w:rsid w:val="002565E6"/>
    <w:rsid w:val="0025691F"/>
    <w:rsid w:val="00257ED2"/>
    <w:rsid w:val="00261331"/>
    <w:rsid w:val="00265D9C"/>
    <w:rsid w:val="00274AB3"/>
    <w:rsid w:val="00280D9D"/>
    <w:rsid w:val="00281165"/>
    <w:rsid w:val="002826EC"/>
    <w:rsid w:val="00284FCB"/>
    <w:rsid w:val="00285202"/>
    <w:rsid w:val="00285CD3"/>
    <w:rsid w:val="0028600F"/>
    <w:rsid w:val="002862DC"/>
    <w:rsid w:val="00286743"/>
    <w:rsid w:val="00291E39"/>
    <w:rsid w:val="00293F73"/>
    <w:rsid w:val="00294868"/>
    <w:rsid w:val="002A0494"/>
    <w:rsid w:val="002A1BD3"/>
    <w:rsid w:val="002A3D9F"/>
    <w:rsid w:val="002A6852"/>
    <w:rsid w:val="002A6A39"/>
    <w:rsid w:val="002B01D0"/>
    <w:rsid w:val="002B0B2B"/>
    <w:rsid w:val="002B257F"/>
    <w:rsid w:val="002B59A7"/>
    <w:rsid w:val="002B7FCA"/>
    <w:rsid w:val="002C35BF"/>
    <w:rsid w:val="002C3A71"/>
    <w:rsid w:val="002C41C1"/>
    <w:rsid w:val="002C43B4"/>
    <w:rsid w:val="002D254F"/>
    <w:rsid w:val="002D2F3D"/>
    <w:rsid w:val="002D7A14"/>
    <w:rsid w:val="002E0D59"/>
    <w:rsid w:val="002E0F47"/>
    <w:rsid w:val="002E196B"/>
    <w:rsid w:val="002E31BE"/>
    <w:rsid w:val="002E3911"/>
    <w:rsid w:val="002E6C93"/>
    <w:rsid w:val="002F191B"/>
    <w:rsid w:val="002F4FFF"/>
    <w:rsid w:val="002F7199"/>
    <w:rsid w:val="002F74B4"/>
    <w:rsid w:val="002F78DD"/>
    <w:rsid w:val="00302F69"/>
    <w:rsid w:val="003030ED"/>
    <w:rsid w:val="0030385F"/>
    <w:rsid w:val="003049AC"/>
    <w:rsid w:val="00307179"/>
    <w:rsid w:val="003120F6"/>
    <w:rsid w:val="003153F3"/>
    <w:rsid w:val="00316298"/>
    <w:rsid w:val="00317362"/>
    <w:rsid w:val="00317F02"/>
    <w:rsid w:val="00326248"/>
    <w:rsid w:val="00327A8A"/>
    <w:rsid w:val="0033064A"/>
    <w:rsid w:val="0033144B"/>
    <w:rsid w:val="00331FE7"/>
    <w:rsid w:val="0033397A"/>
    <w:rsid w:val="00334CE3"/>
    <w:rsid w:val="00337266"/>
    <w:rsid w:val="003408CD"/>
    <w:rsid w:val="00340B4D"/>
    <w:rsid w:val="00342A9F"/>
    <w:rsid w:val="00355AFF"/>
    <w:rsid w:val="00356E08"/>
    <w:rsid w:val="003611E6"/>
    <w:rsid w:val="00364C51"/>
    <w:rsid w:val="0037336D"/>
    <w:rsid w:val="003757DE"/>
    <w:rsid w:val="0038668C"/>
    <w:rsid w:val="00386699"/>
    <w:rsid w:val="00387C03"/>
    <w:rsid w:val="00390220"/>
    <w:rsid w:val="0039128A"/>
    <w:rsid w:val="003922A4"/>
    <w:rsid w:val="00395ABB"/>
    <w:rsid w:val="0039693F"/>
    <w:rsid w:val="00397C94"/>
    <w:rsid w:val="003A0194"/>
    <w:rsid w:val="003A3119"/>
    <w:rsid w:val="003A606A"/>
    <w:rsid w:val="003B16DA"/>
    <w:rsid w:val="003B1B0F"/>
    <w:rsid w:val="003B3BD5"/>
    <w:rsid w:val="003B4300"/>
    <w:rsid w:val="003B4393"/>
    <w:rsid w:val="003B483E"/>
    <w:rsid w:val="003B4F57"/>
    <w:rsid w:val="003B7050"/>
    <w:rsid w:val="003C12E7"/>
    <w:rsid w:val="003C33F8"/>
    <w:rsid w:val="003C3A0E"/>
    <w:rsid w:val="003C4074"/>
    <w:rsid w:val="003C7D4C"/>
    <w:rsid w:val="003D0265"/>
    <w:rsid w:val="003D2106"/>
    <w:rsid w:val="003D5EB0"/>
    <w:rsid w:val="003D6251"/>
    <w:rsid w:val="003D69ED"/>
    <w:rsid w:val="003D6A89"/>
    <w:rsid w:val="003E1CA2"/>
    <w:rsid w:val="003E3FB8"/>
    <w:rsid w:val="003E4139"/>
    <w:rsid w:val="003E67CB"/>
    <w:rsid w:val="003F0C5E"/>
    <w:rsid w:val="003F2913"/>
    <w:rsid w:val="003F2948"/>
    <w:rsid w:val="003F4266"/>
    <w:rsid w:val="003F5562"/>
    <w:rsid w:val="003F756A"/>
    <w:rsid w:val="004014B0"/>
    <w:rsid w:val="004048F9"/>
    <w:rsid w:val="00404B3B"/>
    <w:rsid w:val="00405DFE"/>
    <w:rsid w:val="00405F66"/>
    <w:rsid w:val="00410864"/>
    <w:rsid w:val="0041086D"/>
    <w:rsid w:val="0041121D"/>
    <w:rsid w:val="00411CED"/>
    <w:rsid w:val="00412829"/>
    <w:rsid w:val="0041332A"/>
    <w:rsid w:val="00413E73"/>
    <w:rsid w:val="00417FF8"/>
    <w:rsid w:val="00426A36"/>
    <w:rsid w:val="00427794"/>
    <w:rsid w:val="00430FD7"/>
    <w:rsid w:val="00432FC9"/>
    <w:rsid w:val="00435B76"/>
    <w:rsid w:val="004363BB"/>
    <w:rsid w:val="00436F95"/>
    <w:rsid w:val="0043788F"/>
    <w:rsid w:val="00440509"/>
    <w:rsid w:val="004434FE"/>
    <w:rsid w:val="00444F1F"/>
    <w:rsid w:val="004457A6"/>
    <w:rsid w:val="00445ED7"/>
    <w:rsid w:val="004503B4"/>
    <w:rsid w:val="00456F06"/>
    <w:rsid w:val="00457F91"/>
    <w:rsid w:val="00461D6B"/>
    <w:rsid w:val="004654BE"/>
    <w:rsid w:val="0046717F"/>
    <w:rsid w:val="004740F9"/>
    <w:rsid w:val="00474A98"/>
    <w:rsid w:val="0048501E"/>
    <w:rsid w:val="0048643A"/>
    <w:rsid w:val="0048663C"/>
    <w:rsid w:val="00487B11"/>
    <w:rsid w:val="00487CB1"/>
    <w:rsid w:val="00491991"/>
    <w:rsid w:val="00492238"/>
    <w:rsid w:val="0049453B"/>
    <w:rsid w:val="00494E7C"/>
    <w:rsid w:val="004A52F8"/>
    <w:rsid w:val="004A6155"/>
    <w:rsid w:val="004B0646"/>
    <w:rsid w:val="004B2E42"/>
    <w:rsid w:val="004B6880"/>
    <w:rsid w:val="004B7135"/>
    <w:rsid w:val="004C1977"/>
    <w:rsid w:val="004C1D24"/>
    <w:rsid w:val="004C337C"/>
    <w:rsid w:val="004C4063"/>
    <w:rsid w:val="004D0DA4"/>
    <w:rsid w:val="004D46AB"/>
    <w:rsid w:val="004D4802"/>
    <w:rsid w:val="004E0BDC"/>
    <w:rsid w:val="004E36F4"/>
    <w:rsid w:val="004E68F7"/>
    <w:rsid w:val="004E7227"/>
    <w:rsid w:val="004F0454"/>
    <w:rsid w:val="004F16DB"/>
    <w:rsid w:val="004F2213"/>
    <w:rsid w:val="004F6A4B"/>
    <w:rsid w:val="005021C5"/>
    <w:rsid w:val="00504A70"/>
    <w:rsid w:val="0050546D"/>
    <w:rsid w:val="00506B2A"/>
    <w:rsid w:val="00506CE1"/>
    <w:rsid w:val="00510086"/>
    <w:rsid w:val="005114A7"/>
    <w:rsid w:val="00514078"/>
    <w:rsid w:val="00514397"/>
    <w:rsid w:val="005150DA"/>
    <w:rsid w:val="00517D32"/>
    <w:rsid w:val="00520315"/>
    <w:rsid w:val="0052276C"/>
    <w:rsid w:val="005251AE"/>
    <w:rsid w:val="00526B59"/>
    <w:rsid w:val="00527FA5"/>
    <w:rsid w:val="00531D3F"/>
    <w:rsid w:val="00541636"/>
    <w:rsid w:val="00541B94"/>
    <w:rsid w:val="005447F7"/>
    <w:rsid w:val="005469E1"/>
    <w:rsid w:val="005534D8"/>
    <w:rsid w:val="00556416"/>
    <w:rsid w:val="00557827"/>
    <w:rsid w:val="00561D5B"/>
    <w:rsid w:val="00561EE3"/>
    <w:rsid w:val="005633E2"/>
    <w:rsid w:val="00566334"/>
    <w:rsid w:val="00570758"/>
    <w:rsid w:val="0058266C"/>
    <w:rsid w:val="00582A72"/>
    <w:rsid w:val="00584AA5"/>
    <w:rsid w:val="00587982"/>
    <w:rsid w:val="005909C5"/>
    <w:rsid w:val="00590FB9"/>
    <w:rsid w:val="00595A9F"/>
    <w:rsid w:val="0059710D"/>
    <w:rsid w:val="005976B1"/>
    <w:rsid w:val="005977BD"/>
    <w:rsid w:val="005B4FF0"/>
    <w:rsid w:val="005B6ACB"/>
    <w:rsid w:val="005B6BD8"/>
    <w:rsid w:val="005B6E3E"/>
    <w:rsid w:val="005B7B6F"/>
    <w:rsid w:val="005C0FFC"/>
    <w:rsid w:val="005C277E"/>
    <w:rsid w:val="005C366E"/>
    <w:rsid w:val="005C61F8"/>
    <w:rsid w:val="005D6B15"/>
    <w:rsid w:val="005D6C3C"/>
    <w:rsid w:val="005E254F"/>
    <w:rsid w:val="005E3D47"/>
    <w:rsid w:val="005E4764"/>
    <w:rsid w:val="005E4AA2"/>
    <w:rsid w:val="005E5020"/>
    <w:rsid w:val="005E6DC7"/>
    <w:rsid w:val="005E6E2E"/>
    <w:rsid w:val="005F16CF"/>
    <w:rsid w:val="005F7B7F"/>
    <w:rsid w:val="005F7E03"/>
    <w:rsid w:val="005F7E99"/>
    <w:rsid w:val="006005CE"/>
    <w:rsid w:val="00603C42"/>
    <w:rsid w:val="006048F6"/>
    <w:rsid w:val="00607D7B"/>
    <w:rsid w:val="006105D2"/>
    <w:rsid w:val="00610C78"/>
    <w:rsid w:val="00612EE8"/>
    <w:rsid w:val="00613D3E"/>
    <w:rsid w:val="006146B3"/>
    <w:rsid w:val="006155C3"/>
    <w:rsid w:val="00617851"/>
    <w:rsid w:val="006215B0"/>
    <w:rsid w:val="00621CFF"/>
    <w:rsid w:val="00623073"/>
    <w:rsid w:val="006253B6"/>
    <w:rsid w:val="0062677E"/>
    <w:rsid w:val="006340CC"/>
    <w:rsid w:val="00636FEE"/>
    <w:rsid w:val="006378CA"/>
    <w:rsid w:val="00637E5F"/>
    <w:rsid w:val="006404B0"/>
    <w:rsid w:val="00641F77"/>
    <w:rsid w:val="00642B10"/>
    <w:rsid w:val="006449A6"/>
    <w:rsid w:val="006469CB"/>
    <w:rsid w:val="00652973"/>
    <w:rsid w:val="00654C08"/>
    <w:rsid w:val="00656679"/>
    <w:rsid w:val="00667BED"/>
    <w:rsid w:val="00667FBA"/>
    <w:rsid w:val="00671BF2"/>
    <w:rsid w:val="00673250"/>
    <w:rsid w:val="00674FFE"/>
    <w:rsid w:val="0067712D"/>
    <w:rsid w:val="00680F64"/>
    <w:rsid w:val="00682A97"/>
    <w:rsid w:val="0069359A"/>
    <w:rsid w:val="00694F99"/>
    <w:rsid w:val="00696A48"/>
    <w:rsid w:val="006A1101"/>
    <w:rsid w:val="006A1CE4"/>
    <w:rsid w:val="006A7F53"/>
    <w:rsid w:val="006B4195"/>
    <w:rsid w:val="006B4DCD"/>
    <w:rsid w:val="006B6395"/>
    <w:rsid w:val="006C02E3"/>
    <w:rsid w:val="006C0764"/>
    <w:rsid w:val="006C099B"/>
    <w:rsid w:val="006C307F"/>
    <w:rsid w:val="006C31AF"/>
    <w:rsid w:val="006C52DE"/>
    <w:rsid w:val="006C5DA9"/>
    <w:rsid w:val="006C7184"/>
    <w:rsid w:val="006D0E63"/>
    <w:rsid w:val="006D10F2"/>
    <w:rsid w:val="006D4673"/>
    <w:rsid w:val="006D4AD4"/>
    <w:rsid w:val="006D4E30"/>
    <w:rsid w:val="006E1488"/>
    <w:rsid w:val="006E17F5"/>
    <w:rsid w:val="006E2F03"/>
    <w:rsid w:val="006E3CBE"/>
    <w:rsid w:val="006E65D2"/>
    <w:rsid w:val="006E6607"/>
    <w:rsid w:val="006E6CC1"/>
    <w:rsid w:val="006F0C03"/>
    <w:rsid w:val="006F2BD7"/>
    <w:rsid w:val="006F2C39"/>
    <w:rsid w:val="006F2CEE"/>
    <w:rsid w:val="006F3B60"/>
    <w:rsid w:val="006F5DEB"/>
    <w:rsid w:val="00702E00"/>
    <w:rsid w:val="007037A4"/>
    <w:rsid w:val="0070392E"/>
    <w:rsid w:val="00705C1E"/>
    <w:rsid w:val="0070692E"/>
    <w:rsid w:val="00706A17"/>
    <w:rsid w:val="00711BD8"/>
    <w:rsid w:val="00712F2A"/>
    <w:rsid w:val="00713F63"/>
    <w:rsid w:val="0072449F"/>
    <w:rsid w:val="00724DE5"/>
    <w:rsid w:val="00725213"/>
    <w:rsid w:val="0072598D"/>
    <w:rsid w:val="00726511"/>
    <w:rsid w:val="00730C92"/>
    <w:rsid w:val="00731EC8"/>
    <w:rsid w:val="007323AC"/>
    <w:rsid w:val="0073669D"/>
    <w:rsid w:val="007375E6"/>
    <w:rsid w:val="00740291"/>
    <w:rsid w:val="00740B13"/>
    <w:rsid w:val="00740B69"/>
    <w:rsid w:val="00744E22"/>
    <w:rsid w:val="007468AB"/>
    <w:rsid w:val="00747114"/>
    <w:rsid w:val="00750EF5"/>
    <w:rsid w:val="007511CD"/>
    <w:rsid w:val="00752FFA"/>
    <w:rsid w:val="00753E11"/>
    <w:rsid w:val="00755421"/>
    <w:rsid w:val="00756705"/>
    <w:rsid w:val="00762886"/>
    <w:rsid w:val="00765F72"/>
    <w:rsid w:val="00777C6A"/>
    <w:rsid w:val="00783F44"/>
    <w:rsid w:val="00784F4E"/>
    <w:rsid w:val="00785E85"/>
    <w:rsid w:val="00787494"/>
    <w:rsid w:val="007879A4"/>
    <w:rsid w:val="00792475"/>
    <w:rsid w:val="00796BEF"/>
    <w:rsid w:val="007A2079"/>
    <w:rsid w:val="007A28E7"/>
    <w:rsid w:val="007A4F2C"/>
    <w:rsid w:val="007A59EA"/>
    <w:rsid w:val="007A5F26"/>
    <w:rsid w:val="007B0005"/>
    <w:rsid w:val="007B1715"/>
    <w:rsid w:val="007B5B9F"/>
    <w:rsid w:val="007B6C4A"/>
    <w:rsid w:val="007C0A83"/>
    <w:rsid w:val="007C3281"/>
    <w:rsid w:val="007C48E8"/>
    <w:rsid w:val="007C49DF"/>
    <w:rsid w:val="007C50A7"/>
    <w:rsid w:val="007C68E0"/>
    <w:rsid w:val="007C6DDA"/>
    <w:rsid w:val="007C75D3"/>
    <w:rsid w:val="007D2941"/>
    <w:rsid w:val="007D2A65"/>
    <w:rsid w:val="007D4CE6"/>
    <w:rsid w:val="007D53CA"/>
    <w:rsid w:val="007D7270"/>
    <w:rsid w:val="007E0E5E"/>
    <w:rsid w:val="007E2BB8"/>
    <w:rsid w:val="007E2D8C"/>
    <w:rsid w:val="007E7F68"/>
    <w:rsid w:val="007F144E"/>
    <w:rsid w:val="007F1E27"/>
    <w:rsid w:val="007F4361"/>
    <w:rsid w:val="007F64B3"/>
    <w:rsid w:val="00800A2B"/>
    <w:rsid w:val="008056ED"/>
    <w:rsid w:val="00806C1C"/>
    <w:rsid w:val="00807DFE"/>
    <w:rsid w:val="0081005E"/>
    <w:rsid w:val="00813C60"/>
    <w:rsid w:val="00825983"/>
    <w:rsid w:val="00825EFF"/>
    <w:rsid w:val="00826757"/>
    <w:rsid w:val="0083110B"/>
    <w:rsid w:val="0083609F"/>
    <w:rsid w:val="008377DB"/>
    <w:rsid w:val="008419AB"/>
    <w:rsid w:val="00842044"/>
    <w:rsid w:val="008429D1"/>
    <w:rsid w:val="00844B9B"/>
    <w:rsid w:val="008477AB"/>
    <w:rsid w:val="00851189"/>
    <w:rsid w:val="00852661"/>
    <w:rsid w:val="00854FD5"/>
    <w:rsid w:val="00855874"/>
    <w:rsid w:val="00860C63"/>
    <w:rsid w:val="00861CE5"/>
    <w:rsid w:val="008645B8"/>
    <w:rsid w:val="00865DD2"/>
    <w:rsid w:val="00874DA5"/>
    <w:rsid w:val="008756C2"/>
    <w:rsid w:val="008760F8"/>
    <w:rsid w:val="008761B5"/>
    <w:rsid w:val="008800B7"/>
    <w:rsid w:val="008840A5"/>
    <w:rsid w:val="008862EE"/>
    <w:rsid w:val="008901B5"/>
    <w:rsid w:val="008923B6"/>
    <w:rsid w:val="00894271"/>
    <w:rsid w:val="008959F0"/>
    <w:rsid w:val="008A032F"/>
    <w:rsid w:val="008A2E28"/>
    <w:rsid w:val="008B1B8E"/>
    <w:rsid w:val="008B22E2"/>
    <w:rsid w:val="008B4B8A"/>
    <w:rsid w:val="008B58B2"/>
    <w:rsid w:val="008B6713"/>
    <w:rsid w:val="008C0A74"/>
    <w:rsid w:val="008C1694"/>
    <w:rsid w:val="008C2283"/>
    <w:rsid w:val="008D5140"/>
    <w:rsid w:val="008E3EAD"/>
    <w:rsid w:val="008E3EBA"/>
    <w:rsid w:val="008E5913"/>
    <w:rsid w:val="008F1107"/>
    <w:rsid w:val="008F20BA"/>
    <w:rsid w:val="008F2FBE"/>
    <w:rsid w:val="008F37F0"/>
    <w:rsid w:val="008F53FA"/>
    <w:rsid w:val="00901C0A"/>
    <w:rsid w:val="00904036"/>
    <w:rsid w:val="009058B5"/>
    <w:rsid w:val="00906263"/>
    <w:rsid w:val="00907DC8"/>
    <w:rsid w:val="0091132A"/>
    <w:rsid w:val="00922DCC"/>
    <w:rsid w:val="00923CA2"/>
    <w:rsid w:val="009309A4"/>
    <w:rsid w:val="00933317"/>
    <w:rsid w:val="00933615"/>
    <w:rsid w:val="00933DB9"/>
    <w:rsid w:val="00936ADD"/>
    <w:rsid w:val="00937A7D"/>
    <w:rsid w:val="00941B31"/>
    <w:rsid w:val="00941B49"/>
    <w:rsid w:val="0094243C"/>
    <w:rsid w:val="00942855"/>
    <w:rsid w:val="00944129"/>
    <w:rsid w:val="00944C19"/>
    <w:rsid w:val="00944E59"/>
    <w:rsid w:val="009461ED"/>
    <w:rsid w:val="00950B90"/>
    <w:rsid w:val="00951AB2"/>
    <w:rsid w:val="009538E6"/>
    <w:rsid w:val="00955CCF"/>
    <w:rsid w:val="00961C03"/>
    <w:rsid w:val="009639D6"/>
    <w:rsid w:val="009704E4"/>
    <w:rsid w:val="00971ED1"/>
    <w:rsid w:val="009775C7"/>
    <w:rsid w:val="00977CDE"/>
    <w:rsid w:val="00980C10"/>
    <w:rsid w:val="0098185A"/>
    <w:rsid w:val="00982644"/>
    <w:rsid w:val="00982A54"/>
    <w:rsid w:val="009841B1"/>
    <w:rsid w:val="00987024"/>
    <w:rsid w:val="0098779E"/>
    <w:rsid w:val="00994804"/>
    <w:rsid w:val="009A1B36"/>
    <w:rsid w:val="009A3008"/>
    <w:rsid w:val="009A6CB6"/>
    <w:rsid w:val="009C0848"/>
    <w:rsid w:val="009C1996"/>
    <w:rsid w:val="009C22BE"/>
    <w:rsid w:val="009C26CC"/>
    <w:rsid w:val="009C39FD"/>
    <w:rsid w:val="009D0349"/>
    <w:rsid w:val="009D60E5"/>
    <w:rsid w:val="009E0DF2"/>
    <w:rsid w:val="009E15E6"/>
    <w:rsid w:val="009E231A"/>
    <w:rsid w:val="009E2F64"/>
    <w:rsid w:val="009E3A2B"/>
    <w:rsid w:val="009E56B4"/>
    <w:rsid w:val="009E61BC"/>
    <w:rsid w:val="009F1BC6"/>
    <w:rsid w:val="009F3D4E"/>
    <w:rsid w:val="009F460F"/>
    <w:rsid w:val="009F54D6"/>
    <w:rsid w:val="009F69FD"/>
    <w:rsid w:val="009F71FC"/>
    <w:rsid w:val="00A004B3"/>
    <w:rsid w:val="00A036E1"/>
    <w:rsid w:val="00A059D9"/>
    <w:rsid w:val="00A10A6B"/>
    <w:rsid w:val="00A10E2B"/>
    <w:rsid w:val="00A10F2E"/>
    <w:rsid w:val="00A125D9"/>
    <w:rsid w:val="00A14E2B"/>
    <w:rsid w:val="00A15589"/>
    <w:rsid w:val="00A15DE1"/>
    <w:rsid w:val="00A16306"/>
    <w:rsid w:val="00A16D28"/>
    <w:rsid w:val="00A202ED"/>
    <w:rsid w:val="00A22812"/>
    <w:rsid w:val="00A27B31"/>
    <w:rsid w:val="00A30084"/>
    <w:rsid w:val="00A36340"/>
    <w:rsid w:val="00A36BF7"/>
    <w:rsid w:val="00A37C2A"/>
    <w:rsid w:val="00A42F8F"/>
    <w:rsid w:val="00A4420F"/>
    <w:rsid w:val="00A446B6"/>
    <w:rsid w:val="00A46E38"/>
    <w:rsid w:val="00A50895"/>
    <w:rsid w:val="00A51E62"/>
    <w:rsid w:val="00A53533"/>
    <w:rsid w:val="00A5573A"/>
    <w:rsid w:val="00A55C29"/>
    <w:rsid w:val="00A5632C"/>
    <w:rsid w:val="00A567A3"/>
    <w:rsid w:val="00A56984"/>
    <w:rsid w:val="00A56A4A"/>
    <w:rsid w:val="00A57521"/>
    <w:rsid w:val="00A63577"/>
    <w:rsid w:val="00A65D61"/>
    <w:rsid w:val="00A66A68"/>
    <w:rsid w:val="00A71DB3"/>
    <w:rsid w:val="00A73318"/>
    <w:rsid w:val="00A75B35"/>
    <w:rsid w:val="00A83513"/>
    <w:rsid w:val="00A91334"/>
    <w:rsid w:val="00A917CC"/>
    <w:rsid w:val="00A93867"/>
    <w:rsid w:val="00A979AA"/>
    <w:rsid w:val="00AA19FE"/>
    <w:rsid w:val="00AA31E9"/>
    <w:rsid w:val="00AA44D4"/>
    <w:rsid w:val="00AA5CC9"/>
    <w:rsid w:val="00AA7F1C"/>
    <w:rsid w:val="00AB0B56"/>
    <w:rsid w:val="00AB2A82"/>
    <w:rsid w:val="00AB3D08"/>
    <w:rsid w:val="00AB663D"/>
    <w:rsid w:val="00AB74C4"/>
    <w:rsid w:val="00AB7C9D"/>
    <w:rsid w:val="00AC688A"/>
    <w:rsid w:val="00AC7B32"/>
    <w:rsid w:val="00AD1707"/>
    <w:rsid w:val="00AD184D"/>
    <w:rsid w:val="00AD4096"/>
    <w:rsid w:val="00AE0482"/>
    <w:rsid w:val="00AE3C6E"/>
    <w:rsid w:val="00AE64BF"/>
    <w:rsid w:val="00AF1005"/>
    <w:rsid w:val="00AF4DEB"/>
    <w:rsid w:val="00AF5571"/>
    <w:rsid w:val="00AF620A"/>
    <w:rsid w:val="00AF6987"/>
    <w:rsid w:val="00B005E1"/>
    <w:rsid w:val="00B011C2"/>
    <w:rsid w:val="00B01967"/>
    <w:rsid w:val="00B03909"/>
    <w:rsid w:val="00B0448F"/>
    <w:rsid w:val="00B05F5C"/>
    <w:rsid w:val="00B063A0"/>
    <w:rsid w:val="00B1050E"/>
    <w:rsid w:val="00B10C05"/>
    <w:rsid w:val="00B17B48"/>
    <w:rsid w:val="00B21E7A"/>
    <w:rsid w:val="00B23D5E"/>
    <w:rsid w:val="00B2411F"/>
    <w:rsid w:val="00B2450B"/>
    <w:rsid w:val="00B301CF"/>
    <w:rsid w:val="00B31C71"/>
    <w:rsid w:val="00B32221"/>
    <w:rsid w:val="00B331A9"/>
    <w:rsid w:val="00B378BF"/>
    <w:rsid w:val="00B41272"/>
    <w:rsid w:val="00B426FE"/>
    <w:rsid w:val="00B464D0"/>
    <w:rsid w:val="00B469AF"/>
    <w:rsid w:val="00B4758F"/>
    <w:rsid w:val="00B51E71"/>
    <w:rsid w:val="00B527FE"/>
    <w:rsid w:val="00B55832"/>
    <w:rsid w:val="00B63339"/>
    <w:rsid w:val="00B65BBE"/>
    <w:rsid w:val="00B716E5"/>
    <w:rsid w:val="00B72258"/>
    <w:rsid w:val="00B72E15"/>
    <w:rsid w:val="00B72F0F"/>
    <w:rsid w:val="00B73F51"/>
    <w:rsid w:val="00B76C5A"/>
    <w:rsid w:val="00B77043"/>
    <w:rsid w:val="00B807A3"/>
    <w:rsid w:val="00B82AD7"/>
    <w:rsid w:val="00B85ED1"/>
    <w:rsid w:val="00B86579"/>
    <w:rsid w:val="00B86589"/>
    <w:rsid w:val="00B86D06"/>
    <w:rsid w:val="00B87735"/>
    <w:rsid w:val="00B90190"/>
    <w:rsid w:val="00B9293F"/>
    <w:rsid w:val="00B95A22"/>
    <w:rsid w:val="00B979BD"/>
    <w:rsid w:val="00BA01B3"/>
    <w:rsid w:val="00BA07EA"/>
    <w:rsid w:val="00BA2AF0"/>
    <w:rsid w:val="00BA48D4"/>
    <w:rsid w:val="00BA6EC8"/>
    <w:rsid w:val="00BB113D"/>
    <w:rsid w:val="00BB2C17"/>
    <w:rsid w:val="00BB2C84"/>
    <w:rsid w:val="00BB4867"/>
    <w:rsid w:val="00BB5C84"/>
    <w:rsid w:val="00BB630C"/>
    <w:rsid w:val="00BB7886"/>
    <w:rsid w:val="00BC770A"/>
    <w:rsid w:val="00BC7C47"/>
    <w:rsid w:val="00BD2BB2"/>
    <w:rsid w:val="00BD2E1F"/>
    <w:rsid w:val="00BD7173"/>
    <w:rsid w:val="00BD7DEC"/>
    <w:rsid w:val="00BE1A32"/>
    <w:rsid w:val="00BE3E02"/>
    <w:rsid w:val="00BE4791"/>
    <w:rsid w:val="00BE4FB7"/>
    <w:rsid w:val="00BE68FC"/>
    <w:rsid w:val="00BF690E"/>
    <w:rsid w:val="00C00076"/>
    <w:rsid w:val="00C00B1D"/>
    <w:rsid w:val="00C02569"/>
    <w:rsid w:val="00C02F1E"/>
    <w:rsid w:val="00C037C2"/>
    <w:rsid w:val="00C053D5"/>
    <w:rsid w:val="00C141B8"/>
    <w:rsid w:val="00C1494C"/>
    <w:rsid w:val="00C25898"/>
    <w:rsid w:val="00C265DF"/>
    <w:rsid w:val="00C3347F"/>
    <w:rsid w:val="00C34B35"/>
    <w:rsid w:val="00C356F1"/>
    <w:rsid w:val="00C37003"/>
    <w:rsid w:val="00C37021"/>
    <w:rsid w:val="00C37F5F"/>
    <w:rsid w:val="00C46112"/>
    <w:rsid w:val="00C54125"/>
    <w:rsid w:val="00C56B12"/>
    <w:rsid w:val="00C63294"/>
    <w:rsid w:val="00C67578"/>
    <w:rsid w:val="00C74243"/>
    <w:rsid w:val="00C77DC6"/>
    <w:rsid w:val="00C801DA"/>
    <w:rsid w:val="00C81F8D"/>
    <w:rsid w:val="00C82A07"/>
    <w:rsid w:val="00C85C43"/>
    <w:rsid w:val="00C926F0"/>
    <w:rsid w:val="00C931AE"/>
    <w:rsid w:val="00C939C8"/>
    <w:rsid w:val="00C93C43"/>
    <w:rsid w:val="00C9656D"/>
    <w:rsid w:val="00C975A9"/>
    <w:rsid w:val="00CA30E8"/>
    <w:rsid w:val="00CA4683"/>
    <w:rsid w:val="00CA4AFC"/>
    <w:rsid w:val="00CA563E"/>
    <w:rsid w:val="00CA5799"/>
    <w:rsid w:val="00CA6073"/>
    <w:rsid w:val="00CA7944"/>
    <w:rsid w:val="00CB01C1"/>
    <w:rsid w:val="00CB06C2"/>
    <w:rsid w:val="00CB0F67"/>
    <w:rsid w:val="00CB120C"/>
    <w:rsid w:val="00CB1E3E"/>
    <w:rsid w:val="00CB235B"/>
    <w:rsid w:val="00CB2F3D"/>
    <w:rsid w:val="00CB5242"/>
    <w:rsid w:val="00CB5674"/>
    <w:rsid w:val="00CB6445"/>
    <w:rsid w:val="00CB7597"/>
    <w:rsid w:val="00CC09FE"/>
    <w:rsid w:val="00CC3155"/>
    <w:rsid w:val="00CC33E2"/>
    <w:rsid w:val="00CC5218"/>
    <w:rsid w:val="00CD4645"/>
    <w:rsid w:val="00CD477A"/>
    <w:rsid w:val="00CD5F32"/>
    <w:rsid w:val="00CD62E0"/>
    <w:rsid w:val="00CE48C5"/>
    <w:rsid w:val="00CE76C4"/>
    <w:rsid w:val="00CF08CE"/>
    <w:rsid w:val="00CF375B"/>
    <w:rsid w:val="00CF3CDC"/>
    <w:rsid w:val="00CF3CED"/>
    <w:rsid w:val="00CF5119"/>
    <w:rsid w:val="00CF657F"/>
    <w:rsid w:val="00D0430C"/>
    <w:rsid w:val="00D05DD3"/>
    <w:rsid w:val="00D07A0A"/>
    <w:rsid w:val="00D13680"/>
    <w:rsid w:val="00D1523F"/>
    <w:rsid w:val="00D157E6"/>
    <w:rsid w:val="00D16CA5"/>
    <w:rsid w:val="00D16CF6"/>
    <w:rsid w:val="00D20CAA"/>
    <w:rsid w:val="00D20D5F"/>
    <w:rsid w:val="00D300AE"/>
    <w:rsid w:val="00D305FC"/>
    <w:rsid w:val="00D3071E"/>
    <w:rsid w:val="00D321CE"/>
    <w:rsid w:val="00D33709"/>
    <w:rsid w:val="00D36B75"/>
    <w:rsid w:val="00D4094F"/>
    <w:rsid w:val="00D43AD4"/>
    <w:rsid w:val="00D43B5F"/>
    <w:rsid w:val="00D460B0"/>
    <w:rsid w:val="00D460B9"/>
    <w:rsid w:val="00D46596"/>
    <w:rsid w:val="00D46723"/>
    <w:rsid w:val="00D47C5B"/>
    <w:rsid w:val="00D52B39"/>
    <w:rsid w:val="00D53AE4"/>
    <w:rsid w:val="00D600D0"/>
    <w:rsid w:val="00D62205"/>
    <w:rsid w:val="00D646E2"/>
    <w:rsid w:val="00D70328"/>
    <w:rsid w:val="00D7195F"/>
    <w:rsid w:val="00D72060"/>
    <w:rsid w:val="00D73901"/>
    <w:rsid w:val="00D77C66"/>
    <w:rsid w:val="00D806B0"/>
    <w:rsid w:val="00D815D5"/>
    <w:rsid w:val="00D82EE2"/>
    <w:rsid w:val="00D92151"/>
    <w:rsid w:val="00D930BE"/>
    <w:rsid w:val="00D9387A"/>
    <w:rsid w:val="00D93BE3"/>
    <w:rsid w:val="00D93D7B"/>
    <w:rsid w:val="00D97C23"/>
    <w:rsid w:val="00DA04D3"/>
    <w:rsid w:val="00DA1549"/>
    <w:rsid w:val="00DA342B"/>
    <w:rsid w:val="00DA6FD6"/>
    <w:rsid w:val="00DB22F6"/>
    <w:rsid w:val="00DB23C4"/>
    <w:rsid w:val="00DB2BFA"/>
    <w:rsid w:val="00DB43E8"/>
    <w:rsid w:val="00DB454F"/>
    <w:rsid w:val="00DB599C"/>
    <w:rsid w:val="00DC02BC"/>
    <w:rsid w:val="00DC11BA"/>
    <w:rsid w:val="00DC580B"/>
    <w:rsid w:val="00DC5F5C"/>
    <w:rsid w:val="00DC7988"/>
    <w:rsid w:val="00DD3726"/>
    <w:rsid w:val="00DD63DB"/>
    <w:rsid w:val="00DD73FC"/>
    <w:rsid w:val="00DE0D93"/>
    <w:rsid w:val="00DE2C36"/>
    <w:rsid w:val="00DE2C71"/>
    <w:rsid w:val="00DE3070"/>
    <w:rsid w:val="00DE4281"/>
    <w:rsid w:val="00DE644B"/>
    <w:rsid w:val="00DF1DA7"/>
    <w:rsid w:val="00DF4211"/>
    <w:rsid w:val="00DF4C21"/>
    <w:rsid w:val="00E002E8"/>
    <w:rsid w:val="00E01C5B"/>
    <w:rsid w:val="00E02AB4"/>
    <w:rsid w:val="00E06672"/>
    <w:rsid w:val="00E06B95"/>
    <w:rsid w:val="00E123CB"/>
    <w:rsid w:val="00E14FA9"/>
    <w:rsid w:val="00E164AB"/>
    <w:rsid w:val="00E167BB"/>
    <w:rsid w:val="00E17333"/>
    <w:rsid w:val="00E20E0D"/>
    <w:rsid w:val="00E236D0"/>
    <w:rsid w:val="00E23E6C"/>
    <w:rsid w:val="00E25A7E"/>
    <w:rsid w:val="00E265C6"/>
    <w:rsid w:val="00E314A6"/>
    <w:rsid w:val="00E3166A"/>
    <w:rsid w:val="00E3166C"/>
    <w:rsid w:val="00E31F5E"/>
    <w:rsid w:val="00E32569"/>
    <w:rsid w:val="00E32AF2"/>
    <w:rsid w:val="00E33E35"/>
    <w:rsid w:val="00E341C9"/>
    <w:rsid w:val="00E3455D"/>
    <w:rsid w:val="00E34B2A"/>
    <w:rsid w:val="00E365F8"/>
    <w:rsid w:val="00E4245E"/>
    <w:rsid w:val="00E45A10"/>
    <w:rsid w:val="00E45CAB"/>
    <w:rsid w:val="00E52313"/>
    <w:rsid w:val="00E55273"/>
    <w:rsid w:val="00E56EC1"/>
    <w:rsid w:val="00E57478"/>
    <w:rsid w:val="00E60416"/>
    <w:rsid w:val="00E641E7"/>
    <w:rsid w:val="00E64C78"/>
    <w:rsid w:val="00E73266"/>
    <w:rsid w:val="00E7609C"/>
    <w:rsid w:val="00E76AD3"/>
    <w:rsid w:val="00E76C63"/>
    <w:rsid w:val="00E7759E"/>
    <w:rsid w:val="00E80863"/>
    <w:rsid w:val="00E81A91"/>
    <w:rsid w:val="00E83496"/>
    <w:rsid w:val="00E84205"/>
    <w:rsid w:val="00E8430C"/>
    <w:rsid w:val="00E90319"/>
    <w:rsid w:val="00E91917"/>
    <w:rsid w:val="00E92B45"/>
    <w:rsid w:val="00E95812"/>
    <w:rsid w:val="00E95948"/>
    <w:rsid w:val="00EA3977"/>
    <w:rsid w:val="00EA4A61"/>
    <w:rsid w:val="00EA5861"/>
    <w:rsid w:val="00EA6EBC"/>
    <w:rsid w:val="00EA72A8"/>
    <w:rsid w:val="00EB23D1"/>
    <w:rsid w:val="00EB5438"/>
    <w:rsid w:val="00EB5A40"/>
    <w:rsid w:val="00EB632D"/>
    <w:rsid w:val="00EC0CAE"/>
    <w:rsid w:val="00EC1E74"/>
    <w:rsid w:val="00EC29E3"/>
    <w:rsid w:val="00EC3954"/>
    <w:rsid w:val="00EC3B91"/>
    <w:rsid w:val="00EC536C"/>
    <w:rsid w:val="00EC5C6D"/>
    <w:rsid w:val="00EC7614"/>
    <w:rsid w:val="00ED24F6"/>
    <w:rsid w:val="00ED42E9"/>
    <w:rsid w:val="00ED4D6D"/>
    <w:rsid w:val="00ED549E"/>
    <w:rsid w:val="00ED5DD0"/>
    <w:rsid w:val="00ED6493"/>
    <w:rsid w:val="00EE07AB"/>
    <w:rsid w:val="00EE1CA9"/>
    <w:rsid w:val="00EE2528"/>
    <w:rsid w:val="00EE42D9"/>
    <w:rsid w:val="00EE61A2"/>
    <w:rsid w:val="00EE67B3"/>
    <w:rsid w:val="00EF450E"/>
    <w:rsid w:val="00EF5AB0"/>
    <w:rsid w:val="00EF5FCF"/>
    <w:rsid w:val="00EF7F01"/>
    <w:rsid w:val="00F002FD"/>
    <w:rsid w:val="00F00FA4"/>
    <w:rsid w:val="00F04BB4"/>
    <w:rsid w:val="00F0520E"/>
    <w:rsid w:val="00F0749C"/>
    <w:rsid w:val="00F07B02"/>
    <w:rsid w:val="00F1122D"/>
    <w:rsid w:val="00F11E18"/>
    <w:rsid w:val="00F12F0A"/>
    <w:rsid w:val="00F1309A"/>
    <w:rsid w:val="00F1316E"/>
    <w:rsid w:val="00F14086"/>
    <w:rsid w:val="00F170E5"/>
    <w:rsid w:val="00F17881"/>
    <w:rsid w:val="00F22AD1"/>
    <w:rsid w:val="00F252E5"/>
    <w:rsid w:val="00F31273"/>
    <w:rsid w:val="00F35112"/>
    <w:rsid w:val="00F359CF"/>
    <w:rsid w:val="00F37C0F"/>
    <w:rsid w:val="00F40B9D"/>
    <w:rsid w:val="00F42911"/>
    <w:rsid w:val="00F45494"/>
    <w:rsid w:val="00F4565A"/>
    <w:rsid w:val="00F469E6"/>
    <w:rsid w:val="00F5292A"/>
    <w:rsid w:val="00F553F6"/>
    <w:rsid w:val="00F56A78"/>
    <w:rsid w:val="00F57411"/>
    <w:rsid w:val="00F57B71"/>
    <w:rsid w:val="00F60BA5"/>
    <w:rsid w:val="00F60C77"/>
    <w:rsid w:val="00F62932"/>
    <w:rsid w:val="00F72676"/>
    <w:rsid w:val="00F73449"/>
    <w:rsid w:val="00F739E7"/>
    <w:rsid w:val="00F7578B"/>
    <w:rsid w:val="00F77F0D"/>
    <w:rsid w:val="00F80EFB"/>
    <w:rsid w:val="00F810D0"/>
    <w:rsid w:val="00F831AE"/>
    <w:rsid w:val="00F84A34"/>
    <w:rsid w:val="00F85539"/>
    <w:rsid w:val="00F8650E"/>
    <w:rsid w:val="00F8762F"/>
    <w:rsid w:val="00F876F0"/>
    <w:rsid w:val="00F87731"/>
    <w:rsid w:val="00F90633"/>
    <w:rsid w:val="00F91004"/>
    <w:rsid w:val="00F93048"/>
    <w:rsid w:val="00F93263"/>
    <w:rsid w:val="00F95057"/>
    <w:rsid w:val="00FA0842"/>
    <w:rsid w:val="00FA20BA"/>
    <w:rsid w:val="00FA604B"/>
    <w:rsid w:val="00FA718F"/>
    <w:rsid w:val="00FA79F7"/>
    <w:rsid w:val="00FB11B7"/>
    <w:rsid w:val="00FB3E26"/>
    <w:rsid w:val="00FB4301"/>
    <w:rsid w:val="00FD21C1"/>
    <w:rsid w:val="00FD3267"/>
    <w:rsid w:val="00FE109F"/>
    <w:rsid w:val="00FE1C2C"/>
    <w:rsid w:val="00FE3F74"/>
    <w:rsid w:val="00FE455B"/>
    <w:rsid w:val="00FE4A2D"/>
    <w:rsid w:val="00FE5790"/>
    <w:rsid w:val="00FE5B33"/>
    <w:rsid w:val="00FF41C9"/>
    <w:rsid w:val="00FF4C65"/>
    <w:rsid w:val="00FF5931"/>
    <w:rsid w:val="00FF60D6"/>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1"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iPriority="0" w:unhideWhenUsed="1"/>
    <w:lsdException w:name="caption" w:uiPriority="35" w:qFormat="1"/>
    <w:lsdException w:name="table of figures" w:unhideWhenUsed="1"/>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qFormat/>
    <w:rsid w:val="00A55C29"/>
    <w:rPr>
      <w:sz w:val="24"/>
      <w:szCs w:val="24"/>
      <w:lang w:val="en-AU" w:eastAsia="en-AU"/>
    </w:rPr>
  </w:style>
  <w:style w:type="paragraph" w:styleId="Heading1">
    <w:name w:val="heading 1"/>
    <w:next w:val="Text"/>
    <w:link w:val="Heading1Char"/>
    <w:qFormat/>
    <w:rsid w:val="009A6CB6"/>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qFormat/>
    <w:rsid w:val="009A6CB6"/>
    <w:pPr>
      <w:keepNext/>
      <w:spacing w:before="360"/>
      <w:ind w:right="-369"/>
      <w:outlineLvl w:val="1"/>
    </w:pPr>
    <w:rPr>
      <w:rFonts w:ascii="Tahoma" w:hAnsi="Tahoma" w:cs="Tahoma"/>
      <w:sz w:val="28"/>
      <w:lang w:val="en-AU"/>
    </w:rPr>
  </w:style>
  <w:style w:type="paragraph" w:styleId="Heading3">
    <w:name w:val="heading 3"/>
    <w:next w:val="Text"/>
    <w:link w:val="Heading3Char"/>
    <w:qFormat/>
    <w:rsid w:val="009A6CB6"/>
    <w:pPr>
      <w:spacing w:before="280" w:line="320" w:lineRule="exact"/>
      <w:outlineLvl w:val="2"/>
    </w:pPr>
    <w:rPr>
      <w:rFonts w:ascii="Tahoma" w:hAnsi="Tahoma" w:cs="Tahoma"/>
      <w:color w:val="000000"/>
      <w:sz w:val="24"/>
      <w:lang w:val="en-AU"/>
    </w:rPr>
  </w:style>
  <w:style w:type="paragraph" w:styleId="Heading4">
    <w:name w:val="heading 4"/>
    <w:next w:val="Text"/>
    <w:qFormat/>
    <w:rsid w:val="009A6CB6"/>
    <w:pPr>
      <w:spacing w:before="240"/>
      <w:outlineLvl w:val="3"/>
    </w:pPr>
    <w:rPr>
      <w:rFonts w:ascii="Tahoma" w:hAnsi="Tahoma"/>
      <w:i/>
      <w:sz w:val="22"/>
      <w:lang w:val="en-AU"/>
    </w:rPr>
  </w:style>
  <w:style w:type="paragraph" w:styleId="Heading5">
    <w:name w:val="heading 5"/>
    <w:basedOn w:val="Normal"/>
    <w:next w:val="Normal"/>
    <w:qFormat/>
    <w:rsid w:val="009A6CB6"/>
    <w:pPr>
      <w:keepNext/>
      <w:spacing w:before="160" w:line="260" w:lineRule="exact"/>
      <w:outlineLvl w:val="4"/>
    </w:pPr>
    <w:rPr>
      <w:rFonts w:ascii="Tahoma" w:hAnsi="Tahoma"/>
      <w:b/>
      <w:sz w:val="19"/>
      <w:szCs w:val="20"/>
      <w:lang w:eastAsia="en-US"/>
    </w:rPr>
  </w:style>
  <w:style w:type="paragraph" w:styleId="Heading6">
    <w:name w:val="heading 6"/>
    <w:basedOn w:val="Normal"/>
    <w:next w:val="Normal"/>
    <w:qFormat/>
    <w:rsid w:val="009A6CB6"/>
    <w:pPr>
      <w:keepNext/>
      <w:spacing w:before="160" w:line="260" w:lineRule="exact"/>
      <w:ind w:left="2977"/>
      <w:outlineLvl w:val="5"/>
    </w:pPr>
    <w:rPr>
      <w:rFonts w:ascii="Tahoma" w:hAnsi="Tahoma"/>
      <w:sz w:val="20"/>
      <w:szCs w:val="20"/>
      <w:lang w:eastAsia="en-US"/>
    </w:rPr>
  </w:style>
  <w:style w:type="paragraph" w:styleId="Heading7">
    <w:name w:val="heading 7"/>
    <w:basedOn w:val="Normal"/>
    <w:next w:val="Normal"/>
    <w:qFormat/>
    <w:rsid w:val="009A6CB6"/>
    <w:pPr>
      <w:keepNext/>
      <w:spacing w:before="160" w:line="260" w:lineRule="exact"/>
      <w:jc w:val="center"/>
      <w:outlineLvl w:val="6"/>
    </w:pPr>
    <w:rPr>
      <w:rFonts w:ascii="Tahoma" w:hAnsi="Tahoma"/>
      <w:spacing w:val="20"/>
      <w:sz w:val="20"/>
      <w:szCs w:val="20"/>
      <w:lang w:eastAsia="en-US"/>
    </w:rPr>
  </w:style>
  <w:style w:type="paragraph" w:styleId="Heading8">
    <w:name w:val="heading 8"/>
    <w:basedOn w:val="Normal"/>
    <w:next w:val="Normal"/>
    <w:qFormat/>
    <w:rsid w:val="009A6CB6"/>
    <w:pPr>
      <w:keepNext/>
      <w:spacing w:before="160" w:line="260" w:lineRule="exact"/>
      <w:jc w:val="center"/>
      <w:outlineLvl w:val="7"/>
    </w:pPr>
    <w:rPr>
      <w:rFonts w:ascii="Tahoma" w:hAnsi="Tahoma"/>
      <w:color w:val="C0C0C0"/>
      <w:spacing w:val="6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A6CB6"/>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9A6CB6"/>
    <w:rPr>
      <w:rFonts w:ascii="Tahoma" w:hAnsi="Tahoma"/>
      <w:sz w:val="18"/>
    </w:rPr>
  </w:style>
  <w:style w:type="paragraph" w:styleId="Footer">
    <w:name w:val="footer"/>
    <w:basedOn w:val="Normal"/>
    <w:rsid w:val="009A6CB6"/>
    <w:pPr>
      <w:tabs>
        <w:tab w:val="right" w:pos="8505"/>
      </w:tabs>
      <w:spacing w:line="260" w:lineRule="exact"/>
    </w:pPr>
    <w:rPr>
      <w:rFonts w:ascii="Tahoma" w:hAnsi="Tahoma"/>
      <w:sz w:val="17"/>
      <w:szCs w:val="17"/>
      <w:lang w:eastAsia="en-US"/>
    </w:rPr>
  </w:style>
  <w:style w:type="paragraph" w:styleId="TOC1">
    <w:name w:val="toc 1"/>
    <w:uiPriority w:val="39"/>
    <w:rsid w:val="009A6CB6"/>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9A6CB6"/>
    <w:pPr>
      <w:tabs>
        <w:tab w:val="right" w:pos="6804"/>
      </w:tabs>
      <w:spacing w:before="20" w:after="20" w:line="300" w:lineRule="exact"/>
      <w:ind w:left="284"/>
    </w:pPr>
    <w:rPr>
      <w:rFonts w:ascii="Trebuchet MS" w:hAnsi="Trebuchet MS"/>
      <w:noProof/>
      <w:color w:val="000000"/>
      <w:sz w:val="18"/>
      <w:szCs w:val="18"/>
      <w:lang w:eastAsia="en-US"/>
    </w:rPr>
  </w:style>
  <w:style w:type="paragraph" w:customStyle="1" w:styleId="tabletitle">
    <w:name w:val="tabletitle"/>
    <w:next w:val="Text"/>
    <w:rsid w:val="009A6CB6"/>
    <w:pPr>
      <w:spacing w:before="360" w:after="80"/>
      <w:ind w:left="851" w:hanging="851"/>
    </w:pPr>
    <w:rPr>
      <w:rFonts w:ascii="Tahoma" w:hAnsi="Tahoma"/>
      <w:b/>
      <w:sz w:val="17"/>
      <w:lang w:val="en-AU"/>
    </w:rPr>
  </w:style>
  <w:style w:type="paragraph" w:customStyle="1" w:styleId="Tabletext">
    <w:name w:val="Table text"/>
    <w:next w:val="Text"/>
    <w:rsid w:val="009A6CB6"/>
    <w:pPr>
      <w:spacing w:before="40" w:after="40"/>
    </w:pPr>
    <w:rPr>
      <w:rFonts w:ascii="Arial" w:hAnsi="Arial"/>
      <w:sz w:val="16"/>
      <w:lang w:val="en-AU"/>
    </w:rPr>
  </w:style>
  <w:style w:type="paragraph" w:customStyle="1" w:styleId="Tablehead1">
    <w:name w:val="Tablehead1"/>
    <w:rsid w:val="009A6CB6"/>
    <w:pPr>
      <w:spacing w:before="80" w:after="80"/>
    </w:pPr>
    <w:rPr>
      <w:rFonts w:ascii="Arial" w:hAnsi="Arial"/>
      <w:b/>
      <w:sz w:val="17"/>
      <w:lang w:val="en-AU"/>
    </w:rPr>
  </w:style>
  <w:style w:type="paragraph" w:styleId="Quote">
    <w:name w:val="Quote"/>
    <w:basedOn w:val="Text"/>
    <w:qFormat/>
    <w:rsid w:val="009A6CB6"/>
    <w:pPr>
      <w:tabs>
        <w:tab w:val="right" w:pos="7853"/>
      </w:tabs>
      <w:spacing w:before="80"/>
      <w:ind w:left="567" w:right="652"/>
    </w:pPr>
    <w:rPr>
      <w:sz w:val="17"/>
    </w:rPr>
  </w:style>
  <w:style w:type="paragraph" w:customStyle="1" w:styleId="References">
    <w:name w:val="References"/>
    <w:rsid w:val="00D33709"/>
    <w:pPr>
      <w:spacing w:before="80"/>
      <w:ind w:left="284" w:hanging="284"/>
    </w:pPr>
    <w:rPr>
      <w:rFonts w:ascii="Trebuchet MS" w:hAnsi="Trebuchet MS"/>
      <w:sz w:val="18"/>
      <w:lang w:val="en-AU"/>
    </w:rPr>
  </w:style>
  <w:style w:type="paragraph" w:customStyle="1" w:styleId="Tablehead2">
    <w:name w:val="Tablehead2"/>
    <w:basedOn w:val="Tablehead1"/>
    <w:rsid w:val="009A6CB6"/>
    <w:pPr>
      <w:tabs>
        <w:tab w:val="left" w:pos="992"/>
      </w:tabs>
      <w:spacing w:before="20" w:after="20"/>
    </w:pPr>
    <w:rPr>
      <w:b w:val="0"/>
    </w:rPr>
  </w:style>
  <w:style w:type="paragraph" w:customStyle="1" w:styleId="Tablehead3">
    <w:name w:val="Tablehead3"/>
    <w:basedOn w:val="Tablehead2"/>
    <w:rsid w:val="009A6CB6"/>
    <w:rPr>
      <w:i/>
    </w:rPr>
  </w:style>
  <w:style w:type="paragraph" w:styleId="TableofFigures">
    <w:name w:val="table of figures"/>
    <w:basedOn w:val="TOC1"/>
    <w:next w:val="Normal"/>
    <w:uiPriority w:val="99"/>
    <w:rsid w:val="00854FD5"/>
    <w:pPr>
      <w:spacing w:before="80"/>
      <w:ind w:left="425" w:right="1985" w:hanging="425"/>
    </w:pPr>
  </w:style>
  <w:style w:type="paragraph" w:customStyle="1" w:styleId="Imprint">
    <w:name w:val="Imprint"/>
    <w:basedOn w:val="Normal"/>
    <w:rsid w:val="009A6CB6"/>
    <w:pPr>
      <w:spacing w:before="160" w:line="260" w:lineRule="atLeast"/>
    </w:pPr>
    <w:rPr>
      <w:rFonts w:ascii="Trebuchet MS" w:hAnsi="Trebuchet MS"/>
      <w:sz w:val="16"/>
      <w:szCs w:val="20"/>
      <w:lang w:eastAsia="en-US"/>
    </w:rPr>
  </w:style>
  <w:style w:type="paragraph" w:customStyle="1" w:styleId="Figuretitle">
    <w:name w:val="Figuretitle"/>
    <w:basedOn w:val="tabletitle"/>
    <w:rsid w:val="009A6CB6"/>
  </w:style>
  <w:style w:type="paragraph" w:customStyle="1" w:styleId="Dotpoint1">
    <w:name w:val="Dotpoint1"/>
    <w:rsid w:val="00CB1E3E"/>
    <w:pPr>
      <w:numPr>
        <w:numId w:val="22"/>
      </w:numPr>
      <w:tabs>
        <w:tab w:val="left" w:pos="284"/>
      </w:tabs>
      <w:spacing w:before="80" w:line="300" w:lineRule="exact"/>
      <w:ind w:left="284" w:hanging="284"/>
    </w:pPr>
    <w:rPr>
      <w:rFonts w:ascii="Trebuchet MS" w:hAnsi="Trebuchet MS"/>
      <w:color w:val="000000"/>
      <w:sz w:val="19"/>
      <w:lang w:val="en-AU"/>
    </w:rPr>
  </w:style>
  <w:style w:type="paragraph" w:customStyle="1" w:styleId="Dotpoint2">
    <w:name w:val="Dotpoint2"/>
    <w:basedOn w:val="Dotpoint1"/>
    <w:rsid w:val="009A6CB6"/>
    <w:pPr>
      <w:numPr>
        <w:numId w:val="23"/>
      </w:numPr>
      <w:tabs>
        <w:tab w:val="clear" w:pos="284"/>
        <w:tab w:val="left" w:pos="567"/>
      </w:tabs>
    </w:pPr>
  </w:style>
  <w:style w:type="paragraph" w:customStyle="1" w:styleId="NumberedListContinuing">
    <w:name w:val="NumberedListContinuing"/>
    <w:rsid w:val="00520315"/>
    <w:pPr>
      <w:numPr>
        <w:numId w:val="3"/>
      </w:numPr>
      <w:spacing w:before="120" w:line="300" w:lineRule="exact"/>
    </w:pPr>
    <w:rPr>
      <w:rFonts w:ascii="Trebuchet MS" w:hAnsi="Trebuchet MS"/>
      <w:sz w:val="19"/>
      <w:lang w:val="en-AU" w:eastAsia="en-AU"/>
    </w:rPr>
  </w:style>
  <w:style w:type="paragraph" w:customStyle="1" w:styleId="Source">
    <w:name w:val="Source"/>
    <w:rsid w:val="009A6CB6"/>
    <w:pPr>
      <w:spacing w:before="40"/>
      <w:ind w:left="567" w:hanging="567"/>
    </w:pPr>
    <w:rPr>
      <w:rFonts w:ascii="Arial" w:hAnsi="Arial"/>
      <w:sz w:val="15"/>
      <w:lang w:val="en-AU"/>
    </w:rPr>
  </w:style>
  <w:style w:type="paragraph" w:styleId="FootnoteText">
    <w:name w:val="footnote text"/>
    <w:basedOn w:val="Text"/>
    <w:link w:val="FootnoteTextChar"/>
    <w:rsid w:val="009A6CB6"/>
    <w:pPr>
      <w:tabs>
        <w:tab w:val="left" w:pos="170"/>
      </w:tabs>
      <w:spacing w:before="0" w:line="220" w:lineRule="exact"/>
      <w:ind w:left="170" w:right="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9A6CB6"/>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9A6CB6"/>
    <w:pPr>
      <w:tabs>
        <w:tab w:val="center" w:pos="4513"/>
        <w:tab w:val="right" w:pos="9026"/>
      </w:tabs>
    </w:pPr>
    <w:rPr>
      <w:rFonts w:ascii="Trebuchet MS" w:hAnsi="Trebuchet MS"/>
      <w:sz w:val="19"/>
      <w:szCs w:val="20"/>
      <w:lang w:eastAsia="en-US"/>
    </w:r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9A6CB6"/>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rPr>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rPr>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after="120"/>
      <w:ind w:left="283"/>
    </w:pPr>
    <w:rPr>
      <w:sz w:val="22"/>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9A6CB6"/>
    <w:pPr>
      <w:ind w:left="1701" w:right="-1"/>
    </w:pPr>
    <w:rPr>
      <w:rFonts w:ascii="Tahoma" w:hAnsi="Tahoma" w:cs="Tahoma"/>
      <w:sz w:val="28"/>
      <w:lang w:val="en-AU"/>
    </w:rPr>
  </w:style>
  <w:style w:type="paragraph" w:customStyle="1" w:styleId="Contents">
    <w:name w:val="Contents"/>
    <w:qFormat/>
    <w:rsid w:val="009A6CB6"/>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9A6CB6"/>
    <w:pPr>
      <w:spacing w:before="360"/>
    </w:pPr>
    <w:rPr>
      <w:rFonts w:ascii="Tahoma" w:hAnsi="Tahoma" w:cs="Tahoma"/>
      <w:i/>
      <w:sz w:val="28"/>
      <w:lang w:val="en-AU"/>
    </w:rPr>
  </w:style>
  <w:style w:type="paragraph" w:customStyle="1" w:styleId="Abouttheresearch">
    <w:name w:val="About the research"/>
    <w:uiPriority w:val="1"/>
    <w:qFormat/>
    <w:rsid w:val="009A6CB6"/>
    <w:rPr>
      <w:rFonts w:ascii="Tahoma" w:hAnsi="Tahoma" w:cs="Tahoma"/>
      <w:color w:val="000000"/>
      <w:kern w:val="28"/>
      <w:sz w:val="56"/>
      <w:szCs w:val="56"/>
      <w:lang w:val="en-AU"/>
    </w:rPr>
  </w:style>
  <w:style w:type="paragraph" w:customStyle="1" w:styleId="Keymessages">
    <w:name w:val="Key messages"/>
    <w:uiPriority w:val="1"/>
    <w:qFormat/>
    <w:rsid w:val="009A6CB6"/>
    <w:pPr>
      <w:spacing w:before="360"/>
    </w:pPr>
    <w:rPr>
      <w:rFonts w:ascii="Tahoma" w:hAnsi="Tahoma" w:cs="Tahoma"/>
      <w:sz w:val="28"/>
      <w:lang w:val="en-AU"/>
    </w:rPr>
  </w:style>
  <w:style w:type="paragraph" w:customStyle="1" w:styleId="Organisation">
    <w:name w:val="Organisation"/>
    <w:basedOn w:val="Authors"/>
    <w:uiPriority w:val="1"/>
    <w:qFormat/>
    <w:rsid w:val="009A6CB6"/>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NumberedAlphaLevel2">
    <w:name w:val="NumberedAlphaLevel2"/>
    <w:basedOn w:val="NumberedListContinuing"/>
    <w:uiPriority w:val="1"/>
    <w:qFormat/>
    <w:rsid w:val="00ED24F6"/>
    <w:pPr>
      <w:numPr>
        <w:ilvl w:val="1"/>
      </w:numPr>
      <w:tabs>
        <w:tab w:val="clear" w:pos="1440"/>
        <w:tab w:val="num" w:pos="567"/>
      </w:tabs>
      <w:ind w:left="567" w:hanging="283"/>
    </w:pPr>
  </w:style>
  <w:style w:type="character" w:styleId="FootnoteReference">
    <w:name w:val="footnote reference"/>
    <w:basedOn w:val="DefaultParagraphFont"/>
    <w:uiPriority w:val="99"/>
    <w:rsid w:val="00F1122D"/>
    <w:rPr>
      <w:vertAlign w:val="superscript"/>
    </w:rPr>
  </w:style>
  <w:style w:type="character" w:customStyle="1" w:styleId="FootnoteTextChar">
    <w:name w:val="Footnote Text Char"/>
    <w:basedOn w:val="DefaultParagraphFont"/>
    <w:link w:val="FootnoteText"/>
    <w:rsid w:val="00B32221"/>
    <w:rPr>
      <w:rFonts w:ascii="Trebuchet MS" w:hAnsi="Trebuchet MS"/>
      <w:sz w:val="16"/>
      <w:lang w:val="en-AU"/>
    </w:rPr>
  </w:style>
  <w:style w:type="character" w:customStyle="1" w:styleId="Heading2Char">
    <w:name w:val="Heading 2 Char"/>
    <w:basedOn w:val="DefaultParagraphFont"/>
    <w:link w:val="Heading2"/>
    <w:rsid w:val="00D646E2"/>
    <w:rPr>
      <w:rFonts w:ascii="Tahoma" w:hAnsi="Tahoma" w:cs="Tahoma"/>
      <w:sz w:val="28"/>
      <w:lang w:val="en-AU"/>
    </w:rPr>
  </w:style>
  <w:style w:type="paragraph" w:customStyle="1" w:styleId="AIHWbodytext">
    <w:name w:val="AIHW body text"/>
    <w:basedOn w:val="Normal"/>
    <w:link w:val="AIHWbodytextChar"/>
    <w:qFormat/>
    <w:rsid w:val="003049AC"/>
    <w:pPr>
      <w:spacing w:before="60" w:after="120" w:line="260" w:lineRule="atLeast"/>
    </w:pPr>
    <w:rPr>
      <w:rFonts w:ascii="Book Antiqua" w:hAnsi="Book Antiqua"/>
      <w:color w:val="000000"/>
      <w:sz w:val="22"/>
      <w:szCs w:val="20"/>
      <w:lang w:eastAsia="en-US"/>
    </w:rPr>
  </w:style>
  <w:style w:type="character" w:customStyle="1" w:styleId="AIHWbodytextChar">
    <w:name w:val="AIHW body text Char"/>
    <w:link w:val="AIHWbodytext"/>
    <w:locked/>
    <w:rsid w:val="003049AC"/>
    <w:rPr>
      <w:rFonts w:ascii="Book Antiqua" w:hAnsi="Book Antiqua"/>
      <w:color w:val="000000"/>
      <w:sz w:val="22"/>
    </w:rPr>
  </w:style>
  <w:style w:type="character" w:customStyle="1" w:styleId="A1">
    <w:name w:val="A1"/>
    <w:uiPriority w:val="99"/>
    <w:rsid w:val="003049AC"/>
    <w:rPr>
      <w:rFonts w:cs="RotisSemiSans"/>
      <w:b/>
      <w:bCs/>
      <w:color w:val="000000"/>
      <w:sz w:val="48"/>
      <w:szCs w:val="48"/>
    </w:rPr>
  </w:style>
  <w:style w:type="character" w:styleId="CommentReference">
    <w:name w:val="annotation reference"/>
    <w:basedOn w:val="DefaultParagraphFont"/>
    <w:uiPriority w:val="99"/>
    <w:semiHidden/>
    <w:rsid w:val="004E68F7"/>
    <w:rPr>
      <w:sz w:val="16"/>
      <w:szCs w:val="16"/>
    </w:rPr>
  </w:style>
  <w:style w:type="paragraph" w:styleId="CommentText">
    <w:name w:val="annotation text"/>
    <w:basedOn w:val="Normal"/>
    <w:link w:val="CommentTextChar"/>
    <w:uiPriority w:val="99"/>
    <w:semiHidden/>
    <w:rsid w:val="004E68F7"/>
    <w:rPr>
      <w:sz w:val="20"/>
      <w:szCs w:val="20"/>
    </w:rPr>
  </w:style>
  <w:style w:type="character" w:customStyle="1" w:styleId="CommentTextChar">
    <w:name w:val="Comment Text Char"/>
    <w:basedOn w:val="DefaultParagraphFont"/>
    <w:link w:val="CommentText"/>
    <w:uiPriority w:val="99"/>
    <w:semiHidden/>
    <w:rsid w:val="004E68F7"/>
    <w:rPr>
      <w:lang w:val="en-AU" w:eastAsia="en-AU"/>
    </w:rPr>
  </w:style>
  <w:style w:type="paragraph" w:styleId="CommentSubject">
    <w:name w:val="annotation subject"/>
    <w:basedOn w:val="CommentText"/>
    <w:next w:val="CommentText"/>
    <w:link w:val="CommentSubjectChar"/>
    <w:uiPriority w:val="99"/>
    <w:semiHidden/>
    <w:rsid w:val="004E68F7"/>
    <w:rPr>
      <w:b/>
      <w:bCs/>
    </w:rPr>
  </w:style>
  <w:style w:type="character" w:customStyle="1" w:styleId="CommentSubjectChar">
    <w:name w:val="Comment Subject Char"/>
    <w:basedOn w:val="CommentTextChar"/>
    <w:link w:val="CommentSubject"/>
    <w:uiPriority w:val="99"/>
    <w:semiHidden/>
    <w:rsid w:val="004E68F7"/>
    <w:rPr>
      <w:b/>
      <w:bCs/>
      <w:lang w:val="en-AU" w:eastAsia="en-AU"/>
    </w:rPr>
  </w:style>
  <w:style w:type="paragraph" w:customStyle="1" w:styleId="Textmorebefore">
    <w:name w:val="Text more # before"/>
    <w:basedOn w:val="Text"/>
    <w:uiPriority w:val="1"/>
    <w:qFormat/>
    <w:rsid w:val="003C4074"/>
    <w:pPr>
      <w:spacing w:before="360"/>
      <w:ind w:right="0"/>
    </w:pPr>
  </w:style>
  <w:style w:type="paragraph" w:customStyle="1" w:styleId="boxparastyle">
    <w:name w:val="box para style"/>
    <w:basedOn w:val="Tabletext"/>
    <w:uiPriority w:val="1"/>
    <w:qFormat/>
    <w:rsid w:val="00AD1707"/>
    <w:pPr>
      <w:tabs>
        <w:tab w:val="right" w:pos="8335"/>
      </w:tabs>
      <w:spacing w:before="80" w:line="220" w:lineRule="exact"/>
    </w:pPr>
    <w:rPr>
      <w:szCs w:val="16"/>
    </w:rPr>
  </w:style>
  <w:style w:type="paragraph" w:customStyle="1" w:styleId="Textlessbefore">
    <w:name w:val="Text less # before"/>
    <w:basedOn w:val="Text"/>
    <w:uiPriority w:val="1"/>
    <w:qFormat/>
    <w:rsid w:val="00531D3F"/>
    <w:pPr>
      <w:spacing w:before="80"/>
      <w:ind w:right="0"/>
    </w:pPr>
  </w:style>
  <w:style w:type="character" w:customStyle="1" w:styleId="Heading1Char">
    <w:name w:val="Heading 1 Char"/>
    <w:basedOn w:val="DefaultParagraphFont"/>
    <w:link w:val="Heading1"/>
    <w:rsid w:val="008A2E28"/>
    <w:rPr>
      <w:rFonts w:ascii="Tahoma" w:hAnsi="Tahoma" w:cs="Tahoma"/>
      <w:color w:val="000000"/>
      <w:kern w:val="28"/>
      <w:sz w:val="56"/>
      <w:szCs w:val="56"/>
      <w:lang w:val="en-AU"/>
    </w:rPr>
  </w:style>
  <w:style w:type="paragraph" w:customStyle="1" w:styleId="i">
    <w:name w:val="i"/>
    <w:basedOn w:val="Heading3"/>
    <w:rsid w:val="00F252E5"/>
    <w:rPr>
      <w:rFonts w:ascii="Trebuchet MS" w:hAnsi="Trebuchet MS"/>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1" w:qFormat="1"/>
    <w:lsdException w:name="heading 1" w:semiHidden="0" w:uiPriority="9"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11"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qFormat/>
    <w:rsid w:val="000A06E5"/>
    <w:rPr>
      <w:sz w:val="24"/>
      <w:szCs w:val="24"/>
      <w:lang w:val="en-AU" w:eastAsia="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4"/>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0"/>
      </w:numPr>
      <w:tabs>
        <w:tab w:val="clear" w:pos="284"/>
        <w:tab w:val="left" w:pos="567"/>
        <w:tab w:val="num" w:pos="720"/>
      </w:tabs>
      <w:ind w:left="568" w:hanging="284"/>
    </w:pPr>
  </w:style>
  <w:style w:type="paragraph" w:customStyle="1" w:styleId="NumberedListContinuing">
    <w:name w:val="NumberedListContinuing"/>
    <w:rsid w:val="00520315"/>
    <w:pPr>
      <w:tabs>
        <w:tab w:val="num" w:pos="720"/>
      </w:tabs>
      <w:spacing w:before="120" w:line="300" w:lineRule="exact"/>
      <w:ind w:left="720" w:hanging="720"/>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link w:val="FootnoteTextChar"/>
    <w:uiPriority w:val="99"/>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iPriority w:val="11"/>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rPr>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rPr>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after="120"/>
      <w:ind w:left="283"/>
    </w:pPr>
    <w:rPr>
      <w:sz w:val="22"/>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NumberedAlphaLevel2">
    <w:name w:val="NumberedAlphaLevel2"/>
    <w:basedOn w:val="NumberedListContinuing"/>
    <w:uiPriority w:val="1"/>
    <w:qFormat/>
    <w:rsid w:val="00ED24F6"/>
    <w:pPr>
      <w:numPr>
        <w:ilvl w:val="1"/>
      </w:numPr>
      <w:tabs>
        <w:tab w:val="num" w:pos="567"/>
        <w:tab w:val="num" w:pos="720"/>
      </w:tabs>
      <w:ind w:left="567" w:hanging="283"/>
    </w:pPr>
  </w:style>
  <w:style w:type="character" w:styleId="FootnoteReference">
    <w:name w:val="footnote reference"/>
    <w:basedOn w:val="DefaultParagraphFont"/>
    <w:uiPriority w:val="99"/>
    <w:rsid w:val="00F1122D"/>
    <w:rPr>
      <w:vertAlign w:val="superscript"/>
    </w:rPr>
  </w:style>
  <w:style w:type="character" w:customStyle="1" w:styleId="FootnoteTextChar">
    <w:name w:val="Footnote Text Char"/>
    <w:basedOn w:val="DefaultParagraphFont"/>
    <w:link w:val="FootnoteText"/>
    <w:uiPriority w:val="99"/>
    <w:rsid w:val="00B32221"/>
    <w:rPr>
      <w:rFonts w:ascii="Trebuchet MS" w:hAnsi="Trebuchet MS"/>
      <w:sz w:val="16"/>
      <w:lang w:val="en-AU"/>
    </w:rPr>
  </w:style>
  <w:style w:type="character" w:customStyle="1" w:styleId="Heading2Char">
    <w:name w:val="Heading 2 Char"/>
    <w:basedOn w:val="DefaultParagraphFont"/>
    <w:link w:val="Heading2"/>
    <w:rsid w:val="00D646E2"/>
    <w:rPr>
      <w:rFonts w:ascii="Tahoma" w:hAnsi="Tahoma" w:cs="Tahoma"/>
      <w:sz w:val="28"/>
      <w:lang w:val="en-AU"/>
    </w:rPr>
  </w:style>
  <w:style w:type="paragraph" w:customStyle="1" w:styleId="AIHWbodytext">
    <w:name w:val="AIHW body text"/>
    <w:basedOn w:val="Normal"/>
    <w:link w:val="AIHWbodytextChar"/>
    <w:qFormat/>
    <w:rsid w:val="003049AC"/>
    <w:pPr>
      <w:spacing w:before="60" w:after="120" w:line="260" w:lineRule="atLeast"/>
    </w:pPr>
    <w:rPr>
      <w:rFonts w:ascii="Book Antiqua" w:hAnsi="Book Antiqua"/>
      <w:color w:val="000000"/>
      <w:sz w:val="22"/>
      <w:szCs w:val="20"/>
      <w:lang w:eastAsia="en-US"/>
    </w:rPr>
  </w:style>
  <w:style w:type="character" w:customStyle="1" w:styleId="AIHWbodytextChar">
    <w:name w:val="AIHW body text Char"/>
    <w:link w:val="AIHWbodytext"/>
    <w:locked/>
    <w:rsid w:val="003049AC"/>
    <w:rPr>
      <w:rFonts w:ascii="Book Antiqua" w:hAnsi="Book Antiqua"/>
      <w:color w:val="000000"/>
      <w:sz w:val="22"/>
    </w:rPr>
  </w:style>
  <w:style w:type="character" w:customStyle="1" w:styleId="A1">
    <w:name w:val="A1"/>
    <w:uiPriority w:val="99"/>
    <w:rsid w:val="003049AC"/>
    <w:rPr>
      <w:rFonts w:cs="RotisSemiSans"/>
      <w:b/>
      <w:bCs/>
      <w:color w:val="000000"/>
      <w:sz w:val="48"/>
      <w:szCs w:val="48"/>
    </w:rPr>
  </w:style>
  <w:style w:type="character" w:styleId="CommentReference">
    <w:name w:val="annotation reference"/>
    <w:basedOn w:val="DefaultParagraphFont"/>
    <w:uiPriority w:val="99"/>
    <w:semiHidden/>
    <w:rsid w:val="004E68F7"/>
    <w:rPr>
      <w:sz w:val="16"/>
      <w:szCs w:val="16"/>
    </w:rPr>
  </w:style>
  <w:style w:type="paragraph" w:styleId="CommentText">
    <w:name w:val="annotation text"/>
    <w:basedOn w:val="Normal"/>
    <w:link w:val="CommentTextChar"/>
    <w:uiPriority w:val="99"/>
    <w:semiHidden/>
    <w:rsid w:val="004E68F7"/>
    <w:rPr>
      <w:sz w:val="20"/>
      <w:szCs w:val="20"/>
    </w:rPr>
  </w:style>
  <w:style w:type="character" w:customStyle="1" w:styleId="CommentTextChar">
    <w:name w:val="Comment Text Char"/>
    <w:basedOn w:val="DefaultParagraphFont"/>
    <w:link w:val="CommentText"/>
    <w:uiPriority w:val="99"/>
    <w:semiHidden/>
    <w:rsid w:val="004E68F7"/>
    <w:rPr>
      <w:lang w:val="en-AU" w:eastAsia="en-AU"/>
    </w:rPr>
  </w:style>
  <w:style w:type="paragraph" w:styleId="CommentSubject">
    <w:name w:val="annotation subject"/>
    <w:basedOn w:val="CommentText"/>
    <w:next w:val="CommentText"/>
    <w:link w:val="CommentSubjectChar"/>
    <w:uiPriority w:val="99"/>
    <w:semiHidden/>
    <w:rsid w:val="004E68F7"/>
    <w:rPr>
      <w:b/>
      <w:bCs/>
    </w:rPr>
  </w:style>
  <w:style w:type="character" w:customStyle="1" w:styleId="CommentSubjectChar">
    <w:name w:val="Comment Subject Char"/>
    <w:basedOn w:val="CommentTextChar"/>
    <w:link w:val="CommentSubject"/>
    <w:uiPriority w:val="99"/>
    <w:semiHidden/>
    <w:rsid w:val="004E68F7"/>
    <w:rPr>
      <w:b/>
      <w:bCs/>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490">
      <w:bodyDiv w:val="1"/>
      <w:marLeft w:val="0"/>
      <w:marRight w:val="0"/>
      <w:marTop w:val="0"/>
      <w:marBottom w:val="0"/>
      <w:divBdr>
        <w:top w:val="none" w:sz="0" w:space="0" w:color="auto"/>
        <w:left w:val="none" w:sz="0" w:space="0" w:color="auto"/>
        <w:bottom w:val="none" w:sz="0" w:space="0" w:color="auto"/>
        <w:right w:val="none" w:sz="0" w:space="0" w:color="auto"/>
      </w:divBdr>
    </w:div>
    <w:div w:id="169680752">
      <w:bodyDiv w:val="1"/>
      <w:marLeft w:val="0"/>
      <w:marRight w:val="0"/>
      <w:marTop w:val="0"/>
      <w:marBottom w:val="0"/>
      <w:divBdr>
        <w:top w:val="none" w:sz="0" w:space="0" w:color="auto"/>
        <w:left w:val="none" w:sz="0" w:space="0" w:color="auto"/>
        <w:bottom w:val="none" w:sz="0" w:space="0" w:color="auto"/>
        <w:right w:val="none" w:sz="0" w:space="0" w:color="auto"/>
      </w:divBdr>
    </w:div>
    <w:div w:id="236985458">
      <w:bodyDiv w:val="1"/>
      <w:marLeft w:val="0"/>
      <w:marRight w:val="0"/>
      <w:marTop w:val="0"/>
      <w:marBottom w:val="0"/>
      <w:divBdr>
        <w:top w:val="none" w:sz="0" w:space="0" w:color="auto"/>
        <w:left w:val="none" w:sz="0" w:space="0" w:color="auto"/>
        <w:bottom w:val="none" w:sz="0" w:space="0" w:color="auto"/>
        <w:right w:val="none" w:sz="0" w:space="0" w:color="auto"/>
      </w:divBdr>
    </w:div>
    <w:div w:id="238295224">
      <w:bodyDiv w:val="1"/>
      <w:marLeft w:val="0"/>
      <w:marRight w:val="0"/>
      <w:marTop w:val="0"/>
      <w:marBottom w:val="0"/>
      <w:divBdr>
        <w:top w:val="none" w:sz="0" w:space="0" w:color="auto"/>
        <w:left w:val="none" w:sz="0" w:space="0" w:color="auto"/>
        <w:bottom w:val="none" w:sz="0" w:space="0" w:color="auto"/>
        <w:right w:val="none" w:sz="0" w:space="0" w:color="auto"/>
      </w:divBdr>
    </w:div>
    <w:div w:id="242447971">
      <w:bodyDiv w:val="1"/>
      <w:marLeft w:val="0"/>
      <w:marRight w:val="0"/>
      <w:marTop w:val="0"/>
      <w:marBottom w:val="0"/>
      <w:divBdr>
        <w:top w:val="none" w:sz="0" w:space="0" w:color="auto"/>
        <w:left w:val="none" w:sz="0" w:space="0" w:color="auto"/>
        <w:bottom w:val="none" w:sz="0" w:space="0" w:color="auto"/>
        <w:right w:val="none" w:sz="0" w:space="0" w:color="auto"/>
      </w:divBdr>
    </w:div>
    <w:div w:id="253515701">
      <w:bodyDiv w:val="1"/>
      <w:marLeft w:val="0"/>
      <w:marRight w:val="0"/>
      <w:marTop w:val="0"/>
      <w:marBottom w:val="0"/>
      <w:divBdr>
        <w:top w:val="none" w:sz="0" w:space="0" w:color="auto"/>
        <w:left w:val="none" w:sz="0" w:space="0" w:color="auto"/>
        <w:bottom w:val="none" w:sz="0" w:space="0" w:color="auto"/>
        <w:right w:val="none" w:sz="0" w:space="0" w:color="auto"/>
      </w:divBdr>
    </w:div>
    <w:div w:id="258489480">
      <w:bodyDiv w:val="1"/>
      <w:marLeft w:val="0"/>
      <w:marRight w:val="0"/>
      <w:marTop w:val="0"/>
      <w:marBottom w:val="0"/>
      <w:divBdr>
        <w:top w:val="none" w:sz="0" w:space="0" w:color="auto"/>
        <w:left w:val="none" w:sz="0" w:space="0" w:color="auto"/>
        <w:bottom w:val="none" w:sz="0" w:space="0" w:color="auto"/>
        <w:right w:val="none" w:sz="0" w:space="0" w:color="auto"/>
      </w:divBdr>
    </w:div>
    <w:div w:id="420419132">
      <w:bodyDiv w:val="1"/>
      <w:marLeft w:val="0"/>
      <w:marRight w:val="0"/>
      <w:marTop w:val="0"/>
      <w:marBottom w:val="0"/>
      <w:divBdr>
        <w:top w:val="none" w:sz="0" w:space="0" w:color="auto"/>
        <w:left w:val="none" w:sz="0" w:space="0" w:color="auto"/>
        <w:bottom w:val="none" w:sz="0" w:space="0" w:color="auto"/>
        <w:right w:val="none" w:sz="0" w:space="0" w:color="auto"/>
      </w:divBdr>
    </w:div>
    <w:div w:id="469640477">
      <w:bodyDiv w:val="1"/>
      <w:marLeft w:val="0"/>
      <w:marRight w:val="0"/>
      <w:marTop w:val="0"/>
      <w:marBottom w:val="0"/>
      <w:divBdr>
        <w:top w:val="none" w:sz="0" w:space="0" w:color="auto"/>
        <w:left w:val="none" w:sz="0" w:space="0" w:color="auto"/>
        <w:bottom w:val="none" w:sz="0" w:space="0" w:color="auto"/>
        <w:right w:val="none" w:sz="0" w:space="0" w:color="auto"/>
      </w:divBdr>
    </w:div>
    <w:div w:id="493376726">
      <w:bodyDiv w:val="1"/>
      <w:marLeft w:val="0"/>
      <w:marRight w:val="0"/>
      <w:marTop w:val="0"/>
      <w:marBottom w:val="0"/>
      <w:divBdr>
        <w:top w:val="none" w:sz="0" w:space="0" w:color="auto"/>
        <w:left w:val="none" w:sz="0" w:space="0" w:color="auto"/>
        <w:bottom w:val="none" w:sz="0" w:space="0" w:color="auto"/>
        <w:right w:val="none" w:sz="0" w:space="0" w:color="auto"/>
      </w:divBdr>
    </w:div>
    <w:div w:id="544408919">
      <w:bodyDiv w:val="1"/>
      <w:marLeft w:val="0"/>
      <w:marRight w:val="0"/>
      <w:marTop w:val="0"/>
      <w:marBottom w:val="0"/>
      <w:divBdr>
        <w:top w:val="none" w:sz="0" w:space="0" w:color="auto"/>
        <w:left w:val="none" w:sz="0" w:space="0" w:color="auto"/>
        <w:bottom w:val="none" w:sz="0" w:space="0" w:color="auto"/>
        <w:right w:val="none" w:sz="0" w:space="0" w:color="auto"/>
      </w:divBdr>
    </w:div>
    <w:div w:id="703870864">
      <w:bodyDiv w:val="1"/>
      <w:marLeft w:val="0"/>
      <w:marRight w:val="0"/>
      <w:marTop w:val="0"/>
      <w:marBottom w:val="0"/>
      <w:divBdr>
        <w:top w:val="none" w:sz="0" w:space="0" w:color="auto"/>
        <w:left w:val="none" w:sz="0" w:space="0" w:color="auto"/>
        <w:bottom w:val="none" w:sz="0" w:space="0" w:color="auto"/>
        <w:right w:val="none" w:sz="0" w:space="0" w:color="auto"/>
      </w:divBdr>
    </w:div>
    <w:div w:id="714506176">
      <w:bodyDiv w:val="1"/>
      <w:marLeft w:val="0"/>
      <w:marRight w:val="0"/>
      <w:marTop w:val="0"/>
      <w:marBottom w:val="0"/>
      <w:divBdr>
        <w:top w:val="none" w:sz="0" w:space="0" w:color="auto"/>
        <w:left w:val="none" w:sz="0" w:space="0" w:color="auto"/>
        <w:bottom w:val="none" w:sz="0" w:space="0" w:color="auto"/>
        <w:right w:val="none" w:sz="0" w:space="0" w:color="auto"/>
      </w:divBdr>
    </w:div>
    <w:div w:id="735595031">
      <w:bodyDiv w:val="1"/>
      <w:marLeft w:val="0"/>
      <w:marRight w:val="0"/>
      <w:marTop w:val="0"/>
      <w:marBottom w:val="0"/>
      <w:divBdr>
        <w:top w:val="none" w:sz="0" w:space="0" w:color="auto"/>
        <w:left w:val="none" w:sz="0" w:space="0" w:color="auto"/>
        <w:bottom w:val="none" w:sz="0" w:space="0" w:color="auto"/>
        <w:right w:val="none" w:sz="0" w:space="0" w:color="auto"/>
      </w:divBdr>
    </w:div>
    <w:div w:id="736585332">
      <w:bodyDiv w:val="1"/>
      <w:marLeft w:val="0"/>
      <w:marRight w:val="0"/>
      <w:marTop w:val="0"/>
      <w:marBottom w:val="0"/>
      <w:divBdr>
        <w:top w:val="none" w:sz="0" w:space="0" w:color="auto"/>
        <w:left w:val="none" w:sz="0" w:space="0" w:color="auto"/>
        <w:bottom w:val="none" w:sz="0" w:space="0" w:color="auto"/>
        <w:right w:val="none" w:sz="0" w:space="0" w:color="auto"/>
      </w:divBdr>
    </w:div>
    <w:div w:id="786897166">
      <w:bodyDiv w:val="1"/>
      <w:marLeft w:val="0"/>
      <w:marRight w:val="0"/>
      <w:marTop w:val="0"/>
      <w:marBottom w:val="0"/>
      <w:divBdr>
        <w:top w:val="none" w:sz="0" w:space="0" w:color="auto"/>
        <w:left w:val="none" w:sz="0" w:space="0" w:color="auto"/>
        <w:bottom w:val="none" w:sz="0" w:space="0" w:color="auto"/>
        <w:right w:val="none" w:sz="0" w:space="0" w:color="auto"/>
      </w:divBdr>
    </w:div>
    <w:div w:id="877396858">
      <w:bodyDiv w:val="1"/>
      <w:marLeft w:val="0"/>
      <w:marRight w:val="0"/>
      <w:marTop w:val="0"/>
      <w:marBottom w:val="0"/>
      <w:divBdr>
        <w:top w:val="none" w:sz="0" w:space="0" w:color="auto"/>
        <w:left w:val="none" w:sz="0" w:space="0" w:color="auto"/>
        <w:bottom w:val="none" w:sz="0" w:space="0" w:color="auto"/>
        <w:right w:val="none" w:sz="0" w:space="0" w:color="auto"/>
      </w:divBdr>
    </w:div>
    <w:div w:id="880363628">
      <w:bodyDiv w:val="1"/>
      <w:marLeft w:val="0"/>
      <w:marRight w:val="0"/>
      <w:marTop w:val="0"/>
      <w:marBottom w:val="0"/>
      <w:divBdr>
        <w:top w:val="none" w:sz="0" w:space="0" w:color="auto"/>
        <w:left w:val="none" w:sz="0" w:space="0" w:color="auto"/>
        <w:bottom w:val="none" w:sz="0" w:space="0" w:color="auto"/>
        <w:right w:val="none" w:sz="0" w:space="0" w:color="auto"/>
      </w:divBdr>
    </w:div>
    <w:div w:id="919218175">
      <w:bodyDiv w:val="1"/>
      <w:marLeft w:val="0"/>
      <w:marRight w:val="0"/>
      <w:marTop w:val="0"/>
      <w:marBottom w:val="0"/>
      <w:divBdr>
        <w:top w:val="none" w:sz="0" w:space="0" w:color="auto"/>
        <w:left w:val="none" w:sz="0" w:space="0" w:color="auto"/>
        <w:bottom w:val="none" w:sz="0" w:space="0" w:color="auto"/>
        <w:right w:val="none" w:sz="0" w:space="0" w:color="auto"/>
      </w:divBdr>
    </w:div>
    <w:div w:id="933514343">
      <w:bodyDiv w:val="1"/>
      <w:marLeft w:val="0"/>
      <w:marRight w:val="0"/>
      <w:marTop w:val="0"/>
      <w:marBottom w:val="0"/>
      <w:divBdr>
        <w:top w:val="none" w:sz="0" w:space="0" w:color="auto"/>
        <w:left w:val="none" w:sz="0" w:space="0" w:color="auto"/>
        <w:bottom w:val="none" w:sz="0" w:space="0" w:color="auto"/>
        <w:right w:val="none" w:sz="0" w:space="0" w:color="auto"/>
      </w:divBdr>
    </w:div>
    <w:div w:id="992031122">
      <w:bodyDiv w:val="1"/>
      <w:marLeft w:val="0"/>
      <w:marRight w:val="0"/>
      <w:marTop w:val="0"/>
      <w:marBottom w:val="0"/>
      <w:divBdr>
        <w:top w:val="none" w:sz="0" w:space="0" w:color="auto"/>
        <w:left w:val="none" w:sz="0" w:space="0" w:color="auto"/>
        <w:bottom w:val="none" w:sz="0" w:space="0" w:color="auto"/>
        <w:right w:val="none" w:sz="0" w:space="0" w:color="auto"/>
      </w:divBdr>
    </w:div>
    <w:div w:id="1009023733">
      <w:bodyDiv w:val="1"/>
      <w:marLeft w:val="0"/>
      <w:marRight w:val="0"/>
      <w:marTop w:val="0"/>
      <w:marBottom w:val="0"/>
      <w:divBdr>
        <w:top w:val="none" w:sz="0" w:space="0" w:color="auto"/>
        <w:left w:val="none" w:sz="0" w:space="0" w:color="auto"/>
        <w:bottom w:val="none" w:sz="0" w:space="0" w:color="auto"/>
        <w:right w:val="none" w:sz="0" w:space="0" w:color="auto"/>
      </w:divBdr>
    </w:div>
    <w:div w:id="1119303718">
      <w:bodyDiv w:val="1"/>
      <w:marLeft w:val="0"/>
      <w:marRight w:val="0"/>
      <w:marTop w:val="0"/>
      <w:marBottom w:val="0"/>
      <w:divBdr>
        <w:top w:val="none" w:sz="0" w:space="0" w:color="auto"/>
        <w:left w:val="none" w:sz="0" w:space="0" w:color="auto"/>
        <w:bottom w:val="none" w:sz="0" w:space="0" w:color="auto"/>
        <w:right w:val="none" w:sz="0" w:space="0" w:color="auto"/>
      </w:divBdr>
    </w:div>
    <w:div w:id="1119690062">
      <w:bodyDiv w:val="1"/>
      <w:marLeft w:val="0"/>
      <w:marRight w:val="0"/>
      <w:marTop w:val="0"/>
      <w:marBottom w:val="0"/>
      <w:divBdr>
        <w:top w:val="none" w:sz="0" w:space="0" w:color="auto"/>
        <w:left w:val="none" w:sz="0" w:space="0" w:color="auto"/>
        <w:bottom w:val="none" w:sz="0" w:space="0" w:color="auto"/>
        <w:right w:val="none" w:sz="0" w:space="0" w:color="auto"/>
      </w:divBdr>
    </w:div>
    <w:div w:id="1207058810">
      <w:bodyDiv w:val="1"/>
      <w:marLeft w:val="0"/>
      <w:marRight w:val="0"/>
      <w:marTop w:val="0"/>
      <w:marBottom w:val="0"/>
      <w:divBdr>
        <w:top w:val="none" w:sz="0" w:space="0" w:color="auto"/>
        <w:left w:val="none" w:sz="0" w:space="0" w:color="auto"/>
        <w:bottom w:val="none" w:sz="0" w:space="0" w:color="auto"/>
        <w:right w:val="none" w:sz="0" w:space="0" w:color="auto"/>
      </w:divBdr>
    </w:div>
    <w:div w:id="1218669003">
      <w:bodyDiv w:val="1"/>
      <w:marLeft w:val="0"/>
      <w:marRight w:val="0"/>
      <w:marTop w:val="0"/>
      <w:marBottom w:val="0"/>
      <w:divBdr>
        <w:top w:val="none" w:sz="0" w:space="0" w:color="auto"/>
        <w:left w:val="none" w:sz="0" w:space="0" w:color="auto"/>
        <w:bottom w:val="none" w:sz="0" w:space="0" w:color="auto"/>
        <w:right w:val="none" w:sz="0" w:space="0" w:color="auto"/>
      </w:divBdr>
    </w:div>
    <w:div w:id="1240941393">
      <w:bodyDiv w:val="1"/>
      <w:marLeft w:val="0"/>
      <w:marRight w:val="0"/>
      <w:marTop w:val="0"/>
      <w:marBottom w:val="0"/>
      <w:divBdr>
        <w:top w:val="none" w:sz="0" w:space="0" w:color="auto"/>
        <w:left w:val="none" w:sz="0" w:space="0" w:color="auto"/>
        <w:bottom w:val="none" w:sz="0" w:space="0" w:color="auto"/>
        <w:right w:val="none" w:sz="0" w:space="0" w:color="auto"/>
      </w:divBdr>
    </w:div>
    <w:div w:id="1272668582">
      <w:bodyDiv w:val="1"/>
      <w:marLeft w:val="0"/>
      <w:marRight w:val="0"/>
      <w:marTop w:val="0"/>
      <w:marBottom w:val="0"/>
      <w:divBdr>
        <w:top w:val="none" w:sz="0" w:space="0" w:color="auto"/>
        <w:left w:val="none" w:sz="0" w:space="0" w:color="auto"/>
        <w:bottom w:val="none" w:sz="0" w:space="0" w:color="auto"/>
        <w:right w:val="none" w:sz="0" w:space="0" w:color="auto"/>
      </w:divBdr>
    </w:div>
    <w:div w:id="1378434834">
      <w:bodyDiv w:val="1"/>
      <w:marLeft w:val="0"/>
      <w:marRight w:val="0"/>
      <w:marTop w:val="0"/>
      <w:marBottom w:val="0"/>
      <w:divBdr>
        <w:top w:val="none" w:sz="0" w:space="0" w:color="auto"/>
        <w:left w:val="none" w:sz="0" w:space="0" w:color="auto"/>
        <w:bottom w:val="none" w:sz="0" w:space="0" w:color="auto"/>
        <w:right w:val="none" w:sz="0" w:space="0" w:color="auto"/>
      </w:divBdr>
    </w:div>
    <w:div w:id="1491558800">
      <w:bodyDiv w:val="1"/>
      <w:marLeft w:val="0"/>
      <w:marRight w:val="0"/>
      <w:marTop w:val="0"/>
      <w:marBottom w:val="0"/>
      <w:divBdr>
        <w:top w:val="none" w:sz="0" w:space="0" w:color="auto"/>
        <w:left w:val="none" w:sz="0" w:space="0" w:color="auto"/>
        <w:bottom w:val="none" w:sz="0" w:space="0" w:color="auto"/>
        <w:right w:val="none" w:sz="0" w:space="0" w:color="auto"/>
      </w:divBdr>
    </w:div>
    <w:div w:id="1514537799">
      <w:bodyDiv w:val="1"/>
      <w:marLeft w:val="0"/>
      <w:marRight w:val="0"/>
      <w:marTop w:val="0"/>
      <w:marBottom w:val="0"/>
      <w:divBdr>
        <w:top w:val="none" w:sz="0" w:space="0" w:color="auto"/>
        <w:left w:val="none" w:sz="0" w:space="0" w:color="auto"/>
        <w:bottom w:val="none" w:sz="0" w:space="0" w:color="auto"/>
        <w:right w:val="none" w:sz="0" w:space="0" w:color="auto"/>
      </w:divBdr>
    </w:div>
    <w:div w:id="1690984089">
      <w:bodyDiv w:val="1"/>
      <w:marLeft w:val="0"/>
      <w:marRight w:val="0"/>
      <w:marTop w:val="0"/>
      <w:marBottom w:val="0"/>
      <w:divBdr>
        <w:top w:val="none" w:sz="0" w:space="0" w:color="auto"/>
        <w:left w:val="none" w:sz="0" w:space="0" w:color="auto"/>
        <w:bottom w:val="none" w:sz="0" w:space="0" w:color="auto"/>
        <w:right w:val="none" w:sz="0" w:space="0" w:color="auto"/>
      </w:divBdr>
    </w:div>
    <w:div w:id="1802336217">
      <w:bodyDiv w:val="1"/>
      <w:marLeft w:val="0"/>
      <w:marRight w:val="0"/>
      <w:marTop w:val="0"/>
      <w:marBottom w:val="0"/>
      <w:divBdr>
        <w:top w:val="none" w:sz="0" w:space="0" w:color="auto"/>
        <w:left w:val="none" w:sz="0" w:space="0" w:color="auto"/>
        <w:bottom w:val="none" w:sz="0" w:space="0" w:color="auto"/>
        <w:right w:val="none" w:sz="0" w:space="0" w:color="auto"/>
      </w:divBdr>
    </w:div>
    <w:div w:id="1994024020">
      <w:bodyDiv w:val="1"/>
      <w:marLeft w:val="0"/>
      <w:marRight w:val="0"/>
      <w:marTop w:val="0"/>
      <w:marBottom w:val="0"/>
      <w:divBdr>
        <w:top w:val="none" w:sz="0" w:space="0" w:color="auto"/>
        <w:left w:val="none" w:sz="0" w:space="0" w:color="auto"/>
        <w:bottom w:val="none" w:sz="0" w:space="0" w:color="auto"/>
        <w:right w:val="none" w:sz="0" w:space="0" w:color="auto"/>
      </w:divBdr>
    </w:div>
    <w:div w:id="2018727251">
      <w:bodyDiv w:val="1"/>
      <w:marLeft w:val="0"/>
      <w:marRight w:val="0"/>
      <w:marTop w:val="0"/>
      <w:marBottom w:val="0"/>
      <w:divBdr>
        <w:top w:val="none" w:sz="0" w:space="0" w:color="auto"/>
        <w:left w:val="none" w:sz="0" w:space="0" w:color="auto"/>
        <w:bottom w:val="none" w:sz="0" w:space="0" w:color="auto"/>
        <w:right w:val="none" w:sz="0" w:space="0" w:color="auto"/>
      </w:divBdr>
    </w:div>
    <w:div w:id="2025473795">
      <w:bodyDiv w:val="1"/>
      <w:marLeft w:val="0"/>
      <w:marRight w:val="0"/>
      <w:marTop w:val="0"/>
      <w:marBottom w:val="0"/>
      <w:divBdr>
        <w:top w:val="none" w:sz="0" w:space="0" w:color="auto"/>
        <w:left w:val="none" w:sz="0" w:space="0" w:color="auto"/>
        <w:bottom w:val="none" w:sz="0" w:space="0" w:color="auto"/>
        <w:right w:val="none" w:sz="0" w:space="0" w:color="auto"/>
      </w:divBdr>
    </w:div>
    <w:div w:id="2026976886">
      <w:bodyDiv w:val="1"/>
      <w:marLeft w:val="0"/>
      <w:marRight w:val="0"/>
      <w:marTop w:val="0"/>
      <w:marBottom w:val="0"/>
      <w:divBdr>
        <w:top w:val="none" w:sz="0" w:space="0" w:color="auto"/>
        <w:left w:val="none" w:sz="0" w:space="0" w:color="auto"/>
        <w:bottom w:val="none" w:sz="0" w:space="0" w:color="auto"/>
        <w:right w:val="none" w:sz="0" w:space="0" w:color="auto"/>
      </w:divBdr>
    </w:div>
    <w:div w:id="2067214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cver@ncver.edu.au" TargetMode="External"/><Relationship Id="rId18" Type="http://schemas.openxmlformats.org/officeDocument/2006/relationships/footer" Target="footer1.xml"/><Relationship Id="rId26" Type="http://schemas.openxmlformats.org/officeDocument/2006/relationships/hyperlink" Target="http://www.ncver.edu.au/publications/2183.html" TargetMode="External"/><Relationship Id="rId3" Type="http://schemas.openxmlformats.org/officeDocument/2006/relationships/styles" Target="styles.xml"/><Relationship Id="rId21" Type="http://schemas.openxmlformats.org/officeDocument/2006/relationships/image" Target="media/image9.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hyperlink" Target="http://www.federalfinancialrelations.gov.au/content/npa/skills/skills-reform/national_partnership.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hyperlink" Target="http://www.nssc.natese.gov.au/__data/assets/pdf_file/0015/58101/Feasibility_study_re_%20panel_of_assessment_expert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http://www.asqa.gov.au/verve/_resources/Strategic_Reviews_2013_Aged_%20Care_Report.pdf" TargetMode="External"/><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1.emf"/><Relationship Id="rId28" Type="http://schemas.openxmlformats.org/officeDocument/2006/relationships/hyperlink" Target="http://www.nssc.natese.gov.au/__data/assets/pdf_file/0010/51022/Validation_and_%20Moderation_-_Code_of_Professional_Practice.pdf" TargetMode="External"/><Relationship Id="rId10" Type="http://schemas.openxmlformats.org/officeDocument/2006/relationships/image" Target="media/image2.jpeg"/><Relationship Id="rId19" Type="http://schemas.openxmlformats.org/officeDocument/2006/relationships/footer" Target="footer2.xm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lsay.edu.au" TargetMode="External"/><Relationship Id="rId22" Type="http://schemas.openxmlformats.org/officeDocument/2006/relationships/image" Target="media/image10.emf"/><Relationship Id="rId27" Type="http://schemas.openxmlformats.org/officeDocument/2006/relationships/hyperlink" Target="http://www.nssc.natese.gov.au/__data/assets/pdf_file/0007/%2046177/NQC_VET_Assessment_Report_-_V8_ONLINE.pdf" TargetMode="External"/><Relationship Id="rId30" Type="http://schemas.openxmlformats.org/officeDocument/2006/relationships/hyperlink" Target="http://www.rtoconsultant.com.au/uploads/Assessor_Guide_-_Validation_and_Moder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1BDB3-ADA2-4E32-9825-9816E0665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EE876403</Template>
  <TotalTime>793</TotalTime>
  <Pages>53</Pages>
  <Words>21495</Words>
  <Characters>122307</Characters>
  <Application>Microsoft Office Word</Application>
  <DocSecurity>0</DocSecurity>
  <Lines>2264</Lines>
  <Paragraphs>1097</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142705</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josiemisko</dc:creator>
  <cp:lastModifiedBy>Kaye McAdam</cp:lastModifiedBy>
  <cp:revision>57</cp:revision>
  <cp:lastPrinted>2014-03-27T03:44:00Z</cp:lastPrinted>
  <dcterms:created xsi:type="dcterms:W3CDTF">2014-02-20T22:22:00Z</dcterms:created>
  <dcterms:modified xsi:type="dcterms:W3CDTF">2014-06-13T01:12:00Z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