
<file path=[Content_Types].xml><?xml version="1.0" encoding="utf-8"?>
<Types xmlns="http://schemas.openxmlformats.org/package/2006/content-types">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A4A" w:rsidRDefault="002B3CA8" w:rsidP="003C35FF">
      <w:pPr>
        <w:pStyle w:val="PublicationTitle"/>
        <w:spacing w:before="0"/>
      </w:pPr>
      <w:bookmarkStart w:id="0" w:name="_Toc296423677"/>
      <w:bookmarkStart w:id="1" w:name="_Toc296497508"/>
      <w:r>
        <w:rPr>
          <w:noProof/>
          <w:lang w:eastAsia="en-AU"/>
        </w:rPr>
        <w:drawing>
          <wp:anchor distT="0" distB="0" distL="114300" distR="114300" simplePos="0" relativeHeight="251672576" behindDoc="1" locked="0" layoutInCell="1" allowOverlap="1" wp14:anchorId="1FAED989" wp14:editId="11DC2A06">
            <wp:simplePos x="0" y="0"/>
            <wp:positionH relativeFrom="column">
              <wp:posOffset>-479425</wp:posOffset>
            </wp:positionH>
            <wp:positionV relativeFrom="paragraph">
              <wp:posOffset>281940</wp:posOffset>
            </wp:positionV>
            <wp:extent cx="2447925" cy="523240"/>
            <wp:effectExtent l="0" t="0" r="9525" b="0"/>
            <wp:wrapTight wrapText="bothSides">
              <wp:wrapPolygon edited="0">
                <wp:start x="0" y="0"/>
                <wp:lineTo x="0" y="20447"/>
                <wp:lineTo x="21516" y="20447"/>
                <wp:lineTo x="21516" y="0"/>
                <wp:lineTo x="0" y="0"/>
              </wp:wrapPolygon>
            </wp:wrapTight>
            <wp:docPr id="16" name="Picture 16" descr="NCVER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VER_MON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47925" cy="523240"/>
                    </a:xfrm>
                    <a:prstGeom prst="rect">
                      <a:avLst/>
                    </a:prstGeom>
                    <a:noFill/>
                    <a:ln>
                      <a:noFill/>
                    </a:ln>
                  </pic:spPr>
                </pic:pic>
              </a:graphicData>
            </a:graphic>
          </wp:anchor>
        </w:drawing>
      </w:r>
    </w:p>
    <w:p w:rsidR="003C35FF" w:rsidRDefault="0071544F" w:rsidP="003C35FF">
      <w:pPr>
        <w:pStyle w:val="PublicationTitle"/>
      </w:pPr>
      <w:r>
        <w:rPr>
          <w:noProof/>
          <w:lang w:eastAsia="en-AU"/>
        </w:rPr>
        <w:drawing>
          <wp:anchor distT="0" distB="0" distL="114300" distR="114300" simplePos="0" relativeHeight="251697152" behindDoc="1" locked="0" layoutInCell="1" allowOverlap="1" wp14:anchorId="4644E612" wp14:editId="5C3B1BBA">
            <wp:simplePos x="0" y="0"/>
            <wp:positionH relativeFrom="column">
              <wp:posOffset>-518795</wp:posOffset>
            </wp:positionH>
            <wp:positionV relativeFrom="paragraph">
              <wp:posOffset>165100</wp:posOffset>
            </wp:positionV>
            <wp:extent cx="2519680" cy="611505"/>
            <wp:effectExtent l="0" t="0" r="0" b="0"/>
            <wp:wrapTight wrapText="bothSides">
              <wp:wrapPolygon edited="0">
                <wp:start x="0" y="0"/>
                <wp:lineTo x="0" y="20860"/>
                <wp:lineTo x="21393" y="20860"/>
                <wp:lineTo x="21393" y="0"/>
                <wp:lineTo x="0" y="0"/>
              </wp:wrapPolygon>
            </wp:wrapTight>
            <wp:docPr id="20" name="Picture 20" descr="P:\PublicationComponents\logos\Commonwealth logo\Archive\AustGovt_in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ublicationComponents\logos\Commonwealth logo\Archive\AustGovt_inlin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19680" cy="611505"/>
                    </a:xfrm>
                    <a:prstGeom prst="rect">
                      <a:avLst/>
                    </a:prstGeom>
                    <a:noFill/>
                    <a:ln>
                      <a:noFill/>
                    </a:ln>
                  </pic:spPr>
                </pic:pic>
              </a:graphicData>
            </a:graphic>
            <wp14:sizeRelH relativeFrom="page">
              <wp14:pctWidth>0</wp14:pctWidth>
            </wp14:sizeRelH>
            <wp14:sizeRelV relativeFrom="page">
              <wp14:pctHeight>0</wp14:pctHeight>
            </wp14:sizeRelV>
          </wp:anchor>
        </w:drawing>
      </w:r>
      <w:r w:rsidR="00522F4D">
        <w:t>G</w:t>
      </w:r>
      <w:r w:rsidR="003C35FF" w:rsidRPr="009762BE">
        <w:t xml:space="preserve">eographical </w:t>
      </w:r>
      <w:r w:rsidR="004D4036">
        <w:t xml:space="preserve">and place </w:t>
      </w:r>
      <w:r w:rsidR="003C35FF" w:rsidRPr="009762BE">
        <w:t>dimensions of post-school part</w:t>
      </w:r>
      <w:r w:rsidR="003C35FF">
        <w:t>icipation in education and work</w:t>
      </w:r>
    </w:p>
    <w:p w:rsidR="003A39DB" w:rsidRDefault="003A39DB" w:rsidP="005D2AA0">
      <w:pPr>
        <w:pStyle w:val="Authors"/>
      </w:pPr>
      <w:r>
        <w:t>Sue Webb</w:t>
      </w:r>
    </w:p>
    <w:p w:rsidR="003A39DB" w:rsidRDefault="003A39DB" w:rsidP="005D2AA0">
      <w:pPr>
        <w:pStyle w:val="Authors"/>
      </w:pPr>
      <w:proofErr w:type="spellStart"/>
      <w:r>
        <w:t>Ros</w:t>
      </w:r>
      <w:proofErr w:type="spellEnd"/>
      <w:r>
        <w:t xml:space="preserve"> Black</w:t>
      </w:r>
    </w:p>
    <w:p w:rsidR="003A39DB" w:rsidRDefault="003A39DB" w:rsidP="005D2AA0">
      <w:pPr>
        <w:pStyle w:val="Authors"/>
      </w:pPr>
      <w:r>
        <w:t>Ruth Morton</w:t>
      </w:r>
    </w:p>
    <w:p w:rsidR="003A39DB" w:rsidRDefault="003A39DB" w:rsidP="005D2AA0">
      <w:pPr>
        <w:pStyle w:val="Authors"/>
      </w:pPr>
      <w:r>
        <w:t xml:space="preserve">Sue </w:t>
      </w:r>
      <w:proofErr w:type="spellStart"/>
      <w:r>
        <w:t>Plowright</w:t>
      </w:r>
      <w:proofErr w:type="spellEnd"/>
    </w:p>
    <w:p w:rsidR="00D0755D" w:rsidRDefault="005D2AA0" w:rsidP="005D2AA0">
      <w:pPr>
        <w:pStyle w:val="Authors"/>
      </w:pPr>
      <w:proofErr w:type="spellStart"/>
      <w:r w:rsidRPr="005D2AA0">
        <w:t>Reshmi</w:t>
      </w:r>
      <w:proofErr w:type="spellEnd"/>
      <w:r w:rsidRPr="005D2AA0">
        <w:t xml:space="preserve"> Roy</w:t>
      </w:r>
    </w:p>
    <w:p w:rsidR="005D2AA0" w:rsidRPr="005D2AA0" w:rsidRDefault="005D2AA0" w:rsidP="00D0755D">
      <w:pPr>
        <w:pStyle w:val="Organisation"/>
        <w:rPr>
          <w:rFonts w:eastAsiaTheme="majorEastAsia"/>
        </w:rPr>
      </w:pPr>
      <w:r w:rsidRPr="005D2AA0">
        <w:t xml:space="preserve">Monash University </w:t>
      </w:r>
    </w:p>
    <w:p w:rsidR="003C35FF" w:rsidRDefault="003C35FF" w:rsidP="00177827">
      <w:pPr>
        <w:pStyle w:val="Authors"/>
      </w:pPr>
      <w:bookmarkStart w:id="2" w:name="_Toc296423678"/>
      <w:bookmarkStart w:id="3" w:name="_Toc296497509"/>
      <w:bookmarkEnd w:id="0"/>
      <w:bookmarkEnd w:id="1"/>
    </w:p>
    <w:bookmarkEnd w:id="2"/>
    <w:bookmarkEnd w:id="3"/>
    <w:p w:rsidR="000315D7" w:rsidRDefault="000315D7" w:rsidP="00177827">
      <w:pPr>
        <w:pStyle w:val="Organisation"/>
      </w:pPr>
    </w:p>
    <w:p w:rsidR="00DB599C" w:rsidRDefault="00DB599C" w:rsidP="0048643A">
      <w:pPr>
        <w:pStyle w:val="Text"/>
      </w:pPr>
    </w:p>
    <w:p w:rsidR="00DB599C" w:rsidRDefault="00291879" w:rsidP="0006125F">
      <w:pPr>
        <w:pStyle w:val="Heading3"/>
        <w:ind w:right="-1"/>
      </w:pPr>
      <w:r>
        <w:rPr>
          <w:noProof/>
          <w:lang w:eastAsia="en-AU"/>
        </w:rPr>
        <mc:AlternateContent>
          <mc:Choice Requires="wps">
            <w:drawing>
              <wp:anchor distT="0" distB="0" distL="114300" distR="114300" simplePos="0" relativeHeight="251660288" behindDoc="0" locked="0" layoutInCell="1" allowOverlap="1">
                <wp:simplePos x="0" y="0"/>
                <wp:positionH relativeFrom="column">
                  <wp:posOffset>1015365</wp:posOffset>
                </wp:positionH>
                <wp:positionV relativeFrom="margin">
                  <wp:posOffset>7052945</wp:posOffset>
                </wp:positionV>
                <wp:extent cx="3362960" cy="1054100"/>
                <wp:effectExtent l="0" t="0" r="0" b="0"/>
                <wp:wrapNone/>
                <wp:docPr id="4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960" cy="1054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3BED" w:rsidRPr="001B43CF" w:rsidRDefault="009D3BED" w:rsidP="002B3CA8">
                            <w:pPr>
                              <w:pStyle w:val="Heading3"/>
                            </w:pPr>
                            <w:r>
                              <w:t>NATIONAL VOCATIONAL EDUCATION AND TRAINING RESEARCH PROGRAM</w:t>
                            </w:r>
                          </w:p>
                          <w:p w:rsidR="009D3BED" w:rsidRPr="002B67A0" w:rsidRDefault="009D3BED" w:rsidP="002B3CA8">
                            <w:pPr>
                              <w:pStyle w:val="Heading3"/>
                              <w:rPr>
                                <w:b/>
                              </w:rPr>
                            </w:pPr>
                            <w:r w:rsidRPr="002B67A0">
                              <w:rPr>
                                <w:b/>
                              </w:rPr>
                              <w:t>RESEARCH REPORT</w:t>
                            </w:r>
                          </w:p>
                          <w:p w:rsidR="009D3BED" w:rsidRDefault="009D3BED" w:rsidP="00E06B95">
                            <w:pPr>
                              <w:pStyle w:val="Heading3"/>
                            </w:pPr>
                          </w:p>
                          <w:p w:rsidR="009D3BED" w:rsidRDefault="009D3BED" w:rsidP="009E2F64">
                            <w:pPr>
                              <w:pStyle w:val="Heading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79.95pt;margin-top:555.35pt;width:264.8pt;height: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TPFtwIAALw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" filled="f" stroked="f">
                <v:textbox>
                  <w:txbxContent>
                    <w:p w:rsidR="009D3BED" w:rsidRPr="001B43CF" w:rsidRDefault="009D3BED" w:rsidP="002B3CA8">
                      <w:pPr>
                        <w:pStyle w:val="Heading3"/>
                      </w:pPr>
                      <w:r>
                        <w:t>NATIONAL VOCATIONAL EDUCATION AND TRAINING RESEARCH PROGRAM</w:t>
                      </w:r>
                    </w:p>
                    <w:p w:rsidR="009D3BED" w:rsidRPr="002B67A0" w:rsidRDefault="009D3BED" w:rsidP="002B3CA8">
                      <w:pPr>
                        <w:pStyle w:val="Heading3"/>
                        <w:rPr>
                          <w:b/>
                        </w:rPr>
                      </w:pPr>
                      <w:r w:rsidRPr="002B67A0">
                        <w:rPr>
                          <w:b/>
                        </w:rPr>
                        <w:t>RESEARCH REPORT</w:t>
                      </w:r>
                    </w:p>
                    <w:p w:rsidR="009D3BED" w:rsidRDefault="009D3BED" w:rsidP="00E06B95">
                      <w:pPr>
                        <w:pStyle w:val="Heading3"/>
                      </w:pPr>
                    </w:p>
                    <w:p w:rsidR="009D3BED" w:rsidRDefault="009D3BED" w:rsidP="009E2F64">
                      <w:pPr>
                        <w:pStyle w:val="Heading3"/>
                      </w:pPr>
                    </w:p>
                  </w:txbxContent>
                </v:textbox>
                <w10:wrap anchory="margin"/>
              </v:shape>
            </w:pict>
          </mc:Fallback>
        </mc:AlternateContent>
      </w:r>
      <w:r>
        <w:rPr>
          <w:noProof/>
          <w:lang w:eastAsia="en-AU"/>
        </w:rPr>
        <mc:AlternateContent>
          <mc:Choice Requires="wps">
            <w:drawing>
              <wp:anchor distT="0" distB="0" distL="114300" distR="114300" simplePos="0" relativeHeight="251658240" behindDoc="0" locked="0" layoutInCell="1" allowOverlap="1">
                <wp:simplePos x="0" y="0"/>
                <wp:positionH relativeFrom="column">
                  <wp:posOffset>928370</wp:posOffset>
                </wp:positionH>
                <wp:positionV relativeFrom="margin">
                  <wp:posOffset>8378190</wp:posOffset>
                </wp:positionV>
                <wp:extent cx="4533900" cy="1054100"/>
                <wp:effectExtent l="0" t="0" r="0" b="0"/>
                <wp:wrapNone/>
                <wp:docPr id="4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1054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3BED" w:rsidRDefault="009D3BED" w:rsidP="006C5DA9">
                            <w:pPr>
                              <w:pStyle w:val="Imprint"/>
                              <w:spacing w:before="0"/>
                              <w:ind w:left="142" w:right="10"/>
                              <w:rPr>
                                <w:color w:val="000000"/>
                              </w:rPr>
                            </w:pPr>
                            <w:r w:rsidRPr="005C2FCF">
                              <w:rPr>
                                <w:color w:val="000000"/>
                              </w:rPr>
                              <w:t>The views and opinions expressed in this document are those of the author/project</w:t>
                            </w:r>
                            <w:r>
                              <w:rPr>
                                <w:color w:val="000000"/>
                              </w:rPr>
                              <w:t xml:space="preserve"> </w:t>
                            </w:r>
                            <w:r>
                              <w:rPr>
                                <w:color w:val="000000"/>
                              </w:rPr>
                              <w:br/>
                            </w:r>
                            <w:r w:rsidRPr="005C2FCF">
                              <w:rPr>
                                <w:color w:val="000000"/>
                              </w:rPr>
                              <w:t xml:space="preserve">team and do not necessarily reflect the views of the Australian Government, </w:t>
                            </w:r>
                            <w:r>
                              <w:rPr>
                                <w:color w:val="000000"/>
                              </w:rPr>
                              <w:br/>
                            </w:r>
                            <w:r w:rsidRPr="005C2FCF">
                              <w:rPr>
                                <w:color w:val="000000"/>
                              </w:rPr>
                              <w:t>state and territory governments or NCVER.</w:t>
                            </w:r>
                          </w:p>
                          <w:p w:rsidR="009D3BED" w:rsidRPr="005C2FCF" w:rsidRDefault="009D3BED" w:rsidP="006C5DA9">
                            <w:pPr>
                              <w:pStyle w:val="Imprint"/>
                              <w:spacing w:before="120"/>
                              <w:ind w:left="142" w:right="10"/>
                              <w:rPr>
                                <w:color w:val="000000"/>
                              </w:rPr>
                            </w:pPr>
                            <w:r w:rsidRPr="005C2FCF">
                              <w:rPr>
                                <w:color w:val="000000"/>
                              </w:rPr>
                              <w:t>Any interpretation of data is the responsibility of the author/project team.</w:t>
                            </w:r>
                          </w:p>
                          <w:p w:rsidR="009D3BED" w:rsidRDefault="009D3BED" w:rsidP="00DB599C">
                            <w:pPr>
                              <w:ind w:left="284" w:right="29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margin-left:73.1pt;margin-top:659.7pt;width:357pt;height: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UcduAIAAMM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" filled="f" stroked="f">
                <v:textbox>
                  <w:txbxContent>
                    <w:p w:rsidR="009D3BED" w:rsidRDefault="009D3BED" w:rsidP="006C5DA9">
                      <w:pPr>
                        <w:pStyle w:val="Imprint"/>
                        <w:spacing w:before="0"/>
                        <w:ind w:left="142" w:right="10"/>
                        <w:rPr>
                          <w:color w:val="000000"/>
                        </w:rPr>
                      </w:pPr>
                      <w:r w:rsidRPr="005C2FCF">
                        <w:rPr>
                          <w:color w:val="000000"/>
                        </w:rPr>
                        <w:t>The views and opinions expressed in this document are those of the author/project</w:t>
                      </w:r>
                      <w:r>
                        <w:rPr>
                          <w:color w:val="000000"/>
                        </w:rPr>
                        <w:t xml:space="preserve"> </w:t>
                      </w:r>
                      <w:r>
                        <w:rPr>
                          <w:color w:val="000000"/>
                        </w:rPr>
                        <w:br/>
                      </w:r>
                      <w:r w:rsidRPr="005C2FCF">
                        <w:rPr>
                          <w:color w:val="000000"/>
                        </w:rPr>
                        <w:t xml:space="preserve">team and do not necessarily reflect the views of the Australian Government, </w:t>
                      </w:r>
                      <w:r>
                        <w:rPr>
                          <w:color w:val="000000"/>
                        </w:rPr>
                        <w:br/>
                      </w:r>
                      <w:r w:rsidRPr="005C2FCF">
                        <w:rPr>
                          <w:color w:val="000000"/>
                        </w:rPr>
                        <w:t>state and territory governments or NCVER.</w:t>
                      </w:r>
                    </w:p>
                    <w:p w:rsidR="009D3BED" w:rsidRPr="005C2FCF" w:rsidRDefault="009D3BED" w:rsidP="006C5DA9">
                      <w:pPr>
                        <w:pStyle w:val="Imprint"/>
                        <w:spacing w:before="120"/>
                        <w:ind w:left="142" w:right="10"/>
                        <w:rPr>
                          <w:color w:val="000000"/>
                        </w:rPr>
                      </w:pPr>
                      <w:r w:rsidRPr="005C2FCF">
                        <w:rPr>
                          <w:color w:val="000000"/>
                        </w:rPr>
                        <w:t>Any interpretation of data is the responsibility of the author/project team.</w:t>
                      </w:r>
                    </w:p>
                    <w:p w:rsidR="009D3BED" w:rsidRDefault="009D3BED" w:rsidP="00DB599C">
                      <w:pPr>
                        <w:ind w:left="284" w:right="294"/>
                      </w:pPr>
                    </w:p>
                  </w:txbxContent>
                </v:textbox>
                <w10:wrap anchory="margin"/>
              </v:shape>
            </w:pict>
          </mc:Fallback>
        </mc:AlternateContent>
      </w:r>
      <w:r w:rsidR="00DB599C">
        <w:softHyphen/>
      </w:r>
    </w:p>
    <w:p w:rsidR="008B22E2" w:rsidRDefault="00FE4A2D" w:rsidP="00E57478">
      <w:pPr>
        <w:pStyle w:val="Heading3"/>
        <w:ind w:right="-1"/>
      </w:pPr>
      <w:r w:rsidRPr="005C2FCF">
        <w:br w:type="page"/>
      </w:r>
    </w:p>
    <w:p w:rsidR="009E231A" w:rsidRPr="005C2FCF" w:rsidRDefault="00FE4A2D" w:rsidP="00E57478">
      <w:pPr>
        <w:pStyle w:val="Heading3"/>
        <w:ind w:right="-1"/>
      </w:pPr>
      <w:r w:rsidRPr="005C2FCF">
        <w:lastRenderedPageBreak/>
        <w:t>Publisher’s note</w:t>
      </w:r>
    </w:p>
    <w:p w:rsidR="00233BFA" w:rsidRDefault="00233BFA" w:rsidP="00E57478">
      <w:pPr>
        <w:pStyle w:val="Imprint"/>
        <w:ind w:right="-1"/>
      </w:pPr>
      <w:r>
        <w:t>To find other material of interest, search VOCED</w:t>
      </w:r>
      <w:r w:rsidR="00341603">
        <w:t>plus</w:t>
      </w:r>
      <w:r>
        <w:t xml:space="preserve"> (the UNESCO/NCVER international database &lt;</w:t>
      </w:r>
      <w:hyperlink r:id="rId11" w:history="1">
        <w:r>
          <w:t>http://www.voced.edu.au</w:t>
        </w:r>
      </w:hyperlink>
      <w:r>
        <w:t xml:space="preserve">&gt;) using the </w:t>
      </w:r>
      <w:r w:rsidR="00BA2D16">
        <w:t xml:space="preserve">following keywords: </w:t>
      </w:r>
      <w:r w:rsidR="00BA2D16" w:rsidRPr="00BA2D16">
        <w:t xml:space="preserve">access to education and training; aspirations; community; culture and society; employment; family; geographic distribution; higher education; participation; postsecondary education; </w:t>
      </w:r>
      <w:r w:rsidR="0021491D">
        <w:t>socioeconomic</w:t>
      </w:r>
      <w:r w:rsidR="00D13A1E">
        <w:t xml:space="preserve"> </w:t>
      </w:r>
      <w:r w:rsidR="00BA2D16" w:rsidRPr="00BA2D16">
        <w:t>background; vocational education and training; youth</w:t>
      </w:r>
    </w:p>
    <w:p w:rsidR="00FF5931" w:rsidRDefault="00FF5931" w:rsidP="00233BFA">
      <w:pPr>
        <w:pStyle w:val="Imprint"/>
        <w:rPr>
          <w:sz w:val="19"/>
          <w:szCs w:val="19"/>
        </w:rPr>
      </w:pPr>
    </w:p>
    <w:bookmarkStart w:id="4" w:name="_Toc409079247"/>
    <w:bookmarkStart w:id="5" w:name="_Toc409079357"/>
    <w:p w:rsidR="009E231A" w:rsidRPr="00C77DC6" w:rsidRDefault="00291879" w:rsidP="00D0755D">
      <w:pPr>
        <w:pStyle w:val="Heading1"/>
      </w:pPr>
      <w:r>
        <w:rPr>
          <w:noProof/>
          <w:lang w:eastAsia="en-AU"/>
        </w:rPr>
        <mc:AlternateContent>
          <mc:Choice Requires="wps">
            <w:drawing>
              <wp:anchor distT="0" distB="0" distL="114300" distR="114300" simplePos="0" relativeHeight="251661312" behindDoc="0" locked="0" layoutInCell="1" allowOverlap="1" wp14:anchorId="08AE8995" wp14:editId="2AE0BC1F">
                <wp:simplePos x="0" y="0"/>
                <wp:positionH relativeFrom="column">
                  <wp:posOffset>0</wp:posOffset>
                </wp:positionH>
                <wp:positionV relativeFrom="paragraph">
                  <wp:posOffset>2095391</wp:posOffset>
                </wp:positionV>
                <wp:extent cx="5596890" cy="5791200"/>
                <wp:effectExtent l="0" t="0" r="3810" b="0"/>
                <wp:wrapNone/>
                <wp:docPr id="4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579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3BED" w:rsidRPr="00A021FC" w:rsidRDefault="009D3BED" w:rsidP="002B3CA8">
                            <w:pPr>
                              <w:pStyle w:val="Imprint"/>
                              <w:ind w:right="228"/>
                              <w:rPr>
                                <w:b/>
                              </w:rPr>
                            </w:pPr>
                            <w:r>
                              <w:rPr>
                                <w:color w:val="000000"/>
                              </w:rPr>
                              <w:t xml:space="preserve"> </w:t>
                            </w:r>
                            <w:r w:rsidRPr="00A021FC">
                              <w:rPr>
                                <w:b/>
                              </w:rPr>
                              <w:t xml:space="preserve">© Commonwealth of Australia, </w:t>
                            </w:r>
                            <w:r>
                              <w:rPr>
                                <w:b/>
                              </w:rPr>
                              <w:t>2015</w:t>
                            </w:r>
                          </w:p>
                          <w:p w:rsidR="009D3BED" w:rsidRDefault="009D3BED" w:rsidP="002B3CA8">
                            <w:pPr>
                              <w:pStyle w:val="Imprint"/>
                              <w:ind w:right="228"/>
                              <w:rPr>
                                <w:sz w:val="20"/>
                              </w:rPr>
                            </w:pPr>
                            <w:r>
                              <w:rPr>
                                <w:noProof/>
                                <w:sz w:val="20"/>
                                <w:lang w:eastAsia="en-AU"/>
                              </w:rPr>
                              <w:drawing>
                                <wp:inline distT="0" distB="0" distL="0" distR="0" wp14:anchorId="4B8006D8" wp14:editId="09936FD4">
                                  <wp:extent cx="850900" cy="304800"/>
                                  <wp:effectExtent l="0" t="0" r="6350" b="0"/>
                                  <wp:docPr id="15" name="Picture 15" descr="Description: 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pub_prod\PublicationComponents\logos\Creativecommons\CC BY logo.ep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0900" cy="304800"/>
                                          </a:xfrm>
                                          <a:prstGeom prst="rect">
                                            <a:avLst/>
                                          </a:prstGeom>
                                          <a:noFill/>
                                          <a:ln>
                                            <a:noFill/>
                                          </a:ln>
                                        </pic:spPr>
                                      </pic:pic>
                                    </a:graphicData>
                                  </a:graphic>
                                </wp:inline>
                              </w:drawing>
                            </w:r>
                          </w:p>
                          <w:p w:rsidR="009D3BED" w:rsidRPr="00A021FC" w:rsidRDefault="009D3BED" w:rsidP="002B3CA8">
                            <w:pPr>
                              <w:pStyle w:val="Imprint"/>
                              <w:ind w:right="228"/>
                            </w:pPr>
                            <w:r w:rsidRPr="00A021FC">
                              <w:t xml:space="preserve">With the exception of the Commonwealth Coat of Arms, the Department’s logo, any material protected by a trade mark and where otherwise noted all material presented in this document is provided under a Creative Commons Attribution 3.0 Australia &lt;http://creativecommons.org/licenses/by/3.0/au&gt; licence. </w:t>
                            </w:r>
                          </w:p>
                          <w:p w:rsidR="009D3BED" w:rsidRPr="00A021FC" w:rsidRDefault="009D3BED" w:rsidP="002B3CA8">
                            <w:pPr>
                              <w:pStyle w:val="Imprint"/>
                              <w:spacing w:before="80"/>
                              <w:ind w:right="227"/>
                            </w:pPr>
                            <w:r w:rsidRPr="00A021FC">
                              <w:t>The details of the relevant licence conditions are available on the Creative Commons website (accessible</w:t>
                            </w:r>
                            <w:r>
                              <w:t> </w:t>
                            </w:r>
                            <w:r w:rsidRPr="00A021FC">
                              <w:t>using the links provided) as is the full legal code for the CC BY 3.0 AU licence &lt;http://creativecommons.org/licenses/by/3.0/legalcode&gt;.</w:t>
                            </w:r>
                          </w:p>
                          <w:p w:rsidR="009D3BED" w:rsidRPr="00A021FC" w:rsidRDefault="009D3BED" w:rsidP="002B3CA8">
                            <w:pPr>
                              <w:pStyle w:val="Imprint"/>
                              <w:spacing w:before="80"/>
                              <w:ind w:right="227"/>
                            </w:pPr>
                            <w:r w:rsidRPr="00A021FC">
                              <w:t>The Creative Commons licence conditions do not apply to all logos, graphic design, artwork and photographs. Requests and enquiries concerning other reproduction and rights should be directed to the National Centre for Vocational Education Research (NCVER).</w:t>
                            </w:r>
                          </w:p>
                          <w:p w:rsidR="009D3BED" w:rsidRDefault="009D3BED" w:rsidP="002B3CA8">
                            <w:pPr>
                              <w:pStyle w:val="Imprint"/>
                            </w:pPr>
                            <w:r w:rsidRPr="00A021FC">
                              <w:t xml:space="preserve">This document should be attributed as </w:t>
                            </w:r>
                            <w:r>
                              <w:t>Webb, S, Black, R, Morton, R, Plowright, S &amp; Roy, R 2015</w:t>
                            </w:r>
                            <w:r w:rsidRPr="002B67A0">
                              <w:t xml:space="preserve">, </w:t>
                            </w:r>
                            <w:r w:rsidR="00522F4D">
                              <w:rPr>
                                <w:i/>
                              </w:rPr>
                              <w:t>G</w:t>
                            </w:r>
                            <w:r>
                              <w:rPr>
                                <w:i/>
                              </w:rPr>
                              <w:t>eographical and place dimensions of post-school participation in education and work</w:t>
                            </w:r>
                            <w:r>
                              <w:t xml:space="preserve">, </w:t>
                            </w:r>
                            <w:r w:rsidRPr="00A021FC">
                              <w:t>NCVER, Adelaide.</w:t>
                            </w:r>
                          </w:p>
                          <w:p w:rsidR="009D3BED" w:rsidRPr="002B3CA8" w:rsidRDefault="009D3BED" w:rsidP="002B3CA8">
                            <w:pPr>
                              <w:pStyle w:val="Imprint"/>
                            </w:pPr>
                          </w:p>
                          <w:p w:rsidR="009D3BED" w:rsidRPr="00EC29E3" w:rsidRDefault="009D3BED" w:rsidP="002B3CA8">
                            <w:pPr>
                              <w:pStyle w:val="Imprint"/>
                              <w:ind w:right="228"/>
                              <w:rPr>
                                <w:smallCaps/>
                                <w:color w:val="000000"/>
                              </w:rPr>
                            </w:pPr>
                            <w:r>
                              <w:rPr>
                                <w:smallCaps/>
                                <w:color w:val="000000"/>
                              </w:rPr>
                              <w:t>COVER IMAGE: GETTY IMAGES/THINKSTOCK</w:t>
                            </w:r>
                          </w:p>
                          <w:p w:rsidR="009D3BED" w:rsidRDefault="009D3BED" w:rsidP="002B3CA8">
                            <w:pPr>
                              <w:pStyle w:val="Imprint"/>
                              <w:ind w:right="228"/>
                              <w:rPr>
                                <w:color w:val="000000"/>
                              </w:rPr>
                            </w:pPr>
                            <w:r w:rsidRPr="005C2FCF">
                              <w:rPr>
                                <w:color w:val="000000"/>
                              </w:rPr>
                              <w:t>ISBN</w:t>
                            </w:r>
                            <w:r w:rsidRPr="005C2FCF">
                              <w:rPr>
                                <w:color w:val="000000"/>
                              </w:rPr>
                              <w:tab/>
                            </w:r>
                            <w:r w:rsidRPr="002B3CA8">
                              <w:rPr>
                                <w:color w:val="000000"/>
                              </w:rPr>
                              <w:t>978 1 925173 12 3</w:t>
                            </w:r>
                          </w:p>
                          <w:p w:rsidR="009D3BED" w:rsidRPr="005C2FCF" w:rsidRDefault="009D3BED" w:rsidP="002B3CA8">
                            <w:pPr>
                              <w:pStyle w:val="Imprint"/>
                              <w:ind w:right="228"/>
                              <w:rPr>
                                <w:color w:val="000000"/>
                              </w:rPr>
                            </w:pPr>
                            <w:r w:rsidRPr="005C2FCF">
                              <w:rPr>
                                <w:color w:val="000000"/>
                              </w:rPr>
                              <w:t>TD/TNC</w:t>
                            </w:r>
                            <w:r w:rsidRPr="005C2FCF">
                              <w:rPr>
                                <w:color w:val="000000"/>
                              </w:rPr>
                              <w:tab/>
                            </w:r>
                            <w:r>
                              <w:rPr>
                                <w:color w:val="000000"/>
                              </w:rPr>
                              <w:t>118.16</w:t>
                            </w:r>
                          </w:p>
                          <w:p w:rsidR="009D3BED" w:rsidRPr="005C53F0" w:rsidRDefault="009D3BED" w:rsidP="002B3CA8">
                            <w:pPr>
                              <w:pStyle w:val="Imprint"/>
                              <w:ind w:right="228"/>
                              <w:rPr>
                                <w:color w:val="000000"/>
                              </w:rPr>
                            </w:pPr>
                            <w:r w:rsidRPr="005C53F0">
                              <w:rPr>
                                <w:color w:val="000000"/>
                              </w:rPr>
                              <w:t>Published by NCVER, ABN 87 007 967 311</w:t>
                            </w:r>
                          </w:p>
                          <w:p w:rsidR="009D3BED" w:rsidRPr="005C53F0" w:rsidRDefault="009D3BED" w:rsidP="002B3CA8">
                            <w:pPr>
                              <w:pStyle w:val="Imprint"/>
                              <w:spacing w:before="80"/>
                              <w:ind w:right="227"/>
                              <w:rPr>
                                <w:color w:val="000000"/>
                              </w:rPr>
                            </w:pPr>
                            <w:r w:rsidRPr="005C53F0">
                              <w:rPr>
                                <w:color w:val="000000"/>
                              </w:rPr>
                              <w:t>Level 11, 33 King William Street, Adelaide SA 5000</w:t>
                            </w:r>
                          </w:p>
                          <w:p w:rsidR="009D3BED" w:rsidRPr="005C53F0" w:rsidRDefault="009D3BED" w:rsidP="002B3CA8">
                            <w:pPr>
                              <w:pStyle w:val="Imprint"/>
                              <w:spacing w:before="80"/>
                              <w:ind w:right="227"/>
                              <w:rPr>
                                <w:color w:val="000000"/>
                              </w:rPr>
                            </w:pPr>
                            <w:r w:rsidRPr="005C53F0">
                              <w:rPr>
                                <w:color w:val="000000"/>
                              </w:rPr>
                              <w:t>PO Box 8288 Station Arcade, Adelaide SA 5000, Australia</w:t>
                            </w:r>
                          </w:p>
                          <w:p w:rsidR="009D3BED" w:rsidRPr="003A39DB" w:rsidRDefault="009D3BED" w:rsidP="003A39DB">
                            <w:pPr>
                              <w:pStyle w:val="Imprint"/>
                              <w:spacing w:before="80"/>
                            </w:pPr>
                            <w:r w:rsidRPr="003A39DB">
                              <w:t>Phone +61 8 8230 8400   Fax +61 8 8212 3436</w:t>
                            </w:r>
                          </w:p>
                          <w:p w:rsidR="009D3BED" w:rsidRPr="003A39DB" w:rsidRDefault="009D3BED" w:rsidP="003A39DB">
                            <w:pPr>
                              <w:pStyle w:val="Imprint"/>
                              <w:spacing w:before="80"/>
                            </w:pPr>
                            <w:r w:rsidRPr="003A39DB">
                              <w:t>Email ncver@ncver.edu.au   Web &lt;http://www.ncver.edu.au&gt; &lt;http://www.lsay.edu.au&gt;</w:t>
                            </w:r>
                          </w:p>
                          <w:p w:rsidR="009D3BED" w:rsidRPr="00541B94" w:rsidRDefault="009D3BED" w:rsidP="00CE3C68">
                            <w:pPr>
                              <w:pStyle w:val="Imprint"/>
                              <w:tabs>
                                <w:tab w:val="left" w:pos="851"/>
                              </w:tabs>
                              <w:spacing w:before="80"/>
                            </w:pPr>
                            <w:r w:rsidRPr="003A39DB">
                              <w:t xml:space="preserve">Follow us: </w:t>
                            </w:r>
                            <w:r w:rsidRPr="003A39DB">
                              <w:tab/>
                            </w:r>
                            <w:r w:rsidRPr="003A39DB">
                              <w:rPr>
                                <w:noProof/>
                                <w:lang w:eastAsia="en-AU"/>
                              </w:rPr>
                              <w:drawing>
                                <wp:inline distT="0" distB="0" distL="0" distR="0" wp14:anchorId="4D854CB6" wp14:editId="0DDCBC8F">
                                  <wp:extent cx="127000" cy="139700"/>
                                  <wp:effectExtent l="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0" cy="139700"/>
                                          </a:xfrm>
                                          <a:prstGeom prst="rect">
                                            <a:avLst/>
                                          </a:prstGeom>
                                          <a:noFill/>
                                          <a:ln>
                                            <a:noFill/>
                                          </a:ln>
                                        </pic:spPr>
                                      </pic:pic>
                                    </a:graphicData>
                                  </a:graphic>
                                </wp:inline>
                              </w:drawing>
                            </w:r>
                            <w:r w:rsidRPr="003A39DB">
                              <w:t xml:space="preserve">  &lt;</w:t>
                            </w:r>
                            <w:hyperlink r:id="rId14" w:history="1">
                              <w:r w:rsidRPr="003A39DB">
                                <w:rPr>
                                  <w:rStyle w:val="Hyperlink"/>
                                  <w:sz w:val="16"/>
                                </w:rPr>
                                <w:t>http://twitter.com/ncver</w:t>
                              </w:r>
                            </w:hyperlink>
                            <w:r w:rsidRPr="003A39DB">
                              <w:t xml:space="preserve">&gt;  </w:t>
                            </w:r>
                            <w:r w:rsidRPr="003A39DB">
                              <w:rPr>
                                <w:noProof/>
                                <w:lang w:eastAsia="en-AU"/>
                              </w:rPr>
                              <w:drawing>
                                <wp:inline distT="0" distB="0" distL="0" distR="0" wp14:anchorId="683A76A4" wp14:editId="25E6505D">
                                  <wp:extent cx="139700" cy="1397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9DB">
                              <w:t xml:space="preserve"> &lt;http://www.linkedin.com/company/ncver</w:t>
                            </w:r>
                            <w:r w:rsidRPr="005C53F0">
                              <w:t>&gt;</w:t>
                            </w:r>
                          </w:p>
                          <w:p w:rsidR="009D3BED" w:rsidRPr="00541B94" w:rsidRDefault="009D3BED" w:rsidP="00541B94">
                            <w:pPr>
                              <w:pStyle w:val="Imprint"/>
                              <w:ind w:right="1700"/>
                              <w:rPr>
                                <w:color w:val="000000"/>
                              </w:rPr>
                            </w:pPr>
                          </w:p>
                        </w:txbxContent>
                      </wps:txbx>
                      <wps:bodyPr rot="0" vert="horz" wrap="square" lIns="0" tIns="45720" rIns="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8" type="#_x0000_t202" style="position:absolute;margin-left:0;margin-top:165pt;width:440.7pt;height:4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" filled="f" stroked="f">
                <v:textbox inset="0,,0">
                  <w:txbxContent>
                    <w:p w:rsidR="009D3BED" w:rsidRPr="00A021FC" w:rsidRDefault="009D3BED" w:rsidP="002B3CA8">
                      <w:pPr>
                        <w:pStyle w:val="Imprint"/>
                        <w:ind w:right="228"/>
                        <w:rPr>
                          <w:b/>
                        </w:rPr>
                      </w:pPr>
                      <w:r>
                        <w:rPr>
                          <w:color w:val="000000"/>
                        </w:rPr>
                        <w:t xml:space="preserve"> </w:t>
                      </w:r>
                      <w:r w:rsidRPr="00A021FC">
                        <w:rPr>
                          <w:b/>
                        </w:rPr>
                        <w:t xml:space="preserve">© Commonwealth of Australia, </w:t>
                      </w:r>
                      <w:r>
                        <w:rPr>
                          <w:b/>
                        </w:rPr>
                        <w:t>2015</w:t>
                      </w:r>
                    </w:p>
                    <w:p w:rsidR="009D3BED" w:rsidRDefault="009D3BED" w:rsidP="002B3CA8">
                      <w:pPr>
                        <w:pStyle w:val="Imprint"/>
                        <w:ind w:right="228"/>
                        <w:rPr>
                          <w:sz w:val="20"/>
                        </w:rPr>
                      </w:pPr>
                      <w:r>
                        <w:rPr>
                          <w:noProof/>
                          <w:sz w:val="20"/>
                          <w:lang w:eastAsia="en-AU"/>
                        </w:rPr>
                        <w:drawing>
                          <wp:inline distT="0" distB="0" distL="0" distR="0" wp14:anchorId="4B8006D8" wp14:editId="09936FD4">
                            <wp:extent cx="850900" cy="304800"/>
                            <wp:effectExtent l="0" t="0" r="6350" b="0"/>
                            <wp:docPr id="15" name="Picture 15" descr="Description: 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pub_prod\PublicationComponents\logos\Creativecommons\CC BY logo.ep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0900" cy="304800"/>
                                    </a:xfrm>
                                    <a:prstGeom prst="rect">
                                      <a:avLst/>
                                    </a:prstGeom>
                                    <a:noFill/>
                                    <a:ln>
                                      <a:noFill/>
                                    </a:ln>
                                  </pic:spPr>
                                </pic:pic>
                              </a:graphicData>
                            </a:graphic>
                          </wp:inline>
                        </w:drawing>
                      </w:r>
                    </w:p>
                    <w:p w:rsidR="009D3BED" w:rsidRPr="00A021FC" w:rsidRDefault="009D3BED" w:rsidP="002B3CA8">
                      <w:pPr>
                        <w:pStyle w:val="Imprint"/>
                        <w:ind w:right="228"/>
                      </w:pPr>
                      <w:r w:rsidRPr="00A021FC">
                        <w:t xml:space="preserve">With the exception of the Commonwealth Coat of Arms, the Department’s logo, any material protected by a trade mark and where otherwise noted all material presented in this document is provided under a Creative Commons Attribution 3.0 Australia &lt;http://creativecommons.org/licenses/by/3.0/au&gt; licence. </w:t>
                      </w:r>
                    </w:p>
                    <w:p w:rsidR="009D3BED" w:rsidRPr="00A021FC" w:rsidRDefault="009D3BED" w:rsidP="002B3CA8">
                      <w:pPr>
                        <w:pStyle w:val="Imprint"/>
                        <w:spacing w:before="80"/>
                        <w:ind w:right="227"/>
                      </w:pPr>
                      <w:r w:rsidRPr="00A021FC">
                        <w:t>The details of the relevant licence conditions are available on the Creative Commons website (accessible</w:t>
                      </w:r>
                      <w:r>
                        <w:t> </w:t>
                      </w:r>
                      <w:r w:rsidRPr="00A021FC">
                        <w:t>using the links provided) as is the full legal code for the CC BY 3.0 AU licence &lt;http://creativecommons.org/licenses/by/3.0/legalcode&gt;.</w:t>
                      </w:r>
                    </w:p>
                    <w:p w:rsidR="009D3BED" w:rsidRPr="00A021FC" w:rsidRDefault="009D3BED" w:rsidP="002B3CA8">
                      <w:pPr>
                        <w:pStyle w:val="Imprint"/>
                        <w:spacing w:before="80"/>
                        <w:ind w:right="227"/>
                      </w:pPr>
                      <w:r w:rsidRPr="00A021FC">
                        <w:t>The Creative Commons licence conditions do not apply to all logos, graphic design, artwork and photographs. Requests and enquiries concerning other reproduction and rights should be directed to the National Centre for Vocational Education Research (NCVER).</w:t>
                      </w:r>
                    </w:p>
                    <w:p w:rsidR="009D3BED" w:rsidRDefault="009D3BED" w:rsidP="002B3CA8">
                      <w:pPr>
                        <w:pStyle w:val="Imprint"/>
                      </w:pPr>
                      <w:r w:rsidRPr="00A021FC">
                        <w:t xml:space="preserve">This document should be attributed as </w:t>
                      </w:r>
                      <w:r>
                        <w:t>Webb, S, Black, R, Morton, R, Plowright, S &amp; Roy, R 2015</w:t>
                      </w:r>
                      <w:r w:rsidRPr="002B67A0">
                        <w:t xml:space="preserve">, </w:t>
                      </w:r>
                      <w:r w:rsidR="00522F4D">
                        <w:rPr>
                          <w:i/>
                        </w:rPr>
                        <w:t>G</w:t>
                      </w:r>
                      <w:r>
                        <w:rPr>
                          <w:i/>
                        </w:rPr>
                        <w:t>eographical and place dimensions of post-school participation in education and work</w:t>
                      </w:r>
                      <w:r>
                        <w:t xml:space="preserve">, </w:t>
                      </w:r>
                      <w:r w:rsidRPr="00A021FC">
                        <w:t>NCVER, Adelaide.</w:t>
                      </w:r>
                    </w:p>
                    <w:p w:rsidR="009D3BED" w:rsidRPr="002B3CA8" w:rsidRDefault="009D3BED" w:rsidP="002B3CA8">
                      <w:pPr>
                        <w:pStyle w:val="Imprint"/>
                      </w:pPr>
                    </w:p>
                    <w:p w:rsidR="009D3BED" w:rsidRPr="00EC29E3" w:rsidRDefault="009D3BED" w:rsidP="002B3CA8">
                      <w:pPr>
                        <w:pStyle w:val="Imprint"/>
                        <w:ind w:right="228"/>
                        <w:rPr>
                          <w:smallCaps/>
                          <w:color w:val="000000"/>
                        </w:rPr>
                      </w:pPr>
                      <w:r>
                        <w:rPr>
                          <w:smallCaps/>
                          <w:color w:val="000000"/>
                        </w:rPr>
                        <w:t>COVER IMAGE: GETTY IMAGES/THINKSTOCK</w:t>
                      </w:r>
                    </w:p>
                    <w:p w:rsidR="009D3BED" w:rsidRDefault="009D3BED" w:rsidP="002B3CA8">
                      <w:pPr>
                        <w:pStyle w:val="Imprint"/>
                        <w:ind w:right="228"/>
                        <w:rPr>
                          <w:color w:val="000000"/>
                        </w:rPr>
                      </w:pPr>
                      <w:r w:rsidRPr="005C2FCF">
                        <w:rPr>
                          <w:color w:val="000000"/>
                        </w:rPr>
                        <w:t>ISBN</w:t>
                      </w:r>
                      <w:r w:rsidRPr="005C2FCF">
                        <w:rPr>
                          <w:color w:val="000000"/>
                        </w:rPr>
                        <w:tab/>
                      </w:r>
                      <w:r w:rsidRPr="002B3CA8">
                        <w:rPr>
                          <w:color w:val="000000"/>
                        </w:rPr>
                        <w:t>978 1 925173 12 3</w:t>
                      </w:r>
                    </w:p>
                    <w:p w:rsidR="009D3BED" w:rsidRPr="005C2FCF" w:rsidRDefault="009D3BED" w:rsidP="002B3CA8">
                      <w:pPr>
                        <w:pStyle w:val="Imprint"/>
                        <w:ind w:right="228"/>
                        <w:rPr>
                          <w:color w:val="000000"/>
                        </w:rPr>
                      </w:pPr>
                      <w:r w:rsidRPr="005C2FCF">
                        <w:rPr>
                          <w:color w:val="000000"/>
                        </w:rPr>
                        <w:t>TD/TNC</w:t>
                      </w:r>
                      <w:r w:rsidRPr="005C2FCF">
                        <w:rPr>
                          <w:color w:val="000000"/>
                        </w:rPr>
                        <w:tab/>
                      </w:r>
                      <w:r>
                        <w:rPr>
                          <w:color w:val="000000"/>
                        </w:rPr>
                        <w:t>118.16</w:t>
                      </w:r>
                    </w:p>
                    <w:p w:rsidR="009D3BED" w:rsidRPr="005C53F0" w:rsidRDefault="009D3BED" w:rsidP="002B3CA8">
                      <w:pPr>
                        <w:pStyle w:val="Imprint"/>
                        <w:ind w:right="228"/>
                        <w:rPr>
                          <w:color w:val="000000"/>
                        </w:rPr>
                      </w:pPr>
                      <w:r w:rsidRPr="005C53F0">
                        <w:rPr>
                          <w:color w:val="000000"/>
                        </w:rPr>
                        <w:t>Published by NCVER, ABN 87 007 967 311</w:t>
                      </w:r>
                    </w:p>
                    <w:p w:rsidR="009D3BED" w:rsidRPr="005C53F0" w:rsidRDefault="009D3BED" w:rsidP="002B3CA8">
                      <w:pPr>
                        <w:pStyle w:val="Imprint"/>
                        <w:spacing w:before="80"/>
                        <w:ind w:right="227"/>
                        <w:rPr>
                          <w:color w:val="000000"/>
                        </w:rPr>
                      </w:pPr>
                      <w:r w:rsidRPr="005C53F0">
                        <w:rPr>
                          <w:color w:val="000000"/>
                        </w:rPr>
                        <w:t>Level 11, 33 King William Street, Adelaide SA 5000</w:t>
                      </w:r>
                    </w:p>
                    <w:p w:rsidR="009D3BED" w:rsidRPr="005C53F0" w:rsidRDefault="009D3BED" w:rsidP="002B3CA8">
                      <w:pPr>
                        <w:pStyle w:val="Imprint"/>
                        <w:spacing w:before="80"/>
                        <w:ind w:right="227"/>
                        <w:rPr>
                          <w:color w:val="000000"/>
                        </w:rPr>
                      </w:pPr>
                      <w:r w:rsidRPr="005C53F0">
                        <w:rPr>
                          <w:color w:val="000000"/>
                        </w:rPr>
                        <w:t>PO Box 8288 Station Arcade, Adelaide SA 5000, Australia</w:t>
                      </w:r>
                    </w:p>
                    <w:p w:rsidR="009D3BED" w:rsidRPr="003A39DB" w:rsidRDefault="009D3BED" w:rsidP="003A39DB">
                      <w:pPr>
                        <w:pStyle w:val="Imprint"/>
                        <w:spacing w:before="80"/>
                      </w:pPr>
                      <w:r w:rsidRPr="003A39DB">
                        <w:t>Phone +61 8 8230 8400   Fax +61 8 8212 3436</w:t>
                      </w:r>
                    </w:p>
                    <w:p w:rsidR="009D3BED" w:rsidRPr="003A39DB" w:rsidRDefault="009D3BED" w:rsidP="003A39DB">
                      <w:pPr>
                        <w:pStyle w:val="Imprint"/>
                        <w:spacing w:before="80"/>
                      </w:pPr>
                      <w:r w:rsidRPr="003A39DB">
                        <w:t>Email ncver@ncver.edu.au   Web &lt;http://www.ncver.edu.au&gt; &lt;http://www.lsay.edu.au&gt;</w:t>
                      </w:r>
                    </w:p>
                    <w:p w:rsidR="009D3BED" w:rsidRPr="00541B94" w:rsidRDefault="009D3BED" w:rsidP="00CE3C68">
                      <w:pPr>
                        <w:pStyle w:val="Imprint"/>
                        <w:tabs>
                          <w:tab w:val="left" w:pos="851"/>
                        </w:tabs>
                        <w:spacing w:before="80"/>
                      </w:pPr>
                      <w:r w:rsidRPr="003A39DB">
                        <w:t xml:space="preserve">Follow us: </w:t>
                      </w:r>
                      <w:r w:rsidRPr="003A39DB">
                        <w:tab/>
                      </w:r>
                      <w:r w:rsidRPr="003A39DB">
                        <w:rPr>
                          <w:noProof/>
                          <w:lang w:eastAsia="en-AU"/>
                        </w:rPr>
                        <w:drawing>
                          <wp:inline distT="0" distB="0" distL="0" distR="0" wp14:anchorId="4D854CB6" wp14:editId="0DDCBC8F">
                            <wp:extent cx="127000" cy="139700"/>
                            <wp:effectExtent l="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7000" cy="139700"/>
                                    </a:xfrm>
                                    <a:prstGeom prst="rect">
                                      <a:avLst/>
                                    </a:prstGeom>
                                    <a:noFill/>
                                    <a:ln>
                                      <a:noFill/>
                                    </a:ln>
                                  </pic:spPr>
                                </pic:pic>
                              </a:graphicData>
                            </a:graphic>
                          </wp:inline>
                        </w:drawing>
                      </w:r>
                      <w:r w:rsidRPr="003A39DB">
                        <w:t xml:space="preserve">  &lt;</w:t>
                      </w:r>
                      <w:hyperlink r:id="rId18" w:history="1">
                        <w:r w:rsidRPr="003A39DB">
                          <w:rPr>
                            <w:rStyle w:val="Hyperlink"/>
                            <w:sz w:val="16"/>
                          </w:rPr>
                          <w:t>http://twitter.com/ncver</w:t>
                        </w:r>
                      </w:hyperlink>
                      <w:r w:rsidRPr="003A39DB">
                        <w:t xml:space="preserve">&gt;  </w:t>
                      </w:r>
                      <w:r w:rsidRPr="003A39DB">
                        <w:rPr>
                          <w:noProof/>
                          <w:lang w:eastAsia="en-AU"/>
                        </w:rPr>
                        <w:drawing>
                          <wp:inline distT="0" distB="0" distL="0" distR="0" wp14:anchorId="683A76A4" wp14:editId="25E6505D">
                            <wp:extent cx="139700" cy="1397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3A39DB">
                        <w:t xml:space="preserve"> &lt;http://www.linkedin.com/company/ncver</w:t>
                      </w:r>
                      <w:r w:rsidRPr="005C53F0">
                        <w:t>&gt;</w:t>
                      </w:r>
                    </w:p>
                    <w:p w:rsidR="009D3BED" w:rsidRPr="00541B94" w:rsidRDefault="009D3BED" w:rsidP="00541B94">
                      <w:pPr>
                        <w:pStyle w:val="Imprint"/>
                        <w:ind w:right="1700"/>
                        <w:rPr>
                          <w:color w:val="000000"/>
                        </w:rPr>
                      </w:pPr>
                    </w:p>
                  </w:txbxContent>
                </v:textbox>
              </v:shape>
            </w:pict>
          </mc:Fallback>
        </mc:AlternateContent>
      </w:r>
      <w:r w:rsidR="00FE4A2D" w:rsidRPr="005C2FCF">
        <w:br w:type="page"/>
      </w:r>
      <w:bookmarkStart w:id="6" w:name="_Toc73766312"/>
      <w:bookmarkStart w:id="7" w:name="_Toc77937774"/>
      <w:bookmarkStart w:id="8" w:name="_Toc80174750"/>
      <w:bookmarkStart w:id="9" w:name="_Toc81560506"/>
      <w:bookmarkStart w:id="10" w:name="_Toc82071799"/>
      <w:bookmarkStart w:id="11" w:name="_Toc82151754"/>
      <w:bookmarkStart w:id="12" w:name="_Toc82498260"/>
      <w:bookmarkStart w:id="13" w:name="_Toc86829097"/>
      <w:bookmarkStart w:id="14" w:name="_Toc89226248"/>
      <w:bookmarkStart w:id="15" w:name="_Toc89240893"/>
      <w:bookmarkStart w:id="16" w:name="_Toc98394875"/>
      <w:bookmarkStart w:id="17" w:name="_Toc296423679"/>
      <w:bookmarkStart w:id="18" w:name="_Toc296497510"/>
      <w:r w:rsidR="00FE4A2D" w:rsidRPr="005C2FCF">
        <w:lastRenderedPageBreak/>
        <w:t>About the research</w:t>
      </w:r>
      <w:bookmarkEnd w:id="6"/>
      <w:bookmarkEnd w:id="7"/>
      <w:bookmarkEnd w:id="8"/>
      <w:bookmarkEnd w:id="9"/>
      <w:bookmarkEnd w:id="10"/>
      <w:bookmarkEnd w:id="11"/>
      <w:bookmarkEnd w:id="12"/>
      <w:bookmarkEnd w:id="13"/>
      <w:bookmarkEnd w:id="14"/>
      <w:bookmarkEnd w:id="15"/>
      <w:bookmarkEnd w:id="16"/>
      <w:bookmarkEnd w:id="17"/>
      <w:bookmarkEnd w:id="18"/>
      <w:bookmarkEnd w:id="4"/>
      <w:bookmarkEnd w:id="5"/>
    </w:p>
    <w:p w:rsidR="00EB38A1" w:rsidRPr="009762BE" w:rsidRDefault="00522F4D" w:rsidP="00EB38A1">
      <w:pPr>
        <w:pStyle w:val="Abouttheresearchpubtitle"/>
      </w:pPr>
      <w:bookmarkStart w:id="19" w:name="_Toc98394877"/>
      <w:bookmarkStart w:id="20" w:name="_Toc296423681"/>
      <w:bookmarkStart w:id="21" w:name="_Toc296497512"/>
      <w:r>
        <w:t>G</w:t>
      </w:r>
      <w:r w:rsidR="00EB38A1" w:rsidRPr="009762BE">
        <w:t xml:space="preserve">eographical </w:t>
      </w:r>
      <w:r w:rsidR="00745C67">
        <w:t xml:space="preserve">and place </w:t>
      </w:r>
      <w:r w:rsidR="00EB38A1" w:rsidRPr="009762BE">
        <w:t>dimensions of post-school part</w:t>
      </w:r>
      <w:r w:rsidR="00EB38A1">
        <w:t>icipation in education and work</w:t>
      </w:r>
    </w:p>
    <w:bookmarkEnd w:id="19"/>
    <w:bookmarkEnd w:id="20"/>
    <w:bookmarkEnd w:id="21"/>
    <w:p w:rsidR="005D2AA0" w:rsidRPr="00D0755D" w:rsidRDefault="005D2AA0" w:rsidP="00482EC5">
      <w:pPr>
        <w:pStyle w:val="Heading3"/>
        <w:spacing w:before="160"/>
      </w:pPr>
      <w:r w:rsidRPr="00D0755D">
        <w:t xml:space="preserve">Sue Webb, </w:t>
      </w:r>
      <w:proofErr w:type="spellStart"/>
      <w:r w:rsidRPr="00D0755D">
        <w:t>Ros</w:t>
      </w:r>
      <w:proofErr w:type="spellEnd"/>
      <w:r w:rsidRPr="00D0755D">
        <w:t xml:space="preserve"> Black, Ruth Morton, Sue </w:t>
      </w:r>
      <w:proofErr w:type="spellStart"/>
      <w:r w:rsidRPr="00D0755D">
        <w:t>Plowright</w:t>
      </w:r>
      <w:proofErr w:type="spellEnd"/>
      <w:r w:rsidRPr="00D0755D">
        <w:t xml:space="preserve"> and </w:t>
      </w:r>
      <w:proofErr w:type="spellStart"/>
      <w:r w:rsidRPr="00D0755D">
        <w:t>Reshmi</w:t>
      </w:r>
      <w:proofErr w:type="spellEnd"/>
      <w:r w:rsidRPr="00D0755D">
        <w:t xml:space="preserve"> Roy, </w:t>
      </w:r>
      <w:r w:rsidR="003A39DB">
        <w:br/>
      </w:r>
      <w:r w:rsidRPr="00D0755D">
        <w:t xml:space="preserve">Monash University </w:t>
      </w:r>
    </w:p>
    <w:p w:rsidR="009E231A" w:rsidRPr="00155247" w:rsidRDefault="005D2AA0" w:rsidP="00482EC5">
      <w:pPr>
        <w:pStyle w:val="Text"/>
        <w:spacing w:before="120"/>
        <w:ind w:right="0"/>
      </w:pPr>
      <w:r w:rsidRPr="00D0755D">
        <w:t xml:space="preserve">Previous studies have </w:t>
      </w:r>
      <w:r w:rsidR="00024B03" w:rsidRPr="00D0755D">
        <w:t>demonstrated</w:t>
      </w:r>
      <w:r w:rsidRPr="00D0755D">
        <w:t xml:space="preserve"> the importance of a</w:t>
      </w:r>
      <w:r w:rsidR="00DB1C51" w:rsidRPr="00D0755D">
        <w:t>spiration</w:t>
      </w:r>
      <w:r w:rsidR="0051297F" w:rsidRPr="00D0755D">
        <w:t>s</w:t>
      </w:r>
      <w:r w:rsidR="00D30EEB" w:rsidRPr="00D0755D">
        <w:t xml:space="preserve"> </w:t>
      </w:r>
      <w:r w:rsidRPr="00D0755D">
        <w:t>as a</w:t>
      </w:r>
      <w:r w:rsidR="00D30EEB" w:rsidRPr="00D0755D">
        <w:t xml:space="preserve"> key influence on </w:t>
      </w:r>
      <w:r w:rsidR="00024B03" w:rsidRPr="00D0755D">
        <w:t xml:space="preserve">young people’s </w:t>
      </w:r>
      <w:r w:rsidR="00D30EEB" w:rsidRPr="00D0755D">
        <w:t>engagement with pos</w:t>
      </w:r>
      <w:r w:rsidRPr="00D0755D">
        <w:t>t-school education and training.</w:t>
      </w:r>
      <w:r w:rsidR="00D30EEB" w:rsidRPr="00D0755D">
        <w:t xml:space="preserve"> </w:t>
      </w:r>
      <w:r w:rsidR="00FC65AC" w:rsidRPr="00D0755D">
        <w:t>H</w:t>
      </w:r>
      <w:r w:rsidR="00DB1C51" w:rsidRPr="00D0755D">
        <w:t>owever</w:t>
      </w:r>
      <w:r w:rsidR="003A17B7" w:rsidRPr="00D0755D">
        <w:t>,</w:t>
      </w:r>
      <w:r w:rsidR="00DB1C51" w:rsidRPr="00D0755D">
        <w:t xml:space="preserve"> aspiration</w:t>
      </w:r>
      <w:r w:rsidR="003A17B7" w:rsidRPr="00D0755D">
        <w:t>s</w:t>
      </w:r>
      <w:r w:rsidR="00FC65AC" w:rsidRPr="00D0755D">
        <w:t xml:space="preserve"> </w:t>
      </w:r>
      <w:r w:rsidR="00306826" w:rsidRPr="00D0755D">
        <w:t>may</w:t>
      </w:r>
      <w:r w:rsidR="00D30EEB">
        <w:t xml:space="preserve"> be </w:t>
      </w:r>
      <w:r w:rsidR="00DB1C51">
        <w:t>hampered</w:t>
      </w:r>
      <w:r w:rsidR="003A17B7">
        <w:t xml:space="preserve"> by </w:t>
      </w:r>
      <w:r w:rsidR="0021491D">
        <w:t>socioeconomic</w:t>
      </w:r>
      <w:r w:rsidR="00D13A1E">
        <w:t xml:space="preserve"> </w:t>
      </w:r>
      <w:r w:rsidR="00FC65AC">
        <w:t xml:space="preserve">status </w:t>
      </w:r>
      <w:r w:rsidR="00D30EEB">
        <w:t>and geographic location.</w:t>
      </w:r>
      <w:r w:rsidR="00D078A5">
        <w:t xml:space="preserve"> This research explores how young people who live in the same neighbourhood may experience it differently and hold different values and aspirations in relation to further education and post-school pathways.</w:t>
      </w:r>
      <w:r w:rsidR="00DE7E73">
        <w:t xml:space="preserve"> </w:t>
      </w:r>
      <w:r w:rsidR="00703319">
        <w:t>The research was conducted in four sites: two neighbourhoods in regional and rural Gippsland, Victoria</w:t>
      </w:r>
      <w:r w:rsidR="003A17B7">
        <w:t>,</w:t>
      </w:r>
      <w:r w:rsidR="00703319">
        <w:t xml:space="preserve"> and two urban fringe sites in South Australia. </w:t>
      </w:r>
      <w:r w:rsidR="003A17B7">
        <w:t>The research</w:t>
      </w:r>
      <w:r w:rsidR="00D078A5">
        <w:t xml:space="preserve"> highlights</w:t>
      </w:r>
      <w:r w:rsidR="00FE0277">
        <w:t xml:space="preserve"> the importance of </w:t>
      </w:r>
      <w:r w:rsidR="00DE7E73">
        <w:t xml:space="preserve">having </w:t>
      </w:r>
      <w:r w:rsidR="00FE0277">
        <w:t xml:space="preserve">a nuanced understanding of the geography </w:t>
      </w:r>
      <w:r w:rsidR="002F387B">
        <w:t>and characteristics of neighbourhoods in o</w:t>
      </w:r>
      <w:r w:rsidR="00024B03">
        <w:t>rder to tailor policy responses to suit specific cohorts of young people.</w:t>
      </w:r>
      <w:r w:rsidR="002F387B">
        <w:t xml:space="preserve"> </w:t>
      </w:r>
    </w:p>
    <w:p w:rsidR="009E231A" w:rsidRPr="00155247" w:rsidRDefault="00FE4A2D" w:rsidP="00482EC5">
      <w:pPr>
        <w:pStyle w:val="Keymessages"/>
        <w:spacing w:before="160"/>
      </w:pPr>
      <w:bookmarkStart w:id="22" w:name="_Toc98394878"/>
      <w:bookmarkStart w:id="23" w:name="_Toc296423682"/>
      <w:bookmarkStart w:id="24" w:name="_Toc296497513"/>
      <w:r w:rsidRPr="00155247">
        <w:t>Key messages</w:t>
      </w:r>
      <w:bookmarkEnd w:id="22"/>
      <w:bookmarkEnd w:id="23"/>
      <w:bookmarkEnd w:id="24"/>
    </w:p>
    <w:p w:rsidR="002F387B" w:rsidRPr="009863A6" w:rsidRDefault="00703319" w:rsidP="00482EC5">
      <w:pPr>
        <w:pStyle w:val="Dotpoint1"/>
        <w:spacing w:before="40" w:line="260" w:lineRule="exact"/>
      </w:pPr>
      <w:r w:rsidRPr="009863A6">
        <w:t xml:space="preserve">In all </w:t>
      </w:r>
      <w:r w:rsidR="009863A6">
        <w:t xml:space="preserve">four </w:t>
      </w:r>
      <w:r w:rsidRPr="009863A6">
        <w:t>geographic areas y</w:t>
      </w:r>
      <w:r w:rsidR="002F387B" w:rsidRPr="009863A6">
        <w:t xml:space="preserve">oung </w:t>
      </w:r>
      <w:r w:rsidR="002F387B" w:rsidRPr="00D0755D">
        <w:t>people</w:t>
      </w:r>
      <w:r w:rsidR="002F387B" w:rsidRPr="009863A6">
        <w:t xml:space="preserve"> are significantly influenced by their educational and career ‘inheritance’</w:t>
      </w:r>
      <w:r w:rsidR="002074BB" w:rsidRPr="009863A6">
        <w:t xml:space="preserve">, </w:t>
      </w:r>
      <w:r w:rsidR="00F82A00" w:rsidRPr="009863A6">
        <w:t>envisaging</w:t>
      </w:r>
      <w:r w:rsidR="002F387B" w:rsidRPr="009863A6">
        <w:t xml:space="preserve"> </w:t>
      </w:r>
      <w:r w:rsidR="004B48BA" w:rsidRPr="009863A6">
        <w:t>they will</w:t>
      </w:r>
      <w:r w:rsidR="002F387B" w:rsidRPr="009863A6">
        <w:t xml:space="preserve"> follow in the</w:t>
      </w:r>
      <w:r w:rsidR="00F82A00" w:rsidRPr="009863A6">
        <w:t xml:space="preserve"> footsteps of </w:t>
      </w:r>
      <w:r w:rsidR="003A17B7">
        <w:t xml:space="preserve">their </w:t>
      </w:r>
      <w:r w:rsidR="00F82A00" w:rsidRPr="009863A6">
        <w:t xml:space="preserve">parents. </w:t>
      </w:r>
      <w:r w:rsidRPr="009863A6">
        <w:t xml:space="preserve">By encountering educational cultures different </w:t>
      </w:r>
      <w:r w:rsidR="003A17B7">
        <w:t>from</w:t>
      </w:r>
      <w:r w:rsidRPr="009863A6">
        <w:t xml:space="preserve"> their own</w:t>
      </w:r>
      <w:r w:rsidR="00024B03">
        <w:t>,</w:t>
      </w:r>
      <w:r w:rsidRPr="009863A6">
        <w:t xml:space="preserve"> young people are more likely to make life choices divergent from those they ‘inherit’.</w:t>
      </w:r>
    </w:p>
    <w:p w:rsidR="007217B2" w:rsidRPr="003A17B7" w:rsidRDefault="007F188B" w:rsidP="00482EC5">
      <w:pPr>
        <w:pStyle w:val="Dotpoint2"/>
        <w:spacing w:before="20" w:line="260" w:lineRule="exact"/>
      </w:pPr>
      <w:r>
        <w:t>Boys behave differently from girls</w:t>
      </w:r>
      <w:r w:rsidR="00026CE8" w:rsidRPr="003A17B7">
        <w:t xml:space="preserve">. Young men </w:t>
      </w:r>
      <w:r w:rsidR="00CC508D" w:rsidRPr="003A17B7">
        <w:t xml:space="preserve">follow </w:t>
      </w:r>
      <w:r w:rsidR="00026CE8" w:rsidRPr="003A17B7">
        <w:t>the traditions of their fathers</w:t>
      </w:r>
      <w:r w:rsidR="003A17B7">
        <w:t>,</w:t>
      </w:r>
      <w:r w:rsidR="00026CE8" w:rsidRPr="003A17B7">
        <w:t xml:space="preserve"> while young women are </w:t>
      </w:r>
      <w:r w:rsidR="00E41023" w:rsidRPr="003A17B7">
        <w:t>more likely to</w:t>
      </w:r>
      <w:r w:rsidR="00CC508D" w:rsidRPr="003A17B7">
        <w:t xml:space="preserve"> leave an area to </w:t>
      </w:r>
      <w:r w:rsidR="00E41023" w:rsidRPr="003A17B7">
        <w:t>pursue</w:t>
      </w:r>
      <w:r w:rsidR="00CC508D" w:rsidRPr="003A17B7">
        <w:t xml:space="preserve"> opportunities.</w:t>
      </w:r>
    </w:p>
    <w:p w:rsidR="00703319" w:rsidRPr="009863A6" w:rsidRDefault="00703319" w:rsidP="00482EC5">
      <w:pPr>
        <w:pStyle w:val="Dotpoint2"/>
        <w:spacing w:before="20" w:line="260" w:lineRule="exact"/>
        <w:rPr>
          <w:sz w:val="18"/>
          <w:szCs w:val="18"/>
        </w:rPr>
      </w:pPr>
      <w:r w:rsidRPr="003A17B7">
        <w:t>There was no discernible pattern of difference amongst the four areas in relation to expectations that young people progress to university, but schools that were more socially mixed and with students from families with a history of tertiary education were more likely to consider this option</w:t>
      </w:r>
      <w:r w:rsidRPr="009863A6">
        <w:rPr>
          <w:sz w:val="18"/>
          <w:szCs w:val="18"/>
        </w:rPr>
        <w:t xml:space="preserve">. </w:t>
      </w:r>
    </w:p>
    <w:p w:rsidR="00B41174" w:rsidRPr="009863A6" w:rsidRDefault="00B41174" w:rsidP="00482EC5">
      <w:pPr>
        <w:pStyle w:val="Dotpoint1"/>
        <w:spacing w:before="40" w:line="260" w:lineRule="exact"/>
      </w:pPr>
      <w:r w:rsidRPr="009863A6">
        <w:t xml:space="preserve">Perceptions of place are important and ‘not all bad’, </w:t>
      </w:r>
      <w:r w:rsidR="00F82A00" w:rsidRPr="009863A6">
        <w:t>with many</w:t>
      </w:r>
      <w:r w:rsidRPr="009863A6">
        <w:t xml:space="preserve"> young people </w:t>
      </w:r>
      <w:r w:rsidR="00FC65AC" w:rsidRPr="009863A6">
        <w:t>electing</w:t>
      </w:r>
      <w:r w:rsidRPr="009863A6">
        <w:t xml:space="preserve"> to stay </w:t>
      </w:r>
      <w:r w:rsidR="00024B03">
        <w:t>in</w:t>
      </w:r>
      <w:r w:rsidR="0073651D" w:rsidRPr="009863A6">
        <w:t>,</w:t>
      </w:r>
      <w:r w:rsidRPr="009863A6">
        <w:t xml:space="preserve"> </w:t>
      </w:r>
      <w:r w:rsidR="00306826" w:rsidRPr="009863A6">
        <w:t>or return to</w:t>
      </w:r>
      <w:r w:rsidR="003A17B7">
        <w:t>,</w:t>
      </w:r>
      <w:r w:rsidR="00306826" w:rsidRPr="009863A6">
        <w:t xml:space="preserve"> their familiar environment</w:t>
      </w:r>
      <w:r w:rsidRPr="009863A6">
        <w:t>.</w:t>
      </w:r>
      <w:r w:rsidR="009863A6">
        <w:t xml:space="preserve"> However</w:t>
      </w:r>
      <w:r w:rsidR="00024B03">
        <w:t>,</w:t>
      </w:r>
      <w:r w:rsidR="009863A6">
        <w:t xml:space="preserve"> exposure to new ideas or experiences can ‘disrupt’ the strong ties of the familiar, leading </w:t>
      </w:r>
      <w:r w:rsidR="006E7939">
        <w:t>to opportunities that challenge and overcome</w:t>
      </w:r>
      <w:r w:rsidR="009863A6">
        <w:t xml:space="preserve"> disadvantage.</w:t>
      </w:r>
    </w:p>
    <w:p w:rsidR="00CD0219" w:rsidRPr="009863A6" w:rsidRDefault="00B41174" w:rsidP="00482EC5">
      <w:pPr>
        <w:pStyle w:val="Dotpoint1"/>
        <w:spacing w:before="40" w:line="260" w:lineRule="exact"/>
      </w:pPr>
      <w:r w:rsidRPr="009863A6">
        <w:t>As has been identified in previous research, p</w:t>
      </w:r>
      <w:r w:rsidR="00CD0219" w:rsidRPr="009863A6">
        <w:t xml:space="preserve">ractical and financial constraints significantly impact </w:t>
      </w:r>
      <w:r w:rsidR="003A17B7">
        <w:t xml:space="preserve">on </w:t>
      </w:r>
      <w:r w:rsidR="00CD0219" w:rsidRPr="009863A6">
        <w:t>aspiration</w:t>
      </w:r>
      <w:r w:rsidR="003A17B7">
        <w:t>s and opportunities</w:t>
      </w:r>
      <w:r w:rsidR="00CD0219" w:rsidRPr="009863A6">
        <w:t xml:space="preserve">. </w:t>
      </w:r>
      <w:r w:rsidR="00BC3AB6" w:rsidRPr="009863A6">
        <w:t>A particular concern for young people is access to</w:t>
      </w:r>
      <w:r w:rsidR="00DE7E73" w:rsidRPr="009863A6">
        <w:t xml:space="preserve"> </w:t>
      </w:r>
      <w:r w:rsidR="00C74BEA" w:rsidRPr="009863A6">
        <w:t xml:space="preserve">education provision </w:t>
      </w:r>
      <w:r w:rsidR="00DE7E73" w:rsidRPr="009863A6">
        <w:t>and the cost of</w:t>
      </w:r>
      <w:r w:rsidR="00024B03">
        <w:t xml:space="preserve"> transport. A tolerable travel-to-study distance</w:t>
      </w:r>
      <w:r w:rsidR="00C74BEA" w:rsidRPr="009863A6">
        <w:t xml:space="preserve"> is a key factor</w:t>
      </w:r>
      <w:r w:rsidR="00FC65AC" w:rsidRPr="009863A6">
        <w:t xml:space="preserve">, </w:t>
      </w:r>
      <w:r w:rsidR="00BC3AB6" w:rsidRPr="009863A6">
        <w:t>especially once they finish school.</w:t>
      </w:r>
    </w:p>
    <w:p w:rsidR="00FC65AC" w:rsidRPr="009863A6" w:rsidRDefault="00355C33" w:rsidP="00482EC5">
      <w:pPr>
        <w:pStyle w:val="Dotpoint1"/>
        <w:spacing w:before="40"/>
      </w:pPr>
      <w:r w:rsidRPr="009863A6">
        <w:t>Vocational education and training</w:t>
      </w:r>
      <w:r w:rsidR="004E086C" w:rsidRPr="009863A6">
        <w:t xml:space="preserve"> </w:t>
      </w:r>
      <w:r w:rsidRPr="009863A6">
        <w:t xml:space="preserve">(VET) </w:t>
      </w:r>
      <w:r w:rsidR="004E086C" w:rsidRPr="009863A6">
        <w:t xml:space="preserve">provides an </w:t>
      </w:r>
      <w:r w:rsidR="006172E1" w:rsidRPr="009863A6">
        <w:t>essential</w:t>
      </w:r>
      <w:r w:rsidR="004E086C" w:rsidRPr="009863A6">
        <w:t xml:space="preserve"> pathway of choice </w:t>
      </w:r>
      <w:r w:rsidR="007F188B">
        <w:t>to further education and work.</w:t>
      </w:r>
    </w:p>
    <w:p w:rsidR="00FC65AC" w:rsidRPr="003A17B7" w:rsidRDefault="00FC65AC" w:rsidP="00482EC5">
      <w:pPr>
        <w:pStyle w:val="Dotpoint2"/>
        <w:spacing w:before="20" w:line="260" w:lineRule="exact"/>
      </w:pPr>
      <w:r w:rsidRPr="003A17B7">
        <w:t>There is evidence of school retention rates increasing because of the presence of VET in Schools</w:t>
      </w:r>
      <w:r w:rsidR="003A17B7">
        <w:t xml:space="preserve"> programs.</w:t>
      </w:r>
    </w:p>
    <w:p w:rsidR="00FC65AC" w:rsidRPr="003A17B7" w:rsidRDefault="00FC65AC" w:rsidP="00482EC5">
      <w:pPr>
        <w:pStyle w:val="Dotpoint2"/>
        <w:spacing w:before="20" w:line="260" w:lineRule="exact"/>
      </w:pPr>
      <w:r w:rsidRPr="003A17B7">
        <w:t xml:space="preserve">Certificate I and II courses </w:t>
      </w:r>
      <w:r w:rsidR="003A17B7">
        <w:t>establish</w:t>
      </w:r>
      <w:r w:rsidRPr="003A17B7">
        <w:t xml:space="preserve"> an important foundation for learning not acquired in a school setting</w:t>
      </w:r>
      <w:r w:rsidR="003A17B7">
        <w:t>.</w:t>
      </w:r>
    </w:p>
    <w:p w:rsidR="00BC3AB6" w:rsidRPr="003A17B7" w:rsidRDefault="00FC65AC" w:rsidP="00482EC5">
      <w:pPr>
        <w:pStyle w:val="Dotpoint2"/>
        <w:spacing w:before="20" w:line="260" w:lineRule="exact"/>
      </w:pPr>
      <w:r w:rsidRPr="003A17B7">
        <w:t>The</w:t>
      </w:r>
      <w:r w:rsidR="007217B2" w:rsidRPr="003A17B7">
        <w:t xml:space="preserve"> status differen</w:t>
      </w:r>
      <w:r w:rsidR="00024B03">
        <w:t>ce</w:t>
      </w:r>
      <w:r w:rsidR="007217B2" w:rsidRPr="003A17B7">
        <w:t xml:space="preserve"> between VET and </w:t>
      </w:r>
      <w:r w:rsidRPr="003A17B7">
        <w:t>u</w:t>
      </w:r>
      <w:r w:rsidR="007217B2" w:rsidRPr="003A17B7">
        <w:t>niversity pathways is an enduring issue and continues to perpetuate a powerfully entrenched view that VET has to do a</w:t>
      </w:r>
      <w:r w:rsidR="003A17B7">
        <w:t xml:space="preserve">ll the ‘heavy lifting’ in </w:t>
      </w:r>
      <w:r w:rsidR="00024B03">
        <w:t>socioeconomic</w:t>
      </w:r>
      <w:r w:rsidR="007217B2" w:rsidRPr="003A17B7">
        <w:t>ally disadvantaged communities.</w:t>
      </w:r>
    </w:p>
    <w:p w:rsidR="00482EC5" w:rsidRDefault="003A17B7" w:rsidP="0048643A">
      <w:pPr>
        <w:pStyle w:val="Text"/>
        <w:sectPr w:rsidR="00482EC5" w:rsidSect="00F60BA5">
          <w:pgSz w:w="11907" w:h="16840" w:code="9"/>
          <w:pgMar w:top="1276" w:right="1701" w:bottom="1276" w:left="1418" w:header="709" w:footer="556" w:gutter="0"/>
          <w:cols w:space="708"/>
          <w:docGrid w:linePitch="360"/>
        </w:sectPr>
      </w:pPr>
      <w:r>
        <w:t xml:space="preserve">Dr </w:t>
      </w:r>
      <w:r w:rsidR="00C74BEA">
        <w:t>Craig Fowler</w:t>
      </w:r>
      <w:r w:rsidR="0031787F">
        <w:br/>
      </w:r>
      <w:r w:rsidR="00FE4A2D" w:rsidRPr="005C2FCF">
        <w:t>Managing Director, NCVER</w:t>
      </w:r>
    </w:p>
    <w:p w:rsidR="003A39DB" w:rsidRDefault="003A39DB" w:rsidP="003A39DB">
      <w:pPr>
        <w:pStyle w:val="Heading1"/>
      </w:pPr>
      <w:bookmarkStart w:id="25" w:name="_Toc409079359"/>
      <w:r>
        <w:lastRenderedPageBreak/>
        <w:t>Acknowledgments</w:t>
      </w:r>
      <w:bookmarkEnd w:id="25"/>
    </w:p>
    <w:p w:rsidR="003A39DB" w:rsidRDefault="003A39DB" w:rsidP="003A39DB">
      <w:pPr>
        <w:pStyle w:val="Text"/>
      </w:pPr>
      <w:r w:rsidRPr="005D2AA0">
        <w:t>The authors wish to thank the following people</w:t>
      </w:r>
      <w:r>
        <w:t>,</w:t>
      </w:r>
      <w:r w:rsidRPr="005D2AA0">
        <w:t xml:space="preserve"> who made significant contributions, gave generously of their time and provided considerable support and assistance with the development of the research project and report:</w:t>
      </w:r>
      <w:r>
        <w:t xml:space="preserve"> </w:t>
      </w:r>
      <w:r w:rsidRPr="005D2AA0">
        <w:t xml:space="preserve">the participants, both young people and </w:t>
      </w:r>
      <w:r>
        <w:t xml:space="preserve">the </w:t>
      </w:r>
      <w:r w:rsidRPr="005D2AA0">
        <w:t xml:space="preserve">representatives from various education institutions and organisations </w:t>
      </w:r>
      <w:r>
        <w:t>in South Australia and Victoria</w:t>
      </w:r>
      <w:r w:rsidRPr="005D2AA0">
        <w:t xml:space="preserve">; Dr Chandra Shah and Dr John </w:t>
      </w:r>
      <w:proofErr w:type="spellStart"/>
      <w:r w:rsidRPr="005D2AA0">
        <w:t>Par</w:t>
      </w:r>
      <w:r>
        <w:t>dy</w:t>
      </w:r>
      <w:proofErr w:type="spellEnd"/>
      <w:r>
        <w:t xml:space="preserve"> from Monash University; and </w:t>
      </w:r>
      <w:r w:rsidRPr="005D2AA0">
        <w:t>Jo Hargreaves</w:t>
      </w:r>
      <w:r>
        <w:t xml:space="preserve"> from NCVER</w:t>
      </w:r>
      <w:r w:rsidRPr="005D2AA0">
        <w:t xml:space="preserve"> and two anonymous peer reviewers. </w:t>
      </w:r>
    </w:p>
    <w:p w:rsidR="003A39DB" w:rsidRPr="005D2AA0" w:rsidRDefault="003A39DB" w:rsidP="003A39DB">
      <w:pPr>
        <w:pStyle w:val="Text"/>
      </w:pPr>
      <w:r w:rsidRPr="005D2AA0">
        <w:t>Pseudonyms are used throughout the report to assure the anonymity of individual participants. Additionally</w:t>
      </w:r>
      <w:r>
        <w:t>,</w:t>
      </w:r>
      <w:r w:rsidRPr="005D2AA0">
        <w:t xml:space="preserve"> the project would not have been possible without the funding support from the National Centre for Vocational Education Research and ethical approval and support from Monash University, the Government of South Australia's Department of Education and Child Development and the Government of Victo</w:t>
      </w:r>
      <w:r>
        <w:t>ria’</w:t>
      </w:r>
      <w:r w:rsidRPr="005D2AA0">
        <w:t>s Department of Education and Early Childhood Development.</w:t>
      </w:r>
    </w:p>
    <w:p w:rsidR="009E231A" w:rsidRPr="005C2FCF" w:rsidRDefault="009E231A" w:rsidP="0048643A">
      <w:pPr>
        <w:pStyle w:val="Text"/>
      </w:pPr>
    </w:p>
    <w:p w:rsidR="003A17B7" w:rsidRDefault="003A17B7">
      <w:pPr>
        <w:spacing w:before="0" w:line="240" w:lineRule="auto"/>
        <w:rPr>
          <w:rFonts w:ascii="Tahoma" w:hAnsi="Tahoma" w:cs="Tahoma"/>
          <w:color w:val="000000"/>
          <w:kern w:val="28"/>
          <w:sz w:val="56"/>
          <w:szCs w:val="56"/>
        </w:rPr>
      </w:pPr>
      <w:bookmarkStart w:id="26" w:name="_Toc98394880"/>
      <w:bookmarkStart w:id="27" w:name="_Toc296423683"/>
      <w:bookmarkStart w:id="28" w:name="_Toc296497514"/>
      <w:r>
        <w:br w:type="page"/>
      </w:r>
    </w:p>
    <w:p w:rsidR="009E231A" w:rsidRPr="00DC5F5C" w:rsidRDefault="00FE4A2D" w:rsidP="00874DA5">
      <w:pPr>
        <w:pStyle w:val="Contents"/>
      </w:pPr>
      <w:r w:rsidRPr="00DC5F5C">
        <w:lastRenderedPageBreak/>
        <w:t>Contents</w:t>
      </w:r>
      <w:bookmarkEnd w:id="26"/>
      <w:bookmarkEnd w:id="27"/>
      <w:bookmarkEnd w:id="28"/>
    </w:p>
    <w:p w:rsidR="003A39DB" w:rsidRDefault="00FE3DFC">
      <w:pPr>
        <w:pStyle w:val="TOC1"/>
        <w:rPr>
          <w:rFonts w:asciiTheme="minorHAnsi" w:eastAsiaTheme="minorEastAsia" w:hAnsiTheme="minorHAnsi" w:cstheme="minorBidi"/>
          <w:color w:val="auto"/>
          <w:sz w:val="22"/>
          <w:szCs w:val="22"/>
          <w:lang w:eastAsia="en-AU"/>
        </w:rPr>
      </w:pPr>
      <w:r w:rsidRPr="009775C7">
        <w:rPr>
          <w:rFonts w:ascii="Avant Garde" w:hAnsi="Avant Garde"/>
        </w:rPr>
        <w:fldChar w:fldCharType="begin"/>
      </w:r>
      <w:r w:rsidR="00FE4A2D" w:rsidRPr="009775C7">
        <w:rPr>
          <w:rFonts w:ascii="Avant Garde" w:hAnsi="Avant Garde"/>
        </w:rPr>
        <w:instrText xml:space="preserve"> TOC \o "1-2" </w:instrText>
      </w:r>
      <w:r w:rsidRPr="009775C7">
        <w:rPr>
          <w:rFonts w:ascii="Avant Garde" w:hAnsi="Avant Garde"/>
        </w:rPr>
        <w:fldChar w:fldCharType="separate"/>
      </w:r>
      <w:r w:rsidR="003A39DB">
        <w:t>Tables</w:t>
      </w:r>
      <w:r w:rsidR="003A39DB">
        <w:tab/>
      </w:r>
      <w:r w:rsidR="003A39DB">
        <w:fldChar w:fldCharType="begin"/>
      </w:r>
      <w:r w:rsidR="003A39DB">
        <w:instrText xml:space="preserve"> PAGEREF _Toc409079358 \h </w:instrText>
      </w:r>
      <w:r w:rsidR="003A39DB">
        <w:fldChar w:fldCharType="separate"/>
      </w:r>
      <w:r w:rsidR="00A24768">
        <w:t>6</w:t>
      </w:r>
      <w:r w:rsidR="003A39DB">
        <w:fldChar w:fldCharType="end"/>
      </w:r>
    </w:p>
    <w:p w:rsidR="003A39DB" w:rsidRDefault="003A39DB">
      <w:pPr>
        <w:pStyle w:val="TOC1"/>
        <w:rPr>
          <w:rFonts w:asciiTheme="minorHAnsi" w:eastAsiaTheme="minorEastAsia" w:hAnsiTheme="minorHAnsi" w:cstheme="minorBidi"/>
          <w:color w:val="auto"/>
          <w:sz w:val="22"/>
          <w:szCs w:val="22"/>
          <w:lang w:eastAsia="en-AU"/>
        </w:rPr>
      </w:pPr>
      <w:r>
        <w:t>Executive summary</w:t>
      </w:r>
      <w:r>
        <w:tab/>
      </w:r>
      <w:r>
        <w:fldChar w:fldCharType="begin"/>
      </w:r>
      <w:r>
        <w:instrText xml:space="preserve"> PAGEREF _Toc409079360 \h </w:instrText>
      </w:r>
      <w:r>
        <w:fldChar w:fldCharType="separate"/>
      </w:r>
      <w:r w:rsidR="00A24768">
        <w:t>7</w:t>
      </w:r>
      <w:r>
        <w:fldChar w:fldCharType="end"/>
      </w:r>
    </w:p>
    <w:p w:rsidR="003A39DB" w:rsidRDefault="003A39DB">
      <w:pPr>
        <w:pStyle w:val="TOC1"/>
        <w:rPr>
          <w:rFonts w:asciiTheme="minorHAnsi" w:eastAsiaTheme="minorEastAsia" w:hAnsiTheme="minorHAnsi" w:cstheme="minorBidi"/>
          <w:color w:val="auto"/>
          <w:sz w:val="22"/>
          <w:szCs w:val="22"/>
          <w:lang w:eastAsia="en-AU"/>
        </w:rPr>
      </w:pPr>
      <w:r>
        <w:t>Introduction</w:t>
      </w:r>
      <w:r>
        <w:tab/>
      </w:r>
      <w:r>
        <w:fldChar w:fldCharType="begin"/>
      </w:r>
      <w:r>
        <w:instrText xml:space="preserve"> PAGEREF _Toc409079361 \h </w:instrText>
      </w:r>
      <w:r>
        <w:fldChar w:fldCharType="separate"/>
      </w:r>
      <w:r w:rsidR="00A24768">
        <w:t>9</w:t>
      </w:r>
      <w:r>
        <w:fldChar w:fldCharType="end"/>
      </w:r>
    </w:p>
    <w:p w:rsidR="003A39DB" w:rsidRDefault="003A39DB">
      <w:pPr>
        <w:pStyle w:val="TOC2"/>
        <w:rPr>
          <w:rFonts w:asciiTheme="minorHAnsi" w:eastAsiaTheme="minorEastAsia" w:hAnsiTheme="minorHAnsi" w:cstheme="minorBidi"/>
          <w:color w:val="auto"/>
          <w:sz w:val="22"/>
          <w:szCs w:val="22"/>
          <w:lang w:eastAsia="en-AU"/>
        </w:rPr>
      </w:pPr>
      <w:r>
        <w:t>Rationale for the research</w:t>
      </w:r>
      <w:r>
        <w:tab/>
      </w:r>
      <w:r>
        <w:fldChar w:fldCharType="begin"/>
      </w:r>
      <w:r>
        <w:instrText xml:space="preserve"> PAGEREF _Toc409079362 \h </w:instrText>
      </w:r>
      <w:r>
        <w:fldChar w:fldCharType="separate"/>
      </w:r>
      <w:r w:rsidR="00A24768">
        <w:t>10</w:t>
      </w:r>
      <w:r>
        <w:fldChar w:fldCharType="end"/>
      </w:r>
    </w:p>
    <w:p w:rsidR="003A39DB" w:rsidRDefault="003A39DB">
      <w:pPr>
        <w:pStyle w:val="TOC2"/>
        <w:rPr>
          <w:rFonts w:asciiTheme="minorHAnsi" w:eastAsiaTheme="minorEastAsia" w:hAnsiTheme="minorHAnsi" w:cstheme="minorBidi"/>
          <w:color w:val="auto"/>
          <w:sz w:val="22"/>
          <w:szCs w:val="22"/>
          <w:lang w:eastAsia="en-AU"/>
        </w:rPr>
      </w:pPr>
      <w:r>
        <w:t>Structure of the report</w:t>
      </w:r>
      <w:r>
        <w:tab/>
      </w:r>
      <w:r>
        <w:fldChar w:fldCharType="begin"/>
      </w:r>
      <w:r>
        <w:instrText xml:space="preserve"> PAGEREF _Toc409079363 \h </w:instrText>
      </w:r>
      <w:r>
        <w:fldChar w:fldCharType="separate"/>
      </w:r>
      <w:r w:rsidR="00A24768">
        <w:t>10</w:t>
      </w:r>
      <w:r>
        <w:fldChar w:fldCharType="end"/>
      </w:r>
    </w:p>
    <w:p w:rsidR="003A39DB" w:rsidRDefault="003A39DB">
      <w:pPr>
        <w:pStyle w:val="TOC1"/>
        <w:rPr>
          <w:rFonts w:asciiTheme="minorHAnsi" w:eastAsiaTheme="minorEastAsia" w:hAnsiTheme="minorHAnsi" w:cstheme="minorBidi"/>
          <w:color w:val="auto"/>
          <w:sz w:val="22"/>
          <w:szCs w:val="22"/>
          <w:lang w:eastAsia="en-AU"/>
        </w:rPr>
      </w:pPr>
      <w:r>
        <w:t>Literature and contextual review</w:t>
      </w:r>
      <w:r>
        <w:tab/>
      </w:r>
      <w:r>
        <w:fldChar w:fldCharType="begin"/>
      </w:r>
      <w:r>
        <w:instrText xml:space="preserve"> PAGEREF _Toc409079364 \h </w:instrText>
      </w:r>
      <w:r>
        <w:fldChar w:fldCharType="separate"/>
      </w:r>
      <w:r w:rsidR="00A24768">
        <w:t>12</w:t>
      </w:r>
      <w:r>
        <w:fldChar w:fldCharType="end"/>
      </w:r>
    </w:p>
    <w:p w:rsidR="003A39DB" w:rsidRDefault="003A39DB">
      <w:pPr>
        <w:pStyle w:val="TOC2"/>
        <w:rPr>
          <w:rFonts w:asciiTheme="minorHAnsi" w:eastAsiaTheme="minorEastAsia" w:hAnsiTheme="minorHAnsi" w:cstheme="minorBidi"/>
          <w:color w:val="auto"/>
          <w:sz w:val="22"/>
          <w:szCs w:val="22"/>
          <w:lang w:eastAsia="en-AU"/>
        </w:rPr>
      </w:pPr>
      <w:r>
        <w:t>Geography</w:t>
      </w:r>
      <w:r>
        <w:tab/>
      </w:r>
      <w:r>
        <w:fldChar w:fldCharType="begin"/>
      </w:r>
      <w:r>
        <w:instrText xml:space="preserve"> PAGEREF _Toc409079365 \h </w:instrText>
      </w:r>
      <w:r>
        <w:fldChar w:fldCharType="separate"/>
      </w:r>
      <w:r w:rsidR="00A24768">
        <w:t>12</w:t>
      </w:r>
      <w:r>
        <w:fldChar w:fldCharType="end"/>
      </w:r>
    </w:p>
    <w:p w:rsidR="003A39DB" w:rsidRDefault="003A39DB">
      <w:pPr>
        <w:pStyle w:val="TOC2"/>
        <w:rPr>
          <w:rFonts w:asciiTheme="minorHAnsi" w:eastAsiaTheme="minorEastAsia" w:hAnsiTheme="minorHAnsi" w:cstheme="minorBidi"/>
          <w:color w:val="auto"/>
          <w:sz w:val="22"/>
          <w:szCs w:val="22"/>
          <w:lang w:eastAsia="en-AU"/>
        </w:rPr>
      </w:pPr>
      <w:r>
        <w:t>Gender</w:t>
      </w:r>
      <w:r>
        <w:tab/>
      </w:r>
      <w:r>
        <w:fldChar w:fldCharType="begin"/>
      </w:r>
      <w:r>
        <w:instrText xml:space="preserve"> PAGEREF _Toc409079366 \h </w:instrText>
      </w:r>
      <w:r>
        <w:fldChar w:fldCharType="separate"/>
      </w:r>
      <w:r w:rsidR="00A24768">
        <w:t>14</w:t>
      </w:r>
      <w:r>
        <w:fldChar w:fldCharType="end"/>
      </w:r>
    </w:p>
    <w:p w:rsidR="003A39DB" w:rsidRDefault="003A39DB">
      <w:pPr>
        <w:pStyle w:val="TOC2"/>
        <w:rPr>
          <w:rFonts w:asciiTheme="minorHAnsi" w:eastAsiaTheme="minorEastAsia" w:hAnsiTheme="minorHAnsi" w:cstheme="minorBidi"/>
          <w:color w:val="auto"/>
          <w:sz w:val="22"/>
          <w:szCs w:val="22"/>
          <w:lang w:eastAsia="en-AU"/>
        </w:rPr>
      </w:pPr>
      <w:r>
        <w:t>Ethnicity</w:t>
      </w:r>
      <w:r>
        <w:tab/>
      </w:r>
      <w:r>
        <w:fldChar w:fldCharType="begin"/>
      </w:r>
      <w:r>
        <w:instrText xml:space="preserve"> PAGEREF _Toc409079367 \h </w:instrText>
      </w:r>
      <w:r>
        <w:fldChar w:fldCharType="separate"/>
      </w:r>
      <w:r w:rsidR="00A24768">
        <w:t>15</w:t>
      </w:r>
      <w:r>
        <w:fldChar w:fldCharType="end"/>
      </w:r>
    </w:p>
    <w:p w:rsidR="003A39DB" w:rsidRDefault="003A39DB">
      <w:pPr>
        <w:pStyle w:val="TOC2"/>
        <w:rPr>
          <w:rFonts w:asciiTheme="minorHAnsi" w:eastAsiaTheme="minorEastAsia" w:hAnsiTheme="minorHAnsi" w:cstheme="minorBidi"/>
          <w:color w:val="auto"/>
          <w:sz w:val="22"/>
          <w:szCs w:val="22"/>
          <w:lang w:eastAsia="en-AU"/>
        </w:rPr>
      </w:pPr>
      <w:r>
        <w:t>Traditions and the influences of family and the familiar</w:t>
      </w:r>
      <w:r>
        <w:tab/>
      </w:r>
      <w:r>
        <w:fldChar w:fldCharType="begin"/>
      </w:r>
      <w:r>
        <w:instrText xml:space="preserve"> PAGEREF _Toc409079368 \h </w:instrText>
      </w:r>
      <w:r>
        <w:fldChar w:fldCharType="separate"/>
      </w:r>
      <w:r w:rsidR="00A24768">
        <w:t>16</w:t>
      </w:r>
      <w:r>
        <w:fldChar w:fldCharType="end"/>
      </w:r>
    </w:p>
    <w:p w:rsidR="003A39DB" w:rsidRDefault="003A39DB">
      <w:pPr>
        <w:pStyle w:val="TOC2"/>
        <w:rPr>
          <w:rFonts w:asciiTheme="minorHAnsi" w:eastAsiaTheme="minorEastAsia" w:hAnsiTheme="minorHAnsi" w:cstheme="minorBidi"/>
          <w:color w:val="auto"/>
          <w:sz w:val="22"/>
          <w:szCs w:val="22"/>
          <w:lang w:eastAsia="en-AU"/>
        </w:rPr>
      </w:pPr>
      <w:r>
        <w:t>Critical events and disruptions</w:t>
      </w:r>
      <w:r>
        <w:tab/>
      </w:r>
      <w:r>
        <w:fldChar w:fldCharType="begin"/>
      </w:r>
      <w:r>
        <w:instrText xml:space="preserve"> PAGEREF _Toc409079369 \h </w:instrText>
      </w:r>
      <w:r>
        <w:fldChar w:fldCharType="separate"/>
      </w:r>
      <w:r w:rsidR="00A24768">
        <w:t>17</w:t>
      </w:r>
      <w:r>
        <w:fldChar w:fldCharType="end"/>
      </w:r>
    </w:p>
    <w:p w:rsidR="003A39DB" w:rsidRDefault="003A39DB">
      <w:pPr>
        <w:pStyle w:val="TOC1"/>
        <w:rPr>
          <w:rFonts w:asciiTheme="minorHAnsi" w:eastAsiaTheme="minorEastAsia" w:hAnsiTheme="minorHAnsi" w:cstheme="minorBidi"/>
          <w:color w:val="auto"/>
          <w:sz w:val="22"/>
          <w:szCs w:val="22"/>
          <w:lang w:eastAsia="en-AU"/>
        </w:rPr>
      </w:pPr>
      <w:r>
        <w:t>Research methodology and design</w:t>
      </w:r>
      <w:r>
        <w:tab/>
      </w:r>
      <w:r>
        <w:fldChar w:fldCharType="begin"/>
      </w:r>
      <w:r>
        <w:instrText xml:space="preserve"> PAGEREF _Toc409079370 \h </w:instrText>
      </w:r>
      <w:r>
        <w:fldChar w:fldCharType="separate"/>
      </w:r>
      <w:r w:rsidR="00A24768">
        <w:t>21</w:t>
      </w:r>
      <w:r>
        <w:fldChar w:fldCharType="end"/>
      </w:r>
    </w:p>
    <w:p w:rsidR="003A39DB" w:rsidRDefault="003A39DB">
      <w:pPr>
        <w:pStyle w:val="TOC2"/>
        <w:rPr>
          <w:rFonts w:asciiTheme="minorHAnsi" w:eastAsiaTheme="minorEastAsia" w:hAnsiTheme="minorHAnsi" w:cstheme="minorBidi"/>
          <w:color w:val="auto"/>
          <w:sz w:val="22"/>
          <w:szCs w:val="22"/>
          <w:lang w:eastAsia="en-AU"/>
        </w:rPr>
      </w:pPr>
      <w:r>
        <w:t>Identifying the effects of neighbourhood</w:t>
      </w:r>
      <w:r>
        <w:tab/>
      </w:r>
      <w:r>
        <w:fldChar w:fldCharType="begin"/>
      </w:r>
      <w:r>
        <w:instrText xml:space="preserve"> PAGEREF _Toc409079371 \h </w:instrText>
      </w:r>
      <w:r>
        <w:fldChar w:fldCharType="separate"/>
      </w:r>
      <w:r w:rsidR="00A24768">
        <w:t>21</w:t>
      </w:r>
      <w:r>
        <w:fldChar w:fldCharType="end"/>
      </w:r>
    </w:p>
    <w:p w:rsidR="003A39DB" w:rsidRDefault="003A39DB">
      <w:pPr>
        <w:pStyle w:val="TOC2"/>
        <w:rPr>
          <w:rFonts w:asciiTheme="minorHAnsi" w:eastAsiaTheme="minorEastAsia" w:hAnsiTheme="minorHAnsi" w:cstheme="minorBidi"/>
          <w:color w:val="auto"/>
          <w:sz w:val="22"/>
          <w:szCs w:val="22"/>
          <w:lang w:eastAsia="en-AU"/>
        </w:rPr>
      </w:pPr>
      <w:r>
        <w:t>Methods</w:t>
      </w:r>
      <w:r>
        <w:tab/>
      </w:r>
      <w:r>
        <w:fldChar w:fldCharType="begin"/>
      </w:r>
      <w:r>
        <w:instrText xml:space="preserve"> PAGEREF _Toc409079372 \h </w:instrText>
      </w:r>
      <w:r>
        <w:fldChar w:fldCharType="separate"/>
      </w:r>
      <w:r w:rsidR="00A24768">
        <w:t>22</w:t>
      </w:r>
      <w:r>
        <w:fldChar w:fldCharType="end"/>
      </w:r>
    </w:p>
    <w:p w:rsidR="003A39DB" w:rsidRDefault="003A39DB">
      <w:pPr>
        <w:pStyle w:val="TOC2"/>
        <w:rPr>
          <w:rFonts w:asciiTheme="minorHAnsi" w:eastAsiaTheme="minorEastAsia" w:hAnsiTheme="minorHAnsi" w:cstheme="minorBidi"/>
          <w:color w:val="auto"/>
          <w:sz w:val="22"/>
          <w:szCs w:val="22"/>
          <w:lang w:eastAsia="en-AU"/>
        </w:rPr>
      </w:pPr>
      <w:r>
        <w:t>Analysis</w:t>
      </w:r>
      <w:r>
        <w:tab/>
      </w:r>
      <w:r>
        <w:fldChar w:fldCharType="begin"/>
      </w:r>
      <w:r>
        <w:instrText xml:space="preserve"> PAGEREF _Toc409079373 \h </w:instrText>
      </w:r>
      <w:r>
        <w:fldChar w:fldCharType="separate"/>
      </w:r>
      <w:r w:rsidR="00A24768">
        <w:t>24</w:t>
      </w:r>
      <w:r>
        <w:fldChar w:fldCharType="end"/>
      </w:r>
    </w:p>
    <w:p w:rsidR="003A39DB" w:rsidRDefault="003A39DB">
      <w:pPr>
        <w:pStyle w:val="TOC2"/>
        <w:rPr>
          <w:rFonts w:asciiTheme="minorHAnsi" w:eastAsiaTheme="minorEastAsia" w:hAnsiTheme="minorHAnsi" w:cstheme="minorBidi"/>
          <w:color w:val="auto"/>
          <w:sz w:val="22"/>
          <w:szCs w:val="22"/>
          <w:lang w:eastAsia="en-AU"/>
        </w:rPr>
      </w:pPr>
      <w:r>
        <w:t>Selection of the ‘neighbourhood’ sites</w:t>
      </w:r>
      <w:r>
        <w:tab/>
      </w:r>
      <w:r>
        <w:fldChar w:fldCharType="begin"/>
      </w:r>
      <w:r>
        <w:instrText xml:space="preserve"> PAGEREF _Toc409079374 \h </w:instrText>
      </w:r>
      <w:r>
        <w:fldChar w:fldCharType="separate"/>
      </w:r>
      <w:r w:rsidR="00A24768">
        <w:t>24</w:t>
      </w:r>
      <w:r>
        <w:fldChar w:fldCharType="end"/>
      </w:r>
    </w:p>
    <w:p w:rsidR="003A39DB" w:rsidRDefault="003A39DB">
      <w:pPr>
        <w:pStyle w:val="TOC1"/>
        <w:rPr>
          <w:rFonts w:asciiTheme="minorHAnsi" w:eastAsiaTheme="minorEastAsia" w:hAnsiTheme="minorHAnsi" w:cstheme="minorBidi"/>
          <w:color w:val="auto"/>
          <w:sz w:val="22"/>
          <w:szCs w:val="22"/>
          <w:lang w:eastAsia="en-AU"/>
        </w:rPr>
      </w:pPr>
      <w:r>
        <w:t>Findings</w:t>
      </w:r>
      <w:r>
        <w:tab/>
      </w:r>
      <w:r>
        <w:fldChar w:fldCharType="begin"/>
      </w:r>
      <w:r>
        <w:instrText xml:space="preserve"> PAGEREF _Toc409079375 \h </w:instrText>
      </w:r>
      <w:r>
        <w:fldChar w:fldCharType="separate"/>
      </w:r>
      <w:r w:rsidR="00A24768">
        <w:t>27</w:t>
      </w:r>
      <w:r>
        <w:fldChar w:fldCharType="end"/>
      </w:r>
    </w:p>
    <w:p w:rsidR="003A39DB" w:rsidRDefault="003A39DB">
      <w:pPr>
        <w:pStyle w:val="TOC2"/>
        <w:rPr>
          <w:rFonts w:asciiTheme="minorHAnsi" w:eastAsiaTheme="minorEastAsia" w:hAnsiTheme="minorHAnsi" w:cstheme="minorBidi"/>
          <w:color w:val="auto"/>
          <w:sz w:val="22"/>
          <w:szCs w:val="22"/>
          <w:lang w:eastAsia="en-AU"/>
        </w:rPr>
      </w:pPr>
      <w:r>
        <w:t>Overview</w:t>
      </w:r>
      <w:r>
        <w:tab/>
      </w:r>
      <w:r>
        <w:fldChar w:fldCharType="begin"/>
      </w:r>
      <w:r>
        <w:instrText xml:space="preserve"> PAGEREF _Toc409079376 \h </w:instrText>
      </w:r>
      <w:r>
        <w:fldChar w:fldCharType="separate"/>
      </w:r>
      <w:r w:rsidR="00A24768">
        <w:t>27</w:t>
      </w:r>
      <w:r>
        <w:fldChar w:fldCharType="end"/>
      </w:r>
    </w:p>
    <w:p w:rsidR="003A39DB" w:rsidRDefault="003A39DB">
      <w:pPr>
        <w:pStyle w:val="TOC2"/>
        <w:rPr>
          <w:rFonts w:asciiTheme="minorHAnsi" w:eastAsiaTheme="minorEastAsia" w:hAnsiTheme="minorHAnsi" w:cstheme="minorBidi"/>
          <w:color w:val="auto"/>
          <w:sz w:val="22"/>
          <w:szCs w:val="22"/>
          <w:lang w:eastAsia="en-AU"/>
        </w:rPr>
      </w:pPr>
      <w:r>
        <w:t>Pathways of engagement in education or training</w:t>
      </w:r>
      <w:r>
        <w:tab/>
      </w:r>
      <w:r>
        <w:fldChar w:fldCharType="begin"/>
      </w:r>
      <w:r>
        <w:instrText xml:space="preserve"> PAGEREF _Toc409079377 \h </w:instrText>
      </w:r>
      <w:r>
        <w:fldChar w:fldCharType="separate"/>
      </w:r>
      <w:r w:rsidR="00A24768">
        <w:t>27</w:t>
      </w:r>
      <w:r>
        <w:fldChar w:fldCharType="end"/>
      </w:r>
    </w:p>
    <w:p w:rsidR="003A39DB" w:rsidRDefault="003A39DB">
      <w:pPr>
        <w:pStyle w:val="TOC2"/>
        <w:rPr>
          <w:rFonts w:asciiTheme="minorHAnsi" w:eastAsiaTheme="minorEastAsia" w:hAnsiTheme="minorHAnsi" w:cstheme="minorBidi"/>
          <w:color w:val="auto"/>
          <w:sz w:val="22"/>
          <w:szCs w:val="22"/>
          <w:lang w:eastAsia="en-AU"/>
        </w:rPr>
      </w:pPr>
      <w:r>
        <w:t>Geographic influences</w:t>
      </w:r>
      <w:r>
        <w:tab/>
      </w:r>
      <w:r>
        <w:fldChar w:fldCharType="begin"/>
      </w:r>
      <w:r>
        <w:instrText xml:space="preserve"> PAGEREF _Toc409079378 \h </w:instrText>
      </w:r>
      <w:r>
        <w:fldChar w:fldCharType="separate"/>
      </w:r>
      <w:r w:rsidR="00A24768">
        <w:t>33</w:t>
      </w:r>
      <w:r>
        <w:fldChar w:fldCharType="end"/>
      </w:r>
    </w:p>
    <w:p w:rsidR="003A39DB" w:rsidRDefault="003A39DB">
      <w:pPr>
        <w:pStyle w:val="TOC2"/>
        <w:rPr>
          <w:rFonts w:asciiTheme="minorHAnsi" w:eastAsiaTheme="minorEastAsia" w:hAnsiTheme="minorHAnsi" w:cstheme="minorBidi"/>
          <w:color w:val="auto"/>
          <w:sz w:val="22"/>
          <w:szCs w:val="22"/>
          <w:lang w:eastAsia="en-AU"/>
        </w:rPr>
      </w:pPr>
      <w:r>
        <w:t>Gender influences</w:t>
      </w:r>
      <w:r>
        <w:tab/>
      </w:r>
      <w:r>
        <w:fldChar w:fldCharType="begin"/>
      </w:r>
      <w:r>
        <w:instrText xml:space="preserve"> PAGEREF _Toc409079379 \h </w:instrText>
      </w:r>
      <w:r>
        <w:fldChar w:fldCharType="separate"/>
      </w:r>
      <w:r w:rsidR="00A24768">
        <w:t>37</w:t>
      </w:r>
      <w:r>
        <w:fldChar w:fldCharType="end"/>
      </w:r>
    </w:p>
    <w:p w:rsidR="003A39DB" w:rsidRDefault="003A39DB">
      <w:pPr>
        <w:pStyle w:val="TOC2"/>
        <w:rPr>
          <w:rFonts w:asciiTheme="minorHAnsi" w:eastAsiaTheme="minorEastAsia" w:hAnsiTheme="minorHAnsi" w:cstheme="minorBidi"/>
          <w:color w:val="auto"/>
          <w:sz w:val="22"/>
          <w:szCs w:val="22"/>
          <w:lang w:eastAsia="en-AU"/>
        </w:rPr>
      </w:pPr>
      <w:r>
        <w:t>Traditions and the influences of family and the familiar</w:t>
      </w:r>
      <w:r>
        <w:tab/>
      </w:r>
      <w:r>
        <w:fldChar w:fldCharType="begin"/>
      </w:r>
      <w:r>
        <w:instrText xml:space="preserve"> PAGEREF _Toc409079380 \h </w:instrText>
      </w:r>
      <w:r>
        <w:fldChar w:fldCharType="separate"/>
      </w:r>
      <w:r w:rsidR="00A24768">
        <w:t>39</w:t>
      </w:r>
      <w:r>
        <w:fldChar w:fldCharType="end"/>
      </w:r>
    </w:p>
    <w:p w:rsidR="003A39DB" w:rsidRDefault="003A39DB">
      <w:pPr>
        <w:pStyle w:val="TOC2"/>
        <w:rPr>
          <w:rFonts w:asciiTheme="minorHAnsi" w:eastAsiaTheme="minorEastAsia" w:hAnsiTheme="minorHAnsi" w:cstheme="minorBidi"/>
          <w:color w:val="auto"/>
          <w:sz w:val="22"/>
          <w:szCs w:val="22"/>
          <w:lang w:eastAsia="en-AU"/>
        </w:rPr>
      </w:pPr>
      <w:r>
        <w:t>Critical events and disruptions</w:t>
      </w:r>
      <w:r>
        <w:tab/>
      </w:r>
      <w:r>
        <w:fldChar w:fldCharType="begin"/>
      </w:r>
      <w:r>
        <w:instrText xml:space="preserve"> PAGEREF _Toc409079381 \h </w:instrText>
      </w:r>
      <w:r>
        <w:fldChar w:fldCharType="separate"/>
      </w:r>
      <w:r w:rsidR="00A24768">
        <w:t>44</w:t>
      </w:r>
      <w:r>
        <w:fldChar w:fldCharType="end"/>
      </w:r>
    </w:p>
    <w:p w:rsidR="003A39DB" w:rsidRDefault="003A39DB">
      <w:pPr>
        <w:pStyle w:val="TOC1"/>
        <w:rPr>
          <w:rFonts w:asciiTheme="minorHAnsi" w:eastAsiaTheme="minorEastAsia" w:hAnsiTheme="minorHAnsi" w:cstheme="minorBidi"/>
          <w:color w:val="auto"/>
          <w:sz w:val="22"/>
          <w:szCs w:val="22"/>
          <w:lang w:eastAsia="en-AU"/>
        </w:rPr>
      </w:pPr>
      <w:r>
        <w:t>Conclusion</w:t>
      </w:r>
      <w:r>
        <w:tab/>
      </w:r>
      <w:r>
        <w:fldChar w:fldCharType="begin"/>
      </w:r>
      <w:r>
        <w:instrText xml:space="preserve"> PAGEREF _Toc409079382 \h </w:instrText>
      </w:r>
      <w:r>
        <w:fldChar w:fldCharType="separate"/>
      </w:r>
      <w:r w:rsidR="00A24768">
        <w:t>48</w:t>
      </w:r>
      <w:r>
        <w:fldChar w:fldCharType="end"/>
      </w:r>
    </w:p>
    <w:p w:rsidR="003A39DB" w:rsidRDefault="003A39DB">
      <w:pPr>
        <w:pStyle w:val="TOC2"/>
        <w:rPr>
          <w:rFonts w:asciiTheme="minorHAnsi" w:eastAsiaTheme="minorEastAsia" w:hAnsiTheme="minorHAnsi" w:cstheme="minorBidi"/>
          <w:color w:val="auto"/>
          <w:sz w:val="22"/>
          <w:szCs w:val="22"/>
          <w:lang w:eastAsia="en-AU"/>
        </w:rPr>
      </w:pPr>
      <w:r>
        <w:t>Pathways of engagement in education or training</w:t>
      </w:r>
      <w:r>
        <w:tab/>
      </w:r>
      <w:r>
        <w:fldChar w:fldCharType="begin"/>
      </w:r>
      <w:r>
        <w:instrText xml:space="preserve"> PAGEREF _Toc409079383 \h </w:instrText>
      </w:r>
      <w:r>
        <w:fldChar w:fldCharType="separate"/>
      </w:r>
      <w:r w:rsidR="00A24768">
        <w:t>49</w:t>
      </w:r>
      <w:r>
        <w:fldChar w:fldCharType="end"/>
      </w:r>
    </w:p>
    <w:p w:rsidR="003A39DB" w:rsidRDefault="003A39DB">
      <w:pPr>
        <w:pStyle w:val="TOC2"/>
        <w:rPr>
          <w:rFonts w:asciiTheme="minorHAnsi" w:eastAsiaTheme="minorEastAsia" w:hAnsiTheme="minorHAnsi" w:cstheme="minorBidi"/>
          <w:color w:val="auto"/>
          <w:sz w:val="22"/>
          <w:szCs w:val="22"/>
          <w:lang w:eastAsia="en-AU"/>
        </w:rPr>
      </w:pPr>
      <w:r>
        <w:t>Geographic and place influences</w:t>
      </w:r>
      <w:r>
        <w:tab/>
      </w:r>
      <w:r>
        <w:fldChar w:fldCharType="begin"/>
      </w:r>
      <w:r>
        <w:instrText xml:space="preserve"> PAGEREF _Toc409079384 \h </w:instrText>
      </w:r>
      <w:r>
        <w:fldChar w:fldCharType="separate"/>
      </w:r>
      <w:r w:rsidR="00A24768">
        <w:t>49</w:t>
      </w:r>
      <w:r>
        <w:fldChar w:fldCharType="end"/>
      </w:r>
    </w:p>
    <w:p w:rsidR="003A39DB" w:rsidRDefault="003A39DB">
      <w:pPr>
        <w:pStyle w:val="TOC2"/>
        <w:rPr>
          <w:rFonts w:asciiTheme="minorHAnsi" w:eastAsiaTheme="minorEastAsia" w:hAnsiTheme="minorHAnsi" w:cstheme="minorBidi"/>
          <w:color w:val="auto"/>
          <w:sz w:val="22"/>
          <w:szCs w:val="22"/>
          <w:lang w:eastAsia="en-AU"/>
        </w:rPr>
      </w:pPr>
      <w:r>
        <w:t>Gender, family influences and the familiar</w:t>
      </w:r>
      <w:r>
        <w:tab/>
      </w:r>
      <w:r>
        <w:fldChar w:fldCharType="begin"/>
      </w:r>
      <w:r>
        <w:instrText xml:space="preserve"> PAGEREF _Toc409079385 \h </w:instrText>
      </w:r>
      <w:r>
        <w:fldChar w:fldCharType="separate"/>
      </w:r>
      <w:r w:rsidR="00A24768">
        <w:t>50</w:t>
      </w:r>
      <w:r>
        <w:fldChar w:fldCharType="end"/>
      </w:r>
    </w:p>
    <w:p w:rsidR="003A39DB" w:rsidRDefault="003A39DB">
      <w:pPr>
        <w:pStyle w:val="TOC2"/>
        <w:rPr>
          <w:rFonts w:asciiTheme="minorHAnsi" w:eastAsiaTheme="minorEastAsia" w:hAnsiTheme="minorHAnsi" w:cstheme="minorBidi"/>
          <w:color w:val="auto"/>
          <w:sz w:val="22"/>
          <w:szCs w:val="22"/>
          <w:lang w:eastAsia="en-AU"/>
        </w:rPr>
      </w:pPr>
      <w:r>
        <w:t>Disrupting pragmatic rationalism and envisaging new imaginaries</w:t>
      </w:r>
      <w:r>
        <w:tab/>
      </w:r>
      <w:r>
        <w:fldChar w:fldCharType="begin"/>
      </w:r>
      <w:r>
        <w:instrText xml:space="preserve"> PAGEREF _Toc409079386 \h </w:instrText>
      </w:r>
      <w:r>
        <w:fldChar w:fldCharType="separate"/>
      </w:r>
      <w:r w:rsidR="00A24768">
        <w:t>50</w:t>
      </w:r>
      <w:r>
        <w:fldChar w:fldCharType="end"/>
      </w:r>
    </w:p>
    <w:p w:rsidR="003A39DB" w:rsidRDefault="003A39DB">
      <w:pPr>
        <w:pStyle w:val="TOC2"/>
        <w:rPr>
          <w:rFonts w:asciiTheme="minorHAnsi" w:eastAsiaTheme="minorEastAsia" w:hAnsiTheme="minorHAnsi" w:cstheme="minorBidi"/>
          <w:color w:val="auto"/>
          <w:sz w:val="22"/>
          <w:szCs w:val="22"/>
          <w:lang w:eastAsia="en-AU"/>
        </w:rPr>
      </w:pPr>
      <w:r>
        <w:t>Suggestions for policy and practice</w:t>
      </w:r>
      <w:r>
        <w:tab/>
      </w:r>
      <w:r>
        <w:fldChar w:fldCharType="begin"/>
      </w:r>
      <w:r>
        <w:instrText xml:space="preserve"> PAGEREF _Toc409079387 \h </w:instrText>
      </w:r>
      <w:r>
        <w:fldChar w:fldCharType="separate"/>
      </w:r>
      <w:r w:rsidR="00A24768">
        <w:t>51</w:t>
      </w:r>
      <w:r>
        <w:fldChar w:fldCharType="end"/>
      </w:r>
    </w:p>
    <w:p w:rsidR="003A39DB" w:rsidRDefault="003A39DB">
      <w:pPr>
        <w:pStyle w:val="TOC1"/>
        <w:rPr>
          <w:rFonts w:asciiTheme="minorHAnsi" w:eastAsiaTheme="minorEastAsia" w:hAnsiTheme="minorHAnsi" w:cstheme="minorBidi"/>
          <w:color w:val="auto"/>
          <w:sz w:val="22"/>
          <w:szCs w:val="22"/>
          <w:lang w:eastAsia="en-AU"/>
        </w:rPr>
      </w:pPr>
      <w:r>
        <w:t>References</w:t>
      </w:r>
      <w:r>
        <w:tab/>
      </w:r>
      <w:r>
        <w:fldChar w:fldCharType="begin"/>
      </w:r>
      <w:r>
        <w:instrText xml:space="preserve"> PAGEREF _Toc409079388 \h </w:instrText>
      </w:r>
      <w:r>
        <w:fldChar w:fldCharType="separate"/>
      </w:r>
      <w:r w:rsidR="00A24768">
        <w:t>54</w:t>
      </w:r>
      <w:r>
        <w:fldChar w:fldCharType="end"/>
      </w:r>
    </w:p>
    <w:p w:rsidR="003A39DB" w:rsidRDefault="003A39DB">
      <w:pPr>
        <w:pStyle w:val="TOC1"/>
        <w:rPr>
          <w:rFonts w:asciiTheme="minorHAnsi" w:eastAsiaTheme="minorEastAsia" w:hAnsiTheme="minorHAnsi" w:cstheme="minorBidi"/>
          <w:color w:val="auto"/>
          <w:sz w:val="22"/>
          <w:szCs w:val="22"/>
          <w:lang w:eastAsia="en-AU"/>
        </w:rPr>
      </w:pPr>
      <w:r>
        <w:t>Appendix</w:t>
      </w:r>
      <w:r>
        <w:tab/>
      </w:r>
      <w:r>
        <w:fldChar w:fldCharType="begin"/>
      </w:r>
      <w:r>
        <w:instrText xml:space="preserve"> PAGEREF _Toc409079389 \h </w:instrText>
      </w:r>
      <w:r>
        <w:fldChar w:fldCharType="separate"/>
      </w:r>
      <w:r w:rsidR="00A24768">
        <w:t>58</w:t>
      </w:r>
      <w:r>
        <w:fldChar w:fldCharType="end"/>
      </w:r>
    </w:p>
    <w:p w:rsidR="003A39DB" w:rsidRDefault="003A39DB">
      <w:pPr>
        <w:pStyle w:val="TOC1"/>
        <w:rPr>
          <w:rFonts w:asciiTheme="minorHAnsi" w:eastAsiaTheme="minorEastAsia" w:hAnsiTheme="minorHAnsi" w:cstheme="minorBidi"/>
          <w:color w:val="auto"/>
          <w:sz w:val="22"/>
          <w:szCs w:val="22"/>
          <w:lang w:eastAsia="en-AU"/>
        </w:rPr>
      </w:pPr>
      <w:r>
        <w:t>NVETR Program funding</w:t>
      </w:r>
      <w:r>
        <w:tab/>
      </w:r>
      <w:r>
        <w:fldChar w:fldCharType="begin"/>
      </w:r>
      <w:r>
        <w:instrText xml:space="preserve"> PAGEREF _Toc409079390 \h </w:instrText>
      </w:r>
      <w:r>
        <w:fldChar w:fldCharType="separate"/>
      </w:r>
      <w:r w:rsidR="00A24768">
        <w:t>63</w:t>
      </w:r>
      <w:r>
        <w:fldChar w:fldCharType="end"/>
      </w:r>
    </w:p>
    <w:p w:rsidR="004E7227" w:rsidRDefault="00FE3DFC" w:rsidP="0048643A">
      <w:pPr>
        <w:pStyle w:val="Text"/>
      </w:pPr>
      <w:r w:rsidRPr="009775C7">
        <w:fldChar w:fldCharType="end"/>
      </w:r>
    </w:p>
    <w:p w:rsidR="004E7227" w:rsidRDefault="004E7227" w:rsidP="0048643A">
      <w:pPr>
        <w:pStyle w:val="Text"/>
        <w:rPr>
          <w:rFonts w:ascii="Tahoma" w:hAnsi="Tahoma" w:cs="Tahoma"/>
          <w:color w:val="000000"/>
          <w:kern w:val="28"/>
          <w:sz w:val="56"/>
          <w:szCs w:val="56"/>
        </w:rPr>
      </w:pPr>
      <w:r>
        <w:br w:type="page"/>
      </w:r>
    </w:p>
    <w:p w:rsidR="003A39DB" w:rsidRDefault="003A39DB" w:rsidP="003A39DB">
      <w:pPr>
        <w:pStyle w:val="Heading1"/>
      </w:pPr>
      <w:bookmarkStart w:id="29" w:name="_Toc296497516"/>
      <w:bookmarkStart w:id="30" w:name="_Toc298162801"/>
      <w:bookmarkStart w:id="31" w:name="_Toc316371580"/>
      <w:bookmarkStart w:id="32" w:name="_Toc409079358"/>
      <w:bookmarkStart w:id="33" w:name="_Toc409079248"/>
      <w:r>
        <w:lastRenderedPageBreak/>
        <w:t>Tables</w:t>
      </w:r>
      <w:bookmarkEnd w:id="29"/>
      <w:bookmarkEnd w:id="30"/>
      <w:bookmarkEnd w:id="31"/>
      <w:bookmarkEnd w:id="32"/>
    </w:p>
    <w:p w:rsidR="003A39DB" w:rsidRDefault="003A39DB" w:rsidP="003A39DB">
      <w:pPr>
        <w:pStyle w:val="TableofFigures"/>
        <w:tabs>
          <w:tab w:val="clear" w:pos="284"/>
          <w:tab w:val="left" w:pos="426"/>
        </w:tabs>
        <w:ind w:left="426" w:hanging="426"/>
        <w:rPr>
          <w:rFonts w:asciiTheme="minorHAnsi" w:eastAsiaTheme="minorEastAsia" w:hAnsiTheme="minorHAnsi" w:cstheme="minorBidi"/>
          <w:color w:val="auto"/>
          <w:sz w:val="22"/>
          <w:szCs w:val="22"/>
          <w:lang w:eastAsia="en-AU"/>
        </w:rPr>
      </w:pPr>
      <w:r>
        <w:fldChar w:fldCharType="begin"/>
      </w:r>
      <w:r>
        <w:instrText xml:space="preserve"> TOC \f F \t "tabletitle" \c </w:instrText>
      </w:r>
      <w:r>
        <w:fldChar w:fldCharType="separate"/>
      </w:r>
      <w:r>
        <w:t xml:space="preserve">1 </w:t>
      </w:r>
      <w:r>
        <w:tab/>
        <w:t>Selected neighbourhoods</w:t>
      </w:r>
      <w:r>
        <w:tab/>
      </w:r>
      <w:r>
        <w:fldChar w:fldCharType="begin"/>
      </w:r>
      <w:r>
        <w:instrText xml:space="preserve"> PAGEREF _Toc409079312 \h </w:instrText>
      </w:r>
      <w:r>
        <w:fldChar w:fldCharType="separate"/>
      </w:r>
      <w:r w:rsidR="00A24768">
        <w:t>24</w:t>
      </w:r>
      <w:r>
        <w:fldChar w:fldCharType="end"/>
      </w:r>
    </w:p>
    <w:p w:rsidR="003A39DB" w:rsidRDefault="003A39DB" w:rsidP="003A39DB">
      <w:pPr>
        <w:pStyle w:val="TableofFigures"/>
        <w:tabs>
          <w:tab w:val="clear" w:pos="284"/>
          <w:tab w:val="left" w:pos="426"/>
          <w:tab w:val="left" w:pos="1100"/>
        </w:tabs>
        <w:ind w:left="426" w:hanging="426"/>
        <w:rPr>
          <w:rFonts w:asciiTheme="minorHAnsi" w:eastAsiaTheme="minorEastAsia" w:hAnsiTheme="minorHAnsi" w:cstheme="minorBidi"/>
          <w:color w:val="auto"/>
          <w:sz w:val="22"/>
          <w:szCs w:val="22"/>
          <w:lang w:eastAsia="en-AU"/>
        </w:rPr>
      </w:pPr>
      <w:r>
        <w:t xml:space="preserve">A1 </w:t>
      </w:r>
      <w:r>
        <w:rPr>
          <w:rFonts w:asciiTheme="minorHAnsi" w:eastAsiaTheme="minorEastAsia" w:hAnsiTheme="minorHAnsi" w:cstheme="minorBidi"/>
          <w:color w:val="auto"/>
          <w:sz w:val="22"/>
          <w:szCs w:val="22"/>
          <w:lang w:eastAsia="en-AU"/>
        </w:rPr>
        <w:tab/>
      </w:r>
      <w:r>
        <w:t>Young people</w:t>
      </w:r>
      <w:r w:rsidR="007F188B">
        <w:t>'s</w:t>
      </w:r>
      <w:r>
        <w:t xml:space="preserve"> career aspirations and pathways summarised by career category, neighbourhood and pathway</w:t>
      </w:r>
      <w:r>
        <w:tab/>
      </w:r>
      <w:r>
        <w:fldChar w:fldCharType="begin"/>
      </w:r>
      <w:r>
        <w:instrText xml:space="preserve"> PAGEREF _Toc409079313 \h </w:instrText>
      </w:r>
      <w:r>
        <w:fldChar w:fldCharType="separate"/>
      </w:r>
      <w:r w:rsidR="00A24768">
        <w:t>58</w:t>
      </w:r>
      <w:r>
        <w:fldChar w:fldCharType="end"/>
      </w:r>
    </w:p>
    <w:p w:rsidR="003A39DB" w:rsidRDefault="003A39DB" w:rsidP="003A39DB">
      <w:pPr>
        <w:pStyle w:val="TableofFigures"/>
        <w:tabs>
          <w:tab w:val="clear" w:pos="284"/>
          <w:tab w:val="left" w:pos="426"/>
        </w:tabs>
        <w:ind w:left="426" w:hanging="426"/>
        <w:rPr>
          <w:rFonts w:asciiTheme="minorHAnsi" w:eastAsiaTheme="minorEastAsia" w:hAnsiTheme="minorHAnsi" w:cstheme="minorBidi"/>
          <w:color w:val="auto"/>
          <w:sz w:val="22"/>
          <w:szCs w:val="22"/>
          <w:lang w:eastAsia="en-AU"/>
        </w:rPr>
      </w:pPr>
      <w:r>
        <w:t xml:space="preserve">A2 </w:t>
      </w:r>
      <w:r>
        <w:tab/>
        <w:t>Most popular career categories</w:t>
      </w:r>
      <w:r>
        <w:tab/>
      </w:r>
      <w:r>
        <w:fldChar w:fldCharType="begin"/>
      </w:r>
      <w:r>
        <w:instrText xml:space="preserve"> PAGEREF _Toc409079314 \h </w:instrText>
      </w:r>
      <w:r>
        <w:fldChar w:fldCharType="separate"/>
      </w:r>
      <w:r w:rsidR="00A24768">
        <w:t>58</w:t>
      </w:r>
      <w:r>
        <w:fldChar w:fldCharType="end"/>
      </w:r>
    </w:p>
    <w:p w:rsidR="003A39DB" w:rsidRDefault="003A39DB" w:rsidP="003A39DB">
      <w:pPr>
        <w:pStyle w:val="TableofFigures"/>
        <w:tabs>
          <w:tab w:val="clear" w:pos="284"/>
          <w:tab w:val="left" w:pos="426"/>
        </w:tabs>
        <w:ind w:left="426" w:hanging="426"/>
        <w:rPr>
          <w:rFonts w:asciiTheme="minorHAnsi" w:eastAsiaTheme="minorEastAsia" w:hAnsiTheme="minorHAnsi" w:cstheme="minorBidi"/>
          <w:color w:val="auto"/>
          <w:sz w:val="22"/>
          <w:szCs w:val="22"/>
          <w:lang w:eastAsia="en-AU"/>
        </w:rPr>
      </w:pPr>
      <w:r>
        <w:t xml:space="preserve">A3 </w:t>
      </w:r>
      <w:r>
        <w:tab/>
        <w:t>VET pathway preferred career categories</w:t>
      </w:r>
      <w:r>
        <w:tab/>
      </w:r>
      <w:r>
        <w:fldChar w:fldCharType="begin"/>
      </w:r>
      <w:r>
        <w:instrText xml:space="preserve"> PAGEREF _Toc409079315 \h </w:instrText>
      </w:r>
      <w:r>
        <w:fldChar w:fldCharType="separate"/>
      </w:r>
      <w:r w:rsidR="00A24768">
        <w:t>59</w:t>
      </w:r>
      <w:r>
        <w:fldChar w:fldCharType="end"/>
      </w:r>
    </w:p>
    <w:p w:rsidR="003A39DB" w:rsidRDefault="003A39DB" w:rsidP="003A39DB">
      <w:pPr>
        <w:pStyle w:val="TableofFigures"/>
        <w:tabs>
          <w:tab w:val="clear" w:pos="284"/>
          <w:tab w:val="left" w:pos="426"/>
        </w:tabs>
        <w:ind w:left="426" w:hanging="426"/>
        <w:rPr>
          <w:rFonts w:asciiTheme="minorHAnsi" w:eastAsiaTheme="minorEastAsia" w:hAnsiTheme="minorHAnsi" w:cstheme="minorBidi"/>
          <w:color w:val="auto"/>
          <w:sz w:val="22"/>
          <w:szCs w:val="22"/>
          <w:lang w:eastAsia="en-AU"/>
        </w:rPr>
      </w:pPr>
      <w:r>
        <w:t xml:space="preserve">A4 </w:t>
      </w:r>
      <w:r>
        <w:tab/>
        <w:t>University pathway preferred career categories</w:t>
      </w:r>
      <w:r>
        <w:tab/>
      </w:r>
      <w:r>
        <w:fldChar w:fldCharType="begin"/>
      </w:r>
      <w:r>
        <w:instrText xml:space="preserve"> PAGEREF _Toc409079316 \h </w:instrText>
      </w:r>
      <w:r>
        <w:fldChar w:fldCharType="separate"/>
      </w:r>
      <w:r w:rsidR="00A24768">
        <w:t>59</w:t>
      </w:r>
      <w:r>
        <w:fldChar w:fldCharType="end"/>
      </w:r>
    </w:p>
    <w:p w:rsidR="003A39DB" w:rsidRDefault="003A39DB" w:rsidP="003A39DB">
      <w:pPr>
        <w:pStyle w:val="TableofFigures"/>
        <w:tabs>
          <w:tab w:val="clear" w:pos="284"/>
          <w:tab w:val="left" w:pos="426"/>
        </w:tabs>
        <w:ind w:left="426" w:hanging="426"/>
        <w:rPr>
          <w:rFonts w:asciiTheme="minorHAnsi" w:eastAsiaTheme="minorEastAsia" w:hAnsiTheme="minorHAnsi" w:cstheme="minorBidi"/>
          <w:color w:val="auto"/>
          <w:sz w:val="22"/>
          <w:szCs w:val="22"/>
          <w:lang w:eastAsia="en-AU"/>
        </w:rPr>
      </w:pPr>
      <w:r>
        <w:t xml:space="preserve">A5 </w:t>
      </w:r>
      <w:r>
        <w:tab/>
        <w:t>Women's career aspirations and pathways</w:t>
      </w:r>
      <w:r>
        <w:tab/>
      </w:r>
      <w:r>
        <w:fldChar w:fldCharType="begin"/>
      </w:r>
      <w:r>
        <w:instrText xml:space="preserve"> PAGEREF _Toc409079317 \h </w:instrText>
      </w:r>
      <w:r>
        <w:fldChar w:fldCharType="separate"/>
      </w:r>
      <w:r w:rsidR="00A24768">
        <w:t>60</w:t>
      </w:r>
      <w:r>
        <w:fldChar w:fldCharType="end"/>
      </w:r>
    </w:p>
    <w:p w:rsidR="003A39DB" w:rsidRDefault="003A39DB" w:rsidP="003A39DB">
      <w:pPr>
        <w:pStyle w:val="TableofFigures"/>
        <w:tabs>
          <w:tab w:val="clear" w:pos="284"/>
          <w:tab w:val="left" w:pos="426"/>
        </w:tabs>
        <w:ind w:left="426" w:hanging="426"/>
        <w:rPr>
          <w:rFonts w:asciiTheme="minorHAnsi" w:eastAsiaTheme="minorEastAsia" w:hAnsiTheme="minorHAnsi" w:cstheme="minorBidi"/>
          <w:color w:val="auto"/>
          <w:sz w:val="22"/>
          <w:szCs w:val="22"/>
          <w:lang w:eastAsia="en-AU"/>
        </w:rPr>
      </w:pPr>
      <w:r>
        <w:t xml:space="preserve">A6 </w:t>
      </w:r>
      <w:r>
        <w:tab/>
        <w:t>Men's career aspirations and pathways</w:t>
      </w:r>
      <w:r>
        <w:tab/>
      </w:r>
      <w:r>
        <w:fldChar w:fldCharType="begin"/>
      </w:r>
      <w:r>
        <w:instrText xml:space="preserve"> PAGEREF _Toc409079318 \h </w:instrText>
      </w:r>
      <w:r>
        <w:fldChar w:fldCharType="separate"/>
      </w:r>
      <w:r w:rsidR="00A24768">
        <w:t>61</w:t>
      </w:r>
      <w:r>
        <w:fldChar w:fldCharType="end"/>
      </w:r>
    </w:p>
    <w:p w:rsidR="003A39DB" w:rsidRDefault="003A39DB" w:rsidP="003A39DB">
      <w:pPr>
        <w:pStyle w:val="TableofFigures"/>
        <w:tabs>
          <w:tab w:val="clear" w:pos="284"/>
          <w:tab w:val="left" w:pos="426"/>
        </w:tabs>
        <w:ind w:left="426" w:hanging="426"/>
        <w:rPr>
          <w:rFonts w:asciiTheme="minorHAnsi" w:eastAsiaTheme="minorEastAsia" w:hAnsiTheme="minorHAnsi" w:cstheme="minorBidi"/>
          <w:color w:val="auto"/>
          <w:sz w:val="22"/>
          <w:szCs w:val="22"/>
          <w:lang w:eastAsia="en-AU"/>
        </w:rPr>
      </w:pPr>
      <w:r>
        <w:t xml:space="preserve">A7 </w:t>
      </w:r>
      <w:r>
        <w:tab/>
        <w:t>Men’s parents’ careers and qualifications</w:t>
      </w:r>
      <w:r>
        <w:tab/>
      </w:r>
      <w:r>
        <w:fldChar w:fldCharType="begin"/>
      </w:r>
      <w:r>
        <w:instrText xml:space="preserve"> PAGEREF _Toc409079319 \h </w:instrText>
      </w:r>
      <w:r>
        <w:fldChar w:fldCharType="separate"/>
      </w:r>
      <w:r w:rsidR="00A24768">
        <w:t>61</w:t>
      </w:r>
      <w:r>
        <w:fldChar w:fldCharType="end"/>
      </w:r>
    </w:p>
    <w:p w:rsidR="003A39DB" w:rsidRDefault="003A39DB" w:rsidP="003A39DB">
      <w:pPr>
        <w:pStyle w:val="TableofFigures"/>
        <w:tabs>
          <w:tab w:val="clear" w:pos="284"/>
          <w:tab w:val="left" w:pos="426"/>
        </w:tabs>
        <w:ind w:left="426" w:hanging="426"/>
        <w:rPr>
          <w:rFonts w:asciiTheme="minorHAnsi" w:eastAsiaTheme="minorEastAsia" w:hAnsiTheme="minorHAnsi" w:cstheme="minorBidi"/>
          <w:color w:val="auto"/>
          <w:sz w:val="22"/>
          <w:szCs w:val="22"/>
          <w:lang w:eastAsia="en-AU"/>
        </w:rPr>
      </w:pPr>
      <w:r>
        <w:t xml:space="preserve">A8 </w:t>
      </w:r>
      <w:r>
        <w:tab/>
        <w:t>Women’s parents’ careers and qualifications</w:t>
      </w:r>
      <w:r>
        <w:tab/>
      </w:r>
      <w:r>
        <w:fldChar w:fldCharType="begin"/>
      </w:r>
      <w:r>
        <w:instrText xml:space="preserve"> PAGEREF _Toc409079320 \h </w:instrText>
      </w:r>
      <w:r>
        <w:fldChar w:fldCharType="separate"/>
      </w:r>
      <w:r w:rsidR="00A24768">
        <w:t>62</w:t>
      </w:r>
      <w:r>
        <w:fldChar w:fldCharType="end"/>
      </w:r>
    </w:p>
    <w:p w:rsidR="003A39DB" w:rsidRDefault="003A39DB" w:rsidP="003A39DB">
      <w:pPr>
        <w:pStyle w:val="TableofFigures"/>
        <w:tabs>
          <w:tab w:val="clear" w:pos="284"/>
          <w:tab w:val="left" w:pos="426"/>
        </w:tabs>
        <w:ind w:left="426" w:hanging="426"/>
        <w:rPr>
          <w:rFonts w:asciiTheme="minorHAnsi" w:eastAsiaTheme="minorEastAsia" w:hAnsiTheme="minorHAnsi" w:cstheme="minorBidi"/>
          <w:color w:val="auto"/>
          <w:sz w:val="22"/>
          <w:szCs w:val="22"/>
          <w:lang w:eastAsia="en-AU"/>
        </w:rPr>
      </w:pPr>
      <w:r>
        <w:t xml:space="preserve">A9 </w:t>
      </w:r>
      <w:r>
        <w:tab/>
        <w:t>Stakeholders and organisations in South Australia and Victoria</w:t>
      </w:r>
      <w:r>
        <w:tab/>
      </w:r>
      <w:r>
        <w:fldChar w:fldCharType="begin"/>
      </w:r>
      <w:r>
        <w:instrText xml:space="preserve"> PAGEREF _Toc409079321 \h </w:instrText>
      </w:r>
      <w:r>
        <w:fldChar w:fldCharType="separate"/>
      </w:r>
      <w:r w:rsidR="00A24768">
        <w:t>62</w:t>
      </w:r>
      <w:r>
        <w:fldChar w:fldCharType="end"/>
      </w:r>
    </w:p>
    <w:p w:rsidR="003A39DB" w:rsidRDefault="003A39DB" w:rsidP="003A39DB">
      <w:pPr>
        <w:pStyle w:val="TableofFigures"/>
        <w:tabs>
          <w:tab w:val="clear" w:pos="284"/>
          <w:tab w:val="left" w:pos="426"/>
        </w:tabs>
        <w:ind w:left="426" w:hanging="426"/>
        <w:rPr>
          <w:rFonts w:asciiTheme="minorHAnsi" w:eastAsiaTheme="minorEastAsia" w:hAnsiTheme="minorHAnsi" w:cstheme="minorBidi"/>
          <w:color w:val="auto"/>
          <w:sz w:val="22"/>
          <w:szCs w:val="22"/>
          <w:lang w:eastAsia="en-AU"/>
        </w:rPr>
      </w:pPr>
      <w:r>
        <w:t xml:space="preserve">A10 </w:t>
      </w:r>
      <w:r>
        <w:tab/>
        <w:t xml:space="preserve">Young people’s education and geographical location at point </w:t>
      </w:r>
      <w:r>
        <w:br/>
        <w:t>of interview</w:t>
      </w:r>
      <w:r>
        <w:tab/>
      </w:r>
      <w:r>
        <w:fldChar w:fldCharType="begin"/>
      </w:r>
      <w:r>
        <w:instrText xml:space="preserve"> PAGEREF _Toc409079322 \h </w:instrText>
      </w:r>
      <w:r>
        <w:fldChar w:fldCharType="separate"/>
      </w:r>
      <w:r w:rsidR="00A24768">
        <w:t>62</w:t>
      </w:r>
      <w:r>
        <w:fldChar w:fldCharType="end"/>
      </w:r>
    </w:p>
    <w:p w:rsidR="003A39DB" w:rsidRDefault="003A39DB" w:rsidP="003A39DB">
      <w:pPr>
        <w:spacing w:before="0" w:line="240" w:lineRule="auto"/>
        <w:rPr>
          <w:rFonts w:ascii="Tahoma" w:hAnsi="Tahoma" w:cs="Tahoma"/>
          <w:color w:val="000000"/>
          <w:kern w:val="28"/>
          <w:sz w:val="56"/>
          <w:szCs w:val="56"/>
        </w:rPr>
      </w:pPr>
      <w:r>
        <w:fldChar w:fldCharType="end"/>
      </w:r>
      <w:r>
        <w:br w:type="page"/>
      </w:r>
    </w:p>
    <w:p w:rsidR="009E231A" w:rsidRPr="00B86D06" w:rsidRDefault="00FE4A2D" w:rsidP="008C0A74">
      <w:pPr>
        <w:pStyle w:val="Heading1"/>
      </w:pPr>
      <w:bookmarkStart w:id="34" w:name="_Toc409079360"/>
      <w:bookmarkEnd w:id="33"/>
      <w:r w:rsidRPr="00B86D06">
        <w:lastRenderedPageBreak/>
        <w:t>Executive summary</w:t>
      </w:r>
      <w:bookmarkEnd w:id="34"/>
      <w:r w:rsidR="00A50895">
        <w:t xml:space="preserve"> </w:t>
      </w:r>
    </w:p>
    <w:p w:rsidR="004C0996" w:rsidRPr="004C0996" w:rsidRDefault="004C0996" w:rsidP="009872FF">
      <w:pPr>
        <w:pStyle w:val="Text"/>
        <w:rPr>
          <w:bCs/>
        </w:rPr>
      </w:pPr>
      <w:bookmarkStart w:id="35" w:name="_Toc298162805"/>
      <w:bookmarkStart w:id="36" w:name="_Toc296497520"/>
      <w:bookmarkStart w:id="37" w:name="_Toc296423686"/>
      <w:r w:rsidRPr="004C0996">
        <w:rPr>
          <w:bCs/>
        </w:rPr>
        <w:t xml:space="preserve">Understanding the factors that drive the educational aspirations, choices, life chances and imagined futures of young people in different geographic settings is important for designing appropriate policy responses. </w:t>
      </w:r>
      <w:r w:rsidR="00E640E9">
        <w:rPr>
          <w:bCs/>
        </w:rPr>
        <w:t>T</w:t>
      </w:r>
      <w:r w:rsidR="00E640E9" w:rsidRPr="004C0996">
        <w:rPr>
          <w:bCs/>
        </w:rPr>
        <w:t>he role of ‘geography’</w:t>
      </w:r>
      <w:r w:rsidR="00E640E9">
        <w:rPr>
          <w:bCs/>
        </w:rPr>
        <w:t xml:space="preserve"> in the deliberations of young people is a key aspect</w:t>
      </w:r>
      <w:r w:rsidR="00107DD8" w:rsidRPr="00CC5320">
        <w:rPr>
          <w:bCs/>
        </w:rPr>
        <w:t xml:space="preserve">. </w:t>
      </w:r>
      <w:r w:rsidR="00CC5320">
        <w:rPr>
          <w:bCs/>
        </w:rPr>
        <w:t>In this instance</w:t>
      </w:r>
      <w:r w:rsidR="00107DD8" w:rsidRPr="00CC5320">
        <w:rPr>
          <w:bCs/>
        </w:rPr>
        <w:t xml:space="preserve"> ‘geography’</w:t>
      </w:r>
      <w:r w:rsidR="00CC5320">
        <w:rPr>
          <w:bCs/>
        </w:rPr>
        <w:t xml:space="preserve"> encompasses</w:t>
      </w:r>
      <w:r w:rsidR="00107DD8" w:rsidRPr="00CC5320">
        <w:rPr>
          <w:bCs/>
        </w:rPr>
        <w:t xml:space="preserve"> </w:t>
      </w:r>
      <w:r w:rsidRPr="00CC5320">
        <w:rPr>
          <w:bCs/>
        </w:rPr>
        <w:t xml:space="preserve">the </w:t>
      </w:r>
      <w:r w:rsidR="00E640E9">
        <w:rPr>
          <w:bCs/>
        </w:rPr>
        <w:t>influence exerted</w:t>
      </w:r>
      <w:r w:rsidR="008D4C23" w:rsidRPr="00CC5320">
        <w:rPr>
          <w:bCs/>
        </w:rPr>
        <w:t xml:space="preserve"> by neighbourhood and school</w:t>
      </w:r>
      <w:r w:rsidRPr="00CC5320">
        <w:rPr>
          <w:bCs/>
        </w:rPr>
        <w:t xml:space="preserve"> characteristics </w:t>
      </w:r>
      <w:r w:rsidR="00CC5320" w:rsidRPr="00CC5320">
        <w:rPr>
          <w:bCs/>
        </w:rPr>
        <w:t xml:space="preserve">in </w:t>
      </w:r>
      <w:r w:rsidR="00E640E9">
        <w:rPr>
          <w:bCs/>
        </w:rPr>
        <w:t xml:space="preserve">determining </w:t>
      </w:r>
      <w:r w:rsidR="00CC5320" w:rsidRPr="00CC5320">
        <w:rPr>
          <w:bCs/>
        </w:rPr>
        <w:t xml:space="preserve">the aspirations, choices and chances of young people </w:t>
      </w:r>
      <w:r w:rsidR="00892D06" w:rsidRPr="00CC5320">
        <w:rPr>
          <w:bCs/>
        </w:rPr>
        <w:t xml:space="preserve">who live in places characterised by </w:t>
      </w:r>
      <w:r w:rsidR="0021491D">
        <w:rPr>
          <w:bCs/>
        </w:rPr>
        <w:t>socioeconomic</w:t>
      </w:r>
      <w:r w:rsidR="00D13A1E">
        <w:rPr>
          <w:bCs/>
        </w:rPr>
        <w:t xml:space="preserve"> </w:t>
      </w:r>
      <w:r w:rsidR="00892D06" w:rsidRPr="00CC5320">
        <w:rPr>
          <w:bCs/>
        </w:rPr>
        <w:t>disadvantage</w:t>
      </w:r>
      <w:r w:rsidR="00892D06">
        <w:rPr>
          <w:bCs/>
        </w:rPr>
        <w:t>. We look specifically at the influence of geography on young people</w:t>
      </w:r>
      <w:r w:rsidR="00892D06" w:rsidRPr="00CC5320">
        <w:rPr>
          <w:bCs/>
        </w:rPr>
        <w:t xml:space="preserve"> </w:t>
      </w:r>
      <w:r w:rsidR="00892D06">
        <w:rPr>
          <w:bCs/>
        </w:rPr>
        <w:t xml:space="preserve">in </w:t>
      </w:r>
      <w:r w:rsidR="00892D06" w:rsidRPr="00CC5320">
        <w:rPr>
          <w:bCs/>
        </w:rPr>
        <w:t xml:space="preserve">urban fringe, rural and regional </w:t>
      </w:r>
      <w:r w:rsidR="00892D06">
        <w:rPr>
          <w:bCs/>
        </w:rPr>
        <w:t>areas</w:t>
      </w:r>
      <w:r w:rsidR="007F188B">
        <w:rPr>
          <w:bCs/>
        </w:rPr>
        <w:t xml:space="preserve"> in Australia</w:t>
      </w:r>
      <w:r w:rsidR="00892D06">
        <w:rPr>
          <w:bCs/>
        </w:rPr>
        <w:t xml:space="preserve"> and its effect on their</w:t>
      </w:r>
      <w:r w:rsidRPr="00CC5320">
        <w:rPr>
          <w:bCs/>
        </w:rPr>
        <w:t xml:space="preserve"> post</w:t>
      </w:r>
      <w:r w:rsidR="0074249A" w:rsidRPr="00CC5320">
        <w:rPr>
          <w:bCs/>
        </w:rPr>
        <w:t>-</w:t>
      </w:r>
      <w:r w:rsidRPr="00CC5320">
        <w:rPr>
          <w:bCs/>
        </w:rPr>
        <w:t xml:space="preserve">school labour markets </w:t>
      </w:r>
      <w:r w:rsidRPr="00BE1FB1">
        <w:rPr>
          <w:bCs/>
        </w:rPr>
        <w:t>and education and training</w:t>
      </w:r>
      <w:r w:rsidR="00892D06" w:rsidRPr="00BE1FB1">
        <w:rPr>
          <w:bCs/>
        </w:rPr>
        <w:t xml:space="preserve"> opportunities</w:t>
      </w:r>
      <w:r w:rsidRPr="00BE1FB1">
        <w:rPr>
          <w:bCs/>
        </w:rPr>
        <w:t>.</w:t>
      </w:r>
      <w:r w:rsidR="007F188B" w:rsidRPr="00BE1FB1">
        <w:rPr>
          <w:bCs/>
        </w:rPr>
        <w:t xml:space="preserve"> This was one of three topics that comprised a three-year program of work: </w:t>
      </w:r>
      <w:r w:rsidR="007F188B" w:rsidRPr="00BE1FB1">
        <w:rPr>
          <w:bCs/>
          <w:i/>
        </w:rPr>
        <w:t>Geographical dimensions of social inclusion and vocational education and training (VET) in Australia</w:t>
      </w:r>
      <w:r w:rsidR="007F188B" w:rsidRPr="00BE1FB1">
        <w:rPr>
          <w:bCs/>
        </w:rPr>
        <w:t xml:space="preserve">, a research partnership between </w:t>
      </w:r>
      <w:r w:rsidR="00994936" w:rsidRPr="00BE1FB1">
        <w:rPr>
          <w:bCs/>
        </w:rPr>
        <w:t>the</w:t>
      </w:r>
      <w:r w:rsidR="00BE1FB1" w:rsidRPr="00BE1FB1">
        <w:t xml:space="preserve"> Centre for the Economics of Education and</w:t>
      </w:r>
      <w:r w:rsidR="00BE1FB1">
        <w:t xml:space="preserve"> Training at Monash University and </w:t>
      </w:r>
      <w:r w:rsidR="00BE1FB1" w:rsidRPr="00536B8B">
        <w:t>NCVER</w:t>
      </w:r>
      <w:r w:rsidR="00BE1FB1">
        <w:t>.</w:t>
      </w:r>
    </w:p>
    <w:p w:rsidR="004C0996" w:rsidRPr="004C0996" w:rsidRDefault="004C0996" w:rsidP="004C0996">
      <w:pPr>
        <w:pStyle w:val="Text"/>
        <w:rPr>
          <w:bCs/>
        </w:rPr>
      </w:pPr>
      <w:r w:rsidRPr="004C0996">
        <w:rPr>
          <w:bCs/>
        </w:rPr>
        <w:t xml:space="preserve">In this study, we </w:t>
      </w:r>
      <w:r w:rsidR="00BB14EE">
        <w:rPr>
          <w:bCs/>
        </w:rPr>
        <w:t xml:space="preserve">aim to understand the processes that shape young people’s aspirations and post-school educational participation. In particular, we </w:t>
      </w:r>
      <w:r w:rsidRPr="004C0996">
        <w:rPr>
          <w:bCs/>
        </w:rPr>
        <w:t>investigate the following two questions:</w:t>
      </w:r>
    </w:p>
    <w:p w:rsidR="004C0996" w:rsidRPr="004C0996" w:rsidRDefault="004C0996" w:rsidP="00C74818">
      <w:pPr>
        <w:pStyle w:val="Dotpoint1"/>
      </w:pPr>
      <w:r w:rsidRPr="004C0996">
        <w:t>What are the specific mechanisms through which the characteristics of neighbourhood might affect an individual?</w:t>
      </w:r>
    </w:p>
    <w:p w:rsidR="00A56C1A" w:rsidRPr="004C0996" w:rsidRDefault="007F188B" w:rsidP="00C74818">
      <w:pPr>
        <w:pStyle w:val="Dotpoint1"/>
      </w:pPr>
      <w:r>
        <w:t>How do individuals manage</w:t>
      </w:r>
      <w:r w:rsidR="004C0996" w:rsidRPr="004C0996">
        <w:t xml:space="preserve"> their lives in neighbourhoods of </w:t>
      </w:r>
      <w:r w:rsidR="0021491D">
        <w:t xml:space="preserve">socioeconomic </w:t>
      </w:r>
      <w:r w:rsidR="004C0996" w:rsidRPr="004C0996">
        <w:t>disadvantage, make decisions about where, how and with whom they spend their time and imagine their education and work futures?</w:t>
      </w:r>
    </w:p>
    <w:p w:rsidR="004C0996" w:rsidRPr="004C0996" w:rsidRDefault="004C0996" w:rsidP="00D1610E">
      <w:pPr>
        <w:pStyle w:val="Text"/>
        <w:rPr>
          <w:bCs/>
        </w:rPr>
      </w:pPr>
      <w:r w:rsidRPr="004C0996">
        <w:rPr>
          <w:bCs/>
        </w:rPr>
        <w:t>The study uses data from qualitative research conducted in four sites: two neighbourhoods in regional and rural Gippsland, Victoria</w:t>
      </w:r>
      <w:r w:rsidR="00892D06">
        <w:rPr>
          <w:bCs/>
        </w:rPr>
        <w:t>,</w:t>
      </w:r>
      <w:r w:rsidRPr="004C0996">
        <w:rPr>
          <w:bCs/>
        </w:rPr>
        <w:t xml:space="preserve"> and two </w:t>
      </w:r>
      <w:r w:rsidR="00870DBD" w:rsidRPr="004C0996">
        <w:rPr>
          <w:bCs/>
        </w:rPr>
        <w:t>urban</w:t>
      </w:r>
      <w:r w:rsidR="00870DBD">
        <w:rPr>
          <w:bCs/>
        </w:rPr>
        <w:t xml:space="preserve"> fringe</w:t>
      </w:r>
      <w:r w:rsidR="00870DBD" w:rsidRPr="004C0996">
        <w:rPr>
          <w:bCs/>
        </w:rPr>
        <w:t xml:space="preserve"> </w:t>
      </w:r>
      <w:r w:rsidRPr="004C0996">
        <w:rPr>
          <w:bCs/>
        </w:rPr>
        <w:t xml:space="preserve">sites in South Australia, in the north and south of Adelaide. A qualitative methodology was </w:t>
      </w:r>
      <w:r w:rsidR="007F188B">
        <w:rPr>
          <w:bCs/>
        </w:rPr>
        <w:t>utilised</w:t>
      </w:r>
      <w:r w:rsidRPr="004C0996">
        <w:rPr>
          <w:bCs/>
        </w:rPr>
        <w:t xml:space="preserve"> to </w:t>
      </w:r>
      <w:r w:rsidR="00BC5808">
        <w:rPr>
          <w:bCs/>
        </w:rPr>
        <w:t>investigate</w:t>
      </w:r>
      <w:r w:rsidRPr="004C0996">
        <w:rPr>
          <w:bCs/>
        </w:rPr>
        <w:t xml:space="preserve"> the mechanisms that enable some people in low </w:t>
      </w:r>
      <w:r w:rsidR="0021491D">
        <w:rPr>
          <w:bCs/>
        </w:rPr>
        <w:t xml:space="preserve">socioeconomic </w:t>
      </w:r>
      <w:r w:rsidR="00BC5808">
        <w:rPr>
          <w:bCs/>
        </w:rPr>
        <w:t xml:space="preserve">status (SES) </w:t>
      </w:r>
      <w:r w:rsidRPr="004C0996">
        <w:rPr>
          <w:bCs/>
        </w:rPr>
        <w:t>neighbourhoods to overcome neighbourhood effects and participate in post-school education and training. This methodology also enabled a detailed exploration of young people’s life worlds in different geographic contexts.</w:t>
      </w:r>
    </w:p>
    <w:p w:rsidR="0014650F" w:rsidRDefault="007F188B" w:rsidP="00675A65">
      <w:pPr>
        <w:pStyle w:val="Text"/>
        <w:rPr>
          <w:bCs/>
        </w:rPr>
      </w:pPr>
      <w:r>
        <w:rPr>
          <w:bCs/>
        </w:rPr>
        <w:t>The data that</w:t>
      </w:r>
      <w:r w:rsidR="004C0996" w:rsidRPr="004C0996">
        <w:rPr>
          <w:bCs/>
        </w:rPr>
        <w:t xml:space="preserve"> </w:t>
      </w:r>
      <w:r w:rsidR="0021491D">
        <w:rPr>
          <w:bCs/>
        </w:rPr>
        <w:t>emerged from this study provide</w:t>
      </w:r>
      <w:r w:rsidR="004C0996" w:rsidRPr="004C0996">
        <w:rPr>
          <w:bCs/>
        </w:rPr>
        <w:t xml:space="preserve"> an understanding of some of the geographical aspects of social exclusion</w:t>
      </w:r>
      <w:r w:rsidR="005341BB">
        <w:rPr>
          <w:bCs/>
        </w:rPr>
        <w:t xml:space="preserve">. </w:t>
      </w:r>
      <w:r w:rsidR="0021491D">
        <w:rPr>
          <w:bCs/>
        </w:rPr>
        <w:t>They also provide</w:t>
      </w:r>
      <w:r w:rsidR="005341BB">
        <w:rPr>
          <w:bCs/>
        </w:rPr>
        <w:t xml:space="preserve"> an understanding of</w:t>
      </w:r>
      <w:r w:rsidR="004C0996" w:rsidRPr="004C0996">
        <w:rPr>
          <w:bCs/>
        </w:rPr>
        <w:t xml:space="preserve"> the role </w:t>
      </w:r>
      <w:r w:rsidR="00BC5808">
        <w:rPr>
          <w:bCs/>
        </w:rPr>
        <w:t xml:space="preserve">that </w:t>
      </w:r>
      <w:r w:rsidR="004C0996" w:rsidRPr="004C0996">
        <w:rPr>
          <w:bCs/>
        </w:rPr>
        <w:t xml:space="preserve">education and training can have in reducing </w:t>
      </w:r>
      <w:r w:rsidR="005341BB">
        <w:rPr>
          <w:bCs/>
        </w:rPr>
        <w:t>the risk of social exclusion</w:t>
      </w:r>
      <w:r w:rsidR="004C0996" w:rsidRPr="004C0996">
        <w:rPr>
          <w:bCs/>
        </w:rPr>
        <w:t xml:space="preserve"> and in improving labour force participation. </w:t>
      </w:r>
      <w:r w:rsidR="0021491D">
        <w:rPr>
          <w:bCs/>
        </w:rPr>
        <w:t>These</w:t>
      </w:r>
      <w:r w:rsidR="00E94E69">
        <w:rPr>
          <w:bCs/>
        </w:rPr>
        <w:t xml:space="preserve"> data</w:t>
      </w:r>
      <w:r w:rsidR="0021491D">
        <w:rPr>
          <w:bCs/>
        </w:rPr>
        <w:t xml:space="preserve"> provide</w:t>
      </w:r>
      <w:r w:rsidR="004C0996" w:rsidRPr="004C0996">
        <w:rPr>
          <w:bCs/>
        </w:rPr>
        <w:t xml:space="preserve"> needed insights into engagement in education or training for young people in </w:t>
      </w:r>
      <w:r w:rsidR="00870DBD" w:rsidRPr="004C0996">
        <w:rPr>
          <w:bCs/>
        </w:rPr>
        <w:t>urban</w:t>
      </w:r>
      <w:r w:rsidR="00870DBD">
        <w:rPr>
          <w:bCs/>
        </w:rPr>
        <w:t xml:space="preserve"> fringe</w:t>
      </w:r>
      <w:r w:rsidR="004C0996" w:rsidRPr="004C0996">
        <w:rPr>
          <w:bCs/>
        </w:rPr>
        <w:t xml:space="preserve">, rural and regional </w:t>
      </w:r>
      <w:r w:rsidR="009872FF">
        <w:rPr>
          <w:bCs/>
        </w:rPr>
        <w:t>places</w:t>
      </w:r>
      <w:r w:rsidR="00BC5808">
        <w:rPr>
          <w:bCs/>
        </w:rPr>
        <w:t>; they</w:t>
      </w:r>
      <w:r w:rsidR="009872FF">
        <w:rPr>
          <w:bCs/>
        </w:rPr>
        <w:t xml:space="preserve"> </w:t>
      </w:r>
      <w:r w:rsidR="0021491D">
        <w:rPr>
          <w:bCs/>
        </w:rPr>
        <w:t>also provide</w:t>
      </w:r>
      <w:r w:rsidR="004C0996" w:rsidRPr="004C0996">
        <w:rPr>
          <w:bCs/>
        </w:rPr>
        <w:t xml:space="preserve"> rich information and exemplar cases of th</w:t>
      </w:r>
      <w:r w:rsidR="00BC5808">
        <w:rPr>
          <w:bCs/>
        </w:rPr>
        <w:t>e</w:t>
      </w:r>
      <w:r w:rsidR="004C0996" w:rsidRPr="004C0996">
        <w:rPr>
          <w:bCs/>
        </w:rPr>
        <w:t xml:space="preserve"> critical factors and influences that facilitate different post-school outcomes for such young people. </w:t>
      </w:r>
    </w:p>
    <w:p w:rsidR="004C0996" w:rsidRPr="004C0996" w:rsidRDefault="004C0996" w:rsidP="0013056A">
      <w:pPr>
        <w:pStyle w:val="Text"/>
        <w:rPr>
          <w:bCs/>
        </w:rPr>
      </w:pPr>
      <w:r w:rsidRPr="004C0996">
        <w:rPr>
          <w:bCs/>
        </w:rPr>
        <w:t xml:space="preserve">These </w:t>
      </w:r>
      <w:r w:rsidR="006B2B3D" w:rsidRPr="004C0996">
        <w:rPr>
          <w:bCs/>
        </w:rPr>
        <w:t xml:space="preserve">critical factors and influences </w:t>
      </w:r>
      <w:r w:rsidR="005B7B98">
        <w:rPr>
          <w:bCs/>
        </w:rPr>
        <w:t>fall into three</w:t>
      </w:r>
      <w:r w:rsidR="0014650F">
        <w:rPr>
          <w:bCs/>
        </w:rPr>
        <w:t xml:space="preserve"> categories. The first category</w:t>
      </w:r>
      <w:r w:rsidRPr="004C0996">
        <w:rPr>
          <w:bCs/>
        </w:rPr>
        <w:t xml:space="preserve"> </w:t>
      </w:r>
      <w:r w:rsidR="007F188B">
        <w:rPr>
          <w:bCs/>
        </w:rPr>
        <w:t>involves</w:t>
      </w:r>
      <w:r w:rsidR="0014650F">
        <w:rPr>
          <w:bCs/>
        </w:rPr>
        <w:t xml:space="preserve"> </w:t>
      </w:r>
      <w:r w:rsidRPr="004C0996">
        <w:rPr>
          <w:bCs/>
        </w:rPr>
        <w:t>geographic factors and i</w:t>
      </w:r>
      <w:r w:rsidR="00BC5808">
        <w:rPr>
          <w:bCs/>
        </w:rPr>
        <w:t>nfluences —</w:t>
      </w:r>
      <w:r w:rsidRPr="004C0996">
        <w:rPr>
          <w:bCs/>
        </w:rPr>
        <w:t xml:space="preserve"> both the physical and structural geography of the places in wh</w:t>
      </w:r>
      <w:r w:rsidR="003241F8">
        <w:rPr>
          <w:bCs/>
        </w:rPr>
        <w:t>ich young people live and learn</w:t>
      </w:r>
      <w:r w:rsidRPr="004C0996">
        <w:rPr>
          <w:bCs/>
        </w:rPr>
        <w:t xml:space="preserve"> and the accompanying psychology </w:t>
      </w:r>
      <w:r w:rsidR="0021491D">
        <w:rPr>
          <w:bCs/>
        </w:rPr>
        <w:t>attached to</w:t>
      </w:r>
      <w:r w:rsidRPr="004C0996">
        <w:rPr>
          <w:bCs/>
        </w:rPr>
        <w:t xml:space="preserve"> those places. </w:t>
      </w:r>
      <w:r w:rsidR="00675A65">
        <w:rPr>
          <w:bCs/>
        </w:rPr>
        <w:t>The</w:t>
      </w:r>
      <w:r w:rsidR="00675A65" w:rsidRPr="004C0996">
        <w:rPr>
          <w:bCs/>
        </w:rPr>
        <w:t xml:space="preserve"> </w:t>
      </w:r>
      <w:r w:rsidR="0014650F">
        <w:rPr>
          <w:bCs/>
        </w:rPr>
        <w:t xml:space="preserve">second category </w:t>
      </w:r>
      <w:r w:rsidR="007F188B">
        <w:rPr>
          <w:bCs/>
        </w:rPr>
        <w:t>encompasses</w:t>
      </w:r>
      <w:r w:rsidR="0014650F">
        <w:rPr>
          <w:bCs/>
        </w:rPr>
        <w:t xml:space="preserve"> </w:t>
      </w:r>
      <w:r w:rsidR="0013056A">
        <w:rPr>
          <w:bCs/>
        </w:rPr>
        <w:t>social</w:t>
      </w:r>
      <w:r w:rsidRPr="004C0996">
        <w:rPr>
          <w:bCs/>
        </w:rPr>
        <w:t xml:space="preserve"> influences</w:t>
      </w:r>
      <w:r w:rsidR="00BC5808">
        <w:rPr>
          <w:bCs/>
        </w:rPr>
        <w:t>. T</w:t>
      </w:r>
      <w:r w:rsidR="0013056A">
        <w:rPr>
          <w:bCs/>
        </w:rPr>
        <w:t xml:space="preserve">hese include the influence of </w:t>
      </w:r>
      <w:r w:rsidRPr="004C0996">
        <w:rPr>
          <w:bCs/>
        </w:rPr>
        <w:t>gender and gender-based family traditions and expectations</w:t>
      </w:r>
      <w:r w:rsidR="00BC5808">
        <w:rPr>
          <w:bCs/>
        </w:rPr>
        <w:t>;</w:t>
      </w:r>
      <w:r w:rsidR="005B7B98">
        <w:rPr>
          <w:bCs/>
        </w:rPr>
        <w:t xml:space="preserve"> </w:t>
      </w:r>
      <w:r w:rsidRPr="004C0996">
        <w:rPr>
          <w:bCs/>
        </w:rPr>
        <w:t xml:space="preserve">the influence of family </w:t>
      </w:r>
      <w:r w:rsidR="00CE1B6D">
        <w:rPr>
          <w:bCs/>
        </w:rPr>
        <w:t>lifestyle, values and dispositions</w:t>
      </w:r>
      <w:r w:rsidR="00BC5808">
        <w:rPr>
          <w:bCs/>
        </w:rPr>
        <w:t>;</w:t>
      </w:r>
      <w:r w:rsidRPr="004C0996">
        <w:rPr>
          <w:bCs/>
        </w:rPr>
        <w:t xml:space="preserve"> and </w:t>
      </w:r>
      <w:r w:rsidR="00DB76D0">
        <w:rPr>
          <w:bCs/>
        </w:rPr>
        <w:t>the</w:t>
      </w:r>
      <w:r w:rsidR="003241F8">
        <w:rPr>
          <w:bCs/>
        </w:rPr>
        <w:t xml:space="preserve"> influence of the</w:t>
      </w:r>
      <w:r w:rsidR="00DB76D0">
        <w:rPr>
          <w:bCs/>
        </w:rPr>
        <w:t xml:space="preserve"> </w:t>
      </w:r>
      <w:r w:rsidRPr="004C0996">
        <w:rPr>
          <w:bCs/>
        </w:rPr>
        <w:t>social networks</w:t>
      </w:r>
      <w:r w:rsidR="00DB76D0">
        <w:rPr>
          <w:bCs/>
        </w:rPr>
        <w:t xml:space="preserve"> with which young people and their families </w:t>
      </w:r>
      <w:r w:rsidR="0021491D">
        <w:rPr>
          <w:bCs/>
        </w:rPr>
        <w:t>are involved</w:t>
      </w:r>
      <w:r w:rsidR="005B7B98">
        <w:rPr>
          <w:bCs/>
        </w:rPr>
        <w:t>. The third category i</w:t>
      </w:r>
      <w:r w:rsidR="007F188B">
        <w:rPr>
          <w:bCs/>
        </w:rPr>
        <w:t>s concerned with</w:t>
      </w:r>
      <w:r w:rsidR="00E94E69">
        <w:rPr>
          <w:bCs/>
        </w:rPr>
        <w:t xml:space="preserve"> </w:t>
      </w:r>
      <w:r w:rsidRPr="004C0996">
        <w:rPr>
          <w:bCs/>
        </w:rPr>
        <w:t xml:space="preserve">the influence of what we have called </w:t>
      </w:r>
      <w:bookmarkStart w:id="38" w:name="_Toc378854929"/>
      <w:r w:rsidR="00BC5808">
        <w:rPr>
          <w:bCs/>
        </w:rPr>
        <w:t>‘</w:t>
      </w:r>
      <w:r w:rsidRPr="004C0996">
        <w:rPr>
          <w:bCs/>
        </w:rPr>
        <w:t>critical events and disruptions</w:t>
      </w:r>
      <w:bookmarkEnd w:id="38"/>
      <w:r w:rsidR="00BC5808">
        <w:rPr>
          <w:bCs/>
        </w:rPr>
        <w:t>’</w:t>
      </w:r>
      <w:r w:rsidRPr="004C0996">
        <w:rPr>
          <w:bCs/>
        </w:rPr>
        <w:t xml:space="preserve"> on young people’s experiences, choices and aspirations</w:t>
      </w:r>
      <w:r w:rsidR="0021491D">
        <w:rPr>
          <w:bCs/>
        </w:rPr>
        <w:t>; these disruptions</w:t>
      </w:r>
      <w:r w:rsidR="002E608A">
        <w:rPr>
          <w:bCs/>
        </w:rPr>
        <w:t xml:space="preserve"> can often </w:t>
      </w:r>
      <w:r w:rsidR="0021491D">
        <w:rPr>
          <w:bCs/>
        </w:rPr>
        <w:t>prompt the development of</w:t>
      </w:r>
      <w:r w:rsidR="002E608A">
        <w:rPr>
          <w:bCs/>
        </w:rPr>
        <w:t xml:space="preserve"> new aspirations and ca</w:t>
      </w:r>
      <w:r w:rsidR="0021491D">
        <w:rPr>
          <w:bCs/>
        </w:rPr>
        <w:t>pabilities</w:t>
      </w:r>
      <w:r w:rsidRPr="004C0996">
        <w:rPr>
          <w:bCs/>
        </w:rPr>
        <w:t>.</w:t>
      </w:r>
    </w:p>
    <w:p w:rsidR="004C0996" w:rsidRPr="004C0996" w:rsidRDefault="004C0996" w:rsidP="002068FD">
      <w:pPr>
        <w:pStyle w:val="Text"/>
        <w:rPr>
          <w:bCs/>
        </w:rPr>
      </w:pPr>
      <w:r w:rsidRPr="004C0996">
        <w:rPr>
          <w:bCs/>
        </w:rPr>
        <w:t xml:space="preserve">The body of this report </w:t>
      </w:r>
      <w:r w:rsidR="00BC5808">
        <w:rPr>
          <w:bCs/>
        </w:rPr>
        <w:t>describes</w:t>
      </w:r>
      <w:r w:rsidRPr="004C0996">
        <w:rPr>
          <w:bCs/>
        </w:rPr>
        <w:t xml:space="preserve"> important differences in young people’s experience</w:t>
      </w:r>
      <w:r w:rsidR="00BC5808">
        <w:rPr>
          <w:bCs/>
        </w:rPr>
        <w:t>s</w:t>
      </w:r>
      <w:r w:rsidRPr="004C0996">
        <w:rPr>
          <w:bCs/>
        </w:rPr>
        <w:t>, perceptions and aspirations across the four study sites, but it also identifie</w:t>
      </w:r>
      <w:r w:rsidR="00BC5808">
        <w:rPr>
          <w:bCs/>
        </w:rPr>
        <w:t xml:space="preserve">s a number of common themes </w:t>
      </w:r>
      <w:r w:rsidRPr="004C0996">
        <w:rPr>
          <w:bCs/>
        </w:rPr>
        <w:t xml:space="preserve">in this </w:t>
      </w:r>
      <w:r w:rsidRPr="004C0996">
        <w:rPr>
          <w:bCs/>
        </w:rPr>
        <w:lastRenderedPageBreak/>
        <w:t xml:space="preserve">experience. Across all four sites, vocational education and training </w:t>
      </w:r>
      <w:r w:rsidR="0021491D">
        <w:rPr>
          <w:bCs/>
        </w:rPr>
        <w:t xml:space="preserve">(VET) </w:t>
      </w:r>
      <w:r w:rsidRPr="004C0996">
        <w:rPr>
          <w:bCs/>
        </w:rPr>
        <w:t xml:space="preserve">was found to offer an important pathway for young people’s entry into education and training as well </w:t>
      </w:r>
      <w:r w:rsidR="007F188B">
        <w:rPr>
          <w:bCs/>
        </w:rPr>
        <w:t xml:space="preserve">as </w:t>
      </w:r>
      <w:r w:rsidR="003241F8">
        <w:rPr>
          <w:bCs/>
        </w:rPr>
        <w:t xml:space="preserve">being </w:t>
      </w:r>
      <w:r w:rsidR="00BC5808">
        <w:rPr>
          <w:bCs/>
        </w:rPr>
        <w:t>a significant</w:t>
      </w:r>
      <w:r w:rsidRPr="004C0996">
        <w:rPr>
          <w:bCs/>
        </w:rPr>
        <w:t xml:space="preserve"> mechanism for the re-engagement of young people not in education, training or employment. When it came to other or further pathways and possibilities, however, our study found that numerous factors combine to constrain some young people’s aspirations and choices. Popular culture and policy might celebrate mobility</w:t>
      </w:r>
      <w:r w:rsidR="00DB76D0">
        <w:rPr>
          <w:bCs/>
        </w:rPr>
        <w:t xml:space="preserve"> and </w:t>
      </w:r>
      <w:r w:rsidR="007F188B">
        <w:rPr>
          <w:bCs/>
        </w:rPr>
        <w:t>dismiss</w:t>
      </w:r>
      <w:r w:rsidR="00DB76D0">
        <w:rPr>
          <w:bCs/>
        </w:rPr>
        <w:t xml:space="preserve"> the notion of staying local as </w:t>
      </w:r>
      <w:r w:rsidR="00D802EF">
        <w:rPr>
          <w:bCs/>
        </w:rPr>
        <w:t>a less attractive option</w:t>
      </w:r>
      <w:r w:rsidRPr="004C0996">
        <w:rPr>
          <w:bCs/>
        </w:rPr>
        <w:t xml:space="preserve">, but our study found that numerous </w:t>
      </w:r>
      <w:r w:rsidR="007B0228">
        <w:rPr>
          <w:bCs/>
        </w:rPr>
        <w:t xml:space="preserve">geographic and social </w:t>
      </w:r>
      <w:r w:rsidRPr="004C0996">
        <w:rPr>
          <w:bCs/>
        </w:rPr>
        <w:t>factors</w:t>
      </w:r>
      <w:r w:rsidR="002068FD">
        <w:rPr>
          <w:bCs/>
        </w:rPr>
        <w:t xml:space="preserve"> </w:t>
      </w:r>
      <w:r w:rsidR="007F188B">
        <w:rPr>
          <w:bCs/>
        </w:rPr>
        <w:t>force</w:t>
      </w:r>
      <w:r w:rsidRPr="004C0996">
        <w:rPr>
          <w:bCs/>
        </w:rPr>
        <w:t xml:space="preserve"> many young people</w:t>
      </w:r>
      <w:r w:rsidR="007F188B">
        <w:rPr>
          <w:bCs/>
        </w:rPr>
        <w:t xml:space="preserve"> to remain</w:t>
      </w:r>
      <w:r w:rsidRPr="004C0996">
        <w:rPr>
          <w:bCs/>
        </w:rPr>
        <w:t xml:space="preserve"> in the local place</w:t>
      </w:r>
      <w:r w:rsidR="00DB76D0">
        <w:rPr>
          <w:bCs/>
        </w:rPr>
        <w:t>.</w:t>
      </w:r>
    </w:p>
    <w:p w:rsidR="004C0996" w:rsidRPr="004C0996" w:rsidRDefault="004C0996" w:rsidP="00AD408F">
      <w:pPr>
        <w:pStyle w:val="Text"/>
        <w:rPr>
          <w:bCs/>
        </w:rPr>
      </w:pPr>
      <w:r w:rsidRPr="004C0996">
        <w:rPr>
          <w:bCs/>
        </w:rPr>
        <w:t>T</w:t>
      </w:r>
      <w:r w:rsidR="00DB76D0">
        <w:rPr>
          <w:bCs/>
        </w:rPr>
        <w:t>he</w:t>
      </w:r>
      <w:r w:rsidR="00BC5808">
        <w:rPr>
          <w:bCs/>
        </w:rPr>
        <w:t>se</w:t>
      </w:r>
      <w:r w:rsidR="00DB76D0">
        <w:rPr>
          <w:bCs/>
        </w:rPr>
        <w:t xml:space="preserve"> geographic and social </w:t>
      </w:r>
      <w:r w:rsidR="00E25F0B">
        <w:rPr>
          <w:bCs/>
        </w:rPr>
        <w:t xml:space="preserve">factors </w:t>
      </w:r>
      <w:r w:rsidRPr="004C0996">
        <w:rPr>
          <w:bCs/>
        </w:rPr>
        <w:t>include the practical and structural aspects of place</w:t>
      </w:r>
      <w:r w:rsidR="00D802EF">
        <w:rPr>
          <w:bCs/>
        </w:rPr>
        <w:t>,</w:t>
      </w:r>
      <w:r w:rsidRPr="004C0996">
        <w:rPr>
          <w:bCs/>
        </w:rPr>
        <w:t xml:space="preserve"> such as distance from centres of learning, lack of transport, lack of broadband, costs of travel, limited e</w:t>
      </w:r>
      <w:r w:rsidR="00D802EF">
        <w:rPr>
          <w:bCs/>
        </w:rPr>
        <w:t>ducation providers and program</w:t>
      </w:r>
      <w:r w:rsidRPr="004C0996">
        <w:rPr>
          <w:bCs/>
        </w:rPr>
        <w:t>s</w:t>
      </w:r>
      <w:r w:rsidR="00BC5808">
        <w:rPr>
          <w:bCs/>
        </w:rPr>
        <w:t>,</w:t>
      </w:r>
      <w:r w:rsidRPr="004C0996">
        <w:rPr>
          <w:bCs/>
        </w:rPr>
        <w:t xml:space="preserve"> and the unintended consequences of funding policies for education and training. The</w:t>
      </w:r>
      <w:r w:rsidR="007B0228">
        <w:rPr>
          <w:bCs/>
        </w:rPr>
        <w:t>se factors</w:t>
      </w:r>
      <w:r w:rsidRPr="004C0996">
        <w:rPr>
          <w:bCs/>
        </w:rPr>
        <w:t xml:space="preserve"> also include what we have termed </w:t>
      </w:r>
      <w:r w:rsidR="007F188B">
        <w:rPr>
          <w:bCs/>
        </w:rPr>
        <w:t xml:space="preserve">‘the </w:t>
      </w:r>
      <w:r w:rsidR="00AD408F">
        <w:rPr>
          <w:bCs/>
        </w:rPr>
        <w:t xml:space="preserve">social </w:t>
      </w:r>
      <w:r w:rsidRPr="004C0996">
        <w:rPr>
          <w:bCs/>
        </w:rPr>
        <w:t>perceptions of place</w:t>
      </w:r>
      <w:r w:rsidR="00BC5808">
        <w:rPr>
          <w:bCs/>
        </w:rPr>
        <w:t>’</w:t>
      </w:r>
      <w:r w:rsidRPr="004C0996">
        <w:rPr>
          <w:bCs/>
        </w:rPr>
        <w:t xml:space="preserve"> or </w:t>
      </w:r>
      <w:r w:rsidR="00BC5808">
        <w:rPr>
          <w:bCs/>
        </w:rPr>
        <w:t>‘</w:t>
      </w:r>
      <w:r w:rsidRPr="004C0996">
        <w:rPr>
          <w:bCs/>
        </w:rPr>
        <w:t>the psychology of place</w:t>
      </w:r>
      <w:r w:rsidR="00BC5808">
        <w:rPr>
          <w:bCs/>
        </w:rPr>
        <w:t>’</w:t>
      </w:r>
      <w:r w:rsidRPr="004C0996">
        <w:rPr>
          <w:bCs/>
        </w:rPr>
        <w:t xml:space="preserve">. Even where schools encouraged young people to consider university study, the influences and expectations of families, friends and other social networks </w:t>
      </w:r>
      <w:r w:rsidR="00AD408F">
        <w:rPr>
          <w:bCs/>
        </w:rPr>
        <w:t xml:space="preserve">often meant that young people chose to stay in the local place, </w:t>
      </w:r>
      <w:r w:rsidR="00BC5808">
        <w:rPr>
          <w:bCs/>
        </w:rPr>
        <w:t>adapting</w:t>
      </w:r>
      <w:r w:rsidRPr="004C0996">
        <w:rPr>
          <w:bCs/>
        </w:rPr>
        <w:t xml:space="preserve"> their aspirations in ways that were gendered and </w:t>
      </w:r>
      <w:r w:rsidR="00D802EF">
        <w:rPr>
          <w:bCs/>
        </w:rPr>
        <w:t>which</w:t>
      </w:r>
      <w:r w:rsidRPr="004C0996">
        <w:rPr>
          <w:bCs/>
        </w:rPr>
        <w:t xml:space="preserve"> replicated family and local traditions. This was found to be the case for young men in particular.</w:t>
      </w:r>
    </w:p>
    <w:p w:rsidR="004C0996" w:rsidRPr="004C0996" w:rsidRDefault="004C0996" w:rsidP="00AD3E20">
      <w:pPr>
        <w:pStyle w:val="Text"/>
        <w:rPr>
          <w:bCs/>
        </w:rPr>
      </w:pPr>
      <w:r w:rsidRPr="004C0996">
        <w:rPr>
          <w:bCs/>
        </w:rPr>
        <w:t xml:space="preserve">This is not to suggest that the local place </w:t>
      </w:r>
      <w:r w:rsidR="00D802EF">
        <w:rPr>
          <w:bCs/>
        </w:rPr>
        <w:t>had a</w:t>
      </w:r>
      <w:r w:rsidRPr="004C0996">
        <w:rPr>
          <w:bCs/>
        </w:rPr>
        <w:t xml:space="preserve"> negative or limiting </w:t>
      </w:r>
      <w:r w:rsidR="00D802EF">
        <w:rPr>
          <w:bCs/>
        </w:rPr>
        <w:t>impact on</w:t>
      </w:r>
      <w:r w:rsidRPr="004C0996">
        <w:rPr>
          <w:bCs/>
        </w:rPr>
        <w:t xml:space="preserve"> all young people. A number of young people described the inherent attractiveness of the</w:t>
      </w:r>
      <w:r w:rsidR="00A773C1">
        <w:rPr>
          <w:bCs/>
        </w:rPr>
        <w:t>ir local</w:t>
      </w:r>
      <w:r w:rsidRPr="004C0996">
        <w:rPr>
          <w:bCs/>
        </w:rPr>
        <w:t xml:space="preserve"> place</w:t>
      </w:r>
      <w:r w:rsidR="002E608A">
        <w:rPr>
          <w:bCs/>
        </w:rPr>
        <w:t>,</w:t>
      </w:r>
      <w:r w:rsidRPr="004C0996">
        <w:rPr>
          <w:bCs/>
        </w:rPr>
        <w:t xml:space="preserve"> as well as the value of a close-knit and supportive community and its ability to ameliorate the isolation of distance and lack of local opportunities. It is also not to suggest that these young people are locked into fixed trajectories. </w:t>
      </w:r>
      <w:r w:rsidR="00A773C1">
        <w:rPr>
          <w:bCs/>
        </w:rPr>
        <w:t>In</w:t>
      </w:r>
      <w:r w:rsidRPr="004C0996">
        <w:rPr>
          <w:bCs/>
        </w:rPr>
        <w:t xml:space="preserve"> many </w:t>
      </w:r>
      <w:r w:rsidR="00A773C1">
        <w:rPr>
          <w:bCs/>
        </w:rPr>
        <w:t>instances</w:t>
      </w:r>
      <w:r w:rsidR="00D802EF">
        <w:rPr>
          <w:bCs/>
        </w:rPr>
        <w:t>, a specific experience or</w:t>
      </w:r>
      <w:r w:rsidRPr="004C0996">
        <w:rPr>
          <w:bCs/>
        </w:rPr>
        <w:t xml:space="preserve"> </w:t>
      </w:r>
      <w:r w:rsidR="002E608A">
        <w:rPr>
          <w:bCs/>
        </w:rPr>
        <w:t xml:space="preserve">the influence of an </w:t>
      </w:r>
      <w:r w:rsidRPr="004C0996">
        <w:rPr>
          <w:bCs/>
        </w:rPr>
        <w:t>individual or encounter served as a turning point</w:t>
      </w:r>
      <w:r w:rsidR="007F188B">
        <w:rPr>
          <w:bCs/>
        </w:rPr>
        <w:t>,</w:t>
      </w:r>
      <w:r w:rsidRPr="004C0996">
        <w:rPr>
          <w:bCs/>
        </w:rPr>
        <w:t xml:space="preserve"> </w:t>
      </w:r>
      <w:r w:rsidR="00BC5808">
        <w:rPr>
          <w:bCs/>
        </w:rPr>
        <w:t>enabling</w:t>
      </w:r>
      <w:r w:rsidRPr="004C0996">
        <w:rPr>
          <w:bCs/>
        </w:rPr>
        <w:t xml:space="preserve"> </w:t>
      </w:r>
      <w:r w:rsidR="003241F8">
        <w:rPr>
          <w:bCs/>
        </w:rPr>
        <w:t xml:space="preserve">them </w:t>
      </w:r>
      <w:r w:rsidRPr="004C0996">
        <w:rPr>
          <w:bCs/>
        </w:rPr>
        <w:t>to navigate complex choices and circumstances or to imagine a future different from that of their family and friends.</w:t>
      </w:r>
    </w:p>
    <w:p w:rsidR="00487534" w:rsidRPr="004C0996" w:rsidRDefault="004C0996" w:rsidP="00B00FC5">
      <w:pPr>
        <w:pStyle w:val="Text"/>
        <w:rPr>
          <w:bCs/>
        </w:rPr>
      </w:pPr>
      <w:r w:rsidRPr="004C0996">
        <w:rPr>
          <w:bCs/>
        </w:rPr>
        <w:t>Our findings in this study reinforce those of previous studies</w:t>
      </w:r>
      <w:r w:rsidR="007744EE">
        <w:rPr>
          <w:bCs/>
        </w:rPr>
        <w:t>: they</w:t>
      </w:r>
      <w:r w:rsidRPr="004C0996">
        <w:rPr>
          <w:bCs/>
        </w:rPr>
        <w:t xml:space="preserve"> suggest </w:t>
      </w:r>
      <w:r w:rsidR="007744EE">
        <w:rPr>
          <w:bCs/>
        </w:rPr>
        <w:t xml:space="preserve">that </w:t>
      </w:r>
      <w:r w:rsidRPr="004C0996">
        <w:rPr>
          <w:bCs/>
        </w:rPr>
        <w:t>geography and place continue to be powerful influences in shaping young people’s career asp</w:t>
      </w:r>
      <w:r w:rsidR="007744EE">
        <w:rPr>
          <w:bCs/>
        </w:rPr>
        <w:t>irations, imaginings and choice. T</w:t>
      </w:r>
      <w:r w:rsidRPr="004C0996">
        <w:rPr>
          <w:bCs/>
        </w:rPr>
        <w:t xml:space="preserve">hey also reinforce the finding of earlier studies </w:t>
      </w:r>
      <w:r w:rsidR="00BC5808">
        <w:rPr>
          <w:bCs/>
        </w:rPr>
        <w:t xml:space="preserve">— </w:t>
      </w:r>
      <w:r w:rsidRPr="004C0996">
        <w:rPr>
          <w:bCs/>
        </w:rPr>
        <w:t xml:space="preserve">that there is no single determinant of education aspirations. Instead, the aspirations and choices of young people who live in </w:t>
      </w:r>
      <w:r w:rsidR="00BC5808">
        <w:rPr>
          <w:bCs/>
        </w:rPr>
        <w:t xml:space="preserve">socially disadvantaged </w:t>
      </w:r>
      <w:r w:rsidR="00870DBD" w:rsidRPr="004C0996">
        <w:rPr>
          <w:bCs/>
        </w:rPr>
        <w:t>urban</w:t>
      </w:r>
      <w:r w:rsidR="00870DBD">
        <w:rPr>
          <w:bCs/>
        </w:rPr>
        <w:t xml:space="preserve"> fringe</w:t>
      </w:r>
      <w:r w:rsidRPr="004C0996">
        <w:rPr>
          <w:bCs/>
        </w:rPr>
        <w:t xml:space="preserve">, rural and regional </w:t>
      </w:r>
      <w:r w:rsidR="00912B6B">
        <w:rPr>
          <w:bCs/>
        </w:rPr>
        <w:t>place</w:t>
      </w:r>
      <w:r w:rsidRPr="004C0996">
        <w:rPr>
          <w:bCs/>
        </w:rPr>
        <w:t xml:space="preserve">s are the product of a complex interplay of </w:t>
      </w:r>
      <w:r w:rsidR="001F0EB8">
        <w:rPr>
          <w:bCs/>
        </w:rPr>
        <w:t>factors. These include</w:t>
      </w:r>
      <w:r w:rsidR="007F188B">
        <w:rPr>
          <w:bCs/>
        </w:rPr>
        <w:t xml:space="preserve"> specific</w:t>
      </w:r>
      <w:r w:rsidR="001F0EB8">
        <w:rPr>
          <w:bCs/>
        </w:rPr>
        <w:t xml:space="preserve"> </w:t>
      </w:r>
      <w:r w:rsidR="00641C0D">
        <w:rPr>
          <w:bCs/>
        </w:rPr>
        <w:t xml:space="preserve">local </w:t>
      </w:r>
      <w:r w:rsidRPr="004C0996">
        <w:rPr>
          <w:bCs/>
        </w:rPr>
        <w:t>factors</w:t>
      </w:r>
      <w:r w:rsidR="0059594B">
        <w:rPr>
          <w:bCs/>
        </w:rPr>
        <w:t xml:space="preserve"> that encourage young </w:t>
      </w:r>
      <w:r w:rsidR="00641C0D">
        <w:rPr>
          <w:bCs/>
        </w:rPr>
        <w:t xml:space="preserve">people to remain in their </w:t>
      </w:r>
      <w:r w:rsidR="0059594B">
        <w:rPr>
          <w:bCs/>
        </w:rPr>
        <w:t>place</w:t>
      </w:r>
      <w:r w:rsidR="002E608A">
        <w:rPr>
          <w:bCs/>
        </w:rPr>
        <w:t>,</w:t>
      </w:r>
      <w:r w:rsidR="00641C0D">
        <w:rPr>
          <w:bCs/>
        </w:rPr>
        <w:t xml:space="preserve"> a</w:t>
      </w:r>
      <w:r w:rsidR="001F0EB8">
        <w:rPr>
          <w:bCs/>
        </w:rPr>
        <w:t xml:space="preserve">s well as </w:t>
      </w:r>
      <w:r w:rsidR="00641C0D">
        <w:rPr>
          <w:bCs/>
        </w:rPr>
        <w:t xml:space="preserve">state and national education policies that expect </w:t>
      </w:r>
      <w:r w:rsidR="001F0EB8">
        <w:rPr>
          <w:bCs/>
        </w:rPr>
        <w:t>them</w:t>
      </w:r>
      <w:r w:rsidR="00641C0D">
        <w:rPr>
          <w:bCs/>
        </w:rPr>
        <w:t xml:space="preserve"> to be </w:t>
      </w:r>
      <w:r w:rsidR="00513B69">
        <w:rPr>
          <w:bCs/>
        </w:rPr>
        <w:t xml:space="preserve">willing to travel </w:t>
      </w:r>
      <w:r w:rsidR="00886FDE">
        <w:rPr>
          <w:bCs/>
        </w:rPr>
        <w:t>in search of</w:t>
      </w:r>
      <w:r w:rsidR="00641C0D">
        <w:rPr>
          <w:bCs/>
        </w:rPr>
        <w:t xml:space="preserve"> wider opportunities for education and employment</w:t>
      </w:r>
      <w:r w:rsidRPr="004C0996">
        <w:rPr>
          <w:bCs/>
        </w:rPr>
        <w:t xml:space="preserve">. This means that </w:t>
      </w:r>
      <w:r w:rsidR="000D2C1E">
        <w:rPr>
          <w:bCs/>
        </w:rPr>
        <w:t>young people</w:t>
      </w:r>
      <w:r w:rsidRPr="004C0996">
        <w:rPr>
          <w:bCs/>
        </w:rPr>
        <w:t xml:space="preserve">, and the </w:t>
      </w:r>
      <w:r w:rsidR="007B0FBB">
        <w:rPr>
          <w:bCs/>
        </w:rPr>
        <w:t>place</w:t>
      </w:r>
      <w:r w:rsidRPr="004C0996">
        <w:rPr>
          <w:bCs/>
        </w:rPr>
        <w:t>s in which they live and learn, cannot be reduced to simple or deficit explanations</w:t>
      </w:r>
      <w:r w:rsidR="00B00FC5">
        <w:rPr>
          <w:bCs/>
        </w:rPr>
        <w:t xml:space="preserve"> of rural</w:t>
      </w:r>
      <w:r w:rsidR="00513B69">
        <w:rPr>
          <w:bCs/>
        </w:rPr>
        <w:t xml:space="preserve"> location</w:t>
      </w:r>
      <w:r w:rsidR="00B00FC5">
        <w:rPr>
          <w:bCs/>
        </w:rPr>
        <w:t xml:space="preserve"> and </w:t>
      </w:r>
      <w:r w:rsidR="0021491D">
        <w:rPr>
          <w:bCs/>
        </w:rPr>
        <w:t xml:space="preserve">socioeconomic </w:t>
      </w:r>
      <w:r w:rsidR="00B00FC5" w:rsidRPr="004C0996">
        <w:rPr>
          <w:bCs/>
        </w:rPr>
        <w:t>disadvantage</w:t>
      </w:r>
      <w:r w:rsidRPr="004C0996">
        <w:rPr>
          <w:bCs/>
        </w:rPr>
        <w:t xml:space="preserve">. Having said this, policy attention must continue to be paid to </w:t>
      </w:r>
      <w:r w:rsidR="007F188B">
        <w:rPr>
          <w:bCs/>
        </w:rPr>
        <w:t xml:space="preserve">the </w:t>
      </w:r>
      <w:r w:rsidR="00CF017A" w:rsidRPr="004C0996">
        <w:rPr>
          <w:bCs/>
        </w:rPr>
        <w:t xml:space="preserve">practical and </w:t>
      </w:r>
      <w:r w:rsidRPr="004C0996">
        <w:rPr>
          <w:bCs/>
        </w:rPr>
        <w:t>structural factors</w:t>
      </w:r>
      <w:r w:rsidR="0083433E">
        <w:rPr>
          <w:bCs/>
        </w:rPr>
        <w:t xml:space="preserve"> </w:t>
      </w:r>
      <w:r w:rsidR="0083433E" w:rsidRPr="004C0996">
        <w:rPr>
          <w:bCs/>
        </w:rPr>
        <w:t xml:space="preserve">such as distance, transport, </w:t>
      </w:r>
      <w:r w:rsidR="0083433E">
        <w:rPr>
          <w:bCs/>
        </w:rPr>
        <w:t>access to information and communication technologies and</w:t>
      </w:r>
      <w:r w:rsidR="0083433E" w:rsidRPr="004C0996">
        <w:rPr>
          <w:bCs/>
        </w:rPr>
        <w:t xml:space="preserve"> education </w:t>
      </w:r>
      <w:r w:rsidR="00513B69">
        <w:rPr>
          <w:bCs/>
        </w:rPr>
        <w:t xml:space="preserve">provision </w:t>
      </w:r>
      <w:r w:rsidR="007F188B">
        <w:rPr>
          <w:bCs/>
        </w:rPr>
        <w:t>that</w:t>
      </w:r>
      <w:r w:rsidR="00753CD8">
        <w:rPr>
          <w:bCs/>
        </w:rPr>
        <w:t xml:space="preserve"> </w:t>
      </w:r>
      <w:r w:rsidRPr="004C0996">
        <w:rPr>
          <w:bCs/>
        </w:rPr>
        <w:t>influence such young people’s outcomes.</w:t>
      </w:r>
      <w:bookmarkEnd w:id="35"/>
      <w:bookmarkEnd w:id="36"/>
      <w:bookmarkEnd w:id="37"/>
    </w:p>
    <w:p w:rsidR="009E231A" w:rsidRPr="005C2FCF" w:rsidRDefault="00FE4A2D" w:rsidP="008C0A74">
      <w:pPr>
        <w:pStyle w:val="Heading1"/>
      </w:pPr>
      <w:r w:rsidRPr="005C2FCF">
        <w:br w:type="page"/>
      </w:r>
      <w:bookmarkStart w:id="39" w:name="_Toc409079361"/>
      <w:r w:rsidR="00A31724">
        <w:lastRenderedPageBreak/>
        <w:t>Introduction</w:t>
      </w:r>
      <w:bookmarkEnd w:id="39"/>
    </w:p>
    <w:p w:rsidR="00F73BCA" w:rsidRDefault="00513B69" w:rsidP="00EC6AD2">
      <w:pPr>
        <w:pStyle w:val="Text"/>
      </w:pPr>
      <w:r>
        <w:t>This project</w:t>
      </w:r>
      <w:r w:rsidR="00F73BCA">
        <w:t xml:space="preserve"> explored the inf</w:t>
      </w:r>
      <w:r w:rsidR="00AB5240">
        <w:t>luence of neighbourhood factors, including</w:t>
      </w:r>
      <w:r w:rsidR="00F73BCA">
        <w:t xml:space="preserve"> access to education and training and other </w:t>
      </w:r>
      <w:r>
        <w:t xml:space="preserve">aspects of </w:t>
      </w:r>
      <w:r w:rsidR="00F73BCA">
        <w:t>community</w:t>
      </w:r>
      <w:r w:rsidR="00AB5240">
        <w:t>,</w:t>
      </w:r>
      <w:r w:rsidR="00F73BCA">
        <w:t xml:space="preserve"> on education and training outcomes. This was one of the thre</w:t>
      </w:r>
      <w:r w:rsidR="008515DF">
        <w:t xml:space="preserve">e topics </w:t>
      </w:r>
      <w:r w:rsidR="008B7412">
        <w:t>that comprised</w:t>
      </w:r>
      <w:r w:rsidR="008515DF">
        <w:t xml:space="preserve"> a three-</w:t>
      </w:r>
      <w:r w:rsidR="00F73BCA">
        <w:t xml:space="preserve">year program of work: </w:t>
      </w:r>
      <w:r w:rsidR="00F73BCA" w:rsidRPr="00941314">
        <w:rPr>
          <w:i/>
        </w:rPr>
        <w:t>Geographical dimensions of social inclusion and</w:t>
      </w:r>
      <w:r w:rsidR="00F73BCA">
        <w:rPr>
          <w:i/>
        </w:rPr>
        <w:t xml:space="preserve"> vocational education and training (</w:t>
      </w:r>
      <w:r w:rsidR="00F73BCA" w:rsidRPr="00941314">
        <w:rPr>
          <w:i/>
        </w:rPr>
        <w:t>VET</w:t>
      </w:r>
      <w:r w:rsidR="00F73BCA">
        <w:rPr>
          <w:i/>
        </w:rPr>
        <w:t>)</w:t>
      </w:r>
      <w:r w:rsidR="00F73BCA" w:rsidRPr="00941314">
        <w:rPr>
          <w:i/>
        </w:rPr>
        <w:t xml:space="preserve"> in Australia</w:t>
      </w:r>
      <w:r w:rsidR="00F73BCA">
        <w:rPr>
          <w:i/>
        </w:rPr>
        <w:t xml:space="preserve">. </w:t>
      </w:r>
      <w:r w:rsidR="00F73BCA" w:rsidRPr="00941314">
        <w:t xml:space="preserve">The </w:t>
      </w:r>
      <w:r w:rsidR="00F73BCA">
        <w:t xml:space="preserve">aim of the program has been to provide an understanding of the geographical </w:t>
      </w:r>
      <w:r w:rsidR="00745C67">
        <w:t xml:space="preserve">and place </w:t>
      </w:r>
      <w:r w:rsidR="00F73BCA">
        <w:t xml:space="preserve">aspects of social exclusion and the role </w:t>
      </w:r>
      <w:r w:rsidR="003241F8">
        <w:t xml:space="preserve">that </w:t>
      </w:r>
      <w:r w:rsidR="00F73BCA">
        <w:t>education and training can have in reducing its risk and in improv</w:t>
      </w:r>
      <w:r w:rsidR="00F31DCC">
        <w:t>ing labour force participation.</w:t>
      </w:r>
    </w:p>
    <w:p w:rsidR="00F73BCA" w:rsidRDefault="008515DF" w:rsidP="00EC6AD2">
      <w:pPr>
        <w:pStyle w:val="Text"/>
      </w:pPr>
      <w:r>
        <w:t>Concern</w:t>
      </w:r>
      <w:r w:rsidR="00F73BCA">
        <w:t xml:space="preserve"> about </w:t>
      </w:r>
      <w:r>
        <w:t xml:space="preserve">the </w:t>
      </w:r>
      <w:r w:rsidR="00F73BCA">
        <w:t xml:space="preserve">geographical dimensions of social inclusion is illustrated by findings of the </w:t>
      </w:r>
      <w:r w:rsidR="00F73BCA" w:rsidRPr="00162ADF">
        <w:t>Bradley Review (</w:t>
      </w:r>
      <w:r w:rsidR="00B341DC">
        <w:t xml:space="preserve">Bradley et al. </w:t>
      </w:r>
      <w:r w:rsidR="00F73BCA" w:rsidRPr="00162ADF">
        <w:t xml:space="preserve">2008), </w:t>
      </w:r>
      <w:r>
        <w:t>commissioned by the Australian G</w:t>
      </w:r>
      <w:r w:rsidR="00F73BCA" w:rsidRPr="00162ADF">
        <w:t xml:space="preserve">overnment, </w:t>
      </w:r>
      <w:r w:rsidR="00F73BCA">
        <w:t xml:space="preserve">which recognised that </w:t>
      </w:r>
      <w:r w:rsidR="0021491D">
        <w:t xml:space="preserve">socioeconomic </w:t>
      </w:r>
      <w:r w:rsidR="00F73BCA">
        <w:t xml:space="preserve">factors </w:t>
      </w:r>
      <w:r>
        <w:t xml:space="preserve">are </w:t>
      </w:r>
      <w:r w:rsidR="00F73BCA">
        <w:t xml:space="preserve">often associated with </w:t>
      </w:r>
      <w:r w:rsidR="003241F8">
        <w:t xml:space="preserve">a particular </w:t>
      </w:r>
      <w:r w:rsidR="00F73BCA">
        <w:t>geography a</w:t>
      </w:r>
      <w:r>
        <w:t>nd a</w:t>
      </w:r>
      <w:r w:rsidR="00F73BCA">
        <w:t xml:space="preserve">re crucial in determining </w:t>
      </w:r>
      <w:r w:rsidR="00D230DC">
        <w:t>post-school</w:t>
      </w:r>
      <w:r w:rsidR="00F73BCA">
        <w:t xml:space="preserve"> particip</w:t>
      </w:r>
      <w:r>
        <w:t>ation in higher education. The r</w:t>
      </w:r>
      <w:r w:rsidR="00F73BCA">
        <w:t xml:space="preserve">eview </w:t>
      </w:r>
      <w:r w:rsidR="00F73BCA" w:rsidRPr="00162ADF">
        <w:t xml:space="preserve">recommended </w:t>
      </w:r>
      <w:r>
        <w:t xml:space="preserve">that </w:t>
      </w:r>
      <w:r w:rsidR="00F73BCA" w:rsidRPr="00162ADF">
        <w:t xml:space="preserve">a target be set at </w:t>
      </w:r>
      <w:r w:rsidR="00F73BCA" w:rsidRPr="00994936">
        <w:t>federal level</w:t>
      </w:r>
      <w:r w:rsidR="008B7412" w:rsidRPr="00994936">
        <w:t>:</w:t>
      </w:r>
      <w:r w:rsidR="00F73BCA" w:rsidRPr="00994936">
        <w:t xml:space="preserve"> that, ‘40 per cent of 25- to 34-year-olds will have attained at least a bachelor-level</w:t>
      </w:r>
      <w:r w:rsidR="00F73BCA">
        <w:t xml:space="preserve"> qualification by 2020’</w:t>
      </w:r>
      <w:r w:rsidR="00F73BCA" w:rsidRPr="00162ADF">
        <w:t xml:space="preserve"> (p</w:t>
      </w:r>
      <w:r w:rsidR="00F31DCC">
        <w:t>.</w:t>
      </w:r>
      <w:r w:rsidR="00F73BCA" w:rsidRPr="00162ADF">
        <w:t xml:space="preserve"> xiv)</w:t>
      </w:r>
      <w:r>
        <w:t>. This is in contrast</w:t>
      </w:r>
      <w:r w:rsidR="00F73BCA" w:rsidRPr="00901BDC">
        <w:t xml:space="preserve"> </w:t>
      </w:r>
      <w:r w:rsidR="008B7412">
        <w:t>to the 29 per cent</w:t>
      </w:r>
      <w:r w:rsidR="00F73BCA" w:rsidRPr="00162ADF">
        <w:t xml:space="preserve"> </w:t>
      </w:r>
      <w:r w:rsidR="00F73BCA">
        <w:t xml:space="preserve">at the time and </w:t>
      </w:r>
      <w:r w:rsidR="00B7597A">
        <w:t>the</w:t>
      </w:r>
      <w:r w:rsidR="00F31DCC">
        <w:t xml:space="preserve"> equity target of 20</w:t>
      </w:r>
      <w:r w:rsidR="008B7412">
        <w:t xml:space="preserve"> per cent</w:t>
      </w:r>
      <w:r w:rsidR="003241F8">
        <w:t xml:space="preserve"> </w:t>
      </w:r>
      <w:r w:rsidR="00F73BCA">
        <w:t xml:space="preserve">participation from low </w:t>
      </w:r>
      <w:r w:rsidR="00B7597A">
        <w:t>socioeconomic</w:t>
      </w:r>
      <w:r w:rsidR="00892D06">
        <w:t xml:space="preserve"> </w:t>
      </w:r>
      <w:r w:rsidR="00F73BCA">
        <w:t>groups</w:t>
      </w:r>
      <w:r w:rsidR="00F73BCA" w:rsidRPr="00162ADF">
        <w:t xml:space="preserve">. </w:t>
      </w:r>
      <w:r w:rsidR="00F73BCA">
        <w:t xml:space="preserve">Bradley </w:t>
      </w:r>
      <w:r w:rsidR="00B341DC">
        <w:t xml:space="preserve">et al. </w:t>
      </w:r>
      <w:r w:rsidR="00F73BCA">
        <w:t xml:space="preserve">found that, while there were high participation rates in further education and training among metropolitan students, between 2002 and 2007 </w:t>
      </w:r>
      <w:r w:rsidR="00B7597A">
        <w:t xml:space="preserve">the </w:t>
      </w:r>
      <w:r w:rsidR="00F73BCA">
        <w:t xml:space="preserve">already low rates of participation amongst students from regional locations had declined </w:t>
      </w:r>
      <w:r w:rsidR="00F73BCA" w:rsidRPr="00162ADF">
        <w:t>(Bradley</w:t>
      </w:r>
      <w:r w:rsidR="00B7597A">
        <w:t xml:space="preserve"> et al.</w:t>
      </w:r>
      <w:r w:rsidR="00F73BCA" w:rsidRPr="00162ADF">
        <w:t xml:space="preserve"> 2008). </w:t>
      </w:r>
      <w:r w:rsidR="00F73BCA">
        <w:t>The report’s</w:t>
      </w:r>
      <w:r w:rsidR="00F73BCA" w:rsidRPr="00162ADF">
        <w:t xml:space="preserve"> recommendations for regional Australia </w:t>
      </w:r>
      <w:r w:rsidR="00B341DC">
        <w:t>highlighted</w:t>
      </w:r>
      <w:r w:rsidR="00F73BCA" w:rsidRPr="00162ADF">
        <w:t xml:space="preserve"> both the difficulties and deficiencies of current provision outside metropolitan locations and argued for greater attention and funding</w:t>
      </w:r>
      <w:r w:rsidR="00B341DC">
        <w:t>. The report also emphasised</w:t>
      </w:r>
      <w:r w:rsidR="00F73BCA" w:rsidRPr="00162ADF">
        <w:t xml:space="preserve"> the importance of engaging local communities in developing appropriate strategies. </w:t>
      </w:r>
      <w:r w:rsidR="001F57CE">
        <w:t>According to the Bradley</w:t>
      </w:r>
      <w:r w:rsidR="00F73BCA">
        <w:t xml:space="preserve"> </w:t>
      </w:r>
      <w:r w:rsidR="00B341DC">
        <w:t>Review</w:t>
      </w:r>
      <w:r w:rsidR="00F73BCA">
        <w:t xml:space="preserve">, geography and </w:t>
      </w:r>
      <w:r w:rsidR="0021491D">
        <w:t xml:space="preserve">socioeconomic </w:t>
      </w:r>
      <w:r w:rsidR="00AB5240">
        <w:t>status</w:t>
      </w:r>
      <w:r w:rsidR="00B341DC">
        <w:t xml:space="preserve"> </w:t>
      </w:r>
      <w:r w:rsidR="00F73BCA">
        <w:t>are two major factors affecting the educat</w:t>
      </w:r>
      <w:r w:rsidR="00F31DCC">
        <w:t>ional outcomes of young people.</w:t>
      </w:r>
    </w:p>
    <w:p w:rsidR="00F73BCA" w:rsidRDefault="00F73BCA" w:rsidP="000C267F">
      <w:pPr>
        <w:pStyle w:val="Text"/>
      </w:pPr>
      <w:r>
        <w:t>W</w:t>
      </w:r>
      <w:r w:rsidRPr="00162ADF">
        <w:t xml:space="preserve">ith increasing evidence and concern about the spatial concentration of </w:t>
      </w:r>
      <w:r w:rsidR="0021491D">
        <w:rPr>
          <w:bCs/>
        </w:rPr>
        <w:t>socioeconomic</w:t>
      </w:r>
      <w:r w:rsidR="00D13A1E">
        <w:rPr>
          <w:bCs/>
        </w:rPr>
        <w:t xml:space="preserve"> </w:t>
      </w:r>
      <w:r w:rsidRPr="00162ADF">
        <w:t xml:space="preserve">disadvantage, place-based policy responses, sometimes </w:t>
      </w:r>
      <w:r w:rsidR="00B341DC">
        <w:t xml:space="preserve">in combination </w:t>
      </w:r>
      <w:r w:rsidRPr="00162ADF">
        <w:t>with people-based policies to ‘improve’ both place and residents, have emerged across different levels of government in Australia (</w:t>
      </w:r>
      <w:r w:rsidR="00F31DCC">
        <w:rPr>
          <w:noProof/>
        </w:rPr>
        <w:t>Baum et al.</w:t>
      </w:r>
      <w:r w:rsidR="00B341DC">
        <w:rPr>
          <w:noProof/>
        </w:rPr>
        <w:t xml:space="preserve"> 1999; Baum, Mitchell &amp; Han 2008;</w:t>
      </w:r>
      <w:r w:rsidR="00F31DCC">
        <w:rPr>
          <w:noProof/>
        </w:rPr>
        <w:t xml:space="preserve"> Byron</w:t>
      </w:r>
      <w:r w:rsidR="00B341DC">
        <w:rPr>
          <w:noProof/>
        </w:rPr>
        <w:t xml:space="preserve"> 2010;</w:t>
      </w:r>
      <w:r w:rsidRPr="00162ADF">
        <w:rPr>
          <w:noProof/>
        </w:rPr>
        <w:t xml:space="preserve"> Randolph 2004)</w:t>
      </w:r>
      <w:r w:rsidRPr="00162ADF">
        <w:t xml:space="preserve">. </w:t>
      </w:r>
      <w:r w:rsidR="004962FE">
        <w:t>These policies have</w:t>
      </w:r>
      <w:r w:rsidRPr="00162ADF">
        <w:t xml:space="preserve"> </w:t>
      </w:r>
      <w:r w:rsidR="00AB5240">
        <w:t>highlighted</w:t>
      </w:r>
      <w:r w:rsidRPr="00162ADF">
        <w:t xml:space="preserve"> many factors affecting the participation of students from regional Australia</w:t>
      </w:r>
      <w:r w:rsidR="00B341DC">
        <w:t xml:space="preserve"> in education and training (</w:t>
      </w:r>
      <w:r w:rsidRPr="00162ADF">
        <w:t>Senate</w:t>
      </w:r>
      <w:r w:rsidR="00B341DC">
        <w:t xml:space="preserve"> Rural and Regional Affairs and Transport References Committee</w:t>
      </w:r>
      <w:r w:rsidRPr="00162ADF">
        <w:t xml:space="preserve"> 2009)</w:t>
      </w:r>
      <w:r>
        <w:t xml:space="preserve">, including </w:t>
      </w:r>
      <w:r w:rsidR="00AB5240">
        <w:t xml:space="preserve">the </w:t>
      </w:r>
      <w:r>
        <w:t>significant access barriers of distance and costs. G</w:t>
      </w:r>
      <w:r w:rsidRPr="00162ADF">
        <w:t xml:space="preserve">eography can </w:t>
      </w:r>
      <w:r>
        <w:t xml:space="preserve">therefore </w:t>
      </w:r>
      <w:r w:rsidR="004962FE">
        <w:t>have far-</w:t>
      </w:r>
      <w:r w:rsidRPr="00162ADF">
        <w:t xml:space="preserve">reaching effects on people’s lives and opportunities, but </w:t>
      </w:r>
      <w:r w:rsidR="00AB5240">
        <w:t>generally</w:t>
      </w:r>
      <w:r w:rsidRPr="00162ADF">
        <w:t xml:space="preserve"> people </w:t>
      </w:r>
      <w:r w:rsidR="004962FE">
        <w:t>accommodate</w:t>
      </w:r>
      <w:r w:rsidRPr="00162ADF">
        <w:t xml:space="preserve"> spaces and places </w:t>
      </w:r>
      <w:r w:rsidR="004962FE">
        <w:t>according to</w:t>
      </w:r>
      <w:r w:rsidRPr="00162ADF">
        <w:t xml:space="preserve"> the ways they live their lives. </w:t>
      </w:r>
      <w:r>
        <w:t>L</w:t>
      </w:r>
      <w:r w:rsidRPr="00162ADF">
        <w:t>ess well understood is how these processes work and whether place-based</w:t>
      </w:r>
      <w:r>
        <w:t>,</w:t>
      </w:r>
      <w:r w:rsidRPr="00162ADF">
        <w:t xml:space="preserve"> pe</w:t>
      </w:r>
      <w:r w:rsidR="004926AC">
        <w:t>ople</w:t>
      </w:r>
      <w:r w:rsidRPr="00162ADF">
        <w:t>-based strategies</w:t>
      </w:r>
      <w:r w:rsidR="00AB5240">
        <w:t>,</w:t>
      </w:r>
      <w:r w:rsidRPr="00162ADF">
        <w:t xml:space="preserve"> or a mixture</w:t>
      </w:r>
      <w:r w:rsidR="00AB5240">
        <w:t>,</w:t>
      </w:r>
      <w:r w:rsidRPr="00162ADF">
        <w:t xml:space="preserve"> </w:t>
      </w:r>
      <w:r>
        <w:t xml:space="preserve">will </w:t>
      </w:r>
      <w:r w:rsidR="004962FE">
        <w:t>address</w:t>
      </w:r>
      <w:r w:rsidRPr="00162ADF">
        <w:t xml:space="preserve"> geographical and social and educational inequalities (</w:t>
      </w:r>
      <w:r w:rsidRPr="00162ADF">
        <w:rPr>
          <w:noProof/>
        </w:rPr>
        <w:t>Griggs et al. 2008</w:t>
      </w:r>
      <w:r>
        <w:rPr>
          <w:noProof/>
        </w:rPr>
        <w:t>)</w:t>
      </w:r>
      <w:r w:rsidRPr="00162ADF">
        <w:rPr>
          <w:noProof/>
        </w:rPr>
        <w:t xml:space="preserve">. </w:t>
      </w:r>
      <w:r w:rsidRPr="00162ADF">
        <w:t xml:space="preserve">Smyth </w:t>
      </w:r>
      <w:r w:rsidR="000C267F">
        <w:t>and</w:t>
      </w:r>
      <w:r w:rsidRPr="00162ADF">
        <w:t xml:space="preserve"> McInerney </w:t>
      </w:r>
      <w:r w:rsidR="004962FE" w:rsidRPr="00162ADF">
        <w:t>(2013, p</w:t>
      </w:r>
      <w:r w:rsidR="004962FE">
        <w:t>.</w:t>
      </w:r>
      <w:r w:rsidR="004962FE" w:rsidRPr="00162ADF">
        <w:t>2)</w:t>
      </w:r>
      <w:r w:rsidR="004962FE">
        <w:t xml:space="preserve"> </w:t>
      </w:r>
      <w:r w:rsidRPr="00162ADF">
        <w:t>contend that</w:t>
      </w:r>
      <w:r>
        <w:t xml:space="preserve">: </w:t>
      </w:r>
    </w:p>
    <w:p w:rsidR="00F73BCA" w:rsidRDefault="00F73BCA" w:rsidP="00C74818">
      <w:pPr>
        <w:pStyle w:val="Quote"/>
      </w:pPr>
      <w:proofErr w:type="gramStart"/>
      <w:r w:rsidRPr="00162ADF">
        <w:t>the</w:t>
      </w:r>
      <w:proofErr w:type="gramEnd"/>
      <w:r w:rsidRPr="00162ADF">
        <w:t xml:space="preserve"> effect of neighbourhoods and places on the lives, educational opportunities and life chances of young people from contexts of </w:t>
      </w:r>
      <w:r w:rsidR="0021491D">
        <w:t>socioeconomic</w:t>
      </w:r>
      <w:r w:rsidR="00D13A1E">
        <w:t xml:space="preserve"> </w:t>
      </w:r>
      <w:r w:rsidR="004962FE">
        <w:t>disadvantage …</w:t>
      </w:r>
      <w:r w:rsidRPr="00162ADF">
        <w:t xml:space="preserve"> is not well understood, and invariably </w:t>
      </w:r>
      <w:r w:rsidRPr="00B50A97">
        <w:t>reinforces deficit stereotypes</w:t>
      </w:r>
      <w:r>
        <w:t>.</w:t>
      </w:r>
      <w:r w:rsidRPr="00162ADF">
        <w:t xml:space="preserve"> </w:t>
      </w:r>
    </w:p>
    <w:p w:rsidR="00F73BCA" w:rsidRPr="00D42E11" w:rsidRDefault="00F73BCA" w:rsidP="00EC6AD2">
      <w:pPr>
        <w:pStyle w:val="Text"/>
      </w:pPr>
      <w:r>
        <w:t>Similarly</w:t>
      </w:r>
      <w:r w:rsidR="008B7412">
        <w:t>,</w:t>
      </w:r>
      <w:r>
        <w:t xml:space="preserve"> </w:t>
      </w:r>
      <w:proofErr w:type="spellStart"/>
      <w:r w:rsidRPr="00162ADF">
        <w:t>Meegan</w:t>
      </w:r>
      <w:proofErr w:type="spellEnd"/>
      <w:r w:rsidRPr="00162ADF">
        <w:t xml:space="preserve"> and Mitchell (2001) </w:t>
      </w:r>
      <w:r>
        <w:t>call</w:t>
      </w:r>
      <w:r w:rsidRPr="00162ADF">
        <w:t xml:space="preserve"> for research that understand</w:t>
      </w:r>
      <w:r>
        <w:t>s</w:t>
      </w:r>
      <w:r w:rsidRPr="00162ADF">
        <w:t xml:space="preserve"> people’s ‘everyday life worlds’</w:t>
      </w:r>
      <w:r w:rsidR="00AB5240">
        <w:t>,</w:t>
      </w:r>
      <w:r w:rsidRPr="00162ADF">
        <w:t xml:space="preserve"> because</w:t>
      </w:r>
      <w:r w:rsidR="00AB5240">
        <w:t>,</w:t>
      </w:r>
      <w:r w:rsidRPr="00162ADF">
        <w:t xml:space="preserve"> as Lupton (2010</w:t>
      </w:r>
      <w:r>
        <w:t>,</w:t>
      </w:r>
      <w:r w:rsidRPr="00162ADF">
        <w:t xml:space="preserve"> p</w:t>
      </w:r>
      <w:r w:rsidR="00F8728D">
        <w:t>.</w:t>
      </w:r>
      <w:r w:rsidRPr="00162ADF">
        <w:t xml:space="preserve">117) </w:t>
      </w:r>
      <w:r w:rsidR="004962FE">
        <w:t>argues</w:t>
      </w:r>
      <w:r>
        <w:t>,</w:t>
      </w:r>
      <w:r w:rsidRPr="00162ADF">
        <w:t xml:space="preserve"> place-based interventions have become conceptually confused</w:t>
      </w:r>
      <w:r>
        <w:t>. In reporting our findings of recent empirical research in two states in Australia we seek to contribute to theoretical understanding</w:t>
      </w:r>
      <w:r w:rsidR="00AB5240">
        <w:t>s</w:t>
      </w:r>
      <w:r>
        <w:t xml:space="preserve"> of people’s every</w:t>
      </w:r>
      <w:r w:rsidR="001F57CE">
        <w:t>day</w:t>
      </w:r>
      <w:r>
        <w:t xml:space="preserve"> life worlds</w:t>
      </w:r>
      <w:r w:rsidR="004962FE">
        <w:t>. Our aim</w:t>
      </w:r>
      <w:r>
        <w:t xml:space="preserve"> i</w:t>
      </w:r>
      <w:r w:rsidR="004962FE">
        <w:t>s</w:t>
      </w:r>
      <w:r>
        <w:t xml:space="preserve"> to shed light on the conceptual confusion that often underpins place-based and people-based polic</w:t>
      </w:r>
      <w:r w:rsidR="00281F70">
        <w:t>i</w:t>
      </w:r>
      <w:r>
        <w:t xml:space="preserve">es and practices and </w:t>
      </w:r>
      <w:r w:rsidR="004962FE">
        <w:t xml:space="preserve">to </w:t>
      </w:r>
      <w:r>
        <w:t xml:space="preserve">contest deficit stereotypes of young people’s </w:t>
      </w:r>
      <w:r w:rsidR="00D230DC">
        <w:t>post-school</w:t>
      </w:r>
      <w:r>
        <w:t xml:space="preserve"> pathways.</w:t>
      </w:r>
      <w:r w:rsidRPr="00BC5F30">
        <w:br w:type="page"/>
      </w:r>
    </w:p>
    <w:p w:rsidR="00A50895" w:rsidRDefault="00A31724" w:rsidP="00A50895">
      <w:pPr>
        <w:pStyle w:val="Heading2"/>
      </w:pPr>
      <w:bookmarkStart w:id="40" w:name="_Toc409079362"/>
      <w:r>
        <w:lastRenderedPageBreak/>
        <w:t>Rationale for the research</w:t>
      </w:r>
      <w:bookmarkEnd w:id="40"/>
    </w:p>
    <w:p w:rsidR="00C33572" w:rsidRDefault="00D25C1B" w:rsidP="00870DBD">
      <w:pPr>
        <w:pStyle w:val="Text"/>
      </w:pPr>
      <w:r w:rsidRPr="00D25C1B">
        <w:t xml:space="preserve">This </w:t>
      </w:r>
      <w:r w:rsidR="001F57CE">
        <w:t xml:space="preserve">report discusses findings from a study </w:t>
      </w:r>
      <w:r w:rsidRPr="00D25C1B">
        <w:t xml:space="preserve">in two regions of Australia, </w:t>
      </w:r>
      <w:r w:rsidR="004926AC">
        <w:t>involving two sites in Victoria and two sites</w:t>
      </w:r>
      <w:r w:rsidRPr="00D25C1B">
        <w:t xml:space="preserve"> in South Australia. Qualitative research was </w:t>
      </w:r>
      <w:r w:rsidR="004962FE">
        <w:t>used</w:t>
      </w:r>
      <w:r w:rsidR="00AB5240">
        <w:t xml:space="preserve"> to build on and explore in </w:t>
      </w:r>
      <w:r w:rsidRPr="00D25C1B">
        <w:t>depth the findings from a quantitative study cond</w:t>
      </w:r>
      <w:r w:rsidR="00AB5240">
        <w:t>ucted in the three-</w:t>
      </w:r>
      <w:r w:rsidR="004926AC">
        <w:t>year (20</w:t>
      </w:r>
      <w:r w:rsidRPr="00D25C1B">
        <w:t>1</w:t>
      </w:r>
      <w:r w:rsidR="004926AC">
        <w:t>0</w:t>
      </w:r>
      <w:r w:rsidR="004962FE">
        <w:t>—</w:t>
      </w:r>
      <w:r w:rsidRPr="00D25C1B">
        <w:t>13) funded research partnership be</w:t>
      </w:r>
      <w:r w:rsidR="008B7412">
        <w:t>tween Monash University and NCVER</w:t>
      </w:r>
      <w:r w:rsidR="00C33572">
        <w:t>.</w:t>
      </w:r>
      <w:r w:rsidRPr="00D25C1B">
        <w:t xml:space="preserve"> </w:t>
      </w:r>
      <w:r w:rsidR="00C33572">
        <w:t>The project,</w:t>
      </w:r>
      <w:r w:rsidRPr="00D25C1B">
        <w:t xml:space="preserve"> </w:t>
      </w:r>
      <w:r w:rsidRPr="00D25C1B">
        <w:rPr>
          <w:i/>
        </w:rPr>
        <w:t>Geographical dimensions of social inclusion and vocational education and training (VET) in Australia</w:t>
      </w:r>
      <w:r w:rsidR="00C33572">
        <w:t>,</w:t>
      </w:r>
      <w:r w:rsidRPr="00D25C1B">
        <w:t xml:space="preserve"> examined the role of community and neighbourhood factors in </w:t>
      </w:r>
      <w:r w:rsidRPr="00F8728D">
        <w:t xml:space="preserve">predicting the </w:t>
      </w:r>
      <w:r w:rsidR="00D230DC">
        <w:t>post-school</w:t>
      </w:r>
      <w:r w:rsidRPr="00F8728D">
        <w:t xml:space="preserve"> destinations of young Australians (Johnston et al</w:t>
      </w:r>
      <w:r w:rsidR="00C33572">
        <w:t>.</w:t>
      </w:r>
      <w:r w:rsidR="00F8728D">
        <w:t xml:space="preserve"> 2014). </w:t>
      </w:r>
      <w:r w:rsidRPr="00F8728D">
        <w:t xml:space="preserve">In the quantitative </w:t>
      </w:r>
      <w:r w:rsidR="00AB5240">
        <w:t>component</w:t>
      </w:r>
      <w:r w:rsidRPr="00F8728D">
        <w:t xml:space="preserve"> of this research, Johnston et al</w:t>
      </w:r>
      <w:r w:rsidR="00EC6AD2" w:rsidRPr="00F8728D">
        <w:t>.</w:t>
      </w:r>
      <w:r w:rsidRPr="00F8728D">
        <w:t xml:space="preserve"> (2014) identified the continuing importance of the</w:t>
      </w:r>
      <w:r w:rsidRPr="00D25C1B">
        <w:t xml:space="preserve"> </w:t>
      </w:r>
      <w:r w:rsidR="0021491D">
        <w:t xml:space="preserve">socioeconomic </w:t>
      </w:r>
      <w:r w:rsidRPr="00D25C1B">
        <w:t xml:space="preserve">status of neighbourhoods in explaining variations in student outcomes, although particular neighbourhood characteristics such as residential turnover, the composition of households and the multicultural nature of neighbourhoods also play a role. </w:t>
      </w:r>
      <w:r w:rsidR="00C33572">
        <w:t>T</w:t>
      </w:r>
      <w:r w:rsidRPr="00D25C1B">
        <w:t xml:space="preserve">he characteristics of schools were </w:t>
      </w:r>
      <w:r w:rsidR="00C33572">
        <w:t xml:space="preserve">also </w:t>
      </w:r>
      <w:r w:rsidRPr="00D25C1B">
        <w:t xml:space="preserve">recognised as making an important difference, including school leadership and teacher quality. However, these school effects factors are neither easily measurable nor separable from the characteristics of </w:t>
      </w:r>
      <w:r w:rsidR="00C33572">
        <w:t xml:space="preserve">the </w:t>
      </w:r>
      <w:r w:rsidRPr="00D25C1B">
        <w:t>neighbourh</w:t>
      </w:r>
      <w:r w:rsidR="00C33572">
        <w:t>oods to which they relate.</w:t>
      </w:r>
    </w:p>
    <w:p w:rsidR="00D25C1B" w:rsidRPr="00D25C1B" w:rsidRDefault="00C33572" w:rsidP="00870DBD">
      <w:pPr>
        <w:pStyle w:val="Text"/>
      </w:pPr>
      <w:r>
        <w:t>Qualitative methods were</w:t>
      </w:r>
      <w:r w:rsidRPr="00D25C1B">
        <w:t xml:space="preserve"> </w:t>
      </w:r>
      <w:r>
        <w:t>therefore</w:t>
      </w:r>
      <w:r w:rsidR="00D25C1B" w:rsidRPr="00D25C1B">
        <w:t xml:space="preserve"> </w:t>
      </w:r>
      <w:r w:rsidR="001F57CE">
        <w:t xml:space="preserve">used </w:t>
      </w:r>
      <w:r w:rsidR="00D25C1B" w:rsidRPr="00D25C1B">
        <w:t xml:space="preserve">to research in more depth the mechanisms that enable some people in low </w:t>
      </w:r>
      <w:r>
        <w:t>socioeconomic</w:t>
      </w:r>
      <w:r w:rsidR="00D25C1B" w:rsidRPr="00D25C1B">
        <w:t xml:space="preserve"> neighbourhoods to overcome the </w:t>
      </w:r>
      <w:r w:rsidR="00A66890" w:rsidRPr="00D25C1B">
        <w:t xml:space="preserve">effects </w:t>
      </w:r>
      <w:r w:rsidR="00A66890">
        <w:t xml:space="preserve">of their </w:t>
      </w:r>
      <w:r w:rsidR="00D25C1B" w:rsidRPr="00D25C1B">
        <w:t>neighbourhood</w:t>
      </w:r>
      <w:r w:rsidR="00A66890">
        <w:t>s</w:t>
      </w:r>
      <w:r w:rsidR="00D25C1B" w:rsidRPr="00D25C1B">
        <w:t xml:space="preserve"> and participate in pos</w:t>
      </w:r>
      <w:r w:rsidR="00DB288B">
        <w:t>t-school education and training</w:t>
      </w:r>
      <w:r w:rsidR="00AB5240">
        <w:t>.</w:t>
      </w:r>
      <w:r w:rsidR="00A66890">
        <w:t xml:space="preserve"> </w:t>
      </w:r>
      <w:r w:rsidR="00AB5240">
        <w:t xml:space="preserve">A </w:t>
      </w:r>
      <w:r w:rsidR="00D25C1B" w:rsidRPr="00D25C1B">
        <w:t xml:space="preserve">methodology that enabled exploration of </w:t>
      </w:r>
      <w:r w:rsidR="00DB288B" w:rsidRPr="00D25C1B">
        <w:t>the importance of schooling and neighbourhood factors in people’s lives</w:t>
      </w:r>
      <w:r w:rsidR="00AB5240">
        <w:t xml:space="preserve"> was therefore required</w:t>
      </w:r>
      <w:r w:rsidR="00A66890">
        <w:t xml:space="preserve">. </w:t>
      </w:r>
      <w:r w:rsidR="002A74F4">
        <w:t>While</w:t>
      </w:r>
      <w:r w:rsidR="00D25C1B" w:rsidRPr="00D25C1B">
        <w:t xml:space="preserve"> the quantitative research provided informa</w:t>
      </w:r>
      <w:r w:rsidR="002A74F4">
        <w:t>tion about the average case,</w:t>
      </w:r>
      <w:r w:rsidR="00D25C1B" w:rsidRPr="00D25C1B">
        <w:t xml:space="preserve"> a closer examination of the data </w:t>
      </w:r>
      <w:r w:rsidR="00D25C1B" w:rsidRPr="00994936">
        <w:t>showed that</w:t>
      </w:r>
      <w:r w:rsidR="008B7412" w:rsidRPr="00994936">
        <w:t xml:space="preserve"> some neighbourhoods with below-</w:t>
      </w:r>
      <w:r w:rsidR="00D25C1B" w:rsidRPr="00994936">
        <w:t xml:space="preserve">average </w:t>
      </w:r>
      <w:r w:rsidR="0021491D" w:rsidRPr="00994936">
        <w:t xml:space="preserve">socioeconomic </w:t>
      </w:r>
      <w:r w:rsidR="008B7412" w:rsidRPr="00994936">
        <w:t>status have above-</w:t>
      </w:r>
      <w:r w:rsidR="00D25C1B" w:rsidRPr="00994936">
        <w:t>average</w:t>
      </w:r>
      <w:r w:rsidR="00D25C1B" w:rsidRPr="00D25C1B">
        <w:t xml:space="preserve"> student outcomes and vice versa. In th</w:t>
      </w:r>
      <w:r w:rsidR="00AB5240">
        <w:t>is</w:t>
      </w:r>
      <w:r w:rsidR="00D25C1B" w:rsidRPr="00D25C1B">
        <w:t xml:space="preserve"> research, </w:t>
      </w:r>
      <w:r w:rsidR="00DB288B">
        <w:t xml:space="preserve">the </w:t>
      </w:r>
      <w:r w:rsidR="00D25C1B" w:rsidRPr="00D25C1B">
        <w:t xml:space="preserve">qualitative methodology </w:t>
      </w:r>
      <w:r w:rsidR="00DB288B">
        <w:t>enabled the identification of</w:t>
      </w:r>
      <w:r w:rsidR="00D25C1B" w:rsidRPr="00D25C1B">
        <w:t xml:space="preserve"> critical factors that may be responsible for </w:t>
      </w:r>
      <w:r w:rsidR="00DB288B">
        <w:t xml:space="preserve">divergences between similar neighbourhood types. </w:t>
      </w:r>
    </w:p>
    <w:p w:rsidR="00D25C1B" w:rsidRPr="00D25C1B" w:rsidRDefault="002A74F4" w:rsidP="00A73C73">
      <w:pPr>
        <w:pStyle w:val="Text"/>
      </w:pPr>
      <w:r>
        <w:t>We contend</w:t>
      </w:r>
      <w:r w:rsidR="00D25C1B" w:rsidRPr="00D25C1B">
        <w:t xml:space="preserve"> that a nuanced understanding of the ‘geography’ </w:t>
      </w:r>
      <w:r w:rsidR="008B7412">
        <w:t>and</w:t>
      </w:r>
      <w:r w:rsidR="003F1BEF">
        <w:t xml:space="preserve"> ‘place characteristics’ </w:t>
      </w:r>
      <w:r w:rsidR="00D25C1B" w:rsidRPr="00D25C1B">
        <w:t>of neighbourhoods is required in ord</w:t>
      </w:r>
      <w:r w:rsidR="00F8728D">
        <w:t>er to tailor policy responses</w:t>
      </w:r>
      <w:r>
        <w:t xml:space="preserve"> </w:t>
      </w:r>
      <w:r w:rsidR="00AB5240">
        <w:t xml:space="preserve">for specific cohorts of students </w:t>
      </w:r>
      <w:r>
        <w:t>and we use a comparative analysis to test this proposition.</w:t>
      </w:r>
      <w:r w:rsidRPr="002A74F4">
        <w:t xml:space="preserve"> </w:t>
      </w:r>
      <w:r w:rsidR="00D25C1B" w:rsidRPr="00D25C1B">
        <w:t>By examining areas with different neighbourhood</w:t>
      </w:r>
      <w:r w:rsidR="00F8728D">
        <w:t xml:space="preserve"> and schooling characteristics </w:t>
      </w:r>
      <w:r w:rsidR="00D25C1B" w:rsidRPr="00D25C1B">
        <w:t xml:space="preserve">and contrasting </w:t>
      </w:r>
      <w:r w:rsidR="00AB5240">
        <w:t xml:space="preserve">their </w:t>
      </w:r>
      <w:r w:rsidR="00D25C1B" w:rsidRPr="00D25C1B">
        <w:t>post-school labour markets and education and training opportunities</w:t>
      </w:r>
      <w:r>
        <w:t>,</w:t>
      </w:r>
      <w:r w:rsidR="00D25C1B" w:rsidRPr="00D25C1B">
        <w:t xml:space="preserve"> we build an understanding of the factors affecting the educational aspirations, choices, life chances and imagined futures of young people from </w:t>
      </w:r>
      <w:r w:rsidR="00870DBD" w:rsidRPr="004C0996">
        <w:rPr>
          <w:bCs/>
        </w:rPr>
        <w:t>urban</w:t>
      </w:r>
      <w:r w:rsidR="00870DBD">
        <w:rPr>
          <w:bCs/>
        </w:rPr>
        <w:t xml:space="preserve"> fringe</w:t>
      </w:r>
      <w:r w:rsidR="00F8728D">
        <w:t xml:space="preserve">, rural and regional </w:t>
      </w:r>
      <w:r w:rsidR="00A73C73">
        <w:t>plac</w:t>
      </w:r>
      <w:r w:rsidR="00F8728D">
        <w:t>es.</w:t>
      </w:r>
    </w:p>
    <w:p w:rsidR="00D25C1B" w:rsidRPr="00D25C1B" w:rsidRDefault="00D25C1B" w:rsidP="00D25C1B">
      <w:pPr>
        <w:pStyle w:val="Text"/>
      </w:pPr>
      <w:r w:rsidRPr="00D25C1B">
        <w:t>The study addresses the following broad questions:</w:t>
      </w:r>
    </w:p>
    <w:p w:rsidR="00D25C1B" w:rsidRPr="00D25C1B" w:rsidRDefault="00D25C1B" w:rsidP="00C74818">
      <w:pPr>
        <w:pStyle w:val="Dotpoint1"/>
      </w:pPr>
      <w:r w:rsidRPr="00D25C1B">
        <w:t>What are the specific mechanisms through which the characteristics of neighbourhood</w:t>
      </w:r>
      <w:r w:rsidR="008B7412">
        <w:t>s</w:t>
      </w:r>
      <w:r w:rsidRPr="00D25C1B">
        <w:t xml:space="preserve"> might affect an individual?</w:t>
      </w:r>
    </w:p>
    <w:p w:rsidR="00C9656D" w:rsidRPr="00F8728D" w:rsidRDefault="00D25C1B" w:rsidP="00C74818">
      <w:pPr>
        <w:pStyle w:val="Dotpoint1"/>
      </w:pPr>
      <w:r w:rsidRPr="00D25C1B">
        <w:t xml:space="preserve">How do individuals </w:t>
      </w:r>
      <w:r w:rsidR="008B7412">
        <w:t>manage</w:t>
      </w:r>
      <w:r w:rsidRPr="00D25C1B">
        <w:t xml:space="preserve"> their lives in neighbourhoods of </w:t>
      </w:r>
      <w:r w:rsidR="0021491D">
        <w:t xml:space="preserve">socioeconomic </w:t>
      </w:r>
      <w:r w:rsidRPr="00D25C1B">
        <w:t>disadvantage, make decisions about where, how and with whom they spend their time and imagine their education and work futures?</w:t>
      </w:r>
    </w:p>
    <w:p w:rsidR="007E2D8C" w:rsidRDefault="00A31724" w:rsidP="007E2D8C">
      <w:pPr>
        <w:pStyle w:val="Heading2"/>
      </w:pPr>
      <w:bookmarkStart w:id="41" w:name="_Toc409079363"/>
      <w:r>
        <w:t>Structure of the report</w:t>
      </w:r>
      <w:bookmarkEnd w:id="41"/>
    </w:p>
    <w:p w:rsidR="003A39DB" w:rsidRDefault="00D25C1B" w:rsidP="00AF48BE">
      <w:pPr>
        <w:pStyle w:val="Text"/>
      </w:pPr>
      <w:r w:rsidRPr="00D25C1B">
        <w:t>The report analyses new empiric</w:t>
      </w:r>
      <w:r w:rsidR="002A52A6">
        <w:t xml:space="preserve">al data </w:t>
      </w:r>
      <w:r w:rsidR="002A52A6" w:rsidRPr="00543AFF">
        <w:t xml:space="preserve">collected </w:t>
      </w:r>
      <w:r w:rsidR="00543AFF" w:rsidRPr="00543AFF">
        <w:t xml:space="preserve">by the authors </w:t>
      </w:r>
      <w:r w:rsidR="002A52A6" w:rsidRPr="00543AFF">
        <w:t xml:space="preserve">during 2013. </w:t>
      </w:r>
      <w:r w:rsidRPr="00D25C1B">
        <w:t>Details of the selection of the areas for study, the methods used, the sampling frame and forms of analysis are outlined in ‘Res</w:t>
      </w:r>
      <w:r w:rsidR="002A52A6">
        <w:t xml:space="preserve">earch </w:t>
      </w:r>
      <w:r w:rsidR="002A74F4">
        <w:t>methodology and design’</w:t>
      </w:r>
      <w:r w:rsidR="002A52A6">
        <w:t xml:space="preserve">. </w:t>
      </w:r>
      <w:r w:rsidRPr="00D25C1B">
        <w:t xml:space="preserve">This is preceded by </w:t>
      </w:r>
      <w:r w:rsidR="002A74F4">
        <w:t>a review of the Australian and i</w:t>
      </w:r>
      <w:r w:rsidRPr="00D25C1B">
        <w:t xml:space="preserve">nternational literature </w:t>
      </w:r>
      <w:r w:rsidR="002A74F4">
        <w:t>on</w:t>
      </w:r>
      <w:r w:rsidRPr="00D25C1B">
        <w:t xml:space="preserve"> neighbourhood and </w:t>
      </w:r>
      <w:r w:rsidR="0021491D">
        <w:t xml:space="preserve">socioeconomic </w:t>
      </w:r>
      <w:r w:rsidRPr="00D25C1B">
        <w:t>effects on pos</w:t>
      </w:r>
      <w:r w:rsidR="002A52A6">
        <w:t xml:space="preserve">t-school educational outcomes. </w:t>
      </w:r>
      <w:r w:rsidRPr="00D25C1B">
        <w:t xml:space="preserve">This section identifies the importance of the relationship between opportunities and </w:t>
      </w:r>
      <w:r w:rsidR="008732FC">
        <w:t>the capability</w:t>
      </w:r>
      <w:r w:rsidRPr="00D25C1B">
        <w:t xml:space="preserve"> to follow particular options, in other words, the relationship between structure and agency. The </w:t>
      </w:r>
      <w:r w:rsidRPr="00D25C1B">
        <w:lastRenderedPageBreak/>
        <w:t>literature review provides an account of the concepts that have informed the fra</w:t>
      </w:r>
      <w:r w:rsidR="005850DC">
        <w:t>mework for the research design and</w:t>
      </w:r>
      <w:r w:rsidRPr="00D25C1B">
        <w:t xml:space="preserve"> analysis and </w:t>
      </w:r>
      <w:r w:rsidR="005850DC">
        <w:t xml:space="preserve">the </w:t>
      </w:r>
      <w:r w:rsidRPr="00D25C1B">
        <w:t xml:space="preserve">focus on the role of social-cultural understandings and perceptions of opportunities. </w:t>
      </w:r>
      <w:r w:rsidR="00180BCD">
        <w:t>T</w:t>
      </w:r>
      <w:r w:rsidRPr="00D25C1B">
        <w:t>his fram</w:t>
      </w:r>
      <w:r w:rsidR="00180BCD">
        <w:t xml:space="preserve">ework </w:t>
      </w:r>
      <w:r w:rsidR="00720A8C">
        <w:t>uses the idea that</w:t>
      </w:r>
      <w:r w:rsidRPr="00D25C1B">
        <w:t xml:space="preserve"> the educational aspirations and imagined futures of young people are contextualised in localised </w:t>
      </w:r>
      <w:r w:rsidR="005850DC">
        <w:t>understandings</w:t>
      </w:r>
      <w:r w:rsidRPr="00D25C1B">
        <w:t xml:space="preserve"> of </w:t>
      </w:r>
      <w:r w:rsidR="00720A8C">
        <w:t xml:space="preserve">their </w:t>
      </w:r>
      <w:r w:rsidRPr="00D25C1B">
        <w:t>po</w:t>
      </w:r>
      <w:r w:rsidR="008732FC">
        <w:t>tential</w:t>
      </w:r>
      <w:r w:rsidRPr="00D25C1B">
        <w:t xml:space="preserve"> choices and life chances</w:t>
      </w:r>
      <w:r w:rsidR="002A52A6">
        <w:t xml:space="preserve">. </w:t>
      </w:r>
      <w:r w:rsidR="00720A8C">
        <w:t>These ideas have</w:t>
      </w:r>
      <w:r w:rsidR="00180BCD">
        <w:t xml:space="preserve"> led to a focus on narrative </w:t>
      </w:r>
      <w:r w:rsidRPr="00D25C1B">
        <w:t xml:space="preserve">accounts </w:t>
      </w:r>
      <w:r w:rsidR="00180BCD">
        <w:t xml:space="preserve">by young people </w:t>
      </w:r>
      <w:r w:rsidRPr="00D25C1B">
        <w:t xml:space="preserve">of </w:t>
      </w:r>
      <w:r w:rsidR="00180BCD">
        <w:t>their experiences at school an</w:t>
      </w:r>
      <w:r w:rsidR="008732FC">
        <w:t xml:space="preserve">d their transition to life after </w:t>
      </w:r>
      <w:r w:rsidR="00180BCD">
        <w:t xml:space="preserve">school. However, in order to understand </w:t>
      </w:r>
      <w:r w:rsidR="008732FC">
        <w:t>more fully</w:t>
      </w:r>
      <w:r w:rsidR="00180BCD">
        <w:t xml:space="preserve"> the circumstances in which these young people are living thei</w:t>
      </w:r>
      <w:r w:rsidR="00720A8C">
        <w:t>r lives and making decisions, the study also</w:t>
      </w:r>
      <w:r w:rsidR="00180BCD">
        <w:t xml:space="preserve"> draw</w:t>
      </w:r>
      <w:r w:rsidR="00720A8C">
        <w:t>s</w:t>
      </w:r>
      <w:r w:rsidR="00180BCD">
        <w:t xml:space="preserve"> on</w:t>
      </w:r>
      <w:r w:rsidR="00720A8C">
        <w:t xml:space="preserve"> the understandings and accounts of </w:t>
      </w:r>
      <w:r w:rsidR="008732FC">
        <w:t xml:space="preserve">the </w:t>
      </w:r>
      <w:r w:rsidR="00720A8C">
        <w:t>local policies and practices of</w:t>
      </w:r>
      <w:r w:rsidRPr="00D25C1B">
        <w:t xml:space="preserve"> </w:t>
      </w:r>
      <w:r w:rsidR="00720A8C">
        <w:t xml:space="preserve">the </w:t>
      </w:r>
      <w:r w:rsidRPr="00D25C1B">
        <w:t>educational providers and personnel from key education and training networks operating in the case study regions</w:t>
      </w:r>
      <w:r w:rsidR="00DB288B">
        <w:t>. The analysis</w:t>
      </w:r>
      <w:r w:rsidR="00720A8C">
        <w:t xml:space="preserve"> of these different accounts</w:t>
      </w:r>
      <w:r w:rsidRPr="00D25C1B">
        <w:t xml:space="preserve"> </w:t>
      </w:r>
      <w:r w:rsidR="00AF48BE">
        <w:t>is</w:t>
      </w:r>
      <w:r w:rsidR="002A52A6">
        <w:t xml:space="preserve"> presented in ‘Findings’. </w:t>
      </w:r>
      <w:r w:rsidRPr="00D25C1B">
        <w:t xml:space="preserve">The ‘Conclusion’ draws out important outcomes in relation to existing understandings in the literature and makes some </w:t>
      </w:r>
      <w:r w:rsidR="00DB288B">
        <w:t xml:space="preserve">suggestions </w:t>
      </w:r>
      <w:r w:rsidRPr="00D25C1B">
        <w:t>for future policy</w:t>
      </w:r>
      <w:r w:rsidR="005A7276">
        <w:t xml:space="preserve"> and practice</w:t>
      </w:r>
      <w:r w:rsidRPr="00D25C1B">
        <w:t>.</w:t>
      </w:r>
    </w:p>
    <w:p w:rsidR="007D1FE2" w:rsidRPr="00F8728D" w:rsidRDefault="007D1FE2" w:rsidP="00AF48BE">
      <w:pPr>
        <w:pStyle w:val="Text"/>
      </w:pPr>
      <w:r>
        <w:br w:type="page"/>
      </w:r>
    </w:p>
    <w:p w:rsidR="007D1FE2" w:rsidRDefault="007D1FE2" w:rsidP="00A50895">
      <w:pPr>
        <w:pStyle w:val="Heading1"/>
      </w:pPr>
      <w:bookmarkStart w:id="42" w:name="_Toc409079364"/>
      <w:r>
        <w:lastRenderedPageBreak/>
        <w:t>Literature and contextual review</w:t>
      </w:r>
      <w:bookmarkEnd w:id="42"/>
    </w:p>
    <w:p w:rsidR="00F0444C" w:rsidRDefault="00F0444C" w:rsidP="00F0444C">
      <w:pPr>
        <w:pStyle w:val="Text"/>
      </w:pPr>
      <w:r w:rsidRPr="00AE261D">
        <w:t xml:space="preserve">Over the last </w:t>
      </w:r>
      <w:r>
        <w:t>five</w:t>
      </w:r>
      <w:r w:rsidRPr="00AE261D">
        <w:t xml:space="preserve"> decades </w:t>
      </w:r>
      <w:r>
        <w:t xml:space="preserve">or more, </w:t>
      </w:r>
      <w:r w:rsidRPr="00AE261D">
        <w:t xml:space="preserve">an extensive literature </w:t>
      </w:r>
      <w:r>
        <w:t xml:space="preserve">has developed </w:t>
      </w:r>
      <w:r w:rsidR="005850DC">
        <w:t xml:space="preserve">that </w:t>
      </w:r>
      <w:r>
        <w:t>discuss</w:t>
      </w:r>
      <w:r w:rsidR="005850DC">
        <w:t>es</w:t>
      </w:r>
      <w:r>
        <w:t xml:space="preserve"> the relationship between education and social mobility. Much of this research has drawn on the field of sociology</w:t>
      </w:r>
      <w:r w:rsidR="001B5DBB">
        <w:t xml:space="preserve"> and focuses</w:t>
      </w:r>
      <w:r>
        <w:t xml:space="preserve"> on the role of social class differences in </w:t>
      </w:r>
      <w:r w:rsidR="005850DC">
        <w:t>determining</w:t>
      </w:r>
      <w:r>
        <w:t xml:space="preserve"> the relationship between neighbourhoods and families and educational and </w:t>
      </w:r>
      <w:r w:rsidR="0021491D">
        <w:t xml:space="preserve">socioeconomic </w:t>
      </w:r>
      <w:r>
        <w:t xml:space="preserve">outcomes. </w:t>
      </w:r>
      <w:r w:rsidR="00817A80">
        <w:t>Brown, Reay and Vincent (2013, p.638) claim, however, that</w:t>
      </w:r>
      <w:r>
        <w:t xml:space="preserve"> the substantial research in the sociology of education literature developed in the last 25 years on ‘student identities, aspirations and experiences of school, college and university has been overlooked, partly because it is primarily based on qualitative rather than quantitative methods of data col</w:t>
      </w:r>
      <w:r w:rsidR="005850DC">
        <w:t>lection’</w:t>
      </w:r>
      <w:r w:rsidR="00817A80">
        <w:t>.</w:t>
      </w:r>
      <w:r w:rsidR="005850DC">
        <w:t xml:space="preserve"> </w:t>
      </w:r>
      <w:r>
        <w:t>Brown</w:t>
      </w:r>
      <w:r w:rsidR="005850DC">
        <w:t>,</w:t>
      </w:r>
      <w:r>
        <w:t xml:space="preserve"> </w:t>
      </w:r>
      <w:r w:rsidR="005850DC">
        <w:t xml:space="preserve">Reay and Vincent </w:t>
      </w:r>
      <w:r>
        <w:t>(2013) argue that this neglect not only points to a weakness in mobility studies but also to a failure of sociologists of education to engage with the broader policy debates about social mobility. Other disciplines have filled this research vacu</w:t>
      </w:r>
      <w:r w:rsidR="00817A80">
        <w:t>um; for example,</w:t>
      </w:r>
      <w:r>
        <w:t xml:space="preserve"> ec</w:t>
      </w:r>
      <w:r w:rsidR="008B7412">
        <w:t>onomists and social geographers</w:t>
      </w:r>
      <w:r>
        <w:t xml:space="preserve"> who have investigated neighbourhood effects and educational outcomes (see </w:t>
      </w:r>
      <w:r w:rsidR="00817A80">
        <w:t>Johnston et al.</w:t>
      </w:r>
      <w:r w:rsidRPr="00E639BD">
        <w:t xml:space="preserve"> 2014 for a summary of literature in this field). However, Johnston et al. (2014)</w:t>
      </w:r>
      <w:r w:rsidR="00817A80">
        <w:t xml:space="preserve"> note </w:t>
      </w:r>
      <w:r>
        <w:t>that their</w:t>
      </w:r>
      <w:r w:rsidR="001B5DBB">
        <w:t xml:space="preserve"> findings</w:t>
      </w:r>
      <w:r>
        <w:t xml:space="preserve"> </w:t>
      </w:r>
      <w:r w:rsidR="001B5DBB">
        <w:t>(</w:t>
      </w:r>
      <w:r>
        <w:t>part one of this study on neighbourhood characteristics and</w:t>
      </w:r>
      <w:r w:rsidR="008B7412">
        <w:t xml:space="preserve"> the</w:t>
      </w:r>
      <w:r>
        <w:t xml:space="preserve"> post-school destinations of young Australians</w:t>
      </w:r>
      <w:r w:rsidR="001B5DBB">
        <w:t>)</w:t>
      </w:r>
      <w:r>
        <w:t xml:space="preserve"> provide inform</w:t>
      </w:r>
      <w:r w:rsidR="00817A80">
        <w:t>ation for the average case only. They</w:t>
      </w:r>
      <w:r>
        <w:t xml:space="preserve"> argue that further research</w:t>
      </w:r>
      <w:r w:rsidR="00935D76">
        <w:t>,</w:t>
      </w:r>
      <w:r>
        <w:t xml:space="preserve"> using qualitative methods</w:t>
      </w:r>
      <w:r w:rsidR="00935D76">
        <w:t>,</w:t>
      </w:r>
      <w:r>
        <w:t xml:space="preserve"> is needed to identify how neighbourhood effects work. Similarly, Harding et al. (2011) argue that most existing social science research on neighbourhood effects focuses on the macro level and fail</w:t>
      </w:r>
      <w:r w:rsidR="00935D76">
        <w:t>s</w:t>
      </w:r>
      <w:r>
        <w:t xml:space="preserve"> to examine the processes and outcomes when different you</w:t>
      </w:r>
      <w:r w:rsidR="00935D76">
        <w:t>ng</w:t>
      </w:r>
      <w:r>
        <w:t xml:space="preserve"> </w:t>
      </w:r>
      <w:r w:rsidR="001B5DBB">
        <w:t xml:space="preserve">people </w:t>
      </w:r>
      <w:r>
        <w:t>get different ‘doses’ of the same neighbourhood. A</w:t>
      </w:r>
      <w:r w:rsidR="00935D76">
        <w:t>s a consequence, Harding et al.</w:t>
      </w:r>
      <w:r>
        <w:t xml:space="preserve"> (2011</w:t>
      </w:r>
      <w:r w:rsidR="00935D76">
        <w:t xml:space="preserve">, </w:t>
      </w:r>
      <w:r w:rsidR="00935D76" w:rsidRPr="00E639BD">
        <w:t>p.278</w:t>
      </w:r>
      <w:r>
        <w:t xml:space="preserve">) </w:t>
      </w:r>
      <w:r w:rsidR="008B7412">
        <w:t>urge the case for</w:t>
      </w:r>
      <w:r>
        <w:t xml:space="preserve"> more qualitative or mixed methods research to identify the ‘s</w:t>
      </w:r>
      <w:r w:rsidR="00935D76">
        <w:t>ources of effect heterogeneity’</w:t>
      </w:r>
      <w:r w:rsidRPr="00E639BD">
        <w:t>.</w:t>
      </w:r>
      <w:r>
        <w:t xml:space="preserve"> In other words, there is a call for more research that can reveal the ways </w:t>
      </w:r>
      <w:r w:rsidR="00935D76">
        <w:t xml:space="preserve">by which </w:t>
      </w:r>
      <w:r>
        <w:t>different aspects of living in a neighbourhood, including how people relate and participate in the structures, opportunities and networks available in their neighbourhoods, affect individuals and their educational outcomes.</w:t>
      </w:r>
    </w:p>
    <w:p w:rsidR="00AE7B10" w:rsidRPr="00BC5F30" w:rsidRDefault="00AE7B10" w:rsidP="00AE7B10">
      <w:pPr>
        <w:pStyle w:val="Text"/>
      </w:pPr>
      <w:bookmarkStart w:id="43" w:name="_Toc253925126"/>
      <w:r>
        <w:t>In the Australia</w:t>
      </w:r>
      <w:r w:rsidR="00935D76">
        <w:t>n context</w:t>
      </w:r>
      <w:r>
        <w:t xml:space="preserve">, there is considerable </w:t>
      </w:r>
      <w:r w:rsidRPr="00BC5F30">
        <w:t xml:space="preserve">literature </w:t>
      </w:r>
      <w:r w:rsidR="00935D76">
        <w:t>relating to</w:t>
      </w:r>
      <w:r w:rsidRPr="00BC5F30">
        <w:t xml:space="preserve"> the post-school trajectories of young people</w:t>
      </w:r>
      <w:r w:rsidR="00935D76">
        <w:t>,</w:t>
      </w:r>
      <w:r w:rsidRPr="00BC5F30">
        <w:t xml:space="preserve"> </w:t>
      </w:r>
      <w:r>
        <w:t>often</w:t>
      </w:r>
      <w:r w:rsidR="00935D76">
        <w:t xml:space="preserve"> in the form of government-</w:t>
      </w:r>
      <w:r w:rsidRPr="00BC5F30">
        <w:t xml:space="preserve">funded and initiated reports such as the </w:t>
      </w:r>
      <w:r w:rsidRPr="00E639BD">
        <w:t>OnTrack</w:t>
      </w:r>
      <w:r w:rsidRPr="00BC5F30">
        <w:t xml:space="preserve"> su</w:t>
      </w:r>
      <w:r>
        <w:t xml:space="preserve">rvey and reports based on the </w:t>
      </w:r>
      <w:r w:rsidRPr="00E639BD">
        <w:t>Longitudinal Survey</w:t>
      </w:r>
      <w:r w:rsidR="00935D76">
        <w:t>s</w:t>
      </w:r>
      <w:r w:rsidRPr="00E639BD">
        <w:t xml:space="preserve"> of Australian Youth (LSAY</w:t>
      </w:r>
      <w:r>
        <w:t>) data. However, s</w:t>
      </w:r>
      <w:r w:rsidRPr="00BC5F30">
        <w:t xml:space="preserve">uch literature tends to be </w:t>
      </w:r>
      <w:r>
        <w:t>more descriptive</w:t>
      </w:r>
      <w:r w:rsidRPr="00BC5F30">
        <w:t xml:space="preserve"> than</w:t>
      </w:r>
      <w:r w:rsidR="00FD62EC">
        <w:t xml:space="preserve"> analytical</w:t>
      </w:r>
      <w:r w:rsidR="001B5DBB">
        <w:t>,</w:t>
      </w:r>
      <w:r w:rsidR="00FD62EC">
        <w:t xml:space="preserve"> and the predominant</w:t>
      </w:r>
      <w:r w:rsidRPr="00BC5F30">
        <w:t xml:space="preserve"> </w:t>
      </w:r>
      <w:r>
        <w:t>focus on</w:t>
      </w:r>
      <w:r w:rsidRPr="00BC5F30">
        <w:t xml:space="preserve"> large-scale quantitative data means that in many areas the literature (and therefore our understanding) lacks the depth and texture afforded by qualitative data</w:t>
      </w:r>
      <w:r>
        <w:t xml:space="preserve">. </w:t>
      </w:r>
      <w:r w:rsidR="00FD62EC">
        <w:t>T</w:t>
      </w:r>
      <w:r>
        <w:t xml:space="preserve">his literature </w:t>
      </w:r>
      <w:r w:rsidR="00FD62EC">
        <w:t xml:space="preserve">therefore </w:t>
      </w:r>
      <w:r>
        <w:t xml:space="preserve">suffers from the problem identified by Harding et al. </w:t>
      </w:r>
      <w:r w:rsidR="00FD62EC">
        <w:t xml:space="preserve">(2011) </w:t>
      </w:r>
      <w:r>
        <w:t xml:space="preserve">of being too macro </w:t>
      </w:r>
      <w:r w:rsidRPr="00BC5F30">
        <w:t xml:space="preserve">and </w:t>
      </w:r>
      <w:r w:rsidR="00FD62EC">
        <w:t>lacking the comple</w:t>
      </w:r>
      <w:r w:rsidRPr="00BC5F30">
        <w:t>mentary advantages of a mix of quantitative and qualitative data</w:t>
      </w:r>
      <w:r w:rsidR="00FD62EC">
        <w:t>,</w:t>
      </w:r>
      <w:r w:rsidRPr="00BC5F30">
        <w:t xml:space="preserve"> which can give both the broader patterns of young people’s choices as well as explor</w:t>
      </w:r>
      <w:r w:rsidR="00FD62EC">
        <w:t>e</w:t>
      </w:r>
      <w:r w:rsidRPr="00BC5F30">
        <w:t xml:space="preserve"> the rationales and influences behind those choices.</w:t>
      </w:r>
    </w:p>
    <w:p w:rsidR="00AE7B10" w:rsidRPr="00BC5F30" w:rsidRDefault="00AE7B10" w:rsidP="00AE7B10">
      <w:pPr>
        <w:pStyle w:val="Text"/>
      </w:pPr>
      <w:r w:rsidRPr="00BC5F30">
        <w:t xml:space="preserve">Despite the limitations of the existing literature </w:t>
      </w:r>
      <w:r w:rsidR="001B5DBB">
        <w:t>relating to</w:t>
      </w:r>
      <w:r w:rsidRPr="00BC5F30">
        <w:t xml:space="preserve"> young people’s decision-making and participation in post-school work and training, it is possible to gain a broad descriptive picture of the Australian situation and the key variables that affect young peop</w:t>
      </w:r>
      <w:r>
        <w:t xml:space="preserve">le’s post-school trajectories. </w:t>
      </w:r>
      <w:r w:rsidRPr="00BC5F30">
        <w:t>Th</w:t>
      </w:r>
      <w:r w:rsidR="001B5DBB">
        <w:t>e</w:t>
      </w:r>
      <w:r w:rsidR="002003EE">
        <w:t xml:space="preserve"> </w:t>
      </w:r>
      <w:r w:rsidRPr="00BC5F30">
        <w:t xml:space="preserve">literature review </w:t>
      </w:r>
      <w:r w:rsidR="001B5DBB">
        <w:t xml:space="preserve">in this report </w:t>
      </w:r>
      <w:r w:rsidRPr="00BC5F30">
        <w:t>focuses on the key areas of geography</w:t>
      </w:r>
      <w:r>
        <w:t xml:space="preserve">, </w:t>
      </w:r>
      <w:r w:rsidRPr="00BC5F30">
        <w:t xml:space="preserve">gender, </w:t>
      </w:r>
      <w:r>
        <w:t>ethnicity, t</w:t>
      </w:r>
      <w:r w:rsidRPr="00BC5F30">
        <w:t>raditions</w:t>
      </w:r>
      <w:r>
        <w:t xml:space="preserve"> and the </w:t>
      </w:r>
      <w:r w:rsidRPr="00BC5F30">
        <w:t>influences</w:t>
      </w:r>
      <w:r>
        <w:t xml:space="preserve"> of </w:t>
      </w:r>
      <w:r w:rsidRPr="00BC5F30">
        <w:t>family</w:t>
      </w:r>
      <w:r>
        <w:t xml:space="preserve"> and the familiar, and critical events and disruptions.</w:t>
      </w:r>
    </w:p>
    <w:p w:rsidR="00B84E3B" w:rsidRPr="00B436FE" w:rsidRDefault="00B84E3B" w:rsidP="00B84E3B">
      <w:pPr>
        <w:pStyle w:val="Heading2"/>
      </w:pPr>
      <w:bookmarkStart w:id="44" w:name="_Toc409079365"/>
      <w:r w:rsidRPr="00B84E3B">
        <w:t>Geography</w:t>
      </w:r>
      <w:bookmarkEnd w:id="43"/>
      <w:bookmarkEnd w:id="44"/>
    </w:p>
    <w:p w:rsidR="007B455C" w:rsidRPr="00BC5F30" w:rsidRDefault="007B455C" w:rsidP="007B455C">
      <w:pPr>
        <w:pStyle w:val="Text"/>
      </w:pPr>
      <w:bookmarkStart w:id="45" w:name="_Toc253925127"/>
      <w:r w:rsidRPr="00BC5F30">
        <w:t xml:space="preserve">The physical geography and </w:t>
      </w:r>
      <w:r w:rsidR="001B5DBB">
        <w:t xml:space="preserve">the </w:t>
      </w:r>
      <w:r w:rsidRPr="00BC5F30">
        <w:t xml:space="preserve">economic </w:t>
      </w:r>
      <w:r w:rsidR="001B5DBB">
        <w:t>make-up</w:t>
      </w:r>
      <w:r w:rsidRPr="00BC5F30">
        <w:t xml:space="preserve"> of Australia creates its own set of barriers and facilitators </w:t>
      </w:r>
      <w:r w:rsidR="001B5DBB">
        <w:t>in providing</w:t>
      </w:r>
      <w:r>
        <w:t xml:space="preserve"> </w:t>
      </w:r>
      <w:r w:rsidRPr="00BC5F30">
        <w:t>opport</w:t>
      </w:r>
      <w:r>
        <w:t>uni</w:t>
      </w:r>
      <w:r w:rsidR="00FD62EC">
        <w:t>ties</w:t>
      </w:r>
      <w:r w:rsidRPr="00BC5F30">
        <w:t xml:space="preserve"> for young people as they make the transition from school to work and </w:t>
      </w:r>
      <w:r>
        <w:t xml:space="preserve">further education or training. </w:t>
      </w:r>
      <w:r w:rsidR="00FD62EC">
        <w:t>Australia has a highly urbanis</w:t>
      </w:r>
      <w:r w:rsidRPr="00BC5F30">
        <w:t>ed population</w:t>
      </w:r>
      <w:r w:rsidR="001B5DBB">
        <w:t>,</w:t>
      </w:r>
      <w:r w:rsidRPr="00BC5F30">
        <w:t xml:space="preserve"> centred in a small number of large cities around the coastline, </w:t>
      </w:r>
      <w:r w:rsidR="00FD62EC">
        <w:t xml:space="preserve">with </w:t>
      </w:r>
      <w:r w:rsidRPr="00BC5F30">
        <w:t xml:space="preserve">the </w:t>
      </w:r>
      <w:r w:rsidR="008B7412">
        <w:t>remainder of the country</w:t>
      </w:r>
      <w:r>
        <w:t xml:space="preserve"> sparsely populated. </w:t>
      </w:r>
      <w:r w:rsidRPr="00BC5F30">
        <w:lastRenderedPageBreak/>
        <w:t>This distribution means that the differences in circumstances between young people living in urban areas and those in rural areas can be significant. There is a consensus in the literature on rurality and aspiration</w:t>
      </w:r>
      <w:r w:rsidR="009074CF">
        <w:t>s</w:t>
      </w:r>
      <w:r w:rsidRPr="00BC5F30">
        <w:t xml:space="preserve"> that Australian rural comm</w:t>
      </w:r>
      <w:r>
        <w:t>uni</w:t>
      </w:r>
      <w:r w:rsidRPr="00BC5F30">
        <w:t>ties, with their low density of population, experience more significant forms of geographic isolation than almost any other industrialised country (Alloway et al</w:t>
      </w:r>
      <w:r w:rsidR="009074CF">
        <w:t xml:space="preserve">. </w:t>
      </w:r>
      <w:r w:rsidR="009074CF" w:rsidRPr="00543AFF">
        <w:t>2004;</w:t>
      </w:r>
      <w:r w:rsidRPr="00543AFF">
        <w:t xml:space="preserve"> Regional Policy Advisory Committee 2013). </w:t>
      </w:r>
      <w:r w:rsidR="009074CF" w:rsidRPr="00543AFF">
        <w:t>Absent</w:t>
      </w:r>
      <w:r w:rsidRPr="00543AFF">
        <w:t xml:space="preserve"> from the literature, however, is a nuanc</w:t>
      </w:r>
      <w:r w:rsidR="009074CF" w:rsidRPr="00543AFF">
        <w:t>ed</w:t>
      </w:r>
      <w:r w:rsidR="009074CF">
        <w:t xml:space="preserve"> approach to</w:t>
      </w:r>
      <w:r w:rsidRPr="00BC5F30">
        <w:t xml:space="preserve"> ‘rurality’.</w:t>
      </w:r>
      <w:r w:rsidR="00D13A1E">
        <w:t xml:space="preserve"> </w:t>
      </w:r>
      <w:r w:rsidRPr="00BC5F30">
        <w:t>Rural Northern Territory or Western Australia, where ‘</w:t>
      </w:r>
      <w:r>
        <w:t>neighbour</w:t>
      </w:r>
      <w:r w:rsidRPr="00BC5F30">
        <w:t>s’ may be hundreds of kilometres apart, is qualitatively different from rural Victoria</w:t>
      </w:r>
      <w:r w:rsidR="009074CF">
        <w:t>,</w:t>
      </w:r>
      <w:r w:rsidRPr="00BC5F30">
        <w:t xml:space="preserve"> for example, where there is </w:t>
      </w:r>
      <w:r w:rsidR="001B5DBB">
        <w:t xml:space="preserve">a </w:t>
      </w:r>
      <w:r w:rsidRPr="00BC5F30">
        <w:t>denser population and a</w:t>
      </w:r>
      <w:r>
        <w:t xml:space="preserve"> different economic structure. </w:t>
      </w:r>
      <w:r w:rsidRPr="00BC5F30">
        <w:t>These differences are largely ignored by the existing literature</w:t>
      </w:r>
      <w:r w:rsidR="009074CF">
        <w:t>,</w:t>
      </w:r>
      <w:r w:rsidRPr="00BC5F30">
        <w:t xml:space="preserve"> which tends to make sweeping statements about the experiences of ‘rural’ young people, often without specifically </w:t>
      </w:r>
      <w:r w:rsidR="001B5DBB">
        <w:t>identifying their location</w:t>
      </w:r>
      <w:r w:rsidRPr="00BC5F30">
        <w:t>, a problem acknowledged by</w:t>
      </w:r>
      <w:r>
        <w:t xml:space="preserve"> Alston and Kent (2009) and</w:t>
      </w:r>
      <w:r w:rsidRPr="00BC5F30">
        <w:t xml:space="preserve"> Robinson </w:t>
      </w:r>
      <w:r w:rsidRPr="00BC5F30">
        <w:rPr>
          <w:noProof/>
        </w:rPr>
        <w:t>(2012</w:t>
      </w:r>
      <w:r w:rsidR="009074CF">
        <w:rPr>
          <w:noProof/>
        </w:rPr>
        <w:t>,</w:t>
      </w:r>
      <w:r w:rsidR="009074CF" w:rsidRPr="009074CF">
        <w:t xml:space="preserve"> </w:t>
      </w:r>
      <w:r w:rsidR="009074CF">
        <w:t>p.81</w:t>
      </w:r>
      <w:r w:rsidRPr="00BC5F30">
        <w:rPr>
          <w:noProof/>
        </w:rPr>
        <w:t>)</w:t>
      </w:r>
      <w:r w:rsidRPr="00BC5F30">
        <w:t>:</w:t>
      </w:r>
    </w:p>
    <w:p w:rsidR="007B455C" w:rsidRPr="00BC5F30" w:rsidRDefault="007B455C" w:rsidP="00C74818">
      <w:pPr>
        <w:pStyle w:val="Quote"/>
      </w:pPr>
      <w:r w:rsidRPr="00BC5F30">
        <w:t>Within the Austral</w:t>
      </w:r>
      <w:r>
        <w:t>ian conte</w:t>
      </w:r>
      <w:r w:rsidR="003F54BB">
        <w:t>xt, the trio of terms ‘regional’</w:t>
      </w:r>
      <w:r>
        <w:t>, ’rural‘ and ‘</w:t>
      </w:r>
      <w:r w:rsidRPr="00BC5F30">
        <w:t>remo</w:t>
      </w:r>
      <w:r w:rsidR="003F54BB">
        <w:t>te’</w:t>
      </w:r>
      <w:r w:rsidRPr="00BC5F30">
        <w:t xml:space="preserve"> are used to characterize portions of the continental interior beyond the densely populated, coastal urban- and peri-urban fringes. Careless use of these terms potentially ignores enormous diversity in population size, resources, social relationships, economic status and access to service</w:t>
      </w:r>
      <w:r>
        <w:t xml:space="preserve">s between different localities. </w:t>
      </w:r>
    </w:p>
    <w:p w:rsidR="007B455C" w:rsidRPr="00BC5F30" w:rsidRDefault="007B455C" w:rsidP="007B455C">
      <w:pPr>
        <w:pStyle w:val="Text"/>
      </w:pPr>
      <w:r w:rsidRPr="00BC5F30">
        <w:t>Welch</w:t>
      </w:r>
      <w:r w:rsidR="003F54BB">
        <w:t>, Helme and Lamb</w:t>
      </w:r>
      <w:r w:rsidRPr="00BC5F30">
        <w:t xml:space="preserve"> </w:t>
      </w:r>
      <w:r w:rsidRPr="00BC5F30">
        <w:rPr>
          <w:noProof/>
        </w:rPr>
        <w:t>(2007)</w:t>
      </w:r>
      <w:r>
        <w:t xml:space="preserve"> identify</w:t>
      </w:r>
      <w:r w:rsidRPr="00BC5F30">
        <w:t xml:space="preserve"> that the structure of smaller </w:t>
      </w:r>
      <w:r w:rsidR="008B7412">
        <w:t xml:space="preserve">regional and rural high schools and </w:t>
      </w:r>
      <w:r w:rsidRPr="00BC5F30">
        <w:t>the difficulties of attracting highly qualified teachers</w:t>
      </w:r>
      <w:r w:rsidR="003F54BB">
        <w:t>,</w:t>
      </w:r>
      <w:r w:rsidRPr="00BC5F30">
        <w:t xml:space="preserve"> means that, alongside a lack of school choice, rural students often have restricted subject choices at high school level and restricte</w:t>
      </w:r>
      <w:r w:rsidR="003F54BB">
        <w:t>d access to vocational program</w:t>
      </w:r>
      <w:r w:rsidRPr="00BC5F30">
        <w:t xml:space="preserve">s and </w:t>
      </w:r>
      <w:r>
        <w:t xml:space="preserve">opportunities. </w:t>
      </w:r>
      <w:r w:rsidRPr="00BC5F30">
        <w:t>This in turn may limit their access to qualifications and th</w:t>
      </w:r>
      <w:r w:rsidR="003F54BB">
        <w:t>us</w:t>
      </w:r>
      <w:r w:rsidRPr="00BC5F30">
        <w:t xml:space="preserve"> restrict their labour market and further education </w:t>
      </w:r>
      <w:r>
        <w:t xml:space="preserve">opportunities. </w:t>
      </w:r>
      <w:r w:rsidRPr="00BC5F30">
        <w:t xml:space="preserve">Walsh and De Campo </w:t>
      </w:r>
      <w:r w:rsidRPr="00BC5F30">
        <w:rPr>
          <w:noProof/>
        </w:rPr>
        <w:t>(2010)</w:t>
      </w:r>
      <w:r w:rsidRPr="00BC5F30">
        <w:t xml:space="preserve"> note that</w:t>
      </w:r>
      <w:r w:rsidR="003F54BB">
        <w:t>,</w:t>
      </w:r>
      <w:r w:rsidRPr="00BC5F30">
        <w:t xml:space="preserve"> although government campaigns for increased school engagement in rural areas have had some success, there has been no associated increase in post-school </w:t>
      </w:r>
      <w:r>
        <w:t>opportunities</w:t>
      </w:r>
      <w:r w:rsidRPr="00BC5F30">
        <w:t xml:space="preserve"> for rural young people.</w:t>
      </w:r>
    </w:p>
    <w:p w:rsidR="007B455C" w:rsidRDefault="007B455C" w:rsidP="007B455C">
      <w:pPr>
        <w:pStyle w:val="Text"/>
      </w:pPr>
      <w:r w:rsidRPr="00BC5F30">
        <w:t xml:space="preserve">Accessing </w:t>
      </w:r>
      <w:r>
        <w:t>opportunities</w:t>
      </w:r>
      <w:r w:rsidRPr="00BC5F30">
        <w:t xml:space="preserve"> such as a </w:t>
      </w:r>
      <w:r>
        <w:t>university</w:t>
      </w:r>
      <w:r w:rsidRPr="00BC5F30">
        <w:t xml:space="preserve"> place </w:t>
      </w:r>
      <w:r w:rsidR="004A5B35">
        <w:t>that requires a high ATAR</w:t>
      </w:r>
      <w:r w:rsidR="004A5B35">
        <w:rPr>
          <w:rStyle w:val="FootnoteReference"/>
        </w:rPr>
        <w:footnoteReference w:id="1"/>
      </w:r>
      <w:r w:rsidR="004A5B35">
        <w:t xml:space="preserve"> </w:t>
      </w:r>
      <w:r w:rsidR="001B5DBB">
        <w:t xml:space="preserve">score </w:t>
      </w:r>
      <w:r w:rsidRPr="00BC5F30">
        <w:t xml:space="preserve">at a </w:t>
      </w:r>
      <w:r w:rsidR="003F54BB">
        <w:t>research-led Group of Eight</w:t>
      </w:r>
      <w:r w:rsidR="003F54BB" w:rsidRPr="00BC5F30">
        <w:t xml:space="preserve"> </w:t>
      </w:r>
      <w:r w:rsidR="003F54BB">
        <w:t>university</w:t>
      </w:r>
      <w:r w:rsidR="003F54BB" w:rsidRPr="00BC5F30">
        <w:t xml:space="preserve"> </w:t>
      </w:r>
      <w:r w:rsidRPr="00BC5F30">
        <w:t xml:space="preserve">or </w:t>
      </w:r>
      <w:r w:rsidR="003F54BB">
        <w:t xml:space="preserve">a </w:t>
      </w:r>
      <w:r w:rsidRPr="00BC5F30">
        <w:t>specialist vocational training</w:t>
      </w:r>
      <w:r>
        <w:t xml:space="preserve"> provider</w:t>
      </w:r>
      <w:r w:rsidRPr="00BC5F30">
        <w:t xml:space="preserve"> typically requires that young people migrate to an urban centre </w:t>
      </w:r>
      <w:r w:rsidRPr="00BC5F30">
        <w:rPr>
          <w:noProof/>
        </w:rPr>
        <w:t>(</w:t>
      </w:r>
      <w:r w:rsidR="004A5B35">
        <w:rPr>
          <w:noProof/>
        </w:rPr>
        <w:t>Alston &amp; Kent</w:t>
      </w:r>
      <w:r w:rsidR="006925E1">
        <w:rPr>
          <w:noProof/>
        </w:rPr>
        <w:t xml:space="preserve"> 2009;</w:t>
      </w:r>
      <w:r>
        <w:rPr>
          <w:noProof/>
        </w:rPr>
        <w:t xml:space="preserve"> </w:t>
      </w:r>
      <w:r w:rsidRPr="00BC5F30">
        <w:rPr>
          <w:noProof/>
        </w:rPr>
        <w:t xml:space="preserve">Mills </w:t>
      </w:r>
      <w:r>
        <w:rPr>
          <w:noProof/>
        </w:rPr>
        <w:t>&amp; Gale</w:t>
      </w:r>
      <w:r w:rsidR="006925E1">
        <w:rPr>
          <w:noProof/>
        </w:rPr>
        <w:t xml:space="preserve"> 2008;</w:t>
      </w:r>
      <w:r w:rsidRPr="00BC5F30">
        <w:rPr>
          <w:noProof/>
        </w:rPr>
        <w:t xml:space="preserve"> Walsh </w:t>
      </w:r>
      <w:r w:rsidR="006925E1">
        <w:rPr>
          <w:noProof/>
        </w:rPr>
        <w:t>&amp; De Campo</w:t>
      </w:r>
      <w:r w:rsidRPr="00BC5F30">
        <w:rPr>
          <w:noProof/>
        </w:rPr>
        <w:t xml:space="preserve"> 2010)</w:t>
      </w:r>
      <w:r w:rsidRPr="00BC5F30">
        <w:t xml:space="preserve">, with the cost of travel and accommodation creating barriers for young people who already tend to be </w:t>
      </w:r>
      <w:r w:rsidR="006925E1">
        <w:t>socio</w:t>
      </w:r>
      <w:r w:rsidRPr="00BC5F30">
        <w:t xml:space="preserve">economically disadvantaged compared </w:t>
      </w:r>
      <w:r w:rsidR="001B5DBB">
        <w:t>with</w:t>
      </w:r>
      <w:r w:rsidRPr="00BC5F30">
        <w:t xml:space="preserve"> their urban peers </w:t>
      </w:r>
      <w:r w:rsidR="006925E1">
        <w:rPr>
          <w:noProof/>
        </w:rPr>
        <w:t>(Hillman</w:t>
      </w:r>
      <w:r w:rsidRPr="00BC5F30">
        <w:rPr>
          <w:noProof/>
        </w:rPr>
        <w:t xml:space="preserve"> 2005</w:t>
      </w:r>
      <w:r w:rsidR="006925E1">
        <w:rPr>
          <w:noProof/>
        </w:rPr>
        <w:t>; Polesel</w:t>
      </w:r>
      <w:r>
        <w:rPr>
          <w:noProof/>
        </w:rPr>
        <w:t xml:space="preserve"> 2009</w:t>
      </w:r>
      <w:r w:rsidRPr="00BC5F30">
        <w:rPr>
          <w:noProof/>
        </w:rPr>
        <w:t>)</w:t>
      </w:r>
      <w:r>
        <w:t>.</w:t>
      </w:r>
      <w:r w:rsidRPr="00BC5F30">
        <w:t xml:space="preserve"> In a country where young people typically remain living at or close to home during their tertiary studies, distance also creates a cultural barrier to </w:t>
      </w:r>
      <w:r w:rsidR="006925E1">
        <w:t>participation</w:t>
      </w:r>
      <w:r w:rsidRPr="00BC5F30">
        <w:t xml:space="preserve"> in post-school education and training </w:t>
      </w:r>
      <w:r w:rsidRPr="00BC5F30">
        <w:rPr>
          <w:noProof/>
        </w:rPr>
        <w:t xml:space="preserve">(Mills </w:t>
      </w:r>
      <w:r>
        <w:rPr>
          <w:noProof/>
        </w:rPr>
        <w:t>&amp; Gale</w:t>
      </w:r>
      <w:r w:rsidR="006925E1">
        <w:rPr>
          <w:noProof/>
        </w:rPr>
        <w:t xml:space="preserve"> 2008;</w:t>
      </w:r>
      <w:r w:rsidRPr="00BC5F30">
        <w:rPr>
          <w:noProof/>
        </w:rPr>
        <w:t xml:space="preserve"> Bryce </w:t>
      </w:r>
      <w:r w:rsidR="006925E1">
        <w:rPr>
          <w:noProof/>
        </w:rPr>
        <w:t>&amp;</w:t>
      </w:r>
      <w:r w:rsidRPr="00BC5F30">
        <w:rPr>
          <w:noProof/>
        </w:rPr>
        <w:t xml:space="preserve"> Ander</w:t>
      </w:r>
      <w:r w:rsidR="006925E1">
        <w:rPr>
          <w:noProof/>
        </w:rPr>
        <w:t>son</w:t>
      </w:r>
      <w:r w:rsidRPr="00BC5F30">
        <w:rPr>
          <w:noProof/>
        </w:rPr>
        <w:t xml:space="preserve"> 2008)</w:t>
      </w:r>
      <w:r>
        <w:t>.</w:t>
      </w:r>
      <w:r w:rsidRPr="00BC5F30">
        <w:t xml:space="preserve"> Hillman </w:t>
      </w:r>
      <w:r w:rsidRPr="00BC5F30">
        <w:rPr>
          <w:noProof/>
        </w:rPr>
        <w:t>(2005)</w:t>
      </w:r>
      <w:r w:rsidRPr="00BC5F30">
        <w:t xml:space="preserve"> found that, where young people from rural areas did move away from home to access tertiary education and training, they often found that the difficulty of </w:t>
      </w:r>
      <w:r w:rsidR="006925E1">
        <w:t>maintaining</w:t>
      </w:r>
      <w:r w:rsidRPr="00BC5F30">
        <w:t xml:space="preserve"> family responsibilities from a distance placed s</w:t>
      </w:r>
      <w:r>
        <w:t xml:space="preserve">ignificant pressure upon them. </w:t>
      </w:r>
      <w:r w:rsidRPr="00BC5F30">
        <w:t>This in turn impacted upon their studies, although they tended</w:t>
      </w:r>
      <w:r>
        <w:t xml:space="preserve"> to persist with their course.</w:t>
      </w:r>
    </w:p>
    <w:p w:rsidR="007B455C" w:rsidRPr="00B45625" w:rsidRDefault="007B455C" w:rsidP="007B455C">
      <w:pPr>
        <w:pStyle w:val="Text"/>
      </w:pPr>
      <w:r>
        <w:t xml:space="preserve">Research in the United States and the United Kingdom has identified that </w:t>
      </w:r>
      <w:r w:rsidR="001B5DBB">
        <w:t>differences</w:t>
      </w:r>
      <w:r>
        <w:t xml:space="preserve"> in post-c</w:t>
      </w:r>
      <w:r w:rsidR="00434C5B">
        <w:t>ompulsory education pathways have</w:t>
      </w:r>
      <w:r>
        <w:t xml:space="preserve"> repercussions </w:t>
      </w:r>
      <w:r w:rsidR="00434C5B">
        <w:t>for</w:t>
      </w:r>
      <w:r>
        <w:t xml:space="preserve"> people’s labour market outcomes</w:t>
      </w:r>
      <w:r w:rsidR="006925E1">
        <w:t>,</w:t>
      </w:r>
      <w:r>
        <w:t xml:space="preserve"> to the extent that </w:t>
      </w:r>
      <w:r w:rsidR="00434C5B">
        <w:t>these different pathways</w:t>
      </w:r>
      <w:r>
        <w:t xml:space="preserve"> in </w:t>
      </w:r>
      <w:r w:rsidR="00D230DC">
        <w:t>post-school</w:t>
      </w:r>
      <w:r w:rsidR="00434C5B">
        <w:t xml:space="preserve"> participation; that is, university vs VET, simply reinforce</w:t>
      </w:r>
      <w:r>
        <w:t xml:space="preserve"> social class differences and social immobility, even though vocational education may act as a safety net against unemployment for</w:t>
      </w:r>
      <w:r w:rsidR="006925E1">
        <w:t xml:space="preserve"> lower-status social groups (Iannelli 2013; Lucas 2001; Reay </w:t>
      </w:r>
      <w:r w:rsidR="00434C5B">
        <w:t xml:space="preserve">et al. </w:t>
      </w:r>
      <w:r w:rsidR="006925E1">
        <w:t>2011; Thompson &amp; Simmons</w:t>
      </w:r>
      <w:r>
        <w:t xml:space="preserve"> 2013).</w:t>
      </w:r>
      <w:r w:rsidR="006925E1">
        <w:t xml:space="preserve"> G</w:t>
      </w:r>
      <w:r w:rsidRPr="00BC5F30">
        <w:t xml:space="preserve">eographic and social mobility are </w:t>
      </w:r>
      <w:r w:rsidR="006925E1">
        <w:t>therefore</w:t>
      </w:r>
      <w:r w:rsidR="006925E1" w:rsidRPr="00BC5F30">
        <w:t xml:space="preserve"> </w:t>
      </w:r>
      <w:r w:rsidRPr="00BC5F30">
        <w:t>also increasingly understood to be key factors in the continued reproduction of inequality am</w:t>
      </w:r>
      <w:r>
        <w:t xml:space="preserve">ongst young people </w:t>
      </w:r>
      <w:r w:rsidRPr="00FF5D71">
        <w:t>(</w:t>
      </w:r>
      <w:r w:rsidR="006925E1" w:rsidRPr="00FF5D71">
        <w:t>Bauman 2001;</w:t>
      </w:r>
      <w:r w:rsidRPr="00FF5D71">
        <w:t xml:space="preserve"> </w:t>
      </w:r>
      <w:proofErr w:type="spellStart"/>
      <w:r w:rsidRPr="00FF5D71">
        <w:t>Urry</w:t>
      </w:r>
      <w:proofErr w:type="spellEnd"/>
      <w:r w:rsidRPr="00FF5D71">
        <w:t xml:space="preserve"> 2007). For some young people, this inequality is a function of immobilisation, of</w:t>
      </w:r>
      <w:r>
        <w:t xml:space="preserve"> being ‘tied to the ground’</w:t>
      </w:r>
      <w:r w:rsidRPr="00BC5F30">
        <w:t xml:space="preserve"> (Bauman</w:t>
      </w:r>
      <w:r>
        <w:t xml:space="preserve"> 2001, p.40) or ‘locked into the local’</w:t>
      </w:r>
      <w:r w:rsidRPr="00BC5F30">
        <w:t xml:space="preserve"> (Thom</w:t>
      </w:r>
      <w:r w:rsidR="00166D86">
        <w:t>son</w:t>
      </w:r>
      <w:r>
        <w:t xml:space="preserve"> 2007, p.81). </w:t>
      </w:r>
      <w:r w:rsidRPr="00BC5F30">
        <w:rPr>
          <w:lang w:eastAsia="en-AU"/>
        </w:rPr>
        <w:t xml:space="preserve">Elliot </w:t>
      </w:r>
      <w:r w:rsidRPr="00BC5F30">
        <w:rPr>
          <w:lang w:eastAsia="en-AU"/>
        </w:rPr>
        <w:lastRenderedPageBreak/>
        <w:t>and Urry</w:t>
      </w:r>
      <w:r>
        <w:rPr>
          <w:lang w:eastAsia="en-AU"/>
        </w:rPr>
        <w:t xml:space="preserve"> (2010</w:t>
      </w:r>
      <w:r w:rsidR="00166D86">
        <w:rPr>
          <w:lang w:eastAsia="en-AU"/>
        </w:rPr>
        <w:t>,</w:t>
      </w:r>
      <w:r w:rsidR="00166D86" w:rsidRPr="00166D86">
        <w:rPr>
          <w:lang w:eastAsia="en-AU"/>
        </w:rPr>
        <w:t xml:space="preserve"> </w:t>
      </w:r>
      <w:r w:rsidR="00166D86">
        <w:rPr>
          <w:lang w:eastAsia="en-AU"/>
        </w:rPr>
        <w:t>pp.82—3</w:t>
      </w:r>
      <w:r>
        <w:rPr>
          <w:lang w:eastAsia="en-AU"/>
        </w:rPr>
        <w:t>)</w:t>
      </w:r>
      <w:r w:rsidRPr="00BC5F30">
        <w:rPr>
          <w:lang w:eastAsia="en-AU"/>
        </w:rPr>
        <w:t xml:space="preserve"> have </w:t>
      </w:r>
      <w:r w:rsidRPr="00FF5D71">
        <w:rPr>
          <w:lang w:eastAsia="en-AU"/>
        </w:rPr>
        <w:t xml:space="preserve">described the </w:t>
      </w:r>
      <w:r w:rsidR="00FF5D71" w:rsidRPr="00FF5D71">
        <w:rPr>
          <w:lang w:eastAsia="en-AU"/>
        </w:rPr>
        <w:t>capacity for</w:t>
      </w:r>
      <w:r w:rsidRPr="00FF5D71">
        <w:rPr>
          <w:lang w:eastAsia="en-AU"/>
        </w:rPr>
        <w:t xml:space="preserve"> mobility </w:t>
      </w:r>
      <w:r>
        <w:rPr>
          <w:lang w:eastAsia="en-AU"/>
        </w:rPr>
        <w:t>and the resulting n</w:t>
      </w:r>
      <w:r w:rsidR="00166D86">
        <w:rPr>
          <w:lang w:eastAsia="en-AU"/>
        </w:rPr>
        <w:t>ew forms of social inequalities</w:t>
      </w:r>
      <w:r w:rsidRPr="00BC5F30">
        <w:rPr>
          <w:lang w:eastAsia="en-AU"/>
        </w:rPr>
        <w:t>:</w:t>
      </w:r>
    </w:p>
    <w:p w:rsidR="007B455C" w:rsidRPr="00BC5F30" w:rsidRDefault="007B455C" w:rsidP="00C74818">
      <w:pPr>
        <w:pStyle w:val="Quote"/>
        <w:rPr>
          <w:lang w:eastAsia="en-AU"/>
        </w:rPr>
      </w:pPr>
      <w:r w:rsidRPr="00BC5F30">
        <w:rPr>
          <w:lang w:eastAsia="en-AU"/>
        </w:rPr>
        <w:t>In the society of multiple and intensive mobilities, the gap between those keeping on the m</w:t>
      </w:r>
      <w:r w:rsidR="00166D86">
        <w:rPr>
          <w:lang w:eastAsia="en-AU"/>
        </w:rPr>
        <w:t>ove and those less on the move —</w:t>
      </w:r>
      <w:r w:rsidRPr="00BC5F30">
        <w:rPr>
          <w:lang w:eastAsia="en-AU"/>
        </w:rPr>
        <w:t xml:space="preserve"> to say noth</w:t>
      </w:r>
      <w:r w:rsidR="00166D86">
        <w:rPr>
          <w:lang w:eastAsia="en-AU"/>
        </w:rPr>
        <w:t>ing of those not moving at all —</w:t>
      </w:r>
      <w:r w:rsidRPr="00BC5F30">
        <w:rPr>
          <w:lang w:eastAsia="en-AU"/>
        </w:rPr>
        <w:t xml:space="preserve"> </w:t>
      </w:r>
      <w:r>
        <w:rPr>
          <w:lang w:eastAsia="en-AU"/>
        </w:rPr>
        <w:t>is of fund</w:t>
      </w:r>
      <w:r w:rsidR="00166D86">
        <w:rPr>
          <w:lang w:eastAsia="en-AU"/>
        </w:rPr>
        <w:t xml:space="preserve">amental significance. </w:t>
      </w:r>
    </w:p>
    <w:p w:rsidR="007B455C" w:rsidRPr="00BC5F30" w:rsidRDefault="007B455C" w:rsidP="007B455C">
      <w:pPr>
        <w:pStyle w:val="Text"/>
      </w:pPr>
      <w:r w:rsidRPr="00BC5F30">
        <w:rPr>
          <w:lang w:eastAsia="en-AU"/>
        </w:rPr>
        <w:t xml:space="preserve">In Australia, unequally distributed </w:t>
      </w:r>
      <w:r>
        <w:rPr>
          <w:lang w:eastAsia="en-AU"/>
        </w:rPr>
        <w:t>opportunities</w:t>
      </w:r>
      <w:r w:rsidRPr="00BC5F30">
        <w:rPr>
          <w:lang w:eastAsia="en-AU"/>
        </w:rPr>
        <w:t xml:space="preserve"> for mobility frequently translate into unequally distributed participation in </w:t>
      </w:r>
      <w:r w:rsidRPr="00BC5F30">
        <w:t>post-school education in ways that particularly affect rural and regional young people (Alloway et al</w:t>
      </w:r>
      <w:r w:rsidR="00002128">
        <w:t>.</w:t>
      </w:r>
      <w:r w:rsidRPr="00BC5F30">
        <w:t xml:space="preserve"> 2004), although immobility is not solely a rural and regional issue, as Black’s (2007) study of educational provision in urban Melbourne schools observes.</w:t>
      </w:r>
    </w:p>
    <w:p w:rsidR="007B455C" w:rsidRPr="00BC5F30" w:rsidRDefault="007B455C" w:rsidP="007B455C">
      <w:pPr>
        <w:pStyle w:val="Text"/>
      </w:pPr>
      <w:r w:rsidRPr="00BC5F30">
        <w:t xml:space="preserve">In one of the few qualitative studies to examine the effects of rurality upon young people’s post-school choices, Mills and Gale </w:t>
      </w:r>
      <w:r w:rsidRPr="00BC5F30">
        <w:rPr>
          <w:noProof/>
        </w:rPr>
        <w:t>(2008)</w:t>
      </w:r>
      <w:r w:rsidRPr="00BC5F30">
        <w:t xml:space="preserve"> paint a bleak picture of a remote ex-mining town</w:t>
      </w:r>
      <w:r w:rsidR="00002128">
        <w:t>,</w:t>
      </w:r>
      <w:r w:rsidRPr="00BC5F30">
        <w:t xml:space="preserve"> where high levels of chronic unemployment, </w:t>
      </w:r>
      <w:r w:rsidR="00434C5B">
        <w:t>the resultant</w:t>
      </w:r>
      <w:r w:rsidRPr="00BC5F30">
        <w:t xml:space="preserve"> poverty and geographic isolation combine to restrict young people’s </w:t>
      </w:r>
      <w:r>
        <w:t xml:space="preserve">opportunities. </w:t>
      </w:r>
      <w:r w:rsidRPr="00BC5F30">
        <w:t xml:space="preserve">The lack of locally available employment or educational </w:t>
      </w:r>
      <w:r>
        <w:t>opportunities</w:t>
      </w:r>
      <w:r w:rsidRPr="00BC5F30">
        <w:t xml:space="preserve"> means that young people have little understanding of, or access to, alternativ</w:t>
      </w:r>
      <w:r w:rsidR="00002128">
        <w:t xml:space="preserve">es beyond what is presented </w:t>
      </w:r>
      <w:r w:rsidRPr="00BC5F30">
        <w:t xml:space="preserve">in their </w:t>
      </w:r>
      <w:r>
        <w:t xml:space="preserve">community, and as Corbett (2000) describes in his study of Nova Scotia, those young people who do display academic potential are encouraged to </w:t>
      </w:r>
      <w:r w:rsidR="00434C5B">
        <w:t>leave the district</w:t>
      </w:r>
      <w:r>
        <w:t xml:space="preserve">. </w:t>
      </w:r>
      <w:r w:rsidRPr="00BC5F30">
        <w:t>Mills and Gale</w:t>
      </w:r>
      <w:r>
        <w:t xml:space="preserve"> (2008)</w:t>
      </w:r>
      <w:r w:rsidRPr="00BC5F30">
        <w:t xml:space="preserve"> therefore describe an ‘inheritance’</w:t>
      </w:r>
      <w:r w:rsidR="00002128">
        <w:t>,</w:t>
      </w:r>
      <w:r w:rsidRPr="00BC5F30">
        <w:t xml:space="preserve"> whereby a parental and </w:t>
      </w:r>
      <w:r>
        <w:t>community</w:t>
      </w:r>
      <w:r w:rsidRPr="00BC5F30">
        <w:t xml:space="preserve"> history of low educational attainment</w:t>
      </w:r>
      <w:r w:rsidR="00434C5B">
        <w:t>,</w:t>
      </w:r>
      <w:r w:rsidRPr="00BC5F30">
        <w:t xml:space="preserve"> followed by long-term unem</w:t>
      </w:r>
      <w:r w:rsidR="00002128">
        <w:t>ployment and economic marginalis</w:t>
      </w:r>
      <w:r w:rsidRPr="00BC5F30">
        <w:t>ation</w:t>
      </w:r>
      <w:r w:rsidR="00434C5B">
        <w:t>,</w:t>
      </w:r>
      <w:r w:rsidRPr="00BC5F30">
        <w:t xml:space="preserve"> creates cultural assumptions for young people</w:t>
      </w:r>
      <w:r w:rsidR="00434C5B">
        <w:t xml:space="preserve"> —</w:t>
      </w:r>
      <w:r w:rsidRPr="00BC5F30">
        <w:t xml:space="preserve"> that those are the o</w:t>
      </w:r>
      <w:r>
        <w:t xml:space="preserve">nly options available to them. </w:t>
      </w:r>
      <w:r w:rsidRPr="00BC5F30">
        <w:t>This notion of ‘inheritance’ is also present in the U</w:t>
      </w:r>
      <w:r>
        <w:t xml:space="preserve">nited </w:t>
      </w:r>
      <w:r w:rsidRPr="00BC5F30">
        <w:t>K</w:t>
      </w:r>
      <w:r>
        <w:t>ingdom</w:t>
      </w:r>
      <w:r w:rsidRPr="00BC5F30">
        <w:t xml:space="preserve"> work of Heath, Fuller and Paton </w:t>
      </w:r>
      <w:r w:rsidRPr="00BC5F30">
        <w:rPr>
          <w:noProof/>
        </w:rPr>
        <w:t>(2008)</w:t>
      </w:r>
      <w:r w:rsidRPr="00BC5F30">
        <w:t xml:space="preserve">. Without the possibility of ‘disruption’, as described by </w:t>
      </w:r>
      <w:proofErr w:type="spellStart"/>
      <w:r w:rsidRPr="00BC5F30">
        <w:t>Granovetter</w:t>
      </w:r>
      <w:proofErr w:type="spellEnd"/>
      <w:r w:rsidRPr="00BC5F30">
        <w:t xml:space="preserve"> </w:t>
      </w:r>
      <w:r w:rsidRPr="00BC5F30">
        <w:rPr>
          <w:noProof/>
        </w:rPr>
        <w:t>(1973, 1983)</w:t>
      </w:r>
      <w:r w:rsidR="008B7412">
        <w:rPr>
          <w:noProof/>
        </w:rPr>
        <w:t>,</w:t>
      </w:r>
      <w:r w:rsidRPr="00BC5F30">
        <w:t xml:space="preserve"> young people therefore tend to reproduce the status quo</w:t>
      </w:r>
      <w:r w:rsidR="000745D7">
        <w:t>,</w:t>
      </w:r>
      <w:r w:rsidRPr="00BC5F30">
        <w:t xml:space="preserve"> and in isolated rural comm</w:t>
      </w:r>
      <w:r>
        <w:t>uni</w:t>
      </w:r>
      <w:r w:rsidRPr="00BC5F30">
        <w:t>ties</w:t>
      </w:r>
      <w:r w:rsidR="000745D7">
        <w:t>,</w:t>
      </w:r>
      <w:r w:rsidRPr="00BC5F30">
        <w:t xml:space="preserve"> where poverty prevents physical exit </w:t>
      </w:r>
      <w:r>
        <w:rPr>
          <w:noProof/>
        </w:rPr>
        <w:t>(Mills &amp; Gale</w:t>
      </w:r>
      <w:r w:rsidRPr="00BC5F30">
        <w:rPr>
          <w:noProof/>
        </w:rPr>
        <w:t xml:space="preserve"> 2008)</w:t>
      </w:r>
      <w:r w:rsidR="000745D7">
        <w:rPr>
          <w:noProof/>
        </w:rPr>
        <w:t>,</w:t>
      </w:r>
      <w:r w:rsidRPr="00BC5F30">
        <w:t xml:space="preserve"> the possibility of disruptive encounters with cultural ‘others’ </w:t>
      </w:r>
      <w:r w:rsidRPr="00BC5F30">
        <w:rPr>
          <w:noProof/>
        </w:rPr>
        <w:t xml:space="preserve">(Broadbent </w:t>
      </w:r>
      <w:r>
        <w:rPr>
          <w:noProof/>
        </w:rPr>
        <w:t>&amp;</w:t>
      </w:r>
      <w:r w:rsidRPr="00BC5F30">
        <w:rPr>
          <w:noProof/>
        </w:rPr>
        <w:t xml:space="preserve"> </w:t>
      </w:r>
      <w:r w:rsidR="000745D7">
        <w:rPr>
          <w:noProof/>
        </w:rPr>
        <w:t>Cacciattolo</w:t>
      </w:r>
      <w:r w:rsidRPr="00BC5F30">
        <w:rPr>
          <w:noProof/>
        </w:rPr>
        <w:t xml:space="preserve"> 2013)</w:t>
      </w:r>
      <w:r>
        <w:t xml:space="preserve"> is extremely limited.</w:t>
      </w:r>
      <w:r w:rsidR="000745D7">
        <w:t xml:space="preserve"> While</w:t>
      </w:r>
      <w:r w:rsidRPr="00BC5F30">
        <w:t xml:space="preserve"> Mills and Gale </w:t>
      </w:r>
      <w:r>
        <w:t xml:space="preserve">(2008) </w:t>
      </w:r>
      <w:r w:rsidRPr="00BC5F30">
        <w:t xml:space="preserve">describe an extreme situation, the factors </w:t>
      </w:r>
      <w:r w:rsidR="00434C5B">
        <w:t>identified</w:t>
      </w:r>
      <w:r w:rsidRPr="00BC5F30">
        <w:t xml:space="preserve"> above exist more frequently in rural than </w:t>
      </w:r>
      <w:r w:rsidR="000745D7">
        <w:t xml:space="preserve">in </w:t>
      </w:r>
      <w:r w:rsidRPr="00BC5F30">
        <w:t xml:space="preserve">urban areas and are likely to contribute to the lower levels of interest in </w:t>
      </w:r>
      <w:r>
        <w:t>university</w:t>
      </w:r>
      <w:r w:rsidRPr="00BC5F30">
        <w:t xml:space="preserve"> study among young people in rural areas</w:t>
      </w:r>
      <w:r w:rsidR="000745D7">
        <w:t>, as</w:t>
      </w:r>
      <w:r w:rsidRPr="00BC5F30">
        <w:t xml:space="preserve"> described by the Australian Department for Education </w:t>
      </w:r>
      <w:r w:rsidRPr="00BC5F30">
        <w:rPr>
          <w:noProof/>
        </w:rPr>
        <w:t>(2010)</w:t>
      </w:r>
      <w:r w:rsidRPr="00BC5F30">
        <w:t>.</w:t>
      </w:r>
    </w:p>
    <w:p w:rsidR="007B455C" w:rsidRPr="00BC5F30" w:rsidRDefault="007B455C" w:rsidP="007B455C">
      <w:pPr>
        <w:pStyle w:val="Text"/>
      </w:pPr>
      <w:r w:rsidRPr="00BC5F30">
        <w:t xml:space="preserve">Such studies are a reminder that the </w:t>
      </w:r>
      <w:r w:rsidRPr="00434C5B">
        <w:rPr>
          <w:iCs/>
        </w:rPr>
        <w:t>affective</w:t>
      </w:r>
      <w:r w:rsidRPr="00BC5F30">
        <w:rPr>
          <w:i/>
          <w:iCs/>
        </w:rPr>
        <w:t xml:space="preserve"> </w:t>
      </w:r>
      <w:r w:rsidR="000E248E">
        <w:t>aspects of im</w:t>
      </w:r>
      <w:r w:rsidRPr="00BC5F30">
        <w:t>/mobility, and the</w:t>
      </w:r>
      <w:r w:rsidR="00434C5B">
        <w:t xml:space="preserve"> imagined lives/futures/possibilities </w:t>
      </w:r>
      <w:r w:rsidRPr="00BC5F30">
        <w:t xml:space="preserve">that contribute to it, may be as powerful in shaping young people’s post-school choices as the experience of im/mobility itself. The issue may be less whether young people are more or less geographically mobile, but </w:t>
      </w:r>
      <w:r w:rsidR="000745D7">
        <w:t>whether</w:t>
      </w:r>
      <w:r w:rsidRPr="00BC5F30">
        <w:t xml:space="preserve"> their </w:t>
      </w:r>
      <w:r>
        <w:t>geographic im/mobility affects ‘</w:t>
      </w:r>
      <w:r w:rsidRPr="00BC5F30">
        <w:t xml:space="preserve">their </w:t>
      </w:r>
      <w:r w:rsidRPr="00BC5F30">
        <w:rPr>
          <w:i/>
          <w:iCs/>
        </w:rPr>
        <w:t>capacity to imagine certain p</w:t>
      </w:r>
      <w:r>
        <w:rPr>
          <w:i/>
          <w:iCs/>
        </w:rPr>
        <w:t>ossibilities as being desirable’</w:t>
      </w:r>
      <w:r w:rsidRPr="00BC5F30">
        <w:rPr>
          <w:i/>
          <w:iCs/>
        </w:rPr>
        <w:t xml:space="preserve"> </w:t>
      </w:r>
      <w:r w:rsidRPr="00BC5F30">
        <w:t>(Sellar &amp; Gale 2011, p.121, italics</w:t>
      </w:r>
      <w:r w:rsidR="000745D7">
        <w:t xml:space="preserve"> in original</w:t>
      </w:r>
      <w:r w:rsidRPr="00BC5F30">
        <w:t>).</w:t>
      </w:r>
      <w:r>
        <w:t xml:space="preserve"> Alston an</w:t>
      </w:r>
      <w:r w:rsidR="000745D7">
        <w:t>d Kent (2009) and Drummond, Palmer and Halsey</w:t>
      </w:r>
      <w:r>
        <w:t xml:space="preserve"> (2013) also point to the powerful </w:t>
      </w:r>
      <w:r w:rsidR="00737FC1">
        <w:t>role</w:t>
      </w:r>
      <w:r>
        <w:t xml:space="preserve"> that perception of place can play in influencing young people’s geographic mobility and the associated role of government policy in affecting the structures of ru</w:t>
      </w:r>
      <w:r w:rsidR="00737FC1">
        <w:t xml:space="preserve">ral economies and communities. </w:t>
      </w:r>
      <w:r w:rsidRPr="00BC5F30">
        <w:rPr>
          <w:lang w:eastAsia="en-AU"/>
        </w:rPr>
        <w:t xml:space="preserve">The greatest insights into young people’s </w:t>
      </w:r>
      <w:r w:rsidRPr="00BC5F30">
        <w:t xml:space="preserve">post-school education participation may </w:t>
      </w:r>
      <w:r w:rsidR="00434C5B">
        <w:t>therefore arise</w:t>
      </w:r>
      <w:r w:rsidRPr="00BC5F30">
        <w:t xml:space="preserve"> from research that investigates the relationship between their </w:t>
      </w:r>
      <w:r w:rsidRPr="00BC5F30">
        <w:rPr>
          <w:lang w:eastAsia="en-AU"/>
        </w:rPr>
        <w:t xml:space="preserve">geographic and social </w:t>
      </w:r>
      <w:r w:rsidRPr="00BC5F30">
        <w:t xml:space="preserve">mobility, their </w:t>
      </w:r>
      <w:r w:rsidRPr="00BC5F30">
        <w:rPr>
          <w:lang w:eastAsia="en-AU"/>
        </w:rPr>
        <w:t xml:space="preserve">different capacities for </w:t>
      </w:r>
      <w:r w:rsidR="00737FC1">
        <w:rPr>
          <w:lang w:eastAsia="en-AU"/>
        </w:rPr>
        <w:t>each of these</w:t>
      </w:r>
      <w:r w:rsidRPr="00BC5F30">
        <w:rPr>
          <w:lang w:eastAsia="en-AU"/>
        </w:rPr>
        <w:t xml:space="preserve">, </w:t>
      </w:r>
      <w:r w:rsidRPr="00BC5F30">
        <w:t xml:space="preserve">and their </w:t>
      </w:r>
      <w:r w:rsidRPr="00BC5F30">
        <w:rPr>
          <w:lang w:eastAsia="en-AU"/>
        </w:rPr>
        <w:t xml:space="preserve">different capacities </w:t>
      </w:r>
      <w:r w:rsidRPr="00BC5F30">
        <w:t>for the development of futur</w:t>
      </w:r>
      <w:r>
        <w:t xml:space="preserve">e aspirations and </w:t>
      </w:r>
      <w:r w:rsidR="00737FC1">
        <w:t>imagined lives</w:t>
      </w:r>
      <w:r>
        <w:t>.</w:t>
      </w:r>
    </w:p>
    <w:p w:rsidR="00B84E3B" w:rsidRPr="00B84E3B" w:rsidRDefault="00B84E3B" w:rsidP="00B84E3B">
      <w:pPr>
        <w:pStyle w:val="Heading2"/>
      </w:pPr>
      <w:bookmarkStart w:id="46" w:name="_Toc409079366"/>
      <w:r w:rsidRPr="00B84E3B">
        <w:t>Gender</w:t>
      </w:r>
      <w:bookmarkEnd w:id="45"/>
      <w:bookmarkEnd w:id="46"/>
    </w:p>
    <w:p w:rsidR="00855535" w:rsidRDefault="00855535" w:rsidP="00855535">
      <w:pPr>
        <w:pStyle w:val="Text"/>
      </w:pPr>
      <w:bookmarkStart w:id="47" w:name="_Toc253925128"/>
      <w:r w:rsidRPr="00BC5F30">
        <w:t xml:space="preserve">Gender is one ‘conventional’ angle of analysis of post-school transitions that is largely </w:t>
      </w:r>
      <w:r>
        <w:t xml:space="preserve">under-researched in the Australian literature. </w:t>
      </w:r>
      <w:r w:rsidRPr="00BC5F30">
        <w:t xml:space="preserve">Gender differences in survey data are noted but </w:t>
      </w:r>
      <w:r w:rsidR="00737FC1">
        <w:t xml:space="preserve">the </w:t>
      </w:r>
      <w:r w:rsidRPr="00BC5F30">
        <w:t>reasons for</w:t>
      </w:r>
      <w:r>
        <w:t xml:space="preserve"> them appear to be unexplored. </w:t>
      </w:r>
      <w:r w:rsidRPr="00BC5F30">
        <w:t xml:space="preserve">The academic literature that </w:t>
      </w:r>
      <w:r w:rsidR="00737FC1">
        <w:t>notes</w:t>
      </w:r>
      <w:r w:rsidRPr="00BC5F30">
        <w:t xml:space="preserve"> gender as worthy of attention appears to be so limited that only fragments of a picture of gender i</w:t>
      </w:r>
      <w:r>
        <w:t>ssues in post-school pathways</w:t>
      </w:r>
      <w:r w:rsidR="00492AC9">
        <w:t xml:space="preserve"> are </w:t>
      </w:r>
      <w:r w:rsidR="00492AC9">
        <w:lastRenderedPageBreak/>
        <w:t>presented</w:t>
      </w:r>
      <w:r>
        <w:t xml:space="preserve">. </w:t>
      </w:r>
      <w:r w:rsidRPr="00BC5F30">
        <w:t>Hillman</w:t>
      </w:r>
      <w:r>
        <w:t xml:space="preserve"> and McMillan</w:t>
      </w:r>
      <w:r w:rsidRPr="00BC5F30">
        <w:t xml:space="preserve"> </w:t>
      </w:r>
      <w:r w:rsidRPr="00BC5F30">
        <w:rPr>
          <w:noProof/>
        </w:rPr>
        <w:t>(2005)</w:t>
      </w:r>
      <w:r>
        <w:t xml:space="preserve"> </w:t>
      </w:r>
      <w:r w:rsidR="00492AC9">
        <w:t>identify</w:t>
      </w:r>
      <w:r w:rsidRPr="00BC5F30">
        <w:t xml:space="preserve"> gender as a non-issue in post-school transitions, finding no statistically significant differences between male and female young people in terms of i</w:t>
      </w:r>
      <w:r>
        <w:t>mmediate post-</w:t>
      </w:r>
      <w:r w:rsidRPr="00FF5D71">
        <w:t xml:space="preserve">school outcomes. Harrington </w:t>
      </w:r>
      <w:r w:rsidRPr="00FF5D71">
        <w:rPr>
          <w:noProof/>
        </w:rPr>
        <w:t>(2006)</w:t>
      </w:r>
      <w:r w:rsidRPr="00FF5D71">
        <w:t xml:space="preserve">, however, has explored the ways </w:t>
      </w:r>
      <w:r w:rsidR="00434C5B" w:rsidRPr="00FF5D71">
        <w:t>by</w:t>
      </w:r>
      <w:r w:rsidRPr="00FF5D71">
        <w:t xml:space="preserve"> which constructions of masculinity influence young men’s choices with regard</w:t>
      </w:r>
      <w:r w:rsidRPr="00BC5F30">
        <w:t xml:space="preserve"> to early school leaving and post-</w:t>
      </w:r>
      <w:r>
        <w:t xml:space="preserve">school education and training. </w:t>
      </w:r>
      <w:r w:rsidRPr="00BC5F30">
        <w:t xml:space="preserve">She argues that higher rates of early school leaving among boys can be linked to </w:t>
      </w:r>
      <w:r w:rsidR="00A85A2B" w:rsidRPr="00FF5D71">
        <w:t>work attached to specific identities</w:t>
      </w:r>
      <w:r w:rsidRPr="00FF5D71">
        <w:t xml:space="preserve"> </w:t>
      </w:r>
      <w:r w:rsidRPr="00BC5F30">
        <w:t>as they attempt to live out particular constructions of masculinity.</w:t>
      </w:r>
      <w:r w:rsidR="00D13A1E">
        <w:t xml:space="preserve"> </w:t>
      </w:r>
      <w:r w:rsidRPr="00BC5F30">
        <w:t xml:space="preserve">Mills and Gale </w:t>
      </w:r>
      <w:r w:rsidRPr="00BC5F30">
        <w:rPr>
          <w:noProof/>
        </w:rPr>
        <w:t>(2008)</w:t>
      </w:r>
      <w:r w:rsidRPr="00BC5F30">
        <w:t xml:space="preserve"> also argue, with respect to rural young </w:t>
      </w:r>
      <w:proofErr w:type="gramStart"/>
      <w:r w:rsidR="008B7412">
        <w:t>people, that</w:t>
      </w:r>
      <w:proofErr w:type="gramEnd"/>
      <w:r w:rsidR="008B7412">
        <w:t xml:space="preserve"> in the longer term</w:t>
      </w:r>
      <w:r w:rsidRPr="00BC5F30">
        <w:t xml:space="preserve"> constructions of gender in rural areas may limit the pathways available to young women beyond tertiary education, although this argument is not </w:t>
      </w:r>
      <w:r w:rsidR="00A85A2B">
        <w:t>expanded</w:t>
      </w:r>
      <w:r w:rsidRPr="00A73994">
        <w:t>.</w:t>
      </w:r>
      <w:r>
        <w:t xml:space="preserve"> Similarly</w:t>
      </w:r>
      <w:r w:rsidR="008B7412">
        <w:t>,</w:t>
      </w:r>
      <w:r>
        <w:t xml:space="preserve"> Butler and Ferrier (2006, p</w:t>
      </w:r>
      <w:r w:rsidR="00492AC9">
        <w:t>.</w:t>
      </w:r>
      <w:r>
        <w:t xml:space="preserve">581) question the assumption that the growth in participation in </w:t>
      </w:r>
      <w:r w:rsidRPr="00A73994">
        <w:t>vocational education an</w:t>
      </w:r>
      <w:r w:rsidR="00492AC9">
        <w:t>d training</w:t>
      </w:r>
      <w:r>
        <w:t xml:space="preserve"> </w:t>
      </w:r>
      <w:r w:rsidR="00A85A2B">
        <w:t xml:space="preserve">by women </w:t>
      </w:r>
      <w:r>
        <w:t xml:space="preserve">is </w:t>
      </w:r>
      <w:r w:rsidR="00492AC9">
        <w:t>not an issue</w:t>
      </w:r>
      <w:r>
        <w:t xml:space="preserve"> </w:t>
      </w:r>
      <w:r w:rsidR="0098249E">
        <w:t xml:space="preserve">and that gender inequality has been deemed fixed. Instead, </w:t>
      </w:r>
      <w:r>
        <w:t xml:space="preserve">they argue </w:t>
      </w:r>
      <w:r w:rsidR="0098249E">
        <w:t>that</w:t>
      </w:r>
      <w:r w:rsidR="00492AC9">
        <w:t>,</w:t>
      </w:r>
      <w:r w:rsidR="0098249E">
        <w:t xml:space="preserve"> whil</w:t>
      </w:r>
      <w:r w:rsidR="00492AC9">
        <w:t>e</w:t>
      </w:r>
      <w:r w:rsidRPr="005A41F1">
        <w:t xml:space="preserve"> women </w:t>
      </w:r>
      <w:r>
        <w:t>are</w:t>
      </w:r>
      <w:r w:rsidRPr="005A41F1">
        <w:t xml:space="preserve"> participating more in education and training</w:t>
      </w:r>
      <w:r>
        <w:t xml:space="preserve"> than previously (48</w:t>
      </w:r>
      <w:r w:rsidR="008B7412">
        <w:t xml:space="preserve"> per cent</w:t>
      </w:r>
      <w:r w:rsidR="003241F8">
        <w:t xml:space="preserve"> </w:t>
      </w:r>
      <w:r>
        <w:t>of all VET students), their participation tends</w:t>
      </w:r>
      <w:r w:rsidRPr="005A41F1">
        <w:t xml:space="preserve"> to be in already feminised sectors, continuing the gender segregation which shapes the Australian workforce</w:t>
      </w:r>
      <w:r>
        <w:t>. Likewise, McLeod (2007) argues that young women who leave school early have less favourable further education and employment opportunities than young men, but</w:t>
      </w:r>
      <w:r w:rsidR="008B7412">
        <w:t xml:space="preserve"> that</w:t>
      </w:r>
      <w:r>
        <w:t xml:space="preserve"> policy and practice communities have paid this less attention because gender equity has been </w:t>
      </w:r>
      <w:r w:rsidR="00A85A2B">
        <w:t xml:space="preserve">considered </w:t>
      </w:r>
      <w:r w:rsidR="008B7412">
        <w:t>as</w:t>
      </w:r>
      <w:r>
        <w:t xml:space="preserve"> solved. Given the prevalence of early school leaving in areas of </w:t>
      </w:r>
      <w:r w:rsidR="0021491D">
        <w:t xml:space="preserve">socioeconomic </w:t>
      </w:r>
      <w:r>
        <w:t xml:space="preserve">disadvantage, a focus on gender and </w:t>
      </w:r>
      <w:r w:rsidR="00D230DC">
        <w:t>post-school</w:t>
      </w:r>
      <w:r>
        <w:t xml:space="preserve"> pathways is much needed.</w:t>
      </w:r>
    </w:p>
    <w:p w:rsidR="00B84E3B" w:rsidRDefault="00B84E3B" w:rsidP="00B84E3B">
      <w:pPr>
        <w:pStyle w:val="Heading2"/>
      </w:pPr>
      <w:bookmarkStart w:id="48" w:name="_Toc409079367"/>
      <w:r w:rsidRPr="002423CD">
        <w:t>Ethnicity</w:t>
      </w:r>
      <w:bookmarkEnd w:id="47"/>
      <w:bookmarkEnd w:id="48"/>
    </w:p>
    <w:p w:rsidR="009B0057" w:rsidRPr="002423CD" w:rsidRDefault="009B0057" w:rsidP="009B0057">
      <w:pPr>
        <w:pStyle w:val="Text"/>
      </w:pPr>
      <w:bookmarkStart w:id="49" w:name="_Toc253925129"/>
      <w:r w:rsidRPr="002423CD">
        <w:t>Statistics show that t</w:t>
      </w:r>
      <w:r>
        <w:t>here is a stark divide between Indigenous and non-I</w:t>
      </w:r>
      <w:r w:rsidRPr="002423CD">
        <w:t>ndigenous y</w:t>
      </w:r>
      <w:r>
        <w:t>oung people in Australia, with I</w:t>
      </w:r>
      <w:r w:rsidRPr="002423CD">
        <w:t xml:space="preserve">ndigenous youth tending to have lower school-completion rates, lower rates of university attendance, lower levels of qualifications achieved post-school and higher rates of unemployment </w:t>
      </w:r>
      <w:r w:rsidRPr="002423CD">
        <w:rPr>
          <w:noProof/>
        </w:rPr>
        <w:t>(</w:t>
      </w:r>
      <w:r>
        <w:rPr>
          <w:noProof/>
        </w:rPr>
        <w:t>Hillman &amp; MacMillan</w:t>
      </w:r>
      <w:r w:rsidR="00492AC9">
        <w:rPr>
          <w:noProof/>
        </w:rPr>
        <w:t xml:space="preserve"> 2005;</w:t>
      </w:r>
      <w:r w:rsidRPr="002423CD">
        <w:rPr>
          <w:noProof/>
        </w:rPr>
        <w:t xml:space="preserve"> Walsh </w:t>
      </w:r>
      <w:r w:rsidR="00492AC9">
        <w:rPr>
          <w:noProof/>
        </w:rPr>
        <w:t>&amp; De Campo 2010;</w:t>
      </w:r>
      <w:r w:rsidRPr="002423CD">
        <w:rPr>
          <w:noProof/>
        </w:rPr>
        <w:t xml:space="preserve"> </w:t>
      </w:r>
      <w:r w:rsidR="00FF5D71" w:rsidRPr="006346F3">
        <w:rPr>
          <w:noProof/>
        </w:rPr>
        <w:t>Underwood &amp; Rothman</w:t>
      </w:r>
      <w:r w:rsidRPr="006346F3">
        <w:rPr>
          <w:noProof/>
        </w:rPr>
        <w:t xml:space="preserve"> 2012</w:t>
      </w:r>
      <w:r w:rsidR="00FF5D71" w:rsidRPr="006346F3">
        <w:rPr>
          <w:noProof/>
        </w:rPr>
        <w:t>a</w:t>
      </w:r>
      <w:r w:rsidR="008B7412">
        <w:rPr>
          <w:noProof/>
        </w:rPr>
        <w:t xml:space="preserve">, </w:t>
      </w:r>
      <w:r w:rsidR="00FF5D71" w:rsidRPr="006346F3">
        <w:rPr>
          <w:noProof/>
        </w:rPr>
        <w:t>2012b</w:t>
      </w:r>
      <w:r w:rsidRPr="006346F3">
        <w:rPr>
          <w:noProof/>
        </w:rPr>
        <w:t>)</w:t>
      </w:r>
      <w:r w:rsidRPr="006346F3">
        <w:t>.</w:t>
      </w:r>
      <w:r>
        <w:t xml:space="preserve"> </w:t>
      </w:r>
      <w:r w:rsidRPr="002423CD">
        <w:t xml:space="preserve">As Hillman </w:t>
      </w:r>
      <w:r w:rsidRPr="002423CD">
        <w:rPr>
          <w:noProof/>
        </w:rPr>
        <w:t>(2005)</w:t>
      </w:r>
      <w:r w:rsidRPr="002423CD">
        <w:t xml:space="preserve"> identifies</w:t>
      </w:r>
      <w:r w:rsidR="00492AC9">
        <w:t>,</w:t>
      </w:r>
      <w:r w:rsidRPr="002423CD">
        <w:t xml:space="preserve"> there is als</w:t>
      </w:r>
      <w:r w:rsidR="00492AC9">
        <w:t>o a strong link between I</w:t>
      </w:r>
      <w:r>
        <w:t>ndigenous background</w:t>
      </w:r>
      <w:r w:rsidRPr="002423CD">
        <w:t xml:space="preserve"> </w:t>
      </w:r>
      <w:r>
        <w:t xml:space="preserve">and </w:t>
      </w:r>
      <w:r w:rsidR="0021491D">
        <w:t xml:space="preserve">socioeconomic </w:t>
      </w:r>
      <w:r>
        <w:t>status</w:t>
      </w:r>
      <w:r w:rsidR="00492AC9">
        <w:t>,</w:t>
      </w:r>
      <w:r>
        <w:t xml:space="preserve"> with I</w:t>
      </w:r>
      <w:r w:rsidRPr="002423CD">
        <w:t xml:space="preserve">ndigenous young people more likely to come from lower </w:t>
      </w:r>
      <w:r w:rsidR="0021491D">
        <w:t xml:space="preserve">socioeconomic </w:t>
      </w:r>
      <w:r w:rsidRPr="002423CD">
        <w:t>groups.</w:t>
      </w:r>
      <w:r>
        <w:t xml:space="preserve"> </w:t>
      </w:r>
      <w:r w:rsidRPr="002423CD">
        <w:t xml:space="preserve">Walsh and De Campo </w:t>
      </w:r>
      <w:r w:rsidRPr="002423CD">
        <w:rPr>
          <w:noProof/>
        </w:rPr>
        <w:t>(2010)</w:t>
      </w:r>
      <w:r w:rsidRPr="002423CD">
        <w:t xml:space="preserve"> ide</w:t>
      </w:r>
      <w:r>
        <w:t>ntify the rural nature of many I</w:t>
      </w:r>
      <w:r w:rsidRPr="002423CD">
        <w:t>ndigenous communities and argue that the disadvantages of living in a rural community</w:t>
      </w:r>
      <w:r>
        <w:t>, discussed above, also impact upon I</w:t>
      </w:r>
      <w:r w:rsidRPr="002423CD">
        <w:t>ndigenous young people, p</w:t>
      </w:r>
      <w:r w:rsidR="00A85A2B">
        <w:t>lacing</w:t>
      </w:r>
      <w:r w:rsidRPr="002423CD">
        <w:t xml:space="preserve"> them at a further disadvantage in terms o</w:t>
      </w:r>
      <w:r w:rsidR="00A85A2B">
        <w:t xml:space="preserve">f opportunities and access following </w:t>
      </w:r>
      <w:r w:rsidRPr="002423CD">
        <w:t>school.</w:t>
      </w:r>
    </w:p>
    <w:p w:rsidR="009B0057" w:rsidRDefault="009B0057" w:rsidP="009B0057">
      <w:pPr>
        <w:pStyle w:val="Text"/>
      </w:pPr>
      <w:r>
        <w:t>However, t</w:t>
      </w:r>
      <w:r w:rsidRPr="002423CD">
        <w:t>he complexities behind these simplistic divides are less well</w:t>
      </w:r>
      <w:r>
        <w:t xml:space="preserve"> explored by the literature. </w:t>
      </w:r>
      <w:r w:rsidRPr="002423CD">
        <w:t xml:space="preserve">Hillman </w:t>
      </w:r>
      <w:r w:rsidRPr="002423CD">
        <w:rPr>
          <w:noProof/>
        </w:rPr>
        <w:t>(2005)</w:t>
      </w:r>
      <w:r>
        <w:t xml:space="preserve"> identifies that young I</w:t>
      </w:r>
      <w:r w:rsidRPr="002423CD">
        <w:t xml:space="preserve">ndigenous Australians </w:t>
      </w:r>
      <w:r>
        <w:t>are more likely than their non-I</w:t>
      </w:r>
      <w:r w:rsidRPr="002423CD">
        <w:t xml:space="preserve">ndigenous peers to hold caring responsibilities in their family and community that may prevent or limit their participation in </w:t>
      </w:r>
      <w:r w:rsidR="00D230DC">
        <w:t>post-school</w:t>
      </w:r>
      <w:r>
        <w:t xml:space="preserve"> education and training. </w:t>
      </w:r>
      <w:r w:rsidRPr="002423CD">
        <w:t xml:space="preserve">These responsibilities may, for example, prevent young people from studying away from home or </w:t>
      </w:r>
      <w:r w:rsidR="00A85A2B">
        <w:t>making a commitment</w:t>
      </w:r>
      <w:r w:rsidRPr="002423CD">
        <w:t xml:space="preserve"> to full-time study</w:t>
      </w:r>
      <w:r w:rsidR="00D13A1E">
        <w:t>,</w:t>
      </w:r>
      <w:r w:rsidRPr="002423CD">
        <w:t xml:space="preserve"> or they may have a detrimental effect on their achi</w:t>
      </w:r>
      <w:r>
        <w:t xml:space="preserve">evement in tertiary education. </w:t>
      </w:r>
      <w:r w:rsidRPr="002423CD">
        <w:t xml:space="preserve">Hudson </w:t>
      </w:r>
      <w:r w:rsidRPr="002423CD">
        <w:rPr>
          <w:noProof/>
        </w:rPr>
        <w:t>(2008)</w:t>
      </w:r>
      <w:r w:rsidRPr="002423CD">
        <w:t xml:space="preserve"> argues that </w:t>
      </w:r>
      <w:r w:rsidR="00D13A1E">
        <w:t>wider community program</w:t>
      </w:r>
      <w:r>
        <w:t>s for I</w:t>
      </w:r>
      <w:r w:rsidRPr="002423CD">
        <w:t xml:space="preserve">ndigenous communities such as </w:t>
      </w:r>
      <w:r w:rsidR="00D13A1E">
        <w:t>the Australian Government-</w:t>
      </w:r>
      <w:r>
        <w:t>funded Community Development Employment Projects (</w:t>
      </w:r>
      <w:r w:rsidRPr="002423CD">
        <w:t>CDEP</w:t>
      </w:r>
      <w:r>
        <w:t>)</w:t>
      </w:r>
      <w:r w:rsidRPr="002423CD">
        <w:t xml:space="preserve"> have had </w:t>
      </w:r>
      <w:r>
        <w:t xml:space="preserve">far-reaching negative effects. </w:t>
      </w:r>
      <w:r w:rsidRPr="002423CD">
        <w:t>Hu</w:t>
      </w:r>
      <w:r w:rsidR="00D13A1E">
        <w:t>dson posits that state programs of benefits for I</w:t>
      </w:r>
      <w:r w:rsidRPr="002423CD">
        <w:t>ndigenous communities have created a culture of dependency, resulting in a cycle of joblessness and poor educational attainment.</w:t>
      </w:r>
      <w:r w:rsidR="00D13A1E">
        <w:t xml:space="preserve"> </w:t>
      </w:r>
      <w:r>
        <w:t>Alston and Kent (2009) comment more generally that policy schemes to encourage workforce and educational participation often actually act to further exclude young people in remote areas (who are also m</w:t>
      </w:r>
      <w:r w:rsidR="00D13A1E">
        <w:t>ore likely to be I</w:t>
      </w:r>
      <w:r>
        <w:t>ndigenous) because of the structural inequalities of access to civic amenities such as Centrelink offices or training centres.</w:t>
      </w:r>
    </w:p>
    <w:p w:rsidR="009B0057" w:rsidRPr="002423CD" w:rsidRDefault="009B0057" w:rsidP="009B0057">
      <w:pPr>
        <w:pStyle w:val="Text"/>
      </w:pPr>
      <w:r>
        <w:lastRenderedPageBreak/>
        <w:t xml:space="preserve">Equally important in the context of Australia, a country of expansion through inward </w:t>
      </w:r>
      <w:proofErr w:type="gramStart"/>
      <w:r>
        <w:t>migration,</w:t>
      </w:r>
      <w:proofErr w:type="gramEnd"/>
      <w:r>
        <w:t xml:space="preserve"> is the impact of other ethnic backgr</w:t>
      </w:r>
      <w:r w:rsidR="00A85A2B">
        <w:t xml:space="preserve">ounds on educational outcomes. The </w:t>
      </w:r>
      <w:r w:rsidR="008B7412">
        <w:t>i</w:t>
      </w:r>
      <w:r>
        <w:t>nternational literature suggests that race and ethnicity intersect in complex ways with other aspects of advantage and disadvantage such as c</w:t>
      </w:r>
      <w:r w:rsidR="00D13A1E">
        <w:t xml:space="preserve">lass and </w:t>
      </w:r>
      <w:r w:rsidR="00D13A1E" w:rsidRPr="00506B3F">
        <w:t>gender (Vincent et al.</w:t>
      </w:r>
      <w:r w:rsidRPr="00506B3F">
        <w:t xml:space="preserve"> 2013).</w:t>
      </w:r>
      <w:r>
        <w:t xml:space="preserve"> For example, </w:t>
      </w:r>
      <w:r w:rsidR="00D13A1E">
        <w:t>research conducted in</w:t>
      </w:r>
      <w:r>
        <w:t xml:space="preserve"> the Netherlands shows that ‘living in neighbourhoods with higher proportions of immigrants increases the educational commitments of migrant youth compared to living in neighbourhoods with lower p</w:t>
      </w:r>
      <w:r w:rsidR="00D13A1E">
        <w:t>roportions’ (Nieuwenhuis et al.</w:t>
      </w:r>
      <w:r>
        <w:t xml:space="preserve"> 2013, p.1). </w:t>
      </w:r>
      <w:r w:rsidRPr="009112CA">
        <w:t>Yet in stark contrast to the literature on post-school pathways in the U</w:t>
      </w:r>
      <w:r>
        <w:t xml:space="preserve">nited </w:t>
      </w:r>
      <w:r w:rsidRPr="009112CA">
        <w:t>S</w:t>
      </w:r>
      <w:r>
        <w:t>tates</w:t>
      </w:r>
      <w:r w:rsidRPr="009112CA">
        <w:t>, the U</w:t>
      </w:r>
      <w:r>
        <w:t xml:space="preserve">nited </w:t>
      </w:r>
      <w:r w:rsidRPr="009112CA">
        <w:t>K</w:t>
      </w:r>
      <w:r>
        <w:t>ingdom</w:t>
      </w:r>
      <w:r w:rsidRPr="009112CA">
        <w:t xml:space="preserve"> and Europe, </w:t>
      </w:r>
      <w:r w:rsidR="00A85A2B">
        <w:t xml:space="preserve">the literature on </w:t>
      </w:r>
      <w:r w:rsidRPr="009112CA">
        <w:t>e</w:t>
      </w:r>
      <w:r>
        <w:t>thnicity (beyond the Indigenous/non-I</w:t>
      </w:r>
      <w:r w:rsidRPr="009112CA">
        <w:t xml:space="preserve">ndigenous dichotomy) is rather limited in the Australian context. Ross and Gray </w:t>
      </w:r>
      <w:r w:rsidRPr="009112CA">
        <w:rPr>
          <w:noProof/>
        </w:rPr>
        <w:t>(2005)</w:t>
      </w:r>
      <w:r w:rsidRPr="009112CA">
        <w:t xml:space="preserve"> and Underwood and Rothman </w:t>
      </w:r>
      <w:r w:rsidRPr="009112CA">
        <w:rPr>
          <w:noProof/>
        </w:rPr>
        <w:t>(</w:t>
      </w:r>
      <w:r w:rsidRPr="00506B3F">
        <w:rPr>
          <w:noProof/>
        </w:rPr>
        <w:t>2012</w:t>
      </w:r>
      <w:r w:rsidR="008B7412">
        <w:rPr>
          <w:noProof/>
        </w:rPr>
        <w:t>a,</w:t>
      </w:r>
      <w:r w:rsidR="00506B3F" w:rsidRPr="00506B3F">
        <w:rPr>
          <w:noProof/>
        </w:rPr>
        <w:t xml:space="preserve"> 2012b</w:t>
      </w:r>
      <w:r w:rsidRPr="00506B3F">
        <w:rPr>
          <w:noProof/>
        </w:rPr>
        <w:t>)</w:t>
      </w:r>
      <w:r w:rsidRPr="00506B3F">
        <w:t xml:space="preserve"> comment</w:t>
      </w:r>
      <w:r w:rsidR="008B7412">
        <w:t xml:space="preserve"> on the overall higher-than-</w:t>
      </w:r>
      <w:r w:rsidRPr="009112CA">
        <w:t xml:space="preserve">average university participation rates of young people with a primary language other than English (PLOTE), attributed to </w:t>
      </w:r>
      <w:r w:rsidR="00D13A1E">
        <w:t>the value ‘Asian’ cultures place on</w:t>
      </w:r>
      <w:r w:rsidRPr="009112CA">
        <w:t xml:space="preserve"> education, but there is no further </w:t>
      </w:r>
      <w:r w:rsidR="00D13A1E">
        <w:t>breakdown of this</w:t>
      </w:r>
      <w:r w:rsidRPr="009112CA">
        <w:t xml:space="preserve"> observation or attempts to </w:t>
      </w:r>
      <w:r w:rsidR="00D13A1E">
        <w:t xml:space="preserve">refine </w:t>
      </w:r>
      <w:r w:rsidRPr="009112CA">
        <w:t xml:space="preserve">the analysis with regard to individual ethnic groups or their </w:t>
      </w:r>
      <w:r w:rsidR="0021491D">
        <w:t xml:space="preserve">socioeconomic </w:t>
      </w:r>
      <w:r w:rsidRPr="009112CA">
        <w:t>and cultural characteristics. Similar</w:t>
      </w:r>
      <w:r w:rsidR="008B7412">
        <w:t xml:space="preserve">ly, Johnston et al. (2014) </w:t>
      </w:r>
      <w:r w:rsidRPr="009112CA">
        <w:t>identify that ethnic diversity is positively related to university aspirations and to application to homework. Given the vast body of literature and research on ethnicity elsewhere in the world and the role of ethnic identities in influencing post-school choices and opportunities (see</w:t>
      </w:r>
      <w:r w:rsidR="008B7412">
        <w:t>,</w:t>
      </w:r>
      <w:r w:rsidRPr="009112CA">
        <w:t xml:space="preserve"> for example</w:t>
      </w:r>
      <w:r w:rsidR="008B7412">
        <w:t>,</w:t>
      </w:r>
      <w:r w:rsidRPr="009112CA">
        <w:t xml:space="preserve"> </w:t>
      </w:r>
      <w:proofErr w:type="spellStart"/>
      <w:r w:rsidRPr="009112CA">
        <w:t>Reay</w:t>
      </w:r>
      <w:proofErr w:type="spellEnd"/>
      <w:r w:rsidRPr="009112CA">
        <w:t xml:space="preserve"> et al</w:t>
      </w:r>
      <w:r>
        <w:t>.</w:t>
      </w:r>
      <w:r w:rsidRPr="009112CA">
        <w:t xml:space="preserve"> </w:t>
      </w:r>
      <w:r w:rsidRPr="009112CA">
        <w:rPr>
          <w:noProof/>
        </w:rPr>
        <w:t>2001)</w:t>
      </w:r>
      <w:r w:rsidRPr="009112CA">
        <w:t>, a more detailed exploration of the role of ethnicity in the Australian context is needed.</w:t>
      </w:r>
    </w:p>
    <w:p w:rsidR="00B84E3B" w:rsidRPr="00B84E3B" w:rsidRDefault="00B84E3B" w:rsidP="00B84E3B">
      <w:pPr>
        <w:pStyle w:val="Heading2"/>
      </w:pPr>
      <w:bookmarkStart w:id="50" w:name="_Toc409079368"/>
      <w:r w:rsidRPr="00B84E3B">
        <w:t>Traditions and the influences of family and the familiar</w:t>
      </w:r>
      <w:bookmarkEnd w:id="49"/>
      <w:bookmarkEnd w:id="50"/>
    </w:p>
    <w:p w:rsidR="00D74AC8" w:rsidRPr="00BC5F30" w:rsidRDefault="00D74AC8" w:rsidP="00D74AC8">
      <w:pPr>
        <w:pStyle w:val="Text"/>
      </w:pPr>
      <w:bookmarkStart w:id="51" w:name="_Toc253925130"/>
      <w:r w:rsidRPr="00BC5F30">
        <w:t>Throughout the Australian literature on post-school engagement runs a theme of ‘tradition’</w:t>
      </w:r>
      <w:r w:rsidR="008E5938">
        <w:t>, which</w:t>
      </w:r>
      <w:r w:rsidRPr="00BC5F30">
        <w:t xml:space="preserve"> can be linked to </w:t>
      </w:r>
      <w:r>
        <w:t xml:space="preserve">the work of the French sociologist, </w:t>
      </w:r>
      <w:r w:rsidR="008E5938">
        <w:t xml:space="preserve">Pierre </w:t>
      </w:r>
      <w:r w:rsidRPr="00BC5F30">
        <w:t>Bourdieu</w:t>
      </w:r>
      <w:r>
        <w:t>, and his concept</w:t>
      </w:r>
      <w:r w:rsidRPr="00BC5F30">
        <w:t xml:space="preserve"> of </w:t>
      </w:r>
      <w:r w:rsidRPr="00BC5F30">
        <w:rPr>
          <w:i/>
        </w:rPr>
        <w:t>habitus</w:t>
      </w:r>
      <w:r w:rsidR="008B7412">
        <w:rPr>
          <w:i/>
        </w:rPr>
        <w:t xml:space="preserve">. </w:t>
      </w:r>
      <w:r w:rsidR="008B7412" w:rsidRPr="00994936">
        <w:t>I</w:t>
      </w:r>
      <w:r w:rsidRPr="00994936">
        <w:t xml:space="preserve">nformed by </w:t>
      </w:r>
      <w:r w:rsidR="000E248E" w:rsidRPr="00994936">
        <w:t>this Bourdi</w:t>
      </w:r>
      <w:r w:rsidRPr="00994936">
        <w:t>e</w:t>
      </w:r>
      <w:r w:rsidR="000E248E" w:rsidRPr="00994936">
        <w:t>u</w:t>
      </w:r>
      <w:r w:rsidRPr="00994936">
        <w:t>sian sense of habitus</w:t>
      </w:r>
      <w:r w:rsidR="008B7412" w:rsidRPr="00994936">
        <w:t>,</w:t>
      </w:r>
      <w:r w:rsidRPr="00994936">
        <w:t xml:space="preserve"> </w:t>
      </w:r>
      <w:r w:rsidR="00994936" w:rsidRPr="00994936">
        <w:t xml:space="preserve">tradition </w:t>
      </w:r>
      <w:r w:rsidRPr="00994936">
        <w:t xml:space="preserve">refers to the ways people develop a range of dispositions, often tacitly, that orientate them to </w:t>
      </w:r>
      <w:r w:rsidR="00A85A2B" w:rsidRPr="00994936">
        <w:t xml:space="preserve">the way they </w:t>
      </w:r>
      <w:r w:rsidRPr="00994936">
        <w:t>liv</w:t>
      </w:r>
      <w:r w:rsidR="00A85A2B" w:rsidRPr="00994936">
        <w:t>e</w:t>
      </w:r>
      <w:r w:rsidRPr="00994936">
        <w:t xml:space="preserve"> their lives and embody these dispositions in </w:t>
      </w:r>
      <w:r w:rsidR="008B7412" w:rsidRPr="00994936">
        <w:t xml:space="preserve">the </w:t>
      </w:r>
      <w:r w:rsidRPr="00994936">
        <w:t xml:space="preserve">practices and decisions associated with the contexts and networks </w:t>
      </w:r>
      <w:r w:rsidR="00A85A2B" w:rsidRPr="00994936">
        <w:t xml:space="preserve">they </w:t>
      </w:r>
      <w:r w:rsidRPr="00994936">
        <w:t>inhabit</w:t>
      </w:r>
      <w:r w:rsidR="008E5938" w:rsidRPr="00994936">
        <w:t>.</w:t>
      </w:r>
      <w:r w:rsidR="008E5938">
        <w:t xml:space="preserve"> </w:t>
      </w:r>
      <w:r w:rsidR="008E5938" w:rsidRPr="00506B3F">
        <w:t>This use of Bourdieu’s work in Australia</w:t>
      </w:r>
      <w:r w:rsidRPr="00506B3F">
        <w:t xml:space="preserve"> to provide tools for </w:t>
      </w:r>
      <w:r w:rsidR="008E5938" w:rsidRPr="00506B3F">
        <w:t>research</w:t>
      </w:r>
      <w:r w:rsidRPr="00506B3F">
        <w:t xml:space="preserve"> in the field of post-school </w:t>
      </w:r>
      <w:r w:rsidR="008E5938" w:rsidRPr="00506B3F">
        <w:t>participation</w:t>
      </w:r>
      <w:r w:rsidR="00573F81" w:rsidRPr="00506B3F">
        <w:t xml:space="preserve"> —</w:t>
      </w:r>
      <w:r w:rsidRPr="00506B3F">
        <w:t xml:space="preserve"> </w:t>
      </w:r>
      <w:r w:rsidR="00573F81" w:rsidRPr="00506B3F">
        <w:t>as well as</w:t>
      </w:r>
      <w:r w:rsidRPr="00506B3F">
        <w:t xml:space="preserve"> the </w:t>
      </w:r>
      <w:r w:rsidR="008E5938" w:rsidRPr="00506B3F">
        <w:t>conceptual framework of habitus</w:t>
      </w:r>
      <w:r w:rsidR="00573F81" w:rsidRPr="00506B3F">
        <w:t xml:space="preserve"> —</w:t>
      </w:r>
      <w:r w:rsidRPr="00506B3F">
        <w:t xml:space="preserve"> </w:t>
      </w:r>
      <w:r>
        <w:t>extends a literature well represented in m</w:t>
      </w:r>
      <w:r w:rsidR="008E5938">
        <w:t>any</w:t>
      </w:r>
      <w:r>
        <w:t xml:space="preserve"> United Kingdom and European studies of education and work transitions (</w:t>
      </w:r>
      <w:r w:rsidRPr="00B45625">
        <w:t>see</w:t>
      </w:r>
      <w:r w:rsidR="008B7412">
        <w:t>,</w:t>
      </w:r>
      <w:r w:rsidRPr="00B45625">
        <w:t xml:space="preserve"> for example, Ball et al</w:t>
      </w:r>
      <w:r w:rsidR="008E5938">
        <w:t>. 2002;</w:t>
      </w:r>
      <w:r>
        <w:t xml:space="preserve"> Ball, 2006</w:t>
      </w:r>
      <w:r w:rsidRPr="00B45625">
        <w:t>)</w:t>
      </w:r>
      <w:r>
        <w:t xml:space="preserve">. </w:t>
      </w:r>
      <w:r w:rsidR="008E5938">
        <w:t xml:space="preserve">Young </w:t>
      </w:r>
      <w:r w:rsidR="00506B3F">
        <w:t xml:space="preserve">people’s dispositions towards their socioeconomic-geographic location are largely inherited from their family situation and affected by their wider community, meaning therefore that parents </w:t>
      </w:r>
      <w:r w:rsidR="008B7412">
        <w:t xml:space="preserve">often emerge </w:t>
      </w:r>
      <w:r w:rsidR="00506B3F">
        <w:t>as a key influence upon young people’s choices and trajectories</w:t>
      </w:r>
      <w:r w:rsidRPr="00BC5F30">
        <w:t>.</w:t>
      </w:r>
    </w:p>
    <w:p w:rsidR="00D74AC8" w:rsidRPr="00BC5F30" w:rsidRDefault="00D74AC8" w:rsidP="00D74AC8">
      <w:pPr>
        <w:pStyle w:val="Text"/>
      </w:pPr>
      <w:r w:rsidRPr="00BC5F30">
        <w:t xml:space="preserve">Parents are documented in a range of survey data as a key source of advice, influence and information for young people as they make decisions about their futures </w:t>
      </w:r>
      <w:r w:rsidR="004809B2">
        <w:rPr>
          <w:noProof/>
        </w:rPr>
        <w:t>(Marks et al. 2011; Bryce et al. 2007;</w:t>
      </w:r>
      <w:r w:rsidRPr="00BC5F30">
        <w:rPr>
          <w:noProof/>
        </w:rPr>
        <w:t xml:space="preserve"> Broadbent </w:t>
      </w:r>
      <w:r w:rsidR="004809B2">
        <w:rPr>
          <w:noProof/>
        </w:rPr>
        <w:t>&amp; Cacciattolo 2013;</w:t>
      </w:r>
      <w:r w:rsidRPr="00BC5F30">
        <w:rPr>
          <w:noProof/>
        </w:rPr>
        <w:t xml:space="preserve"> Bedson </w:t>
      </w:r>
      <w:r w:rsidR="004809B2">
        <w:rPr>
          <w:noProof/>
        </w:rPr>
        <w:t>&amp; Perkins</w:t>
      </w:r>
      <w:r w:rsidRPr="00BC5F30">
        <w:rPr>
          <w:noProof/>
        </w:rPr>
        <w:t xml:space="preserve"> 2006)</w:t>
      </w:r>
      <w:r>
        <w:t>.</w:t>
      </w:r>
      <w:r w:rsidRPr="00BC5F30">
        <w:t xml:space="preserve"> Marks et al</w:t>
      </w:r>
      <w:r>
        <w:t>.</w:t>
      </w:r>
      <w:r w:rsidRPr="00BC5F30">
        <w:t xml:space="preserve"> </w:t>
      </w:r>
      <w:r w:rsidRPr="00BC5F30">
        <w:rPr>
          <w:noProof/>
        </w:rPr>
        <w:t>(2011)</w:t>
      </w:r>
      <w:r w:rsidRPr="00BC5F30">
        <w:t xml:space="preserve"> note that even as their children step out into the ‘adult’ world, parents remain key facilitators to ambi</w:t>
      </w:r>
      <w:r>
        <w:t>tions and educational projects.</w:t>
      </w:r>
      <w:r w:rsidRPr="00BC5F30">
        <w:t xml:space="preserve"> Facilitation can be financial and emotional</w:t>
      </w:r>
      <w:r w:rsidR="004809B2">
        <w:t>,</w:t>
      </w:r>
      <w:r w:rsidRPr="00BC5F30">
        <w:t xml:space="preserve"> with parents </w:t>
      </w:r>
      <w:r w:rsidR="004809B2">
        <w:t>exerting</w:t>
      </w:r>
      <w:r w:rsidRPr="00BC5F30">
        <w:t xml:space="preserve"> influence on their children’s post-school choices both through advice given and often ‘quiet support’ </w:t>
      </w:r>
      <w:r w:rsidR="004809B2">
        <w:rPr>
          <w:noProof/>
        </w:rPr>
        <w:t>(Marks et al.</w:t>
      </w:r>
      <w:r w:rsidRPr="00BC5F30">
        <w:rPr>
          <w:noProof/>
        </w:rPr>
        <w:t xml:space="preserve"> </w:t>
      </w:r>
      <w:r w:rsidR="008B7412">
        <w:rPr>
          <w:noProof/>
        </w:rPr>
        <w:t>2011;</w:t>
      </w:r>
      <w:r w:rsidR="004809B2">
        <w:rPr>
          <w:noProof/>
        </w:rPr>
        <w:t xml:space="preserve"> Bryce et al.</w:t>
      </w:r>
      <w:r w:rsidR="008B7412">
        <w:rPr>
          <w:noProof/>
        </w:rPr>
        <w:t xml:space="preserve"> 2007;</w:t>
      </w:r>
      <w:r w:rsidRPr="00BC5F30">
        <w:rPr>
          <w:noProof/>
        </w:rPr>
        <w:t xml:space="preserve"> Bedson </w:t>
      </w:r>
      <w:r w:rsidR="004809B2">
        <w:rPr>
          <w:noProof/>
        </w:rPr>
        <w:t>&amp; Perkins 2006; Australian Department of Education</w:t>
      </w:r>
      <w:r w:rsidRPr="00BC5F30">
        <w:rPr>
          <w:noProof/>
        </w:rPr>
        <w:t xml:space="preserve"> 2010)</w:t>
      </w:r>
      <w:r>
        <w:t>.</w:t>
      </w:r>
      <w:r w:rsidR="00210ABC">
        <w:t xml:space="preserve"> Quiet support</w:t>
      </w:r>
      <w:r w:rsidRPr="00BC5F30">
        <w:t xml:space="preserve"> may also be associated with parent</w:t>
      </w:r>
      <w:r w:rsidR="004809B2">
        <w:t xml:space="preserve">al expectations, </w:t>
      </w:r>
      <w:r w:rsidR="00210ABC">
        <w:t>an issue</w:t>
      </w:r>
      <w:r w:rsidR="004809B2">
        <w:t xml:space="preserve"> well </w:t>
      </w:r>
      <w:r w:rsidRPr="00BC5F30">
        <w:t xml:space="preserve">documented in </w:t>
      </w:r>
      <w:r w:rsidR="004809B2">
        <w:t xml:space="preserve">the </w:t>
      </w:r>
      <w:r w:rsidRPr="00BC5F30">
        <w:t xml:space="preserve">international literature </w:t>
      </w:r>
      <w:r w:rsidR="004809B2">
        <w:t>relating to</w:t>
      </w:r>
      <w:r>
        <w:t xml:space="preserve"> educational achievement. </w:t>
      </w:r>
      <w:r w:rsidRPr="00BC5F30">
        <w:t xml:space="preserve">These expectations extend to students’ post-school transition choices </w:t>
      </w:r>
      <w:r w:rsidR="004809B2">
        <w:rPr>
          <w:noProof/>
        </w:rPr>
        <w:t>(Mills &amp; Gale 2008;</w:t>
      </w:r>
      <w:r>
        <w:rPr>
          <w:noProof/>
        </w:rPr>
        <w:t xml:space="preserve"> Australian</w:t>
      </w:r>
      <w:r w:rsidRPr="00BC5F30">
        <w:rPr>
          <w:noProof/>
        </w:rPr>
        <w:t xml:space="preserve"> Dep</w:t>
      </w:r>
      <w:r>
        <w:rPr>
          <w:noProof/>
        </w:rPr>
        <w:t>artment of Education</w:t>
      </w:r>
      <w:r w:rsidRPr="00BC5F30">
        <w:rPr>
          <w:noProof/>
        </w:rPr>
        <w:t xml:space="preserve"> 2010)</w:t>
      </w:r>
      <w:r w:rsidRPr="00BC5F30">
        <w:t xml:space="preserve"> and can be linked to the fact that young people from higher </w:t>
      </w:r>
      <w:r w:rsidR="0021491D">
        <w:t xml:space="preserve">socioeconomic </w:t>
      </w:r>
      <w:r w:rsidRPr="00BC5F30">
        <w:t xml:space="preserve">groups are more likely to go on to </w:t>
      </w:r>
      <w:r>
        <w:t>university</w:t>
      </w:r>
      <w:r w:rsidRPr="00BC5F30">
        <w:t xml:space="preserve"> study than those from lower </w:t>
      </w:r>
      <w:r w:rsidR="0021491D">
        <w:t xml:space="preserve">socioeconomic </w:t>
      </w:r>
      <w:r w:rsidRPr="00BC5F30">
        <w:t>groups</w:t>
      </w:r>
      <w:r w:rsidR="00A61556">
        <w:t>,</w:t>
      </w:r>
      <w:r w:rsidRPr="00BC5F30">
        <w:t xml:space="preserve"> regardless of their ATAR scores </w:t>
      </w:r>
      <w:r w:rsidR="00A61556">
        <w:rPr>
          <w:noProof/>
        </w:rPr>
        <w:t>(Marks et al.</w:t>
      </w:r>
      <w:r w:rsidRPr="00BC5F30">
        <w:rPr>
          <w:noProof/>
        </w:rPr>
        <w:t xml:space="preserve"> 2011)</w:t>
      </w:r>
      <w:r w:rsidRPr="00BC5F30">
        <w:t>.</w:t>
      </w:r>
    </w:p>
    <w:p w:rsidR="00D74AC8" w:rsidRPr="00BC5F30" w:rsidRDefault="00D74AC8" w:rsidP="00D74AC8">
      <w:pPr>
        <w:pStyle w:val="Text"/>
      </w:pPr>
      <w:r w:rsidRPr="00BC5F30">
        <w:lastRenderedPageBreak/>
        <w:t xml:space="preserve">The </w:t>
      </w:r>
      <w:r w:rsidR="00A61556">
        <w:t xml:space="preserve">Australian </w:t>
      </w:r>
      <w:r w:rsidRPr="00BC5F30">
        <w:t xml:space="preserve">Department of </w:t>
      </w:r>
      <w:r w:rsidRPr="00506B3F">
        <w:t xml:space="preserve">Education </w:t>
      </w:r>
      <w:r w:rsidR="00506B3F" w:rsidRPr="00506B3F">
        <w:rPr>
          <w:noProof/>
        </w:rPr>
        <w:t>(2010</w:t>
      </w:r>
      <w:r w:rsidRPr="00506B3F">
        <w:rPr>
          <w:noProof/>
        </w:rPr>
        <w:t>)</w:t>
      </w:r>
      <w:r w:rsidRPr="00506B3F">
        <w:t xml:space="preserve"> notes</w:t>
      </w:r>
      <w:r w:rsidRPr="00BC5F30">
        <w:t xml:space="preserve"> that where young people are enrolled in non-government schools they and their families feel that they have better access to information about post-school choices than students enrolled in government sch</w:t>
      </w:r>
      <w:r>
        <w:t xml:space="preserve">ools. </w:t>
      </w:r>
      <w:r w:rsidRPr="00BC5F30">
        <w:t xml:space="preserve">Bedson </w:t>
      </w:r>
      <w:r w:rsidR="00A61556">
        <w:t>and Perkins</w:t>
      </w:r>
      <w:r w:rsidRPr="00BC5F30">
        <w:t xml:space="preserve"> </w:t>
      </w:r>
      <w:r w:rsidRPr="00BC5F30">
        <w:rPr>
          <w:noProof/>
        </w:rPr>
        <w:t>(2006)</w:t>
      </w:r>
      <w:r w:rsidRPr="00BC5F30">
        <w:t xml:space="preserve"> report that parents from higher </w:t>
      </w:r>
      <w:r w:rsidR="0021491D">
        <w:t xml:space="preserve">socioeconomic </w:t>
      </w:r>
      <w:r w:rsidRPr="00BC5F30">
        <w:t>groups tend to be more confident about unde</w:t>
      </w:r>
      <w:r>
        <w:t xml:space="preserve">rstanding post-school options. </w:t>
      </w:r>
      <w:r w:rsidRPr="00BC5F30">
        <w:t xml:space="preserve">Here, both monetary advantage and social confidence combine to give young people from higher </w:t>
      </w:r>
      <w:r w:rsidR="0021491D">
        <w:t xml:space="preserve">socioeconomic </w:t>
      </w:r>
      <w:r w:rsidRPr="00BC5F30">
        <w:t xml:space="preserve">groups greater access to information and </w:t>
      </w:r>
      <w:r>
        <w:t>opportunities</w:t>
      </w:r>
      <w:r w:rsidRPr="00BC5F30">
        <w:t xml:space="preserve"> regarding post-school partic</w:t>
      </w:r>
      <w:r>
        <w:t>ipation in work and education.</w:t>
      </w:r>
    </w:p>
    <w:p w:rsidR="00D74AC8" w:rsidRPr="00BC5F30" w:rsidRDefault="00A61556" w:rsidP="00D74AC8">
      <w:pPr>
        <w:pStyle w:val="Text"/>
      </w:pPr>
      <w:r>
        <w:t>There is strong evidence</w:t>
      </w:r>
      <w:r w:rsidR="00D74AC8" w:rsidRPr="00BC5F30">
        <w:t xml:space="preserve"> internationally as well as in Australia that the </w:t>
      </w:r>
      <w:r w:rsidR="0021491D">
        <w:t xml:space="preserve">socioeconomic </w:t>
      </w:r>
      <w:r w:rsidR="00D74AC8" w:rsidRPr="00BC5F30">
        <w:t xml:space="preserve">status of young people is linked to their educational outcomes </w:t>
      </w:r>
      <w:r w:rsidR="00D74AC8">
        <w:t>(</w:t>
      </w:r>
      <w:r>
        <w:t>Ball</w:t>
      </w:r>
      <w:r w:rsidR="00D74AC8" w:rsidRPr="00B45625">
        <w:t xml:space="preserve"> 2006).</w:t>
      </w:r>
      <w:r w:rsidR="00D74AC8" w:rsidRPr="00BC5F30">
        <w:t xml:space="preserve"> Financial wealth, or lack of it, can facilitate or restrict young people’s pathways in a number of ways </w:t>
      </w:r>
      <w:r w:rsidR="00F42E14">
        <w:rPr>
          <w:noProof/>
        </w:rPr>
        <w:t>(Hillman &amp; M</w:t>
      </w:r>
      <w:r w:rsidR="00D74AC8">
        <w:rPr>
          <w:noProof/>
        </w:rPr>
        <w:t>cMillan</w:t>
      </w:r>
      <w:r w:rsidR="00D74AC8" w:rsidRPr="00BC5F30">
        <w:rPr>
          <w:noProof/>
        </w:rPr>
        <w:t xml:space="preserve"> 2005)</w:t>
      </w:r>
      <w:r w:rsidR="00D74AC8">
        <w:t xml:space="preserve">. </w:t>
      </w:r>
      <w:r w:rsidR="00D74AC8" w:rsidRPr="00BC5F30">
        <w:t xml:space="preserve">Mills and Gale </w:t>
      </w:r>
      <w:r w:rsidR="00D74AC8" w:rsidRPr="00BC5F30">
        <w:rPr>
          <w:noProof/>
        </w:rPr>
        <w:t>(2008)</w:t>
      </w:r>
      <w:r w:rsidR="00D74AC8" w:rsidRPr="00BC5F30">
        <w:t xml:space="preserve"> illustrate the effects of financial poverty starkly in their case study of one small rural </w:t>
      </w:r>
      <w:r w:rsidR="00D74AC8">
        <w:t>community</w:t>
      </w:r>
      <w:r w:rsidR="00D74AC8" w:rsidRPr="00BC5F30">
        <w:t xml:space="preserve"> where widespread poverty not only restricted young people’s access to information about post-school options but also affected their ability to attend school and access the curriculum</w:t>
      </w:r>
      <w:r>
        <w:t xml:space="preserve">, </w:t>
      </w:r>
      <w:r w:rsidR="00F42E14">
        <w:t xml:space="preserve">with </w:t>
      </w:r>
      <w:r>
        <w:t>families lacking</w:t>
      </w:r>
      <w:r w:rsidR="00D74AC8" w:rsidRPr="00BC5F30">
        <w:t xml:space="preserve"> the financial means to pay for basic school supplies such as textbooks</w:t>
      </w:r>
      <w:r w:rsidR="00D74AC8">
        <w:t>.</w:t>
      </w:r>
      <w:r w:rsidR="00D13A1E">
        <w:t xml:space="preserve"> </w:t>
      </w:r>
      <w:r w:rsidR="00D74AC8">
        <w:t>Similarly Alston and Kent (2009) note that issues of financial accessibility have a significant impact upon high school completion</w:t>
      </w:r>
      <w:r w:rsidR="00D74AC8" w:rsidRPr="00BC5F30">
        <w:t>.</w:t>
      </w:r>
    </w:p>
    <w:p w:rsidR="00D74AC8" w:rsidRDefault="00D74AC8" w:rsidP="00D74AC8">
      <w:pPr>
        <w:pStyle w:val="Text"/>
      </w:pPr>
      <w:r w:rsidRPr="00BC5F30">
        <w:t>Financial restrictions continue to impact upon young people who proceed to higher education</w:t>
      </w:r>
      <w:r w:rsidR="00A61556">
        <w:t>,</w:t>
      </w:r>
      <w:r w:rsidRPr="00BC5F30">
        <w:t xml:space="preserve"> as the cost of travel and/or accommodation may limit their choice of </w:t>
      </w:r>
      <w:r>
        <w:t>uni</w:t>
      </w:r>
      <w:r w:rsidRPr="00BC5F30">
        <w:t>versities</w:t>
      </w:r>
      <w:r w:rsidR="00A61556">
        <w:t>,</w:t>
      </w:r>
      <w:r w:rsidRPr="00BC5F30">
        <w:t xml:space="preserve"> </w:t>
      </w:r>
      <w:r w:rsidR="00BC18BA">
        <w:t>while</w:t>
      </w:r>
      <w:r w:rsidRPr="00BC5F30">
        <w:t xml:space="preserve"> the need to undertake paid work whil</w:t>
      </w:r>
      <w:r w:rsidR="00A61556">
        <w:t>e</w:t>
      </w:r>
      <w:r w:rsidRPr="00BC5F30">
        <w:t xml:space="preserve"> studying is seen as a significant burden which may limit their achievement, although few cite it as a reason for leaving their studies </w:t>
      </w:r>
      <w:r w:rsidR="00A61556">
        <w:rPr>
          <w:noProof/>
        </w:rPr>
        <w:t>(Hillman 2005;</w:t>
      </w:r>
      <w:r w:rsidR="009C0E21">
        <w:rPr>
          <w:noProof/>
        </w:rPr>
        <w:t xml:space="preserve"> Rothman</w:t>
      </w:r>
      <w:r w:rsidRPr="00BC5F30">
        <w:rPr>
          <w:noProof/>
        </w:rPr>
        <w:t xml:space="preserve"> 2005)</w:t>
      </w:r>
      <w:r w:rsidRPr="00BC5F30">
        <w:t>.</w:t>
      </w:r>
      <w:r w:rsidR="00D13A1E">
        <w:t xml:space="preserve"> </w:t>
      </w:r>
      <w:r>
        <w:t xml:space="preserve">Both Polesel (2009) and Alston </w:t>
      </w:r>
      <w:r w:rsidR="009C0E21">
        <w:t>and</w:t>
      </w:r>
      <w:r>
        <w:t xml:space="preserve"> Kent (2009) </w:t>
      </w:r>
      <w:r w:rsidR="00210ABC">
        <w:t>found that significantly higher-than-</w:t>
      </w:r>
      <w:r>
        <w:t xml:space="preserve">average numbers of young people in rural communities were deferring their university places, often as a financial strategy </w:t>
      </w:r>
      <w:r w:rsidR="00BC18BA">
        <w:t>to give</w:t>
      </w:r>
      <w:r>
        <w:t xml:space="preserve"> them time to earn money or secure funding for their studies.</w:t>
      </w:r>
    </w:p>
    <w:p w:rsidR="00B84E3B" w:rsidRPr="00B84E3B" w:rsidRDefault="00B84E3B" w:rsidP="00B84E3B">
      <w:pPr>
        <w:pStyle w:val="Heading2"/>
      </w:pPr>
      <w:bookmarkStart w:id="52" w:name="_Toc409079369"/>
      <w:r w:rsidRPr="00B84E3B">
        <w:t>Critical events and disruptions</w:t>
      </w:r>
      <w:bookmarkEnd w:id="51"/>
      <w:bookmarkEnd w:id="52"/>
    </w:p>
    <w:p w:rsidR="00A0092A" w:rsidRPr="002423CD" w:rsidRDefault="00A0092A" w:rsidP="00A0092A">
      <w:pPr>
        <w:pStyle w:val="Text"/>
      </w:pPr>
      <w:r w:rsidRPr="00BC5F30">
        <w:t xml:space="preserve">It is clear that geography, tradition and family play a key role in the </w:t>
      </w:r>
      <w:r w:rsidRPr="00FC55DF">
        <w:t>availability</w:t>
      </w:r>
      <w:r w:rsidRPr="00BC5F30">
        <w:t xml:space="preserve"> of </w:t>
      </w:r>
      <w:r>
        <w:t xml:space="preserve">opportunities for young people. </w:t>
      </w:r>
      <w:r w:rsidRPr="00BC5F30">
        <w:t xml:space="preserve">As we have seen, </w:t>
      </w:r>
      <w:r w:rsidR="0021491D">
        <w:t xml:space="preserve">socioeconomic </w:t>
      </w:r>
      <w:r w:rsidRPr="00BC5F30">
        <w:t xml:space="preserve">status, geographical location, gender, </w:t>
      </w:r>
      <w:r>
        <w:t xml:space="preserve">ethnicity and </w:t>
      </w:r>
      <w:r w:rsidRPr="00BC5F30">
        <w:t xml:space="preserve">parental influence are all </w:t>
      </w:r>
      <w:r w:rsidR="009C0E21">
        <w:t>interrelated</w:t>
      </w:r>
      <w:r w:rsidRPr="00BC5F30">
        <w:t xml:space="preserve"> to create each young person’s socio-spatial location</w:t>
      </w:r>
      <w:r w:rsidR="00840011">
        <w:t xml:space="preserve">, </w:t>
      </w:r>
      <w:r w:rsidR="009C0E21">
        <w:t>with</w:t>
      </w:r>
      <w:r w:rsidR="00840011">
        <w:t xml:space="preserve"> this</w:t>
      </w:r>
      <w:r w:rsidRPr="00BC5F30">
        <w:t xml:space="preserve"> </w:t>
      </w:r>
      <w:r w:rsidR="00FC55DF">
        <w:t xml:space="preserve">specific location </w:t>
      </w:r>
      <w:r w:rsidR="009C0E21">
        <w:t xml:space="preserve">either </w:t>
      </w:r>
      <w:r w:rsidRPr="00BC5F30">
        <w:t>open</w:t>
      </w:r>
      <w:r w:rsidR="009C0E21">
        <w:t>ing up, closing off, or obscuring</w:t>
      </w:r>
      <w:r w:rsidRPr="00BC5F30">
        <w:t xml:space="preserve"> possible post-school pathways.</w:t>
      </w:r>
      <w:r>
        <w:t xml:space="preserve"> </w:t>
      </w:r>
      <w:r w:rsidRPr="002423CD">
        <w:t>As Bryce</w:t>
      </w:r>
      <w:r>
        <w:t xml:space="preserve"> et al</w:t>
      </w:r>
      <w:r w:rsidR="00FC55DF">
        <w:t>.</w:t>
      </w:r>
      <w:r w:rsidRPr="002423CD">
        <w:t xml:space="preserve"> </w:t>
      </w:r>
      <w:r w:rsidRPr="002423CD">
        <w:rPr>
          <w:noProof/>
        </w:rPr>
        <w:t>(2007)</w:t>
      </w:r>
      <w:r w:rsidRPr="002423CD">
        <w:t xml:space="preserve"> and others </w:t>
      </w:r>
      <w:r w:rsidRPr="002423CD">
        <w:rPr>
          <w:noProof/>
        </w:rPr>
        <w:t>(</w:t>
      </w:r>
      <w:r>
        <w:rPr>
          <w:noProof/>
        </w:rPr>
        <w:t>Mills &amp; Gale</w:t>
      </w:r>
      <w:r w:rsidR="00FC55DF">
        <w:rPr>
          <w:noProof/>
        </w:rPr>
        <w:t xml:space="preserve"> 2008; Hillman</w:t>
      </w:r>
      <w:r w:rsidRPr="002423CD">
        <w:rPr>
          <w:noProof/>
        </w:rPr>
        <w:t xml:space="preserve"> 2005)</w:t>
      </w:r>
      <w:r w:rsidRPr="002423CD">
        <w:t xml:space="preserve"> point out, a young person’s socio-spatial location also affects their access to information about possible post-school pathways and their confidence in seeking out such </w:t>
      </w:r>
      <w:r w:rsidRPr="00506B3F">
        <w:t xml:space="preserve">information. This reading of the literature </w:t>
      </w:r>
      <w:r w:rsidR="00506B3F">
        <w:t xml:space="preserve">cited </w:t>
      </w:r>
      <w:r w:rsidR="00210ABC">
        <w:t xml:space="preserve">above </w:t>
      </w:r>
      <w:r>
        <w:t>constructs an account of</w:t>
      </w:r>
      <w:r w:rsidRPr="002423CD">
        <w:t xml:space="preserve"> </w:t>
      </w:r>
      <w:r w:rsidR="00FC55DF">
        <w:rPr>
          <w:bCs/>
        </w:rPr>
        <w:t>socio</w:t>
      </w:r>
      <w:r>
        <w:rPr>
          <w:bCs/>
        </w:rPr>
        <w:t xml:space="preserve">economically </w:t>
      </w:r>
      <w:r w:rsidRPr="002423CD">
        <w:t xml:space="preserve">disadvantaged young people’s </w:t>
      </w:r>
      <w:r w:rsidRPr="00BC18BA">
        <w:t>lack</w:t>
      </w:r>
      <w:r w:rsidRPr="002423CD">
        <w:t xml:space="preserve"> of horizons and ambition and the ways </w:t>
      </w:r>
      <w:r w:rsidR="00FC55DF">
        <w:t>by</w:t>
      </w:r>
      <w:r w:rsidRPr="002423CD">
        <w:t xml:space="preserve"> which their socio-spatial location can inhibit aspirations </w:t>
      </w:r>
      <w:r w:rsidR="00BC18BA">
        <w:t>due to</w:t>
      </w:r>
      <w:r w:rsidRPr="002423CD">
        <w:t xml:space="preserve"> a lack of role models, experiences and opportunities </w:t>
      </w:r>
      <w:r w:rsidR="00FC55DF">
        <w:rPr>
          <w:noProof/>
        </w:rPr>
        <w:t xml:space="preserve">(Bryce </w:t>
      </w:r>
      <w:r w:rsidR="00FC55DF" w:rsidRPr="00506B3F">
        <w:rPr>
          <w:noProof/>
        </w:rPr>
        <w:t>et al. 2007;</w:t>
      </w:r>
      <w:r w:rsidRPr="00506B3F">
        <w:rPr>
          <w:noProof/>
        </w:rPr>
        <w:t xml:space="preserve"> Bryce </w:t>
      </w:r>
      <w:r w:rsidR="00FC55DF" w:rsidRPr="00506B3F">
        <w:rPr>
          <w:noProof/>
        </w:rPr>
        <w:t>&amp; Anderson 2008;</w:t>
      </w:r>
      <w:r w:rsidRPr="00506B3F">
        <w:rPr>
          <w:noProof/>
        </w:rPr>
        <w:t xml:space="preserve"> Mills </w:t>
      </w:r>
      <w:r w:rsidR="00FC55DF" w:rsidRPr="00506B3F">
        <w:rPr>
          <w:noProof/>
        </w:rPr>
        <w:t>&amp; Gale 2008; Marks et al.</w:t>
      </w:r>
      <w:r w:rsidRPr="00506B3F">
        <w:rPr>
          <w:noProof/>
        </w:rPr>
        <w:t xml:space="preserve"> 2011)</w:t>
      </w:r>
      <w:r w:rsidRPr="00506B3F">
        <w:t xml:space="preserve">. This negative framing of aspirations </w:t>
      </w:r>
      <w:r w:rsidR="00BC18BA" w:rsidRPr="00506B3F">
        <w:t xml:space="preserve">has </w:t>
      </w:r>
      <w:r w:rsidR="00506B3F" w:rsidRPr="00506B3F">
        <w:t>precluded</w:t>
      </w:r>
      <w:r w:rsidRPr="00506B3F">
        <w:t xml:space="preserve"> </w:t>
      </w:r>
      <w:r w:rsidRPr="002423CD">
        <w:t>exploration of the aspirations that young people making the transition from school do hold</w:t>
      </w:r>
      <w:r>
        <w:t xml:space="preserve"> and exploration of those young people with resilient personalities who experience the constraints of their neighbourhood di</w:t>
      </w:r>
      <w:r w:rsidR="00FC55DF">
        <w:t>fferently (Corbett 2000; Nieuwenhuis et al.</w:t>
      </w:r>
      <w:r>
        <w:t xml:space="preserve"> 2013).</w:t>
      </w:r>
    </w:p>
    <w:p w:rsidR="00A0092A" w:rsidRPr="00BC5F30" w:rsidRDefault="00A0092A" w:rsidP="00A0092A">
      <w:pPr>
        <w:pStyle w:val="Text"/>
      </w:pPr>
      <w:r w:rsidRPr="00BC5F30">
        <w:t>Aspiratio</w:t>
      </w:r>
      <w:r>
        <w:t xml:space="preserve">n is perhaps best described as ‘the capacity to imagine futures’ (Sellar &amp; Gale 2011, p.122). </w:t>
      </w:r>
      <w:r w:rsidRPr="00BC5F30">
        <w:t>As one recent report no</w:t>
      </w:r>
      <w:r>
        <w:t>tes, ‘</w:t>
      </w:r>
      <w:r w:rsidRPr="00BC5F30">
        <w:t xml:space="preserve">there is no single determinant of education aspirations, but rather a complex interplay between related considerations which operate cumulatively to reflect how far a student hopes to progress in school, and the degree of education they seek to </w:t>
      </w:r>
      <w:r w:rsidRPr="00506B3F">
        <w:t>achieve’ (Regional Policy Advisory Committee 2013, p.32).</w:t>
      </w:r>
    </w:p>
    <w:p w:rsidR="006779D2" w:rsidRPr="00BC5F30" w:rsidRDefault="00EB5130" w:rsidP="006779D2">
      <w:pPr>
        <w:pStyle w:val="Text"/>
      </w:pPr>
      <w:r>
        <w:lastRenderedPageBreak/>
        <w:t>The k</w:t>
      </w:r>
      <w:r w:rsidR="00A0092A" w:rsidRPr="005A2788">
        <w:t xml:space="preserve">ey factors in determining young people’s aspirations include </w:t>
      </w:r>
      <w:r>
        <w:t xml:space="preserve">their </w:t>
      </w:r>
      <w:r w:rsidR="00A0092A" w:rsidRPr="005A2788">
        <w:t xml:space="preserve">experiences of schooling and level of school attainment as well as those of </w:t>
      </w:r>
      <w:r>
        <w:t xml:space="preserve">their </w:t>
      </w:r>
      <w:r w:rsidR="00A0092A" w:rsidRPr="005A2788">
        <w:t xml:space="preserve">peers; </w:t>
      </w:r>
      <w:r w:rsidR="00BC18BA">
        <w:t xml:space="preserve">their </w:t>
      </w:r>
      <w:r w:rsidR="00A0092A" w:rsidRPr="005A2788">
        <w:t xml:space="preserve">knowledge and awareness of and exposure to post-school education and career opportunities; parental, family and community views </w:t>
      </w:r>
      <w:r w:rsidR="00BC18BA">
        <w:t>on</w:t>
      </w:r>
      <w:r w:rsidR="00A0092A" w:rsidRPr="005A2788">
        <w:t xml:space="preserve"> education and career; the availability of advice, support and assistance in relation to post-school transitions; and the complex constellation of conditions and circumstances that make up </w:t>
      </w:r>
      <w:r w:rsidR="0021491D">
        <w:t xml:space="preserve">socioeconomic </w:t>
      </w:r>
      <w:r w:rsidR="00A0092A" w:rsidRPr="005A2788">
        <w:t>status. Ancillary influences range from parental levels of educational attainment; the cost of further qualifications, including the opportunity cost associated with further study instead of employment; the availability of transport; and local economic conditions and employment opportunities (Regional Pol</w:t>
      </w:r>
      <w:r>
        <w:t>icy Advisory Committee</w:t>
      </w:r>
      <w:r w:rsidR="00A0092A" w:rsidRPr="005A2788">
        <w:t xml:space="preserve"> 2013).</w:t>
      </w:r>
      <w:r w:rsidR="006779D2">
        <w:t xml:space="preserve"> Recent reports by Homel and Ryan (2014), Gemici et al</w:t>
      </w:r>
      <w:r>
        <w:t>.</w:t>
      </w:r>
      <w:r w:rsidR="006779D2">
        <w:t xml:space="preserve"> (2014) and Nguyen </w:t>
      </w:r>
      <w:r>
        <w:t>and Blomberg</w:t>
      </w:r>
      <w:r w:rsidR="006779D2">
        <w:t xml:space="preserve"> (2014) highlight the importance of aspirations, finding that they have a statistically significant impact upon young people’s future </w:t>
      </w:r>
      <w:r w:rsidR="00A02F0D">
        <w:t xml:space="preserve">education and </w:t>
      </w:r>
      <w:r w:rsidR="006779D2">
        <w:t>economic destinations.</w:t>
      </w:r>
    </w:p>
    <w:p w:rsidR="00A0092A" w:rsidRPr="00BC5F30" w:rsidRDefault="006779D2" w:rsidP="00A0092A">
      <w:pPr>
        <w:pStyle w:val="Text"/>
      </w:pPr>
      <w:r>
        <w:t xml:space="preserve">Although Homel </w:t>
      </w:r>
      <w:r w:rsidR="00EB5130">
        <w:t>and</w:t>
      </w:r>
      <w:r>
        <w:t xml:space="preserve"> Ryan (2014) and Nguyen </w:t>
      </w:r>
      <w:r w:rsidR="00EB5130">
        <w:t xml:space="preserve">and Blomberg </w:t>
      </w:r>
      <w:r>
        <w:t>(2014) do not explore how aspirations are formed, Gemici et al</w:t>
      </w:r>
      <w:r w:rsidR="00EB5130">
        <w:t>.</w:t>
      </w:r>
      <w:r>
        <w:t xml:space="preserve"> (2014) found that parental influence, peers’ aspirations and gender were key to the formation of young people’s aspirations for their futures.</w:t>
      </w:r>
      <w:r w:rsidR="00D13A1E">
        <w:t xml:space="preserve"> </w:t>
      </w:r>
      <w:r>
        <w:t>This links to Mookherjee, Ray and Nape</w:t>
      </w:r>
      <w:r w:rsidRPr="00BC5F30">
        <w:t>l</w:t>
      </w:r>
      <w:r>
        <w:t>’s (2010)</w:t>
      </w:r>
      <w:r w:rsidRPr="00BC5F30">
        <w:t xml:space="preserve"> </w:t>
      </w:r>
      <w:r>
        <w:t>suggestion that aspirations are ‘</w:t>
      </w:r>
      <w:r w:rsidRPr="00BC5F30">
        <w:t>based on the current or past achievements of one’s neighbo</w:t>
      </w:r>
      <w:r>
        <w:t>u</w:t>
      </w:r>
      <w:r w:rsidRPr="00BC5F30">
        <w:t>rs, located within some giv</w:t>
      </w:r>
      <w:r>
        <w:t>en spatial or social window’</w:t>
      </w:r>
      <w:r w:rsidRPr="00BC5F30">
        <w:t xml:space="preserve"> (2010, p.141)</w:t>
      </w:r>
      <w:r w:rsidR="00F07570">
        <w:t xml:space="preserve">; that is, </w:t>
      </w:r>
      <w:r>
        <w:t xml:space="preserve">the </w:t>
      </w:r>
      <w:r w:rsidR="0021491D">
        <w:t xml:space="preserve">socioeconomic </w:t>
      </w:r>
      <w:r>
        <w:t xml:space="preserve">and spatial milieu of a young person influences </w:t>
      </w:r>
      <w:r w:rsidR="00F07570">
        <w:t xml:space="preserve">how they imagine their </w:t>
      </w:r>
      <w:r>
        <w:t xml:space="preserve">future. </w:t>
      </w:r>
      <w:r w:rsidRPr="00BC5F30">
        <w:t xml:space="preserve">A recent report on the aspirations of young people in regional </w:t>
      </w:r>
      <w:r w:rsidR="00A0092A" w:rsidRPr="00BC5F30">
        <w:t xml:space="preserve">Australia </w:t>
      </w:r>
      <w:r w:rsidR="00F07570">
        <w:t>also adopts</w:t>
      </w:r>
      <w:r w:rsidR="00A0092A" w:rsidRPr="00BC5F30">
        <w:t xml:space="preserve"> </w:t>
      </w:r>
      <w:r w:rsidR="00A0092A">
        <w:t>this metaphor, suggesting that ‘</w:t>
      </w:r>
      <w:r w:rsidR="00A0092A" w:rsidRPr="00BC5F30">
        <w:t>individuals have an aspirations window through which they view the possibilities that exist within</w:t>
      </w:r>
      <w:r w:rsidR="00A0092A">
        <w:t xml:space="preserve"> their social sphere’</w:t>
      </w:r>
      <w:r w:rsidR="00A0092A" w:rsidRPr="00BC5F30">
        <w:t xml:space="preserve"> </w:t>
      </w:r>
      <w:r w:rsidR="00A0092A" w:rsidRPr="00506B3F">
        <w:t>(Regional Policy Advisory Committee 2013, p.27). The report suggests</w:t>
      </w:r>
      <w:r w:rsidR="00A0092A" w:rsidRPr="00BC5F30">
        <w:t xml:space="preserve"> that the aspirations of young people in rural or regional settings are both particularly dependent on local contexts and conditions and highly subjective. They are a function of </w:t>
      </w:r>
      <w:r w:rsidR="00F07570">
        <w:t>the perceptions of those young people</w:t>
      </w:r>
      <w:r w:rsidR="00A0092A" w:rsidRPr="00BC5F30">
        <w:t xml:space="preserve"> of the </w:t>
      </w:r>
      <w:r w:rsidR="00A0092A">
        <w:t>opportunities</w:t>
      </w:r>
      <w:r w:rsidR="00A0092A" w:rsidRPr="00BC5F30">
        <w:t xml:space="preserve"> that are available</w:t>
      </w:r>
      <w:r w:rsidR="00F07570">
        <w:t xml:space="preserve"> — </w:t>
      </w:r>
      <w:r w:rsidR="00A0092A" w:rsidRPr="00BC5F30">
        <w:t>or unavailable</w:t>
      </w:r>
      <w:r w:rsidR="00F07570">
        <w:t xml:space="preserve"> — </w:t>
      </w:r>
      <w:r w:rsidR="00A0092A" w:rsidRPr="00BC5F30">
        <w:t xml:space="preserve">to them in their own </w:t>
      </w:r>
      <w:r w:rsidR="00A0092A">
        <w:t>community</w:t>
      </w:r>
      <w:r w:rsidR="00A0092A" w:rsidRPr="00BC5F30">
        <w:t>. They also depend heavily on the aspirations and</w:t>
      </w:r>
      <w:r w:rsidR="00A0092A">
        <w:t xml:space="preserve"> choices </w:t>
      </w:r>
      <w:r w:rsidR="00210ABC">
        <w:t>of</w:t>
      </w:r>
      <w:r w:rsidR="00A0092A">
        <w:t xml:space="preserve"> their peers. This means that ‘</w:t>
      </w:r>
      <w:r w:rsidR="00A0092A" w:rsidRPr="00BC5F30">
        <w:t>young people formulate aspirations on the basis of wha</w:t>
      </w:r>
      <w:r w:rsidR="00F07570">
        <w:t>t they can “see”</w:t>
      </w:r>
      <w:r w:rsidR="00A0092A">
        <w:t xml:space="preserve"> and experience’</w:t>
      </w:r>
      <w:r w:rsidR="00A0092A" w:rsidRPr="00BC5F30">
        <w:t xml:space="preserve"> (Regional Policy Advisory Committee</w:t>
      </w:r>
      <w:r w:rsidR="00F07570">
        <w:t xml:space="preserve"> 2013, p.28). And t</w:t>
      </w:r>
      <w:r w:rsidR="00A0092A" w:rsidRPr="00BC5F30">
        <w:t>he effects of th</w:t>
      </w:r>
      <w:r w:rsidR="00A0092A">
        <w:t>is can be to limit those aspirat</w:t>
      </w:r>
      <w:r w:rsidR="00A0092A" w:rsidRPr="00BC5F30">
        <w:t>ions. Gale</w:t>
      </w:r>
      <w:r w:rsidR="00A0092A">
        <w:t xml:space="preserve"> et al. (2013)</w:t>
      </w:r>
      <w:r w:rsidR="00A0092A" w:rsidRPr="00BC5F30">
        <w:t xml:space="preserve"> conclude that many young people’s choices and decisions about their futures, and how they shoul</w:t>
      </w:r>
      <w:r w:rsidR="00A0092A">
        <w:t>d best navigate those futures, ‘</w:t>
      </w:r>
      <w:r w:rsidR="00A0092A" w:rsidRPr="00BC5F30">
        <w:t>draw on a limited arch</w:t>
      </w:r>
      <w:r w:rsidR="00A0092A">
        <w:t>ive of experience and knowledge’ (2013, p.6).</w:t>
      </w:r>
    </w:p>
    <w:p w:rsidR="00A0092A" w:rsidRPr="005A2788" w:rsidRDefault="00A0092A" w:rsidP="00A0092A">
      <w:pPr>
        <w:pStyle w:val="Text"/>
      </w:pPr>
      <w:r w:rsidRPr="00BC5F30">
        <w:t xml:space="preserve">The </w:t>
      </w:r>
      <w:r w:rsidR="00AF50CE">
        <w:t>picture</w:t>
      </w:r>
      <w:r w:rsidRPr="00BC5F30">
        <w:t xml:space="preserve"> that therefore emerges from the existing Australian literature is that the key barriers or advantages presented by the ‘conventional’ structural factors of </w:t>
      </w:r>
      <w:r w:rsidR="0021491D">
        <w:t xml:space="preserve">socioeconomic </w:t>
      </w:r>
      <w:r>
        <w:t>status, gender, location,</w:t>
      </w:r>
      <w:r w:rsidRPr="00BC5F30">
        <w:t xml:space="preserve"> race </w:t>
      </w:r>
      <w:r>
        <w:t xml:space="preserve">and ethnicity </w:t>
      </w:r>
      <w:r w:rsidRPr="00BC5F30">
        <w:t xml:space="preserve">are those </w:t>
      </w:r>
      <w:r w:rsidR="00BC18BA">
        <w:t>relating to</w:t>
      </w:r>
      <w:r w:rsidRPr="00BC5F30">
        <w:t xml:space="preserve"> opport</w:t>
      </w:r>
      <w:r>
        <w:t>uni</w:t>
      </w:r>
      <w:r w:rsidRPr="00BC5F30">
        <w:t>t</w:t>
      </w:r>
      <w:r>
        <w:t xml:space="preserve">y. </w:t>
      </w:r>
      <w:r w:rsidRPr="00BC5F30">
        <w:t>In this context, notions of ‘choice’ become problematic</w:t>
      </w:r>
      <w:r w:rsidR="00210ABC">
        <w:t>,</w:t>
      </w:r>
      <w:r w:rsidRPr="00BC5F30">
        <w:t xml:space="preserve"> as lack of opport</w:t>
      </w:r>
      <w:r>
        <w:t>uni</w:t>
      </w:r>
      <w:r w:rsidRPr="00BC5F30">
        <w:t>t</w:t>
      </w:r>
      <w:r>
        <w:t xml:space="preserve">y can limit or preclude choice. </w:t>
      </w:r>
      <w:r w:rsidRPr="00BC5F30">
        <w:t>Y</w:t>
      </w:r>
      <w:r w:rsidR="00210ABC">
        <w:t xml:space="preserve">oung people’s trajectories </w:t>
      </w:r>
      <w:r w:rsidR="00210ABC" w:rsidRPr="00994936">
        <w:t xml:space="preserve">post </w:t>
      </w:r>
      <w:r w:rsidRPr="00994936">
        <w:t xml:space="preserve">school may therefore be as much a consequence of the intersection of </w:t>
      </w:r>
      <w:r w:rsidR="00AF50CE" w:rsidRPr="00994936">
        <w:t xml:space="preserve">the </w:t>
      </w:r>
      <w:r w:rsidRPr="00994936">
        <w:t>factors that locate</w:t>
      </w:r>
      <w:r w:rsidRPr="00BC5F30">
        <w:t xml:space="preserve"> them socially and spat</w:t>
      </w:r>
      <w:r>
        <w:t>ially as of conscious ‘choice’.</w:t>
      </w:r>
      <w:r w:rsidRPr="00BC5F30">
        <w:t xml:space="preserve"> As many have done in Europe and the U</w:t>
      </w:r>
      <w:r>
        <w:t xml:space="preserve">nited </w:t>
      </w:r>
      <w:r w:rsidRPr="00BC5F30">
        <w:t>S</w:t>
      </w:r>
      <w:r>
        <w:t>tates</w:t>
      </w:r>
      <w:r w:rsidRPr="00BC5F30">
        <w:t xml:space="preserve">, Nairn and Higgins </w:t>
      </w:r>
      <w:r w:rsidRPr="00BC5F30">
        <w:rPr>
          <w:noProof/>
        </w:rPr>
        <w:t>(2011)</w:t>
      </w:r>
      <w:r w:rsidR="00AF50CE">
        <w:t xml:space="preserve"> in a New Zealand context</w:t>
      </w:r>
      <w:r w:rsidRPr="00BC5F30">
        <w:t xml:space="preserve"> raise</w:t>
      </w:r>
      <w:r w:rsidR="00AF50CE">
        <w:t xml:space="preserve"> the concept of choice as a neo</w:t>
      </w:r>
      <w:r w:rsidRPr="00BC5F30">
        <w:t>liberal c</w:t>
      </w:r>
      <w:r w:rsidR="00AF50CE">
        <w:t>onstruct that ignores the socio</w:t>
      </w:r>
      <w:r w:rsidRPr="00BC5F30">
        <w:t>economic, geographic and informational divides between young people.</w:t>
      </w:r>
      <w:r w:rsidR="00D13A1E">
        <w:t xml:space="preserve"> </w:t>
      </w:r>
      <w:r>
        <w:t xml:space="preserve">The physical space and social, economic and educational structures that shape young people’s lives </w:t>
      </w:r>
      <w:proofErr w:type="gramStart"/>
      <w:r>
        <w:t>are</w:t>
      </w:r>
      <w:proofErr w:type="gramEnd"/>
      <w:r>
        <w:t xml:space="preserve"> more than merely a backdrop to the cho</w:t>
      </w:r>
      <w:r w:rsidR="00210ABC">
        <w:t>ices they make, but are instead</w:t>
      </w:r>
      <w:r>
        <w:t xml:space="preserve"> instrumental to those choices. As Corbett (2000), Alston and Kent (2009) </w:t>
      </w:r>
      <w:r w:rsidR="00AF50CE">
        <w:t xml:space="preserve">and Drummond, Palmer and Halsey </w:t>
      </w:r>
      <w:r w:rsidRPr="005A2788">
        <w:t>(2013) have all noted, these hold significant policy implication</w:t>
      </w:r>
      <w:r w:rsidR="00AF50CE">
        <w:t>s:</w:t>
      </w:r>
      <w:r w:rsidRPr="005A2788">
        <w:t xml:space="preserve"> government policies do m</w:t>
      </w:r>
      <w:r w:rsidR="006779D2">
        <w:t>uch to shape those surroundings and therefore also act to construct and constrain the ‘choices’ available to young people.</w:t>
      </w:r>
      <w:r w:rsidR="00D13A1E">
        <w:t xml:space="preserve"> </w:t>
      </w:r>
      <w:r w:rsidR="006779D2">
        <w:t>There may therefore be a tension between young people</w:t>
      </w:r>
      <w:r w:rsidR="00BC18BA">
        <w:t xml:space="preserve"> recognising the value of mobility</w:t>
      </w:r>
      <w:r w:rsidR="00210ABC">
        <w:t>,</w:t>
      </w:r>
      <w:r w:rsidR="00BC18BA">
        <w:t xml:space="preserve"> in that it enables them t</w:t>
      </w:r>
      <w:r w:rsidR="006779D2">
        <w:t xml:space="preserve">o take up educational </w:t>
      </w:r>
      <w:r w:rsidR="006779D2" w:rsidRPr="00210ABC">
        <w:t>opportunities</w:t>
      </w:r>
      <w:r w:rsidR="00210ABC" w:rsidRPr="00210ABC">
        <w:t>,</w:t>
      </w:r>
      <w:r w:rsidR="006779D2" w:rsidRPr="00210ABC">
        <w:t xml:space="preserve"> and the lack of opportunities for them to successfully do so.</w:t>
      </w:r>
    </w:p>
    <w:p w:rsidR="00D230DC" w:rsidRPr="00F216C9" w:rsidRDefault="00506B3F" w:rsidP="00A0092A">
      <w:pPr>
        <w:pStyle w:val="Text"/>
      </w:pPr>
      <w:r>
        <w:lastRenderedPageBreak/>
        <w:t xml:space="preserve">Research that has tried to understand the tensions between people’s perceptions of opportunities, the structural context of opportunities and how people avail themselves of opportunities has often adopted a biographical narrative interpretive approach. Such </w:t>
      </w:r>
      <w:r w:rsidR="00210ABC">
        <w:t>an approach</w:t>
      </w:r>
      <w:r>
        <w:t xml:space="preserve"> explore</w:t>
      </w:r>
      <w:r w:rsidR="00210ABC">
        <w:t>s</w:t>
      </w:r>
      <w:r>
        <w:t xml:space="preserve"> people’s life histories and lived situations in order to understand their personal meanings and </w:t>
      </w:r>
      <w:r w:rsidR="00210ABC">
        <w:t>their sense of themselves and their</w:t>
      </w:r>
      <w:r>
        <w:t xml:space="preserve"> identity/</w:t>
      </w:r>
      <w:proofErr w:type="spellStart"/>
      <w:r>
        <w:t>ies</w:t>
      </w:r>
      <w:proofErr w:type="spellEnd"/>
      <w:r>
        <w:t xml:space="preserve"> in their socio-historical context: it is these perceptions that can affect people’s agency and </w:t>
      </w:r>
      <w:r w:rsidR="00210ABC">
        <w:t xml:space="preserve">their </w:t>
      </w:r>
      <w:r>
        <w:t>capacity to engage with so-called barriers</w:t>
      </w:r>
      <w:r w:rsidR="00210ABC">
        <w:t xml:space="preserve"> or opportunities (Warren &amp; Webb</w:t>
      </w:r>
      <w:r>
        <w:t xml:space="preserve"> 2007). </w:t>
      </w:r>
      <w:r w:rsidR="006779D2">
        <w:t xml:space="preserve">For example, </w:t>
      </w:r>
      <w:r w:rsidR="009C3F75">
        <w:t xml:space="preserve">the influential work on careership undertaken by </w:t>
      </w:r>
      <w:r w:rsidR="006779D2">
        <w:t xml:space="preserve">Hodkinson and Sparkes (1997) identifies the </w:t>
      </w:r>
      <w:r w:rsidR="00F20B2A">
        <w:t>way</w:t>
      </w:r>
      <w:r w:rsidR="006779D2">
        <w:t xml:space="preserve"> young people’s perceptions </w:t>
      </w:r>
      <w:r w:rsidR="00F20B2A">
        <w:t>of opportunities set their ‘horizons for action’ and provide</w:t>
      </w:r>
      <w:r w:rsidR="00A401DE">
        <w:t>s</w:t>
      </w:r>
      <w:r w:rsidR="00F20B2A">
        <w:t xml:space="preserve"> a pragmatic rationality to justify </w:t>
      </w:r>
      <w:r w:rsidR="00864FB8">
        <w:t xml:space="preserve">choices and </w:t>
      </w:r>
      <w:r w:rsidR="00F20B2A">
        <w:t>decisions that have been restricted by opportunity.</w:t>
      </w:r>
      <w:r w:rsidR="00D13A1E">
        <w:t xml:space="preserve"> </w:t>
      </w:r>
      <w:r w:rsidR="00A0092A" w:rsidRPr="005A2788">
        <w:t>Bloomer an</w:t>
      </w:r>
      <w:r w:rsidR="00F20B2A">
        <w:t>d Hodkinson (2000</w:t>
      </w:r>
      <w:r w:rsidR="00D230DC">
        <w:t>) further developed these ideas</w:t>
      </w:r>
      <w:r w:rsidR="009C3F75">
        <w:t>,</w:t>
      </w:r>
      <w:r w:rsidR="00F20B2A">
        <w:t xml:space="preserve"> employing the term ‘</w:t>
      </w:r>
      <w:r w:rsidR="00A0092A" w:rsidRPr="005A2788">
        <w:t>learning career</w:t>
      </w:r>
      <w:r w:rsidR="00F20B2A">
        <w:t>’</w:t>
      </w:r>
      <w:r w:rsidR="009C3F75">
        <w:t>,</w:t>
      </w:r>
      <w:r w:rsidR="00A0092A" w:rsidRPr="005A2788">
        <w:t xml:space="preserve"> </w:t>
      </w:r>
      <w:r>
        <w:t>which connect</w:t>
      </w:r>
      <w:r w:rsidR="00210ABC">
        <w:t>s</w:t>
      </w:r>
      <w:r>
        <w:t xml:space="preserve"> Bourdieu’s concepts of ‘habitus’, ‘</w:t>
      </w:r>
      <w:r w:rsidR="00210ABC">
        <w:t>dispositions’ and ‘capital’ to</w:t>
      </w:r>
      <w:r>
        <w:t xml:space="preserve"> the idea drawn from </w:t>
      </w:r>
      <w:r w:rsidRPr="008C0D4D">
        <w:t xml:space="preserve">symbolic interactionism </w:t>
      </w:r>
      <w:r w:rsidR="00210ABC" w:rsidRPr="008C0D4D">
        <w:t xml:space="preserve">— </w:t>
      </w:r>
      <w:r w:rsidRPr="008C0D4D">
        <w:t>that how people interact is crucial to the formation of meaning and their understanding of experience. Therefore, the concept of learning career is an attempt to understand how structural opportunities interact</w:t>
      </w:r>
      <w:r>
        <w:t xml:space="preserve"> with individual agency. </w:t>
      </w:r>
      <w:r w:rsidR="00A0092A" w:rsidRPr="005A2788">
        <w:t>Consequently, research informed by this perspective has shown that</w:t>
      </w:r>
      <w:r w:rsidR="009C3F75">
        <w:t>,</w:t>
      </w:r>
      <w:r w:rsidR="00A0092A" w:rsidRPr="005A2788">
        <w:t xml:space="preserve"> although people’s dispositions are often enduring, they can change over time and in relation to the ways they live their lives</w:t>
      </w:r>
      <w:r w:rsidR="00F20B2A">
        <w:t xml:space="preserve">. If contexts change, particularly through exposure to new social networks, new possibilities and ideas </w:t>
      </w:r>
      <w:r w:rsidR="00D230DC">
        <w:t xml:space="preserve">and new social capital or resources </w:t>
      </w:r>
      <w:r w:rsidR="00F20B2A">
        <w:t xml:space="preserve">become available </w:t>
      </w:r>
      <w:r w:rsidR="008B048F">
        <w:t>and</w:t>
      </w:r>
      <w:r w:rsidR="00F20B2A">
        <w:t xml:space="preserve"> affect people’s </w:t>
      </w:r>
      <w:r w:rsidR="00F20B2A" w:rsidRPr="00F216C9">
        <w:t>dispositions or habitus</w:t>
      </w:r>
      <w:r w:rsidR="00D230DC" w:rsidRPr="00F216C9">
        <w:t xml:space="preserve">. </w:t>
      </w:r>
    </w:p>
    <w:p w:rsidR="00A0092A" w:rsidRPr="00BC5F30" w:rsidRDefault="00A0092A" w:rsidP="00A0092A">
      <w:pPr>
        <w:pStyle w:val="Text"/>
      </w:pPr>
      <w:r w:rsidRPr="00F216C9">
        <w:t xml:space="preserve">Opportunities that disrupt patterns of limited aspirations and </w:t>
      </w:r>
      <w:r w:rsidR="00F216C9" w:rsidRPr="00F216C9">
        <w:t>alter people’s horizons for action</w:t>
      </w:r>
      <w:r w:rsidRPr="00F216C9">
        <w:t xml:space="preserve"> tend to come in the form of ‘critical events’. This notion can be linked to Granovetter’s </w:t>
      </w:r>
      <w:r w:rsidRPr="00F216C9">
        <w:rPr>
          <w:noProof/>
        </w:rPr>
        <w:t>(1973, 1983)</w:t>
      </w:r>
      <w:r w:rsidRPr="00BC5F30">
        <w:t xml:space="preserve"> concept of ‘weak ties’ and disruption</w:t>
      </w:r>
      <w:r w:rsidR="009C3F75">
        <w:t>,</w:t>
      </w:r>
      <w:r w:rsidRPr="00BC5F30">
        <w:t xml:space="preserve"> where</w:t>
      </w:r>
      <w:r w:rsidR="009C3F75">
        <w:t>by</w:t>
      </w:r>
      <w:r w:rsidRPr="00BC5F30">
        <w:t xml:space="preserve"> encounters with individuals beyond </w:t>
      </w:r>
      <w:r w:rsidR="00D230DC">
        <w:t xml:space="preserve">the ‘strong ties’ of </w:t>
      </w:r>
      <w:r w:rsidRPr="00BC5F30">
        <w:t xml:space="preserve">familiar networks can form ‘bridges’ to ideas and </w:t>
      </w:r>
      <w:r>
        <w:t>opportunities</w:t>
      </w:r>
      <w:r w:rsidRPr="00BC5F30">
        <w:t xml:space="preserve"> which would otherwise remain </w:t>
      </w:r>
      <w:r w:rsidRPr="00F216C9">
        <w:t xml:space="preserve">unknown. </w:t>
      </w:r>
      <w:proofErr w:type="gramStart"/>
      <w:r w:rsidRPr="00F216C9">
        <w:t>Laub</w:t>
      </w:r>
      <w:r w:rsidR="009C3F75" w:rsidRPr="00F216C9">
        <w:t xml:space="preserve"> and </w:t>
      </w:r>
      <w:r w:rsidRPr="00F216C9">
        <w:t xml:space="preserve">Sampson’s </w:t>
      </w:r>
      <w:r w:rsidRPr="00F216C9">
        <w:rPr>
          <w:noProof/>
        </w:rPr>
        <w:t>(2003)</w:t>
      </w:r>
      <w:r w:rsidRPr="00F216C9">
        <w:t xml:space="preserve"> conception</w:t>
      </w:r>
      <w:r w:rsidRPr="00BC5F30">
        <w:t xml:space="preserve"> of ‘turning points’</w:t>
      </w:r>
      <w:r w:rsidR="008B048F">
        <w:t xml:space="preserve">, </w:t>
      </w:r>
      <w:r w:rsidR="00210ABC">
        <w:t>significant events and relationships that influence life choices, is also relevant.</w:t>
      </w:r>
      <w:proofErr w:type="gramEnd"/>
      <w:r>
        <w:t xml:space="preserve"> </w:t>
      </w:r>
      <w:r w:rsidRPr="00BC5F30">
        <w:t xml:space="preserve">In Mills and Gale’s </w:t>
      </w:r>
      <w:r w:rsidRPr="00BC5F30">
        <w:rPr>
          <w:noProof/>
        </w:rPr>
        <w:t>(2008)</w:t>
      </w:r>
      <w:r w:rsidRPr="00BC5F30">
        <w:t xml:space="preserve"> example</w:t>
      </w:r>
      <w:r w:rsidR="006840EB">
        <w:t>, cited earlier,</w:t>
      </w:r>
      <w:r w:rsidRPr="00BC5F30">
        <w:t xml:space="preserve"> of an isolated rural </w:t>
      </w:r>
      <w:r>
        <w:t>community</w:t>
      </w:r>
      <w:r w:rsidRPr="00BC5F30">
        <w:t xml:space="preserve">, the chances of making an ‘acquaintance’ who acts as a ‘bridge’ to other possibilities </w:t>
      </w:r>
      <w:r w:rsidRPr="00BC5F30">
        <w:rPr>
          <w:noProof/>
        </w:rPr>
        <w:t>(G</w:t>
      </w:r>
      <w:r w:rsidR="006840EB">
        <w:rPr>
          <w:noProof/>
        </w:rPr>
        <w:t>ranovetter</w:t>
      </w:r>
      <w:r w:rsidRPr="00BC5F30">
        <w:rPr>
          <w:noProof/>
        </w:rPr>
        <w:t xml:space="preserve"> 1973)</w:t>
      </w:r>
      <w:r>
        <w:t xml:space="preserve"> are almost nil. </w:t>
      </w:r>
      <w:r w:rsidRPr="00BC5F30">
        <w:t xml:space="preserve">In a similar way Broadbent and Cacciottolo </w:t>
      </w:r>
      <w:r w:rsidRPr="00BC5F30">
        <w:rPr>
          <w:noProof/>
        </w:rPr>
        <w:t>(2013)</w:t>
      </w:r>
      <w:r w:rsidRPr="00BC5F30">
        <w:t xml:space="preserve"> describe the idea of ‘cultural convergence’</w:t>
      </w:r>
      <w:r w:rsidR="006840EB">
        <w:t>,</w:t>
      </w:r>
      <w:r w:rsidRPr="00BC5F30">
        <w:t xml:space="preserve"> whereby the interaction of different educational cultures enables young people to re</w:t>
      </w:r>
      <w:r w:rsidR="00D230DC">
        <w:t>-</w:t>
      </w:r>
      <w:r w:rsidRPr="00BC5F30">
        <w:t>examine their assumptions and educational choices in</w:t>
      </w:r>
      <w:r>
        <w:t xml:space="preserve"> the light of other information</w:t>
      </w:r>
      <w:r w:rsidRPr="00BC5F30">
        <w:t xml:space="preserve"> and attitudes.</w:t>
      </w:r>
    </w:p>
    <w:p w:rsidR="00A0092A" w:rsidRPr="00BC5F30" w:rsidRDefault="00A0092A" w:rsidP="00A0092A">
      <w:pPr>
        <w:pStyle w:val="Text"/>
      </w:pPr>
      <w:r w:rsidRPr="00BC5F30">
        <w:t xml:space="preserve">Extensive consultation </w:t>
      </w:r>
      <w:r>
        <w:t xml:space="preserve">in the Gippsland region of Victoria </w:t>
      </w:r>
      <w:r w:rsidR="00210ABC">
        <w:t>to determine future policy direction</w:t>
      </w:r>
      <w:r w:rsidR="00A401DE">
        <w:t>s</w:t>
      </w:r>
      <w:r w:rsidR="00210ABC">
        <w:t xml:space="preserve"> </w:t>
      </w:r>
      <w:r w:rsidRPr="00BC5F30">
        <w:t xml:space="preserve">has identified the educational aspirations of students and families as one of the most frequently </w:t>
      </w:r>
      <w:r w:rsidR="006840EB">
        <w:t xml:space="preserve">cited </w:t>
      </w:r>
      <w:r w:rsidRPr="00BC5F30">
        <w:t>issues for attentio</w:t>
      </w:r>
      <w:r w:rsidR="006840EB">
        <w:t>n (Dow, Allan &amp; Mitchell</w:t>
      </w:r>
      <w:r w:rsidRPr="00BC5F30">
        <w:t xml:space="preserve"> 2011). This echoes a growing international policy focus on lifting the aspiratio</w:t>
      </w:r>
      <w:r w:rsidR="006840EB">
        <w:t>ns of young people from socio</w:t>
      </w:r>
      <w:r>
        <w:t>economically</w:t>
      </w:r>
      <w:r w:rsidRPr="00BC5F30">
        <w:t xml:space="preserve"> disadvantaged backgrounds (Payne 2012). It also raises the question o</w:t>
      </w:r>
      <w:r w:rsidR="006840EB">
        <w:t>f whether it is rurality itself</w:t>
      </w:r>
      <w:r w:rsidRPr="00BC5F30">
        <w:t xml:space="preserve"> or </w:t>
      </w:r>
      <w:r w:rsidR="008B048F">
        <w:t xml:space="preserve">the </w:t>
      </w:r>
      <w:r w:rsidR="0021491D">
        <w:t>socioeconomic</w:t>
      </w:r>
      <w:r w:rsidR="00D13A1E">
        <w:t xml:space="preserve"> </w:t>
      </w:r>
      <w:r w:rsidR="006840EB">
        <w:t>profile</w:t>
      </w:r>
      <w:r w:rsidRPr="00BC5F30">
        <w:t xml:space="preserve"> </w:t>
      </w:r>
      <w:r w:rsidR="00A401DE">
        <w:t>that</w:t>
      </w:r>
      <w:r w:rsidRPr="00BC5F30">
        <w:t xml:space="preserve"> plays the greatest role in defining young people’s aspirations for the future. Allowa</w:t>
      </w:r>
      <w:r>
        <w:t>y and her colleagues note that ‘how and why “rurality”</w:t>
      </w:r>
      <w:r w:rsidRPr="00BC5F30">
        <w:t xml:space="preserve"> impact</w:t>
      </w:r>
      <w:r w:rsidR="006840EB">
        <w:t>s upon young people’s lives is …</w:t>
      </w:r>
      <w:r w:rsidRPr="00BC5F30">
        <w:t xml:space="preserve"> a complex and contested f</w:t>
      </w:r>
      <w:r>
        <w:t xml:space="preserve">ield of inquiry’ (2004, p.28). </w:t>
      </w:r>
      <w:r w:rsidRPr="00BC5F30">
        <w:t xml:space="preserve">Along with Robinson </w:t>
      </w:r>
      <w:r w:rsidRPr="00BC5F30">
        <w:rPr>
          <w:noProof/>
        </w:rPr>
        <w:t>(2012)</w:t>
      </w:r>
      <w:r>
        <w:t xml:space="preserve">, they </w:t>
      </w:r>
      <w:r w:rsidR="00136320">
        <w:t>note the existence of</w:t>
      </w:r>
      <w:r>
        <w:t xml:space="preserve"> ‘</w:t>
      </w:r>
      <w:r w:rsidRPr="00BC5F30">
        <w:t>a defic</w:t>
      </w:r>
      <w:r>
        <w:t>it model of Australian rurality’</w:t>
      </w:r>
      <w:r w:rsidRPr="00BC5F30">
        <w:t xml:space="preserve"> (p.28)</w:t>
      </w:r>
      <w:r w:rsidR="006840EB">
        <w:t>, one</w:t>
      </w:r>
      <w:r w:rsidRPr="00BC5F30">
        <w:t xml:space="preserve"> that frequently equates or conflates a rural</w:t>
      </w:r>
      <w:r>
        <w:t xml:space="preserve"> geographic location with </w:t>
      </w:r>
      <w:r w:rsidR="0021491D">
        <w:t xml:space="preserve">socioeconomic </w:t>
      </w:r>
      <w:r w:rsidRPr="00BC5F30">
        <w:t xml:space="preserve">disadvantage. This, they argue, obscures the far greater effect of </w:t>
      </w:r>
      <w:r w:rsidR="0021491D">
        <w:t xml:space="preserve">socioeconomic </w:t>
      </w:r>
      <w:r w:rsidRPr="00BC5F30">
        <w:t xml:space="preserve">status than geographic location </w:t>
      </w:r>
      <w:r w:rsidR="00A401DE">
        <w:t xml:space="preserve">on </w:t>
      </w:r>
      <w:r w:rsidRPr="00BC5F30">
        <w:t>both young pe</w:t>
      </w:r>
      <w:r w:rsidR="00A401DE">
        <w:t xml:space="preserve">ople’s success at school and </w:t>
      </w:r>
      <w:r w:rsidRPr="00BC5F30">
        <w:t>their post-school aspirations.</w:t>
      </w:r>
      <w:r w:rsidR="00D13A1E">
        <w:t xml:space="preserve"> </w:t>
      </w:r>
      <w:r>
        <w:t>Corbett’s (2000) work on Nova Scotia is important in challenging this deficit model of rurality and also of the choice to stay in rural locations;</w:t>
      </w:r>
      <w:r w:rsidR="00D13A1E">
        <w:t xml:space="preserve"> </w:t>
      </w:r>
      <w:r>
        <w:t>a</w:t>
      </w:r>
      <w:r w:rsidRPr="00BC5F30">
        <w:t xml:space="preserve">s Gale </w:t>
      </w:r>
      <w:r>
        <w:t>et al. note, ‘</w:t>
      </w:r>
      <w:r w:rsidRPr="00BC5F30">
        <w:t>im/mobility is n</w:t>
      </w:r>
      <w:r>
        <w:t>ot strictly linked to in/equity’</w:t>
      </w:r>
      <w:r w:rsidRPr="00BC5F30">
        <w:t xml:space="preserve"> (2013, p.126).</w:t>
      </w:r>
    </w:p>
    <w:p w:rsidR="00A0092A" w:rsidRPr="00B84E3B" w:rsidRDefault="006840EB" w:rsidP="00A0092A">
      <w:pPr>
        <w:pStyle w:val="Text"/>
      </w:pPr>
      <w:r>
        <w:t>We</w:t>
      </w:r>
      <w:r w:rsidR="00A401DE">
        <w:t xml:space="preserve"> have argued </w:t>
      </w:r>
      <w:r w:rsidR="00A0092A" w:rsidRPr="00B631AA">
        <w:t xml:space="preserve">in the introduction and </w:t>
      </w:r>
      <w:r w:rsidR="00A0092A" w:rsidRPr="00753B01">
        <w:t>i</w:t>
      </w:r>
      <w:r w:rsidRPr="00753B01">
        <w:t>n this review of the literature that geography can have far-</w:t>
      </w:r>
      <w:r w:rsidR="00A0092A" w:rsidRPr="00753B01">
        <w:t>reaching effects on people’s lives and opportunities, but qualitative</w:t>
      </w:r>
      <w:r w:rsidR="008B048F" w:rsidRPr="00753B01">
        <w:t>,</w:t>
      </w:r>
      <w:r w:rsidR="00A0092A" w:rsidRPr="00753B01">
        <w:t xml:space="preserve"> often biographical</w:t>
      </w:r>
      <w:r w:rsidR="008B048F" w:rsidRPr="00753B01">
        <w:t>,</w:t>
      </w:r>
      <w:r w:rsidR="00A0092A" w:rsidRPr="00753B01">
        <w:t xml:space="preserve"> research</w:t>
      </w:r>
      <w:r w:rsidR="00A0092A" w:rsidRPr="00B631AA">
        <w:t xml:space="preserve"> has shown that people mediate spaces and places </w:t>
      </w:r>
      <w:r w:rsidR="00A0092A">
        <w:t xml:space="preserve">differently </w:t>
      </w:r>
      <w:r w:rsidR="00A0092A" w:rsidRPr="00B631AA">
        <w:t xml:space="preserve">in the ways they live their lives. By </w:t>
      </w:r>
      <w:r w:rsidR="00A0092A">
        <w:t xml:space="preserve">focusing </w:t>
      </w:r>
      <w:r w:rsidR="00A0092A">
        <w:lastRenderedPageBreak/>
        <w:t>on what Harding et al. (2011) call the ‘sources of effect</w:t>
      </w:r>
      <w:r w:rsidR="00A0092A" w:rsidRPr="00B631AA">
        <w:t xml:space="preserve"> heterogeneity’</w:t>
      </w:r>
      <w:r w:rsidR="00A0092A">
        <w:t xml:space="preserve">, </w:t>
      </w:r>
      <w:r>
        <w:t>that is</w:t>
      </w:r>
      <w:r w:rsidR="00A0092A">
        <w:t xml:space="preserve">, </w:t>
      </w:r>
      <w:r w:rsidR="008B048F">
        <w:t>reasons explaining</w:t>
      </w:r>
      <w:r w:rsidR="00A0092A">
        <w:t xml:space="preserve"> different po</w:t>
      </w:r>
      <w:r w:rsidR="00D230DC">
        <w:t>st-</w:t>
      </w:r>
      <w:r w:rsidR="00A0092A">
        <w:t xml:space="preserve">school outcomes, </w:t>
      </w:r>
      <w:r w:rsidR="008B048F">
        <w:t>this report</w:t>
      </w:r>
      <w:r w:rsidR="00A0092A" w:rsidRPr="00B631AA">
        <w:t xml:space="preserve"> will also address the concern raised about existing research </w:t>
      </w:r>
      <w:r w:rsidR="00A0092A">
        <w:t>by Smyth and McInerney (2013) that</w:t>
      </w:r>
      <w:r w:rsidR="008B048F">
        <w:t>:</w:t>
      </w:r>
      <w:r w:rsidR="00A0092A" w:rsidRPr="00B631AA">
        <w:t xml:space="preserve"> ‘the effect of neighbourhoods and places on the lives, educational opportunities and life chances of young people from contexts of </w:t>
      </w:r>
      <w:r w:rsidR="0021491D">
        <w:t xml:space="preserve">socioeconomic </w:t>
      </w:r>
      <w:r w:rsidR="00024320">
        <w:t>disadvantage …</w:t>
      </w:r>
      <w:r w:rsidR="00A0092A" w:rsidRPr="00B631AA">
        <w:t xml:space="preserve"> is not well understood, and invariably reinforces deficit stereo</w:t>
      </w:r>
      <w:r w:rsidR="00A0092A">
        <w:t xml:space="preserve">types’ (p.2). </w:t>
      </w:r>
      <w:r w:rsidR="00A0092A" w:rsidRPr="00B631AA">
        <w:t xml:space="preserve">Furthermore, we would argue that </w:t>
      </w:r>
      <w:r w:rsidR="00A0092A">
        <w:t xml:space="preserve">biographical </w:t>
      </w:r>
      <w:r w:rsidR="00A0092A" w:rsidRPr="00B631AA">
        <w:t>qualitative research into the lived experiences of young people</w:t>
      </w:r>
      <w:r w:rsidR="00024320">
        <w:t>,</w:t>
      </w:r>
      <w:r w:rsidR="00A0092A" w:rsidRPr="00B631AA">
        <w:t xml:space="preserve"> informed by Bourdieu’s concepts of habitus, dispositions and capital</w:t>
      </w:r>
      <w:r w:rsidR="00024320">
        <w:t>,</w:t>
      </w:r>
      <w:r w:rsidR="00A0092A" w:rsidRPr="00B631AA">
        <w:t xml:space="preserve"> will provide nuanced accounts of the effects of neighbourhood</w:t>
      </w:r>
      <w:r w:rsidR="00A0092A">
        <w:t>. By focusing on young people</w:t>
      </w:r>
      <w:r w:rsidR="00A81ADD">
        <w:t>’</w:t>
      </w:r>
      <w:r w:rsidR="00A0092A">
        <w:t xml:space="preserve">s narratives of their lived experiences, the study </w:t>
      </w:r>
      <w:r w:rsidR="00210ABC">
        <w:t>has the capacity to</w:t>
      </w:r>
      <w:r w:rsidR="00A0092A">
        <w:t xml:space="preserve"> elicit understandings of the </w:t>
      </w:r>
      <w:r w:rsidR="00297AE9">
        <w:t>implicitly pragmatic</w:t>
      </w:r>
      <w:r w:rsidR="00A0092A">
        <w:t xml:space="preserve">, rather than </w:t>
      </w:r>
      <w:r w:rsidR="00297AE9">
        <w:t>rationally informed, decisions</w:t>
      </w:r>
      <w:r w:rsidR="00D230DC">
        <w:t xml:space="preserve"> </w:t>
      </w:r>
      <w:r w:rsidR="00024320">
        <w:t xml:space="preserve">that </w:t>
      </w:r>
      <w:r w:rsidR="00D230DC">
        <w:t>young people use</w:t>
      </w:r>
      <w:r w:rsidR="00A0092A">
        <w:t xml:space="preserve"> to make </w:t>
      </w:r>
      <w:r w:rsidR="00864FB8">
        <w:t xml:space="preserve">choices and </w:t>
      </w:r>
      <w:r w:rsidR="00A0092A">
        <w:t>decisions</w:t>
      </w:r>
      <w:r w:rsidR="00A0092A" w:rsidRPr="00B631AA">
        <w:t>. In doing so, such research will be able to explore how young people who live in the same neighbourhood may experience it differently</w:t>
      </w:r>
      <w:r w:rsidR="00A0092A">
        <w:t xml:space="preserve"> and hold different values and aspirations in relation to post-school pathways</w:t>
      </w:r>
      <w:r w:rsidR="00A0092A" w:rsidRPr="00B631AA">
        <w:t xml:space="preserve">. </w:t>
      </w:r>
    </w:p>
    <w:p w:rsidR="004B355A" w:rsidRDefault="004B355A">
      <w:pPr>
        <w:spacing w:before="0" w:line="240" w:lineRule="auto"/>
        <w:rPr>
          <w:color w:val="000000"/>
          <w:highlight w:val="yellow"/>
        </w:rPr>
      </w:pPr>
      <w:r>
        <w:rPr>
          <w:highlight w:val="yellow"/>
        </w:rPr>
        <w:br w:type="page"/>
      </w:r>
    </w:p>
    <w:p w:rsidR="004B355A" w:rsidRDefault="004B355A" w:rsidP="004B355A">
      <w:pPr>
        <w:pStyle w:val="Heading1"/>
      </w:pPr>
      <w:bookmarkStart w:id="53" w:name="_Toc409079370"/>
      <w:r w:rsidRPr="004B355A">
        <w:lastRenderedPageBreak/>
        <w:t>Research methodology and design</w:t>
      </w:r>
      <w:bookmarkEnd w:id="53"/>
    </w:p>
    <w:p w:rsidR="00A56C1A" w:rsidRPr="00A56C1A" w:rsidRDefault="00A56C1A" w:rsidP="00A56C1A">
      <w:pPr>
        <w:pStyle w:val="Heading2"/>
      </w:pPr>
      <w:bookmarkStart w:id="54" w:name="_Toc251317780"/>
      <w:bookmarkStart w:id="55" w:name="_Toc253925132"/>
      <w:bookmarkStart w:id="56" w:name="_Toc409079371"/>
      <w:r w:rsidRPr="00A56C1A">
        <w:t>Identifying the effects of neighbourhood</w:t>
      </w:r>
      <w:bookmarkEnd w:id="54"/>
      <w:bookmarkEnd w:id="55"/>
      <w:bookmarkEnd w:id="56"/>
    </w:p>
    <w:p w:rsidR="000869AD" w:rsidRDefault="00A56C1A" w:rsidP="00A56C1A">
      <w:pPr>
        <w:pStyle w:val="Text"/>
        <w:rPr>
          <w:lang w:val="en-US"/>
        </w:rPr>
      </w:pPr>
      <w:r w:rsidRPr="00A56C1A">
        <w:rPr>
          <w:lang w:val="en-US"/>
        </w:rPr>
        <w:t xml:space="preserve">In the NCVER </w:t>
      </w:r>
      <w:r w:rsidR="00FC65AC">
        <w:rPr>
          <w:lang w:val="en-US"/>
        </w:rPr>
        <w:t>r</w:t>
      </w:r>
      <w:r w:rsidRPr="00A56C1A">
        <w:rPr>
          <w:lang w:val="en-US"/>
        </w:rPr>
        <w:t xml:space="preserve">esearch </w:t>
      </w:r>
      <w:r w:rsidR="00FC65AC">
        <w:rPr>
          <w:lang w:val="en-US"/>
        </w:rPr>
        <w:t>r</w:t>
      </w:r>
      <w:r w:rsidRPr="00A56C1A">
        <w:rPr>
          <w:lang w:val="en-US"/>
        </w:rPr>
        <w:t>eport</w:t>
      </w:r>
      <w:r w:rsidR="000869AD">
        <w:rPr>
          <w:lang w:val="en-US"/>
        </w:rPr>
        <w:t>,</w:t>
      </w:r>
      <w:r w:rsidRPr="00A56C1A">
        <w:rPr>
          <w:lang w:val="en-US"/>
        </w:rPr>
        <w:t xml:space="preserve"> </w:t>
      </w:r>
      <w:r w:rsidRPr="00A56C1A">
        <w:rPr>
          <w:i/>
          <w:lang w:val="en-US"/>
        </w:rPr>
        <w:t>Are neighbourhood characteristics i</w:t>
      </w:r>
      <w:r w:rsidR="00C477D1">
        <w:rPr>
          <w:i/>
          <w:lang w:val="en-US"/>
        </w:rPr>
        <w:t>mportant in predicting the post-</w:t>
      </w:r>
      <w:r w:rsidRPr="00A56C1A">
        <w:rPr>
          <w:i/>
          <w:lang w:val="en-US"/>
        </w:rPr>
        <w:t>school destinations of young Australians</w:t>
      </w:r>
      <w:r w:rsidR="00C477D1">
        <w:rPr>
          <w:lang w:val="en-US"/>
        </w:rPr>
        <w:t xml:space="preserve">?, </w:t>
      </w:r>
      <w:r w:rsidR="008D4C23">
        <w:rPr>
          <w:lang w:val="en-US"/>
        </w:rPr>
        <w:t xml:space="preserve">Johnston et al. (2014) </w:t>
      </w:r>
      <w:r w:rsidRPr="00A56C1A">
        <w:rPr>
          <w:lang w:val="en-US"/>
        </w:rPr>
        <w:t xml:space="preserve">identified the continuing importance of the </w:t>
      </w:r>
      <w:r w:rsidR="0021491D">
        <w:rPr>
          <w:lang w:val="en-US"/>
        </w:rPr>
        <w:t xml:space="preserve">socioeconomic </w:t>
      </w:r>
      <w:r w:rsidR="009702CC">
        <w:rPr>
          <w:lang w:val="en-US"/>
        </w:rPr>
        <w:t>status</w:t>
      </w:r>
      <w:r w:rsidRPr="00A56C1A">
        <w:rPr>
          <w:lang w:val="en-US"/>
        </w:rPr>
        <w:t xml:space="preserve"> of neighbourhoods </w:t>
      </w:r>
      <w:r w:rsidR="00C477D1">
        <w:rPr>
          <w:lang w:val="en-US"/>
        </w:rPr>
        <w:t>to</w:t>
      </w:r>
      <w:r w:rsidRPr="00A56C1A">
        <w:rPr>
          <w:lang w:val="en-US"/>
        </w:rPr>
        <w:t xml:space="preserve"> explain variations in student outcomes, although particular neighbourhood characteristics such as residential turnover, the composition of households and the multicultural nature of neighbourhoods also play a role. Johnston et al. (2014) </w:t>
      </w:r>
      <w:r w:rsidR="009702CC">
        <w:rPr>
          <w:lang w:val="en-US"/>
        </w:rPr>
        <w:t xml:space="preserve">also </w:t>
      </w:r>
      <w:r w:rsidRPr="00A56C1A">
        <w:rPr>
          <w:lang w:val="en-US"/>
        </w:rPr>
        <w:t xml:space="preserve">argued </w:t>
      </w:r>
      <w:r w:rsidR="000869AD">
        <w:rPr>
          <w:lang w:val="en-US"/>
        </w:rPr>
        <w:t xml:space="preserve">that </w:t>
      </w:r>
      <w:r w:rsidRPr="00A56C1A">
        <w:rPr>
          <w:lang w:val="en-US"/>
        </w:rPr>
        <w:t>the characteristics of schools were recognised as making an important difference, including school leadership and teacher quality</w:t>
      </w:r>
      <w:r w:rsidR="00C477D1">
        <w:rPr>
          <w:lang w:val="en-US"/>
        </w:rPr>
        <w:t>,</w:t>
      </w:r>
      <w:r w:rsidRPr="00A56C1A">
        <w:rPr>
          <w:lang w:val="en-US"/>
        </w:rPr>
        <w:t xml:space="preserve"> but these school effects factors are neither easily measurable nor separable from the characteristics of </w:t>
      </w:r>
      <w:r w:rsidR="00C477D1">
        <w:rPr>
          <w:lang w:val="en-US"/>
        </w:rPr>
        <w:t xml:space="preserve">the </w:t>
      </w:r>
      <w:r w:rsidRPr="00A56C1A">
        <w:rPr>
          <w:lang w:val="en-US"/>
        </w:rPr>
        <w:t xml:space="preserve">neighbourhoods </w:t>
      </w:r>
      <w:r w:rsidR="00C477D1">
        <w:rPr>
          <w:lang w:val="en-US"/>
        </w:rPr>
        <w:t xml:space="preserve">to which they </w:t>
      </w:r>
      <w:r w:rsidR="000869AD">
        <w:rPr>
          <w:lang w:val="en-US"/>
        </w:rPr>
        <w:t>relate.</w:t>
      </w:r>
    </w:p>
    <w:p w:rsidR="008329D1" w:rsidRDefault="00C477D1" w:rsidP="00A56C1A">
      <w:pPr>
        <w:pStyle w:val="Text"/>
        <w:rPr>
          <w:lang w:val="en-US"/>
        </w:rPr>
      </w:pPr>
      <w:r>
        <w:rPr>
          <w:lang w:val="en-US"/>
        </w:rPr>
        <w:t>A</w:t>
      </w:r>
      <w:r w:rsidR="00A56C1A" w:rsidRPr="00A56C1A">
        <w:rPr>
          <w:lang w:val="en-US"/>
        </w:rPr>
        <w:t xml:space="preserve"> mixed methodology was identified </w:t>
      </w:r>
      <w:r>
        <w:rPr>
          <w:lang w:val="en-US"/>
        </w:rPr>
        <w:t xml:space="preserve">as the most appropriate for </w:t>
      </w:r>
      <w:r w:rsidR="00A56C1A" w:rsidRPr="00A56C1A">
        <w:rPr>
          <w:lang w:val="en-US"/>
        </w:rPr>
        <w:t>research</w:t>
      </w:r>
      <w:r>
        <w:rPr>
          <w:lang w:val="en-US"/>
        </w:rPr>
        <w:t>ing</w:t>
      </w:r>
      <w:r w:rsidR="00A56C1A" w:rsidRPr="00A56C1A">
        <w:rPr>
          <w:lang w:val="en-US"/>
        </w:rPr>
        <w:t xml:space="preserve"> in more depth the mechanisms that e</w:t>
      </w:r>
      <w:r>
        <w:rPr>
          <w:lang w:val="en-US"/>
        </w:rPr>
        <w:t>nable some people in low socio</w:t>
      </w:r>
      <w:r w:rsidR="00A56C1A" w:rsidRPr="00A56C1A">
        <w:rPr>
          <w:lang w:val="en-US"/>
        </w:rPr>
        <w:t>economic neighbourhoods to overcome neighbourhood effects and participate in post-</w:t>
      </w:r>
      <w:r w:rsidR="008C4CFF">
        <w:rPr>
          <w:lang w:val="en-US"/>
        </w:rPr>
        <w:t>school education and training. A f</w:t>
      </w:r>
      <w:r w:rsidR="00A56C1A" w:rsidRPr="00A56C1A">
        <w:rPr>
          <w:lang w:val="en-US"/>
        </w:rPr>
        <w:t>urther in-</w:t>
      </w:r>
      <w:r w:rsidR="005E715B">
        <w:rPr>
          <w:lang w:val="en-US"/>
        </w:rPr>
        <w:t>depth analysis of the Australia-wide quantitative data (Johnston et al.</w:t>
      </w:r>
      <w:r w:rsidR="00A56C1A" w:rsidRPr="00A56C1A">
        <w:rPr>
          <w:lang w:val="en-US"/>
        </w:rPr>
        <w:t xml:space="preserve"> 2013 pers</w:t>
      </w:r>
      <w:r w:rsidR="008C4CFF">
        <w:rPr>
          <w:lang w:val="en-US"/>
        </w:rPr>
        <w:t>. comm.</w:t>
      </w:r>
      <w:r w:rsidR="00A56C1A" w:rsidRPr="00A56C1A">
        <w:rPr>
          <w:lang w:val="en-US"/>
        </w:rPr>
        <w:t>) identified variations b</w:t>
      </w:r>
      <w:r w:rsidR="008C4CFF">
        <w:rPr>
          <w:lang w:val="en-US"/>
        </w:rPr>
        <w:t>etween low-</w:t>
      </w:r>
      <w:r w:rsidR="005E715B">
        <w:rPr>
          <w:lang w:val="en-US"/>
        </w:rPr>
        <w:t xml:space="preserve">SES </w:t>
      </w:r>
      <w:proofErr w:type="spellStart"/>
      <w:r w:rsidR="005E715B">
        <w:rPr>
          <w:lang w:val="en-US"/>
        </w:rPr>
        <w:t>neighbourhoods</w:t>
      </w:r>
      <w:proofErr w:type="spellEnd"/>
      <w:r w:rsidR="005E715B">
        <w:rPr>
          <w:lang w:val="en-US"/>
        </w:rPr>
        <w:t xml:space="preserve">, </w:t>
      </w:r>
      <w:r w:rsidR="00B12E77">
        <w:rPr>
          <w:lang w:val="en-US"/>
        </w:rPr>
        <w:t>with some low-</w:t>
      </w:r>
      <w:r w:rsidR="00A56C1A" w:rsidRPr="00A56C1A">
        <w:rPr>
          <w:lang w:val="en-US"/>
        </w:rPr>
        <w:t xml:space="preserve">SES </w:t>
      </w:r>
      <w:proofErr w:type="spellStart"/>
      <w:r w:rsidR="00A56C1A" w:rsidRPr="00A56C1A">
        <w:rPr>
          <w:lang w:val="en-US"/>
        </w:rPr>
        <w:t>neighbourhoods</w:t>
      </w:r>
      <w:proofErr w:type="spellEnd"/>
      <w:r w:rsidR="00A56C1A" w:rsidRPr="00A56C1A">
        <w:rPr>
          <w:lang w:val="en-US"/>
        </w:rPr>
        <w:t xml:space="preserve"> </w:t>
      </w:r>
      <w:r w:rsidR="008C4CFF">
        <w:rPr>
          <w:lang w:val="en-US"/>
        </w:rPr>
        <w:t xml:space="preserve">being </w:t>
      </w:r>
      <w:r w:rsidR="00A56C1A" w:rsidRPr="00A56C1A">
        <w:rPr>
          <w:lang w:val="en-US"/>
        </w:rPr>
        <w:t>associat</w:t>
      </w:r>
      <w:r w:rsidR="008C4CFF">
        <w:rPr>
          <w:lang w:val="en-US"/>
        </w:rPr>
        <w:t>ed</w:t>
      </w:r>
      <w:r w:rsidR="00A56C1A" w:rsidRPr="00A56C1A">
        <w:rPr>
          <w:lang w:val="en-US"/>
        </w:rPr>
        <w:t xml:space="preserve"> with low education performance and some with high education performance. These discrepancies and distinctions within and across postcodes and state electoral divisions within and between urban and regional and remote areas suggested several interesting sites for comparative research. In addition, in the context of Victoria, these areas have been </w:t>
      </w:r>
      <w:r w:rsidR="008C4CFF">
        <w:rPr>
          <w:lang w:val="en-US"/>
        </w:rPr>
        <w:t>the focus of Victorian G</w:t>
      </w:r>
      <w:r w:rsidR="00A56C1A" w:rsidRPr="00A56C1A">
        <w:rPr>
          <w:lang w:val="en-US"/>
        </w:rPr>
        <w:t>overnment educational reform through the development of models of geographic ‘educational precincts’</w:t>
      </w:r>
      <w:r w:rsidR="008C4CFF">
        <w:rPr>
          <w:lang w:val="en-US"/>
        </w:rPr>
        <w:t>, which</w:t>
      </w:r>
      <w:r w:rsidR="00A56C1A" w:rsidRPr="00A56C1A">
        <w:rPr>
          <w:lang w:val="en-US"/>
        </w:rPr>
        <w:t xml:space="preserve"> compris</w:t>
      </w:r>
      <w:r w:rsidR="008C4CFF">
        <w:rPr>
          <w:lang w:val="en-US"/>
        </w:rPr>
        <w:t>e</w:t>
      </w:r>
      <w:r w:rsidR="00A56C1A" w:rsidRPr="00A56C1A">
        <w:rPr>
          <w:lang w:val="en-US"/>
        </w:rPr>
        <w:t xml:space="preserve"> VET and higher education providers and schools.</w:t>
      </w:r>
      <w:r w:rsidR="008329D1">
        <w:rPr>
          <w:lang w:val="en-US"/>
        </w:rPr>
        <w:t xml:space="preserve"> Similarly, in South Australia, since 2002 there has been a history of co</w:t>
      </w:r>
      <w:r w:rsidR="008C4CFF">
        <w:rPr>
          <w:lang w:val="en-US"/>
        </w:rPr>
        <w:t>mmunity-</w:t>
      </w:r>
      <w:r w:rsidR="008329D1">
        <w:rPr>
          <w:lang w:val="en-US"/>
        </w:rPr>
        <w:t>based partnership initiatives, including</w:t>
      </w:r>
      <w:r w:rsidR="008C4CFF">
        <w:rPr>
          <w:lang w:val="en-US"/>
        </w:rPr>
        <w:t>,</w:t>
      </w:r>
      <w:r w:rsidR="008329D1">
        <w:rPr>
          <w:lang w:val="en-US"/>
        </w:rPr>
        <w:t xml:space="preserve"> for example, Northern Futures</w:t>
      </w:r>
      <w:r w:rsidR="008C4CFF">
        <w:rPr>
          <w:lang w:val="en-US"/>
        </w:rPr>
        <w:t>, a not-for-profit community-based organis</w:t>
      </w:r>
      <w:r w:rsidR="008329D1">
        <w:rPr>
          <w:lang w:val="en-US"/>
        </w:rPr>
        <w:t xml:space="preserve">ation </w:t>
      </w:r>
      <w:r w:rsidR="008C4CFF">
        <w:rPr>
          <w:lang w:val="en-US"/>
        </w:rPr>
        <w:t xml:space="preserve">that </w:t>
      </w:r>
      <w:r w:rsidR="008329D1">
        <w:rPr>
          <w:lang w:val="en-US"/>
        </w:rPr>
        <w:t>work</w:t>
      </w:r>
      <w:r w:rsidR="008C4CFF">
        <w:rPr>
          <w:lang w:val="en-US"/>
        </w:rPr>
        <w:t>s closely with local councils and the</w:t>
      </w:r>
      <w:r w:rsidR="008329D1">
        <w:rPr>
          <w:lang w:val="en-US"/>
        </w:rPr>
        <w:t xml:space="preserve"> </w:t>
      </w:r>
      <w:r w:rsidR="008C4CFF">
        <w:rPr>
          <w:lang w:val="en-US"/>
        </w:rPr>
        <w:t>state and federal</w:t>
      </w:r>
      <w:r w:rsidR="008329D1">
        <w:rPr>
          <w:lang w:val="en-US"/>
        </w:rPr>
        <w:t xml:space="preserve"> government</w:t>
      </w:r>
      <w:r w:rsidR="008C4CFF">
        <w:rPr>
          <w:lang w:val="en-US"/>
        </w:rPr>
        <w:t>s</w:t>
      </w:r>
      <w:r w:rsidR="008329D1">
        <w:rPr>
          <w:lang w:val="en-US"/>
        </w:rPr>
        <w:t xml:space="preserve"> to foster education and training and workforce development in the area</w:t>
      </w:r>
      <w:r w:rsidR="008D4C23">
        <w:rPr>
          <w:lang w:val="en-US"/>
        </w:rPr>
        <w:t>s</w:t>
      </w:r>
      <w:r w:rsidR="008329D1">
        <w:rPr>
          <w:lang w:val="en-US"/>
        </w:rPr>
        <w:t xml:space="preserve"> </w:t>
      </w:r>
      <w:r w:rsidR="008D4C23">
        <w:rPr>
          <w:lang w:val="en-US"/>
        </w:rPr>
        <w:t>north of</w:t>
      </w:r>
      <w:r w:rsidR="008329D1">
        <w:rPr>
          <w:lang w:val="en-US"/>
        </w:rPr>
        <w:t xml:space="preserve"> Adelaide. </w:t>
      </w:r>
    </w:p>
    <w:p w:rsidR="00A56C1A" w:rsidRPr="00A56C1A" w:rsidRDefault="00A56C1A" w:rsidP="00A56C1A">
      <w:pPr>
        <w:pStyle w:val="Text"/>
        <w:rPr>
          <w:lang w:val="en-US"/>
        </w:rPr>
      </w:pPr>
      <w:r w:rsidRPr="00A56C1A">
        <w:rPr>
          <w:lang w:val="en-US"/>
        </w:rPr>
        <w:t xml:space="preserve">This qualitative study was therefore designed to map the opportunity structures afforded by </w:t>
      </w:r>
      <w:r w:rsidR="008C4CFF">
        <w:rPr>
          <w:lang w:val="en-US"/>
        </w:rPr>
        <w:t>an educational precinct</w:t>
      </w:r>
      <w:r w:rsidRPr="00A56C1A">
        <w:rPr>
          <w:lang w:val="en-US"/>
        </w:rPr>
        <w:t xml:space="preserve"> or co-located providers in order to investigate </w:t>
      </w:r>
      <w:r w:rsidR="008C4CFF">
        <w:rPr>
          <w:lang w:val="en-US"/>
        </w:rPr>
        <w:t xml:space="preserve">areas </w:t>
      </w:r>
      <w:r w:rsidRPr="00A56C1A">
        <w:rPr>
          <w:lang w:val="en-US"/>
        </w:rPr>
        <w:t xml:space="preserve">such </w:t>
      </w:r>
      <w:r w:rsidR="006A2D3F">
        <w:rPr>
          <w:lang w:val="en-US"/>
        </w:rPr>
        <w:t xml:space="preserve">as </w:t>
      </w:r>
      <w:r w:rsidR="006A2D3F" w:rsidRPr="00A56C1A">
        <w:rPr>
          <w:lang w:val="en-US"/>
        </w:rPr>
        <w:t>the VET/tertiary education and labour market infrastructure, including access to affordable and attainable providers of education and training</w:t>
      </w:r>
      <w:r w:rsidR="006A2D3F">
        <w:rPr>
          <w:lang w:val="en-US"/>
        </w:rPr>
        <w:t xml:space="preserve"> a</w:t>
      </w:r>
      <w:r w:rsidR="008C4CFF">
        <w:rPr>
          <w:lang w:val="en-US"/>
        </w:rPr>
        <w:t>s well as</w:t>
      </w:r>
      <w:r w:rsidR="006A2D3F">
        <w:rPr>
          <w:lang w:val="en-US"/>
        </w:rPr>
        <w:t xml:space="preserve"> </w:t>
      </w:r>
      <w:r w:rsidR="000869AD">
        <w:rPr>
          <w:lang w:val="en-US"/>
        </w:rPr>
        <w:t xml:space="preserve">to </w:t>
      </w:r>
      <w:r w:rsidR="006A2D3F" w:rsidRPr="00A56C1A">
        <w:rPr>
          <w:lang w:val="en-US"/>
        </w:rPr>
        <w:t>industry and business</w:t>
      </w:r>
      <w:r w:rsidR="008C4CFF">
        <w:rPr>
          <w:lang w:val="en-US"/>
        </w:rPr>
        <w:t xml:space="preserve"> types,</w:t>
      </w:r>
      <w:r w:rsidR="006A2D3F" w:rsidRPr="00A56C1A">
        <w:rPr>
          <w:lang w:val="en-US"/>
        </w:rPr>
        <w:t xml:space="preserve"> and </w:t>
      </w:r>
      <w:r w:rsidR="00AB6EA7">
        <w:rPr>
          <w:lang w:val="en-US"/>
        </w:rPr>
        <w:t xml:space="preserve">the </w:t>
      </w:r>
      <w:r w:rsidR="006A2D3F" w:rsidRPr="00A56C1A">
        <w:rPr>
          <w:lang w:val="en-US"/>
        </w:rPr>
        <w:t>attitude</w:t>
      </w:r>
      <w:r w:rsidR="00AB6EA7">
        <w:rPr>
          <w:lang w:val="en-US"/>
        </w:rPr>
        <w:t>s of employers</w:t>
      </w:r>
      <w:r w:rsidR="006A2D3F" w:rsidRPr="00A56C1A">
        <w:rPr>
          <w:lang w:val="en-US"/>
        </w:rPr>
        <w:t xml:space="preserve"> to</w:t>
      </w:r>
      <w:r w:rsidR="00AB6EA7">
        <w:rPr>
          <w:lang w:val="en-US"/>
        </w:rPr>
        <w:t xml:space="preserve"> education and training and</w:t>
      </w:r>
      <w:r w:rsidR="006A2D3F" w:rsidRPr="00A56C1A">
        <w:rPr>
          <w:lang w:val="en-US"/>
        </w:rPr>
        <w:t xml:space="preserve"> recruitment and selection</w:t>
      </w:r>
      <w:r w:rsidR="006A2D3F">
        <w:rPr>
          <w:lang w:val="en-US"/>
        </w:rPr>
        <w:t xml:space="preserve">. From the perspective of young people, the focus was on understanding their aspirations </w:t>
      </w:r>
      <w:r w:rsidR="006A2D3F" w:rsidRPr="00A56C1A">
        <w:rPr>
          <w:lang w:val="en-US"/>
        </w:rPr>
        <w:t xml:space="preserve">and </w:t>
      </w:r>
      <w:r w:rsidR="006A2D3F">
        <w:rPr>
          <w:lang w:val="en-US"/>
        </w:rPr>
        <w:t xml:space="preserve">the </w:t>
      </w:r>
      <w:r w:rsidR="00AB6EA7">
        <w:rPr>
          <w:lang w:val="en-US"/>
        </w:rPr>
        <w:t xml:space="preserve">values and </w:t>
      </w:r>
      <w:r w:rsidR="00CA1F69">
        <w:rPr>
          <w:lang w:val="en-US"/>
        </w:rPr>
        <w:t xml:space="preserve">attitudes and social practices of the </w:t>
      </w:r>
      <w:r w:rsidR="006A2D3F">
        <w:rPr>
          <w:lang w:val="en-US"/>
        </w:rPr>
        <w:t xml:space="preserve">networks </w:t>
      </w:r>
      <w:r w:rsidR="00AB6EA7">
        <w:rPr>
          <w:lang w:val="en-US"/>
        </w:rPr>
        <w:t xml:space="preserve">in which </w:t>
      </w:r>
      <w:r w:rsidR="006A2D3F">
        <w:rPr>
          <w:lang w:val="en-US"/>
        </w:rPr>
        <w:t xml:space="preserve">they </w:t>
      </w:r>
      <w:r w:rsidR="00AB6EA7">
        <w:rPr>
          <w:lang w:val="en-US"/>
        </w:rPr>
        <w:t>participated</w:t>
      </w:r>
      <w:r w:rsidR="006A2D3F">
        <w:rPr>
          <w:lang w:val="en-US"/>
        </w:rPr>
        <w:t xml:space="preserve"> </w:t>
      </w:r>
      <w:r w:rsidR="000869AD">
        <w:rPr>
          <w:lang w:val="en-US"/>
        </w:rPr>
        <w:t>via</w:t>
      </w:r>
      <w:r w:rsidR="006A2D3F">
        <w:rPr>
          <w:lang w:val="en-US"/>
        </w:rPr>
        <w:t xml:space="preserve"> their families and neighbourhoods. The </w:t>
      </w:r>
      <w:r w:rsidR="00AB6EA7">
        <w:rPr>
          <w:lang w:val="en-US"/>
        </w:rPr>
        <w:t>potential opportunities developed through these</w:t>
      </w:r>
      <w:r w:rsidR="006A2D3F">
        <w:rPr>
          <w:lang w:val="en-US"/>
        </w:rPr>
        <w:t xml:space="preserve"> structures and the </w:t>
      </w:r>
      <w:r w:rsidR="00AB6EA7">
        <w:rPr>
          <w:lang w:val="en-US"/>
        </w:rPr>
        <w:t>attitudes</w:t>
      </w:r>
      <w:r w:rsidR="00CA1F69">
        <w:rPr>
          <w:lang w:val="en-US"/>
        </w:rPr>
        <w:t xml:space="preserve"> young people developed in these contexts to future learning and employment (or what in the literature is called </w:t>
      </w:r>
      <w:r w:rsidR="000869AD">
        <w:rPr>
          <w:lang w:val="en-US"/>
        </w:rPr>
        <w:t>‘</w:t>
      </w:r>
      <w:r w:rsidR="00CA1F69">
        <w:rPr>
          <w:lang w:val="en-US"/>
        </w:rPr>
        <w:t>habitus</w:t>
      </w:r>
      <w:r w:rsidR="000869AD">
        <w:rPr>
          <w:lang w:val="en-US"/>
        </w:rPr>
        <w:t>’</w:t>
      </w:r>
      <w:r w:rsidR="00CA1F69">
        <w:rPr>
          <w:lang w:val="en-US"/>
        </w:rPr>
        <w:t xml:space="preserve"> and </w:t>
      </w:r>
      <w:r w:rsidR="000869AD">
        <w:rPr>
          <w:lang w:val="en-US"/>
        </w:rPr>
        <w:t>‘</w:t>
      </w:r>
      <w:r w:rsidR="00CA1F69">
        <w:rPr>
          <w:lang w:val="en-US"/>
        </w:rPr>
        <w:t>horizons for action</w:t>
      </w:r>
      <w:r w:rsidR="000869AD">
        <w:rPr>
          <w:lang w:val="en-US"/>
        </w:rPr>
        <w:t>’</w:t>
      </w:r>
      <w:r w:rsidR="00CA1F69">
        <w:rPr>
          <w:lang w:val="en-US"/>
        </w:rPr>
        <w:t>) r</w:t>
      </w:r>
      <w:r w:rsidR="00AB6EA7">
        <w:rPr>
          <w:lang w:val="en-US"/>
        </w:rPr>
        <w:t xml:space="preserve">eflect the resources (capital — </w:t>
      </w:r>
      <w:r w:rsidR="00CA1F69">
        <w:rPr>
          <w:lang w:val="en-US"/>
        </w:rPr>
        <w:t xml:space="preserve">social, economic and cultural) they are able to draw on </w:t>
      </w:r>
      <w:r w:rsidRPr="00A56C1A">
        <w:rPr>
          <w:lang w:val="en-US"/>
        </w:rPr>
        <w:t xml:space="preserve">in </w:t>
      </w:r>
      <w:r w:rsidR="00CA1F69">
        <w:rPr>
          <w:lang w:val="en-US"/>
        </w:rPr>
        <w:t>planning and making decisions about their post-school pathways</w:t>
      </w:r>
      <w:r w:rsidRPr="00A56C1A">
        <w:rPr>
          <w:lang w:val="en-US"/>
        </w:rPr>
        <w:t xml:space="preserve">. The research design adopted an inclusive approach to examining the social processes shaping </w:t>
      </w:r>
      <w:r w:rsidR="00875235">
        <w:rPr>
          <w:lang w:val="en-US"/>
        </w:rPr>
        <w:t xml:space="preserve">young people’s </w:t>
      </w:r>
      <w:r w:rsidRPr="00A56C1A">
        <w:rPr>
          <w:lang w:val="en-US"/>
        </w:rPr>
        <w:t xml:space="preserve">VET/tertiary education and labour market participation </w:t>
      </w:r>
      <w:r w:rsidR="00AB6EA7">
        <w:rPr>
          <w:lang w:val="en-US"/>
        </w:rPr>
        <w:t xml:space="preserve">and </w:t>
      </w:r>
      <w:r w:rsidRPr="00A56C1A">
        <w:rPr>
          <w:lang w:val="en-US"/>
        </w:rPr>
        <w:t>rang</w:t>
      </w:r>
      <w:r w:rsidR="00AB6EA7">
        <w:rPr>
          <w:lang w:val="en-US"/>
        </w:rPr>
        <w:t>ed</w:t>
      </w:r>
      <w:r w:rsidRPr="00A56C1A">
        <w:rPr>
          <w:lang w:val="en-US"/>
        </w:rPr>
        <w:t xml:space="preserve"> from </w:t>
      </w:r>
      <w:r w:rsidR="00AB6EA7">
        <w:rPr>
          <w:lang w:val="en-US"/>
        </w:rPr>
        <w:t xml:space="preserve">a </w:t>
      </w:r>
      <w:r w:rsidRPr="00A56C1A">
        <w:rPr>
          <w:lang w:val="en-US"/>
        </w:rPr>
        <w:t>consider</w:t>
      </w:r>
      <w:r w:rsidR="00AB6EA7">
        <w:rPr>
          <w:lang w:val="en-US"/>
        </w:rPr>
        <w:t>ation of</w:t>
      </w:r>
      <w:r w:rsidRPr="00A56C1A">
        <w:rPr>
          <w:lang w:val="en-US"/>
        </w:rPr>
        <w:t xml:space="preserve"> th</w:t>
      </w:r>
      <w:r w:rsidR="00C70BD1">
        <w:rPr>
          <w:lang w:val="en-US"/>
        </w:rPr>
        <w:t>e</w:t>
      </w:r>
      <w:r w:rsidRPr="00A56C1A">
        <w:rPr>
          <w:lang w:val="en-US"/>
        </w:rPr>
        <w:t xml:space="preserve"> factors that promote (or act as bridges)</w:t>
      </w:r>
      <w:r w:rsidR="000869AD">
        <w:rPr>
          <w:lang w:val="en-US"/>
        </w:rPr>
        <w:t>,</w:t>
      </w:r>
      <w:r w:rsidRPr="00A56C1A">
        <w:rPr>
          <w:lang w:val="en-US"/>
        </w:rPr>
        <w:t xml:space="preserve"> to those that inhibit (or act as barriers)</w:t>
      </w:r>
      <w:r w:rsidR="00875235">
        <w:rPr>
          <w:lang w:val="en-US"/>
        </w:rPr>
        <w:t xml:space="preserve"> their</w:t>
      </w:r>
      <w:r w:rsidRPr="00A56C1A">
        <w:rPr>
          <w:lang w:val="en-US"/>
        </w:rPr>
        <w:t xml:space="preserve"> participation.</w:t>
      </w:r>
    </w:p>
    <w:p w:rsidR="00A56C1A" w:rsidRPr="00A56C1A" w:rsidRDefault="00A56C1A" w:rsidP="00A56C1A">
      <w:pPr>
        <w:pStyle w:val="Text"/>
      </w:pPr>
      <w:r w:rsidRPr="005E715B">
        <w:t xml:space="preserve">The aim of this qualitative research was to provide a way </w:t>
      </w:r>
      <w:r w:rsidR="000869AD">
        <w:t xml:space="preserve">by </w:t>
      </w:r>
      <w:r w:rsidR="002003EE">
        <w:t>which</w:t>
      </w:r>
      <w:r w:rsidR="002003EE" w:rsidRPr="005E715B">
        <w:t xml:space="preserve"> to</w:t>
      </w:r>
      <w:r w:rsidRPr="005E715B">
        <w:t xml:space="preserve"> explore understandings of the importance of schooling and neighbourhood factors in people’s lives. A qualitative methodology </w:t>
      </w:r>
      <w:r w:rsidR="00875235">
        <w:t>was</w:t>
      </w:r>
      <w:r w:rsidRPr="005E715B">
        <w:t xml:space="preserve"> developed to investigate the following broad questions:</w:t>
      </w:r>
    </w:p>
    <w:p w:rsidR="00A56C1A" w:rsidRPr="00A56C1A" w:rsidRDefault="00A56C1A" w:rsidP="006E6CB1">
      <w:pPr>
        <w:pStyle w:val="Dotpoint1"/>
      </w:pPr>
      <w:r w:rsidRPr="00A56C1A">
        <w:lastRenderedPageBreak/>
        <w:t>What are the specific mechanisms through which the characteristics of neighbourhood might affect an individual?</w:t>
      </w:r>
    </w:p>
    <w:p w:rsidR="00A56C1A" w:rsidRPr="00A56C1A" w:rsidRDefault="00875235" w:rsidP="006E6CB1">
      <w:pPr>
        <w:pStyle w:val="Dotpoint1"/>
      </w:pPr>
      <w:r>
        <w:t>How do individuals manage</w:t>
      </w:r>
      <w:r w:rsidR="00A56C1A" w:rsidRPr="00A56C1A">
        <w:t xml:space="preserve"> their lives in neighbourhoods of </w:t>
      </w:r>
      <w:r w:rsidR="0021491D">
        <w:t xml:space="preserve">socioeconomic </w:t>
      </w:r>
      <w:r w:rsidR="00A56C1A" w:rsidRPr="00A56C1A">
        <w:t>disadvantage, make decisions about where, how and with whom they spend their time and imagine their education and work futures?</w:t>
      </w:r>
    </w:p>
    <w:p w:rsidR="00A56C1A" w:rsidRPr="00A56C1A" w:rsidRDefault="00C70BD1" w:rsidP="00A73C73">
      <w:pPr>
        <w:pStyle w:val="Text"/>
        <w:rPr>
          <w:bCs/>
        </w:rPr>
      </w:pPr>
      <w:r>
        <w:rPr>
          <w:bCs/>
        </w:rPr>
        <w:t>A three-</w:t>
      </w:r>
      <w:r w:rsidR="00A56C1A" w:rsidRPr="00A56C1A">
        <w:rPr>
          <w:bCs/>
        </w:rPr>
        <w:t xml:space="preserve">level approach was developed to explore these questions </w:t>
      </w:r>
      <w:r w:rsidR="000869AD">
        <w:rPr>
          <w:bCs/>
        </w:rPr>
        <w:t xml:space="preserve">— </w:t>
      </w:r>
      <w:r w:rsidR="00A56C1A" w:rsidRPr="00A56C1A">
        <w:rPr>
          <w:bCs/>
        </w:rPr>
        <w:t xml:space="preserve">at the macro level of state policy and practice, </w:t>
      </w:r>
      <w:r>
        <w:rPr>
          <w:bCs/>
        </w:rPr>
        <w:t xml:space="preserve">the </w:t>
      </w:r>
      <w:r w:rsidR="00A56C1A" w:rsidRPr="00A56C1A">
        <w:rPr>
          <w:bCs/>
        </w:rPr>
        <w:t>meso level of institutions and organisations and the micro level of the young person’s experience in these neighbourhood contexts. The rationale for seeking to answer these research qu</w:t>
      </w:r>
      <w:r>
        <w:rPr>
          <w:bCs/>
        </w:rPr>
        <w:t xml:space="preserve">estions through these three categories </w:t>
      </w:r>
      <w:r w:rsidR="00A56C1A" w:rsidRPr="00A56C1A">
        <w:rPr>
          <w:bCs/>
        </w:rPr>
        <w:t xml:space="preserve">was to </w:t>
      </w:r>
      <w:r w:rsidR="000869AD">
        <w:rPr>
          <w:bCs/>
        </w:rPr>
        <w:t>attempt</w:t>
      </w:r>
      <w:r w:rsidR="00A56C1A" w:rsidRPr="00A56C1A">
        <w:rPr>
          <w:bCs/>
        </w:rPr>
        <w:t xml:space="preserve"> to locate the accounts of young people in the wider </w:t>
      </w:r>
      <w:r w:rsidR="000869AD">
        <w:rPr>
          <w:bCs/>
        </w:rPr>
        <w:t>context</w:t>
      </w:r>
      <w:r w:rsidR="00A73C73">
        <w:rPr>
          <w:bCs/>
        </w:rPr>
        <w:t xml:space="preserve"> </w:t>
      </w:r>
      <w:r w:rsidR="006C0C87">
        <w:rPr>
          <w:bCs/>
        </w:rPr>
        <w:t xml:space="preserve">in which they lived their </w:t>
      </w:r>
      <w:r w:rsidR="006C0C87" w:rsidRPr="006C0C87">
        <w:rPr>
          <w:bCs/>
        </w:rPr>
        <w:t>lives</w:t>
      </w:r>
      <w:r w:rsidR="00A56C1A" w:rsidRPr="006C0C87">
        <w:rPr>
          <w:bCs/>
        </w:rPr>
        <w:t>.</w:t>
      </w:r>
      <w:r w:rsidR="006C0C87" w:rsidRPr="006C0C87">
        <w:rPr>
          <w:bCs/>
        </w:rPr>
        <w:t xml:space="preserve"> By researching the view</w:t>
      </w:r>
      <w:r w:rsidR="00875235">
        <w:rPr>
          <w:bCs/>
        </w:rPr>
        <w:t>points not only of young people</w:t>
      </w:r>
      <w:r w:rsidR="006C0C87" w:rsidRPr="006C0C87">
        <w:rPr>
          <w:bCs/>
        </w:rPr>
        <w:t xml:space="preserve"> but also </w:t>
      </w:r>
      <w:r w:rsidR="00875235">
        <w:rPr>
          <w:bCs/>
        </w:rPr>
        <w:t>those</w:t>
      </w:r>
      <w:r w:rsidR="006C0C87" w:rsidRPr="006C0C87">
        <w:rPr>
          <w:bCs/>
        </w:rPr>
        <w:t xml:space="preserve"> of </w:t>
      </w:r>
      <w:r w:rsidR="00875235">
        <w:rPr>
          <w:bCs/>
        </w:rPr>
        <w:t>representatives from the</w:t>
      </w:r>
      <w:r w:rsidR="006C0C87" w:rsidRPr="006C0C87">
        <w:rPr>
          <w:bCs/>
        </w:rPr>
        <w:t xml:space="preserve"> key educational organisations and associations involved with young people and their transition to education and work, the approach sough</w:t>
      </w:r>
      <w:r w:rsidR="00875235">
        <w:rPr>
          <w:bCs/>
        </w:rPr>
        <w:t>t</w:t>
      </w:r>
      <w:r w:rsidR="006C0C87" w:rsidRPr="006C0C87">
        <w:rPr>
          <w:bCs/>
        </w:rPr>
        <w:t xml:space="preserve"> to collect data that could situate young people’s meanings in specific contexts and forms of interac</w:t>
      </w:r>
      <w:r w:rsidR="00875235">
        <w:rPr>
          <w:bCs/>
        </w:rPr>
        <w:t xml:space="preserve">tions. </w:t>
      </w:r>
      <w:r w:rsidR="00A56C1A" w:rsidRPr="00A56C1A">
        <w:rPr>
          <w:bCs/>
        </w:rPr>
        <w:t xml:space="preserve">In other words, the methodology drew on the work of Bourdieu and was designed to locate the habitus, dispositions and </w:t>
      </w:r>
      <w:r w:rsidR="00F46CAB">
        <w:rPr>
          <w:bCs/>
        </w:rPr>
        <w:t>the capital</w:t>
      </w:r>
      <w:r w:rsidR="00A56C1A" w:rsidRPr="00A56C1A">
        <w:rPr>
          <w:bCs/>
        </w:rPr>
        <w:t xml:space="preserve"> of young people within the wider fields of power in which they participated (Warren &amp; Webb</w:t>
      </w:r>
      <w:r w:rsidR="00F7614A">
        <w:rPr>
          <w:bCs/>
        </w:rPr>
        <w:t xml:space="preserve"> 2009). Biographical narrative</w:t>
      </w:r>
      <w:r w:rsidR="00A56C1A" w:rsidRPr="00A56C1A">
        <w:rPr>
          <w:bCs/>
        </w:rPr>
        <w:t xml:space="preserve"> was selected as the main approach to </w:t>
      </w:r>
      <w:r w:rsidR="004325F1">
        <w:rPr>
          <w:bCs/>
        </w:rPr>
        <w:t xml:space="preserve">the </w:t>
      </w:r>
      <w:r w:rsidR="00A56C1A" w:rsidRPr="00A56C1A">
        <w:rPr>
          <w:bCs/>
        </w:rPr>
        <w:t>data collection</w:t>
      </w:r>
      <w:r w:rsidR="00875235">
        <w:rPr>
          <w:bCs/>
        </w:rPr>
        <w:t>,</w:t>
      </w:r>
      <w:r w:rsidR="00A56C1A" w:rsidRPr="00A56C1A">
        <w:rPr>
          <w:bCs/>
        </w:rPr>
        <w:t xml:space="preserve"> </w:t>
      </w:r>
      <w:r w:rsidR="000869AD">
        <w:rPr>
          <w:bCs/>
        </w:rPr>
        <w:t>along with</w:t>
      </w:r>
      <w:r w:rsidR="00A56C1A" w:rsidRPr="00A56C1A">
        <w:rPr>
          <w:bCs/>
        </w:rPr>
        <w:t xml:space="preserve"> </w:t>
      </w:r>
      <w:r w:rsidR="004325F1">
        <w:rPr>
          <w:bCs/>
        </w:rPr>
        <w:t xml:space="preserve">a </w:t>
      </w:r>
      <w:r w:rsidR="00A56C1A" w:rsidRPr="00A56C1A">
        <w:rPr>
          <w:bCs/>
        </w:rPr>
        <w:t xml:space="preserve">thematic analysis of young people’s accounts of living in neighbourhoods identified as </w:t>
      </w:r>
      <w:r w:rsidR="004325F1">
        <w:rPr>
          <w:bCs/>
        </w:rPr>
        <w:t>socio</w:t>
      </w:r>
      <w:r w:rsidR="00675025">
        <w:rPr>
          <w:bCs/>
        </w:rPr>
        <w:t xml:space="preserve">economically </w:t>
      </w:r>
      <w:r w:rsidR="004325F1">
        <w:rPr>
          <w:bCs/>
        </w:rPr>
        <w:t>disadvantaged since</w:t>
      </w:r>
      <w:r w:rsidR="00A56C1A" w:rsidRPr="00A56C1A">
        <w:rPr>
          <w:bCs/>
        </w:rPr>
        <w:t xml:space="preserve"> they ‘offer rich rewards in making sense of self and others in social and historical contexts’ (Merrill </w:t>
      </w:r>
      <w:r w:rsidR="00A90926">
        <w:rPr>
          <w:bCs/>
        </w:rPr>
        <w:t>&amp;</w:t>
      </w:r>
      <w:r w:rsidR="004325F1">
        <w:rPr>
          <w:bCs/>
        </w:rPr>
        <w:t xml:space="preserve"> West</w:t>
      </w:r>
      <w:r w:rsidR="00A56C1A" w:rsidRPr="00A56C1A">
        <w:rPr>
          <w:bCs/>
        </w:rPr>
        <w:t xml:space="preserve"> 2009, </w:t>
      </w:r>
      <w:r w:rsidR="00A90926">
        <w:rPr>
          <w:bCs/>
        </w:rPr>
        <w:t>p.</w:t>
      </w:r>
      <w:r w:rsidR="00A56C1A" w:rsidRPr="00A56C1A">
        <w:rPr>
          <w:bCs/>
        </w:rPr>
        <w:t>11)</w:t>
      </w:r>
      <w:r w:rsidR="00875235">
        <w:rPr>
          <w:bCs/>
        </w:rPr>
        <w:t>.</w:t>
      </w:r>
      <w:r w:rsidR="00A56C1A" w:rsidRPr="00A56C1A">
        <w:rPr>
          <w:bCs/>
        </w:rPr>
        <w:t xml:space="preserve"> </w:t>
      </w:r>
    </w:p>
    <w:p w:rsidR="00A56C1A" w:rsidRPr="00A56C1A" w:rsidRDefault="00A56C1A" w:rsidP="00A56C1A">
      <w:pPr>
        <w:pStyle w:val="Heading2"/>
      </w:pPr>
      <w:bookmarkStart w:id="57" w:name="_Toc253925133"/>
      <w:bookmarkStart w:id="58" w:name="_Toc409079372"/>
      <w:r w:rsidRPr="00A56C1A">
        <w:t>Methods</w:t>
      </w:r>
      <w:bookmarkEnd w:id="57"/>
      <w:bookmarkEnd w:id="58"/>
    </w:p>
    <w:p w:rsidR="00A56C1A" w:rsidRPr="00A56C1A" w:rsidRDefault="00A56C1A" w:rsidP="00631598">
      <w:pPr>
        <w:pStyle w:val="Heading4"/>
      </w:pPr>
      <w:bookmarkStart w:id="59" w:name="_Toc253925134"/>
      <w:r w:rsidRPr="00A56C1A">
        <w:t>Phase 1</w:t>
      </w:r>
      <w:bookmarkEnd w:id="59"/>
    </w:p>
    <w:p w:rsidR="00CD5F9C" w:rsidRDefault="00A56C1A" w:rsidP="00A56C1A">
      <w:pPr>
        <w:pStyle w:val="Text"/>
      </w:pPr>
      <w:r w:rsidRPr="00A56C1A">
        <w:rPr>
          <w:lang w:val="en-US"/>
        </w:rPr>
        <w:t xml:space="preserve">In this phase </w:t>
      </w:r>
      <w:r w:rsidR="004325F1">
        <w:rPr>
          <w:lang w:val="en-US"/>
        </w:rPr>
        <w:t xml:space="preserve">a </w:t>
      </w:r>
      <w:r w:rsidRPr="00A56C1A">
        <w:rPr>
          <w:lang w:val="en-US"/>
        </w:rPr>
        <w:t xml:space="preserve">desk-top analysis was undertaken to </w:t>
      </w:r>
      <w:r w:rsidR="000869AD">
        <w:rPr>
          <w:lang w:val="en-US"/>
        </w:rPr>
        <w:t>reveal</w:t>
      </w:r>
      <w:r w:rsidRPr="00A56C1A">
        <w:rPr>
          <w:lang w:val="en-US"/>
        </w:rPr>
        <w:t xml:space="preserve"> the current patter</w:t>
      </w:r>
      <w:r w:rsidR="00CD5F9C">
        <w:rPr>
          <w:lang w:val="en-US"/>
        </w:rPr>
        <w:t>n of participation in education and</w:t>
      </w:r>
      <w:r w:rsidRPr="00A56C1A">
        <w:rPr>
          <w:lang w:val="en-US"/>
        </w:rPr>
        <w:t xml:space="preserve"> training and to describe the characteristics of the labour market at the sites identified for investigation</w:t>
      </w:r>
      <w:r w:rsidR="00CD5F9C">
        <w:rPr>
          <w:lang w:val="en-US"/>
        </w:rPr>
        <w:t xml:space="preserve">. The purpose of this phase of data collection and analysis was to </w:t>
      </w:r>
      <w:r w:rsidRPr="00A56C1A">
        <w:rPr>
          <w:lang w:val="en-US"/>
        </w:rPr>
        <w:t>provide an understanding of the relative opportunities for</w:t>
      </w:r>
      <w:r w:rsidR="00875235">
        <w:rPr>
          <w:lang w:val="en-US"/>
        </w:rPr>
        <w:t xml:space="preserve"> the</w:t>
      </w:r>
      <w:r w:rsidRPr="00A56C1A">
        <w:rPr>
          <w:lang w:val="en-US"/>
        </w:rPr>
        <w:t xml:space="preserve"> education a</w:t>
      </w:r>
      <w:r w:rsidR="00875235">
        <w:rPr>
          <w:lang w:val="en-US"/>
        </w:rPr>
        <w:t>nd employment of</w:t>
      </w:r>
      <w:r w:rsidR="00A90926">
        <w:rPr>
          <w:lang w:val="en-US"/>
        </w:rPr>
        <w:t xml:space="preserve"> young people.</w:t>
      </w:r>
      <w:r w:rsidR="00F7614A">
        <w:rPr>
          <w:lang w:val="en-US"/>
        </w:rPr>
        <w:t xml:space="preserve"> </w:t>
      </w:r>
      <w:r w:rsidR="004325F1">
        <w:rPr>
          <w:lang w:val="en-US"/>
        </w:rPr>
        <w:t>The s</w:t>
      </w:r>
      <w:r w:rsidR="00CD5F9C">
        <w:rPr>
          <w:lang w:val="en-US"/>
        </w:rPr>
        <w:t>ources of information included: l</w:t>
      </w:r>
      <w:r w:rsidR="00F7614A">
        <w:rPr>
          <w:lang w:val="en-US"/>
        </w:rPr>
        <w:t xml:space="preserve">ocal authority </w:t>
      </w:r>
      <w:r w:rsidR="00CD5F9C">
        <w:rPr>
          <w:lang w:val="en-US"/>
        </w:rPr>
        <w:t xml:space="preserve">area </w:t>
      </w:r>
      <w:r w:rsidR="00F7614A">
        <w:rPr>
          <w:lang w:val="en-US"/>
        </w:rPr>
        <w:t>websites</w:t>
      </w:r>
      <w:r w:rsidR="00CD5F9C">
        <w:rPr>
          <w:lang w:val="en-US"/>
        </w:rPr>
        <w:t xml:space="preserve"> describing the area characteristics;</w:t>
      </w:r>
      <w:r w:rsidR="00F7614A">
        <w:rPr>
          <w:lang w:val="en-US"/>
        </w:rPr>
        <w:t xml:space="preserve"> postcode level census data</w:t>
      </w:r>
      <w:r w:rsidR="004325F1">
        <w:rPr>
          <w:lang w:val="en-US"/>
        </w:rPr>
        <w:t>;</w:t>
      </w:r>
      <w:r w:rsidR="00F7614A">
        <w:rPr>
          <w:lang w:val="en-US"/>
        </w:rPr>
        <w:t xml:space="preserve"> and </w:t>
      </w:r>
      <w:r w:rsidR="00F7614A" w:rsidRPr="00922B06">
        <w:t>data obtained from My School websites</w:t>
      </w:r>
      <w:r w:rsidR="00CD5F9C">
        <w:t>.</w:t>
      </w:r>
      <w:r w:rsidR="00F7614A" w:rsidRPr="00922B06">
        <w:t xml:space="preserve"> </w:t>
      </w:r>
      <w:bookmarkStart w:id="60" w:name="_Toc253925135"/>
    </w:p>
    <w:p w:rsidR="00A56C1A" w:rsidRPr="00A56C1A" w:rsidRDefault="00A56C1A" w:rsidP="00631598">
      <w:pPr>
        <w:pStyle w:val="Heading4"/>
      </w:pPr>
      <w:r w:rsidRPr="00A56C1A">
        <w:t>Phase 2</w:t>
      </w:r>
      <w:bookmarkEnd w:id="60"/>
    </w:p>
    <w:p w:rsidR="00A56C1A" w:rsidRPr="00A56C1A" w:rsidRDefault="00A56C1A" w:rsidP="00A56C1A">
      <w:pPr>
        <w:pStyle w:val="Text"/>
        <w:rPr>
          <w:lang w:val="en-US"/>
        </w:rPr>
      </w:pPr>
      <w:r w:rsidRPr="00A56C1A">
        <w:rPr>
          <w:lang w:val="en-US"/>
        </w:rPr>
        <w:t xml:space="preserve">This phase involved consultations through individual and group interviews with key informants at each site to understand the provision and patterns of education and training. This phase of the research aimed to produce a detailed understanding of the supply and demand issues as they related to skill needs, employment opportunities and the provision of education and training and support for post-school participation </w:t>
      </w:r>
      <w:r w:rsidR="004325F1">
        <w:rPr>
          <w:lang w:val="en-US"/>
        </w:rPr>
        <w:t xml:space="preserve">at </w:t>
      </w:r>
      <w:r w:rsidRPr="00A56C1A">
        <w:rPr>
          <w:lang w:val="en-US"/>
        </w:rPr>
        <w:t>the selected</w:t>
      </w:r>
      <w:r w:rsidR="00E86537">
        <w:rPr>
          <w:lang w:val="en-US"/>
        </w:rPr>
        <w:t xml:space="preserve"> sites. These key informants (56</w:t>
      </w:r>
      <w:r w:rsidRPr="00A56C1A">
        <w:rPr>
          <w:lang w:val="en-US"/>
        </w:rPr>
        <w:t xml:space="preserve"> people in total</w:t>
      </w:r>
      <w:r w:rsidR="004325F1">
        <w:rPr>
          <w:lang w:val="en-US"/>
        </w:rPr>
        <w:t>;</w:t>
      </w:r>
      <w:r w:rsidR="00E86537">
        <w:rPr>
          <w:lang w:val="en-US"/>
        </w:rPr>
        <w:t xml:space="preserve"> see appendix table </w:t>
      </w:r>
      <w:r w:rsidR="000869AD">
        <w:rPr>
          <w:lang w:val="en-US"/>
        </w:rPr>
        <w:t>A9</w:t>
      </w:r>
      <w:r w:rsidRPr="00A56C1A">
        <w:rPr>
          <w:lang w:val="en-US"/>
        </w:rPr>
        <w:t>)</w:t>
      </w:r>
      <w:r w:rsidR="000E0714">
        <w:rPr>
          <w:lang w:val="en-US"/>
        </w:rPr>
        <w:t>,</w:t>
      </w:r>
      <w:r w:rsidR="00616464">
        <w:rPr>
          <w:lang w:val="en-US"/>
        </w:rPr>
        <w:t xml:space="preserve"> identified from </w:t>
      </w:r>
      <w:r w:rsidR="00616464" w:rsidRPr="00922B06">
        <w:t>education providers and key personnel from education organisations and networks (hereaft</w:t>
      </w:r>
      <w:r w:rsidR="00616464">
        <w:t>er referred to as stakeholders)</w:t>
      </w:r>
      <w:r w:rsidR="000E0714">
        <w:t>,</w:t>
      </w:r>
      <w:r w:rsidRPr="00A56C1A">
        <w:rPr>
          <w:lang w:val="en-US"/>
        </w:rPr>
        <w:t xml:space="preserve"> included:</w:t>
      </w:r>
    </w:p>
    <w:p w:rsidR="00A56C1A" w:rsidRPr="00A56C1A" w:rsidRDefault="000E0714" w:rsidP="00D0755D">
      <w:pPr>
        <w:pStyle w:val="Dotpoint1"/>
        <w:rPr>
          <w:lang w:val="en-US"/>
        </w:rPr>
      </w:pPr>
      <w:r>
        <w:rPr>
          <w:lang w:val="en-US"/>
        </w:rPr>
        <w:t>p</w:t>
      </w:r>
      <w:r w:rsidR="00A56C1A" w:rsidRPr="00A56C1A">
        <w:rPr>
          <w:lang w:val="en-US"/>
        </w:rPr>
        <w:t>ublic and private education and training providers (schools, colleges and universities)</w:t>
      </w:r>
    </w:p>
    <w:p w:rsidR="00A56C1A" w:rsidRPr="00A56C1A" w:rsidRDefault="000E0714" w:rsidP="00D0755D">
      <w:pPr>
        <w:pStyle w:val="Dotpoint1"/>
        <w:rPr>
          <w:lang w:val="en-US"/>
        </w:rPr>
      </w:pPr>
      <w:r>
        <w:rPr>
          <w:lang w:val="en-US"/>
        </w:rPr>
        <w:t>l</w:t>
      </w:r>
      <w:r w:rsidR="00A56C1A" w:rsidRPr="00A56C1A">
        <w:rPr>
          <w:lang w:val="en-US"/>
        </w:rPr>
        <w:t>ocal learning and employment network</w:t>
      </w:r>
      <w:r w:rsidR="00E86537">
        <w:rPr>
          <w:lang w:val="en-US"/>
        </w:rPr>
        <w:t>s</w:t>
      </w:r>
      <w:r w:rsidR="00A56C1A" w:rsidRPr="00A56C1A">
        <w:rPr>
          <w:lang w:val="en-US"/>
        </w:rPr>
        <w:t xml:space="preserve"> (LLEN)</w:t>
      </w:r>
    </w:p>
    <w:p w:rsidR="00A56C1A" w:rsidRPr="00A56C1A" w:rsidRDefault="000E0714" w:rsidP="00D0755D">
      <w:pPr>
        <w:pStyle w:val="Dotpoint1"/>
        <w:rPr>
          <w:lang w:val="en-US"/>
        </w:rPr>
      </w:pPr>
      <w:r>
        <w:rPr>
          <w:lang w:val="en-US"/>
        </w:rPr>
        <w:t>r</w:t>
      </w:r>
      <w:r w:rsidR="00A56C1A" w:rsidRPr="00A56C1A">
        <w:rPr>
          <w:lang w:val="en-US"/>
        </w:rPr>
        <w:t>epresentatives from state departments and local government</w:t>
      </w:r>
    </w:p>
    <w:p w:rsidR="00A56C1A" w:rsidRPr="00A56C1A" w:rsidRDefault="000E0714" w:rsidP="00D0755D">
      <w:pPr>
        <w:pStyle w:val="Dotpoint1"/>
        <w:rPr>
          <w:lang w:val="en-US"/>
        </w:rPr>
      </w:pPr>
      <w:r>
        <w:rPr>
          <w:lang w:val="en-US"/>
        </w:rPr>
        <w:t>r</w:t>
      </w:r>
      <w:r w:rsidR="00A56C1A" w:rsidRPr="00A56C1A">
        <w:rPr>
          <w:lang w:val="en-US"/>
        </w:rPr>
        <w:t xml:space="preserve">epresentatives from </w:t>
      </w:r>
      <w:r w:rsidR="00E86537">
        <w:rPr>
          <w:lang w:val="en-US"/>
        </w:rPr>
        <w:t xml:space="preserve">other </w:t>
      </w:r>
      <w:r>
        <w:rPr>
          <w:lang w:val="en-US"/>
        </w:rPr>
        <w:t>local non-governmental organis</w:t>
      </w:r>
      <w:r w:rsidR="00A56C1A" w:rsidRPr="00A56C1A">
        <w:rPr>
          <w:lang w:val="en-US"/>
        </w:rPr>
        <w:t>ations</w:t>
      </w:r>
      <w:r>
        <w:rPr>
          <w:lang w:val="en-US"/>
        </w:rPr>
        <w:t>.</w:t>
      </w:r>
      <w:r w:rsidR="00A56C1A" w:rsidRPr="00A56C1A">
        <w:rPr>
          <w:lang w:val="en-US"/>
        </w:rPr>
        <w:t xml:space="preserve"> </w:t>
      </w:r>
    </w:p>
    <w:p w:rsidR="00A56C1A" w:rsidRPr="00A56C1A" w:rsidRDefault="00A56C1A" w:rsidP="00A56C1A">
      <w:pPr>
        <w:pStyle w:val="Text"/>
        <w:rPr>
          <w:lang w:val="en-US"/>
        </w:rPr>
      </w:pPr>
      <w:r w:rsidRPr="00A56C1A">
        <w:rPr>
          <w:lang w:val="en-US"/>
        </w:rPr>
        <w:t>Through contact with these key informants</w:t>
      </w:r>
      <w:r w:rsidR="000E0714">
        <w:rPr>
          <w:lang w:val="en-US"/>
        </w:rPr>
        <w:t>,</w:t>
      </w:r>
      <w:r w:rsidRPr="00A56C1A">
        <w:rPr>
          <w:lang w:val="en-US"/>
        </w:rPr>
        <w:t xml:space="preserve"> a</w:t>
      </w:r>
      <w:r w:rsidR="000E0714">
        <w:rPr>
          <w:lang w:val="en-US"/>
        </w:rPr>
        <w:t xml:space="preserve"> population of young adults (16—</w:t>
      </w:r>
      <w:r w:rsidRPr="00A56C1A">
        <w:rPr>
          <w:lang w:val="en-US"/>
        </w:rPr>
        <w:t>25 years) w</w:t>
      </w:r>
      <w:r w:rsidR="000E0714">
        <w:rPr>
          <w:lang w:val="en-US"/>
        </w:rPr>
        <w:t>as</w:t>
      </w:r>
      <w:r w:rsidRPr="00A56C1A">
        <w:rPr>
          <w:lang w:val="en-US"/>
        </w:rPr>
        <w:t xml:space="preserve"> identified and invited to participate in Phase 3</w:t>
      </w:r>
      <w:r w:rsidR="00A90926">
        <w:rPr>
          <w:lang w:val="en-US"/>
        </w:rPr>
        <w:t>.</w:t>
      </w:r>
    </w:p>
    <w:p w:rsidR="00A56C1A" w:rsidRPr="00AA47DE" w:rsidRDefault="00A56C1A" w:rsidP="00631598">
      <w:pPr>
        <w:pStyle w:val="Heading4"/>
      </w:pPr>
      <w:bookmarkStart w:id="61" w:name="_Toc253925136"/>
      <w:r w:rsidRPr="00A56C1A">
        <w:lastRenderedPageBreak/>
        <w:t>Phase 3</w:t>
      </w:r>
      <w:bookmarkEnd w:id="61"/>
    </w:p>
    <w:p w:rsidR="00A56C1A" w:rsidRPr="00A56C1A" w:rsidRDefault="00A56C1A" w:rsidP="009F0C28">
      <w:pPr>
        <w:pStyle w:val="Text"/>
        <w:rPr>
          <w:lang w:val="en-US"/>
        </w:rPr>
      </w:pPr>
      <w:r w:rsidRPr="00A56C1A">
        <w:rPr>
          <w:lang w:val="en-US"/>
        </w:rPr>
        <w:t xml:space="preserve">Phase 3 explored education, training and the labour market issues from the perspective of young people and their social </w:t>
      </w:r>
      <w:r w:rsidRPr="00F216C9">
        <w:rPr>
          <w:lang w:val="en-US"/>
        </w:rPr>
        <w:t>networks. Purposive opportunity sampling</w:t>
      </w:r>
      <w:r w:rsidR="00F216C9" w:rsidRPr="00F216C9">
        <w:rPr>
          <w:rStyle w:val="FootnoteReference"/>
          <w:lang w:val="en-US"/>
        </w:rPr>
        <w:footnoteReference w:id="2"/>
      </w:r>
      <w:r w:rsidRPr="00F216C9">
        <w:rPr>
          <w:lang w:val="en-US"/>
        </w:rPr>
        <w:t xml:space="preserve"> was</w:t>
      </w:r>
      <w:r w:rsidRPr="00A56C1A">
        <w:rPr>
          <w:lang w:val="en-US"/>
        </w:rPr>
        <w:t xml:space="preserve"> used to identify young people who were </w:t>
      </w:r>
      <w:r w:rsidR="000E0714">
        <w:rPr>
          <w:lang w:val="en-US"/>
        </w:rPr>
        <w:t>still engaged in school beyond Y</w:t>
      </w:r>
      <w:r w:rsidRPr="00A56C1A">
        <w:rPr>
          <w:lang w:val="en-US"/>
        </w:rPr>
        <w:t xml:space="preserve">ear 10 </w:t>
      </w:r>
      <w:r w:rsidR="00813931">
        <w:rPr>
          <w:lang w:val="en-US"/>
        </w:rPr>
        <w:t xml:space="preserve">(school student group) </w:t>
      </w:r>
      <w:r w:rsidRPr="00A56C1A">
        <w:rPr>
          <w:lang w:val="en-US"/>
        </w:rPr>
        <w:t>or who were participating in VET</w:t>
      </w:r>
      <w:r w:rsidR="00A90926">
        <w:rPr>
          <w:lang w:val="en-US"/>
        </w:rPr>
        <w:t>,</w:t>
      </w:r>
      <w:r w:rsidRPr="00A56C1A">
        <w:rPr>
          <w:lang w:val="en-US"/>
        </w:rPr>
        <w:t xml:space="preserve"> college or university </w:t>
      </w:r>
      <w:r w:rsidR="000E0714">
        <w:rPr>
          <w:lang w:val="en-US"/>
        </w:rPr>
        <w:t>program</w:t>
      </w:r>
      <w:r w:rsidRPr="00844F53">
        <w:rPr>
          <w:lang w:val="en-US"/>
        </w:rPr>
        <w:t>s</w:t>
      </w:r>
      <w:r w:rsidR="00813931">
        <w:rPr>
          <w:lang w:val="en-US"/>
        </w:rPr>
        <w:t xml:space="preserve"> (post-school group)</w:t>
      </w:r>
      <w:r w:rsidRPr="00844F53">
        <w:rPr>
          <w:lang w:val="en-US"/>
        </w:rPr>
        <w:t>.</w:t>
      </w:r>
      <w:r w:rsidRPr="00A56C1A">
        <w:rPr>
          <w:lang w:val="en-US"/>
        </w:rPr>
        <w:t xml:space="preserve"> Focus group and individual i</w:t>
      </w:r>
      <w:r w:rsidR="00E86537">
        <w:rPr>
          <w:lang w:val="en-US"/>
        </w:rPr>
        <w:t>nterviews were conducted with 52</w:t>
      </w:r>
      <w:r w:rsidR="000E0714">
        <w:rPr>
          <w:lang w:val="en-US"/>
        </w:rPr>
        <w:t xml:space="preserve"> young people (16—</w:t>
      </w:r>
      <w:r w:rsidRPr="00A56C1A">
        <w:rPr>
          <w:lang w:val="en-US"/>
        </w:rPr>
        <w:t>25 years old</w:t>
      </w:r>
      <w:r w:rsidR="00813931">
        <w:rPr>
          <w:lang w:val="en-US"/>
        </w:rPr>
        <w:t>: 24 in</w:t>
      </w:r>
      <w:r w:rsidR="00E86537">
        <w:rPr>
          <w:lang w:val="en-US"/>
        </w:rPr>
        <w:t xml:space="preserve"> the school student group and 28</w:t>
      </w:r>
      <w:r w:rsidR="00813931">
        <w:rPr>
          <w:lang w:val="en-US"/>
        </w:rPr>
        <w:t xml:space="preserve"> in the post-sch</w:t>
      </w:r>
      <w:r w:rsidR="00B956F3">
        <w:rPr>
          <w:lang w:val="en-US"/>
        </w:rPr>
        <w:t xml:space="preserve">ool group, see appendix, table </w:t>
      </w:r>
      <w:r w:rsidR="000869AD">
        <w:rPr>
          <w:lang w:val="en-US"/>
        </w:rPr>
        <w:t>A10</w:t>
      </w:r>
      <w:r w:rsidR="000E0714">
        <w:rPr>
          <w:lang w:val="en-US"/>
        </w:rPr>
        <w:t>) from low-SES</w:t>
      </w:r>
      <w:r w:rsidR="00813931">
        <w:rPr>
          <w:lang w:val="en-US"/>
        </w:rPr>
        <w:t xml:space="preserve"> neighbourhoods</w:t>
      </w:r>
      <w:r w:rsidRPr="00A56C1A">
        <w:rPr>
          <w:lang w:val="en-US"/>
        </w:rPr>
        <w:t xml:space="preserve"> to </w:t>
      </w:r>
      <w:r w:rsidR="000E0714">
        <w:rPr>
          <w:lang w:val="en-US"/>
        </w:rPr>
        <w:t>determine the</w:t>
      </w:r>
      <w:r w:rsidRPr="00A56C1A">
        <w:rPr>
          <w:lang w:val="en-US"/>
        </w:rPr>
        <w:t xml:space="preserve"> inf</w:t>
      </w:r>
      <w:r w:rsidR="000E0714">
        <w:rPr>
          <w:lang w:val="en-US"/>
        </w:rPr>
        <w:t>luences on their decisions</w:t>
      </w:r>
      <w:r w:rsidRPr="00A56C1A">
        <w:rPr>
          <w:lang w:val="en-US"/>
        </w:rPr>
        <w:t xml:space="preserve"> to continue with education and training at each site. </w:t>
      </w:r>
      <w:r w:rsidR="000E0714">
        <w:rPr>
          <w:lang w:val="en-US"/>
        </w:rPr>
        <w:t>A t</w:t>
      </w:r>
      <w:r w:rsidR="00F1376A">
        <w:rPr>
          <w:lang w:val="en-US"/>
        </w:rPr>
        <w:t xml:space="preserve">hematic analysis of the focus group interviews identified a number of different post-school trajectories and patterns of participation related to different family habitus, gender and local </w:t>
      </w:r>
      <w:r w:rsidR="000E0714">
        <w:rPr>
          <w:lang w:val="en-US"/>
        </w:rPr>
        <w:t>structures with the potential to provide opportunities for these young people</w:t>
      </w:r>
      <w:r w:rsidR="00F1376A">
        <w:rPr>
          <w:lang w:val="en-US"/>
        </w:rPr>
        <w:t xml:space="preserve">. These emerging themes formed the </w:t>
      </w:r>
      <w:r w:rsidR="00F216C9">
        <w:rPr>
          <w:lang w:val="en-US"/>
        </w:rPr>
        <w:t>rationale</w:t>
      </w:r>
      <w:r w:rsidR="00F1376A">
        <w:rPr>
          <w:lang w:val="en-US"/>
        </w:rPr>
        <w:t xml:space="preserve"> for </w:t>
      </w:r>
      <w:r w:rsidR="00875235">
        <w:rPr>
          <w:lang w:val="en-US"/>
        </w:rPr>
        <w:t xml:space="preserve">the selection of </w:t>
      </w:r>
      <w:r w:rsidR="00B956F3">
        <w:rPr>
          <w:lang w:val="en-US"/>
        </w:rPr>
        <w:t>16 participants from the focus group sample (</w:t>
      </w:r>
      <w:r w:rsidR="000E0714">
        <w:rPr>
          <w:lang w:val="en-US"/>
        </w:rPr>
        <w:t>four</w:t>
      </w:r>
      <w:r w:rsidR="00F1376A">
        <w:rPr>
          <w:lang w:val="en-US"/>
        </w:rPr>
        <w:t xml:space="preserve"> from each site) for </w:t>
      </w:r>
      <w:r w:rsidR="000E0714">
        <w:rPr>
          <w:lang w:val="en-US"/>
        </w:rPr>
        <w:t xml:space="preserve">a </w:t>
      </w:r>
      <w:r w:rsidR="00F1376A">
        <w:rPr>
          <w:lang w:val="en-US"/>
        </w:rPr>
        <w:t xml:space="preserve">deeper investigation of these different pathways. The focus of the </w:t>
      </w:r>
      <w:r w:rsidRPr="00A56C1A">
        <w:rPr>
          <w:lang w:val="en-US"/>
        </w:rPr>
        <w:t xml:space="preserve">second interviews </w:t>
      </w:r>
      <w:r w:rsidR="00F1376A">
        <w:rPr>
          <w:lang w:val="en-US"/>
        </w:rPr>
        <w:t xml:space="preserve">with these 16 </w:t>
      </w:r>
      <w:r w:rsidR="00F1376A" w:rsidRPr="00A56C1A">
        <w:rPr>
          <w:lang w:val="en-US"/>
        </w:rPr>
        <w:t>individual</w:t>
      </w:r>
      <w:r w:rsidR="00F1376A">
        <w:rPr>
          <w:lang w:val="en-US"/>
        </w:rPr>
        <w:t>s</w:t>
      </w:r>
      <w:r w:rsidR="00F1376A" w:rsidRPr="00A56C1A">
        <w:rPr>
          <w:lang w:val="en-US"/>
        </w:rPr>
        <w:t xml:space="preserve"> </w:t>
      </w:r>
      <w:r w:rsidR="00F1376A">
        <w:rPr>
          <w:lang w:val="en-US"/>
        </w:rPr>
        <w:t>was</w:t>
      </w:r>
      <w:r w:rsidRPr="00A56C1A">
        <w:rPr>
          <w:lang w:val="en-US"/>
        </w:rPr>
        <w:t xml:space="preserve"> to develop case studies to identify and map the relationships between young people and the</w:t>
      </w:r>
      <w:r w:rsidR="00F1376A">
        <w:rPr>
          <w:lang w:val="en-US"/>
        </w:rPr>
        <w:t xml:space="preserve"> key people influential in the</w:t>
      </w:r>
      <w:r w:rsidRPr="00A56C1A">
        <w:rPr>
          <w:lang w:val="en-US"/>
        </w:rPr>
        <w:t xml:space="preserve"> development of their dispositions and understandings of the education and employment opportunities available to them.</w:t>
      </w:r>
      <w:r w:rsidR="00813931">
        <w:rPr>
          <w:lang w:val="en-US"/>
        </w:rPr>
        <w:t xml:space="preserve"> </w:t>
      </w:r>
      <w:r w:rsidR="00F1376A">
        <w:rPr>
          <w:lang w:val="en-US"/>
        </w:rPr>
        <w:t>The issues</w:t>
      </w:r>
      <w:r w:rsidRPr="00A56C1A">
        <w:rPr>
          <w:lang w:val="en-US"/>
        </w:rPr>
        <w:t xml:space="preserve"> explored in these focus groups and case </w:t>
      </w:r>
      <w:r w:rsidR="004D4BAD">
        <w:rPr>
          <w:lang w:val="en-US"/>
        </w:rPr>
        <w:t>studies included young people’s</w:t>
      </w:r>
      <w:r w:rsidRPr="00A56C1A">
        <w:rPr>
          <w:lang w:val="en-US"/>
        </w:rPr>
        <w:t>:</w:t>
      </w:r>
    </w:p>
    <w:p w:rsidR="00A56C1A" w:rsidRPr="00A56C1A" w:rsidRDefault="00CD5B44" w:rsidP="00D0755D">
      <w:pPr>
        <w:pStyle w:val="Dotpoint1"/>
        <w:rPr>
          <w:lang w:val="en-US"/>
        </w:rPr>
      </w:pPr>
      <w:r>
        <w:rPr>
          <w:lang w:val="en-US"/>
        </w:rPr>
        <w:t xml:space="preserve">perceptions of </w:t>
      </w:r>
      <w:r w:rsidR="00A56C1A" w:rsidRPr="00A56C1A">
        <w:rPr>
          <w:lang w:val="en-US"/>
        </w:rPr>
        <w:t xml:space="preserve">the </w:t>
      </w:r>
      <w:r w:rsidR="000869AD">
        <w:rPr>
          <w:lang w:val="en-US"/>
        </w:rPr>
        <w:t xml:space="preserve">available </w:t>
      </w:r>
      <w:r w:rsidR="00A56C1A" w:rsidRPr="00A56C1A">
        <w:rPr>
          <w:lang w:val="en-US"/>
        </w:rPr>
        <w:t>opportunities for education</w:t>
      </w:r>
      <w:r w:rsidR="000869AD">
        <w:rPr>
          <w:lang w:val="en-US"/>
        </w:rPr>
        <w:t xml:space="preserve"> and training</w:t>
      </w:r>
    </w:p>
    <w:p w:rsidR="00A56C1A" w:rsidRPr="00A56C1A" w:rsidRDefault="00A56C1A" w:rsidP="00D0755D">
      <w:pPr>
        <w:pStyle w:val="Dotpoint1"/>
        <w:rPr>
          <w:lang w:val="en-US"/>
        </w:rPr>
      </w:pPr>
      <w:r w:rsidRPr="00A56C1A">
        <w:rPr>
          <w:lang w:val="en-US"/>
        </w:rPr>
        <w:t>understanding and knowledge of the local labour market</w:t>
      </w:r>
    </w:p>
    <w:p w:rsidR="009F0C28" w:rsidRDefault="00A56C1A" w:rsidP="00D0755D">
      <w:pPr>
        <w:pStyle w:val="Dotpoint1"/>
        <w:rPr>
          <w:lang w:val="en-US"/>
        </w:rPr>
      </w:pPr>
      <w:r w:rsidRPr="00A56C1A">
        <w:rPr>
          <w:lang w:val="en-US"/>
        </w:rPr>
        <w:t>understanding and knowledge of local support networks available to help young people navigate the education and training opportuni</w:t>
      </w:r>
      <w:r w:rsidR="00CD5B44">
        <w:rPr>
          <w:lang w:val="en-US"/>
        </w:rPr>
        <w:t>ties and the local labo</w:t>
      </w:r>
      <w:r w:rsidR="000869AD">
        <w:rPr>
          <w:lang w:val="en-US"/>
        </w:rPr>
        <w:t>u</w:t>
      </w:r>
      <w:r w:rsidR="00CD5B44">
        <w:rPr>
          <w:lang w:val="en-US"/>
        </w:rPr>
        <w:t>r market</w:t>
      </w:r>
    </w:p>
    <w:p w:rsidR="00A56C1A" w:rsidRPr="00A56C1A" w:rsidRDefault="009F0C28" w:rsidP="00D0755D">
      <w:pPr>
        <w:pStyle w:val="Dotpoint1"/>
        <w:rPr>
          <w:lang w:val="en-US"/>
        </w:rPr>
      </w:pPr>
      <w:r>
        <w:rPr>
          <w:lang w:val="en-US"/>
        </w:rPr>
        <w:t>understandings of their family traditions, perceptions of education and employme</w:t>
      </w:r>
      <w:r w:rsidR="00CD5B44">
        <w:rPr>
          <w:lang w:val="en-US"/>
        </w:rPr>
        <w:t>nt and experiences of schooling</w:t>
      </w:r>
    </w:p>
    <w:p w:rsidR="00A56C1A" w:rsidRPr="00A56C1A" w:rsidRDefault="00A56C1A" w:rsidP="00D0755D">
      <w:pPr>
        <w:pStyle w:val="Dotpoint1"/>
        <w:rPr>
          <w:lang w:val="en-US"/>
        </w:rPr>
      </w:pPr>
      <w:r w:rsidRPr="00A56C1A">
        <w:rPr>
          <w:lang w:val="en-US"/>
        </w:rPr>
        <w:t>perceptions of their imagined futures</w:t>
      </w:r>
      <w:r w:rsidR="00CD5B44">
        <w:rPr>
          <w:lang w:val="en-US"/>
        </w:rPr>
        <w:t>,</w:t>
      </w:r>
      <w:r w:rsidRPr="00A56C1A">
        <w:rPr>
          <w:lang w:val="en-US"/>
        </w:rPr>
        <w:t xml:space="preserve"> including what they would like to ‘be’ and how they imagine their future lives unfolding</w:t>
      </w:r>
      <w:r w:rsidR="009F0C28">
        <w:rPr>
          <w:lang w:val="en-US"/>
        </w:rPr>
        <w:t>.</w:t>
      </w:r>
    </w:p>
    <w:p w:rsidR="00A56C1A" w:rsidRPr="00AA47DE" w:rsidRDefault="00A56C1A" w:rsidP="00A56C1A">
      <w:pPr>
        <w:pStyle w:val="Text"/>
        <w:rPr>
          <w:lang w:val="en-US"/>
        </w:rPr>
      </w:pPr>
      <w:r w:rsidRPr="00A56C1A">
        <w:rPr>
          <w:lang w:val="en-US"/>
        </w:rPr>
        <w:t>Of note is that</w:t>
      </w:r>
      <w:r w:rsidR="000869AD">
        <w:rPr>
          <w:lang w:val="en-US"/>
        </w:rPr>
        <w:t>,</w:t>
      </w:r>
      <w:r w:rsidRPr="00A56C1A">
        <w:rPr>
          <w:lang w:val="en-US"/>
        </w:rPr>
        <w:t xml:space="preserve"> whi</w:t>
      </w:r>
      <w:r w:rsidR="00CD5B44">
        <w:rPr>
          <w:lang w:val="en-US"/>
        </w:rPr>
        <w:t>le</w:t>
      </w:r>
      <w:r w:rsidRPr="00A56C1A">
        <w:rPr>
          <w:lang w:val="en-US"/>
        </w:rPr>
        <w:t xml:space="preserve"> the purposive sampling resulted in a near gender split in the grou</w:t>
      </w:r>
      <w:r w:rsidR="00CD5B44">
        <w:rPr>
          <w:lang w:val="en-US"/>
        </w:rPr>
        <w:t>p being studied —</w:t>
      </w:r>
      <w:r w:rsidR="00B956F3">
        <w:rPr>
          <w:lang w:val="en-US"/>
        </w:rPr>
        <w:t xml:space="preserve"> 24 males and 28</w:t>
      </w:r>
      <w:r w:rsidR="00CD5B44">
        <w:rPr>
          <w:lang w:val="en-US"/>
        </w:rPr>
        <w:t xml:space="preserve"> females —</w:t>
      </w:r>
      <w:r w:rsidRPr="00A56C1A">
        <w:rPr>
          <w:lang w:val="en-US"/>
        </w:rPr>
        <w:t xml:space="preserve"> the cultural and ethnic background was predominantly white Australian. </w:t>
      </w:r>
      <w:r w:rsidRPr="00F216C9">
        <w:rPr>
          <w:lang w:val="en-US"/>
        </w:rPr>
        <w:t xml:space="preserve">Only </w:t>
      </w:r>
      <w:r w:rsidR="00F216C9" w:rsidRPr="00F216C9">
        <w:rPr>
          <w:lang w:val="en-US"/>
        </w:rPr>
        <w:t>12</w:t>
      </w:r>
      <w:r w:rsidR="00C450B4" w:rsidRPr="00F216C9">
        <w:rPr>
          <w:lang w:val="en-US"/>
        </w:rPr>
        <w:t xml:space="preserve"> of</w:t>
      </w:r>
      <w:r w:rsidR="00C450B4">
        <w:rPr>
          <w:lang w:val="en-US"/>
        </w:rPr>
        <w:t xml:space="preserve"> the participants self-</w:t>
      </w:r>
      <w:r w:rsidRPr="00A56C1A">
        <w:rPr>
          <w:lang w:val="en-US"/>
        </w:rPr>
        <w:t xml:space="preserve">identified with other ethnic or cultural backgrounds, including </w:t>
      </w:r>
      <w:r w:rsidR="00B22C6F">
        <w:rPr>
          <w:lang w:val="en-US"/>
        </w:rPr>
        <w:t>seven</w:t>
      </w:r>
      <w:r w:rsidRPr="00A56C1A">
        <w:rPr>
          <w:lang w:val="en-US"/>
        </w:rPr>
        <w:t xml:space="preserve"> with European and U</w:t>
      </w:r>
      <w:r w:rsidR="00B22C6F">
        <w:rPr>
          <w:lang w:val="en-US"/>
        </w:rPr>
        <w:t xml:space="preserve">nited </w:t>
      </w:r>
      <w:r w:rsidRPr="00A56C1A">
        <w:rPr>
          <w:lang w:val="en-US"/>
        </w:rPr>
        <w:t>K</w:t>
      </w:r>
      <w:r w:rsidR="00CD5B44">
        <w:rPr>
          <w:lang w:val="en-US"/>
        </w:rPr>
        <w:t>ingdom parental origins;</w:t>
      </w:r>
      <w:r w:rsidRPr="00A56C1A">
        <w:rPr>
          <w:lang w:val="en-US"/>
        </w:rPr>
        <w:t xml:space="preserve"> </w:t>
      </w:r>
      <w:r w:rsidR="00CD5B44">
        <w:rPr>
          <w:lang w:val="en-US"/>
        </w:rPr>
        <w:t xml:space="preserve">the other ethnic backgrounds were: </w:t>
      </w:r>
      <w:r w:rsidR="00B22C6F">
        <w:rPr>
          <w:lang w:val="en-US"/>
        </w:rPr>
        <w:t>one</w:t>
      </w:r>
      <w:r w:rsidRPr="00A56C1A">
        <w:rPr>
          <w:lang w:val="en-US"/>
        </w:rPr>
        <w:t xml:space="preserve"> Maori; </w:t>
      </w:r>
      <w:r w:rsidR="00B22C6F">
        <w:rPr>
          <w:lang w:val="en-US"/>
        </w:rPr>
        <w:t>one</w:t>
      </w:r>
      <w:r w:rsidRPr="00A56C1A">
        <w:rPr>
          <w:lang w:val="en-US"/>
        </w:rPr>
        <w:t xml:space="preserve"> Filipino; </w:t>
      </w:r>
      <w:r w:rsidR="00B22C6F">
        <w:rPr>
          <w:lang w:val="en-US"/>
        </w:rPr>
        <w:t>one</w:t>
      </w:r>
      <w:r w:rsidRPr="00A56C1A">
        <w:rPr>
          <w:lang w:val="en-US"/>
        </w:rPr>
        <w:t xml:space="preserve"> Mexican; </w:t>
      </w:r>
      <w:r w:rsidR="00B22C6F">
        <w:rPr>
          <w:lang w:val="en-US"/>
        </w:rPr>
        <w:t>one w</w:t>
      </w:r>
      <w:r w:rsidRPr="00A56C1A">
        <w:rPr>
          <w:lang w:val="en-US"/>
        </w:rPr>
        <w:t xml:space="preserve">hite South African; and </w:t>
      </w:r>
      <w:r w:rsidR="00B22C6F">
        <w:rPr>
          <w:lang w:val="en-US"/>
        </w:rPr>
        <w:t>one Indigenous person</w:t>
      </w:r>
      <w:r w:rsidRPr="00A56C1A">
        <w:rPr>
          <w:lang w:val="en-US"/>
        </w:rPr>
        <w:t>. Therefore, a limitation of the study was not being able to examine the effects of rac</w:t>
      </w:r>
      <w:r w:rsidR="00B22C6F">
        <w:rPr>
          <w:lang w:val="en-US"/>
        </w:rPr>
        <w:t xml:space="preserve">e and ethnicity to any extent. </w:t>
      </w:r>
      <w:r w:rsidRPr="00A56C1A">
        <w:rPr>
          <w:lang w:val="en-US"/>
        </w:rPr>
        <w:t xml:space="preserve">The sample did not reflect the </w:t>
      </w:r>
      <w:r w:rsidR="00CD30D7">
        <w:rPr>
          <w:lang w:val="en-US"/>
        </w:rPr>
        <w:t>increasing</w:t>
      </w:r>
      <w:r w:rsidRPr="00A56C1A">
        <w:rPr>
          <w:lang w:val="en-US"/>
        </w:rPr>
        <w:t xml:space="preserve"> divers</w:t>
      </w:r>
      <w:r w:rsidR="00875235">
        <w:rPr>
          <w:lang w:val="en-US"/>
        </w:rPr>
        <w:t>ity in one of the postcode areas</w:t>
      </w:r>
      <w:r w:rsidRPr="00A56C1A">
        <w:rPr>
          <w:lang w:val="en-US"/>
        </w:rPr>
        <w:t xml:space="preserve"> </w:t>
      </w:r>
      <w:r w:rsidR="00CD30D7">
        <w:rPr>
          <w:lang w:val="en-US"/>
        </w:rPr>
        <w:t>in which</w:t>
      </w:r>
      <w:r w:rsidRPr="00A56C1A">
        <w:rPr>
          <w:lang w:val="en-US"/>
        </w:rPr>
        <w:t xml:space="preserve"> new cul</w:t>
      </w:r>
      <w:r w:rsidR="00AA47DE">
        <w:rPr>
          <w:lang w:val="en-US"/>
        </w:rPr>
        <w:t>tural communities are settling.</w:t>
      </w:r>
      <w:r w:rsidR="009F0C28">
        <w:rPr>
          <w:lang w:val="en-US"/>
        </w:rPr>
        <w:t xml:space="preserve"> Finally, as indicated above, </w:t>
      </w:r>
      <w:r w:rsidR="00CD30D7">
        <w:rPr>
          <w:lang w:val="en-US"/>
        </w:rPr>
        <w:t xml:space="preserve">in purposefully sampling those who were the exceptions in continuing in education and training in order to understand how they achieved this </w:t>
      </w:r>
      <w:r w:rsidR="009F0C28">
        <w:rPr>
          <w:lang w:val="en-US"/>
        </w:rPr>
        <w:t>in these areas of low post-school education and training participation</w:t>
      </w:r>
      <w:r w:rsidR="004D4BAD">
        <w:rPr>
          <w:lang w:val="en-US"/>
        </w:rPr>
        <w:t>,</w:t>
      </w:r>
      <w:r w:rsidR="009F0C28">
        <w:rPr>
          <w:lang w:val="en-US"/>
        </w:rPr>
        <w:t xml:space="preserve"> </w:t>
      </w:r>
      <w:r w:rsidR="008C6B35">
        <w:rPr>
          <w:lang w:val="en-US"/>
        </w:rPr>
        <w:t xml:space="preserve">the sample did not include those disengaged from education or training. Nevertheless, </w:t>
      </w:r>
      <w:r w:rsidR="00CD30D7">
        <w:rPr>
          <w:lang w:val="en-US"/>
        </w:rPr>
        <w:t xml:space="preserve">in </w:t>
      </w:r>
      <w:r w:rsidR="008C6B35">
        <w:rPr>
          <w:lang w:val="en-US"/>
        </w:rPr>
        <w:t>interviews with education providers and key personnel working with young people (the stakeholders) all types of post-school pathways</w:t>
      </w:r>
      <w:r w:rsidR="00CD30D7">
        <w:rPr>
          <w:lang w:val="en-US"/>
        </w:rPr>
        <w:t xml:space="preserve"> were discussed</w:t>
      </w:r>
      <w:r w:rsidR="008C6B35">
        <w:rPr>
          <w:lang w:val="en-US"/>
        </w:rPr>
        <w:t xml:space="preserve">. </w:t>
      </w:r>
    </w:p>
    <w:p w:rsidR="00A56C1A" w:rsidRPr="00A56C1A" w:rsidRDefault="00A56C1A" w:rsidP="00AA47DE">
      <w:pPr>
        <w:pStyle w:val="Heading2"/>
      </w:pPr>
      <w:bookmarkStart w:id="62" w:name="_Toc253925137"/>
      <w:bookmarkStart w:id="63" w:name="_Toc409079373"/>
      <w:r w:rsidRPr="00A56C1A">
        <w:lastRenderedPageBreak/>
        <w:t>Analysis</w:t>
      </w:r>
      <w:bookmarkEnd w:id="62"/>
      <w:bookmarkEnd w:id="63"/>
    </w:p>
    <w:p w:rsidR="00A56C1A" w:rsidRPr="00A56C1A" w:rsidRDefault="00A56C1A" w:rsidP="00A56C1A">
      <w:pPr>
        <w:pStyle w:val="Text"/>
      </w:pPr>
      <w:r w:rsidRPr="00A56C1A">
        <w:t>The</w:t>
      </w:r>
      <w:r w:rsidR="00CD30D7">
        <w:t xml:space="preserve"> the</w:t>
      </w:r>
      <w:r w:rsidRPr="00A56C1A">
        <w:t>matic analysis was developed:</w:t>
      </w:r>
    </w:p>
    <w:p w:rsidR="00A56C1A" w:rsidRPr="00A56C1A" w:rsidRDefault="00CD30D7" w:rsidP="00631598">
      <w:pPr>
        <w:pStyle w:val="Dotpoint1"/>
      </w:pPr>
      <w:proofErr w:type="gramStart"/>
      <w:r>
        <w:t>t</w:t>
      </w:r>
      <w:r w:rsidR="00A56C1A" w:rsidRPr="00A56C1A">
        <w:t>o</w:t>
      </w:r>
      <w:proofErr w:type="gramEnd"/>
      <w:r w:rsidR="00A56C1A" w:rsidRPr="00A56C1A">
        <w:t xml:space="preserve"> bring together the insights </w:t>
      </w:r>
      <w:r w:rsidR="008C6B35">
        <w:t>identified</w:t>
      </w:r>
      <w:r w:rsidR="00A56C1A" w:rsidRPr="00A56C1A">
        <w:t xml:space="preserve"> through </w:t>
      </w:r>
      <w:r w:rsidR="00875235">
        <w:t>P</w:t>
      </w:r>
      <w:r w:rsidR="00A56C1A" w:rsidRPr="00A56C1A">
        <w:t xml:space="preserve">hases </w:t>
      </w:r>
      <w:r>
        <w:t>1</w:t>
      </w:r>
      <w:r w:rsidR="00A56C1A" w:rsidRPr="00A56C1A">
        <w:t xml:space="preserve"> and </w:t>
      </w:r>
      <w:r>
        <w:t>2</w:t>
      </w:r>
      <w:r w:rsidR="00A56C1A" w:rsidRPr="00A56C1A">
        <w:t xml:space="preserve"> about the opportunity structures and practices available to young adults in these selected si</w:t>
      </w:r>
      <w:r w:rsidR="008C6B35">
        <w:t>tes, with the insights identified</w:t>
      </w:r>
      <w:r w:rsidR="00A56C1A" w:rsidRPr="00A56C1A">
        <w:t xml:space="preserve"> from </w:t>
      </w:r>
      <w:r w:rsidR="00875235">
        <w:t>P</w:t>
      </w:r>
      <w:r w:rsidR="00A56C1A" w:rsidRPr="00A56C1A">
        <w:t xml:space="preserve">hase </w:t>
      </w:r>
      <w:r>
        <w:t>3</w:t>
      </w:r>
      <w:r w:rsidR="00A56C1A" w:rsidRPr="00A56C1A">
        <w:t xml:space="preserve"> </w:t>
      </w:r>
      <w:r>
        <w:t>on</w:t>
      </w:r>
      <w:r w:rsidR="00A56C1A" w:rsidRPr="00A56C1A">
        <w:t xml:space="preserve"> how young people experience and understand these opportunities and make </w:t>
      </w:r>
      <w:r w:rsidR="004D4BAD">
        <w:t xml:space="preserve">choices and </w:t>
      </w:r>
      <w:r w:rsidR="00AA47DE">
        <w:t>decisions about their futures.</w:t>
      </w:r>
    </w:p>
    <w:p w:rsidR="00A56C1A" w:rsidRPr="00254E28" w:rsidRDefault="00CD30D7" w:rsidP="00631598">
      <w:pPr>
        <w:pStyle w:val="Dotpoint1"/>
      </w:pPr>
      <w:proofErr w:type="gramStart"/>
      <w:r>
        <w:t>t</w:t>
      </w:r>
      <w:r w:rsidR="00254E28" w:rsidRPr="00254E28">
        <w:t>o</w:t>
      </w:r>
      <w:proofErr w:type="gramEnd"/>
      <w:r w:rsidR="00254E28" w:rsidRPr="00254E28">
        <w:t xml:space="preserve"> provide an understanding of the </w:t>
      </w:r>
      <w:r>
        <w:t>context</w:t>
      </w:r>
      <w:r w:rsidR="00A56C1A" w:rsidRPr="00254E28">
        <w:t xml:space="preserve"> of </w:t>
      </w:r>
      <w:r w:rsidR="00254E28" w:rsidRPr="00254E28">
        <w:t xml:space="preserve">decision-making. In other words, by </w:t>
      </w:r>
      <w:r>
        <w:t>combining</w:t>
      </w:r>
      <w:r w:rsidR="00254E28" w:rsidRPr="00254E28">
        <w:t xml:space="preserve"> </w:t>
      </w:r>
      <w:r w:rsidR="00A56C1A" w:rsidRPr="00254E28">
        <w:t xml:space="preserve">the </w:t>
      </w:r>
      <w:r w:rsidR="00254E28" w:rsidRPr="00254E28">
        <w:t xml:space="preserve">qualitative understandings of how young people make </w:t>
      </w:r>
      <w:r w:rsidR="004D4BAD">
        <w:t xml:space="preserve">choices and </w:t>
      </w:r>
      <w:r w:rsidR="00254E28" w:rsidRPr="00254E28">
        <w:t xml:space="preserve">decisions with the </w:t>
      </w:r>
      <w:r w:rsidR="00A56C1A" w:rsidRPr="00254E28">
        <w:t xml:space="preserve">knowledge generated about the opportunities </w:t>
      </w:r>
      <w:r w:rsidR="00254E28" w:rsidRPr="00254E28">
        <w:t xml:space="preserve">structures </w:t>
      </w:r>
      <w:r w:rsidR="00A56C1A" w:rsidRPr="00254E28">
        <w:t>and practices operating in the specific sites</w:t>
      </w:r>
      <w:r w:rsidR="003F2512">
        <w:t>, the analysis seeks to</w:t>
      </w:r>
      <w:r w:rsidR="00254E28" w:rsidRPr="00254E28">
        <w:t xml:space="preserve"> identify the </w:t>
      </w:r>
      <w:r w:rsidR="00A56C1A" w:rsidRPr="00254E28">
        <w:t>heterogeneous effects of neighbourhoods on education and work outcomes.</w:t>
      </w:r>
    </w:p>
    <w:p w:rsidR="00A56C1A" w:rsidRPr="00A56C1A" w:rsidRDefault="00A56C1A" w:rsidP="00AA47DE">
      <w:pPr>
        <w:pStyle w:val="Heading2"/>
      </w:pPr>
      <w:bookmarkStart w:id="64" w:name="_Toc253925138"/>
      <w:bookmarkStart w:id="65" w:name="_Toc409079374"/>
      <w:r w:rsidRPr="00A56C1A">
        <w:t>Selection of the ‘neighbourhood’ sites</w:t>
      </w:r>
      <w:bookmarkEnd w:id="64"/>
      <w:bookmarkEnd w:id="65"/>
    </w:p>
    <w:p w:rsidR="00516BFC" w:rsidRPr="008B150C" w:rsidRDefault="00A56C1A" w:rsidP="008B150C">
      <w:pPr>
        <w:pStyle w:val="Text"/>
      </w:pPr>
      <w:r w:rsidRPr="00A56C1A">
        <w:t>A closer examination of the quantitative data that linked the average neighbourhood characteristics</w:t>
      </w:r>
      <w:r w:rsidR="00FD5EDC">
        <w:t>,</w:t>
      </w:r>
      <w:r w:rsidRPr="00A56C1A">
        <w:t xml:space="preserve"> derived from the census data (</w:t>
      </w:r>
      <w:r w:rsidR="00FD5EDC">
        <w:t xml:space="preserve">and </w:t>
      </w:r>
      <w:r w:rsidRPr="00A56C1A">
        <w:t>using postcodes)</w:t>
      </w:r>
      <w:r w:rsidR="00FD5EDC">
        <w:t>,</w:t>
      </w:r>
      <w:r w:rsidRPr="00A56C1A">
        <w:t xml:space="preserve"> to </w:t>
      </w:r>
      <w:r w:rsidRPr="00532395">
        <w:t>the longitudinal survey</w:t>
      </w:r>
      <w:r w:rsidR="00994936" w:rsidRPr="00532395">
        <w:t>s</w:t>
      </w:r>
      <w:r w:rsidRPr="00532395">
        <w:t xml:space="preserve"> of young people (LSAY data</w:t>
      </w:r>
      <w:r w:rsidR="00C22130" w:rsidRPr="00532395">
        <w:t>, 2003 cohort</w:t>
      </w:r>
      <w:r w:rsidRPr="00532395">
        <w:t>) showed that</w:t>
      </w:r>
      <w:r w:rsidR="009C368F" w:rsidRPr="00532395">
        <w:t xml:space="preserve"> some neighbourhoods with below-</w:t>
      </w:r>
      <w:r w:rsidRPr="00532395">
        <w:t xml:space="preserve">average </w:t>
      </w:r>
      <w:r w:rsidR="0021491D" w:rsidRPr="00532395">
        <w:t xml:space="preserve">socioeconomic </w:t>
      </w:r>
      <w:r w:rsidR="009C368F" w:rsidRPr="00532395">
        <w:t>status have</w:t>
      </w:r>
      <w:bookmarkStart w:id="66" w:name="_GoBack"/>
      <w:bookmarkEnd w:id="66"/>
      <w:r w:rsidR="009C368F">
        <w:t xml:space="preserve"> above-</w:t>
      </w:r>
      <w:r w:rsidRPr="00A56C1A">
        <w:t>average student ou</w:t>
      </w:r>
      <w:r w:rsidR="009C368F">
        <w:t>tcomes and vice versa (</w:t>
      </w:r>
      <w:r w:rsidR="00C22130">
        <w:t xml:space="preserve">Johnston et al 2014; </w:t>
      </w:r>
      <w:r w:rsidR="009C368F">
        <w:t>Johnston</w:t>
      </w:r>
      <w:r w:rsidRPr="00A56C1A">
        <w:t xml:space="preserve"> 2013</w:t>
      </w:r>
      <w:r w:rsidR="009C368F">
        <w:t>, pers. comm.</w:t>
      </w:r>
      <w:r w:rsidR="00B22C6F">
        <w:t xml:space="preserve">). </w:t>
      </w:r>
      <w:r w:rsidRPr="00A56C1A">
        <w:t xml:space="preserve">These </w:t>
      </w:r>
      <w:r w:rsidR="00FD5EDC" w:rsidRPr="00F216C9">
        <w:t>apparent anomalies</w:t>
      </w:r>
      <w:r w:rsidR="008B150C" w:rsidRPr="00F216C9">
        <w:t xml:space="preserve"> </w:t>
      </w:r>
      <w:r w:rsidR="008B150C">
        <w:t xml:space="preserve">were </w:t>
      </w:r>
      <w:r w:rsidR="009C368F">
        <w:t>discernible</w:t>
      </w:r>
      <w:r w:rsidR="008B150C">
        <w:t xml:space="preserve"> in a</w:t>
      </w:r>
      <w:r w:rsidRPr="00A56C1A">
        <w:t xml:space="preserve"> range of neighbourhood types across the </w:t>
      </w:r>
      <w:r w:rsidR="009C368F" w:rsidRPr="00A56C1A">
        <w:t xml:space="preserve">states and territories </w:t>
      </w:r>
      <w:r w:rsidR="00EC64D8">
        <w:t>in, for example</w:t>
      </w:r>
      <w:r w:rsidRPr="00A56C1A">
        <w:t>: areas experiencing industrial restructuring and the changing role of manufactu</w:t>
      </w:r>
      <w:r w:rsidR="008B150C">
        <w:t xml:space="preserve">ring in the local labour market; </w:t>
      </w:r>
      <w:r w:rsidRPr="00A56C1A">
        <w:t xml:space="preserve">areas of </w:t>
      </w:r>
      <w:r w:rsidR="00875235">
        <w:t>increasing</w:t>
      </w:r>
      <w:r w:rsidRPr="00A56C1A">
        <w:t xml:space="preserve"> population through the growth of the mostly private </w:t>
      </w:r>
      <w:r w:rsidR="008E0670" w:rsidRPr="004C0996">
        <w:rPr>
          <w:bCs/>
        </w:rPr>
        <w:t>urban</w:t>
      </w:r>
      <w:r w:rsidR="008E0670">
        <w:rPr>
          <w:bCs/>
        </w:rPr>
        <w:t xml:space="preserve"> fringe</w:t>
      </w:r>
      <w:r w:rsidR="008E0670" w:rsidRPr="00A56C1A">
        <w:t xml:space="preserve"> </w:t>
      </w:r>
      <w:r w:rsidRPr="00A56C1A">
        <w:t>residential housing market; and more remote regional</w:t>
      </w:r>
      <w:r w:rsidR="00987E5B">
        <w:t xml:space="preserve"> communities (more than three to </w:t>
      </w:r>
      <w:r w:rsidRPr="00A56C1A">
        <w:t xml:space="preserve">four hours drive from metropolitan areas). By correlating postcodes with LSAY data, four neighbourhoods in two states (Victoria and South Australia) were identified as </w:t>
      </w:r>
      <w:r w:rsidR="000521B1">
        <w:t>exempli</w:t>
      </w:r>
      <w:r w:rsidR="00EC64D8">
        <w:t>f</w:t>
      </w:r>
      <w:r w:rsidR="000521B1">
        <w:t>y</w:t>
      </w:r>
      <w:r w:rsidR="00EC64D8">
        <w:t>ing</w:t>
      </w:r>
      <w:r w:rsidRPr="00A56C1A">
        <w:t xml:space="preserve"> the different dimensions and findings </w:t>
      </w:r>
      <w:r w:rsidR="000521B1">
        <w:t>of</w:t>
      </w:r>
      <w:r w:rsidRPr="00A56C1A">
        <w:t xml:space="preserve"> the quantitative study </w:t>
      </w:r>
      <w:r w:rsidR="00875235">
        <w:t>and</w:t>
      </w:r>
      <w:r w:rsidR="00EC64D8">
        <w:t xml:space="preserve"> needed further exploration. A</w:t>
      </w:r>
      <w:r w:rsidRPr="00A56C1A">
        <w:t xml:space="preserve">ll four neighbourhoods were identified </w:t>
      </w:r>
      <w:r w:rsidR="00EC64D8">
        <w:t>as ‘l</w:t>
      </w:r>
      <w:r w:rsidR="00B22C6F">
        <w:t>ow SES’;</w:t>
      </w:r>
      <w:r w:rsidRPr="00A56C1A">
        <w:t xml:space="preserve"> they encompassed </w:t>
      </w:r>
      <w:r w:rsidRPr="001D69DA">
        <w:t xml:space="preserve">both </w:t>
      </w:r>
      <w:r w:rsidR="008E0670" w:rsidRPr="004C0996">
        <w:rPr>
          <w:bCs/>
        </w:rPr>
        <w:t>urban</w:t>
      </w:r>
      <w:r w:rsidR="008E0670">
        <w:rPr>
          <w:bCs/>
        </w:rPr>
        <w:t xml:space="preserve"> fringe</w:t>
      </w:r>
      <w:r w:rsidR="008E0670" w:rsidRPr="001D69DA">
        <w:t xml:space="preserve"> </w:t>
      </w:r>
      <w:r w:rsidR="00B22C6F" w:rsidRPr="001D69DA">
        <w:t>and regional and rural areas;</w:t>
      </w:r>
      <w:r w:rsidRPr="001D69DA">
        <w:t xml:space="preserve"> and two had positive and two had negative scores in relation to </w:t>
      </w:r>
      <w:r w:rsidR="004D4BAD">
        <w:t xml:space="preserve">the norm for </w:t>
      </w:r>
      <w:r w:rsidRPr="001D69DA">
        <w:t>young people’s educational ‘Performance</w:t>
      </w:r>
      <w:r w:rsidR="00B22C6F" w:rsidRPr="001D69DA">
        <w:t xml:space="preserve"> Index’ </w:t>
      </w:r>
      <w:r w:rsidR="000521B1">
        <w:t>in areas of l</w:t>
      </w:r>
      <w:r w:rsidR="004D4BAD">
        <w:t xml:space="preserve">ow SES </w:t>
      </w:r>
      <w:r w:rsidR="00B22C6F" w:rsidRPr="001D69DA">
        <w:t>(see</w:t>
      </w:r>
      <w:r w:rsidR="001D69DA" w:rsidRPr="001D69DA">
        <w:t xml:space="preserve"> </w:t>
      </w:r>
      <w:r w:rsidR="000521B1">
        <w:t>t</w:t>
      </w:r>
      <w:r w:rsidR="00B22C6F" w:rsidRPr="001D69DA">
        <w:t>able 1).</w:t>
      </w:r>
      <w:bookmarkStart w:id="67" w:name="_Toc254034415"/>
    </w:p>
    <w:p w:rsidR="00794DD6" w:rsidRPr="008246B0" w:rsidRDefault="000521B1" w:rsidP="008246B0">
      <w:pPr>
        <w:pStyle w:val="tabletitle"/>
      </w:pPr>
      <w:bookmarkStart w:id="68" w:name="_Toc409079312"/>
      <w:r w:rsidRPr="008246B0">
        <w:t>Table 1</w:t>
      </w:r>
      <w:r w:rsidR="00794DD6" w:rsidRPr="008246B0">
        <w:t xml:space="preserve"> Selected </w:t>
      </w:r>
      <w:proofErr w:type="gramStart"/>
      <w:r w:rsidR="00794DD6" w:rsidRPr="008246B0">
        <w:t>neighbourhoods</w:t>
      </w:r>
      <w:bookmarkEnd w:id="67"/>
      <w:bookmarkEnd w:id="68"/>
      <w:proofErr w:type="gramEnd"/>
    </w:p>
    <w:tbl>
      <w:tblPr>
        <w:tblW w:w="4861"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65"/>
        <w:gridCol w:w="1345"/>
        <w:gridCol w:w="1133"/>
        <w:gridCol w:w="1135"/>
        <w:gridCol w:w="1068"/>
        <w:gridCol w:w="1173"/>
        <w:gridCol w:w="1835"/>
      </w:tblGrid>
      <w:tr w:rsidR="00491B88" w:rsidRPr="008246B0" w:rsidTr="008246B0">
        <w:tc>
          <w:tcPr>
            <w:tcW w:w="608" w:type="pct"/>
            <w:tcBorders>
              <w:left w:val="nil"/>
              <w:bottom w:val="single" w:sz="4" w:space="0" w:color="000000"/>
              <w:right w:val="nil"/>
            </w:tcBorders>
          </w:tcPr>
          <w:p w:rsidR="00794DD6" w:rsidRPr="008246B0" w:rsidRDefault="00794DD6" w:rsidP="008246B0">
            <w:pPr>
              <w:pStyle w:val="Tablehead1"/>
            </w:pPr>
            <w:r w:rsidRPr="008246B0">
              <w:t>State</w:t>
            </w:r>
          </w:p>
        </w:tc>
        <w:tc>
          <w:tcPr>
            <w:tcW w:w="768" w:type="pct"/>
            <w:tcBorders>
              <w:left w:val="nil"/>
              <w:bottom w:val="single" w:sz="4" w:space="0" w:color="000000"/>
              <w:right w:val="nil"/>
            </w:tcBorders>
            <w:shd w:val="clear" w:color="auto" w:fill="auto"/>
          </w:tcPr>
          <w:p w:rsidR="00794DD6" w:rsidRPr="008246B0" w:rsidRDefault="00794DD6" w:rsidP="008246B0">
            <w:pPr>
              <w:pStyle w:val="Tablehead1"/>
              <w:jc w:val="center"/>
            </w:pPr>
            <w:r w:rsidRPr="008246B0">
              <w:t>Postcode</w:t>
            </w:r>
          </w:p>
        </w:tc>
        <w:tc>
          <w:tcPr>
            <w:tcW w:w="1295" w:type="pct"/>
            <w:gridSpan w:val="2"/>
            <w:tcBorders>
              <w:left w:val="nil"/>
              <w:bottom w:val="single" w:sz="4" w:space="0" w:color="000000"/>
              <w:right w:val="nil"/>
            </w:tcBorders>
          </w:tcPr>
          <w:p w:rsidR="00794DD6" w:rsidRPr="008246B0" w:rsidRDefault="00BC3470" w:rsidP="008246B0">
            <w:pPr>
              <w:pStyle w:val="Tablehead1"/>
              <w:jc w:val="center"/>
            </w:pPr>
            <w:r w:rsidRPr="008246B0">
              <w:t>Place</w:t>
            </w:r>
            <w:r w:rsidR="00875235" w:rsidRPr="00875235">
              <w:rPr>
                <w:vertAlign w:val="superscript"/>
              </w:rPr>
              <w:t>1</w:t>
            </w:r>
            <w:r w:rsidR="008B150C" w:rsidRPr="008246B0">
              <w:t xml:space="preserve"> and area </w:t>
            </w:r>
            <w:r w:rsidR="008246B0">
              <w:br/>
            </w:r>
            <w:r w:rsidR="008B150C" w:rsidRPr="008246B0">
              <w:t>description</w:t>
            </w:r>
          </w:p>
        </w:tc>
        <w:tc>
          <w:tcPr>
            <w:tcW w:w="610" w:type="pct"/>
            <w:tcBorders>
              <w:left w:val="nil"/>
              <w:bottom w:val="single" w:sz="4" w:space="0" w:color="000000"/>
              <w:right w:val="nil"/>
            </w:tcBorders>
            <w:shd w:val="clear" w:color="auto" w:fill="auto"/>
          </w:tcPr>
          <w:p w:rsidR="00794DD6" w:rsidRPr="008246B0" w:rsidRDefault="008B150C" w:rsidP="008246B0">
            <w:pPr>
              <w:pStyle w:val="Tablehead1"/>
              <w:jc w:val="center"/>
            </w:pPr>
            <w:r w:rsidRPr="008246B0">
              <w:t>Number of cases in postcode</w:t>
            </w:r>
          </w:p>
        </w:tc>
        <w:tc>
          <w:tcPr>
            <w:tcW w:w="670" w:type="pct"/>
            <w:tcBorders>
              <w:left w:val="nil"/>
              <w:bottom w:val="single" w:sz="4" w:space="0" w:color="000000"/>
              <w:right w:val="nil"/>
            </w:tcBorders>
            <w:shd w:val="clear" w:color="auto" w:fill="auto"/>
          </w:tcPr>
          <w:p w:rsidR="00794DD6" w:rsidRPr="008246B0" w:rsidRDefault="00794DD6" w:rsidP="008246B0">
            <w:pPr>
              <w:pStyle w:val="Tablehead1"/>
              <w:jc w:val="center"/>
            </w:pPr>
            <w:r w:rsidRPr="008246B0">
              <w:t xml:space="preserve">Low SES </w:t>
            </w:r>
            <w:r w:rsidR="008B150C" w:rsidRPr="008246B0">
              <w:t>index for postcode</w:t>
            </w:r>
          </w:p>
        </w:tc>
        <w:tc>
          <w:tcPr>
            <w:tcW w:w="1048" w:type="pct"/>
            <w:tcBorders>
              <w:left w:val="nil"/>
              <w:bottom w:val="single" w:sz="4" w:space="0" w:color="000000"/>
              <w:right w:val="nil"/>
            </w:tcBorders>
            <w:shd w:val="clear" w:color="auto" w:fill="auto"/>
          </w:tcPr>
          <w:p w:rsidR="00794DD6" w:rsidRPr="008246B0" w:rsidRDefault="008B150C" w:rsidP="008246B0">
            <w:pPr>
              <w:pStyle w:val="Tablehead1"/>
              <w:jc w:val="center"/>
            </w:pPr>
            <w:r w:rsidRPr="008246B0">
              <w:t xml:space="preserve">School Educational </w:t>
            </w:r>
            <w:r w:rsidR="00794DD6" w:rsidRPr="008246B0">
              <w:t>Performance Index</w:t>
            </w:r>
          </w:p>
        </w:tc>
      </w:tr>
      <w:tr w:rsidR="00491B88" w:rsidRPr="008246B0" w:rsidTr="008246B0">
        <w:tc>
          <w:tcPr>
            <w:tcW w:w="608" w:type="pct"/>
            <w:tcBorders>
              <w:left w:val="nil"/>
              <w:bottom w:val="nil"/>
              <w:right w:val="nil"/>
            </w:tcBorders>
          </w:tcPr>
          <w:p w:rsidR="00794DD6" w:rsidRPr="008246B0" w:rsidRDefault="00794DD6" w:rsidP="008246B0">
            <w:pPr>
              <w:pStyle w:val="Tabletext"/>
            </w:pPr>
            <w:r w:rsidRPr="008246B0">
              <w:t>South Australia</w:t>
            </w:r>
          </w:p>
        </w:tc>
        <w:tc>
          <w:tcPr>
            <w:tcW w:w="768" w:type="pct"/>
            <w:tcBorders>
              <w:left w:val="nil"/>
              <w:bottom w:val="nil"/>
              <w:right w:val="nil"/>
            </w:tcBorders>
            <w:shd w:val="clear" w:color="auto" w:fill="auto"/>
          </w:tcPr>
          <w:p w:rsidR="00794DD6" w:rsidRPr="008246B0" w:rsidRDefault="00794DD6" w:rsidP="008246B0">
            <w:pPr>
              <w:pStyle w:val="Tabletext"/>
              <w:tabs>
                <w:tab w:val="decimal" w:pos="678"/>
              </w:tabs>
            </w:pPr>
            <w:r w:rsidRPr="008246B0">
              <w:t xml:space="preserve">5112 </w:t>
            </w:r>
          </w:p>
        </w:tc>
        <w:tc>
          <w:tcPr>
            <w:tcW w:w="647" w:type="pct"/>
            <w:tcBorders>
              <w:left w:val="nil"/>
              <w:bottom w:val="nil"/>
              <w:right w:val="nil"/>
            </w:tcBorders>
          </w:tcPr>
          <w:p w:rsidR="00794DD6" w:rsidRPr="008246B0" w:rsidRDefault="00CC140A" w:rsidP="008246B0">
            <w:pPr>
              <w:pStyle w:val="Tabletext"/>
            </w:pPr>
            <w:proofErr w:type="spellStart"/>
            <w:r w:rsidRPr="008246B0">
              <w:t>Northtown</w:t>
            </w:r>
            <w:proofErr w:type="spellEnd"/>
            <w:r w:rsidR="00794DD6" w:rsidRPr="008246B0">
              <w:t xml:space="preserve"> </w:t>
            </w:r>
          </w:p>
        </w:tc>
        <w:tc>
          <w:tcPr>
            <w:tcW w:w="648" w:type="pct"/>
            <w:tcBorders>
              <w:left w:val="nil"/>
              <w:bottom w:val="nil"/>
              <w:right w:val="nil"/>
            </w:tcBorders>
          </w:tcPr>
          <w:p w:rsidR="00794DD6" w:rsidRPr="008246B0" w:rsidRDefault="00C21BA3" w:rsidP="008246B0">
            <w:pPr>
              <w:pStyle w:val="Tabletext"/>
            </w:pPr>
            <w:r w:rsidRPr="008246B0">
              <w:t>U</w:t>
            </w:r>
            <w:r w:rsidR="00794DD6" w:rsidRPr="008246B0">
              <w:t>rban</w:t>
            </w:r>
            <w:r w:rsidRPr="008246B0">
              <w:t xml:space="preserve"> fringe</w:t>
            </w:r>
          </w:p>
        </w:tc>
        <w:tc>
          <w:tcPr>
            <w:tcW w:w="610" w:type="pct"/>
            <w:tcBorders>
              <w:left w:val="nil"/>
              <w:bottom w:val="nil"/>
              <w:right w:val="nil"/>
            </w:tcBorders>
            <w:shd w:val="clear" w:color="auto" w:fill="auto"/>
          </w:tcPr>
          <w:p w:rsidR="00794DD6" w:rsidRPr="008246B0" w:rsidRDefault="00794DD6" w:rsidP="008246B0">
            <w:pPr>
              <w:pStyle w:val="Tabletext"/>
              <w:tabs>
                <w:tab w:val="decimal" w:pos="448"/>
              </w:tabs>
            </w:pPr>
            <w:r w:rsidRPr="008246B0">
              <w:t>4</w:t>
            </w:r>
          </w:p>
        </w:tc>
        <w:tc>
          <w:tcPr>
            <w:tcW w:w="670" w:type="pct"/>
            <w:tcBorders>
              <w:left w:val="nil"/>
              <w:bottom w:val="nil"/>
              <w:right w:val="nil"/>
            </w:tcBorders>
            <w:shd w:val="clear" w:color="auto" w:fill="auto"/>
          </w:tcPr>
          <w:p w:rsidR="00794DD6" w:rsidRPr="008246B0" w:rsidRDefault="00794DD6" w:rsidP="008246B0">
            <w:pPr>
              <w:pStyle w:val="Tabletext"/>
              <w:tabs>
                <w:tab w:val="decimal" w:pos="444"/>
              </w:tabs>
            </w:pPr>
            <w:r w:rsidRPr="008246B0">
              <w:t>-1.18</w:t>
            </w:r>
          </w:p>
        </w:tc>
        <w:tc>
          <w:tcPr>
            <w:tcW w:w="1048" w:type="pct"/>
            <w:tcBorders>
              <w:left w:val="nil"/>
              <w:bottom w:val="nil"/>
              <w:right w:val="nil"/>
            </w:tcBorders>
            <w:shd w:val="clear" w:color="auto" w:fill="auto"/>
          </w:tcPr>
          <w:p w:rsidR="00794DD6" w:rsidRPr="008246B0" w:rsidRDefault="00794DD6" w:rsidP="008246B0">
            <w:pPr>
              <w:pStyle w:val="Tabletext"/>
              <w:tabs>
                <w:tab w:val="decimal" w:pos="774"/>
              </w:tabs>
            </w:pPr>
            <w:r w:rsidRPr="008246B0">
              <w:t xml:space="preserve">- 47.82 </w:t>
            </w:r>
          </w:p>
        </w:tc>
      </w:tr>
      <w:tr w:rsidR="00491B88" w:rsidRPr="008246B0" w:rsidTr="008246B0">
        <w:tc>
          <w:tcPr>
            <w:tcW w:w="608" w:type="pct"/>
            <w:tcBorders>
              <w:top w:val="nil"/>
              <w:left w:val="nil"/>
              <w:bottom w:val="nil"/>
              <w:right w:val="nil"/>
            </w:tcBorders>
          </w:tcPr>
          <w:p w:rsidR="00794DD6" w:rsidRPr="008246B0" w:rsidRDefault="00794DD6" w:rsidP="008246B0">
            <w:pPr>
              <w:pStyle w:val="Tabletext"/>
            </w:pPr>
            <w:r w:rsidRPr="008246B0">
              <w:t>Victoria</w:t>
            </w:r>
          </w:p>
        </w:tc>
        <w:tc>
          <w:tcPr>
            <w:tcW w:w="768" w:type="pct"/>
            <w:tcBorders>
              <w:top w:val="nil"/>
              <w:left w:val="nil"/>
              <w:bottom w:val="nil"/>
              <w:right w:val="nil"/>
            </w:tcBorders>
            <w:shd w:val="clear" w:color="auto" w:fill="auto"/>
          </w:tcPr>
          <w:p w:rsidR="00794DD6" w:rsidRPr="008246B0" w:rsidRDefault="00794DD6" w:rsidP="008246B0">
            <w:pPr>
              <w:pStyle w:val="Tabletext"/>
              <w:tabs>
                <w:tab w:val="decimal" w:pos="678"/>
              </w:tabs>
            </w:pPr>
            <w:r w:rsidRPr="008246B0">
              <w:t xml:space="preserve">3858 </w:t>
            </w:r>
          </w:p>
        </w:tc>
        <w:tc>
          <w:tcPr>
            <w:tcW w:w="647" w:type="pct"/>
            <w:tcBorders>
              <w:top w:val="nil"/>
              <w:left w:val="nil"/>
              <w:bottom w:val="nil"/>
              <w:right w:val="nil"/>
            </w:tcBorders>
          </w:tcPr>
          <w:p w:rsidR="00794DD6" w:rsidRPr="008246B0" w:rsidRDefault="00491B88" w:rsidP="008246B0">
            <w:pPr>
              <w:pStyle w:val="Tabletext"/>
            </w:pPr>
            <w:proofErr w:type="spellStart"/>
            <w:r w:rsidRPr="008246B0">
              <w:t>Westvale</w:t>
            </w:r>
            <w:proofErr w:type="spellEnd"/>
          </w:p>
        </w:tc>
        <w:tc>
          <w:tcPr>
            <w:tcW w:w="648" w:type="pct"/>
            <w:tcBorders>
              <w:top w:val="nil"/>
              <w:left w:val="nil"/>
              <w:bottom w:val="nil"/>
              <w:right w:val="nil"/>
            </w:tcBorders>
          </w:tcPr>
          <w:p w:rsidR="00794DD6" w:rsidRPr="008246B0" w:rsidRDefault="00C21BA3" w:rsidP="008246B0">
            <w:pPr>
              <w:pStyle w:val="Tabletext"/>
            </w:pPr>
            <w:r w:rsidRPr="008246B0">
              <w:t>Rural/</w:t>
            </w:r>
            <w:r w:rsidR="00911FA1" w:rsidRPr="008246B0">
              <w:t>u</w:t>
            </w:r>
            <w:r w:rsidR="00794DD6" w:rsidRPr="008246B0">
              <w:t>rban</w:t>
            </w:r>
            <w:r w:rsidRPr="008246B0">
              <w:t xml:space="preserve"> fringe</w:t>
            </w:r>
          </w:p>
        </w:tc>
        <w:tc>
          <w:tcPr>
            <w:tcW w:w="610" w:type="pct"/>
            <w:tcBorders>
              <w:top w:val="nil"/>
              <w:left w:val="nil"/>
              <w:bottom w:val="nil"/>
              <w:right w:val="nil"/>
            </w:tcBorders>
            <w:shd w:val="clear" w:color="auto" w:fill="auto"/>
          </w:tcPr>
          <w:p w:rsidR="00794DD6" w:rsidRPr="008246B0" w:rsidRDefault="00794DD6" w:rsidP="008246B0">
            <w:pPr>
              <w:pStyle w:val="Tabletext"/>
              <w:tabs>
                <w:tab w:val="decimal" w:pos="448"/>
              </w:tabs>
            </w:pPr>
            <w:r w:rsidRPr="008246B0">
              <w:t>6</w:t>
            </w:r>
          </w:p>
        </w:tc>
        <w:tc>
          <w:tcPr>
            <w:tcW w:w="670" w:type="pct"/>
            <w:tcBorders>
              <w:top w:val="nil"/>
              <w:left w:val="nil"/>
              <w:bottom w:val="nil"/>
              <w:right w:val="nil"/>
            </w:tcBorders>
            <w:shd w:val="clear" w:color="auto" w:fill="auto"/>
          </w:tcPr>
          <w:p w:rsidR="00794DD6" w:rsidRPr="008246B0" w:rsidRDefault="00794DD6" w:rsidP="008246B0">
            <w:pPr>
              <w:pStyle w:val="Tabletext"/>
              <w:tabs>
                <w:tab w:val="decimal" w:pos="444"/>
              </w:tabs>
            </w:pPr>
            <w:r w:rsidRPr="008246B0">
              <w:t>-</w:t>
            </w:r>
            <w:r w:rsidR="006D500E" w:rsidRPr="008246B0">
              <w:t xml:space="preserve"> </w:t>
            </w:r>
            <w:r w:rsidRPr="008246B0">
              <w:t>0.98</w:t>
            </w:r>
          </w:p>
        </w:tc>
        <w:tc>
          <w:tcPr>
            <w:tcW w:w="1048" w:type="pct"/>
            <w:tcBorders>
              <w:top w:val="nil"/>
              <w:left w:val="nil"/>
              <w:bottom w:val="nil"/>
              <w:right w:val="nil"/>
            </w:tcBorders>
            <w:shd w:val="clear" w:color="auto" w:fill="auto"/>
          </w:tcPr>
          <w:p w:rsidR="00794DD6" w:rsidRPr="008246B0" w:rsidRDefault="00794DD6" w:rsidP="008246B0">
            <w:pPr>
              <w:pStyle w:val="Tabletext"/>
              <w:tabs>
                <w:tab w:val="decimal" w:pos="774"/>
              </w:tabs>
            </w:pPr>
            <w:r w:rsidRPr="008246B0">
              <w:t>-</w:t>
            </w:r>
            <w:r w:rsidR="00D13A1E" w:rsidRPr="008246B0">
              <w:t xml:space="preserve"> </w:t>
            </w:r>
            <w:r w:rsidRPr="008246B0">
              <w:t>0.05</w:t>
            </w:r>
          </w:p>
        </w:tc>
      </w:tr>
      <w:tr w:rsidR="00491B88" w:rsidRPr="008246B0" w:rsidTr="008246B0">
        <w:tc>
          <w:tcPr>
            <w:tcW w:w="608" w:type="pct"/>
            <w:tcBorders>
              <w:top w:val="nil"/>
              <w:left w:val="nil"/>
              <w:bottom w:val="nil"/>
              <w:right w:val="nil"/>
            </w:tcBorders>
          </w:tcPr>
          <w:p w:rsidR="00794DD6" w:rsidRPr="008246B0" w:rsidRDefault="00794DD6" w:rsidP="008246B0">
            <w:pPr>
              <w:pStyle w:val="Tabletext"/>
            </w:pPr>
            <w:r w:rsidRPr="008246B0">
              <w:t>Victoria</w:t>
            </w:r>
          </w:p>
        </w:tc>
        <w:tc>
          <w:tcPr>
            <w:tcW w:w="768" w:type="pct"/>
            <w:tcBorders>
              <w:top w:val="nil"/>
              <w:left w:val="nil"/>
              <w:bottom w:val="nil"/>
              <w:right w:val="nil"/>
            </w:tcBorders>
            <w:shd w:val="clear" w:color="auto" w:fill="auto"/>
          </w:tcPr>
          <w:p w:rsidR="00794DD6" w:rsidRPr="008246B0" w:rsidRDefault="00794DD6" w:rsidP="008246B0">
            <w:pPr>
              <w:pStyle w:val="Tabletext"/>
              <w:tabs>
                <w:tab w:val="decimal" w:pos="678"/>
              </w:tabs>
            </w:pPr>
            <w:r w:rsidRPr="008246B0">
              <w:t xml:space="preserve">3888 </w:t>
            </w:r>
          </w:p>
        </w:tc>
        <w:tc>
          <w:tcPr>
            <w:tcW w:w="647" w:type="pct"/>
            <w:tcBorders>
              <w:top w:val="nil"/>
              <w:left w:val="nil"/>
              <w:bottom w:val="nil"/>
              <w:right w:val="nil"/>
            </w:tcBorders>
          </w:tcPr>
          <w:p w:rsidR="00794DD6" w:rsidRPr="008246B0" w:rsidRDefault="00491B88" w:rsidP="008246B0">
            <w:pPr>
              <w:pStyle w:val="Tabletext"/>
            </w:pPr>
            <w:proofErr w:type="spellStart"/>
            <w:r w:rsidRPr="008246B0">
              <w:t>E</w:t>
            </w:r>
            <w:r w:rsidR="00794DD6" w:rsidRPr="008246B0">
              <w:t>ast</w:t>
            </w:r>
            <w:r w:rsidRPr="008246B0">
              <w:t>shire</w:t>
            </w:r>
            <w:proofErr w:type="spellEnd"/>
            <w:r w:rsidR="00794DD6" w:rsidRPr="008246B0">
              <w:t xml:space="preserve"> </w:t>
            </w:r>
          </w:p>
        </w:tc>
        <w:tc>
          <w:tcPr>
            <w:tcW w:w="648" w:type="pct"/>
            <w:tcBorders>
              <w:top w:val="nil"/>
              <w:left w:val="nil"/>
              <w:bottom w:val="nil"/>
              <w:right w:val="nil"/>
            </w:tcBorders>
          </w:tcPr>
          <w:p w:rsidR="00794DD6" w:rsidRPr="008246B0" w:rsidRDefault="00911FA1" w:rsidP="008246B0">
            <w:pPr>
              <w:pStyle w:val="Tabletext"/>
            </w:pPr>
            <w:r w:rsidRPr="008246B0">
              <w:t>R</w:t>
            </w:r>
            <w:r w:rsidR="00794DD6" w:rsidRPr="008246B0">
              <w:t>emote</w:t>
            </w:r>
          </w:p>
        </w:tc>
        <w:tc>
          <w:tcPr>
            <w:tcW w:w="610" w:type="pct"/>
            <w:tcBorders>
              <w:top w:val="nil"/>
              <w:left w:val="nil"/>
              <w:bottom w:val="nil"/>
              <w:right w:val="nil"/>
            </w:tcBorders>
            <w:shd w:val="clear" w:color="auto" w:fill="auto"/>
          </w:tcPr>
          <w:p w:rsidR="00794DD6" w:rsidRPr="008246B0" w:rsidRDefault="00794DD6" w:rsidP="008246B0">
            <w:pPr>
              <w:pStyle w:val="Tabletext"/>
              <w:tabs>
                <w:tab w:val="decimal" w:pos="448"/>
              </w:tabs>
            </w:pPr>
            <w:r w:rsidRPr="008246B0">
              <w:t>23</w:t>
            </w:r>
          </w:p>
        </w:tc>
        <w:tc>
          <w:tcPr>
            <w:tcW w:w="670" w:type="pct"/>
            <w:tcBorders>
              <w:top w:val="nil"/>
              <w:left w:val="nil"/>
              <w:bottom w:val="nil"/>
              <w:right w:val="nil"/>
            </w:tcBorders>
            <w:shd w:val="clear" w:color="auto" w:fill="auto"/>
          </w:tcPr>
          <w:p w:rsidR="00794DD6" w:rsidRPr="008246B0" w:rsidRDefault="00794DD6" w:rsidP="008246B0">
            <w:pPr>
              <w:pStyle w:val="Tabletext"/>
              <w:tabs>
                <w:tab w:val="decimal" w:pos="444"/>
              </w:tabs>
            </w:pPr>
            <w:r w:rsidRPr="008246B0">
              <w:t>-1.14</w:t>
            </w:r>
          </w:p>
        </w:tc>
        <w:tc>
          <w:tcPr>
            <w:tcW w:w="1048" w:type="pct"/>
            <w:tcBorders>
              <w:top w:val="nil"/>
              <w:left w:val="nil"/>
              <w:bottom w:val="nil"/>
              <w:right w:val="nil"/>
            </w:tcBorders>
            <w:shd w:val="clear" w:color="auto" w:fill="auto"/>
          </w:tcPr>
          <w:p w:rsidR="00794DD6" w:rsidRPr="008246B0" w:rsidRDefault="00D13A1E" w:rsidP="008246B0">
            <w:pPr>
              <w:pStyle w:val="Tabletext"/>
              <w:tabs>
                <w:tab w:val="decimal" w:pos="774"/>
              </w:tabs>
            </w:pPr>
            <w:r w:rsidRPr="008246B0">
              <w:t xml:space="preserve"> </w:t>
            </w:r>
            <w:r w:rsidR="00794DD6" w:rsidRPr="008246B0">
              <w:t xml:space="preserve"> 0.07 </w:t>
            </w:r>
          </w:p>
        </w:tc>
      </w:tr>
      <w:tr w:rsidR="00491B88" w:rsidRPr="008246B0" w:rsidTr="008246B0">
        <w:tc>
          <w:tcPr>
            <w:tcW w:w="608" w:type="pct"/>
            <w:tcBorders>
              <w:top w:val="nil"/>
              <w:left w:val="nil"/>
              <w:right w:val="nil"/>
            </w:tcBorders>
          </w:tcPr>
          <w:p w:rsidR="00794DD6" w:rsidRPr="008246B0" w:rsidRDefault="00794DD6" w:rsidP="008246B0">
            <w:pPr>
              <w:pStyle w:val="Tabletext"/>
            </w:pPr>
            <w:r w:rsidRPr="008246B0">
              <w:t>South Australia</w:t>
            </w:r>
          </w:p>
        </w:tc>
        <w:tc>
          <w:tcPr>
            <w:tcW w:w="768" w:type="pct"/>
            <w:tcBorders>
              <w:top w:val="nil"/>
              <w:left w:val="nil"/>
              <w:right w:val="nil"/>
            </w:tcBorders>
            <w:shd w:val="clear" w:color="auto" w:fill="auto"/>
          </w:tcPr>
          <w:p w:rsidR="00794DD6" w:rsidRPr="008246B0" w:rsidRDefault="00794DD6" w:rsidP="008246B0">
            <w:pPr>
              <w:pStyle w:val="Tabletext"/>
              <w:tabs>
                <w:tab w:val="decimal" w:pos="678"/>
              </w:tabs>
            </w:pPr>
            <w:r w:rsidRPr="008246B0">
              <w:t xml:space="preserve">5163 </w:t>
            </w:r>
          </w:p>
        </w:tc>
        <w:tc>
          <w:tcPr>
            <w:tcW w:w="647" w:type="pct"/>
            <w:tcBorders>
              <w:top w:val="nil"/>
              <w:left w:val="nil"/>
              <w:right w:val="nil"/>
            </w:tcBorders>
          </w:tcPr>
          <w:p w:rsidR="00794DD6" w:rsidRPr="008246B0" w:rsidRDefault="00BC3470" w:rsidP="008246B0">
            <w:pPr>
              <w:pStyle w:val="Tabletext"/>
            </w:pPr>
            <w:r w:rsidRPr="008246B0">
              <w:t>Southland</w:t>
            </w:r>
            <w:r w:rsidR="00794DD6" w:rsidRPr="008246B0">
              <w:t xml:space="preserve"> </w:t>
            </w:r>
          </w:p>
        </w:tc>
        <w:tc>
          <w:tcPr>
            <w:tcW w:w="648" w:type="pct"/>
            <w:tcBorders>
              <w:top w:val="nil"/>
              <w:left w:val="nil"/>
              <w:right w:val="nil"/>
            </w:tcBorders>
          </w:tcPr>
          <w:p w:rsidR="00794DD6" w:rsidRPr="008246B0" w:rsidRDefault="00491B88" w:rsidP="008246B0">
            <w:pPr>
              <w:pStyle w:val="Tabletext"/>
            </w:pPr>
            <w:r w:rsidRPr="008246B0">
              <w:t>R</w:t>
            </w:r>
            <w:r w:rsidR="00794DD6" w:rsidRPr="008246B0">
              <w:t>ural</w:t>
            </w:r>
            <w:r w:rsidRPr="008246B0">
              <w:t>/</w:t>
            </w:r>
            <w:r w:rsidR="00911FA1" w:rsidRPr="008246B0">
              <w:t>u</w:t>
            </w:r>
            <w:r w:rsidRPr="008246B0">
              <w:t>rban fringe</w:t>
            </w:r>
          </w:p>
        </w:tc>
        <w:tc>
          <w:tcPr>
            <w:tcW w:w="610" w:type="pct"/>
            <w:tcBorders>
              <w:top w:val="nil"/>
              <w:left w:val="nil"/>
              <w:right w:val="nil"/>
            </w:tcBorders>
            <w:shd w:val="clear" w:color="auto" w:fill="auto"/>
          </w:tcPr>
          <w:p w:rsidR="00794DD6" w:rsidRPr="008246B0" w:rsidRDefault="00794DD6" w:rsidP="008246B0">
            <w:pPr>
              <w:pStyle w:val="Tabletext"/>
              <w:tabs>
                <w:tab w:val="decimal" w:pos="448"/>
              </w:tabs>
            </w:pPr>
            <w:r w:rsidRPr="008246B0">
              <w:t>22</w:t>
            </w:r>
          </w:p>
        </w:tc>
        <w:tc>
          <w:tcPr>
            <w:tcW w:w="670" w:type="pct"/>
            <w:tcBorders>
              <w:top w:val="nil"/>
              <w:left w:val="nil"/>
              <w:right w:val="nil"/>
            </w:tcBorders>
            <w:shd w:val="clear" w:color="auto" w:fill="auto"/>
          </w:tcPr>
          <w:p w:rsidR="00794DD6" w:rsidRPr="008246B0" w:rsidRDefault="00794DD6" w:rsidP="008246B0">
            <w:pPr>
              <w:pStyle w:val="Tabletext"/>
              <w:tabs>
                <w:tab w:val="decimal" w:pos="444"/>
              </w:tabs>
            </w:pPr>
            <w:r w:rsidRPr="008246B0">
              <w:t>-1.53</w:t>
            </w:r>
          </w:p>
        </w:tc>
        <w:tc>
          <w:tcPr>
            <w:tcW w:w="1048" w:type="pct"/>
            <w:tcBorders>
              <w:top w:val="nil"/>
              <w:left w:val="nil"/>
              <w:right w:val="nil"/>
            </w:tcBorders>
            <w:shd w:val="clear" w:color="auto" w:fill="auto"/>
          </w:tcPr>
          <w:p w:rsidR="00794DD6" w:rsidRPr="008246B0" w:rsidRDefault="00D13A1E" w:rsidP="008246B0">
            <w:pPr>
              <w:pStyle w:val="Tabletext"/>
              <w:tabs>
                <w:tab w:val="decimal" w:pos="774"/>
              </w:tabs>
            </w:pPr>
            <w:r w:rsidRPr="008246B0">
              <w:t xml:space="preserve"> </w:t>
            </w:r>
            <w:r w:rsidR="00794DD6" w:rsidRPr="008246B0">
              <w:t xml:space="preserve"> 0.37 </w:t>
            </w:r>
          </w:p>
        </w:tc>
      </w:tr>
    </w:tbl>
    <w:p w:rsidR="00875235" w:rsidRDefault="00875235" w:rsidP="00941FE9">
      <w:pPr>
        <w:pStyle w:val="Source"/>
      </w:pPr>
      <w:r>
        <w:t xml:space="preserve">Note: </w:t>
      </w:r>
      <w:r w:rsidR="0079657F">
        <w:tab/>
        <w:t>1.</w:t>
      </w:r>
      <w:r w:rsidR="00E0743E">
        <w:t xml:space="preserve"> </w:t>
      </w:r>
      <w:r>
        <w:t>Fictional place names</w:t>
      </w:r>
      <w:r w:rsidR="0079657F">
        <w:t>.</w:t>
      </w:r>
    </w:p>
    <w:p w:rsidR="00794DD6" w:rsidRDefault="000521B1" w:rsidP="00941FE9">
      <w:pPr>
        <w:pStyle w:val="Source"/>
      </w:pPr>
      <w:r>
        <w:t xml:space="preserve">Source: Johnston (2013, </w:t>
      </w:r>
      <w:r w:rsidR="00794DD6" w:rsidRPr="00AA1198">
        <w:t>pers</w:t>
      </w:r>
      <w:r>
        <w:t xml:space="preserve">. comm. </w:t>
      </w:r>
      <w:r w:rsidR="00941FE9">
        <w:t>derived from data analysed</w:t>
      </w:r>
      <w:r w:rsidR="00DD11E9">
        <w:t xml:space="preserve"> for the NCVER report</w:t>
      </w:r>
      <w:r w:rsidR="00E0743E">
        <w:t>)</w:t>
      </w:r>
      <w:r w:rsidR="0079657F">
        <w:t>;</w:t>
      </w:r>
      <w:r>
        <w:t xml:space="preserve"> Johnston et al.</w:t>
      </w:r>
      <w:r w:rsidR="00941FE9">
        <w:t xml:space="preserve"> 2014</w:t>
      </w:r>
      <w:r w:rsidR="00DD11E9">
        <w:t>.</w:t>
      </w:r>
    </w:p>
    <w:p w:rsidR="00875235" w:rsidRDefault="00875235" w:rsidP="00941FE9">
      <w:pPr>
        <w:pStyle w:val="Source"/>
      </w:pPr>
    </w:p>
    <w:p w:rsidR="00A56C1A" w:rsidRPr="00A56C1A" w:rsidRDefault="00A56C1A" w:rsidP="00631598">
      <w:pPr>
        <w:pStyle w:val="Text"/>
        <w:spacing w:before="300"/>
        <w:ind w:right="0"/>
      </w:pPr>
      <w:r w:rsidRPr="00A56C1A">
        <w:t>Given an identified lack of attention to geography in the literature, the current study sought a nuanced understanding of ‘neighbourhood’ from the perspective of those living in and around these postcode</w:t>
      </w:r>
      <w:r w:rsidR="000521B1">
        <w:t xml:space="preserve">s, given </w:t>
      </w:r>
      <w:r w:rsidR="00DD11E9">
        <w:t>indications that</w:t>
      </w:r>
      <w:r w:rsidR="008B150C">
        <w:t xml:space="preserve"> educational outcomes </w:t>
      </w:r>
      <w:r w:rsidR="00DD11E9">
        <w:t xml:space="preserve">varied across these places of low </w:t>
      </w:r>
      <w:r w:rsidR="0021491D">
        <w:t xml:space="preserve">socioeconomic </w:t>
      </w:r>
      <w:r w:rsidR="00DD11E9">
        <w:t>status. The research</w:t>
      </w:r>
      <w:r w:rsidRPr="00A56C1A">
        <w:t xml:space="preserve"> sought to understand how the specific features and organisation of the participant’s conceptualisations of ‘neighbourhood’ impacted on their career and life aspirations and decisions.</w:t>
      </w:r>
    </w:p>
    <w:p w:rsidR="00A56C1A" w:rsidRPr="00A56C1A" w:rsidRDefault="00A56C1A" w:rsidP="00AA47DE">
      <w:pPr>
        <w:pStyle w:val="Heading3"/>
      </w:pPr>
      <w:bookmarkStart w:id="69" w:name="_Toc251317783"/>
      <w:bookmarkStart w:id="70" w:name="_Toc253925139"/>
      <w:r w:rsidRPr="00A56C1A">
        <w:lastRenderedPageBreak/>
        <w:t>Victoria</w:t>
      </w:r>
      <w:bookmarkEnd w:id="69"/>
      <w:bookmarkEnd w:id="70"/>
    </w:p>
    <w:p w:rsidR="00A56C1A" w:rsidRPr="00A56C1A" w:rsidRDefault="00A56C1A" w:rsidP="00A56C1A">
      <w:pPr>
        <w:pStyle w:val="Text"/>
      </w:pPr>
      <w:r w:rsidRPr="00A56C1A">
        <w:t>The two Victorian postcodes selected for study are located in the regional area g</w:t>
      </w:r>
      <w:r w:rsidR="00E0743E">
        <w:t>enerally known as Gippsland,</w:t>
      </w:r>
      <w:r w:rsidRPr="00A56C1A">
        <w:t xml:space="preserve"> a region characterised by large distances, diverse and challenging geography, and comparatively small communities. It covers an area </w:t>
      </w:r>
      <w:r w:rsidR="00FD5EDC">
        <w:t>in</w:t>
      </w:r>
      <w:r w:rsidR="00FD5EDC" w:rsidRPr="00A56C1A">
        <w:t xml:space="preserve"> Victoria </w:t>
      </w:r>
      <w:r w:rsidRPr="00A56C1A">
        <w:t xml:space="preserve">of over </w:t>
      </w:r>
      <w:r w:rsidR="000521B1">
        <w:t xml:space="preserve">42 </w:t>
      </w:r>
      <w:r w:rsidRPr="00A56C1A">
        <w:t>000 square kilometres and had, in 2011,</w:t>
      </w:r>
      <w:r w:rsidR="000521B1">
        <w:t xml:space="preserve"> a total population of only 247 710 (Dow, Allan &amp; Mitchell</w:t>
      </w:r>
      <w:r w:rsidRPr="00A56C1A">
        <w:t xml:space="preserve"> 2011). Such a large area does not readily lend itself to simplification. For the purposes of this research project, however, we have characterised it geographically as West and East Gippsland</w:t>
      </w:r>
      <w:r w:rsidR="00FD5EDC">
        <w:t>. F</w:t>
      </w:r>
      <w:r w:rsidRPr="00A56C1A">
        <w:t xml:space="preserve">or simplicity in the discussion of the findings and </w:t>
      </w:r>
      <w:r w:rsidR="00E0743E">
        <w:t>to differentiate</w:t>
      </w:r>
      <w:r w:rsidRPr="00A56C1A">
        <w:t xml:space="preserve"> between the two areas</w:t>
      </w:r>
      <w:r w:rsidR="00FD5EDC">
        <w:t>,</w:t>
      </w:r>
      <w:r w:rsidRPr="00A56C1A">
        <w:t xml:space="preserve"> we call West Gippsland, </w:t>
      </w:r>
      <w:r w:rsidRPr="00FD5EDC">
        <w:t>Westvale</w:t>
      </w:r>
      <w:r w:rsidRPr="00A56C1A">
        <w:rPr>
          <w:i/>
        </w:rPr>
        <w:t xml:space="preserve"> </w:t>
      </w:r>
      <w:r w:rsidRPr="00A56C1A">
        <w:t xml:space="preserve">and East Gippsland, </w:t>
      </w:r>
      <w:r w:rsidRPr="00FD5EDC">
        <w:t>Eastshire</w:t>
      </w:r>
      <w:r w:rsidRPr="00A56C1A">
        <w:t xml:space="preserve">. </w:t>
      </w:r>
    </w:p>
    <w:p w:rsidR="00A56C1A" w:rsidRPr="00A56C1A" w:rsidRDefault="00A56C1A" w:rsidP="00A56C1A">
      <w:pPr>
        <w:pStyle w:val="Text"/>
      </w:pPr>
      <w:r w:rsidRPr="00A56C1A">
        <w:t>East Gippsland (</w:t>
      </w:r>
      <w:r w:rsidRPr="00FD5EDC">
        <w:t>Eastshire</w:t>
      </w:r>
      <w:r w:rsidRPr="00A56C1A">
        <w:t>) is a predominantly rural area, with a di</w:t>
      </w:r>
      <w:r w:rsidR="000521B1">
        <w:t>spersed population of around 44</w:t>
      </w:r>
      <w:r w:rsidR="00E72331">
        <w:t> </w:t>
      </w:r>
      <w:r w:rsidRPr="00A56C1A">
        <w:t>000</w:t>
      </w:r>
      <w:r w:rsidR="000521B1">
        <w:t>,</w:t>
      </w:r>
      <w:r w:rsidRPr="00A56C1A">
        <w:t xml:space="preserve"> where some townships are up to 550 kilometres from the capital of Melbourne. Its traditional industries of agriculture, forestry and fishing are slowly shifting towards health, education and tourism</w:t>
      </w:r>
      <w:r w:rsidR="00E72331">
        <w:t>,</w:t>
      </w:r>
      <w:r w:rsidRPr="00A56C1A">
        <w:t xml:space="preserve"> centred on the towns of Bairnsdale, Orbost, Sale and Mallacoota</w:t>
      </w:r>
      <w:r w:rsidR="00FD5EDC">
        <w:t>,</w:t>
      </w:r>
      <w:r w:rsidRPr="00A56C1A">
        <w:t xml:space="preserve"> among others</w:t>
      </w:r>
      <w:r w:rsidR="00E72331">
        <w:t>. This</w:t>
      </w:r>
      <w:r w:rsidRPr="00A56C1A">
        <w:t xml:space="preserve"> creat</w:t>
      </w:r>
      <w:r w:rsidR="00E72331">
        <w:t>es</w:t>
      </w:r>
      <w:r w:rsidRPr="00A56C1A">
        <w:t xml:space="preserve"> precarious employment or unemployment for those seeking work in primary industries. </w:t>
      </w:r>
    </w:p>
    <w:p w:rsidR="00A56C1A" w:rsidRPr="00A56C1A" w:rsidRDefault="00E0743E" w:rsidP="00A56C1A">
      <w:pPr>
        <w:pStyle w:val="Text"/>
      </w:pPr>
      <w:r>
        <w:t xml:space="preserve">Although </w:t>
      </w:r>
      <w:r w:rsidR="00A56C1A" w:rsidRPr="00A56C1A">
        <w:t>West Gippsland (</w:t>
      </w:r>
      <w:proofErr w:type="spellStart"/>
      <w:r w:rsidR="00A56C1A" w:rsidRPr="00FD5EDC">
        <w:t>Westvale</w:t>
      </w:r>
      <w:proofErr w:type="spellEnd"/>
      <w:r w:rsidR="00A56C1A" w:rsidRPr="00A56C1A">
        <w:t xml:space="preserve">) is more affluent and, especially at its western edges, </w:t>
      </w:r>
      <w:r w:rsidR="00FD5EDC">
        <w:t xml:space="preserve">is </w:t>
      </w:r>
      <w:r w:rsidR="00A56C1A" w:rsidRPr="00A56C1A">
        <w:t>almost an extension of outer urban Melbourne</w:t>
      </w:r>
      <w:r w:rsidR="00E72331">
        <w:t>,</w:t>
      </w:r>
      <w:r w:rsidR="00A56C1A" w:rsidRPr="00A56C1A">
        <w:t xml:space="preserve"> particularly around the Pakenham area, it is also undergoing changes in empl</w:t>
      </w:r>
      <w:r>
        <w:t>oyment patterns in the area of Lat</w:t>
      </w:r>
      <w:r w:rsidR="00A56C1A" w:rsidRPr="00A56C1A">
        <w:t>robe valley</w:t>
      </w:r>
      <w:r>
        <w:t>,</w:t>
      </w:r>
      <w:r w:rsidR="00A56C1A" w:rsidRPr="00A56C1A">
        <w:t xml:space="preserve"> around such towns as Traralgon and Churchill</w:t>
      </w:r>
      <w:r w:rsidR="00E72331">
        <w:t>. This follows</w:t>
      </w:r>
      <w:r w:rsidR="00A56C1A" w:rsidRPr="00A56C1A">
        <w:t xml:space="preserve"> the closure of the State Electricity Commission, a major employer, and as more small dairy farms are brought under the umbrella of large corporations. Across both West and East Gippsland, there is a predominance of technicians, trade workers and labourers and an under-representation of professionals, clerical or administrative workers. Generational unemployment remains a defining characteristic of many areas, especially in East Gippsland.</w:t>
      </w:r>
    </w:p>
    <w:p w:rsidR="00A56C1A" w:rsidRPr="00A56C1A" w:rsidRDefault="00A56C1A" w:rsidP="00A56C1A">
      <w:pPr>
        <w:pStyle w:val="Text"/>
      </w:pPr>
      <w:r w:rsidRPr="00A56C1A">
        <w:t xml:space="preserve">Young people’s current patterns of education show little signs of disrupting this trend. Young people across Gippsland are less likely to complete schooling than their metropolitan counterparts: in 2011, the Year 7 to Year 12 apparent retention rate was 70.5 per cent, well below the Victorian average of 85.6 per cent. They are also less likely to acquire upper tertiary qualifications. In 2011, a higher proportion of the Gippsland population held </w:t>
      </w:r>
      <w:r w:rsidR="00E72331">
        <w:t>c</w:t>
      </w:r>
      <w:r w:rsidR="00D77968">
        <w:t>ertificate</w:t>
      </w:r>
      <w:r w:rsidR="00E72331">
        <w:t>-</w:t>
      </w:r>
      <w:r w:rsidRPr="00A56C1A">
        <w:t>level qualifications than the Melbourne and Victorian average, but a much lower proportion held higher education qualifications (Do</w:t>
      </w:r>
      <w:r w:rsidR="00E72331">
        <w:t xml:space="preserve">w, Allan &amp; Mitchell </w:t>
      </w:r>
      <w:r w:rsidRPr="00A56C1A">
        <w:t>2011). Those young people who do complete school or go on to higher education are most likely to be young women. In 2011, only 63</w:t>
      </w:r>
      <w:r w:rsidR="00E0743E">
        <w:t xml:space="preserve"> per cent</w:t>
      </w:r>
      <w:r w:rsidR="003241F8">
        <w:t xml:space="preserve"> </w:t>
      </w:r>
      <w:r w:rsidRPr="00A56C1A">
        <w:t xml:space="preserve">of young men in Gippsland were still at school at the start of Year 12, compared </w:t>
      </w:r>
      <w:r w:rsidR="00E72331">
        <w:t>with</w:t>
      </w:r>
      <w:r w:rsidRPr="00A56C1A">
        <w:t xml:space="preserve"> 78.1</w:t>
      </w:r>
      <w:r w:rsidR="00E0743E">
        <w:t xml:space="preserve"> per cent</w:t>
      </w:r>
      <w:r w:rsidR="003241F8">
        <w:t xml:space="preserve"> </w:t>
      </w:r>
      <w:r w:rsidRPr="00A56C1A">
        <w:t>of young women. This gender pattern is also evi</w:t>
      </w:r>
      <w:r w:rsidR="00E72331">
        <w:t>dent at the tertiary level: two-</w:t>
      </w:r>
      <w:r w:rsidRPr="00A56C1A">
        <w:t>thirds of the student body at Federation University</w:t>
      </w:r>
      <w:r w:rsidR="00E72331">
        <w:t>’s</w:t>
      </w:r>
      <w:r w:rsidRPr="00A56C1A">
        <w:t xml:space="preserve"> Gippsland campus </w:t>
      </w:r>
      <w:r w:rsidR="00FD5EDC">
        <w:t>are</w:t>
      </w:r>
      <w:r w:rsidRPr="00A56C1A">
        <w:t xml:space="preserve"> female (Dow</w:t>
      </w:r>
      <w:r w:rsidR="00E72331">
        <w:t>,</w:t>
      </w:r>
      <w:r w:rsidRPr="00A56C1A">
        <w:t xml:space="preserve"> </w:t>
      </w:r>
      <w:r w:rsidR="00E72331">
        <w:t>Allan &amp; Mitchell</w:t>
      </w:r>
      <w:r w:rsidR="00E72331" w:rsidRPr="00A56C1A">
        <w:t xml:space="preserve"> </w:t>
      </w:r>
      <w:r w:rsidRPr="00A56C1A">
        <w:t>2011).</w:t>
      </w:r>
    </w:p>
    <w:p w:rsidR="00A56C1A" w:rsidRPr="00A56C1A" w:rsidRDefault="00A56C1A" w:rsidP="00AA47DE">
      <w:pPr>
        <w:pStyle w:val="Heading3"/>
      </w:pPr>
      <w:bookmarkStart w:id="71" w:name="_Toc251317784"/>
      <w:bookmarkStart w:id="72" w:name="_Toc253925140"/>
      <w:r w:rsidRPr="00A56C1A">
        <w:t>South Australia</w:t>
      </w:r>
      <w:bookmarkEnd w:id="71"/>
      <w:bookmarkEnd w:id="72"/>
    </w:p>
    <w:p w:rsidR="00A56C1A" w:rsidRPr="00A56C1A" w:rsidRDefault="00A56C1A" w:rsidP="00A56C1A">
      <w:pPr>
        <w:pStyle w:val="Text"/>
        <w:rPr>
          <w:bCs/>
        </w:rPr>
      </w:pPr>
      <w:r w:rsidRPr="00A56C1A">
        <w:t>The two South Australian postcodes included in this study are located in the wider Adelaide area: Elizabeth to the</w:t>
      </w:r>
      <w:r w:rsidRPr="00A56C1A">
        <w:rPr>
          <w:bCs/>
        </w:rPr>
        <w:t xml:space="preserve"> north and Onkaparinga to the south. Again for ease of discussion of the differences between these areas we have called Elizabeth, </w:t>
      </w:r>
      <w:r w:rsidRPr="00FD5EDC">
        <w:rPr>
          <w:bCs/>
        </w:rPr>
        <w:t>Northtown</w:t>
      </w:r>
      <w:r w:rsidRPr="00A56C1A">
        <w:rPr>
          <w:bCs/>
        </w:rPr>
        <w:t xml:space="preserve"> and Onkaparinga, </w:t>
      </w:r>
      <w:r w:rsidRPr="00FD5EDC">
        <w:rPr>
          <w:bCs/>
        </w:rPr>
        <w:t>Southland</w:t>
      </w:r>
      <w:r w:rsidRPr="00A56C1A">
        <w:rPr>
          <w:bCs/>
        </w:rPr>
        <w:t>.</w:t>
      </w:r>
    </w:p>
    <w:p w:rsidR="00A56C1A" w:rsidRPr="00A56C1A" w:rsidRDefault="00A56C1A" w:rsidP="00A73C73">
      <w:pPr>
        <w:pStyle w:val="Text"/>
      </w:pPr>
      <w:r w:rsidRPr="00A56C1A">
        <w:t>The urban centre of Elizabeth (</w:t>
      </w:r>
      <w:r w:rsidRPr="00FD5EDC">
        <w:t>Northtown</w:t>
      </w:r>
      <w:r w:rsidRPr="00A56C1A">
        <w:t xml:space="preserve">) is a purpose-built </w:t>
      </w:r>
      <w:r w:rsidR="00AA47DE">
        <w:t>subu</w:t>
      </w:r>
      <w:r w:rsidR="001D69DA">
        <w:t>rb, part of the C</w:t>
      </w:r>
      <w:r w:rsidR="00AA47DE">
        <w:t>ity of Play</w:t>
      </w:r>
      <w:r w:rsidRPr="00A56C1A">
        <w:t>ford, conceived in the 1950s by the South Aus</w:t>
      </w:r>
      <w:r w:rsidR="00E72331">
        <w:t>tralia</w:t>
      </w:r>
      <w:r w:rsidR="00E0743E">
        <w:t>n</w:t>
      </w:r>
      <w:r w:rsidR="00E72331">
        <w:t xml:space="preserve"> Housing Trust</w:t>
      </w:r>
      <w:r w:rsidRPr="00A56C1A">
        <w:t xml:space="preserve">. It was designed to provide affordable housing on what was previously horticultural and agricultural land. </w:t>
      </w:r>
      <w:r w:rsidR="00FD5EDC">
        <w:t>A</w:t>
      </w:r>
      <w:r w:rsidR="00FD5EDC" w:rsidRPr="00A56C1A">
        <w:t>bout 30 kilometres north of Adelaide city centre</w:t>
      </w:r>
      <w:r w:rsidR="00FD5EDC">
        <w:t>, i</w:t>
      </w:r>
      <w:r w:rsidRPr="00A56C1A">
        <w:t xml:space="preserve">t is now an industrial </w:t>
      </w:r>
      <w:r w:rsidR="00E72331">
        <w:t>location</w:t>
      </w:r>
      <w:r w:rsidR="005162C4">
        <w:t>,</w:t>
      </w:r>
      <w:r w:rsidRPr="00A56C1A">
        <w:t xml:space="preserve"> where the major industry is manufacturing, including the car manufacturer Holden</w:t>
      </w:r>
      <w:r w:rsidR="005162C4">
        <w:t>.</w:t>
      </w:r>
      <w:r w:rsidRPr="00A56C1A">
        <w:t xml:space="preserve"> </w:t>
      </w:r>
      <w:r w:rsidR="005162C4">
        <w:t>Holden</w:t>
      </w:r>
      <w:r w:rsidRPr="00A56C1A">
        <w:t xml:space="preserve"> has signalled its intention to close in 2016. While </w:t>
      </w:r>
      <w:r w:rsidR="005162C4">
        <w:t xml:space="preserve">the area </w:t>
      </w:r>
      <w:r w:rsidRPr="00A56C1A">
        <w:t>retains rural surrounds, a number of housing estates have</w:t>
      </w:r>
      <w:r w:rsidR="00E0743E">
        <w:t xml:space="preserve"> </w:t>
      </w:r>
      <w:r w:rsidR="00E0743E" w:rsidRPr="00A56C1A">
        <w:t>recently</w:t>
      </w:r>
      <w:r w:rsidRPr="00A56C1A">
        <w:t xml:space="preserve"> been built around the area. The </w:t>
      </w:r>
      <w:r w:rsidR="005162C4">
        <w:t>Australian Bureau of Statistics (</w:t>
      </w:r>
      <w:r w:rsidRPr="00A56C1A">
        <w:t>ABS</w:t>
      </w:r>
      <w:r w:rsidR="005162C4">
        <w:t>)</w:t>
      </w:r>
      <w:r w:rsidRPr="00A56C1A">
        <w:t xml:space="preserve"> census of 2011 records th</w:t>
      </w:r>
      <w:r w:rsidR="005162C4">
        <w:t xml:space="preserve">e population of Elizabeth at 82 </w:t>
      </w:r>
      <w:r w:rsidRPr="00A56C1A">
        <w:t xml:space="preserve">000, </w:t>
      </w:r>
      <w:r w:rsidRPr="00A56C1A">
        <w:lastRenderedPageBreak/>
        <w:t>with a relatively high proportion of the population being of working age. The area is also characterised by l</w:t>
      </w:r>
      <w:r w:rsidRPr="00A56C1A">
        <w:rPr>
          <w:bCs/>
        </w:rPr>
        <w:t xml:space="preserve">ow rates of formal qualifications and intergenerational poverty and unemployment (Carson </w:t>
      </w:r>
      <w:r w:rsidR="001D69DA">
        <w:rPr>
          <w:bCs/>
        </w:rPr>
        <w:t>&amp;</w:t>
      </w:r>
      <w:r w:rsidR="005162C4">
        <w:rPr>
          <w:bCs/>
        </w:rPr>
        <w:t xml:space="preserve"> Kerr</w:t>
      </w:r>
      <w:r w:rsidRPr="00A56C1A">
        <w:rPr>
          <w:bCs/>
        </w:rPr>
        <w:t xml:space="preserve"> 2010). In addition, </w:t>
      </w:r>
      <w:r w:rsidRPr="00A56C1A">
        <w:t xml:space="preserve">it is now seeing a shift in demographics with the </w:t>
      </w:r>
      <w:r w:rsidR="005162C4">
        <w:t>arrival</w:t>
      </w:r>
      <w:r w:rsidRPr="00A56C1A">
        <w:t xml:space="preserve"> of migrants and humanitarian settlers in the area. The integration of large numbers of new arrivals, often speaking little or no English, is identified as a challenge</w:t>
      </w:r>
      <w:r w:rsidR="005162C4">
        <w:t xml:space="preserve"> for the area (</w:t>
      </w:r>
      <w:r w:rsidR="00FD5EDC">
        <w:t xml:space="preserve">South Australian </w:t>
      </w:r>
      <w:r w:rsidR="005162C4">
        <w:t>Office for Youth 2010; Spoehr et al.</w:t>
      </w:r>
      <w:r w:rsidRPr="00A56C1A">
        <w:t xml:space="preserve"> 2009).</w:t>
      </w:r>
    </w:p>
    <w:p w:rsidR="00A56C1A" w:rsidRPr="00A56C1A" w:rsidRDefault="00A56C1A" w:rsidP="00675025">
      <w:pPr>
        <w:pStyle w:val="Text"/>
        <w:rPr>
          <w:bCs/>
        </w:rPr>
      </w:pPr>
      <w:r w:rsidRPr="00A56C1A">
        <w:t>Onkaparinga (</w:t>
      </w:r>
      <w:r w:rsidRPr="00E0743E">
        <w:t>Southland)</w:t>
      </w:r>
      <w:r w:rsidRPr="00A56C1A">
        <w:t xml:space="preserve"> is located between 25 and 40 kilometres from the Adelaide CBD. With</w:t>
      </w:r>
      <w:r w:rsidR="00F216C9">
        <w:t xml:space="preserve"> a</w:t>
      </w:r>
      <w:r w:rsidRPr="00A56C1A">
        <w:t xml:space="preserve"> </w:t>
      </w:r>
      <w:r w:rsidR="005162C4">
        <w:t xml:space="preserve">population </w:t>
      </w:r>
      <w:r w:rsidR="005162C4" w:rsidRPr="00F216C9">
        <w:t xml:space="preserve">of 159 </w:t>
      </w:r>
      <w:r w:rsidRPr="00F216C9">
        <w:t>583 (ABS</w:t>
      </w:r>
      <w:r w:rsidRPr="00A56C1A">
        <w:t xml:space="preserve"> 2011) and </w:t>
      </w:r>
      <w:r w:rsidR="00FD5EDC">
        <w:t xml:space="preserve">comprising </w:t>
      </w:r>
      <w:r w:rsidRPr="00A56C1A">
        <w:t xml:space="preserve">an area of 518.3 km², it is the largest </w:t>
      </w:r>
      <w:r w:rsidR="00D221EC" w:rsidRPr="00A56C1A">
        <w:t>local government area</w:t>
      </w:r>
      <w:r w:rsidRPr="00A56C1A">
        <w:t xml:space="preserve"> in South Australia. To the west is the coastline of the Gulf St Vincent; to the east are the picturesque rolling hills and wine-growing area of McLaren </w:t>
      </w:r>
      <w:r w:rsidR="00D221EC">
        <w:t>Vale. Onkaparinga is more socio</w:t>
      </w:r>
      <w:r w:rsidRPr="00A56C1A">
        <w:t xml:space="preserve">economically diverse than Elizabeth, although it also has significant pockets of deprivation and </w:t>
      </w:r>
      <w:r w:rsidR="0021491D">
        <w:rPr>
          <w:bCs/>
        </w:rPr>
        <w:t xml:space="preserve">socioeconomic </w:t>
      </w:r>
      <w:r w:rsidRPr="00A56C1A">
        <w:t xml:space="preserve">disadvantage. </w:t>
      </w:r>
      <w:r w:rsidRPr="00A56C1A">
        <w:rPr>
          <w:bCs/>
        </w:rPr>
        <w:t>Like Elizabeth, it has also been affected by the decline of manufacturing, particularly car manufacturing, but this occurred ten years ago and increasingly the area relies on service industries (including artisan wine and food pr</w:t>
      </w:r>
      <w:r w:rsidR="00D221EC">
        <w:rPr>
          <w:bCs/>
        </w:rPr>
        <w:t>oduction and tourism) and small to medium-</w:t>
      </w:r>
      <w:r w:rsidRPr="00A56C1A">
        <w:rPr>
          <w:bCs/>
        </w:rPr>
        <w:t>sized businesses.</w:t>
      </w:r>
    </w:p>
    <w:p w:rsidR="00D7376D" w:rsidRPr="00B63E06" w:rsidRDefault="00A56C1A" w:rsidP="00B63E06">
      <w:pPr>
        <w:pStyle w:val="Text"/>
      </w:pPr>
      <w:r w:rsidRPr="005B1C37">
        <w:t>Glover et al</w:t>
      </w:r>
      <w:r w:rsidR="00D221EC" w:rsidRPr="005B1C37">
        <w:t>.</w:t>
      </w:r>
      <w:r w:rsidRPr="005B1C37">
        <w:t xml:space="preserve"> (2010) identify</w:t>
      </w:r>
      <w:r w:rsidRPr="00A56C1A">
        <w:t xml:space="preserve"> both Onkaparinga and Eliz</w:t>
      </w:r>
      <w:r w:rsidR="00D221EC">
        <w:t>abeth as amongst the most socio</w:t>
      </w:r>
      <w:r w:rsidRPr="00A56C1A">
        <w:t>economically disadvantage</w:t>
      </w:r>
      <w:r w:rsidR="00B63E06">
        <w:t xml:space="preserve">d areas in South Australia. </w:t>
      </w:r>
      <w:r w:rsidRPr="00A56C1A">
        <w:t xml:space="preserve">They found </w:t>
      </w:r>
      <w:r w:rsidR="00D221EC">
        <w:t xml:space="preserve">a </w:t>
      </w:r>
      <w:r w:rsidRPr="00A56C1A">
        <w:t xml:space="preserve">strong correlation between low </w:t>
      </w:r>
      <w:r w:rsidR="0021491D">
        <w:t xml:space="preserve">socioeconomic </w:t>
      </w:r>
      <w:r w:rsidRPr="00A56C1A">
        <w:t xml:space="preserve">status in these areas </w:t>
      </w:r>
      <w:r w:rsidR="00B63E06">
        <w:t xml:space="preserve">and poor educational outcomes. </w:t>
      </w:r>
      <w:r w:rsidRPr="00A56C1A">
        <w:t xml:space="preserve">Elizabeth and Onkaparinga were also noted as having extremely low levels of parental participation in school activities, at </w:t>
      </w:r>
      <w:r w:rsidR="00B63E06">
        <w:t>a rate of less than 50</w:t>
      </w:r>
      <w:r w:rsidR="00E0743E">
        <w:t xml:space="preserve"> per cent</w:t>
      </w:r>
      <w:r w:rsidR="003241F8">
        <w:t xml:space="preserve"> </w:t>
      </w:r>
      <w:r w:rsidR="00AA47DE">
        <w:t>(p.140).</w:t>
      </w:r>
      <w:r w:rsidR="00D7376D">
        <w:br w:type="page"/>
      </w:r>
    </w:p>
    <w:p w:rsidR="00D7376D" w:rsidRDefault="00D7376D" w:rsidP="00A50895">
      <w:pPr>
        <w:pStyle w:val="Heading1"/>
      </w:pPr>
      <w:bookmarkStart w:id="73" w:name="_Toc409079375"/>
      <w:r>
        <w:lastRenderedPageBreak/>
        <w:t>Findings</w:t>
      </w:r>
      <w:bookmarkEnd w:id="73"/>
    </w:p>
    <w:p w:rsidR="00922B06" w:rsidRPr="00922B06" w:rsidRDefault="00922B06" w:rsidP="00922B06">
      <w:pPr>
        <w:pStyle w:val="Heading2"/>
      </w:pPr>
      <w:bookmarkStart w:id="74" w:name="_Toc409079376"/>
      <w:bookmarkStart w:id="75" w:name="_Toc251515675"/>
      <w:r w:rsidRPr="00922B06">
        <w:t>Overview</w:t>
      </w:r>
      <w:bookmarkEnd w:id="74"/>
    </w:p>
    <w:p w:rsidR="00922B06" w:rsidRPr="00922B06" w:rsidRDefault="00922B06" w:rsidP="00675025">
      <w:pPr>
        <w:pStyle w:val="Text"/>
      </w:pPr>
      <w:r w:rsidRPr="00922B06">
        <w:t xml:space="preserve">Interviews with </w:t>
      </w:r>
      <w:r w:rsidR="00616464">
        <w:t xml:space="preserve">education stakeholders </w:t>
      </w:r>
      <w:r w:rsidRPr="00922B06">
        <w:t xml:space="preserve">in the four neighbourhood </w:t>
      </w:r>
      <w:r w:rsidR="0006292B">
        <w:t xml:space="preserve">areas confirmed findings from </w:t>
      </w:r>
      <w:r w:rsidRPr="00616464">
        <w:t>Johnston et al</w:t>
      </w:r>
      <w:r w:rsidR="00B63E06" w:rsidRPr="00616464">
        <w:t>.</w:t>
      </w:r>
      <w:r w:rsidR="0006292B">
        <w:t xml:space="preserve"> (</w:t>
      </w:r>
      <w:r w:rsidRPr="00616464">
        <w:t xml:space="preserve">2014) that </w:t>
      </w:r>
      <w:r w:rsidR="00D230DC">
        <w:t>post-school</w:t>
      </w:r>
      <w:r w:rsidRPr="00616464">
        <w:t xml:space="preserve"> participation in these areas of </w:t>
      </w:r>
      <w:r w:rsidR="0021491D">
        <w:rPr>
          <w:bCs/>
        </w:rPr>
        <w:t xml:space="preserve">socioeconomic </w:t>
      </w:r>
      <w:r w:rsidRPr="00616464">
        <w:t xml:space="preserve">disadvantage was lower than that from areas of social advantage, but </w:t>
      </w:r>
      <w:r w:rsidR="00FD5EDC">
        <w:t xml:space="preserve">that </w:t>
      </w:r>
      <w:r w:rsidRPr="00616464">
        <w:t>there were variations within and be</w:t>
      </w:r>
      <w:r w:rsidR="00B63E06" w:rsidRPr="00616464">
        <w:t xml:space="preserve">tween the four neighbourhoods. </w:t>
      </w:r>
      <w:r w:rsidRPr="00616464">
        <w:t>At the</w:t>
      </w:r>
      <w:r w:rsidRPr="00922B06">
        <w:t xml:space="preserve"> same time, discussions with </w:t>
      </w:r>
      <w:r w:rsidR="00D221EC">
        <w:t xml:space="preserve">the </w:t>
      </w:r>
      <w:r w:rsidRPr="00922B06">
        <w:t xml:space="preserve">key stakeholders revealed that </w:t>
      </w:r>
      <w:r w:rsidR="00D221EC">
        <w:t xml:space="preserve">the </w:t>
      </w:r>
      <w:r w:rsidRPr="00922B06">
        <w:t>postcode boundaries did not match people’s conceptual m</w:t>
      </w:r>
      <w:r w:rsidR="00FD5EDC">
        <w:t xml:space="preserve">aps of these areas and the way </w:t>
      </w:r>
      <w:r w:rsidRPr="00922B06">
        <w:t>they lived their lives in these areas. More useful for identifying which organisations and locations should be the focus of the study of neighbourhood effects was the concept of</w:t>
      </w:r>
      <w:r w:rsidRPr="00922B06">
        <w:rPr>
          <w:i/>
        </w:rPr>
        <w:t xml:space="preserve"> </w:t>
      </w:r>
      <w:r w:rsidR="00FD5EDC">
        <w:rPr>
          <w:i/>
        </w:rPr>
        <w:t>‘</w:t>
      </w:r>
      <w:r w:rsidRPr="00FD5EDC">
        <w:t>travel to work or study area</w:t>
      </w:r>
      <w:r w:rsidR="00FD5EDC">
        <w:t>’</w:t>
      </w:r>
      <w:r w:rsidRPr="00922B06">
        <w:t xml:space="preserve">. With this concept in mind we undertook interviews with key stakeholders and with young people who are currently participating in education and training in the broad areas we have identified as </w:t>
      </w:r>
      <w:r w:rsidRPr="00FD5EDC">
        <w:t>Westvale, Eastshire, Northtown and Southland</w:t>
      </w:r>
      <w:r w:rsidRPr="00922B06">
        <w:t xml:space="preserve">. </w:t>
      </w:r>
    </w:p>
    <w:p w:rsidR="00922B06" w:rsidRPr="00922B06" w:rsidRDefault="00922B06" w:rsidP="00922B06">
      <w:pPr>
        <w:pStyle w:val="Heading2"/>
      </w:pPr>
      <w:bookmarkStart w:id="76" w:name="_Toc253925142"/>
      <w:bookmarkStart w:id="77" w:name="_Toc409079377"/>
      <w:r w:rsidRPr="00922B06">
        <w:t>Pathways of engagement in education or training</w:t>
      </w:r>
      <w:bookmarkEnd w:id="76"/>
      <w:bookmarkEnd w:id="77"/>
    </w:p>
    <w:p w:rsidR="00922B06" w:rsidRPr="00922B06" w:rsidRDefault="00D221EC" w:rsidP="00922B06">
      <w:pPr>
        <w:pStyle w:val="Text"/>
      </w:pPr>
      <w:r>
        <w:t>The i</w:t>
      </w:r>
      <w:r w:rsidR="00922B06" w:rsidRPr="00922B06">
        <w:t xml:space="preserve">nterviews with stakeholders in all four areas </w:t>
      </w:r>
      <w:r w:rsidR="00542313" w:rsidRPr="00922B06">
        <w:t xml:space="preserve">identified a strong commitment </w:t>
      </w:r>
      <w:r w:rsidR="00922B06" w:rsidRPr="00922B06">
        <w:t xml:space="preserve">to increasing </w:t>
      </w:r>
      <w:r w:rsidR="00FD5EDC">
        <w:t xml:space="preserve">the </w:t>
      </w:r>
      <w:r w:rsidR="00922B06" w:rsidRPr="00922B06">
        <w:t xml:space="preserve">post-school participation </w:t>
      </w:r>
      <w:r>
        <w:t>for young people from these low-</w:t>
      </w:r>
      <w:r w:rsidR="00922B06" w:rsidRPr="00922B06">
        <w:t xml:space="preserve">SES areas and </w:t>
      </w:r>
      <w:r w:rsidR="00542313">
        <w:t xml:space="preserve">provided </w:t>
      </w:r>
      <w:r w:rsidR="00922B06" w:rsidRPr="00922B06">
        <w:t xml:space="preserve">evidence of some success. Therefore in mapping the patterns </w:t>
      </w:r>
      <w:r w:rsidR="00542313">
        <w:t xml:space="preserve">of </w:t>
      </w:r>
      <w:r w:rsidR="00922B06" w:rsidRPr="00922B06">
        <w:t xml:space="preserve">participation and </w:t>
      </w:r>
      <w:r w:rsidR="00FD5EDC">
        <w:t xml:space="preserve">the </w:t>
      </w:r>
      <w:r w:rsidR="00922B06" w:rsidRPr="00922B06">
        <w:t>career</w:t>
      </w:r>
      <w:r w:rsidR="00542313">
        <w:t xml:space="preserve"> aspirations of the 52</w:t>
      </w:r>
      <w:r w:rsidR="00922B06" w:rsidRPr="00922B06">
        <w:t xml:space="preserve"> young pe</w:t>
      </w:r>
      <w:r>
        <w:t xml:space="preserve">ople, we have identified </w:t>
      </w:r>
      <w:r w:rsidR="00922B06" w:rsidRPr="00922B06">
        <w:t xml:space="preserve">not quantitatively significant patterns, but indicators of trends in the </w:t>
      </w:r>
      <w:r w:rsidR="00922B06" w:rsidRPr="00922B06">
        <w:rPr>
          <w:i/>
        </w:rPr>
        <w:t>pathways of engagement</w:t>
      </w:r>
      <w:bookmarkEnd w:id="75"/>
      <w:r w:rsidR="00922B06" w:rsidRPr="00922B06">
        <w:t>.</w:t>
      </w:r>
    </w:p>
    <w:p w:rsidR="00922B06" w:rsidRPr="00922B06" w:rsidRDefault="00922B06" w:rsidP="00B63E06">
      <w:pPr>
        <w:pStyle w:val="Heading3"/>
      </w:pPr>
      <w:r w:rsidRPr="00922B06">
        <w:t>Finding 1: The i</w:t>
      </w:r>
      <w:r w:rsidR="00D221EC">
        <w:t>mportant role of VET in socio</w:t>
      </w:r>
      <w:r w:rsidR="00675025">
        <w:t>economically</w:t>
      </w:r>
      <w:r w:rsidRPr="00922B06">
        <w:t xml:space="preserve"> disadvantaged neighbourhoods</w:t>
      </w:r>
    </w:p>
    <w:p w:rsidR="00922B06" w:rsidRPr="00922B06" w:rsidRDefault="00542313" w:rsidP="00922B06">
      <w:pPr>
        <w:pStyle w:val="Text"/>
      </w:pPr>
      <w:r>
        <w:t>Careers requiring a VET pathway</w:t>
      </w:r>
      <w:r w:rsidR="00922B06" w:rsidRPr="00922B06">
        <w:t xml:space="preserve"> were the predominant </w:t>
      </w:r>
      <w:r>
        <w:t xml:space="preserve">choice </w:t>
      </w:r>
      <w:r w:rsidR="00922B06" w:rsidRPr="00922B06">
        <w:t xml:space="preserve">of the </w:t>
      </w:r>
      <w:r w:rsidR="00D230DC">
        <w:t>post-school</w:t>
      </w:r>
      <w:r w:rsidR="00922B06" w:rsidRPr="00922B06">
        <w:t xml:space="preserve"> focus group participants and roughly half of the school student p</w:t>
      </w:r>
      <w:r>
        <w:t>articipants were aspiring to vocational</w:t>
      </w:r>
      <w:r w:rsidR="00922B06" w:rsidRPr="00922B06">
        <w:t xml:space="preserve"> education and training </w:t>
      </w:r>
      <w:r w:rsidR="00D221EC">
        <w:t xml:space="preserve">after leaving </w:t>
      </w:r>
      <w:r w:rsidR="00D230DC">
        <w:t>school</w:t>
      </w:r>
      <w:r w:rsidR="00922B06" w:rsidRPr="00922B06">
        <w:t xml:space="preserve">. This suggests that the majority of </w:t>
      </w:r>
      <w:r w:rsidR="00F156A6">
        <w:t xml:space="preserve">the </w:t>
      </w:r>
      <w:r w:rsidR="00922B06" w:rsidRPr="00922B06">
        <w:t>tertiary education asp</w:t>
      </w:r>
      <w:r w:rsidR="007D3241">
        <w:t>irations of the participants were</w:t>
      </w:r>
      <w:r w:rsidR="00922B06" w:rsidRPr="00922B06">
        <w:t xml:space="preserve"> </w:t>
      </w:r>
      <w:r w:rsidR="00F156A6">
        <w:t xml:space="preserve">to be realised </w:t>
      </w:r>
      <w:r w:rsidR="00922B06" w:rsidRPr="00922B06">
        <w:t>through a VET pathway. This finding could be influenced by the fact that three focus groups were held on TAFE campuses with enrolled TAFE stu</w:t>
      </w:r>
      <w:r w:rsidR="00D221EC">
        <w:t>dents;</w:t>
      </w:r>
      <w:r>
        <w:t xml:space="preserve"> however</w:t>
      </w:r>
      <w:r w:rsidR="00D221EC">
        <w:t>,</w:t>
      </w:r>
      <w:r>
        <w:t xml:space="preserve"> the finding </w:t>
      </w:r>
      <w:r w:rsidR="00922B06" w:rsidRPr="00922B06">
        <w:t>is co</w:t>
      </w:r>
      <w:r>
        <w:t>nsistent with</w:t>
      </w:r>
      <w:r w:rsidR="00922B06" w:rsidRPr="00922B06">
        <w:t xml:space="preserve"> Johnson e</w:t>
      </w:r>
      <w:r w:rsidR="00317496">
        <w:t>t al. (2014</w:t>
      </w:r>
      <w:r w:rsidR="00E0743E">
        <w:t>, p.8</w:t>
      </w:r>
      <w:r w:rsidR="00317496">
        <w:t>), who</w:t>
      </w:r>
      <w:r w:rsidR="00B63E06">
        <w:t xml:space="preserve"> found ‘</w:t>
      </w:r>
      <w:r w:rsidR="00922B06" w:rsidRPr="00922B06">
        <w:t>that students living in less prosperous neighbourhoods are more likely to have aspirations for undertaking vo</w:t>
      </w:r>
      <w:r w:rsidR="00B63E06">
        <w:t>cational education and training’</w:t>
      </w:r>
      <w:r w:rsidR="00E0743E">
        <w:t>.</w:t>
      </w:r>
    </w:p>
    <w:p w:rsidR="00922B06" w:rsidRDefault="00F156A6" w:rsidP="00F444F5">
      <w:pPr>
        <w:pStyle w:val="Text"/>
      </w:pPr>
      <w:r>
        <w:t>In this research v</w:t>
      </w:r>
      <w:r w:rsidR="00890BDE">
        <w:t xml:space="preserve">ocational education </w:t>
      </w:r>
      <w:r w:rsidR="00890BDE" w:rsidRPr="00994936">
        <w:t>and training</w:t>
      </w:r>
      <w:r w:rsidR="00922B06" w:rsidRPr="00994936">
        <w:t xml:space="preserve"> was considered the normal pathway for t</w:t>
      </w:r>
      <w:r w:rsidR="00542313" w:rsidRPr="00994936">
        <w:t>hose choosing to continue with</w:t>
      </w:r>
      <w:r w:rsidR="00E0743E" w:rsidRPr="00994936">
        <w:t xml:space="preserve"> education or training post </w:t>
      </w:r>
      <w:r w:rsidR="00922B06" w:rsidRPr="00994936">
        <w:t>school, regardless</w:t>
      </w:r>
      <w:r w:rsidR="00922B06" w:rsidRPr="00922B06">
        <w:t xml:space="preserve"> of</w:t>
      </w:r>
      <w:r w:rsidR="00E0743E">
        <w:t xml:space="preserve"> the</w:t>
      </w:r>
      <w:r w:rsidR="00922B06" w:rsidRPr="00922B06">
        <w:t xml:space="preserve"> neighbourhood of </w:t>
      </w:r>
      <w:r w:rsidR="0021491D">
        <w:rPr>
          <w:bCs/>
        </w:rPr>
        <w:t xml:space="preserve">socioeconomic </w:t>
      </w:r>
      <w:r w:rsidR="00922B06" w:rsidRPr="00922B06">
        <w:t xml:space="preserve">disadvantage, whether it </w:t>
      </w:r>
      <w:proofErr w:type="gramStart"/>
      <w:r w:rsidR="00922B06" w:rsidRPr="00922B06">
        <w:t>be</w:t>
      </w:r>
      <w:proofErr w:type="gramEnd"/>
      <w:r w:rsidR="00922B06" w:rsidRPr="00922B06">
        <w:t xml:space="preserve"> regional or rural or </w:t>
      </w:r>
      <w:r w:rsidR="008E0670" w:rsidRPr="004C0996">
        <w:rPr>
          <w:bCs/>
        </w:rPr>
        <w:t>urban</w:t>
      </w:r>
      <w:r w:rsidR="008E0670">
        <w:rPr>
          <w:bCs/>
        </w:rPr>
        <w:t xml:space="preserve"> fringe</w:t>
      </w:r>
      <w:r w:rsidR="00922B06" w:rsidRPr="00922B06">
        <w:t>.</w:t>
      </w:r>
      <w:r w:rsidR="00922B06" w:rsidRPr="00922B06">
        <w:rPr>
          <w:b/>
        </w:rPr>
        <w:t xml:space="preserve"> </w:t>
      </w:r>
      <w:r w:rsidR="00890BDE">
        <w:t>Thirteen</w:t>
      </w:r>
      <w:r w:rsidR="00922B06" w:rsidRPr="00922B06">
        <w:t xml:space="preserve"> of the 24 school students aspired to a career pathway through VET, although at least two of thes</w:t>
      </w:r>
      <w:r w:rsidR="00890BDE">
        <w:t>e were also considering u</w:t>
      </w:r>
      <w:r w:rsidR="00922B06" w:rsidRPr="00922B06">
        <w:t>niversity</w:t>
      </w:r>
      <w:r>
        <w:t>.</w:t>
      </w:r>
      <w:r w:rsidR="00922B06" w:rsidRPr="00922B06">
        <w:t xml:space="preserve"> (</w:t>
      </w:r>
      <w:r>
        <w:t>S</w:t>
      </w:r>
      <w:r w:rsidR="00B63E06">
        <w:t xml:space="preserve">ee </w:t>
      </w:r>
      <w:r w:rsidR="00890BDE">
        <w:t>a</w:t>
      </w:r>
      <w:r w:rsidR="00F444F5">
        <w:t>ppendix</w:t>
      </w:r>
      <w:r w:rsidR="00F444F5" w:rsidRPr="00844F53">
        <w:t xml:space="preserve"> </w:t>
      </w:r>
      <w:r w:rsidR="00890BDE">
        <w:t>t</w:t>
      </w:r>
      <w:r w:rsidR="00B63E06" w:rsidRPr="00844F53">
        <w:t xml:space="preserve">able </w:t>
      </w:r>
      <w:r>
        <w:t>A1</w:t>
      </w:r>
      <w:r w:rsidR="00890BDE">
        <w:t>,</w:t>
      </w:r>
      <w:r w:rsidR="00B63E06">
        <w:t xml:space="preserve"> which</w:t>
      </w:r>
      <w:r w:rsidR="00922B06" w:rsidRPr="00922B06">
        <w:t xml:space="preserve"> summarises the career aspiratio</w:t>
      </w:r>
      <w:r w:rsidR="00542313">
        <w:t>ns and actual pathways of the 52</w:t>
      </w:r>
      <w:r w:rsidR="00922B06" w:rsidRPr="00922B06">
        <w:t xml:space="preserve"> focus group participants, broken down </w:t>
      </w:r>
      <w:r w:rsidR="00542313">
        <w:t xml:space="preserve">by </w:t>
      </w:r>
      <w:r w:rsidR="00B51322">
        <w:t xml:space="preserve">neighbourhood and </w:t>
      </w:r>
      <w:r w:rsidR="00922B06" w:rsidRPr="00922B06">
        <w:t>by un</w:t>
      </w:r>
      <w:r w:rsidR="00B63E06">
        <w:t>iversity, VET or other pathway</w:t>
      </w:r>
      <w:r>
        <w:t>.</w:t>
      </w:r>
      <w:r w:rsidR="00922B06" w:rsidRPr="00922B06">
        <w:t>)</w:t>
      </w:r>
    </w:p>
    <w:p w:rsidR="008246B0" w:rsidRDefault="008246B0">
      <w:pPr>
        <w:spacing w:before="0" w:line="240" w:lineRule="auto"/>
      </w:pPr>
      <w:r>
        <w:br w:type="page"/>
      </w:r>
    </w:p>
    <w:tbl>
      <w:tblPr>
        <w:tblStyle w:val="TableGrid"/>
        <w:tblW w:w="0" w:type="auto"/>
        <w:tblInd w:w="534" w:type="dxa"/>
        <w:tblBorders>
          <w:top w:val="single" w:sz="24" w:space="0" w:color="auto"/>
          <w:left w:val="none" w:sz="0" w:space="0" w:color="auto"/>
          <w:bottom w:val="single" w:sz="12"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7938"/>
      </w:tblGrid>
      <w:tr w:rsidR="008246B0" w:rsidTr="008246B0">
        <w:tc>
          <w:tcPr>
            <w:tcW w:w="7938" w:type="dxa"/>
            <w:shd w:val="clear" w:color="auto" w:fill="D9D9D9" w:themeFill="background1" w:themeFillShade="D9"/>
          </w:tcPr>
          <w:p w:rsidR="008246B0" w:rsidRPr="008246B0" w:rsidRDefault="008246B0" w:rsidP="00BA2740">
            <w:pPr>
              <w:pStyle w:val="Text-box"/>
            </w:pPr>
            <w:proofErr w:type="spellStart"/>
            <w:r w:rsidRPr="008246B0">
              <w:lastRenderedPageBreak/>
              <w:t>Eastshire</w:t>
            </w:r>
            <w:proofErr w:type="spellEnd"/>
            <w:r w:rsidRPr="008246B0">
              <w:t xml:space="preserve">: Of the three school students interviewed in the small town in </w:t>
            </w:r>
            <w:proofErr w:type="spellStart"/>
            <w:r w:rsidRPr="008246B0">
              <w:t>Eastshire</w:t>
            </w:r>
            <w:proofErr w:type="spellEnd"/>
            <w:r w:rsidRPr="008246B0">
              <w:t xml:space="preserve">, the two male </w:t>
            </w:r>
            <w:proofErr w:type="gramStart"/>
            <w:r w:rsidRPr="008246B0">
              <w:t>students</w:t>
            </w:r>
            <w:proofErr w:type="gramEnd"/>
            <w:r w:rsidRPr="008246B0">
              <w:t xml:space="preserve"> aspired to </w:t>
            </w:r>
            <w:r w:rsidR="00E0743E">
              <w:t>vocational</w:t>
            </w:r>
            <w:r w:rsidRPr="008246B0">
              <w:t xml:space="preserve"> education and training. One was hoping to secure an on-the-job traineeship as a stock agent and the other an apprenticeship as a linesman. </w:t>
            </w:r>
          </w:p>
          <w:p w:rsidR="008246B0" w:rsidRPr="008246B0" w:rsidRDefault="008246B0" w:rsidP="00BA2740">
            <w:pPr>
              <w:pStyle w:val="Text-box"/>
            </w:pPr>
            <w:proofErr w:type="spellStart"/>
            <w:r w:rsidRPr="008246B0">
              <w:t>Westvale</w:t>
            </w:r>
            <w:proofErr w:type="spellEnd"/>
            <w:r w:rsidRPr="008246B0">
              <w:t xml:space="preserve">: Of the eight school students interviewed at a </w:t>
            </w:r>
            <w:proofErr w:type="spellStart"/>
            <w:r w:rsidRPr="008246B0">
              <w:t>Westvale</w:t>
            </w:r>
            <w:proofErr w:type="spellEnd"/>
            <w:r w:rsidRPr="008246B0">
              <w:t xml:space="preserve"> school, one of the three female students aspired to a career in beauty therapy and was hoping to secure an on-the-job traineeship in a beauty salon but had also researched VET courses. Of the five male students, four aspired to a trade through an apprenticeship in the local area and one was undecided about a trade or university to do physical education teaching.</w:t>
            </w:r>
          </w:p>
          <w:p w:rsidR="008246B0" w:rsidRPr="008246B0" w:rsidRDefault="008246B0" w:rsidP="00BA2740">
            <w:pPr>
              <w:pStyle w:val="Text-box"/>
            </w:pPr>
            <w:proofErr w:type="spellStart"/>
            <w:r w:rsidRPr="008246B0">
              <w:t>Northtown</w:t>
            </w:r>
            <w:proofErr w:type="spellEnd"/>
            <w:r w:rsidRPr="008246B0">
              <w:t>: Of the five young men interviewed at one school, one wanted to secure an apprenticeship as an electrician; one wanted to start his own gym and indicated this might require some VET qualifications in personal training. Of the four students interviewed at another school, one of the young women wanted to pursue something related to art and had been steered into a make-up subject at school because there were no other art subjects available. She was not clear about where she might study but one of her aspirations was to be a make-up artist, which would in all likelihood require a VET qualification.</w:t>
            </w:r>
          </w:p>
          <w:p w:rsidR="008246B0" w:rsidRPr="008246B0" w:rsidRDefault="008246B0" w:rsidP="00BA2740">
            <w:pPr>
              <w:pStyle w:val="Text-box"/>
            </w:pPr>
            <w:r w:rsidRPr="008246B0">
              <w:t>Southland: There were two participants still at school in the Southland focus group. One wanted to leave as soon as he turned 16 years and secure a pastry chef apprenticeship. The other, a young woman, cited outdoor recreation as one of several career options, although</w:t>
            </w:r>
            <w:r w:rsidR="00E0743E">
              <w:t xml:space="preserve"> she was</w:t>
            </w:r>
            <w:r w:rsidRPr="008246B0">
              <w:t xml:space="preserve"> unclear about where she thought she might study for qualifications. The options identified by both participants indicated that the VET qualifications they were undertak</w:t>
            </w:r>
            <w:r w:rsidR="00E0743E">
              <w:t>ing while</w:t>
            </w:r>
            <w:r w:rsidRPr="008246B0">
              <w:t xml:space="preserve"> in school provided a foundation for their transition to further study post school.</w:t>
            </w:r>
          </w:p>
          <w:p w:rsidR="008246B0" w:rsidRDefault="008246B0" w:rsidP="008246B0">
            <w:pPr>
              <w:pStyle w:val="Text"/>
              <w:spacing w:before="0" w:line="240" w:lineRule="auto"/>
              <w:ind w:right="0"/>
            </w:pPr>
            <w:r>
              <w:t xml:space="preserve"> </w:t>
            </w:r>
          </w:p>
        </w:tc>
      </w:tr>
    </w:tbl>
    <w:p w:rsidR="007448A0" w:rsidRPr="00631598" w:rsidRDefault="00922B06" w:rsidP="008246B0">
      <w:pPr>
        <w:pStyle w:val="Heading3"/>
        <w:spacing w:before="560"/>
      </w:pPr>
      <w:r w:rsidRPr="00631598">
        <w:t>Finding 2: VET was also the location for re-engagemen</w:t>
      </w:r>
      <w:r w:rsidR="00890BDE" w:rsidRPr="00631598">
        <w:t xml:space="preserve">t in education </w:t>
      </w:r>
      <w:r w:rsidR="008246B0">
        <w:br/>
      </w:r>
      <w:r w:rsidR="00F156A6" w:rsidRPr="00631598">
        <w:t>for</w:t>
      </w:r>
      <w:r w:rsidR="00890BDE" w:rsidRPr="00631598">
        <w:t xml:space="preserve"> young adults</w:t>
      </w:r>
      <w:r w:rsidRPr="00631598">
        <w:t xml:space="preserve"> </w:t>
      </w:r>
    </w:p>
    <w:p w:rsidR="001E32D6" w:rsidRDefault="00EE7F05" w:rsidP="007448A0">
      <w:pPr>
        <w:pStyle w:val="Text"/>
        <w:rPr>
          <w:rFonts w:eastAsiaTheme="majorEastAsia"/>
        </w:rPr>
      </w:pPr>
      <w:r>
        <w:rPr>
          <w:rFonts w:eastAsiaTheme="majorEastAsia"/>
        </w:rPr>
        <w:t xml:space="preserve">Vocational education and training was valuable in engaging and re-engaging young adults. The overwhelming majority of the post-school group interviewed were studying in a TAFE </w:t>
      </w:r>
      <w:r w:rsidR="000B4F8E">
        <w:rPr>
          <w:rFonts w:eastAsiaTheme="majorEastAsia"/>
        </w:rPr>
        <w:t xml:space="preserve">(technical and further education) </w:t>
      </w:r>
      <w:r w:rsidR="00F156A6">
        <w:rPr>
          <w:rFonts w:eastAsiaTheme="majorEastAsia"/>
        </w:rPr>
        <w:t xml:space="preserve">institute </w:t>
      </w:r>
      <w:r w:rsidR="000B4F8E">
        <w:rPr>
          <w:rFonts w:eastAsiaTheme="majorEastAsia"/>
        </w:rPr>
        <w:t>or a community/employer-</w:t>
      </w:r>
      <w:r>
        <w:rPr>
          <w:rFonts w:eastAsiaTheme="majorEastAsia"/>
        </w:rPr>
        <w:t xml:space="preserve">based </w:t>
      </w:r>
      <w:r w:rsidR="000B4F8E">
        <w:rPr>
          <w:rFonts w:eastAsiaTheme="majorEastAsia"/>
        </w:rPr>
        <w:t xml:space="preserve">registered training </w:t>
      </w:r>
      <w:r w:rsidR="00ED0623">
        <w:rPr>
          <w:rFonts w:eastAsiaTheme="majorEastAsia"/>
        </w:rPr>
        <w:t>organisat</w:t>
      </w:r>
      <w:r w:rsidR="000B4F8E">
        <w:rPr>
          <w:rFonts w:eastAsiaTheme="majorEastAsia"/>
        </w:rPr>
        <w:t xml:space="preserve">ion </w:t>
      </w:r>
      <w:r>
        <w:rPr>
          <w:rFonts w:eastAsiaTheme="majorEastAsia"/>
        </w:rPr>
        <w:t>(</w:t>
      </w:r>
      <w:r w:rsidRPr="00EE7F05">
        <w:rPr>
          <w:rFonts w:eastAsiaTheme="majorEastAsia"/>
        </w:rPr>
        <w:t>26 of the 28</w:t>
      </w:r>
      <w:r w:rsidR="00922B06" w:rsidRPr="00EE7F05">
        <w:rPr>
          <w:rFonts w:eastAsiaTheme="majorEastAsia"/>
        </w:rPr>
        <w:t xml:space="preserve"> </w:t>
      </w:r>
      <w:r w:rsidR="00D230DC">
        <w:rPr>
          <w:rFonts w:eastAsiaTheme="majorEastAsia"/>
        </w:rPr>
        <w:t>post-school</w:t>
      </w:r>
      <w:r w:rsidR="00922B06" w:rsidRPr="00EE7F05">
        <w:rPr>
          <w:rFonts w:eastAsiaTheme="majorEastAsia"/>
        </w:rPr>
        <w:t xml:space="preserve"> participants were studying, or had studied, through a VET pathwa</w:t>
      </w:r>
      <w:r w:rsidR="007448A0" w:rsidRPr="00EE7F05">
        <w:rPr>
          <w:rFonts w:eastAsiaTheme="majorEastAsia"/>
        </w:rPr>
        <w:t>y</w:t>
      </w:r>
      <w:r w:rsidRPr="00EE7F05">
        <w:rPr>
          <w:rFonts w:eastAsiaTheme="majorEastAsia"/>
        </w:rPr>
        <w:t>)</w:t>
      </w:r>
      <w:r w:rsidR="007448A0" w:rsidRPr="00EE7F05">
        <w:rPr>
          <w:rFonts w:eastAsiaTheme="majorEastAsia"/>
        </w:rPr>
        <w:t>.</w:t>
      </w:r>
      <w:r>
        <w:rPr>
          <w:rFonts w:eastAsiaTheme="majorEastAsia"/>
        </w:rPr>
        <w:t xml:space="preserve"> The </w:t>
      </w:r>
      <w:r w:rsidR="00BA55BA">
        <w:rPr>
          <w:rFonts w:eastAsiaTheme="majorEastAsia"/>
        </w:rPr>
        <w:t>qualification pathways followed by these young adults were not always linear with vertical progression through qualification levels within one vocational area or industrial sector.</w:t>
      </w:r>
      <w:r w:rsidR="00D13A1E">
        <w:rPr>
          <w:rFonts w:eastAsiaTheme="majorEastAsia"/>
        </w:rPr>
        <w:t xml:space="preserve"> </w:t>
      </w:r>
      <w:r w:rsidR="00BA55BA">
        <w:rPr>
          <w:rFonts w:eastAsiaTheme="majorEastAsia"/>
        </w:rPr>
        <w:t xml:space="preserve">Young people often tried different areas of study until they found a vocational pathway leading to the employment to which they aspired. </w:t>
      </w:r>
      <w:r w:rsidR="00C64E83">
        <w:rPr>
          <w:rFonts w:eastAsiaTheme="majorEastAsia"/>
        </w:rPr>
        <w:t xml:space="preserve">But several participants </w:t>
      </w:r>
      <w:r w:rsidR="00ED0623">
        <w:rPr>
          <w:rFonts w:eastAsiaTheme="majorEastAsia"/>
        </w:rPr>
        <w:t xml:space="preserve">— those who had not completed </w:t>
      </w:r>
      <w:r w:rsidR="00E0743E">
        <w:rPr>
          <w:rFonts w:eastAsiaTheme="majorEastAsia"/>
        </w:rPr>
        <w:t>Year 12 or obtained high enough school-</w:t>
      </w:r>
      <w:r w:rsidR="00ED0623">
        <w:rPr>
          <w:rFonts w:eastAsiaTheme="majorEastAsia"/>
        </w:rPr>
        <w:t xml:space="preserve">leaving grades for progression to university — </w:t>
      </w:r>
      <w:r w:rsidR="00C64E83">
        <w:rPr>
          <w:rFonts w:eastAsiaTheme="majorEastAsia"/>
        </w:rPr>
        <w:t>described how their chosen p</w:t>
      </w:r>
      <w:r w:rsidR="00ED0623">
        <w:rPr>
          <w:rFonts w:eastAsiaTheme="majorEastAsia"/>
        </w:rPr>
        <w:t>athways through TAFE had formed an a</w:t>
      </w:r>
      <w:r w:rsidR="00C64E83">
        <w:rPr>
          <w:rFonts w:eastAsiaTheme="majorEastAsia"/>
        </w:rPr>
        <w:t>ccess route to university study. In both Southland and Westvale there were exam</w:t>
      </w:r>
      <w:r w:rsidR="00DF2EA9">
        <w:rPr>
          <w:rFonts w:eastAsiaTheme="majorEastAsia"/>
        </w:rPr>
        <w:t xml:space="preserve">ples of study at </w:t>
      </w:r>
      <w:r w:rsidR="00ED0623">
        <w:rPr>
          <w:rFonts w:eastAsiaTheme="majorEastAsia"/>
        </w:rPr>
        <w:t xml:space="preserve">certificate </w:t>
      </w:r>
      <w:r w:rsidR="00F156A6">
        <w:rPr>
          <w:rFonts w:eastAsiaTheme="majorEastAsia"/>
        </w:rPr>
        <w:t>III</w:t>
      </w:r>
      <w:r w:rsidR="00ED0623">
        <w:rPr>
          <w:rFonts w:eastAsiaTheme="majorEastAsia"/>
        </w:rPr>
        <w:t xml:space="preserve">, or certificate </w:t>
      </w:r>
      <w:r w:rsidR="00F156A6">
        <w:rPr>
          <w:rFonts w:eastAsiaTheme="majorEastAsia"/>
        </w:rPr>
        <w:t>IV</w:t>
      </w:r>
      <w:r w:rsidR="00ED0623">
        <w:rPr>
          <w:rFonts w:eastAsiaTheme="majorEastAsia"/>
        </w:rPr>
        <w:t xml:space="preserve"> and diploma </w:t>
      </w:r>
      <w:r w:rsidR="00C64E83">
        <w:rPr>
          <w:rFonts w:eastAsiaTheme="majorEastAsia"/>
        </w:rPr>
        <w:t>that articulated to degree study with the universities that wer</w:t>
      </w:r>
      <w:r w:rsidR="00A85AE2">
        <w:rPr>
          <w:rFonts w:eastAsiaTheme="majorEastAsia"/>
        </w:rPr>
        <w:t>e co-located with TAFE</w:t>
      </w:r>
      <w:r w:rsidR="00ED0623">
        <w:rPr>
          <w:rFonts w:eastAsiaTheme="majorEastAsia"/>
        </w:rPr>
        <w:t xml:space="preserve"> institute</w:t>
      </w:r>
      <w:r w:rsidR="00A85AE2">
        <w:rPr>
          <w:rFonts w:eastAsiaTheme="majorEastAsia"/>
        </w:rPr>
        <w:t>s</w:t>
      </w:r>
      <w:r w:rsidR="00C64E83">
        <w:rPr>
          <w:rFonts w:eastAsiaTheme="majorEastAsia"/>
        </w:rPr>
        <w:t xml:space="preserve">. </w:t>
      </w:r>
      <w:r w:rsidR="000F6AC8">
        <w:rPr>
          <w:rFonts w:eastAsiaTheme="majorEastAsia"/>
        </w:rPr>
        <w:t xml:space="preserve">For those who had </w:t>
      </w:r>
      <w:r w:rsidR="00DF2EA9">
        <w:rPr>
          <w:rFonts w:eastAsiaTheme="majorEastAsia"/>
        </w:rPr>
        <w:t xml:space="preserve">left school early, </w:t>
      </w:r>
      <w:r w:rsidR="00ED0623">
        <w:rPr>
          <w:rFonts w:eastAsiaTheme="majorEastAsia"/>
        </w:rPr>
        <w:t xml:space="preserve">certificate </w:t>
      </w:r>
      <w:r w:rsidR="00F156A6">
        <w:rPr>
          <w:rFonts w:eastAsiaTheme="majorEastAsia"/>
        </w:rPr>
        <w:t>I</w:t>
      </w:r>
      <w:r w:rsidR="00ED0623">
        <w:rPr>
          <w:rFonts w:eastAsiaTheme="majorEastAsia"/>
        </w:rPr>
        <w:t xml:space="preserve"> and certificate </w:t>
      </w:r>
      <w:r w:rsidR="00DF2EA9">
        <w:rPr>
          <w:rFonts w:eastAsiaTheme="majorEastAsia"/>
        </w:rPr>
        <w:t>II</w:t>
      </w:r>
      <w:r w:rsidR="000F6AC8">
        <w:rPr>
          <w:rFonts w:eastAsiaTheme="majorEastAsia"/>
        </w:rPr>
        <w:t xml:space="preserve"> c</w:t>
      </w:r>
      <w:r w:rsidR="00C64E83">
        <w:rPr>
          <w:rFonts w:eastAsiaTheme="majorEastAsia"/>
        </w:rPr>
        <w:t>ourses provided an important foundation for learning that had not been acquired in the school setting. These TAFE courses provided a bridge to</w:t>
      </w:r>
      <w:r w:rsidR="000F6AC8">
        <w:rPr>
          <w:rFonts w:eastAsiaTheme="majorEastAsia"/>
        </w:rPr>
        <w:t xml:space="preserve"> </w:t>
      </w:r>
      <w:r w:rsidR="00C64E83">
        <w:rPr>
          <w:rFonts w:eastAsiaTheme="majorEastAsia"/>
        </w:rPr>
        <w:t>becoming re-engaged</w:t>
      </w:r>
      <w:r w:rsidR="000F6AC8">
        <w:rPr>
          <w:rFonts w:eastAsiaTheme="majorEastAsia"/>
        </w:rPr>
        <w:t xml:space="preserve"> in education and training and </w:t>
      </w:r>
      <w:r w:rsidR="00A85AE2">
        <w:rPr>
          <w:rFonts w:eastAsiaTheme="majorEastAsia"/>
        </w:rPr>
        <w:t>enabled</w:t>
      </w:r>
      <w:r w:rsidR="00C64E83">
        <w:rPr>
          <w:rFonts w:eastAsiaTheme="majorEastAsia"/>
        </w:rPr>
        <w:t xml:space="preserve"> those who had not been in education or work for some time to redirect</w:t>
      </w:r>
      <w:r w:rsidR="00A85AE2">
        <w:rPr>
          <w:rFonts w:eastAsiaTheme="majorEastAsia"/>
        </w:rPr>
        <w:t xml:space="preserve"> their lives towards a future pathway to</w:t>
      </w:r>
      <w:r w:rsidR="000F6AC8">
        <w:rPr>
          <w:rFonts w:eastAsiaTheme="majorEastAsia"/>
        </w:rPr>
        <w:t xml:space="preserve"> employm</w:t>
      </w:r>
      <w:r w:rsidR="00C64E83">
        <w:rPr>
          <w:rFonts w:eastAsiaTheme="majorEastAsia"/>
        </w:rPr>
        <w:t xml:space="preserve">ent. </w:t>
      </w:r>
    </w:p>
    <w:p w:rsidR="00BA55BA" w:rsidRDefault="001E32D6" w:rsidP="007448A0">
      <w:pPr>
        <w:pStyle w:val="Text"/>
      </w:pPr>
      <w:r>
        <w:rPr>
          <w:rFonts w:eastAsiaTheme="majorEastAsia"/>
        </w:rPr>
        <w:t>However,</w:t>
      </w:r>
      <w:r w:rsidR="00ED0623">
        <w:t xml:space="preserve"> state-</w:t>
      </w:r>
      <w:r>
        <w:t xml:space="preserve">based policies were found to cut across the role of VET in re-engaging young adults. In South Australia, </w:t>
      </w:r>
      <w:r w:rsidR="00340CDC">
        <w:t>we heard from the TAFE</w:t>
      </w:r>
      <w:r w:rsidR="00F156A6">
        <w:t xml:space="preserve"> institute</w:t>
      </w:r>
      <w:r w:rsidR="00340CDC">
        <w:t xml:space="preserve"> of </w:t>
      </w:r>
      <w:r w:rsidR="00F156A6">
        <w:t xml:space="preserve">the </w:t>
      </w:r>
      <w:r>
        <w:t>unintended consequence</w:t>
      </w:r>
      <w:r w:rsidR="00340CDC">
        <w:t>s</w:t>
      </w:r>
      <w:r>
        <w:t xml:space="preserve"> of</w:t>
      </w:r>
      <w:r w:rsidR="00ED0623">
        <w:t xml:space="preserve"> the Skills for All policy. The policy had been i</w:t>
      </w:r>
      <w:r w:rsidR="00340CDC">
        <w:t xml:space="preserve">ntroduced to provide greater </w:t>
      </w:r>
      <w:r w:rsidR="00ED0623">
        <w:t xml:space="preserve">competitiveness in the </w:t>
      </w:r>
      <w:r w:rsidR="00340CDC">
        <w:t>education market and to align skills provision with employer demand</w:t>
      </w:r>
      <w:r w:rsidR="00ED0623">
        <w:t>.</w:t>
      </w:r>
      <w:r w:rsidR="00340CDC">
        <w:t xml:space="preserve"> </w:t>
      </w:r>
      <w:r w:rsidR="00ED0623">
        <w:t>One</w:t>
      </w:r>
      <w:r w:rsidR="00340CDC">
        <w:t xml:space="preserve"> consequence of the policy had been the withdrawal of funding for some programs deemed to be in oversupply, such as ‘nail tech</w:t>
      </w:r>
      <w:r w:rsidR="00ED0623">
        <w:t xml:space="preserve">nology’. Yet </w:t>
      </w:r>
      <w:r w:rsidR="00ED0623">
        <w:lastRenderedPageBreak/>
        <w:t>such c</w:t>
      </w:r>
      <w:r w:rsidR="001853E3">
        <w:t>ertificate II</w:t>
      </w:r>
      <w:r w:rsidR="00340CDC">
        <w:t xml:space="preserve"> programs had worked well to re-engage young people in Northtown</w:t>
      </w:r>
      <w:r w:rsidR="00ED0623">
        <w:t>,</w:t>
      </w:r>
      <w:r w:rsidR="00340CDC">
        <w:t xml:space="preserve"> where there are high level</w:t>
      </w:r>
      <w:r w:rsidR="001853E3">
        <w:t>s</w:t>
      </w:r>
      <w:r w:rsidR="00340CDC">
        <w:t xml:space="preserve"> of intergenerational unemployment. We heard how often students on such courses would be the first in </w:t>
      </w:r>
      <w:r w:rsidR="00F156A6">
        <w:t xml:space="preserve">the </w:t>
      </w:r>
      <w:r w:rsidR="00340CDC">
        <w:t xml:space="preserve">family to undertake post-school study and would proudly bring in family and neighbours to the college graduation celebrations. </w:t>
      </w:r>
      <w:r w:rsidR="007D27EC">
        <w:t>Similar unintended consequences resulted from a</w:t>
      </w:r>
      <w:r w:rsidRPr="00922B06">
        <w:t xml:space="preserve"> recent Victorian Government decision to withdraw subsidies to students studying at lower or </w:t>
      </w:r>
      <w:r w:rsidR="00DF2EA9">
        <w:t>equivalent level</w:t>
      </w:r>
      <w:r w:rsidRPr="00922B06">
        <w:t xml:space="preserve"> qualification</w:t>
      </w:r>
      <w:r w:rsidR="001853E3">
        <w:t>s. This decision</w:t>
      </w:r>
      <w:r w:rsidR="007D27EC">
        <w:t xml:space="preserve"> particularly affected students from areas of </w:t>
      </w:r>
      <w:r w:rsidR="0021491D">
        <w:t xml:space="preserve">socioeconomic </w:t>
      </w:r>
      <w:r w:rsidR="007D27EC">
        <w:t>disadvantage</w:t>
      </w:r>
      <w:r w:rsidR="00F156A6">
        <w:t>,</w:t>
      </w:r>
      <w:r w:rsidR="007D27EC">
        <w:t xml:space="preserve"> who had to work </w:t>
      </w:r>
      <w:r w:rsidR="001853E3">
        <w:t>t</w:t>
      </w:r>
      <w:r w:rsidR="00ED0623">
        <w:t>o fund their living costs while</w:t>
      </w:r>
      <w:r w:rsidR="001853E3">
        <w:t xml:space="preserve"> still at school</w:t>
      </w:r>
      <w:r w:rsidR="007D27EC">
        <w:t xml:space="preserve"> and </w:t>
      </w:r>
      <w:r w:rsidR="00ED0623">
        <w:t xml:space="preserve">who </w:t>
      </w:r>
      <w:r w:rsidR="001853E3">
        <w:t xml:space="preserve">had </w:t>
      </w:r>
      <w:r w:rsidR="007D27EC">
        <w:t>followed a mor</w:t>
      </w:r>
      <w:r w:rsidR="00ED0623">
        <w:t>e protracted path to university-</w:t>
      </w:r>
      <w:r w:rsidR="007D27EC">
        <w:t xml:space="preserve">level qualifications via </w:t>
      </w:r>
      <w:r w:rsidR="00ED0623">
        <w:t xml:space="preserve">certificates and diplomas </w:t>
      </w:r>
      <w:r w:rsidR="007D27EC">
        <w:t>in TAFE</w:t>
      </w:r>
      <w:r w:rsidR="00ED0623">
        <w:t xml:space="preserve"> institute</w:t>
      </w:r>
      <w:r w:rsidR="007D27EC">
        <w:t xml:space="preserve">s. </w:t>
      </w:r>
      <w:r w:rsidRPr="00922B06">
        <w:t>Vera (</w:t>
      </w:r>
      <w:r w:rsidR="00F156A6">
        <w:t xml:space="preserve">aged </w:t>
      </w:r>
      <w:r w:rsidRPr="00922B06">
        <w:t>18)</w:t>
      </w:r>
      <w:r w:rsidR="007D27EC">
        <w:t xml:space="preserve"> from </w:t>
      </w:r>
      <w:proofErr w:type="spellStart"/>
      <w:r w:rsidR="007D27EC">
        <w:t>Westvale</w:t>
      </w:r>
      <w:proofErr w:type="spellEnd"/>
      <w:r w:rsidR="007D27EC">
        <w:t>, who</w:t>
      </w:r>
      <w:r w:rsidRPr="00922B06">
        <w:t xml:space="preserve"> </w:t>
      </w:r>
      <w:r w:rsidR="00E0743E">
        <w:t xml:space="preserve">had </w:t>
      </w:r>
      <w:r w:rsidR="007D27EC">
        <w:t>left school without the necessary grades to apply direct to university, choose the local route</w:t>
      </w:r>
      <w:r w:rsidR="00BC5DBC">
        <w:t>, whereby</w:t>
      </w:r>
      <w:r w:rsidR="007D27EC">
        <w:t xml:space="preserve"> a TAFE </w:t>
      </w:r>
      <w:r w:rsidR="00BC5DBC">
        <w:t xml:space="preserve">course </w:t>
      </w:r>
      <w:r w:rsidR="007D27EC">
        <w:t>offers a pathway to a degree with a university on a co-located regional campus. Unfortunat</w:t>
      </w:r>
      <w:r w:rsidR="001853E3">
        <w:t>el</w:t>
      </w:r>
      <w:r w:rsidR="007D27EC">
        <w:t>y, the</w:t>
      </w:r>
      <w:r w:rsidRPr="00922B06">
        <w:t xml:space="preserve"> Diploma in Children’s Services </w:t>
      </w:r>
      <w:r w:rsidR="007D27EC">
        <w:t>pathway to the degree includes the lower qualification, the Certificate</w:t>
      </w:r>
      <w:r w:rsidRPr="00922B06">
        <w:t xml:space="preserve"> III </w:t>
      </w:r>
      <w:r w:rsidR="007D27EC">
        <w:t>in Children’s Services, but because Vera</w:t>
      </w:r>
      <w:r w:rsidR="00BC5DBC">
        <w:t xml:space="preserve"> obtained a c</w:t>
      </w:r>
      <w:r w:rsidR="001853E3">
        <w:t>ertificate III</w:t>
      </w:r>
      <w:r w:rsidR="007D27EC">
        <w:t xml:space="preserve"> in another vocational area </w:t>
      </w:r>
      <w:r w:rsidR="00BC5DBC">
        <w:t>while</w:t>
      </w:r>
      <w:r w:rsidRPr="00922B06">
        <w:t xml:space="preserve"> und</w:t>
      </w:r>
      <w:r w:rsidR="007D27EC">
        <w:t>ertaking paid work to fund her</w:t>
      </w:r>
      <w:r w:rsidRPr="00922B06">
        <w:t xml:space="preserve"> schooling</w:t>
      </w:r>
      <w:r w:rsidR="007D27EC">
        <w:t>, she has had to pay full fees for the first year of her TAFE study</w:t>
      </w:r>
      <w:r w:rsidRPr="00922B06">
        <w:t xml:space="preserve">. </w:t>
      </w:r>
      <w:r w:rsidR="001853E3">
        <w:t>Several other classmates had experienced the same problem</w:t>
      </w:r>
      <w:r w:rsidR="00F156A6">
        <w:t>,</w:t>
      </w:r>
      <w:r w:rsidR="001853E3">
        <w:t xml:space="preserve"> </w:t>
      </w:r>
      <w:r w:rsidR="00F156A6">
        <w:t xml:space="preserve">which is </w:t>
      </w:r>
      <w:r w:rsidR="001853E3">
        <w:t xml:space="preserve">associated with changing career track prior to embarking on the </w:t>
      </w:r>
      <w:r w:rsidR="00BC5DBC">
        <w:t xml:space="preserve">diploma/degree </w:t>
      </w:r>
      <w:r w:rsidR="001853E3">
        <w:t xml:space="preserve">route. Ironically, those with higher ATAR scores and less financial need </w:t>
      </w:r>
      <w:r w:rsidR="00BC5DBC">
        <w:t>while</w:t>
      </w:r>
      <w:r w:rsidR="001853E3">
        <w:t xml:space="preserve"> at school</w:t>
      </w:r>
      <w:r w:rsidR="00DF2EA9">
        <w:t>,</w:t>
      </w:r>
      <w:r w:rsidR="001853E3">
        <w:t xml:space="preserve"> who are able to enter university direct from school</w:t>
      </w:r>
      <w:r w:rsidR="00DF2EA9">
        <w:t>,</w:t>
      </w:r>
      <w:r w:rsidR="001853E3">
        <w:t xml:space="preserve"> would not experience the financial penalty associated with more protracted and circuitous pathways to higher skills learning. </w:t>
      </w:r>
    </w:p>
    <w:p w:rsidR="00BA2740" w:rsidRDefault="00BA2740">
      <w:pPr>
        <w:spacing w:before="0" w:line="240" w:lineRule="auto"/>
      </w:pPr>
    </w:p>
    <w:tbl>
      <w:tblPr>
        <w:tblStyle w:val="TableGrid"/>
        <w:tblW w:w="0" w:type="auto"/>
        <w:tblInd w:w="392" w:type="dxa"/>
        <w:tblBorders>
          <w:top w:val="single" w:sz="24" w:space="0" w:color="auto"/>
          <w:left w:val="none" w:sz="0" w:space="0" w:color="auto"/>
          <w:bottom w:val="single" w:sz="12"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221"/>
      </w:tblGrid>
      <w:tr w:rsidR="00BA2740" w:rsidTr="00BA2740">
        <w:tc>
          <w:tcPr>
            <w:tcW w:w="8221" w:type="dxa"/>
            <w:shd w:val="clear" w:color="auto" w:fill="D9D9D9" w:themeFill="background1" w:themeFillShade="D9"/>
          </w:tcPr>
          <w:p w:rsidR="00BA2740" w:rsidRPr="00922B06" w:rsidRDefault="00BA2740" w:rsidP="00BA2740">
            <w:pPr>
              <w:pStyle w:val="Text-box"/>
            </w:pPr>
            <w:proofErr w:type="spellStart"/>
            <w:r w:rsidRPr="00922B06">
              <w:t>Eastshire</w:t>
            </w:r>
            <w:proofErr w:type="spellEnd"/>
            <w:r w:rsidRPr="00922B06">
              <w:t xml:space="preserve">: Of the three </w:t>
            </w:r>
            <w:r>
              <w:t>post-school</w:t>
            </w:r>
            <w:r w:rsidRPr="00922B06">
              <w:t xml:space="preserve"> participants interviewed in one of the small towns in </w:t>
            </w:r>
            <w:proofErr w:type="spellStart"/>
            <w:r w:rsidRPr="00922B06">
              <w:t>Eastshire</w:t>
            </w:r>
            <w:proofErr w:type="spellEnd"/>
            <w:r>
              <w:t>,</w:t>
            </w:r>
            <w:r w:rsidRPr="00922B06">
              <w:t xml:space="preserve"> all had taken a VET pathway</w:t>
            </w:r>
            <w:r w:rsidR="00E0743E">
              <w:t>,</w:t>
            </w:r>
            <w:r w:rsidRPr="00922B06">
              <w:t xml:space="preserve"> although it had required them to travel to larger cen</w:t>
            </w:r>
            <w:r>
              <w:t>tres. Jo had achieved a D</w:t>
            </w:r>
            <w:r w:rsidRPr="00922B06">
              <w:t xml:space="preserve">iploma of Visual Arts on campus at RMIT in Melbourne; Cheryl had achieved </w:t>
            </w:r>
            <w:r>
              <w:t>certificate</w:t>
            </w:r>
            <w:r w:rsidRPr="00922B06">
              <w:t xml:space="preserve"> I and II qualifications in the main regional town (90 </w:t>
            </w:r>
            <w:proofErr w:type="spellStart"/>
            <w:r>
              <w:t>minutes</w:t>
            </w:r>
            <w:r w:rsidRPr="00922B06">
              <w:t xml:space="preserve"> drive</w:t>
            </w:r>
            <w:proofErr w:type="spellEnd"/>
            <w:r w:rsidRPr="00922B06">
              <w:t xml:space="preserve"> away), but was now studying for a </w:t>
            </w:r>
            <w:r>
              <w:t>diploma. DD had left school in Y</w:t>
            </w:r>
            <w:r w:rsidRPr="00922B06">
              <w:t xml:space="preserve">ear 11 and completed a </w:t>
            </w:r>
            <w:r>
              <w:t>Certificate</w:t>
            </w:r>
            <w:r w:rsidRPr="00922B06">
              <w:t xml:space="preserve"> III in Business Administration and was now working. In the main regional town Kate was studying a </w:t>
            </w:r>
            <w:r>
              <w:t>Certificate</w:t>
            </w:r>
            <w:r w:rsidRPr="00922B06">
              <w:t xml:space="preserve"> IV in Training and Assessment for her dance business; Joanna had completed a qualification in graphic design; and Missy had completed </w:t>
            </w:r>
            <w:r>
              <w:t>certificate</w:t>
            </w:r>
            <w:r w:rsidRPr="00922B06">
              <w:t xml:space="preserve"> qualifications in fitness. And also in </w:t>
            </w:r>
            <w:proofErr w:type="spellStart"/>
            <w:r w:rsidRPr="00922B06">
              <w:t>E</w:t>
            </w:r>
            <w:r>
              <w:t>astshire</w:t>
            </w:r>
            <w:proofErr w:type="spellEnd"/>
            <w:r>
              <w:t xml:space="preserve">, </w:t>
            </w:r>
            <w:r w:rsidRPr="00922B06">
              <w:t xml:space="preserve">a different small town, </w:t>
            </w:r>
            <w:r w:rsidR="00E0743E">
              <w:t xml:space="preserve">of </w:t>
            </w:r>
            <w:r w:rsidRPr="00922B06">
              <w:t xml:space="preserve">the three </w:t>
            </w:r>
            <w:r>
              <w:t>post-school</w:t>
            </w:r>
            <w:r w:rsidRPr="00922B06">
              <w:t xml:space="preserve"> participants interviewed from the Shire Youth Council, two had taken or were currently taking, on-the-job traineeships with the Shire Council.</w:t>
            </w:r>
          </w:p>
          <w:p w:rsidR="00BA2740" w:rsidRPr="00922B06" w:rsidRDefault="00BA2740" w:rsidP="00BA2740">
            <w:pPr>
              <w:pStyle w:val="Text-box"/>
            </w:pPr>
            <w:proofErr w:type="spellStart"/>
            <w:r w:rsidRPr="00922B06">
              <w:t>Westvale</w:t>
            </w:r>
            <w:proofErr w:type="spellEnd"/>
            <w:r w:rsidRPr="00922B06">
              <w:t>: The five post-school participants interviewed at the local TAFE campus at one of the major towns in the area were all studying various levels of children’s services qualifications. Two were undertaking or planned to undertake dipl</w:t>
            </w:r>
            <w:r>
              <w:t>oma-</w:t>
            </w:r>
            <w:r w:rsidRPr="00922B06">
              <w:t xml:space="preserve">level study and one was on a TAFE and Federation University bridging pathway in preparation for studying a Bachelor of Primary Education at the </w:t>
            </w:r>
            <w:proofErr w:type="spellStart"/>
            <w:r w:rsidRPr="00922B06">
              <w:t>Westvale</w:t>
            </w:r>
            <w:proofErr w:type="spellEnd"/>
            <w:r w:rsidRPr="00922B06">
              <w:t xml:space="preserve"> regional campus of Federation University.</w:t>
            </w:r>
          </w:p>
          <w:p w:rsidR="00BA2740" w:rsidRPr="00922B06" w:rsidRDefault="00BA2740" w:rsidP="00BA2740">
            <w:pPr>
              <w:pStyle w:val="Text-box"/>
            </w:pPr>
            <w:proofErr w:type="spellStart"/>
            <w:r w:rsidRPr="00922B06">
              <w:t>Northtown</w:t>
            </w:r>
            <w:proofErr w:type="spellEnd"/>
            <w:r w:rsidRPr="00922B06">
              <w:t xml:space="preserve">: The four male </w:t>
            </w:r>
            <w:r>
              <w:t>post-school</w:t>
            </w:r>
            <w:r w:rsidRPr="00922B06">
              <w:t xml:space="preserve"> participants interviewed at the </w:t>
            </w:r>
            <w:proofErr w:type="spellStart"/>
            <w:r w:rsidRPr="00922B06">
              <w:t>Northtown</w:t>
            </w:r>
            <w:proofErr w:type="spellEnd"/>
            <w:r w:rsidRPr="00922B06">
              <w:t xml:space="preserve"> TAFE campus were all studying a language literacy and numeracy program </w:t>
            </w:r>
            <w:r>
              <w:t>(LLNP). The three older participants, 25-year-</w:t>
            </w:r>
            <w:r w:rsidRPr="00922B06">
              <w:t>olds</w:t>
            </w:r>
            <w:r>
              <w:t>,</w:t>
            </w:r>
            <w:r w:rsidRPr="00922B06">
              <w:t xml:space="preserve"> had left school at a very early age</w:t>
            </w:r>
            <w:r>
              <w:t>,</w:t>
            </w:r>
            <w:r w:rsidRPr="00922B06">
              <w:t xml:space="preserve"> including the one participant in the study who identified as </w:t>
            </w:r>
            <w:r>
              <w:t>Indigenous</w:t>
            </w:r>
            <w:r w:rsidR="00E0743E">
              <w:t xml:space="preserve"> and w</w:t>
            </w:r>
            <w:r w:rsidRPr="00922B06">
              <w:t xml:space="preserve">ho left </w:t>
            </w:r>
            <w:r w:rsidR="00E0743E">
              <w:t>school in Grade 6 and spent many</w:t>
            </w:r>
            <w:r w:rsidRPr="00922B06">
              <w:t xml:space="preserve"> of his teen years in and out of detention centres. Another aimed to join the Army.</w:t>
            </w:r>
          </w:p>
          <w:p w:rsidR="00BA2740" w:rsidRPr="00922B06" w:rsidRDefault="00BA2740" w:rsidP="00BA2740">
            <w:pPr>
              <w:pStyle w:val="Text-box"/>
            </w:pPr>
            <w:r w:rsidRPr="00922B06">
              <w:t xml:space="preserve">Southland: Of the six participants at the Southland TAFE campus, one was a bricklayer apprentice, one had left school at 16 and was studying </w:t>
            </w:r>
            <w:r>
              <w:t>Certificates</w:t>
            </w:r>
            <w:r w:rsidRPr="00922B06">
              <w:t xml:space="preserve"> I and II Children’s Services</w:t>
            </w:r>
            <w:r>
              <w:t xml:space="preserve">, </w:t>
            </w:r>
            <w:proofErr w:type="gramStart"/>
            <w:r>
              <w:t>one</w:t>
            </w:r>
            <w:proofErr w:type="gramEnd"/>
            <w:r>
              <w:t xml:space="preserve"> had completed Y</w:t>
            </w:r>
            <w:r w:rsidRPr="00922B06">
              <w:t>ear 12 and was studying aged care but thought he m</w:t>
            </w:r>
            <w:r>
              <w:t>ight switch to disability. F</w:t>
            </w:r>
            <w:r w:rsidRPr="00922B06">
              <w:t>urther south in this area, participants identified through their Youth C</w:t>
            </w:r>
            <w:r>
              <w:t>entre</w:t>
            </w:r>
            <w:r w:rsidRPr="00922B06">
              <w:t xml:space="preserve"> activities revealed that one participant had studied administratio</w:t>
            </w:r>
            <w:r>
              <w:t>n at TAFE following Year 12, while another,</w:t>
            </w:r>
            <w:r w:rsidRPr="00922B06">
              <w:t xml:space="preserve"> John, who was an early school leaver</w:t>
            </w:r>
            <w:r>
              <w:t>,</w:t>
            </w:r>
            <w:r w:rsidRPr="00922B06">
              <w:t xml:space="preserve"> </w:t>
            </w:r>
            <w:proofErr w:type="gramStart"/>
            <w:r w:rsidRPr="00922B06">
              <w:t>eventually</w:t>
            </w:r>
            <w:proofErr w:type="gramEnd"/>
            <w:r w:rsidRPr="00922B06">
              <w:t xml:space="preserve"> managed to study a </w:t>
            </w:r>
            <w:r>
              <w:t>Certificate</w:t>
            </w:r>
            <w:r w:rsidRPr="00922B06">
              <w:t xml:space="preserve"> IV in Youth Work after participating in a number of programs.</w:t>
            </w:r>
          </w:p>
          <w:p w:rsidR="00BA2740" w:rsidRDefault="00BA2740" w:rsidP="00BA2740">
            <w:pPr>
              <w:pStyle w:val="Text"/>
              <w:spacing w:before="0" w:line="240" w:lineRule="auto"/>
              <w:ind w:right="0"/>
              <w:rPr>
                <w:rFonts w:eastAsiaTheme="majorEastAsia"/>
              </w:rPr>
            </w:pPr>
          </w:p>
        </w:tc>
      </w:tr>
    </w:tbl>
    <w:p w:rsidR="004A1655" w:rsidRDefault="00922B06" w:rsidP="00BA2740">
      <w:pPr>
        <w:pStyle w:val="Heading3"/>
        <w:spacing w:before="560"/>
      </w:pPr>
      <w:r w:rsidRPr="00922B06">
        <w:lastRenderedPageBreak/>
        <w:t>Finding 3: Localised prov</w:t>
      </w:r>
      <w:r w:rsidR="00F156A6">
        <w:t>ision,</w:t>
      </w:r>
      <w:r w:rsidR="000E6751">
        <w:t xml:space="preserve"> </w:t>
      </w:r>
      <w:r w:rsidR="00C6626F">
        <w:t>a pathway to university study</w:t>
      </w:r>
      <w:r w:rsidR="001F76E5">
        <w:t xml:space="preserve"> with lower grades </w:t>
      </w:r>
    </w:p>
    <w:p w:rsidR="00922B06" w:rsidRDefault="00922B06" w:rsidP="004A1655">
      <w:pPr>
        <w:pStyle w:val="Text"/>
      </w:pPr>
      <w:r w:rsidRPr="00922B06">
        <w:t xml:space="preserve">Higher education was a pathway for </w:t>
      </w:r>
      <w:r w:rsidR="000E6751">
        <w:t>11</w:t>
      </w:r>
      <w:r w:rsidRPr="00922B06">
        <w:t xml:space="preserve"> of the 24 school students who had made decisions to apply </w:t>
      </w:r>
      <w:r w:rsidR="00C6626F">
        <w:t>for and work towards achieving u</w:t>
      </w:r>
      <w:r w:rsidRPr="00922B06">
        <w:t>niversity entrance at a local higher education provider</w:t>
      </w:r>
      <w:r w:rsidR="001F76E5">
        <w:t xml:space="preserve"> </w:t>
      </w:r>
      <w:r w:rsidR="001F76E5" w:rsidRPr="00922B06">
        <w:t>(</w:t>
      </w:r>
      <w:r w:rsidR="001F76E5">
        <w:t xml:space="preserve">that </w:t>
      </w:r>
      <w:r w:rsidR="001F76E5" w:rsidRPr="00922B06">
        <w:t xml:space="preserve">typically </w:t>
      </w:r>
      <w:r w:rsidR="001F76E5">
        <w:t>accepted students with lower Year 12</w:t>
      </w:r>
      <w:r w:rsidR="001F76E5" w:rsidRPr="00922B06">
        <w:t xml:space="preserve"> </w:t>
      </w:r>
      <w:r w:rsidR="001F76E5">
        <w:t>grades or</w:t>
      </w:r>
      <w:r w:rsidR="00C17699">
        <w:t xml:space="preserve"> </w:t>
      </w:r>
      <w:r w:rsidR="001F76E5">
        <w:t>ATAR score</w:t>
      </w:r>
      <w:r w:rsidR="0039025D">
        <w:t>s</w:t>
      </w:r>
      <w:r w:rsidR="001F76E5">
        <w:t>)</w:t>
      </w:r>
      <w:r w:rsidRPr="00922B06">
        <w:t>. A further two were c</w:t>
      </w:r>
      <w:r w:rsidR="00C6626F">
        <w:t>onsidering it as a possibility.</w:t>
      </w:r>
      <w:r w:rsidR="00B057E6">
        <w:t xml:space="preserve"> </w:t>
      </w:r>
      <w:r w:rsidR="006F7A7F">
        <w:t xml:space="preserve">Interviews with representatives from the schools </w:t>
      </w:r>
      <w:r w:rsidR="0039025D">
        <w:t xml:space="preserve">attended by </w:t>
      </w:r>
      <w:r w:rsidR="006F7A7F">
        <w:t>these young people revealed that progression to university study was the minority route in all but one case</w:t>
      </w:r>
      <w:r w:rsidR="00E0743E">
        <w:t>,</w:t>
      </w:r>
      <w:r w:rsidR="006F7A7F">
        <w:t xml:space="preserve"> in </w:t>
      </w:r>
      <w:r w:rsidR="0039025D">
        <w:t>Eastshire</w:t>
      </w:r>
      <w:r w:rsidR="00F156A6">
        <w:t>,</w:t>
      </w:r>
      <w:r w:rsidR="0039025D">
        <w:t xml:space="preserve"> in</w:t>
      </w:r>
      <w:r w:rsidR="00DF2EA9">
        <w:t xml:space="preserve"> </w:t>
      </w:r>
      <w:r w:rsidR="006F7A7F">
        <w:t xml:space="preserve">Victoria </w:t>
      </w:r>
      <w:r w:rsidR="00C17699">
        <w:t>(where it was equal to the TAFE pathway progression)</w:t>
      </w:r>
      <w:r w:rsidR="00DF2EA9">
        <w:t xml:space="preserve"> and one case in South Australia</w:t>
      </w:r>
      <w:r w:rsidR="00E0743E">
        <w:t>, in Southland</w:t>
      </w:r>
      <w:r w:rsidR="00DF2EA9">
        <w:t xml:space="preserve"> (where university progression predominated). </w:t>
      </w:r>
      <w:r w:rsidR="00C17699">
        <w:t>S</w:t>
      </w:r>
      <w:r w:rsidR="006F7A7F">
        <w:t xml:space="preserve">chool leaving qualifications </w:t>
      </w:r>
      <w:r w:rsidR="00C17699">
        <w:t xml:space="preserve">from the schools </w:t>
      </w:r>
      <w:r w:rsidR="0039025D">
        <w:t xml:space="preserve">attended by </w:t>
      </w:r>
      <w:r w:rsidR="00C17699">
        <w:t xml:space="preserve">the participants </w:t>
      </w:r>
      <w:r w:rsidR="006F7A7F">
        <w:t xml:space="preserve">were on average below the norm required for entry to </w:t>
      </w:r>
      <w:r w:rsidR="00C17699">
        <w:t xml:space="preserve">competitive places at </w:t>
      </w:r>
      <w:r w:rsidR="0039025D">
        <w:t xml:space="preserve">the </w:t>
      </w:r>
      <w:r w:rsidR="00C17699">
        <w:t>research-led Group of Eight u</w:t>
      </w:r>
      <w:r w:rsidR="006F7A7F">
        <w:t>niversities</w:t>
      </w:r>
      <w:r w:rsidR="00C17699">
        <w:t>,</w:t>
      </w:r>
      <w:r w:rsidR="006F7A7F">
        <w:t xml:space="preserve"> with </w:t>
      </w:r>
      <w:r w:rsidR="00E0743E">
        <w:t>often only about 10 per cent</w:t>
      </w:r>
      <w:r w:rsidR="00C17699">
        <w:t xml:space="preserve"> of the cohort achieving ATAR scores of more than 80.</w:t>
      </w:r>
      <w:r w:rsidR="00BB243B">
        <w:t xml:space="preserve"> But it is worth noting that these differences between schools in different areas support Johnstone et al.’s</w:t>
      </w:r>
      <w:r w:rsidR="00D13A1E">
        <w:t xml:space="preserve"> </w:t>
      </w:r>
      <w:r w:rsidR="00BB243B">
        <w:t xml:space="preserve">(2014) argument that schools can outweigh neighbourhood effects. </w:t>
      </w:r>
    </w:p>
    <w:p w:rsidR="00BA2740" w:rsidRPr="00922B06" w:rsidRDefault="00BA2740" w:rsidP="00BA2740">
      <w:pPr>
        <w:pStyle w:val="Text"/>
        <w:spacing w:before="0"/>
        <w:ind w:right="0"/>
      </w:pPr>
    </w:p>
    <w:tbl>
      <w:tblPr>
        <w:tblStyle w:val="TableGrid"/>
        <w:tblW w:w="0" w:type="auto"/>
        <w:tblInd w:w="534" w:type="dxa"/>
        <w:tblBorders>
          <w:top w:val="single" w:sz="24" w:space="0" w:color="auto"/>
          <w:left w:val="none" w:sz="0" w:space="0" w:color="auto"/>
          <w:bottom w:val="single" w:sz="12"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7938"/>
      </w:tblGrid>
      <w:tr w:rsidR="00BA2740" w:rsidTr="00BA2740">
        <w:tc>
          <w:tcPr>
            <w:tcW w:w="7938" w:type="dxa"/>
            <w:shd w:val="clear" w:color="auto" w:fill="D9D9D9" w:themeFill="background1" w:themeFillShade="D9"/>
          </w:tcPr>
          <w:p w:rsidR="00BA2740" w:rsidRPr="00922B06" w:rsidRDefault="00BA2740" w:rsidP="00BA2740">
            <w:pPr>
              <w:pStyle w:val="Text-box"/>
            </w:pPr>
            <w:proofErr w:type="spellStart"/>
            <w:r w:rsidRPr="00922B06">
              <w:t>Eastshire</w:t>
            </w:r>
            <w:proofErr w:type="spellEnd"/>
            <w:r w:rsidRPr="00922B06">
              <w:t xml:space="preserve">: Ashlee wanted to study through Federation University to become a </w:t>
            </w:r>
            <w:r>
              <w:t>physical education</w:t>
            </w:r>
            <w:r w:rsidRPr="00922B06">
              <w:t xml:space="preserve"> teacher, which would involve travel to another regional town. Margaret, </w:t>
            </w:r>
            <w:r>
              <w:t xml:space="preserve">aged </w:t>
            </w:r>
            <w:r w:rsidRPr="00922B06">
              <w:t>16</w:t>
            </w:r>
            <w:r>
              <w:t xml:space="preserve"> years</w:t>
            </w:r>
            <w:r w:rsidRPr="00922B06">
              <w:t>, aspired to study medicine but would settle for bio-medicine if she did not achieve the required entrance score. Molly was unsure of what she would do be</w:t>
            </w:r>
            <w:r>
              <w:t>cause she wanted to study arts — creative writing —</w:t>
            </w:r>
            <w:r w:rsidRPr="00922B06">
              <w:t xml:space="preserve"> but her father had indicated he</w:t>
            </w:r>
            <w:r>
              <w:t xml:space="preserve"> would not support her through university if she studied arts;</w:t>
            </w:r>
            <w:r w:rsidRPr="00922B06">
              <w:t xml:space="preserve"> he expected her to study something more vocationally focused.</w:t>
            </w:r>
          </w:p>
          <w:p w:rsidR="00BA2740" w:rsidRPr="00922B06" w:rsidRDefault="00BA2740" w:rsidP="00BA2740">
            <w:pPr>
              <w:pStyle w:val="Text-box"/>
            </w:pPr>
            <w:proofErr w:type="spellStart"/>
            <w:r w:rsidRPr="00922B06">
              <w:t>Westvale</w:t>
            </w:r>
            <w:proofErr w:type="spellEnd"/>
            <w:r w:rsidRPr="00922B06">
              <w:t xml:space="preserve">: Simone aims to study </w:t>
            </w:r>
            <w:r>
              <w:t>health sciences and complete a Diploma of E</w:t>
            </w:r>
            <w:r w:rsidRPr="00922B06">
              <w:t xml:space="preserve">ducation to become a </w:t>
            </w:r>
            <w:r>
              <w:t>physical education</w:t>
            </w:r>
            <w:r w:rsidRPr="00922B06">
              <w:t xml:space="preserve"> teacher </w:t>
            </w:r>
            <w:r>
              <w:t xml:space="preserve">by </w:t>
            </w:r>
            <w:r w:rsidRPr="00922B06">
              <w:t>studying at a university in another regional centre; and Alice aspires to become a primary school teacher through Federatio</w:t>
            </w:r>
            <w:r>
              <w:t xml:space="preserve">n University after a gap year. </w:t>
            </w:r>
            <w:r w:rsidRPr="00922B06">
              <w:t xml:space="preserve">Ricky was considering the possibility of </w:t>
            </w:r>
            <w:r>
              <w:t>physical education</w:t>
            </w:r>
            <w:r w:rsidRPr="00922B06">
              <w:t xml:space="preserve"> teachin</w:t>
            </w:r>
            <w:r>
              <w:t>g but seemed to prefer a trade.</w:t>
            </w:r>
          </w:p>
          <w:p w:rsidR="00BA2740" w:rsidRPr="00922B06" w:rsidRDefault="00BA2740" w:rsidP="00BA2740">
            <w:pPr>
              <w:pStyle w:val="Text-box"/>
            </w:pPr>
            <w:proofErr w:type="spellStart"/>
            <w:r>
              <w:t>Northtown</w:t>
            </w:r>
            <w:proofErr w:type="spellEnd"/>
            <w:r>
              <w:t xml:space="preserve">: </w:t>
            </w:r>
            <w:r w:rsidRPr="00922B06">
              <w:t>three of the young men interviewed at on</w:t>
            </w:r>
            <w:r>
              <w:t>e school were set on achieving u</w:t>
            </w:r>
            <w:r w:rsidRPr="00922B06">
              <w:t>niversity entrance and identifie</w:t>
            </w:r>
            <w:r>
              <w:t xml:space="preserve">d the local campus of the lower-cost </w:t>
            </w:r>
            <w:r w:rsidRPr="00922B06">
              <w:t xml:space="preserve">university </w:t>
            </w:r>
            <w:r>
              <w:t>operating</w:t>
            </w:r>
            <w:r w:rsidRPr="00922B06">
              <w:t xml:space="preserve"> north of the city (</w:t>
            </w:r>
            <w:proofErr w:type="spellStart"/>
            <w:r w:rsidRPr="00922B06">
              <w:t>Uni</w:t>
            </w:r>
            <w:proofErr w:type="spellEnd"/>
            <w:r w:rsidRPr="00922B06">
              <w:t xml:space="preserve"> SA at Mawson lakes). At another school, three of the four inter</w:t>
            </w:r>
            <w:r>
              <w:t>viewed were aiming for u</w:t>
            </w:r>
            <w:r w:rsidRPr="00922B06">
              <w:t>niversity and the fourth was a maybe, although more likely would be doing courses in beauty treatments or similar through a VET pathway.</w:t>
            </w:r>
          </w:p>
          <w:p w:rsidR="00BA2740" w:rsidRDefault="00BA2740" w:rsidP="00BA2740">
            <w:pPr>
              <w:pStyle w:val="Text-box"/>
              <w:spacing w:before="0" w:line="240" w:lineRule="auto"/>
            </w:pPr>
          </w:p>
        </w:tc>
      </w:tr>
    </w:tbl>
    <w:p w:rsidR="00922B06" w:rsidRPr="00922B06" w:rsidRDefault="00922B06" w:rsidP="00BA2740">
      <w:pPr>
        <w:pStyle w:val="Text"/>
        <w:spacing w:before="300"/>
        <w:ind w:right="0"/>
      </w:pPr>
      <w:r w:rsidRPr="00922B06">
        <w:t>Three participants, all women, were cu</w:t>
      </w:r>
      <w:r w:rsidR="0039025D">
        <w:t>rrently enrolled in u</w:t>
      </w:r>
      <w:r w:rsidR="00C6626F">
        <w:t>niversity:</w:t>
      </w:r>
    </w:p>
    <w:p w:rsidR="00922B06" w:rsidRPr="00922B06" w:rsidRDefault="00922B06" w:rsidP="00631598">
      <w:pPr>
        <w:pStyle w:val="Dotpoint1"/>
      </w:pPr>
      <w:r w:rsidRPr="00922B06">
        <w:t>Charlotte (</w:t>
      </w:r>
      <w:r w:rsidR="0039025D">
        <w:t xml:space="preserve">aged </w:t>
      </w:r>
      <w:r w:rsidRPr="00922B06">
        <w:t>21) from on</w:t>
      </w:r>
      <w:r w:rsidR="00C6626F">
        <w:t>e</w:t>
      </w:r>
      <w:r w:rsidRPr="00922B06">
        <w:t xml:space="preserve"> of the Eastshire focus groups was doing honours in </w:t>
      </w:r>
      <w:r w:rsidR="0039025D" w:rsidRPr="00922B06">
        <w:t xml:space="preserve">visual arts </w:t>
      </w:r>
      <w:r w:rsidRPr="00922B06">
        <w:t>at the Westvale campus of Federation University (previously Monash University). She was considering enrolling in a Masters because she was very depressed about not being able to find work in her field in the area and did not want to move. She would like to do a PhD and for the same reasons is considering undertakin</w:t>
      </w:r>
      <w:r w:rsidR="0039025D">
        <w:t>g that sooner rather than later.</w:t>
      </w:r>
    </w:p>
    <w:p w:rsidR="00922B06" w:rsidRPr="00922B06" w:rsidRDefault="00922B06" w:rsidP="00631598">
      <w:pPr>
        <w:pStyle w:val="Dotpoint1"/>
      </w:pPr>
      <w:r w:rsidRPr="00922B06">
        <w:t>Jessica B (</w:t>
      </w:r>
      <w:r w:rsidR="0039025D">
        <w:t xml:space="preserve">aged </w:t>
      </w:r>
      <w:r w:rsidRPr="00922B06">
        <w:t>24) from one of the Southland focus</w:t>
      </w:r>
      <w:r w:rsidR="00C6626F">
        <w:t xml:space="preserve"> groups was in </w:t>
      </w:r>
      <w:r w:rsidR="00F156A6">
        <w:t xml:space="preserve">the </w:t>
      </w:r>
      <w:r w:rsidR="00C6626F">
        <w:t>third year of a double d</w:t>
      </w:r>
      <w:r w:rsidRPr="00922B06">
        <w:t>egree in Social Work and Social Planning at Flind</w:t>
      </w:r>
      <w:r w:rsidR="00C6626F">
        <w:t>ers University. She took up u</w:t>
      </w:r>
      <w:r w:rsidRPr="00922B06">
        <w:t>niversity study after spending some t</w:t>
      </w:r>
      <w:r w:rsidR="00C6626F">
        <w:t>ime</w:t>
      </w:r>
      <w:r w:rsidR="0039025D">
        <w:t xml:space="preserve"> in the workforce in retail.</w:t>
      </w:r>
    </w:p>
    <w:p w:rsidR="00922B06" w:rsidRPr="00922B06" w:rsidRDefault="00922B06" w:rsidP="00631598">
      <w:pPr>
        <w:pStyle w:val="Dotpoint1"/>
      </w:pPr>
      <w:r w:rsidRPr="00922B06">
        <w:t>Kelly (</w:t>
      </w:r>
      <w:r w:rsidR="0039025D">
        <w:t xml:space="preserve">aged </w:t>
      </w:r>
      <w:r w:rsidRPr="00922B06">
        <w:t>20) from the other Southland focus gr</w:t>
      </w:r>
      <w:r w:rsidR="00C6626F">
        <w:t>oup was enrolled in psychology u</w:t>
      </w:r>
      <w:r w:rsidR="007448A0">
        <w:t>nits through</w:t>
      </w:r>
      <w:r w:rsidRPr="00922B06">
        <w:t xml:space="preserve"> Open University, although she was</w:t>
      </w:r>
      <w:r w:rsidR="0039025D">
        <w:t xml:space="preserve"> on a ‘pause’ initiated by the u</w:t>
      </w:r>
      <w:r w:rsidRPr="00922B06">
        <w:t>niversity at the time of the interview and was studying ‘skills’ thr</w:t>
      </w:r>
      <w:r w:rsidR="007448A0">
        <w:t>ough the Southland TAFE campus.</w:t>
      </w:r>
    </w:p>
    <w:p w:rsidR="00922B06" w:rsidRPr="00922B06" w:rsidRDefault="00922B06" w:rsidP="00922B06">
      <w:pPr>
        <w:pStyle w:val="Text"/>
        <w:rPr>
          <w:iCs/>
        </w:rPr>
      </w:pPr>
      <w:r w:rsidRPr="00922B06">
        <w:rPr>
          <w:iCs/>
        </w:rPr>
        <w:t>Four other participants had previously a</w:t>
      </w:r>
      <w:r w:rsidR="00B63ED1">
        <w:rPr>
          <w:iCs/>
        </w:rPr>
        <w:t>spired, or were aspiring, to a u</w:t>
      </w:r>
      <w:r w:rsidRPr="00922B06">
        <w:rPr>
          <w:iCs/>
        </w:rPr>
        <w:t>niversity qualification:</w:t>
      </w:r>
    </w:p>
    <w:p w:rsidR="00922B06" w:rsidRPr="00922B06" w:rsidRDefault="00922B06" w:rsidP="00631598">
      <w:pPr>
        <w:pStyle w:val="Dotpoint1"/>
      </w:pPr>
      <w:r w:rsidRPr="00922B06">
        <w:lastRenderedPageBreak/>
        <w:t xml:space="preserve">Morgan was just finishing a diploma through </w:t>
      </w:r>
      <w:r w:rsidR="007448A0">
        <w:t>a workplace traineeship at the s</w:t>
      </w:r>
      <w:r w:rsidRPr="00922B06">
        <w:t xml:space="preserve">hire offices of Eastshire and suggested he wanted to go into management and thus was considering a degree in business </w:t>
      </w:r>
      <w:r w:rsidR="00613A60">
        <w:t xml:space="preserve">at </w:t>
      </w:r>
      <w:r w:rsidRPr="00922B06">
        <w:t>some time in the future.</w:t>
      </w:r>
    </w:p>
    <w:p w:rsidR="00922B06" w:rsidRPr="00922B06" w:rsidRDefault="00922B06" w:rsidP="00631598">
      <w:pPr>
        <w:pStyle w:val="Dotpoint1"/>
      </w:pPr>
      <w:r w:rsidRPr="00922B06">
        <w:t>Joanna and Kate from Eastshire’s main regional centr</w:t>
      </w:r>
      <w:r w:rsidR="007448A0">
        <w:t>e had both aspired to study at u</w:t>
      </w:r>
      <w:r w:rsidRPr="00922B06">
        <w:t>niversity but neither achieved the requisite V</w:t>
      </w:r>
      <w:r w:rsidR="00B63ED1">
        <w:t>ictorian Certificate of Education</w:t>
      </w:r>
      <w:r w:rsidRPr="00922B06">
        <w:t xml:space="preserve"> results. Kate was vaguely considering applying for a Bachelor of Education sometime in the future.</w:t>
      </w:r>
    </w:p>
    <w:p w:rsidR="00922B06" w:rsidRPr="00922B06" w:rsidRDefault="00922B06" w:rsidP="00631598">
      <w:pPr>
        <w:pStyle w:val="Dotpoint1"/>
      </w:pPr>
      <w:r w:rsidRPr="00922B06">
        <w:t xml:space="preserve">Drew was enrolled in a bridging pathway between Westvale TAFE and </w:t>
      </w:r>
      <w:r w:rsidR="007448A0">
        <w:t>Federation University to study primary t</w:t>
      </w:r>
      <w:r w:rsidRPr="00922B06">
        <w:t>eaching.</w:t>
      </w:r>
    </w:p>
    <w:p w:rsidR="00922B06" w:rsidRPr="00922B06" w:rsidRDefault="00922B06" w:rsidP="007448A0">
      <w:pPr>
        <w:pStyle w:val="Heading3"/>
      </w:pPr>
      <w:bookmarkStart w:id="78" w:name="_Toc251515679"/>
      <w:r w:rsidRPr="0036195B">
        <w:t>Finding 4</w:t>
      </w:r>
      <w:r w:rsidRPr="00922B06">
        <w:rPr>
          <w:i/>
        </w:rPr>
        <w:t xml:space="preserve">: </w:t>
      </w:r>
      <w:r w:rsidRPr="00922B06">
        <w:t xml:space="preserve">Localised study preferences and the concept of </w:t>
      </w:r>
      <w:r w:rsidRPr="00D70272">
        <w:t>travel to study</w:t>
      </w:r>
      <w:r w:rsidRPr="00922B06">
        <w:t xml:space="preserve"> </w:t>
      </w:r>
      <w:bookmarkEnd w:id="78"/>
    </w:p>
    <w:p w:rsidR="00922B06" w:rsidRPr="00922B06" w:rsidRDefault="00922B06" w:rsidP="008E0670">
      <w:pPr>
        <w:pStyle w:val="Text"/>
        <w:rPr>
          <w:bCs/>
        </w:rPr>
      </w:pPr>
      <w:r w:rsidRPr="00922B06">
        <w:rPr>
          <w:bCs/>
        </w:rPr>
        <w:t xml:space="preserve">In all four areas, </w:t>
      </w:r>
      <w:r w:rsidR="00E0743E">
        <w:rPr>
          <w:bCs/>
        </w:rPr>
        <w:t xml:space="preserve">the </w:t>
      </w:r>
      <w:r w:rsidRPr="00922B06">
        <w:rPr>
          <w:bCs/>
        </w:rPr>
        <w:t xml:space="preserve">education stakeholders and </w:t>
      </w:r>
      <w:r w:rsidR="00E0743E">
        <w:rPr>
          <w:bCs/>
        </w:rPr>
        <w:t xml:space="preserve">the </w:t>
      </w:r>
      <w:r w:rsidRPr="00922B06">
        <w:rPr>
          <w:bCs/>
        </w:rPr>
        <w:t xml:space="preserve">young people </w:t>
      </w:r>
      <w:r w:rsidR="00B63ED1">
        <w:rPr>
          <w:bCs/>
        </w:rPr>
        <w:t>highlighted</w:t>
      </w:r>
      <w:r w:rsidRPr="00922B06">
        <w:rPr>
          <w:bCs/>
        </w:rPr>
        <w:t xml:space="preserve"> </w:t>
      </w:r>
      <w:r w:rsidR="00B63ED1">
        <w:rPr>
          <w:bCs/>
        </w:rPr>
        <w:t xml:space="preserve">the </w:t>
      </w:r>
      <w:r w:rsidRPr="00922B06">
        <w:rPr>
          <w:bCs/>
        </w:rPr>
        <w:t xml:space="preserve">difficulties of geography and </w:t>
      </w:r>
      <w:r w:rsidR="00D70272">
        <w:rPr>
          <w:bCs/>
        </w:rPr>
        <w:t xml:space="preserve">the </w:t>
      </w:r>
      <w:r w:rsidRPr="00922B06">
        <w:rPr>
          <w:bCs/>
        </w:rPr>
        <w:t xml:space="preserve">distance from urban centres and </w:t>
      </w:r>
      <w:r w:rsidR="00B63ED1">
        <w:rPr>
          <w:bCs/>
        </w:rPr>
        <w:t xml:space="preserve">affordable </w:t>
      </w:r>
      <w:r w:rsidRPr="00922B06">
        <w:rPr>
          <w:bCs/>
        </w:rPr>
        <w:t>education and training facilit</w:t>
      </w:r>
      <w:r w:rsidR="00B63ED1">
        <w:rPr>
          <w:bCs/>
        </w:rPr>
        <w:t>ies</w:t>
      </w:r>
      <w:r w:rsidRPr="00922B06">
        <w:rPr>
          <w:bCs/>
        </w:rPr>
        <w:t xml:space="preserve">. These </w:t>
      </w:r>
      <w:r w:rsidR="00BA1B27">
        <w:rPr>
          <w:bCs/>
        </w:rPr>
        <w:t xml:space="preserve">issues </w:t>
      </w:r>
      <w:r w:rsidRPr="00922B06">
        <w:rPr>
          <w:bCs/>
        </w:rPr>
        <w:t xml:space="preserve">were </w:t>
      </w:r>
      <w:r w:rsidR="00BA1B27">
        <w:rPr>
          <w:bCs/>
        </w:rPr>
        <w:t xml:space="preserve">raised </w:t>
      </w:r>
      <w:r w:rsidRPr="00922B06">
        <w:rPr>
          <w:bCs/>
        </w:rPr>
        <w:t>both in the regional rural areas</w:t>
      </w:r>
      <w:r w:rsidR="00BA1B27">
        <w:rPr>
          <w:bCs/>
        </w:rPr>
        <w:t>,</w:t>
      </w:r>
      <w:r w:rsidRPr="00922B06">
        <w:rPr>
          <w:bCs/>
        </w:rPr>
        <w:t xml:space="preserve"> where travel distances could involve several hours </w:t>
      </w:r>
      <w:r w:rsidR="00E0743E">
        <w:rPr>
          <w:bCs/>
        </w:rPr>
        <w:t>travelling</w:t>
      </w:r>
      <w:r w:rsidRPr="00922B06">
        <w:rPr>
          <w:bCs/>
        </w:rPr>
        <w:t xml:space="preserve"> time and had to be by car</w:t>
      </w:r>
      <w:r w:rsidR="00BA1B27">
        <w:rPr>
          <w:bCs/>
        </w:rPr>
        <w:t xml:space="preserve"> (</w:t>
      </w:r>
      <w:r w:rsidRPr="00922B06">
        <w:rPr>
          <w:bCs/>
        </w:rPr>
        <w:t xml:space="preserve">buses and trains </w:t>
      </w:r>
      <w:r w:rsidR="00BA1B27">
        <w:rPr>
          <w:bCs/>
        </w:rPr>
        <w:t>were not available</w:t>
      </w:r>
      <w:r w:rsidRPr="00922B06">
        <w:rPr>
          <w:bCs/>
        </w:rPr>
        <w:t xml:space="preserve"> or </w:t>
      </w:r>
      <w:r w:rsidR="00BA1B27">
        <w:rPr>
          <w:bCs/>
        </w:rPr>
        <w:t xml:space="preserve">did not </w:t>
      </w:r>
      <w:r w:rsidRPr="00922B06">
        <w:rPr>
          <w:bCs/>
        </w:rPr>
        <w:t>run at appropriate times</w:t>
      </w:r>
      <w:r w:rsidR="00BA1B27">
        <w:rPr>
          <w:bCs/>
        </w:rPr>
        <w:t>)</w:t>
      </w:r>
      <w:r w:rsidRPr="00922B06">
        <w:rPr>
          <w:bCs/>
        </w:rPr>
        <w:t xml:space="preserve">, as well as in the </w:t>
      </w:r>
      <w:r w:rsidR="008E0670" w:rsidRPr="004C0996">
        <w:rPr>
          <w:bCs/>
        </w:rPr>
        <w:t>urban</w:t>
      </w:r>
      <w:r w:rsidR="008E0670">
        <w:rPr>
          <w:bCs/>
        </w:rPr>
        <w:t xml:space="preserve"> fringe</w:t>
      </w:r>
      <w:r w:rsidR="008E0670" w:rsidRPr="00922B06">
        <w:rPr>
          <w:bCs/>
        </w:rPr>
        <w:t xml:space="preserve"> </w:t>
      </w:r>
      <w:r w:rsidRPr="00922B06">
        <w:rPr>
          <w:bCs/>
        </w:rPr>
        <w:t>areas</w:t>
      </w:r>
      <w:r w:rsidR="00BA1B27">
        <w:rPr>
          <w:bCs/>
        </w:rPr>
        <w:t>,</w:t>
      </w:r>
      <w:r w:rsidRPr="00922B06">
        <w:rPr>
          <w:bCs/>
        </w:rPr>
        <w:t xml:space="preserve"> where public transport was </w:t>
      </w:r>
      <w:r w:rsidR="00BA1B27">
        <w:rPr>
          <w:bCs/>
        </w:rPr>
        <w:t>generally</w:t>
      </w:r>
      <w:r w:rsidRPr="00922B06">
        <w:rPr>
          <w:bCs/>
        </w:rPr>
        <w:t xml:space="preserve"> more frequent, at least in one area (Northt</w:t>
      </w:r>
      <w:r w:rsidR="007448A0">
        <w:rPr>
          <w:bCs/>
        </w:rPr>
        <w:t xml:space="preserve">own, </w:t>
      </w:r>
      <w:r w:rsidR="00BA1B27">
        <w:rPr>
          <w:bCs/>
        </w:rPr>
        <w:t>al</w:t>
      </w:r>
      <w:r w:rsidR="007448A0">
        <w:rPr>
          <w:bCs/>
        </w:rPr>
        <w:t xml:space="preserve">though not in Southland). </w:t>
      </w:r>
      <w:r w:rsidRPr="00922B06">
        <w:rPr>
          <w:bCs/>
        </w:rPr>
        <w:t>Difficulties particularly affected potential learners once they left the school system and were no longer eligible for subsidised and prov</w:t>
      </w:r>
      <w:r w:rsidR="00D70272">
        <w:rPr>
          <w:bCs/>
        </w:rPr>
        <w:t>ider-</w:t>
      </w:r>
      <w:r w:rsidR="00D77968">
        <w:rPr>
          <w:bCs/>
        </w:rPr>
        <w:t>organised transport</w:t>
      </w:r>
      <w:r w:rsidR="00BA1B27">
        <w:rPr>
          <w:bCs/>
        </w:rPr>
        <w:t>,</w:t>
      </w:r>
      <w:r w:rsidR="00D77968">
        <w:rPr>
          <w:bCs/>
        </w:rPr>
        <w:t xml:space="preserve"> as the</w:t>
      </w:r>
      <w:r w:rsidRPr="00922B06">
        <w:rPr>
          <w:bCs/>
        </w:rPr>
        <w:t xml:space="preserve"> following comment from a spokesperson fr</w:t>
      </w:r>
      <w:r w:rsidR="00C63A68">
        <w:rPr>
          <w:bCs/>
        </w:rPr>
        <w:t>om Eastshire Council identifies:</w:t>
      </w:r>
    </w:p>
    <w:p w:rsidR="00922B06" w:rsidRPr="00922B06" w:rsidRDefault="00922B06" w:rsidP="00631598">
      <w:pPr>
        <w:pStyle w:val="Quote"/>
        <w:rPr>
          <w:bCs/>
        </w:rPr>
      </w:pPr>
      <w:r w:rsidRPr="00922B06">
        <w:t>The minute they leave school or do VET, VCAL or anything else, apprenticeship, their right to the school bus is gone. The policy makes no sense and that’s what we’ve been arguing for. We’re saying the way that people are educated now has changed in the last twenty years. The policy has not kept pace.</w:t>
      </w:r>
    </w:p>
    <w:p w:rsidR="00922B06" w:rsidRPr="00922B06" w:rsidRDefault="00D70272" w:rsidP="00922B06">
      <w:pPr>
        <w:pStyle w:val="Text"/>
        <w:rPr>
          <w:b/>
          <w:bCs/>
        </w:rPr>
      </w:pPr>
      <w:r>
        <w:rPr>
          <w:bCs/>
        </w:rPr>
        <w:t>S</w:t>
      </w:r>
      <w:r w:rsidR="00922B06" w:rsidRPr="00922B06">
        <w:rPr>
          <w:bCs/>
        </w:rPr>
        <w:t>tudy</w:t>
      </w:r>
      <w:r>
        <w:rPr>
          <w:bCs/>
        </w:rPr>
        <w:t>ing locally is the preferred mode</w:t>
      </w:r>
      <w:r w:rsidR="00922B06" w:rsidRPr="00922B06">
        <w:rPr>
          <w:bCs/>
        </w:rPr>
        <w:t>, which reduced the options available since not all education and training opportunities were available in each of these four areas.</w:t>
      </w:r>
      <w:r w:rsidR="00922B06" w:rsidRPr="00922B06">
        <w:rPr>
          <w:i/>
        </w:rPr>
        <w:t xml:space="preserve"> </w:t>
      </w:r>
      <w:r w:rsidR="00BC5DBC">
        <w:t>While</w:t>
      </w:r>
      <w:r w:rsidR="00922B06" w:rsidRPr="00922B06">
        <w:t xml:space="preserve"> many education providers have embraced flexible modes of delivery and online learning to provide more socially inclusive education programs, the preferred mode o</w:t>
      </w:r>
      <w:r w:rsidR="00BA1B27">
        <w:t>f study was on-</w:t>
      </w:r>
      <w:r w:rsidR="007448A0">
        <w:t>campus learning.</w:t>
      </w:r>
    </w:p>
    <w:p w:rsidR="00922B06" w:rsidRPr="00922B06" w:rsidRDefault="00922B06" w:rsidP="00922B06">
      <w:pPr>
        <w:pStyle w:val="Text"/>
      </w:pPr>
      <w:r w:rsidRPr="00922B06">
        <w:t>Only one participant was currently actively studyi</w:t>
      </w:r>
      <w:r w:rsidR="007448A0">
        <w:t xml:space="preserve">ng through distance education. </w:t>
      </w:r>
      <w:r w:rsidRPr="00922B06">
        <w:t>Cheryl</w:t>
      </w:r>
      <w:r w:rsidR="00BA1B27">
        <w:t>,</w:t>
      </w:r>
      <w:r w:rsidRPr="00922B06">
        <w:t xml:space="preserve"> who had left home in a small township in the very far east of </w:t>
      </w:r>
      <w:proofErr w:type="spellStart"/>
      <w:r w:rsidRPr="00922B06">
        <w:t>Eastshire</w:t>
      </w:r>
      <w:proofErr w:type="spellEnd"/>
      <w:r w:rsidRPr="00922B06">
        <w:t xml:space="preserve"> </w:t>
      </w:r>
      <w:r w:rsidR="00BA1B27">
        <w:t xml:space="preserve">aged 15 </w:t>
      </w:r>
      <w:r w:rsidR="00E0743E">
        <w:t xml:space="preserve">years </w:t>
      </w:r>
      <w:r w:rsidRPr="00922B06">
        <w:t xml:space="preserve">to study in </w:t>
      </w:r>
      <w:proofErr w:type="spellStart"/>
      <w:r w:rsidRPr="00922B06">
        <w:t>Eastshire’s</w:t>
      </w:r>
      <w:proofErr w:type="spellEnd"/>
      <w:r w:rsidRPr="00922B06">
        <w:t xml:space="preserve"> main regional centre, had m</w:t>
      </w:r>
      <w:r w:rsidR="00BA1B27">
        <w:t>oved to another small town half</w:t>
      </w:r>
      <w:r w:rsidRPr="00922B06">
        <w:t xml:space="preserve">way between these two locations in order to live nearer </w:t>
      </w:r>
      <w:r w:rsidR="00D70272">
        <w:t xml:space="preserve">to </w:t>
      </w:r>
      <w:r w:rsidR="00D77968">
        <w:t xml:space="preserve">home and </w:t>
      </w:r>
      <w:r w:rsidR="00D70272">
        <w:t xml:space="preserve">to </w:t>
      </w:r>
      <w:r w:rsidRPr="00922B06">
        <w:t xml:space="preserve">find work. She was now enrolled in a Diploma of Community Services. Nevertheless, interviews with </w:t>
      </w:r>
      <w:r w:rsidR="00BA1B27">
        <w:t>stakeholders identified that on</w:t>
      </w:r>
      <w:r w:rsidRPr="00922B06">
        <w:t xml:space="preserve">line learning was not really feasible in Westvale and Eastshire because access to broadband and the internet was costly and very limited, as </w:t>
      </w:r>
      <w:r w:rsidR="00D70272">
        <w:t>a</w:t>
      </w:r>
      <w:r w:rsidRPr="00922B06">
        <w:t xml:space="preserve"> spokesperson from one of the </w:t>
      </w:r>
      <w:r w:rsidR="00613A60">
        <w:t>non-government</w:t>
      </w:r>
      <w:r w:rsidR="00D77968">
        <w:t xml:space="preserve"> organisations (</w:t>
      </w:r>
      <w:r w:rsidRPr="00922B06">
        <w:t>NGOs</w:t>
      </w:r>
      <w:r w:rsidR="00D77968">
        <w:t>) supporting young people’s transitions to education and work</w:t>
      </w:r>
      <w:r w:rsidRPr="00922B06">
        <w:t xml:space="preserve"> stated:</w:t>
      </w:r>
    </w:p>
    <w:p w:rsidR="00922B06" w:rsidRPr="00922B06" w:rsidRDefault="00922B06" w:rsidP="00631598">
      <w:pPr>
        <w:pStyle w:val="Quote"/>
      </w:pPr>
      <w:r w:rsidRPr="00922B06">
        <w:t xml:space="preserve">I have </w:t>
      </w:r>
      <w:r w:rsidR="00BA1B27">
        <w:t xml:space="preserve">a </w:t>
      </w:r>
      <w:r w:rsidRPr="00922B06">
        <w:t>satellite on my roof to get my internet access, so that has improved things, but it has been acknowledged by Telstra that we were in a black hole, and that’s why we got satellite. So if you’re not in a household where you can afford that, then you are really kind of isolated, you can’t conn</w:t>
      </w:r>
      <w:r w:rsidRPr="00631598">
        <w:rPr>
          <w:rStyle w:val="QuoteChar"/>
        </w:rPr>
        <w:t>e</w:t>
      </w:r>
      <w:r w:rsidRPr="00922B06">
        <w:t>ct to the internet, you can’t connect to your network of friends, you can’t see what’s going on, you can’t do your research, your transport might be limited and you’ve got a double whammy.</w:t>
      </w:r>
    </w:p>
    <w:p w:rsidR="00922B06" w:rsidRPr="00922B06" w:rsidRDefault="00922B06" w:rsidP="00922B06">
      <w:pPr>
        <w:pStyle w:val="Text"/>
      </w:pPr>
      <w:r w:rsidRPr="00922B06">
        <w:t>Three other partici</w:t>
      </w:r>
      <w:r w:rsidR="00BA1B27">
        <w:t>pants had previously studied on</w:t>
      </w:r>
      <w:r w:rsidRPr="00922B06">
        <w:t>line:</w:t>
      </w:r>
    </w:p>
    <w:p w:rsidR="00922B06" w:rsidRPr="00922B06" w:rsidRDefault="00922B06" w:rsidP="00D0755D">
      <w:pPr>
        <w:pStyle w:val="Dotpoint1"/>
      </w:pPr>
      <w:r w:rsidRPr="00922B06">
        <w:t>John from the far south part of Southland had previously studied online for a Cert</w:t>
      </w:r>
      <w:r w:rsidR="00D77968">
        <w:t>ificate</w:t>
      </w:r>
      <w:r w:rsidRPr="00922B06">
        <w:t xml:space="preserve"> IV in </w:t>
      </w:r>
      <w:r w:rsidR="00D70272" w:rsidRPr="00922B06">
        <w:t>Youth W</w:t>
      </w:r>
      <w:r w:rsidR="00D70272">
        <w:t xml:space="preserve">ork </w:t>
      </w:r>
      <w:r w:rsidR="007448A0">
        <w:t>but completed the last few u</w:t>
      </w:r>
      <w:r w:rsidRPr="00922B06">
        <w:t>nits ‘internally’</w:t>
      </w:r>
      <w:r w:rsidR="00541888">
        <w:t>.</w:t>
      </w:r>
    </w:p>
    <w:p w:rsidR="00922B06" w:rsidRPr="00922B06" w:rsidRDefault="00922B06" w:rsidP="00D0755D">
      <w:pPr>
        <w:pStyle w:val="Dotpoint1"/>
      </w:pPr>
      <w:r w:rsidRPr="00922B06">
        <w:lastRenderedPageBreak/>
        <w:t>Kelly w</w:t>
      </w:r>
      <w:r w:rsidR="007448A0">
        <w:t>as enrolled in some psychology u</w:t>
      </w:r>
      <w:r w:rsidRPr="00922B06">
        <w:t>nits through Open University but was at the time of intervi</w:t>
      </w:r>
      <w:r w:rsidR="007448A0">
        <w:t>ew on a pause initiated by the u</w:t>
      </w:r>
      <w:r w:rsidRPr="00922B06">
        <w:t xml:space="preserve">niversity. Kelly had been dealing with family issues in Sydney and was moving back and forwards between Sydney and the Southland area. She was also struggling with the workload and requirements and had enrolled in the skills development program at Southland TAFE following pressure </w:t>
      </w:r>
      <w:r w:rsidR="00D70272">
        <w:t>from</w:t>
      </w:r>
      <w:r w:rsidRPr="00922B06">
        <w:t xml:space="preserve"> her </w:t>
      </w:r>
      <w:proofErr w:type="spellStart"/>
      <w:r w:rsidRPr="00922B06">
        <w:t>Centrelink</w:t>
      </w:r>
      <w:proofErr w:type="spellEnd"/>
      <w:r w:rsidRPr="00922B06">
        <w:t xml:space="preserve"> case manager.</w:t>
      </w:r>
    </w:p>
    <w:p w:rsidR="00922B06" w:rsidRPr="00922B06" w:rsidRDefault="00922B06" w:rsidP="00D0755D">
      <w:pPr>
        <w:pStyle w:val="Dotpoint1"/>
      </w:pPr>
      <w:r w:rsidRPr="00922B06">
        <w:t>Missy had attempted study via distance education but foun</w:t>
      </w:r>
      <w:r w:rsidR="007448A0">
        <w:t>d it did not suit her: ‘</w:t>
      </w:r>
      <w:r w:rsidRPr="00922B06">
        <w:t>So I did try and study online here to start with and I just couldn’t do</w:t>
      </w:r>
      <w:r w:rsidR="007448A0">
        <w:t xml:space="preserve"> it. So I just decided to move</w:t>
      </w:r>
      <w:r w:rsidR="00541888">
        <w:t xml:space="preserve"> …’</w:t>
      </w:r>
    </w:p>
    <w:p w:rsidR="00922B06" w:rsidRPr="00922B06" w:rsidRDefault="00922B06" w:rsidP="007448A0">
      <w:pPr>
        <w:pStyle w:val="Heading3"/>
      </w:pPr>
      <w:r w:rsidRPr="00922B06">
        <w:t xml:space="preserve">Finding 5: Career choices clusters around lower professions, services and trades </w:t>
      </w:r>
    </w:p>
    <w:p w:rsidR="00922B06" w:rsidRPr="00922B06" w:rsidRDefault="00922B06" w:rsidP="00064DDF">
      <w:pPr>
        <w:pStyle w:val="Text"/>
      </w:pPr>
      <w:r w:rsidRPr="00922B06">
        <w:t>The top categories of career choice mentioned by participants included the following:</w:t>
      </w:r>
      <w:r w:rsidR="00D13A1E">
        <w:t xml:space="preserve"> </w:t>
      </w:r>
      <w:r w:rsidR="00541888">
        <w:t>c</w:t>
      </w:r>
      <w:r w:rsidRPr="00922B06">
        <w:t>ommunity services, trades, health, teaching, office work</w:t>
      </w:r>
      <w:r w:rsidR="004044A0">
        <w:t>,</w:t>
      </w:r>
      <w:r w:rsidRPr="00922B06">
        <w:t xml:space="preserve"> the </w:t>
      </w:r>
      <w:r w:rsidR="004044A0">
        <w:t>a</w:t>
      </w:r>
      <w:r w:rsidRPr="00922B06">
        <w:t>rts and being a small business owner</w:t>
      </w:r>
      <w:r w:rsidR="00994936">
        <w:t>.</w:t>
      </w:r>
      <w:r w:rsidR="004044A0">
        <w:t xml:space="preserve"> </w:t>
      </w:r>
      <w:r w:rsidR="00994936">
        <w:t>(S</w:t>
      </w:r>
      <w:r w:rsidRPr="00922B06">
        <w:t>ee</w:t>
      </w:r>
      <w:r w:rsidR="007448A0">
        <w:t xml:space="preserve"> </w:t>
      </w:r>
      <w:r w:rsidR="00541888">
        <w:t>a</w:t>
      </w:r>
      <w:r w:rsidR="00064DDF">
        <w:t>ppendix</w:t>
      </w:r>
      <w:r w:rsidR="00064DDF" w:rsidRPr="00922B06">
        <w:t xml:space="preserve"> </w:t>
      </w:r>
      <w:r w:rsidR="00541888">
        <w:t>table A2</w:t>
      </w:r>
      <w:r w:rsidR="007448A0">
        <w:t>.</w:t>
      </w:r>
      <w:r w:rsidR="00994936">
        <w:t>)</w:t>
      </w:r>
    </w:p>
    <w:p w:rsidR="00922B06" w:rsidRPr="00922B06" w:rsidRDefault="00922B06" w:rsidP="00631598">
      <w:pPr>
        <w:pStyle w:val="Heading4"/>
      </w:pPr>
      <w:bookmarkStart w:id="79" w:name="_Toc251515683"/>
      <w:r w:rsidRPr="00922B06">
        <w:t>Finding 5a: VET</w:t>
      </w:r>
      <w:r w:rsidR="004044A0">
        <w:t>,</w:t>
      </w:r>
      <w:r w:rsidRPr="00922B06">
        <w:t xml:space="preserve"> the pathway to services and trades </w:t>
      </w:r>
      <w:bookmarkEnd w:id="79"/>
    </w:p>
    <w:p w:rsidR="00922B06" w:rsidRPr="00922B06" w:rsidRDefault="00922B06" w:rsidP="00922B06">
      <w:pPr>
        <w:pStyle w:val="Text"/>
        <w:rPr>
          <w:i/>
        </w:rPr>
      </w:pPr>
      <w:r w:rsidRPr="00922B06">
        <w:rPr>
          <w:i/>
        </w:rPr>
        <w:t>Careers to be achieved through a VET pathway clustered predominantly around community services, trades, office work and health.</w:t>
      </w:r>
    </w:p>
    <w:p w:rsidR="00922B06" w:rsidRPr="00922B06" w:rsidRDefault="00541888" w:rsidP="00EE0187">
      <w:pPr>
        <w:pStyle w:val="Text"/>
      </w:pPr>
      <w:r>
        <w:t>By</w:t>
      </w:r>
      <w:r w:rsidR="001501F3">
        <w:t xml:space="preserve"> comparison </w:t>
      </w:r>
      <w:r>
        <w:t>with</w:t>
      </w:r>
      <w:r w:rsidR="001501F3">
        <w:t xml:space="preserve"> a u</w:t>
      </w:r>
      <w:r>
        <w:t>niversity qualification, a</w:t>
      </w:r>
      <w:r w:rsidRPr="00922B06">
        <w:t xml:space="preserve"> VET qu</w:t>
      </w:r>
      <w:r>
        <w:t xml:space="preserve">alification </w:t>
      </w:r>
      <w:r w:rsidR="00922B06" w:rsidRPr="00922B06">
        <w:t>is in public policy terms often constructed as a more modest aspiration</w:t>
      </w:r>
      <w:r>
        <w:t>,</w:t>
      </w:r>
      <w:r w:rsidR="00922B06" w:rsidRPr="00922B06">
        <w:t xml:space="preserve"> </w:t>
      </w:r>
      <w:r w:rsidR="00D77968">
        <w:t>given Australia’s focus</w:t>
      </w:r>
      <w:r>
        <w:t>,</w:t>
      </w:r>
      <w:r w:rsidR="00D77968">
        <w:t xml:space="preserve"> along with many other advanced economies in the </w:t>
      </w:r>
      <w:r w:rsidR="004044A0">
        <w:t>Organisation for Economic Cooperation and Development (OECD)</w:t>
      </w:r>
      <w:r>
        <w:t>,</w:t>
      </w:r>
      <w:r w:rsidR="00D77968">
        <w:t xml:space="preserve"> on build</w:t>
      </w:r>
      <w:r w:rsidR="00D70272">
        <w:t>ing human capital for knowledge-</w:t>
      </w:r>
      <w:r w:rsidR="00D77968">
        <w:t>intensive industries and services</w:t>
      </w:r>
      <w:r>
        <w:t xml:space="preserve"> in a knowledge economy (Peters</w:t>
      </w:r>
      <w:r w:rsidR="00D77968">
        <w:t xml:space="preserve"> 2001).</w:t>
      </w:r>
      <w:r w:rsidR="00D13A1E">
        <w:t xml:space="preserve"> </w:t>
      </w:r>
      <w:r w:rsidR="00D77968">
        <w:t xml:space="preserve">But in the four areas of this study, the main forms of employment were </w:t>
      </w:r>
      <w:r w:rsidR="00BF31F4">
        <w:t xml:space="preserve">largely </w:t>
      </w:r>
      <w:r w:rsidR="00D77968">
        <w:t>in primary industries, older manufacturing industries, and low</w:t>
      </w:r>
      <w:r w:rsidR="00D70272">
        <w:t>- and medium-</w:t>
      </w:r>
      <w:r w:rsidR="00D77968">
        <w:t>technology i</w:t>
      </w:r>
      <w:r w:rsidR="00C77305">
        <w:t>ndustries and services, often with</w:t>
      </w:r>
      <w:r w:rsidR="00D77968">
        <w:t xml:space="preserve"> small</w:t>
      </w:r>
      <w:r w:rsidR="00D70272">
        <w:t>- to medium-</w:t>
      </w:r>
      <w:r w:rsidR="00D77968">
        <w:t>size employers or sole traders or in public sector services. Therefore,</w:t>
      </w:r>
      <w:r w:rsidR="00922B06" w:rsidRPr="00922B06">
        <w:t xml:space="preserve"> </w:t>
      </w:r>
      <w:r w:rsidR="00D77968">
        <w:t xml:space="preserve">it was not surprising to find </w:t>
      </w:r>
      <w:r w:rsidR="00D70272">
        <w:t xml:space="preserve">that </w:t>
      </w:r>
      <w:r w:rsidR="00D77968">
        <w:t>t</w:t>
      </w:r>
      <w:r w:rsidR="00C77305">
        <w:t>he majority of young people cho</w:t>
      </w:r>
      <w:r w:rsidR="00D77968">
        <w:t xml:space="preserve">se a VET pathway to employment in </w:t>
      </w:r>
      <w:r w:rsidR="00BF31F4">
        <w:t xml:space="preserve">the </w:t>
      </w:r>
      <w:r w:rsidR="00D77968">
        <w:t xml:space="preserve">services and manual trades. </w:t>
      </w:r>
      <w:r w:rsidR="00BC5DBC">
        <w:t>While</w:t>
      </w:r>
      <w:r w:rsidR="00D77968">
        <w:t xml:space="preserve"> VET study appears to be a modest level of educational aspiration in relation to </w:t>
      </w:r>
      <w:r w:rsidR="00D70272">
        <w:t xml:space="preserve">the </w:t>
      </w:r>
      <w:r w:rsidR="00D77968">
        <w:t xml:space="preserve">public policy </w:t>
      </w:r>
      <w:r w:rsidR="00D70272">
        <w:t xml:space="preserve">desire </w:t>
      </w:r>
      <w:r w:rsidR="00D77968">
        <w:t xml:space="preserve">to expand participation in higher education, the decision can be regarded as </w:t>
      </w:r>
      <w:r w:rsidR="00C77305">
        <w:t xml:space="preserve">a form of </w:t>
      </w:r>
      <w:r w:rsidR="00D70272">
        <w:t>‘</w:t>
      </w:r>
      <w:r w:rsidR="00D77968">
        <w:t>pragmatic rationalism</w:t>
      </w:r>
      <w:r w:rsidR="00D70272">
        <w:t>’ — implicitly pragmatic decisions —</w:t>
      </w:r>
      <w:r w:rsidR="00D77968">
        <w:t xml:space="preserve"> </w:t>
      </w:r>
      <w:r w:rsidR="004044A0">
        <w:t>taken by</w:t>
      </w:r>
      <w:r w:rsidR="00D77968">
        <w:t xml:space="preserve"> t</w:t>
      </w:r>
      <w:r w:rsidR="00C77305">
        <w:t>he young people living on the urban fringe, or in</w:t>
      </w:r>
      <w:r w:rsidR="00D77968">
        <w:t xml:space="preserve"> regional and rural communities</w:t>
      </w:r>
      <w:r w:rsidR="00BF31F4">
        <w:t>,</w:t>
      </w:r>
      <w:r w:rsidR="00D77968">
        <w:t xml:space="preserve"> where the alternative may be unemployment and welfare dependency. </w:t>
      </w:r>
      <w:r w:rsidR="001501F3">
        <w:t xml:space="preserve">(See </w:t>
      </w:r>
      <w:r w:rsidR="00BF31F4">
        <w:t>a</w:t>
      </w:r>
      <w:r w:rsidR="00EE0187">
        <w:t xml:space="preserve">ppendix </w:t>
      </w:r>
      <w:r w:rsidR="00BF31F4">
        <w:t>table A3</w:t>
      </w:r>
      <w:r w:rsidR="001501F3">
        <w:t>, which</w:t>
      </w:r>
      <w:r w:rsidR="00922B06" w:rsidRPr="00922B06">
        <w:t xml:space="preserve"> sets out the career types and categories mentioned by those participants aspiring to study or actually studying a VET qualification</w:t>
      </w:r>
      <w:r w:rsidR="00BF31F4">
        <w:t>.</w:t>
      </w:r>
      <w:r w:rsidR="001501F3">
        <w:t>)</w:t>
      </w:r>
      <w:r w:rsidR="00922B06" w:rsidRPr="00922B06">
        <w:t xml:space="preserve"> None of the careers listed could be said to be out of the ordinary in general, and particularly not for rural and regionally located residents. Also for some students, given the limitations of their school study as preparation for university, a VET route may have been the only option. For example, one university spokesperson for facilitating access to a Group of Eight institution suggested that for boys opting for engineering</w:t>
      </w:r>
      <w:r w:rsidR="00D77968">
        <w:t>,</w:t>
      </w:r>
      <w:r w:rsidR="00922B06" w:rsidRPr="00922B06">
        <w:t xml:space="preserve"> a difficulty was the inability of schools to provide the background knowledge in</w:t>
      </w:r>
      <w:bookmarkStart w:id="80" w:name="_Toc251515684"/>
      <w:r w:rsidR="001501F3">
        <w:t xml:space="preserve"> math</w:t>
      </w:r>
      <w:r w:rsidR="00D77968">
        <w:t>ematic</w:t>
      </w:r>
      <w:r w:rsidR="001501F3">
        <w:t>s to take up such courses.</w:t>
      </w:r>
    </w:p>
    <w:p w:rsidR="00922B06" w:rsidRPr="00922B06" w:rsidRDefault="004044A0" w:rsidP="00631598">
      <w:pPr>
        <w:pStyle w:val="Heading4"/>
      </w:pPr>
      <w:r>
        <w:t xml:space="preserve">Finding 5b: University, </w:t>
      </w:r>
      <w:r w:rsidR="00922B06" w:rsidRPr="00922B06">
        <w:t>the pathway</w:t>
      </w:r>
      <w:bookmarkEnd w:id="80"/>
      <w:r w:rsidR="00922B06" w:rsidRPr="00922B06">
        <w:t xml:space="preserve"> to the lower professions and services</w:t>
      </w:r>
    </w:p>
    <w:p w:rsidR="00922B06" w:rsidRPr="00922B06" w:rsidRDefault="00922B06" w:rsidP="00922B06">
      <w:pPr>
        <w:pStyle w:val="Text"/>
        <w:rPr>
          <w:i/>
        </w:rPr>
      </w:pPr>
      <w:r w:rsidRPr="00922B06">
        <w:rPr>
          <w:i/>
        </w:rPr>
        <w:t>Ca</w:t>
      </w:r>
      <w:r w:rsidR="00BF31F4">
        <w:rPr>
          <w:i/>
        </w:rPr>
        <w:t>reers to be achieved through a u</w:t>
      </w:r>
      <w:r w:rsidRPr="00922B06">
        <w:rPr>
          <w:i/>
        </w:rPr>
        <w:t>niversity pathway are clustered pred</w:t>
      </w:r>
      <w:r w:rsidR="00D77968">
        <w:rPr>
          <w:i/>
        </w:rPr>
        <w:t>ominantly around teaching, arts</w:t>
      </w:r>
      <w:r w:rsidRPr="00922B06">
        <w:rPr>
          <w:i/>
        </w:rPr>
        <w:t xml:space="preserve"> and health.</w:t>
      </w:r>
    </w:p>
    <w:p w:rsidR="00922B06" w:rsidRPr="00922B06" w:rsidRDefault="00D77968" w:rsidP="00EE0187">
      <w:pPr>
        <w:pStyle w:val="Text"/>
      </w:pPr>
      <w:r>
        <w:t>Of those with</w:t>
      </w:r>
      <w:r w:rsidR="00922B06" w:rsidRPr="00922B06">
        <w:t xml:space="preserve"> </w:t>
      </w:r>
      <w:r w:rsidR="00BF31F4">
        <w:t>higher education</w:t>
      </w:r>
      <w:r>
        <w:t xml:space="preserve"> aspirations, m</w:t>
      </w:r>
      <w:r w:rsidR="00922B06" w:rsidRPr="00922B06">
        <w:t xml:space="preserve">ost aspirations are for courses requiring moderate to </w:t>
      </w:r>
      <w:r w:rsidR="00922B06" w:rsidRPr="00994936">
        <w:t>mid-range entrance scores</w:t>
      </w:r>
      <w:r w:rsidR="00994936" w:rsidRPr="00994936">
        <w:t>.</w:t>
      </w:r>
      <w:r w:rsidRPr="00994936">
        <w:t xml:space="preserve"> </w:t>
      </w:r>
      <w:r w:rsidR="00994936" w:rsidRPr="00994936">
        <w:t>T</w:t>
      </w:r>
      <w:r w:rsidR="004044A0" w:rsidRPr="00994936">
        <w:t>his in part reflects</w:t>
      </w:r>
      <w:r>
        <w:t xml:space="preserve"> the opportunities available </w:t>
      </w:r>
      <w:r w:rsidR="00BF31F4">
        <w:t>for their acceptance at</w:t>
      </w:r>
      <w:r>
        <w:t xml:space="preserve"> more competitive and selective universities, given </w:t>
      </w:r>
      <w:r w:rsidR="00BF31F4">
        <w:t>the average grades obtained by Y</w:t>
      </w:r>
      <w:r>
        <w:t xml:space="preserve">ear 12 students at the schools attended. </w:t>
      </w:r>
      <w:r w:rsidR="001501F3">
        <w:t xml:space="preserve">(See </w:t>
      </w:r>
      <w:r w:rsidR="00BF31F4">
        <w:t>a</w:t>
      </w:r>
      <w:r w:rsidR="00EE0187">
        <w:t>ppendix</w:t>
      </w:r>
      <w:r w:rsidR="00BF31F4">
        <w:t xml:space="preserve"> t</w:t>
      </w:r>
      <w:r w:rsidR="001501F3">
        <w:t xml:space="preserve">able </w:t>
      </w:r>
      <w:r w:rsidR="00BF31F4">
        <w:t>A4</w:t>
      </w:r>
      <w:r w:rsidR="001501F3">
        <w:t xml:space="preserve">, which </w:t>
      </w:r>
      <w:r w:rsidR="00922B06" w:rsidRPr="00922B06">
        <w:t xml:space="preserve">outlines the </w:t>
      </w:r>
      <w:r w:rsidR="0043169E">
        <w:t xml:space="preserve">university </w:t>
      </w:r>
      <w:r w:rsidR="00922B06" w:rsidRPr="00922B06">
        <w:t>career type and category aspirations and current enrolments of the participants</w:t>
      </w:r>
      <w:r w:rsidR="00BF31F4">
        <w:t>.</w:t>
      </w:r>
      <w:r w:rsidR="001501F3">
        <w:t>)</w:t>
      </w:r>
    </w:p>
    <w:p w:rsidR="00922B06" w:rsidRPr="00922B06" w:rsidRDefault="00634A28" w:rsidP="00922B06">
      <w:pPr>
        <w:pStyle w:val="Text"/>
      </w:pPr>
      <w:r>
        <w:lastRenderedPageBreak/>
        <w:t>Again</w:t>
      </w:r>
      <w:r w:rsidR="004044A0">
        <w:t>,</w:t>
      </w:r>
      <w:r>
        <w:t xml:space="preserve"> young people’s pragmatic </w:t>
      </w:r>
      <w:r w:rsidR="00BF31F4">
        <w:t>approach</w:t>
      </w:r>
      <w:r>
        <w:t xml:space="preserve"> may help </w:t>
      </w:r>
      <w:r w:rsidR="00BF31F4">
        <w:t xml:space="preserve">to </w:t>
      </w:r>
      <w:r>
        <w:t xml:space="preserve">explain the </w:t>
      </w:r>
      <w:r w:rsidR="00922B06" w:rsidRPr="00922B06">
        <w:t>very limited number</w:t>
      </w:r>
      <w:r>
        <w:t>s</w:t>
      </w:r>
      <w:r w:rsidR="00BF31F4">
        <w:t xml:space="preserve"> of aspirations to higher-earning and/or higher-status and/or higher-</w:t>
      </w:r>
      <w:r w:rsidR="00922B06" w:rsidRPr="00922B06">
        <w:t xml:space="preserve">entrance score professions such as law and the hard sciences. It is also notable that only one participant mentioned postgraduate education </w:t>
      </w:r>
      <w:r w:rsidR="00BF31F4">
        <w:t>aspirations. The f</w:t>
      </w:r>
      <w:r w:rsidR="00922B06" w:rsidRPr="00922B06">
        <w:t xml:space="preserve">indings relating to the constraints and restraints </w:t>
      </w:r>
      <w:r w:rsidR="00D70272">
        <w:t>that limit</w:t>
      </w:r>
      <w:r w:rsidR="00922B06" w:rsidRPr="00922B06">
        <w:t xml:space="preserve"> aspirations and opportunities are discussed in detail in a later section.</w:t>
      </w:r>
    </w:p>
    <w:p w:rsidR="00922B06" w:rsidRPr="00922B06" w:rsidRDefault="00634A28" w:rsidP="00922B06">
      <w:pPr>
        <w:pStyle w:val="Text"/>
      </w:pPr>
      <w:r>
        <w:t xml:space="preserve">Also as an indicator of young people’s pragmatic </w:t>
      </w:r>
      <w:r w:rsidRPr="00D70272">
        <w:t>rationalism</w:t>
      </w:r>
      <w:r w:rsidR="00922B06" w:rsidRPr="00922B06">
        <w:t xml:space="preserve"> was the recognition amongst Westvale school students that apprenticeship opportunities were becoming increasingly scarce in the area</w:t>
      </w:r>
      <w:r w:rsidR="00C77305">
        <w:t>. But instead of aspiring to</w:t>
      </w:r>
      <w:r>
        <w:t xml:space="preserve"> an alternative which mig</w:t>
      </w:r>
      <w:r w:rsidR="00D63115">
        <w:t>ht seem even further from reach, with</w:t>
      </w:r>
      <w:r w:rsidR="00922B06" w:rsidRPr="00922B06">
        <w:t xml:space="preserve"> </w:t>
      </w:r>
      <w:r>
        <w:t>o</w:t>
      </w:r>
      <w:r w:rsidRPr="00922B06">
        <w:t xml:space="preserve">nly </w:t>
      </w:r>
      <w:r w:rsidR="00D63115">
        <w:t>one of these young people aspiring</w:t>
      </w:r>
      <w:r w:rsidRPr="00922B06">
        <w:t xml:space="preserve"> to study at the local regional university campus</w:t>
      </w:r>
      <w:r w:rsidR="00D63115">
        <w:t>,</w:t>
      </w:r>
      <w:r>
        <w:t xml:space="preserve"> </w:t>
      </w:r>
      <w:r w:rsidR="00D63115">
        <w:t>they</w:t>
      </w:r>
      <w:r>
        <w:t xml:space="preserve"> continued to aspire to a trade. They </w:t>
      </w:r>
      <w:r w:rsidR="00922B06" w:rsidRPr="00922B06">
        <w:t>pin</w:t>
      </w:r>
      <w:r>
        <w:t>ned</w:t>
      </w:r>
      <w:r w:rsidR="00922B06" w:rsidRPr="00922B06">
        <w:t xml:space="preserve"> their hopes </w:t>
      </w:r>
      <w:r>
        <w:t>on securing the increasingly scarce apprentice</w:t>
      </w:r>
      <w:r w:rsidR="00C77305">
        <w:t>ship</w:t>
      </w:r>
      <w:r>
        <w:t xml:space="preserve"> opportunities </w:t>
      </w:r>
      <w:r w:rsidR="00D63115">
        <w:t>by</w:t>
      </w:r>
      <w:r>
        <w:t xml:space="preserve"> pursuing contacts with</w:t>
      </w:r>
      <w:r w:rsidR="00922B06" w:rsidRPr="00922B06">
        <w:t xml:space="preserve"> friends and family. </w:t>
      </w:r>
    </w:p>
    <w:p w:rsidR="00922B06" w:rsidRPr="00922B06" w:rsidRDefault="00922B06" w:rsidP="00922B06">
      <w:pPr>
        <w:pStyle w:val="Text"/>
      </w:pPr>
      <w:r w:rsidRPr="00922B06">
        <w:t xml:space="preserve">Having described the young people’s perceptions of the pathways to education they are following, we now turn to </w:t>
      </w:r>
      <w:r w:rsidR="00D63115">
        <w:t>a more detailed discussion of</w:t>
      </w:r>
      <w:r w:rsidRPr="00922B06">
        <w:t xml:space="preserve"> their perceptions and those of the stakeholders </w:t>
      </w:r>
      <w:r w:rsidR="00805C2F">
        <w:t>relating to</w:t>
      </w:r>
      <w:r w:rsidRPr="00922B06">
        <w:t xml:space="preserve"> how these different patterns develop.</w:t>
      </w:r>
    </w:p>
    <w:p w:rsidR="00922B06" w:rsidRPr="00922B06" w:rsidRDefault="00922B06" w:rsidP="008B1BD0">
      <w:pPr>
        <w:pStyle w:val="Heading2"/>
      </w:pPr>
      <w:bookmarkStart w:id="81" w:name="_Toc253925143"/>
      <w:bookmarkStart w:id="82" w:name="_Toc409079378"/>
      <w:r w:rsidRPr="00922B06">
        <w:t>Geographic influences</w:t>
      </w:r>
      <w:bookmarkEnd w:id="81"/>
      <w:bookmarkEnd w:id="82"/>
    </w:p>
    <w:p w:rsidR="00922B06" w:rsidRPr="00922B06" w:rsidRDefault="004044A0" w:rsidP="00922B06">
      <w:pPr>
        <w:pStyle w:val="Text"/>
      </w:pPr>
      <w:bookmarkStart w:id="83" w:name="_Toc251317782"/>
      <w:r>
        <w:t>T</w:t>
      </w:r>
      <w:r w:rsidR="00922B06" w:rsidRPr="00326575">
        <w:t xml:space="preserve">he </w:t>
      </w:r>
      <w:r w:rsidR="00326575" w:rsidRPr="00326575">
        <w:t>discourse</w:t>
      </w:r>
      <w:r w:rsidR="00922B06" w:rsidRPr="00326575">
        <w:t xml:space="preserve"> </w:t>
      </w:r>
      <w:r>
        <w:t>on</w:t>
      </w:r>
      <w:r w:rsidR="00922B06" w:rsidRPr="00326575">
        <w:t xml:space="preserve"> mobility</w:t>
      </w:r>
      <w:r w:rsidR="00326575" w:rsidRPr="00326575">
        <w:t xml:space="preserve"> suggests </w:t>
      </w:r>
      <w:r>
        <w:t xml:space="preserve">that </w:t>
      </w:r>
      <w:r w:rsidR="00326575" w:rsidRPr="00326575">
        <w:t>geographic</w:t>
      </w:r>
      <w:r w:rsidR="00326575">
        <w:t xml:space="preserve"> and social mobility is commonplace and that</w:t>
      </w:r>
      <w:r>
        <w:t>,</w:t>
      </w:r>
      <w:r w:rsidR="00326575">
        <w:t xml:space="preserve"> as travel and global communications have intensified</w:t>
      </w:r>
      <w:r>
        <w:t>,</w:t>
      </w:r>
      <w:r w:rsidR="00326575">
        <w:t xml:space="preserve"> people, especially the young, now have mobile lives</w:t>
      </w:r>
      <w:r w:rsidR="00DF42E4">
        <w:t xml:space="preserve"> (Elliot </w:t>
      </w:r>
      <w:r w:rsidR="00D63115">
        <w:t xml:space="preserve">&amp; </w:t>
      </w:r>
      <w:proofErr w:type="spellStart"/>
      <w:r w:rsidR="00D63115">
        <w:t>Urry</w:t>
      </w:r>
      <w:proofErr w:type="spellEnd"/>
      <w:r>
        <w:t xml:space="preserve"> 2010).</w:t>
      </w:r>
      <w:r w:rsidR="00922B06" w:rsidRPr="00922B06">
        <w:t xml:space="preserve"> </w:t>
      </w:r>
      <w:r>
        <w:t xml:space="preserve">However, </w:t>
      </w:r>
      <w:r w:rsidR="00922B06" w:rsidRPr="00922B06">
        <w:t xml:space="preserve">many of the young people whom we interviewed </w:t>
      </w:r>
      <w:r>
        <w:t>identified strongly</w:t>
      </w:r>
      <w:r w:rsidR="00922B06" w:rsidRPr="00922B06">
        <w:t xml:space="preserve"> with their local neighbourhoods</w:t>
      </w:r>
      <w:bookmarkEnd w:id="83"/>
      <w:r w:rsidR="00922B06" w:rsidRPr="00922B06">
        <w:t>.</w:t>
      </w:r>
      <w:bookmarkStart w:id="84" w:name="_Toc251317785"/>
      <w:r w:rsidR="00922B06" w:rsidRPr="00922B06">
        <w:t xml:space="preserve"> </w:t>
      </w:r>
      <w:bookmarkStart w:id="85" w:name="_Toc251317792"/>
      <w:bookmarkStart w:id="86" w:name="_Toc251317786"/>
      <w:bookmarkEnd w:id="84"/>
      <w:r w:rsidR="00922B06" w:rsidRPr="00D63115">
        <w:t xml:space="preserve">In each of the research sites </w:t>
      </w:r>
      <w:r w:rsidR="00DF42E4" w:rsidRPr="00D63115">
        <w:t xml:space="preserve">young people’s talk about their education and career aspirations revealed </w:t>
      </w:r>
      <w:r>
        <w:t>the connection they had with the</w:t>
      </w:r>
      <w:r w:rsidR="00DF42E4" w:rsidRPr="00D63115">
        <w:t xml:space="preserve"> place </w:t>
      </w:r>
      <w:r w:rsidR="00D63115" w:rsidRPr="00D63115">
        <w:t>where they lived. This</w:t>
      </w:r>
      <w:r w:rsidR="00DF42E4" w:rsidRPr="00D63115">
        <w:t xml:space="preserve"> includ</w:t>
      </w:r>
      <w:r w:rsidR="00D63115" w:rsidRPr="00D63115">
        <w:t>ed</w:t>
      </w:r>
      <w:r w:rsidR="00D63115">
        <w:t xml:space="preserve"> </w:t>
      </w:r>
      <w:r w:rsidR="00DF42E4" w:rsidRPr="00D63115">
        <w:t xml:space="preserve">references to </w:t>
      </w:r>
      <w:r w:rsidR="00D63115">
        <w:t xml:space="preserve">the </w:t>
      </w:r>
      <w:r w:rsidR="00DC0F38">
        <w:t xml:space="preserve">area’s </w:t>
      </w:r>
      <w:r w:rsidR="00D63115">
        <w:t>natural geographic features and</w:t>
      </w:r>
      <w:r w:rsidR="00DF42E4" w:rsidRPr="00D63115">
        <w:t xml:space="preserve"> </w:t>
      </w:r>
      <w:r w:rsidR="00D63115">
        <w:t>socio-geographic history (</w:t>
      </w:r>
      <w:r w:rsidR="00DF42E4" w:rsidRPr="00D63115">
        <w:t xml:space="preserve">what can be termed </w:t>
      </w:r>
      <w:r>
        <w:t>‘</w:t>
      </w:r>
      <w:r w:rsidR="0034393B" w:rsidRPr="00D63115">
        <w:t>embodied psychologies of place</w:t>
      </w:r>
      <w:r>
        <w:t>’</w:t>
      </w:r>
      <w:r w:rsidR="00D63115">
        <w:t>), with some participants emphasising</w:t>
      </w:r>
      <w:r w:rsidR="00CA5354">
        <w:t xml:space="preserve"> the importance of place and the natural environment to them</w:t>
      </w:r>
      <w:bookmarkEnd w:id="85"/>
      <w:r w:rsidR="00CA5354">
        <w:t xml:space="preserve">. </w:t>
      </w:r>
      <w:r w:rsidR="005814F5">
        <w:t>The</w:t>
      </w:r>
      <w:r w:rsidR="00922B06" w:rsidRPr="00922B06">
        <w:t xml:space="preserve"> neighbourhoods </w:t>
      </w:r>
      <w:r w:rsidR="005814F5">
        <w:t xml:space="preserve">where the young people grew up </w:t>
      </w:r>
      <w:r w:rsidR="00922B06" w:rsidRPr="00922B06">
        <w:t xml:space="preserve">represent a protective and supportive resource for some of the young people. At the same time, they also represent a </w:t>
      </w:r>
      <w:r w:rsidR="00CA5354">
        <w:t>physical</w:t>
      </w:r>
      <w:r w:rsidR="00922B06" w:rsidRPr="00922B06">
        <w:t xml:space="preserve"> and psychological boundary to </w:t>
      </w:r>
      <w:r w:rsidR="0034393B">
        <w:t xml:space="preserve">outward </w:t>
      </w:r>
      <w:r w:rsidR="00922B06" w:rsidRPr="00922B06">
        <w:t>mobility</w:t>
      </w:r>
      <w:r w:rsidR="00CA5354">
        <w:t>,</w:t>
      </w:r>
      <w:r w:rsidR="00922B06" w:rsidRPr="00922B06">
        <w:t xml:space="preserve"> suggesting that young people make decisions about their futures within rationalities</w:t>
      </w:r>
      <w:r w:rsidR="005814F5">
        <w:t xml:space="preserve"> </w:t>
      </w:r>
      <w:bookmarkEnd w:id="86"/>
      <w:r w:rsidR="005814F5" w:rsidRPr="00922B06">
        <w:t xml:space="preserve">constrained </w:t>
      </w:r>
      <w:r w:rsidR="005814F5">
        <w:t>by the local opportunity structures (the objective) and the perceptions of what might be available and appropriate (the subjective</w:t>
      </w:r>
      <w:r w:rsidR="005814F5" w:rsidRPr="00994936">
        <w:t>)</w:t>
      </w:r>
      <w:r w:rsidRPr="00994936">
        <w:t>;</w:t>
      </w:r>
      <w:r w:rsidR="005814F5" w:rsidRPr="00994936">
        <w:t xml:space="preserve"> in</w:t>
      </w:r>
      <w:r w:rsidR="005814F5">
        <w:t xml:space="preserve"> other words, what Hodkinson and Sparkes (1997, p</w:t>
      </w:r>
      <w:r w:rsidR="00145E77">
        <w:t>.</w:t>
      </w:r>
      <w:r w:rsidR="005814F5">
        <w:t xml:space="preserve">34) call limited ‘horizons for action’. </w:t>
      </w:r>
    </w:p>
    <w:p w:rsidR="00922B06" w:rsidRPr="00922B06" w:rsidRDefault="00922B06" w:rsidP="00FF4D93">
      <w:pPr>
        <w:pStyle w:val="Heading3"/>
      </w:pPr>
      <w:bookmarkStart w:id="87" w:name="_Toc253925144"/>
      <w:r w:rsidRPr="00922B06">
        <w:t>Finding 6: The psychology of the familiar place</w:t>
      </w:r>
      <w:bookmarkEnd w:id="87"/>
    </w:p>
    <w:p w:rsidR="00922B06" w:rsidRPr="00922B06" w:rsidRDefault="005814F5" w:rsidP="00922B06">
      <w:pPr>
        <w:pStyle w:val="Text"/>
      </w:pPr>
      <w:r>
        <w:t>In the four areas of outer urban, regional and rural living, career aspirations and choices we</w:t>
      </w:r>
      <w:r w:rsidR="00922B06" w:rsidRPr="00922B06">
        <w:t xml:space="preserve">re strongly influenced both by the geography of place and by the accompanying psychology of the familiar place. This </w:t>
      </w:r>
      <w:r w:rsidR="00145E77">
        <w:t>is demonstrated forcefully</w:t>
      </w:r>
      <w:r w:rsidR="00922B06" w:rsidRPr="00922B06">
        <w:t xml:space="preserve"> in relation to young people’s attitudes to </w:t>
      </w:r>
      <w:r w:rsidR="00145E77">
        <w:t xml:space="preserve">the </w:t>
      </w:r>
      <w:r w:rsidR="00922B06" w:rsidRPr="00922B06">
        <w:t xml:space="preserve">work or study opportunities located outside the local and familiar neighbourhood. For many of these young people, career aspirations and choices are determined by </w:t>
      </w:r>
      <w:r w:rsidR="00DC0F38">
        <w:t>the</w:t>
      </w:r>
      <w:r w:rsidR="00922B06" w:rsidRPr="00922B06">
        <w:t xml:space="preserve"> invisible radius of an hour: locations and opportunities within one hour’s travel from the neighbourhood were considered to be relatively familiar and accessible, while locations beyond one hour’s travel tended to be constructed as less familiar and less accessible for work and education opportunities. </w:t>
      </w:r>
      <w:bookmarkStart w:id="88" w:name="_Toc251317789"/>
      <w:r w:rsidR="00922B06" w:rsidRPr="00922B06">
        <w:t>Inadequate public transport and reliance on access to a car w</w:t>
      </w:r>
      <w:r w:rsidR="00145E77">
        <w:t>ere</w:t>
      </w:r>
      <w:r w:rsidR="00922B06" w:rsidRPr="00922B06">
        <w:t xml:space="preserve"> also significant inhibiting factor</w:t>
      </w:r>
      <w:r w:rsidR="00145E77">
        <w:t>s</w:t>
      </w:r>
      <w:r w:rsidR="00922B06" w:rsidRPr="00922B06">
        <w:t xml:space="preserve"> for the education and career aspirations and opportunities of young people living on low incomes.</w:t>
      </w:r>
      <w:bookmarkEnd w:id="88"/>
    </w:p>
    <w:p w:rsidR="00922B06" w:rsidRPr="00922B06" w:rsidRDefault="00922B06" w:rsidP="00922B06">
      <w:pPr>
        <w:pStyle w:val="Text"/>
      </w:pPr>
      <w:r w:rsidRPr="00922B06">
        <w:t>As one t</w:t>
      </w:r>
      <w:r w:rsidR="00FF4D93">
        <w:t>eacher at Westvale TAFE noted, ‘</w:t>
      </w:r>
      <w:r w:rsidR="00145E77">
        <w:t>there’s an emotional —</w:t>
      </w:r>
      <w:r w:rsidRPr="00922B06">
        <w:t xml:space="preserve"> not a barrier</w:t>
      </w:r>
      <w:r w:rsidR="00FF4D93">
        <w:t>, an emotional sort of a border’</w:t>
      </w:r>
      <w:r w:rsidRPr="00922B06">
        <w:t xml:space="preserve"> that governs young people’s willingness to move across Gippsland to pursue career opportunities. This lack of willingness is psychological, but it is also the result of practical </w:t>
      </w:r>
      <w:r w:rsidRPr="00922B06">
        <w:lastRenderedPageBreak/>
        <w:t xml:space="preserve">considerations that include financial cost. As our interviewees from </w:t>
      </w:r>
      <w:r w:rsidR="00FF4D93">
        <w:t>Federation University observe, ‘</w:t>
      </w:r>
      <w:r w:rsidRPr="00922B06">
        <w:t>it's not just about time: it's about money, they're inextricably linked … anything more than a</w:t>
      </w:r>
      <w:r w:rsidR="00145E77">
        <w:t>n hour … seems to be the limit [and]</w:t>
      </w:r>
      <w:r w:rsidRPr="00922B06">
        <w:t xml:space="preserve"> if you can't afford either the ca</w:t>
      </w:r>
      <w:r w:rsidR="00FF4D93">
        <w:t>r or the petrol, you're stymied’</w:t>
      </w:r>
      <w:r w:rsidRPr="00922B06">
        <w:t>. This was borne out by numerous young people, including this young person from a small town in Eastshire:</w:t>
      </w:r>
      <w:r w:rsidR="00FF4D93">
        <w:t xml:space="preserve"> ‘</w:t>
      </w:r>
      <w:r w:rsidRPr="00922B06">
        <w:t>I personally am not that excited by travellin</w:t>
      </w:r>
      <w:r w:rsidR="00FF4D93">
        <w:t xml:space="preserve">g an hour to work or to study. </w:t>
      </w:r>
      <w:r w:rsidRPr="00922B06">
        <w:t>Maybe for work because I get paid for it. To st</w:t>
      </w:r>
      <w:r w:rsidR="00FF4D93">
        <w:t>udy: no, I don’t think I would</w:t>
      </w:r>
      <w:r w:rsidR="00145E77">
        <w:t>’.</w:t>
      </w:r>
      <w:r w:rsidR="005814F5">
        <w:t xml:space="preserve"> And th</w:t>
      </w:r>
      <w:r w:rsidR="00DC0F38">
        <w:t>e following</w:t>
      </w:r>
      <w:r w:rsidR="005814F5">
        <w:t xml:space="preserve"> young per</w:t>
      </w:r>
      <w:r w:rsidR="00145E77">
        <w:t>son from Southland used the one-</w:t>
      </w:r>
      <w:r w:rsidR="005814F5">
        <w:t>hour rule when weighing up the cost</w:t>
      </w:r>
      <w:r w:rsidR="004044A0">
        <w:t>–</w:t>
      </w:r>
      <w:r w:rsidR="005814F5">
        <w:t>benefit of needing to travel for on-the-job training to construction sites when making a decision about whether to pursue an apprenticeship</w:t>
      </w:r>
      <w:r w:rsidRPr="00922B06">
        <w:t>:</w:t>
      </w:r>
    </w:p>
    <w:p w:rsidR="00922B06" w:rsidRPr="00922B06" w:rsidRDefault="00922B06" w:rsidP="00631598">
      <w:pPr>
        <w:pStyle w:val="Quote"/>
        <w:rPr>
          <w:lang w:val="en-US"/>
        </w:rPr>
      </w:pPr>
      <w:r w:rsidRPr="00922B06">
        <w:rPr>
          <w:lang w:val="en-US"/>
        </w:rPr>
        <w:t>I’d travel probably up to an hour maximum. I don’t think I’d travel any further tha</w:t>
      </w:r>
      <w:r w:rsidR="00145E77">
        <w:rPr>
          <w:lang w:val="en-US"/>
        </w:rPr>
        <w:t xml:space="preserve">n that. It wouldn’t be worth it … </w:t>
      </w:r>
      <w:r w:rsidRPr="00922B06">
        <w:rPr>
          <w:lang w:val="en-US"/>
        </w:rPr>
        <w:t>say it takes two weeks to build a house and you’re spending $100 a week in petrol and then after tax as well when you’re being paid, it’s not a lot of money.</w:t>
      </w:r>
      <w:r w:rsidR="00145E77">
        <w:rPr>
          <w:lang w:val="en-US"/>
        </w:rPr>
        <w:tab/>
      </w:r>
      <w:r w:rsidR="00145E77">
        <w:rPr>
          <w:lang w:val="en-US"/>
        </w:rPr>
        <w:tab/>
      </w:r>
      <w:r w:rsidR="00145E77">
        <w:rPr>
          <w:lang w:val="en-US"/>
        </w:rPr>
        <w:tab/>
      </w:r>
      <w:r w:rsidR="005814F5">
        <w:rPr>
          <w:lang w:val="en-US"/>
        </w:rPr>
        <w:t xml:space="preserve">(Max, </w:t>
      </w:r>
      <w:r w:rsidR="00145E77">
        <w:rPr>
          <w:lang w:val="en-US"/>
        </w:rPr>
        <w:t xml:space="preserve">aged </w:t>
      </w:r>
      <w:r w:rsidR="005814F5">
        <w:rPr>
          <w:lang w:val="en-US"/>
        </w:rPr>
        <w:t xml:space="preserve">18, Southland) </w:t>
      </w:r>
    </w:p>
    <w:p w:rsidR="00922B06" w:rsidRPr="00922B06" w:rsidRDefault="00922B06" w:rsidP="00922B06">
      <w:pPr>
        <w:pStyle w:val="Text"/>
      </w:pPr>
      <w:r w:rsidRPr="00922B06">
        <w:rPr>
          <w:iCs/>
        </w:rPr>
        <w:t xml:space="preserve">For young people who are reliant on public transport, the physical geography of place can </w:t>
      </w:r>
      <w:r w:rsidR="005814F5">
        <w:rPr>
          <w:iCs/>
        </w:rPr>
        <w:t xml:space="preserve">also </w:t>
      </w:r>
      <w:r w:rsidRPr="00922B06">
        <w:rPr>
          <w:iCs/>
        </w:rPr>
        <w:t>have a strongly inhibiting effect on their career aspirations and decisi</w:t>
      </w:r>
      <w:r w:rsidR="005814F5">
        <w:rPr>
          <w:iCs/>
        </w:rPr>
        <w:t>ons</w:t>
      </w:r>
      <w:r w:rsidR="00145E77">
        <w:rPr>
          <w:iCs/>
        </w:rPr>
        <w:t>,</w:t>
      </w:r>
      <w:r w:rsidR="005814F5">
        <w:rPr>
          <w:iCs/>
        </w:rPr>
        <w:t xml:space="preserve"> as</w:t>
      </w:r>
      <w:r w:rsidRPr="00922B06">
        <w:rPr>
          <w:iCs/>
        </w:rPr>
        <w:t xml:space="preserve"> </w:t>
      </w:r>
      <w:r w:rsidRPr="00922B06">
        <w:t>Jessica (</w:t>
      </w:r>
      <w:r w:rsidR="00145E77">
        <w:t xml:space="preserve">aged </w:t>
      </w:r>
      <w:r w:rsidRPr="00922B06">
        <w:t xml:space="preserve">23, Southland) explains: </w:t>
      </w:r>
    </w:p>
    <w:p w:rsidR="00922B06" w:rsidRPr="00922B06" w:rsidRDefault="00922B06" w:rsidP="00631598">
      <w:pPr>
        <w:pStyle w:val="Quote"/>
        <w:rPr>
          <w:lang w:val="en-US"/>
        </w:rPr>
      </w:pPr>
      <w:r w:rsidRPr="00922B06">
        <w:rPr>
          <w:lang w:val="en-US"/>
        </w:rPr>
        <w:t xml:space="preserve">Public transportation from where I live is just pretty much no go, because </w:t>
      </w:r>
      <w:r w:rsidR="008C0D4D">
        <w:rPr>
          <w:lang w:val="en-US"/>
        </w:rPr>
        <w:t>…</w:t>
      </w:r>
      <w:r w:rsidRPr="00922B06">
        <w:rPr>
          <w:lang w:val="en-US"/>
        </w:rPr>
        <w:t xml:space="preserve"> I live at Sellicks Beach and it’s the furthest it goes, but it’s not as frequent. They come every couple of hours and you have to interch</w:t>
      </w:r>
      <w:r w:rsidR="00613A60">
        <w:rPr>
          <w:lang w:val="en-US"/>
        </w:rPr>
        <w:t>ange a lot of buses. To get to U</w:t>
      </w:r>
      <w:r w:rsidRPr="00922B06">
        <w:rPr>
          <w:lang w:val="en-US"/>
        </w:rPr>
        <w:t>ni I’d probably take two hours.</w:t>
      </w:r>
    </w:p>
    <w:p w:rsidR="005814F5" w:rsidRDefault="005814F5" w:rsidP="00922B06">
      <w:pPr>
        <w:pStyle w:val="Text"/>
      </w:pPr>
      <w:bookmarkStart w:id="89" w:name="_Toc251317790"/>
      <w:r>
        <w:t>In contrast, f</w:t>
      </w:r>
      <w:r w:rsidRPr="00922B06">
        <w:t>or the young people in Northtown, where a comprehensive network of trains and buses promotes easier access to TAFE and higher education oppo</w:t>
      </w:r>
      <w:r>
        <w:t xml:space="preserve">rtunities, such decisions are less </w:t>
      </w:r>
      <w:r w:rsidRPr="00922B06">
        <w:t>problematic. When asked about getting</w:t>
      </w:r>
      <w:r>
        <w:t xml:space="preserve"> to university, Mitch replied: ‘</w:t>
      </w:r>
      <w:r w:rsidRPr="00922B06">
        <w:t>that wouldn’t affec</w:t>
      </w:r>
      <w:r>
        <w:t>t me. There’s public transport</w:t>
      </w:r>
      <w:r w:rsidR="00145E77">
        <w:t>’.</w:t>
      </w:r>
      <w:r>
        <w:t xml:space="preserve"> Nevertheless, young people from Northtown tended to opt for post-school study in campuses n</w:t>
      </w:r>
      <w:r w:rsidR="00145E77">
        <w:t xml:space="preserve">orth of Adelaide centre, and no </w:t>
      </w:r>
      <w:r>
        <w:t>one identified study at universities and TAFE campuses on the south side of the city, even though these had different vocational specialities.</w:t>
      </w:r>
      <w:r w:rsidR="00D13A1E">
        <w:t xml:space="preserve"> </w:t>
      </w:r>
    </w:p>
    <w:p w:rsidR="00922B06" w:rsidRPr="00922B06" w:rsidRDefault="002003EE" w:rsidP="00922B06">
      <w:pPr>
        <w:pStyle w:val="Text"/>
      </w:pPr>
      <w:r>
        <w:t>Deferring</w:t>
      </w:r>
      <w:r w:rsidR="005814F5">
        <w:t xml:space="preserve"> the post-school education pathway was another strategy for taking time to come to terms with the difficulties of moving away from home and the costs and time factors associated with this. </w:t>
      </w:r>
      <w:r w:rsidR="005814F5">
        <w:rPr>
          <w:lang w:val="en-US"/>
        </w:rPr>
        <w:t>This strategy was particularly prevalent in Westvale and Eastshire.</w:t>
      </w:r>
      <w:r w:rsidR="00D13A1E">
        <w:rPr>
          <w:lang w:val="en-US"/>
        </w:rPr>
        <w:t xml:space="preserve"> </w:t>
      </w:r>
      <w:r w:rsidR="00922B06" w:rsidRPr="00922B06">
        <w:t>For Mason (</w:t>
      </w:r>
      <w:r w:rsidR="00145E77">
        <w:t xml:space="preserve">aged </w:t>
      </w:r>
      <w:r w:rsidR="00922B06" w:rsidRPr="00922B06">
        <w:t>22), mobility for work or study is entirely dependent</w:t>
      </w:r>
      <w:r w:rsidR="005814F5">
        <w:t xml:space="preserve"> on his own financial context and his understanding of what is feasible (his</w:t>
      </w:r>
      <w:r w:rsidR="00922B06" w:rsidRPr="00922B06">
        <w:t xml:space="preserve"> habitus</w:t>
      </w:r>
      <w:r w:rsidR="005814F5">
        <w:t>)</w:t>
      </w:r>
      <w:r w:rsidR="00922B06" w:rsidRPr="00922B06">
        <w:t>:</w:t>
      </w:r>
    </w:p>
    <w:p w:rsidR="00922B06" w:rsidRPr="00922B06" w:rsidRDefault="00922B06" w:rsidP="00631598">
      <w:pPr>
        <w:pStyle w:val="Quote"/>
        <w:rPr>
          <w:lang w:val="en-US"/>
        </w:rPr>
      </w:pPr>
      <w:r w:rsidRPr="00922B06">
        <w:rPr>
          <w:lang w:val="en-US"/>
        </w:rPr>
        <w:t>I think that it’s important that there’s no choices, there’s situations. That’s what leads to what you can do. I think that’s why I find the most, you either can financially move or you can’t financially move and then you’ve got what you can and can’t do based on where you are.</w:t>
      </w:r>
    </w:p>
    <w:p w:rsidR="00922B06" w:rsidRPr="00922B06" w:rsidRDefault="001E32D6" w:rsidP="00922B06">
      <w:pPr>
        <w:pStyle w:val="Text"/>
      </w:pPr>
      <w:r>
        <w:t>Recognition of the role of</w:t>
      </w:r>
      <w:r w:rsidR="00922B06" w:rsidRPr="00922B06">
        <w:t xml:space="preserve"> structural factors in young peo</w:t>
      </w:r>
      <w:r>
        <w:t>ple’s aspirations and choices is</w:t>
      </w:r>
      <w:r w:rsidR="00922B06" w:rsidRPr="00922B06">
        <w:t xml:space="preserve"> </w:t>
      </w:r>
      <w:r w:rsidR="005814F5">
        <w:t xml:space="preserve">supported </w:t>
      </w:r>
      <w:r w:rsidR="00922B06" w:rsidRPr="00922B06">
        <w:t>by the educators whom we interviewed. As the principal of one Eastshire government school explains, some families leave the town and move to bigger towns and cities in order to give their children greater access to higher education. Other young people leave h</w:t>
      </w:r>
      <w:r w:rsidR="004B3BB0">
        <w:t>ome to study but return later: ‘</w:t>
      </w:r>
      <w:r w:rsidR="00922B06" w:rsidRPr="00922B06">
        <w:t>kids might go away for 12, 18 months, two years, and then just th</w:t>
      </w:r>
      <w:r w:rsidR="004B3BB0">
        <w:t>at pull of home becomes a bit …’</w:t>
      </w:r>
      <w:r w:rsidR="00922B06" w:rsidRPr="00922B06">
        <w:t xml:space="preserve"> This is borne out by the principal of a government school in Eastshire’s main centre, who sees distance from their families and the costs of relocation as key disincentives for young people in pursuing higher education. </w:t>
      </w:r>
    </w:p>
    <w:p w:rsidR="00922B06" w:rsidRPr="00922B06" w:rsidRDefault="00922B06" w:rsidP="00922B06">
      <w:pPr>
        <w:pStyle w:val="Text"/>
      </w:pPr>
      <w:r w:rsidRPr="00922B06">
        <w:rPr>
          <w:lang w:val="en-US"/>
        </w:rPr>
        <w:t xml:space="preserve">For other young people in Westvale and Eastshire, the effects of </w:t>
      </w:r>
      <w:r w:rsidRPr="00922B06">
        <w:t xml:space="preserve">geography are inescapably emotional and psychological, as one staff member from Federation University explains: </w:t>
      </w:r>
    </w:p>
    <w:p w:rsidR="00922B06" w:rsidRPr="00922B06" w:rsidRDefault="00922B06" w:rsidP="00631598">
      <w:pPr>
        <w:pStyle w:val="Quote"/>
        <w:rPr>
          <w:lang w:val="en-US"/>
        </w:rPr>
      </w:pPr>
      <w:r w:rsidRPr="00922B06">
        <w:rPr>
          <w:lang w:val="en-US"/>
        </w:rPr>
        <w:t>Those that have got the aspect of a secondary school student going ‘I’m going to university’, they’re striving for that, that’s where they want to go.</w:t>
      </w:r>
      <w:r w:rsidR="00D13A1E">
        <w:rPr>
          <w:lang w:val="en-US"/>
        </w:rPr>
        <w:t xml:space="preserve"> </w:t>
      </w:r>
      <w:r w:rsidRPr="00922B06">
        <w:rPr>
          <w:lang w:val="en-US"/>
        </w:rPr>
        <w:t xml:space="preserve">Those that haven’t the self-confidence for </w:t>
      </w:r>
      <w:r w:rsidRPr="00922B06">
        <w:rPr>
          <w:lang w:val="en-US"/>
        </w:rPr>
        <w:lastRenderedPageBreak/>
        <w:t xml:space="preserve">that sort of stuff are majorly inhibited and </w:t>
      </w:r>
      <w:r w:rsidR="004B3BB0">
        <w:rPr>
          <w:lang w:val="en-US"/>
        </w:rPr>
        <w:t xml:space="preserve">that’s a big barrier for them. </w:t>
      </w:r>
      <w:r w:rsidRPr="00922B06">
        <w:rPr>
          <w:lang w:val="en-US"/>
        </w:rPr>
        <w:t>It’s like, it means: ‘I’ve got to live away from home, I’ve got to go there, no, too much, too scary, I’ll stay here and do a traineeship or an apprenticeshi</w:t>
      </w:r>
      <w:r w:rsidR="004B3BB0">
        <w:rPr>
          <w:lang w:val="en-US"/>
        </w:rPr>
        <w:t xml:space="preserve">p or work in the supermarket’. </w:t>
      </w:r>
      <w:r w:rsidRPr="00922B06">
        <w:rPr>
          <w:lang w:val="en-US"/>
        </w:rPr>
        <w:t>Their aspirations are cut short because of that.</w:t>
      </w:r>
    </w:p>
    <w:p w:rsidR="00922B06" w:rsidRPr="00922B06" w:rsidRDefault="001E32D6" w:rsidP="00922B06">
      <w:pPr>
        <w:pStyle w:val="Text"/>
      </w:pPr>
      <w:r>
        <w:t xml:space="preserve">Similarly, </w:t>
      </w:r>
      <w:r w:rsidR="00922B06" w:rsidRPr="00922B06">
        <w:t>professional sta</w:t>
      </w:r>
      <w:r>
        <w:t>ff at Eastshire Regional Health observed</w:t>
      </w:r>
      <w:r w:rsidRPr="00922B06">
        <w:t xml:space="preserve"> </w:t>
      </w:r>
      <w:r w:rsidR="00922B06" w:rsidRPr="00922B06">
        <w:t>that those young people who re</w:t>
      </w:r>
      <w:r w:rsidR="004B3BB0">
        <w:t>main in the area are those who ‘</w:t>
      </w:r>
      <w:r w:rsidR="003870AA">
        <w:t>can’</w:t>
      </w:r>
      <w:r w:rsidR="00922B06" w:rsidRPr="00922B06">
        <w:t>t handle living away from home</w:t>
      </w:r>
      <w:r w:rsidR="003870AA">
        <w:t>, just can’</w:t>
      </w:r>
      <w:r w:rsidR="004B3BB0">
        <w:t>t, or couldn't cope</w:t>
      </w:r>
      <w:r w:rsidR="003870AA">
        <w:t>’.</w:t>
      </w:r>
      <w:r w:rsidR="00922B06" w:rsidRPr="00922B06">
        <w:t xml:space="preserve"> A senior academic at Federation Uni</w:t>
      </w:r>
      <w:r w:rsidR="004B3BB0">
        <w:t>versity sums this up by saying ‘smart girls leave’</w:t>
      </w:r>
      <w:r w:rsidR="00922B06" w:rsidRPr="00922B06">
        <w:t>. Such observations refle</w:t>
      </w:r>
      <w:r w:rsidR="003870AA">
        <w:t>ct the deficit view that policy-</w:t>
      </w:r>
      <w:r w:rsidR="00922B06" w:rsidRPr="00922B06">
        <w:t>makers and practitioners often hold of</w:t>
      </w:r>
      <w:r w:rsidR="003870AA">
        <w:t xml:space="preserve"> rurality, which</w:t>
      </w:r>
      <w:r w:rsidR="00922B06" w:rsidRPr="00922B06">
        <w:t xml:space="preserve"> we mention in our literature review of young people’s choices within rural settings. However, the accounts </w:t>
      </w:r>
      <w:r w:rsidR="003870AA">
        <w:t>of young people do not necessarily indicate that</w:t>
      </w:r>
      <w:r w:rsidR="00922B06" w:rsidRPr="00922B06">
        <w:t xml:space="preserve"> staying with the familiar </w:t>
      </w:r>
      <w:r w:rsidR="003870AA">
        <w:t>is identified as</w:t>
      </w:r>
      <w:r w:rsidR="00922B06" w:rsidRPr="00922B06">
        <w:t xml:space="preserve"> a deficit option</w:t>
      </w:r>
      <w:r w:rsidR="003870AA">
        <w:t>,</w:t>
      </w:r>
      <w:r w:rsidR="00922B06" w:rsidRPr="00922B06">
        <w:t xml:space="preserve"> as we will discuss later in relation to </w:t>
      </w:r>
      <w:r w:rsidR="004B3BB0">
        <w:t>the valuing of the environment.</w:t>
      </w:r>
    </w:p>
    <w:p w:rsidR="00922B06" w:rsidRPr="00922B06" w:rsidRDefault="00922B06" w:rsidP="008E0670">
      <w:pPr>
        <w:pStyle w:val="Text"/>
      </w:pPr>
      <w:bookmarkStart w:id="90" w:name="_Toc251515689"/>
      <w:r w:rsidRPr="00922B06">
        <w:t xml:space="preserve">Even for young people who are undertaking higher education studies, the structural nature of employment in rural or </w:t>
      </w:r>
      <w:r w:rsidR="008E0670" w:rsidRPr="004C0996">
        <w:rPr>
          <w:bCs/>
        </w:rPr>
        <w:t>urban</w:t>
      </w:r>
      <w:r w:rsidR="008E0670">
        <w:rPr>
          <w:bCs/>
        </w:rPr>
        <w:t xml:space="preserve"> fringe</w:t>
      </w:r>
      <w:r w:rsidR="008E0670" w:rsidRPr="00922B06">
        <w:t xml:space="preserve"> </w:t>
      </w:r>
      <w:r w:rsidRPr="00922B06">
        <w:t>areas represents a significant constraint. Charlotte (</w:t>
      </w:r>
      <w:r w:rsidR="003870AA">
        <w:t xml:space="preserve">aged </w:t>
      </w:r>
      <w:r w:rsidRPr="00922B06">
        <w:t>21,</w:t>
      </w:r>
      <w:bookmarkEnd w:id="90"/>
      <w:r w:rsidRPr="00922B06">
        <w:t xml:space="preserve"> Eastshire) is </w:t>
      </w:r>
      <w:r w:rsidR="003870AA">
        <w:t>undertaking</w:t>
      </w:r>
      <w:r w:rsidRPr="00922B06">
        <w:t xml:space="preserve"> an honours degree at Federation University in Westvale but is visibly depressed about the lack of future job opportunities in the area:</w:t>
      </w:r>
    </w:p>
    <w:p w:rsidR="00922B06" w:rsidRPr="00922B06" w:rsidRDefault="00922B06" w:rsidP="00631598">
      <w:pPr>
        <w:pStyle w:val="Quote"/>
      </w:pPr>
      <w:r w:rsidRPr="00922B06">
        <w:t xml:space="preserve">I wanted to be working this year and it didn’t happen. Not for lack of trying, but decided to apply for my honours so that at least in a </w:t>
      </w:r>
      <w:r w:rsidR="003870AA">
        <w:t>year’s time, if I wasn’t like, ‘</w:t>
      </w:r>
      <w:r w:rsidRPr="00922B06">
        <w:t>well I’m still unemployed and nev</w:t>
      </w:r>
      <w:r w:rsidR="003870AA">
        <w:t>er do anything’</w:t>
      </w:r>
      <w:r w:rsidRPr="00922B06">
        <w:t xml:space="preserve">, at least I’ve got my honours now. But coming up to the end of this year, I’m going to be in the same position, do I go do my masters </w:t>
      </w:r>
      <w:r w:rsidR="004B3BB0">
        <w:t>next if I can’t find anything?</w:t>
      </w:r>
    </w:p>
    <w:p w:rsidR="00922B06" w:rsidRPr="00922B06" w:rsidRDefault="00922B06" w:rsidP="0035000B">
      <w:pPr>
        <w:pStyle w:val="Heading3"/>
      </w:pPr>
      <w:bookmarkStart w:id="91" w:name="_Toc253925145"/>
      <w:bookmarkEnd w:id="89"/>
      <w:r w:rsidRPr="00922B06">
        <w:t>Finding 7: The ameliorating geographies of place</w:t>
      </w:r>
      <w:bookmarkEnd w:id="91"/>
    </w:p>
    <w:p w:rsidR="00922B06" w:rsidRPr="00922B06" w:rsidRDefault="00922B06" w:rsidP="00922B06">
      <w:pPr>
        <w:pStyle w:val="Text"/>
      </w:pPr>
      <w:r w:rsidRPr="00922B06">
        <w:t>Another strong theme that emerges from each of the research sites is that people are the place. This can have different dimensions. For some young people, a pronounced identification with the local neighbourhood can bring a strong and supportive sense of solidarity and connectedness and counteracts the policy perspective that geographical distance and isolation means adopting a deficit stereotype. This theme of commitment to the neighbourhood</w:t>
      </w:r>
      <w:r w:rsidR="003870AA">
        <w:t xml:space="preserve"> and the people living </w:t>
      </w:r>
      <w:r w:rsidRPr="00922B06">
        <w:t>in it emerges strongly from our interviews in Eastshire, where, as one staff member at staff at Easts</w:t>
      </w:r>
      <w:r w:rsidR="0035000B">
        <w:t>hire Regional Health explains, ‘</w:t>
      </w:r>
      <w:r w:rsidRPr="00922B06">
        <w:t>you are not isolated i</w:t>
      </w:r>
      <w:r w:rsidR="0035000B">
        <w:t>f you are part of the community’.</w:t>
      </w:r>
    </w:p>
    <w:p w:rsidR="00922B06" w:rsidRPr="00922B06" w:rsidRDefault="00922B06" w:rsidP="00922B06">
      <w:pPr>
        <w:pStyle w:val="Text"/>
      </w:pPr>
      <w:r w:rsidRPr="00922B06">
        <w:t xml:space="preserve">In </w:t>
      </w:r>
      <w:r w:rsidR="001535A3">
        <w:t xml:space="preserve">one of </w:t>
      </w:r>
      <w:r w:rsidRPr="00922B06">
        <w:t xml:space="preserve">Eastshire’s </w:t>
      </w:r>
      <w:r w:rsidR="001535A3">
        <w:t>civic centres</w:t>
      </w:r>
      <w:r w:rsidRPr="00922B06">
        <w:t>, Kate (</w:t>
      </w:r>
      <w:r w:rsidR="003870AA">
        <w:t xml:space="preserve">aged </w:t>
      </w:r>
      <w:r w:rsidRPr="00922B06">
        <w:t>23) describes this sense of commitment to the local peopl</w:t>
      </w:r>
      <w:r w:rsidR="0035000B">
        <w:t>e who attend her dance school: ‘</w:t>
      </w:r>
      <w:r w:rsidRPr="00922B06">
        <w:t>I just wanted to make that connection with the far East Gippsland community. It just makes me feel good doing something for those who may not necessa</w:t>
      </w:r>
      <w:r w:rsidR="0035000B">
        <w:t>rily get a chance anywhere else’</w:t>
      </w:r>
      <w:r w:rsidRPr="00922B06">
        <w:t>. In another town in Eastshire, Morgan (</w:t>
      </w:r>
      <w:r w:rsidR="003870AA">
        <w:t xml:space="preserve">aged </w:t>
      </w:r>
      <w:r w:rsidRPr="00922B06">
        <w:t xml:space="preserve">22) works for the local government as a </w:t>
      </w:r>
      <w:r w:rsidR="003870AA" w:rsidRPr="00922B06">
        <w:t xml:space="preserve">community facilities officer </w:t>
      </w:r>
      <w:r w:rsidRPr="00922B06">
        <w:t>and</w:t>
      </w:r>
      <w:r w:rsidR="0035000B">
        <w:t xml:space="preserve"> is </w:t>
      </w:r>
      <w:r w:rsidR="004D33F4">
        <w:t xml:space="preserve">a </w:t>
      </w:r>
      <w:r w:rsidR="0035000B">
        <w:t xml:space="preserve">member of the shire </w:t>
      </w:r>
      <w:r w:rsidR="00DC0F38">
        <w:t>Youth C</w:t>
      </w:r>
      <w:r w:rsidR="00DC0F38" w:rsidRPr="00922B06">
        <w:t>ouncil</w:t>
      </w:r>
      <w:r w:rsidRPr="00922B06">
        <w:t xml:space="preserve">. He describes these local bonds and responsibilities as a key factor in his </w:t>
      </w:r>
      <w:r w:rsidR="0035000B">
        <w:t>decision to</w:t>
      </w:r>
      <w:r w:rsidR="003870AA">
        <w:t xml:space="preserve"> stay in the area: ‘It</w:t>
      </w:r>
      <w:r w:rsidR="00DC0F38">
        <w:t xml:space="preserve"> was …</w:t>
      </w:r>
      <w:r w:rsidRPr="00922B06">
        <w:t xml:space="preserve"> the interaction that I had with the community that really shaped that decision and that level of community involvement is</w:t>
      </w:r>
      <w:r w:rsidR="0035000B">
        <w:t xml:space="preserve"> what made me want to stay here’</w:t>
      </w:r>
      <w:r w:rsidRPr="00922B06">
        <w:t>. This view is echo</w:t>
      </w:r>
      <w:r w:rsidR="0035000B">
        <w:t>ed by Drew (</w:t>
      </w:r>
      <w:r w:rsidR="003870AA">
        <w:t xml:space="preserve">aged </w:t>
      </w:r>
      <w:r w:rsidR="0035000B">
        <w:t>22) from Westvale: ‘</w:t>
      </w:r>
      <w:r w:rsidRPr="00922B06">
        <w:t xml:space="preserve">Even despite the opportunities that the valley lacks compared to say a city like Melbourne, you could say it’s morally and ethically </w:t>
      </w:r>
      <w:r w:rsidR="004D33F4">
        <w:t xml:space="preserve">a </w:t>
      </w:r>
      <w:r w:rsidRPr="00922B06">
        <w:t xml:space="preserve">better foundation </w:t>
      </w:r>
      <w:r w:rsidR="0035000B">
        <w:t>to have young people grow up in</w:t>
      </w:r>
      <w:r w:rsidR="003870AA">
        <w:t>’</w:t>
      </w:r>
      <w:r w:rsidR="0035000B">
        <w:t>.</w:t>
      </w:r>
    </w:p>
    <w:p w:rsidR="00922B06" w:rsidRPr="00922B06" w:rsidRDefault="00922B06" w:rsidP="00922B06">
      <w:pPr>
        <w:pStyle w:val="Text"/>
      </w:pPr>
      <w:r w:rsidRPr="00922B06">
        <w:t>Even those young people who do intend to leave the valley of Westvale to study, like Simone (</w:t>
      </w:r>
      <w:r w:rsidR="003870AA">
        <w:t xml:space="preserve">aged </w:t>
      </w:r>
      <w:r w:rsidRPr="00922B06">
        <w:t>17), are keenly aware of the social support and capital that the neighbourhood represents:</w:t>
      </w:r>
    </w:p>
    <w:p w:rsidR="00922B06" w:rsidRPr="00922B06" w:rsidRDefault="00922B06" w:rsidP="00631598">
      <w:pPr>
        <w:pStyle w:val="Quote"/>
        <w:rPr>
          <w:lang w:val="en-US"/>
        </w:rPr>
      </w:pPr>
      <w:r w:rsidRPr="00922B06">
        <w:rPr>
          <w:lang w:val="en-US"/>
        </w:rPr>
        <w:t xml:space="preserve">A lot of the people see Churchill or even </w:t>
      </w:r>
      <w:proofErr w:type="spellStart"/>
      <w:r w:rsidRPr="00922B06">
        <w:rPr>
          <w:lang w:val="en-US"/>
        </w:rPr>
        <w:t>Gippsland</w:t>
      </w:r>
      <w:proofErr w:type="spellEnd"/>
      <w:r w:rsidRPr="00922B06">
        <w:rPr>
          <w:lang w:val="en-US"/>
        </w:rPr>
        <w:t xml:space="preserve"> at the moment as a hole and literally if you look at the landscape it’s like right at the bottom and there are mountains around us,</w:t>
      </w:r>
      <w:r w:rsidR="003870AA">
        <w:rPr>
          <w:lang w:val="en-US"/>
        </w:rPr>
        <w:t xml:space="preserve"> but it’s a great place to live</w:t>
      </w:r>
      <w:r w:rsidR="00D13A1E">
        <w:rPr>
          <w:lang w:val="en-US"/>
        </w:rPr>
        <w:t xml:space="preserve"> </w:t>
      </w:r>
      <w:r w:rsidRPr="00922B06">
        <w:rPr>
          <w:lang w:val="en-US"/>
        </w:rPr>
        <w:t>…</w:t>
      </w:r>
      <w:r w:rsidR="003870AA">
        <w:rPr>
          <w:lang w:val="en-US"/>
        </w:rPr>
        <w:t xml:space="preserve"> </w:t>
      </w:r>
      <w:r w:rsidRPr="00922B06">
        <w:rPr>
          <w:lang w:val="en-US"/>
        </w:rPr>
        <w:t>Working where I work, I see customers where they are and I see them basically every week, the regulars that come through and you make friends al</w:t>
      </w:r>
      <w:r w:rsidRPr="00631598">
        <w:rPr>
          <w:rStyle w:val="QuoteChar"/>
        </w:rPr>
        <w:t>m</w:t>
      </w:r>
      <w:proofErr w:type="spellStart"/>
      <w:r w:rsidRPr="00922B06">
        <w:rPr>
          <w:lang w:val="en-US"/>
        </w:rPr>
        <w:t>ost</w:t>
      </w:r>
      <w:proofErr w:type="spellEnd"/>
      <w:r w:rsidRPr="00922B06">
        <w:rPr>
          <w:lang w:val="en-US"/>
        </w:rPr>
        <w:t xml:space="preserve">, like they see </w:t>
      </w:r>
      <w:r w:rsidRPr="00922B06">
        <w:rPr>
          <w:lang w:val="en-US"/>
        </w:rPr>
        <w:lastRenderedPageBreak/>
        <w:t>me down the street, we greet each other.</w:t>
      </w:r>
      <w:r w:rsidR="00D13A1E">
        <w:rPr>
          <w:lang w:val="en-US"/>
        </w:rPr>
        <w:t xml:space="preserve"> </w:t>
      </w:r>
      <w:r w:rsidRPr="00922B06">
        <w:rPr>
          <w:lang w:val="en-US"/>
        </w:rPr>
        <w:t>It’s a close network and you find that wherever you are you’re going to know somebody. You can go anywhere and you’ll probably know someone. That sort of thing is encouraging, that’s why I reckon a few people do stay here and don’t move away because they have a family here, they have their friends and they have that network of people that they know they can rely on or see or communicate with and it’s a great thing abo</w:t>
      </w:r>
      <w:r w:rsidR="0035000B">
        <w:rPr>
          <w:lang w:val="en-US"/>
        </w:rPr>
        <w:t>ut living in such a rural area.</w:t>
      </w:r>
    </w:p>
    <w:p w:rsidR="00922B06" w:rsidRPr="00922B06" w:rsidRDefault="00922B06" w:rsidP="00922B06">
      <w:pPr>
        <w:pStyle w:val="Text"/>
      </w:pPr>
      <w:r w:rsidRPr="00922B06">
        <w:t xml:space="preserve">A number of </w:t>
      </w:r>
      <w:r w:rsidR="00831798">
        <w:t xml:space="preserve">the </w:t>
      </w:r>
      <w:r w:rsidRPr="00922B06">
        <w:t>interviewees, including staff at Federation University and the Eastshire local learn</w:t>
      </w:r>
      <w:r w:rsidR="00831798">
        <w:t>ing and education network</w:t>
      </w:r>
      <w:r w:rsidRPr="00922B06">
        <w:t>, note that many young people who leave the area to work or study tend to return because the region is considered a</w:t>
      </w:r>
      <w:r w:rsidR="0035000B">
        <w:t xml:space="preserve"> good place to raise a family: ‘</w:t>
      </w:r>
      <w:r w:rsidRPr="00922B06">
        <w:t>they might work overseas or have a really interesting ten years beyond a qualification, but then once they've partnered, quite a few want to raise their family in this fantastic rural environment, which has got every natu</w:t>
      </w:r>
      <w:r w:rsidR="0035000B">
        <w:t>ral attraction you can think of’</w:t>
      </w:r>
      <w:r w:rsidRPr="00922B06">
        <w:t>. Close social networks are also an incentive in this m</w:t>
      </w:r>
      <w:r w:rsidR="0035000B">
        <w:t>ovement back to the region.</w:t>
      </w:r>
    </w:p>
    <w:p w:rsidR="00922B06" w:rsidRPr="00922B06" w:rsidRDefault="00922B06" w:rsidP="00922B06">
      <w:pPr>
        <w:pStyle w:val="Text"/>
      </w:pPr>
      <w:r w:rsidRPr="00922B06">
        <w:t>Similar observations emerged from our interviews with young people in Southland. Jessica B (</w:t>
      </w:r>
      <w:r w:rsidR="00831798">
        <w:t xml:space="preserve">aged </w:t>
      </w:r>
      <w:r w:rsidRPr="00922B06">
        <w:t xml:space="preserve">24) describes Southland as </w:t>
      </w:r>
      <w:r w:rsidR="0035000B">
        <w:rPr>
          <w:lang w:val="en-US"/>
        </w:rPr>
        <w:t>the ‘</w:t>
      </w:r>
      <w:r w:rsidR="0035000B">
        <w:t>southern community’, an area that is ‘very close connected</w:t>
      </w:r>
      <w:r w:rsidR="00831798">
        <w:t>’.</w:t>
      </w:r>
      <w:r w:rsidRPr="00922B06">
        <w:t xml:space="preserve"> This also emerges from the account of other young people interviewed at Southland TAFE:</w:t>
      </w:r>
    </w:p>
    <w:p w:rsidR="00922B06" w:rsidRPr="00922B06" w:rsidRDefault="00922B06" w:rsidP="00631598">
      <w:pPr>
        <w:pStyle w:val="Quote"/>
        <w:rPr>
          <w:lang w:val="en-US"/>
        </w:rPr>
      </w:pPr>
      <w:r w:rsidRPr="00922B06">
        <w:rPr>
          <w:lang w:val="en-US"/>
        </w:rPr>
        <w:t>I’ve got my friends and I got my school and I got my work and it’s only lik</w:t>
      </w:r>
      <w:r w:rsidR="0035000B">
        <w:rPr>
          <w:lang w:val="en-US"/>
        </w:rPr>
        <w:t xml:space="preserve">e a short distance everywhere. </w:t>
      </w:r>
      <w:r w:rsidRPr="00922B06">
        <w:rPr>
          <w:lang w:val="en-US"/>
        </w:rPr>
        <w:t>So I don’t know if I should like move into town or anything because there’s no point in me moving there.</w:t>
      </w:r>
    </w:p>
    <w:p w:rsidR="00922B06" w:rsidRPr="00922B06" w:rsidRDefault="00922B06" w:rsidP="00922B06">
      <w:pPr>
        <w:pStyle w:val="Text"/>
      </w:pPr>
      <w:r w:rsidRPr="00922B06">
        <w:rPr>
          <w:iCs/>
        </w:rPr>
        <w:t xml:space="preserve">In all of the sites except Southland, however, a </w:t>
      </w:r>
      <w:r w:rsidRPr="00922B06">
        <w:t xml:space="preserve">strong sense of place is also associated with </w:t>
      </w:r>
      <w:r w:rsidRPr="00922B06">
        <w:rPr>
          <w:iCs/>
        </w:rPr>
        <w:t xml:space="preserve">concerns about young people’s prospects for education and employability. </w:t>
      </w:r>
      <w:r w:rsidR="004044A0">
        <w:rPr>
          <w:iCs/>
        </w:rPr>
        <w:t>In relation to her education prospects; when</w:t>
      </w:r>
      <w:r w:rsidRPr="00922B06">
        <w:rPr>
          <w:iCs/>
        </w:rPr>
        <w:t xml:space="preserve"> asked about </w:t>
      </w:r>
      <w:r w:rsidRPr="00922B06">
        <w:t xml:space="preserve">the challenges </w:t>
      </w:r>
      <w:r w:rsidR="004D33F4">
        <w:t xml:space="preserve">living in </w:t>
      </w:r>
      <w:proofErr w:type="spellStart"/>
      <w:r w:rsidRPr="00922B06">
        <w:t>Northtown</w:t>
      </w:r>
      <w:proofErr w:type="spellEnd"/>
      <w:r w:rsidRPr="00922B06">
        <w:t xml:space="preserve">, Theresa replied: </w:t>
      </w:r>
    </w:p>
    <w:p w:rsidR="00922B06" w:rsidRPr="00922B06" w:rsidRDefault="00831798" w:rsidP="00631598">
      <w:pPr>
        <w:pStyle w:val="Quote"/>
        <w:rPr>
          <w:iCs/>
          <w:lang w:val="en-US"/>
        </w:rPr>
      </w:pPr>
      <w:r>
        <w:rPr>
          <w:lang w:val="en-US"/>
        </w:rPr>
        <w:t>The people … t</w:t>
      </w:r>
      <w:r w:rsidR="00922B06" w:rsidRPr="00922B06">
        <w:rPr>
          <w:lang w:val="en-US"/>
        </w:rPr>
        <w:t>here’s like some horrib</w:t>
      </w:r>
      <w:r w:rsidR="00922B06" w:rsidRPr="00631598">
        <w:rPr>
          <w:rStyle w:val="QuoteChar"/>
        </w:rPr>
        <w:t>l</w:t>
      </w:r>
      <w:r w:rsidR="00922B06" w:rsidRPr="00922B06">
        <w:rPr>
          <w:lang w:val="en-US"/>
        </w:rPr>
        <w:t>e people around here. But because it is like a lowe</w:t>
      </w:r>
      <w:r>
        <w:rPr>
          <w:lang w:val="en-US"/>
        </w:rPr>
        <w:t>r, like type of community … T</w:t>
      </w:r>
      <w:r w:rsidR="00922B06" w:rsidRPr="00922B06">
        <w:rPr>
          <w:lang w:val="en-US"/>
        </w:rPr>
        <w:t xml:space="preserve">he more north you get in Adelaide basically </w:t>
      </w:r>
      <w:r w:rsidR="00786F6B">
        <w:rPr>
          <w:lang w:val="en-US"/>
        </w:rPr>
        <w:t>is a lower, lower class …</w:t>
      </w:r>
      <w:r w:rsidR="009D3BED">
        <w:rPr>
          <w:lang w:val="en-US"/>
        </w:rPr>
        <w:t xml:space="preserve"> [and your prospects are reduced because you are stigmatized by your location].</w:t>
      </w:r>
    </w:p>
    <w:p w:rsidR="00922B06" w:rsidRPr="00922B06" w:rsidRDefault="00922B06" w:rsidP="00922B06">
      <w:pPr>
        <w:pStyle w:val="Text"/>
      </w:pPr>
      <w:r w:rsidRPr="00922B06">
        <w:t>Another group of young people from a Northtown high school spoke about the issue of being stereotyped by employers because their address was in the ‘north’. Jenny stated emphatically that pot</w:t>
      </w:r>
      <w:r w:rsidR="0035000B">
        <w:t>ential employers consider that ‘you are where you live’</w:t>
      </w:r>
      <w:r w:rsidRPr="00922B06">
        <w:t xml:space="preserve">. This is also a concern for Michael, who wants to live and teach </w:t>
      </w:r>
      <w:r w:rsidR="00831798" w:rsidRPr="00922B06">
        <w:t>physica</w:t>
      </w:r>
      <w:r w:rsidR="00831798">
        <w:t xml:space="preserve">l education </w:t>
      </w:r>
      <w:r w:rsidR="0035000B">
        <w:t>in the local area</w:t>
      </w:r>
      <w:r w:rsidR="004D33F4">
        <w:t xml:space="preserve"> but it is</w:t>
      </w:r>
      <w:r w:rsidR="0035000B">
        <w:t>: ‘</w:t>
      </w:r>
      <w:r w:rsidRPr="00922B06">
        <w:t>categorised as being</w:t>
      </w:r>
      <w:r w:rsidR="00831798">
        <w:t xml:space="preserve"> </w:t>
      </w:r>
      <w:r w:rsidRPr="00922B06">
        <w:t xml:space="preserve">... Yeah they’re sort </w:t>
      </w:r>
      <w:r w:rsidR="00831798">
        <w:t>of categorised as being feral …</w:t>
      </w:r>
      <w:r w:rsidRPr="00922B06">
        <w:t xml:space="preserve"> </w:t>
      </w:r>
      <w:r w:rsidR="0035000B">
        <w:t>’</w:t>
      </w:r>
      <w:r w:rsidRPr="00922B06">
        <w:t xml:space="preserve"> In the industrial part of Westvale valley, Drew (</w:t>
      </w:r>
      <w:r w:rsidR="00831798">
        <w:t xml:space="preserve">aged </w:t>
      </w:r>
      <w:r w:rsidRPr="00922B06">
        <w:t>22) made simila</w:t>
      </w:r>
      <w:r w:rsidR="0035000B">
        <w:t>r observations: ‘</w:t>
      </w:r>
      <w:r w:rsidRPr="00922B06">
        <w:t xml:space="preserve">it’s like a slow </w:t>
      </w:r>
      <w:r w:rsidR="0021491D">
        <w:t xml:space="preserve">socioeconomic </w:t>
      </w:r>
      <w:r w:rsidRPr="00922B06">
        <w:t>area and anyone else that works in</w:t>
      </w:r>
      <w:r w:rsidR="004D33F4">
        <w:t>,</w:t>
      </w:r>
      <w:r w:rsidRPr="00922B06">
        <w:t xml:space="preserve"> say retail</w:t>
      </w:r>
      <w:r w:rsidR="004D33F4">
        <w:t>,</w:t>
      </w:r>
      <w:r w:rsidRPr="00922B06">
        <w:t xml:space="preserve"> you’re not going to get anywhere in life or some people have to work in retail, that’s what they do to support themselves</w:t>
      </w:r>
      <w:r w:rsidR="00831798">
        <w:t xml:space="preserve"> …</w:t>
      </w:r>
      <w:r w:rsidR="0035000B">
        <w:t xml:space="preserve"> there’s a stigma against</w:t>
      </w:r>
      <w:r w:rsidR="004D33F4">
        <w:t xml:space="preserve"> [people who do this work]</w:t>
      </w:r>
      <w:r w:rsidR="0035000B">
        <w:t>’</w:t>
      </w:r>
      <w:r w:rsidRPr="00922B06">
        <w:t>.</w:t>
      </w:r>
    </w:p>
    <w:p w:rsidR="00922B06" w:rsidRPr="00922B06" w:rsidRDefault="00922B06" w:rsidP="00922B06">
      <w:pPr>
        <w:pStyle w:val="Text"/>
      </w:pPr>
      <w:r w:rsidRPr="00922B06">
        <w:t xml:space="preserve">For some young people, the natural local environment also offers important resources that offset or compensate them for the disadvantages of living in low </w:t>
      </w:r>
      <w:r w:rsidR="0021491D">
        <w:t xml:space="preserve">socioeconomic </w:t>
      </w:r>
      <w:r w:rsidRPr="00922B06">
        <w:t xml:space="preserve">or rural and remote locations. For the young people from Southland, the beach is a primary social and recreational resource and even adults employed in the area were seen to be taking a more relaxed approach to </w:t>
      </w:r>
      <w:r w:rsidR="004D33F4">
        <w:t xml:space="preserve">business and employment, as </w:t>
      </w:r>
      <w:r w:rsidRPr="00922B06">
        <w:t xml:space="preserve">stakeholders from </w:t>
      </w:r>
      <w:r w:rsidR="004D33F4">
        <w:t xml:space="preserve">the </w:t>
      </w:r>
      <w:r w:rsidRPr="00922B06">
        <w:t>economic development of</w:t>
      </w:r>
      <w:r w:rsidR="003A0BF7">
        <w:t>fice of the city council noted:</w:t>
      </w:r>
    </w:p>
    <w:p w:rsidR="00922B06" w:rsidRPr="00922B06" w:rsidRDefault="00922B06" w:rsidP="00631598">
      <w:pPr>
        <w:pStyle w:val="Quote"/>
      </w:pPr>
      <w:r w:rsidRPr="00922B06">
        <w:t xml:space="preserve">They [business people] grew up here and they want their kids to grow up here, they like the lifestyle, they like to be able to shut the door and go surfing </w:t>
      </w:r>
      <w:r w:rsidR="003A0BF7">
        <w:t xml:space="preserve">at 3 o’clock in the afternoon. </w:t>
      </w:r>
      <w:r w:rsidRPr="00922B06">
        <w:t>So it’s very hard when you’re doing an investment attraction plan cause they’re not actually making decisions to expand their factory on any business case, it’s purely because they grew up here and they don’t want, oh, couldn’t possibl</w:t>
      </w:r>
      <w:r w:rsidR="003A0BF7">
        <w:t>y have a factory in the north.</w:t>
      </w:r>
    </w:p>
    <w:p w:rsidR="00922B06" w:rsidRPr="00922B06" w:rsidRDefault="00922B06" w:rsidP="00922B06">
      <w:pPr>
        <w:pStyle w:val="Text"/>
      </w:pPr>
      <w:r w:rsidRPr="00922B06">
        <w:lastRenderedPageBreak/>
        <w:t xml:space="preserve">For the young people from Eastshire, there is an even wider range of local opportunities that are seen as important leisure and lifestyle resources. These young people note that they would lose access to </w:t>
      </w:r>
      <w:r w:rsidR="00831798">
        <w:t>these</w:t>
      </w:r>
      <w:r w:rsidRPr="00922B06">
        <w:t xml:space="preserve"> resources if they left the area in pursuit of career opportunities:</w:t>
      </w:r>
    </w:p>
    <w:p w:rsidR="00922B06" w:rsidRPr="00922B06" w:rsidRDefault="00922B06" w:rsidP="00631598">
      <w:pPr>
        <w:pStyle w:val="Quote"/>
        <w:rPr>
          <w:lang w:val="en-US"/>
        </w:rPr>
      </w:pPr>
      <w:r w:rsidRPr="00922B06">
        <w:rPr>
          <w:lang w:val="en-US"/>
        </w:rPr>
        <w:t>I think we've got some fantastic natural resources locally</w:t>
      </w:r>
      <w:r w:rsidR="00831798">
        <w:rPr>
          <w:lang w:val="en-US"/>
        </w:rPr>
        <w:t>,</w:t>
      </w:r>
      <w:r w:rsidRPr="00922B06">
        <w:rPr>
          <w:lang w:val="en-US"/>
        </w:rPr>
        <w:t xml:space="preserve"> like it's really good to go up to the hills and have a bit of a walk around or go to the rainforest or go the beach, so we’re really lucky in that sense</w:t>
      </w:r>
      <w:r w:rsidR="00831798">
        <w:rPr>
          <w:lang w:val="en-US"/>
        </w:rPr>
        <w:t>.</w:t>
      </w:r>
      <w:r w:rsidR="00831798">
        <w:rPr>
          <w:lang w:val="en-US"/>
        </w:rPr>
        <w:tab/>
      </w:r>
      <w:r w:rsidRPr="00922B06">
        <w:rPr>
          <w:lang w:val="en-US"/>
        </w:rPr>
        <w:t xml:space="preserve">(Drew, </w:t>
      </w:r>
      <w:r w:rsidR="00831798">
        <w:rPr>
          <w:lang w:val="en-US"/>
        </w:rPr>
        <w:t xml:space="preserve">aged </w:t>
      </w:r>
      <w:r w:rsidRPr="00922B06">
        <w:rPr>
          <w:lang w:val="en-US"/>
        </w:rPr>
        <w:t xml:space="preserve">22, </w:t>
      </w:r>
      <w:proofErr w:type="spellStart"/>
      <w:r w:rsidRPr="00922B06">
        <w:rPr>
          <w:lang w:val="en-US"/>
        </w:rPr>
        <w:t>Eastshire</w:t>
      </w:r>
      <w:proofErr w:type="spellEnd"/>
      <w:r w:rsidRPr="00922B06">
        <w:rPr>
          <w:lang w:val="en-US"/>
        </w:rPr>
        <w:t>)</w:t>
      </w:r>
    </w:p>
    <w:p w:rsidR="00922B06" w:rsidRPr="00922B06" w:rsidRDefault="00922B06" w:rsidP="00631598">
      <w:pPr>
        <w:pStyle w:val="Quote"/>
        <w:rPr>
          <w:lang w:val="en-US"/>
        </w:rPr>
      </w:pPr>
      <w:r w:rsidRPr="00922B06">
        <w:rPr>
          <w:lang w:val="en-US"/>
        </w:rPr>
        <w:t>I suppose you’re not really that far from any</w:t>
      </w:r>
      <w:r w:rsidR="00AB667E">
        <w:rPr>
          <w:lang w:val="en-US"/>
        </w:rPr>
        <w:t xml:space="preserve">thing when you think about it. </w:t>
      </w:r>
      <w:r w:rsidRPr="00922B06">
        <w:rPr>
          <w:lang w:val="en-US"/>
        </w:rPr>
        <w:t>There’s the b</w:t>
      </w:r>
      <w:r w:rsidR="006A0315">
        <w:rPr>
          <w:lang w:val="en-US"/>
        </w:rPr>
        <w:t xml:space="preserve">each, </w:t>
      </w:r>
      <w:r w:rsidR="006A0315" w:rsidRPr="00994936">
        <w:rPr>
          <w:lang w:val="en-US"/>
        </w:rPr>
        <w:t>rivers</w:t>
      </w:r>
      <w:r w:rsidR="00831798" w:rsidRPr="00994936">
        <w:rPr>
          <w:lang w:val="en-US"/>
        </w:rPr>
        <w:t xml:space="preserve"> </w:t>
      </w:r>
      <w:r w:rsidR="006A0315" w:rsidRPr="00994936">
        <w:rPr>
          <w:lang w:val="en-US"/>
        </w:rPr>
        <w:t>…</w:t>
      </w:r>
      <w:r w:rsidRPr="00994936">
        <w:rPr>
          <w:lang w:val="en-US"/>
        </w:rPr>
        <w:t xml:space="preserve"> </w:t>
      </w:r>
      <w:r w:rsidR="00994936" w:rsidRPr="00994936">
        <w:rPr>
          <w:lang w:val="en-US"/>
        </w:rPr>
        <w:t xml:space="preserve">depends </w:t>
      </w:r>
      <w:r w:rsidRPr="00994936">
        <w:rPr>
          <w:lang w:val="en-US"/>
        </w:rPr>
        <w:t>on what your hobbies are really. Shooting, fishing, four wheel driving, camping,</w:t>
      </w:r>
      <w:r w:rsidRPr="00922B06">
        <w:rPr>
          <w:lang w:val="en-US"/>
        </w:rPr>
        <w:t xml:space="preserve"> there’s </w:t>
      </w:r>
      <w:r w:rsidR="00AB667E">
        <w:rPr>
          <w:lang w:val="en-US"/>
        </w:rPr>
        <w:t xml:space="preserve">pretty much whatever you want. </w:t>
      </w:r>
      <w:r w:rsidRPr="00922B06">
        <w:rPr>
          <w:lang w:val="en-US"/>
        </w:rPr>
        <w:t>If you were in the city you wouldn’t really be doing that much. Like you could be but you’d have to t</w:t>
      </w:r>
      <w:r w:rsidR="00831798">
        <w:rPr>
          <w:lang w:val="en-US"/>
        </w:rPr>
        <w:t>ravel a fair bit.</w:t>
      </w:r>
      <w:r w:rsidR="00831798">
        <w:rPr>
          <w:lang w:val="en-US"/>
        </w:rPr>
        <w:tab/>
      </w:r>
      <w:r w:rsidR="00831798">
        <w:rPr>
          <w:lang w:val="en-US"/>
        </w:rPr>
        <w:tab/>
      </w:r>
      <w:r w:rsidR="00831798">
        <w:rPr>
          <w:lang w:val="en-US"/>
        </w:rPr>
        <w:tab/>
      </w:r>
      <w:r w:rsidRPr="00922B06">
        <w:rPr>
          <w:lang w:val="en-US"/>
        </w:rPr>
        <w:t>(</w:t>
      </w:r>
      <w:proofErr w:type="gramStart"/>
      <w:r w:rsidRPr="00922B06">
        <w:rPr>
          <w:lang w:val="en-US"/>
        </w:rPr>
        <w:t>JD,</w:t>
      </w:r>
      <w:proofErr w:type="gramEnd"/>
      <w:r w:rsidRPr="00922B06">
        <w:rPr>
          <w:lang w:val="en-US"/>
        </w:rPr>
        <w:t xml:space="preserve"> </w:t>
      </w:r>
      <w:r w:rsidR="00831798">
        <w:rPr>
          <w:lang w:val="en-US"/>
        </w:rPr>
        <w:t xml:space="preserve">aged </w:t>
      </w:r>
      <w:r w:rsidR="00631598">
        <w:rPr>
          <w:lang w:val="en-US"/>
        </w:rPr>
        <w:t>17, Eastshire)</w:t>
      </w:r>
    </w:p>
    <w:p w:rsidR="00922B06" w:rsidRPr="00922B06" w:rsidRDefault="00922B06" w:rsidP="00DF7E9C">
      <w:pPr>
        <w:pStyle w:val="Heading2"/>
      </w:pPr>
      <w:bookmarkStart w:id="92" w:name="_Toc253925146"/>
      <w:bookmarkStart w:id="93" w:name="_Toc409079379"/>
      <w:r w:rsidRPr="00922B06">
        <w:t>Gender influences</w:t>
      </w:r>
      <w:bookmarkEnd w:id="92"/>
      <w:bookmarkEnd w:id="93"/>
    </w:p>
    <w:p w:rsidR="00922B06" w:rsidRPr="00994936" w:rsidRDefault="00922B06" w:rsidP="006B7940">
      <w:pPr>
        <w:pStyle w:val="Text"/>
      </w:pPr>
      <w:r w:rsidRPr="00922B06">
        <w:t xml:space="preserve">As we indicated in our literature </w:t>
      </w:r>
      <w:r w:rsidR="00DC0F38">
        <w:t>review</w:t>
      </w:r>
      <w:r w:rsidR="006A37F8">
        <w:t>, gender is one</w:t>
      </w:r>
      <w:r w:rsidRPr="00922B06">
        <w:t xml:space="preserve"> aspect of post-school transitions largely neglected by the Australian literature. Our findings run counter to this trend. They suggest that young people’s career and educational aspirations remain substantially influenced </w:t>
      </w:r>
      <w:r w:rsidR="00DC0F38">
        <w:t>and restrained by</w:t>
      </w:r>
      <w:r w:rsidRPr="00922B06">
        <w:t xml:space="preserve"> traditional gendered career expectations, role models and choices.</w:t>
      </w:r>
      <w:r w:rsidR="00D13A1E">
        <w:t xml:space="preserve"> </w:t>
      </w:r>
      <w:r w:rsidRPr="00922B06">
        <w:t xml:space="preserve">In </w:t>
      </w:r>
      <w:r w:rsidR="00831798">
        <w:t>a</w:t>
      </w:r>
      <w:r w:rsidR="006B7940">
        <w:t>ppendix</w:t>
      </w:r>
      <w:r w:rsidR="006B7940" w:rsidRPr="00844F53">
        <w:t xml:space="preserve"> </w:t>
      </w:r>
      <w:r w:rsidR="00831798">
        <w:t>t</w:t>
      </w:r>
      <w:r w:rsidR="00AB667E" w:rsidRPr="00844F53">
        <w:t xml:space="preserve">ables </w:t>
      </w:r>
      <w:r w:rsidR="00831798">
        <w:t>A5</w:t>
      </w:r>
      <w:r w:rsidR="00AB667E" w:rsidRPr="00844F53">
        <w:t xml:space="preserve"> and </w:t>
      </w:r>
      <w:r w:rsidR="00831798">
        <w:t>A6</w:t>
      </w:r>
      <w:r w:rsidRPr="00844F53">
        <w:t>,</w:t>
      </w:r>
      <w:r w:rsidRPr="00922B06">
        <w:t xml:space="preserve"> we list the career aspirations and pathways of young participants by gender and categori</w:t>
      </w:r>
      <w:r w:rsidR="00F200D0">
        <w:t xml:space="preserve">se each career choice as either </w:t>
      </w:r>
      <w:r w:rsidR="00DC0F38">
        <w:t>‘</w:t>
      </w:r>
      <w:r w:rsidRPr="00DC0F38">
        <w:rPr>
          <w:iCs/>
        </w:rPr>
        <w:t>gender-traditional</w:t>
      </w:r>
      <w:r w:rsidR="00DC0F38">
        <w:rPr>
          <w:iCs/>
        </w:rPr>
        <w:t>’</w:t>
      </w:r>
      <w:r w:rsidRPr="00DC0F38">
        <w:rPr>
          <w:iCs/>
        </w:rPr>
        <w:t xml:space="preserve">, </w:t>
      </w:r>
      <w:r w:rsidR="00DC0F38">
        <w:rPr>
          <w:iCs/>
        </w:rPr>
        <w:t>‘</w:t>
      </w:r>
      <w:r w:rsidRPr="00DC0F38">
        <w:rPr>
          <w:iCs/>
        </w:rPr>
        <w:t>non-traditional</w:t>
      </w:r>
      <w:r w:rsidR="00DC0F38">
        <w:rPr>
          <w:iCs/>
        </w:rPr>
        <w:t>’</w:t>
      </w:r>
      <w:r w:rsidRPr="00DC0F38">
        <w:t xml:space="preserve"> or </w:t>
      </w:r>
      <w:r w:rsidR="00DC0F38">
        <w:t>‘</w:t>
      </w:r>
      <w:r w:rsidRPr="00DC0F38">
        <w:rPr>
          <w:iCs/>
        </w:rPr>
        <w:t>neutral</w:t>
      </w:r>
      <w:r w:rsidR="00DC0F38">
        <w:rPr>
          <w:iCs/>
        </w:rPr>
        <w:t>’</w:t>
      </w:r>
      <w:r w:rsidRPr="00DC0F38">
        <w:t>.</w:t>
      </w:r>
      <w:r w:rsidRPr="00922B06">
        <w:t xml:space="preserve"> In the following section, we describe these career aspirations and pathways and the influences underpinning them from the perspectives of the young women and </w:t>
      </w:r>
      <w:r w:rsidRPr="00994936">
        <w:t xml:space="preserve">men interviewed. We conclude that the career aspirations and intended pathways of these young </w:t>
      </w:r>
      <w:r w:rsidR="006A0315" w:rsidRPr="00994936">
        <w:t>people are predominantly gender-</w:t>
      </w:r>
      <w:r w:rsidRPr="00994936">
        <w:t>traditional.</w:t>
      </w:r>
    </w:p>
    <w:p w:rsidR="00922B06" w:rsidRPr="00922B06" w:rsidRDefault="00922B06" w:rsidP="00631598">
      <w:pPr>
        <w:pStyle w:val="Heading3"/>
      </w:pPr>
      <w:bookmarkStart w:id="94" w:name="_Toc251771692"/>
      <w:bookmarkStart w:id="95" w:name="_Toc253925147"/>
      <w:r w:rsidRPr="00994936">
        <w:t>Finding 8: Influences on young women’s career aspirations and pathways</w:t>
      </w:r>
      <w:bookmarkEnd w:id="94"/>
      <w:bookmarkEnd w:id="95"/>
    </w:p>
    <w:p w:rsidR="00922B06" w:rsidRPr="00922B06" w:rsidRDefault="00922B06" w:rsidP="006B7940">
      <w:pPr>
        <w:pStyle w:val="Text"/>
      </w:pPr>
      <w:r w:rsidRPr="00922B06">
        <w:t xml:space="preserve">The general picture that emerged from our interviews with young women is of career aspirations and pathways that tend to be gender-traditional. As </w:t>
      </w:r>
      <w:r w:rsidR="00F200D0">
        <w:t>appendix</w:t>
      </w:r>
      <w:r w:rsidR="00F200D0" w:rsidRPr="00922B06">
        <w:t xml:space="preserve"> table </w:t>
      </w:r>
      <w:r w:rsidR="00F200D0">
        <w:t>A5</w:t>
      </w:r>
      <w:r w:rsidRPr="00922B06">
        <w:t xml:space="preserve"> shows, only three non-traditional careers were mentio</w:t>
      </w:r>
      <w:r w:rsidR="006A37F8">
        <w:t xml:space="preserve">ned by young women participants, and since </w:t>
      </w:r>
      <w:r w:rsidRPr="00922B06">
        <w:t xml:space="preserve">two of these </w:t>
      </w:r>
      <w:r w:rsidR="006A37F8">
        <w:t xml:space="preserve">careers </w:t>
      </w:r>
      <w:r w:rsidRPr="00922B06">
        <w:t>were mentioned by the same participant, only two young women appeared to aspire to non-traditional roles</w:t>
      </w:r>
      <w:r w:rsidR="006A37F8">
        <w:t xml:space="preserve"> (</w:t>
      </w:r>
      <w:r w:rsidR="00FF4BA0">
        <w:t>in medicine, outdoor recreation and archaeology)</w:t>
      </w:r>
      <w:r w:rsidRPr="00922B06">
        <w:t>. Even those young women who have chose</w:t>
      </w:r>
      <w:r w:rsidR="006A0315">
        <w:t xml:space="preserve">n what </w:t>
      </w:r>
      <w:r w:rsidR="006A0315" w:rsidRPr="00994936">
        <w:t>may be considered gender-</w:t>
      </w:r>
      <w:r w:rsidRPr="00994936">
        <w:t>neutral career fields are still clustered in industries with high rates of</w:t>
      </w:r>
      <w:r w:rsidRPr="00922B06">
        <w:t xml:space="preserve"> female participation</w:t>
      </w:r>
      <w:r w:rsidR="00F200D0">
        <w:t>,</w:t>
      </w:r>
      <w:r w:rsidRPr="00922B06">
        <w:t xml:space="preserve"> such as community services, the arts, office work, health and teaching. Their stories, described below, illustrate the more subtle restraints and gendered expectations that young women still encounter.</w:t>
      </w:r>
    </w:p>
    <w:p w:rsidR="00D21B79" w:rsidRDefault="00D21B79">
      <w:pPr>
        <w:spacing w:before="0" w:line="240" w:lineRule="auto"/>
      </w:pPr>
      <w:r>
        <w:br w:type="page"/>
      </w:r>
    </w:p>
    <w:p w:rsidR="00922B06" w:rsidRPr="00922B06" w:rsidRDefault="00922B06" w:rsidP="00922B06">
      <w:pPr>
        <w:pStyle w:val="Text"/>
      </w:pPr>
      <w:r w:rsidRPr="00922B06">
        <w:lastRenderedPageBreak/>
        <w:t xml:space="preserve">The role of gender in forming young women’s career expectations emerged from the accounts of many of the young women interviewed. When asked about the opportunity for a woman to achieve or aspire to a non-traditional job, Ashlee from a small town in Eastshire said: </w:t>
      </w:r>
    </w:p>
    <w:p w:rsidR="00922B06" w:rsidRPr="00922B06" w:rsidRDefault="0077053B" w:rsidP="00631598">
      <w:pPr>
        <w:pStyle w:val="Quote"/>
        <w:rPr>
          <w:lang w:val="en-US"/>
        </w:rPr>
      </w:pPr>
      <w:r>
        <w:rPr>
          <w:lang w:val="en-US"/>
        </w:rPr>
        <w:t xml:space="preserve">I guess we could do it. </w:t>
      </w:r>
      <w:r w:rsidR="00922B06" w:rsidRPr="00922B06">
        <w:rPr>
          <w:lang w:val="en-US"/>
        </w:rPr>
        <w:t>I just guess we chose not to do it because we don’t want to, I don’t know, put ourselves</w:t>
      </w:r>
      <w:r>
        <w:rPr>
          <w:lang w:val="en-US"/>
        </w:rPr>
        <w:t xml:space="preserve"> out there as much as the boys.</w:t>
      </w:r>
    </w:p>
    <w:p w:rsidR="00922B06" w:rsidRPr="00922B06" w:rsidRDefault="00922B06" w:rsidP="00922B06">
      <w:pPr>
        <w:pStyle w:val="Text"/>
      </w:pPr>
      <w:r w:rsidRPr="00922B06">
        <w:t>Emily (</w:t>
      </w:r>
      <w:r w:rsidR="00F200D0">
        <w:t xml:space="preserve">aged </w:t>
      </w:r>
      <w:r w:rsidRPr="00922B06">
        <w:t>22) from Southland described her experience at school when she enrolled in what was considered to be a ‘male’ subject:</w:t>
      </w:r>
    </w:p>
    <w:p w:rsidR="00922B06" w:rsidRPr="00EA1F3D" w:rsidRDefault="00922B06" w:rsidP="00631598">
      <w:pPr>
        <w:pStyle w:val="Quote"/>
      </w:pPr>
      <w:r w:rsidRPr="00EA1F3D">
        <w:t>Yeah</w:t>
      </w:r>
      <w:r w:rsidR="00F200D0">
        <w:t>,</w:t>
      </w:r>
      <w:r w:rsidRPr="00EA1F3D">
        <w:t xml:space="preserve"> because there’s more kind of early links programs and there’s apprenticeships and things available through the high school system for males and yes there’s hairdressing but it’s very limited for girls and it’s very male bias still. I loved tech in high school and wanted to go down that pathway with woodwork and things but I was only one of two girls in the class and the guys just took all the tools and the teacher was more inclined to let them have it because tech was just a bludge class for the girls. </w:t>
      </w:r>
      <w:proofErr w:type="gramStart"/>
      <w:r w:rsidRPr="00EA1F3D">
        <w:t xml:space="preserve">Like the guys </w:t>
      </w:r>
      <w:r w:rsidR="00EA1F3D">
        <w:t>could go somewhere in his mind.</w:t>
      </w:r>
      <w:proofErr w:type="gramEnd"/>
    </w:p>
    <w:p w:rsidR="00922B06" w:rsidRPr="00922B06" w:rsidRDefault="00922B06" w:rsidP="00922B06">
      <w:pPr>
        <w:pStyle w:val="Text"/>
      </w:pPr>
      <w:r w:rsidRPr="00922B06">
        <w:t>Jessica (</w:t>
      </w:r>
      <w:r w:rsidR="00F200D0">
        <w:t xml:space="preserve">aged </w:t>
      </w:r>
      <w:r w:rsidRPr="00922B06">
        <w:t>23), also from Southland, described her perception that career opportunities for local young women were more limited than those available to local young men:</w:t>
      </w:r>
    </w:p>
    <w:p w:rsidR="00922B06" w:rsidRPr="00922B06" w:rsidRDefault="006A0315" w:rsidP="00631598">
      <w:pPr>
        <w:pStyle w:val="Quote"/>
        <w:rPr>
          <w:lang w:val="en-US"/>
        </w:rPr>
      </w:pPr>
      <w:r>
        <w:rPr>
          <w:lang w:val="en-US"/>
        </w:rPr>
        <w:t>T</w:t>
      </w:r>
      <w:r w:rsidR="00922B06" w:rsidRPr="00922B06">
        <w:rPr>
          <w:lang w:val="en-US"/>
        </w:rPr>
        <w:t>hey could be finished their apprenticeship and they’d be earning something of a University level whereas I find, as a female, not that I couldn’t do the apprenticeships they were doing, but they were a lot more physical, physical apprenticeships. Whereas I found as a female if I wanted to earn, have a good earning, I would have to go to University because if you went to TAFE and just did beauty, the income wasn’t as high.</w:t>
      </w:r>
    </w:p>
    <w:p w:rsidR="00922B06" w:rsidRPr="00922B06" w:rsidRDefault="00922B06" w:rsidP="00922B06">
      <w:pPr>
        <w:pStyle w:val="Text"/>
      </w:pPr>
      <w:r w:rsidRPr="00922B06">
        <w:t>Perhaps as a result of the prevalence of gender-traditional expectations, only two young women aspired to careers that could be considered non-traditional in relation to gender. Jade (</w:t>
      </w:r>
      <w:r w:rsidR="00F200D0">
        <w:t xml:space="preserve">aged </w:t>
      </w:r>
      <w:r w:rsidRPr="00922B06">
        <w:t xml:space="preserve">17, Southland) had no </w:t>
      </w:r>
      <w:r w:rsidR="006A0315">
        <w:t>reservations</w:t>
      </w:r>
      <w:r w:rsidRPr="00922B06">
        <w:t xml:space="preserve"> about taking non-traditional subjects at school:</w:t>
      </w:r>
    </w:p>
    <w:p w:rsidR="00922B06" w:rsidRPr="00922B06" w:rsidRDefault="00922B06" w:rsidP="00631598">
      <w:pPr>
        <w:pStyle w:val="Quote"/>
        <w:rPr>
          <w:lang w:val="en-US"/>
        </w:rPr>
      </w:pPr>
      <w:r w:rsidRPr="00922B06">
        <w:rPr>
          <w:lang w:val="en-US"/>
        </w:rPr>
        <w:t xml:space="preserve">I did a home and property maintenance. I just thought: why not get it to get some skills so if my wall gets a hole in it or stuff like that, so I now know how to gyprock, plaster </w:t>
      </w:r>
      <w:r w:rsidR="00F200D0">
        <w:rPr>
          <w:lang w:val="en-US"/>
        </w:rPr>
        <w:t>and sand and paint over walls ...</w:t>
      </w:r>
      <w:r w:rsidRPr="00922B06">
        <w:rPr>
          <w:lang w:val="en-US"/>
        </w:rPr>
        <w:t xml:space="preserve"> I always keep popping into classes like that just to know a few extra skills. I was the only girl in a class of 15 boys, so when it came to the cleaning up I remember one going: that’s a girl’s job. He learnt never to say that again, he just learnt what I could do with a broom.</w:t>
      </w:r>
    </w:p>
    <w:p w:rsidR="00922B06" w:rsidRPr="00922B06" w:rsidRDefault="00922B06" w:rsidP="00922B06">
      <w:pPr>
        <w:pStyle w:val="Text"/>
      </w:pPr>
      <w:r w:rsidRPr="00922B06">
        <w:t xml:space="preserve">The indication is, however, that these opportunities to explore non-gender traditional roles are more limited once young people leave the environment of the school and seek to participate in the local workforce. </w:t>
      </w:r>
    </w:p>
    <w:p w:rsidR="00922B06" w:rsidRPr="00922B06" w:rsidRDefault="00922B06" w:rsidP="0077053B">
      <w:pPr>
        <w:pStyle w:val="Heading3"/>
      </w:pPr>
      <w:bookmarkStart w:id="96" w:name="_Toc253925148"/>
      <w:r w:rsidRPr="00922B06">
        <w:t>Finding 9: Influences on young men’s career aspirations and pathways</w:t>
      </w:r>
      <w:bookmarkEnd w:id="96"/>
    </w:p>
    <w:p w:rsidR="00922B06" w:rsidRPr="00922B06" w:rsidRDefault="00922B06" w:rsidP="00050DDF">
      <w:pPr>
        <w:pStyle w:val="Text"/>
      </w:pPr>
      <w:r w:rsidRPr="00922B06">
        <w:t>The prevalence of gender-traditional expectations is not limited to young women but also emerges from the accounts of many of the young men</w:t>
      </w:r>
      <w:r w:rsidR="00DC0F38">
        <w:t>. (S</w:t>
      </w:r>
      <w:r w:rsidRPr="00922B06">
        <w:t xml:space="preserve">ee </w:t>
      </w:r>
      <w:r w:rsidR="00F200D0">
        <w:t>appendix table A6</w:t>
      </w:r>
      <w:r w:rsidR="00DC0F38">
        <w:t>.)</w:t>
      </w:r>
    </w:p>
    <w:p w:rsidR="00922B06" w:rsidRPr="00922B06" w:rsidRDefault="00922B06" w:rsidP="00922B06">
      <w:pPr>
        <w:pStyle w:val="Text"/>
      </w:pPr>
      <w:r w:rsidRPr="00922B06">
        <w:t>The role of gender in forming young men’s career expectations emerged strongly from the research data. As a senior academic at Federation University explains, this is particularly prevalent for young men in Westvale:</w:t>
      </w:r>
    </w:p>
    <w:p w:rsidR="00922B06" w:rsidRPr="00922B06" w:rsidRDefault="00922B06" w:rsidP="00631598">
      <w:pPr>
        <w:pStyle w:val="Quote"/>
        <w:rPr>
          <w:lang w:val="en-US"/>
        </w:rPr>
      </w:pPr>
      <w:r w:rsidRPr="00922B06">
        <w:rPr>
          <w:lang w:val="en-US"/>
        </w:rPr>
        <w:t xml:space="preserve">The young boys are sort of pressured into lots of storylines around trades and good, well-paid jobs straight up, fast up, you know what I mean? Why wait and do four or five years or however long and so there's a lot of that pressure </w:t>
      </w:r>
      <w:r w:rsidR="00F200D0">
        <w:rPr>
          <w:lang w:val="en-US"/>
        </w:rPr>
        <w:t>around for young men as well</w:t>
      </w:r>
      <w:r w:rsidR="0077053B">
        <w:rPr>
          <w:lang w:val="en-US"/>
        </w:rPr>
        <w:t xml:space="preserve"> …</w:t>
      </w:r>
      <w:r w:rsidR="00F200D0">
        <w:rPr>
          <w:lang w:val="en-US"/>
        </w:rPr>
        <w:t xml:space="preserve"> </w:t>
      </w:r>
      <w:r w:rsidRPr="00922B06">
        <w:rPr>
          <w:lang w:val="en-US"/>
        </w:rPr>
        <w:t>a lot of the boys will go into very masculine [jobs]; the trades, the roles, those sort of jobs.</w:t>
      </w:r>
    </w:p>
    <w:p w:rsidR="00922B06" w:rsidRPr="00922B06" w:rsidRDefault="00922B06" w:rsidP="00922B06">
      <w:pPr>
        <w:pStyle w:val="Text"/>
        <w:rPr>
          <w:lang w:val="en-US"/>
        </w:rPr>
      </w:pPr>
      <w:r w:rsidRPr="00922B06">
        <w:lastRenderedPageBreak/>
        <w:t>This was borne out by sta</w:t>
      </w:r>
      <w:r w:rsidR="0077053B">
        <w:t>ff from Federation University: ‘</w:t>
      </w:r>
      <w:r w:rsidRPr="00922B06">
        <w:t xml:space="preserve">mostly for the guys, </w:t>
      </w:r>
      <w:proofErr w:type="gramStart"/>
      <w:r w:rsidRPr="00922B06">
        <w:t>it’s</w:t>
      </w:r>
      <w:proofErr w:type="gramEnd"/>
      <w:r w:rsidRPr="00922B06">
        <w:t xml:space="preserve"> traditional trades, so building, automotive, well </w:t>
      </w:r>
      <w:r w:rsidR="0077053B">
        <w:t>could be plumbing or electrical’</w:t>
      </w:r>
      <w:r w:rsidRPr="00922B06">
        <w:t>.</w:t>
      </w:r>
      <w:r w:rsidRPr="00922B06">
        <w:rPr>
          <w:lang w:val="en-US"/>
        </w:rPr>
        <w:t xml:space="preserve"> </w:t>
      </w:r>
      <w:r w:rsidRPr="00922B06">
        <w:t>These same staff describe Westvale as a region still characterised by the general</w:t>
      </w:r>
      <w:r w:rsidR="00E71D26">
        <w:t xml:space="preserve"> attitude that young men don’t ‘</w:t>
      </w:r>
      <w:r w:rsidRPr="00922B06">
        <w:t>need to g</w:t>
      </w:r>
      <w:r w:rsidR="00E71D26">
        <w:t>et a degree to earn good money’.</w:t>
      </w:r>
      <w:r w:rsidRPr="00922B06">
        <w:t xml:space="preserve"> This is part of a wider local habitus in these areas of low </w:t>
      </w:r>
      <w:r w:rsidR="0021491D">
        <w:t xml:space="preserve">socioeconomic </w:t>
      </w:r>
      <w:r w:rsidRPr="00922B06">
        <w:t>status</w:t>
      </w:r>
      <w:r w:rsidR="00F200D0">
        <w:t>,</w:t>
      </w:r>
      <w:r w:rsidRPr="00922B06">
        <w:t xml:space="preserve"> where employmen</w:t>
      </w:r>
      <w:r w:rsidR="00F200D0">
        <w:t>t has been predominantly in low-</w:t>
      </w:r>
      <w:r w:rsidRPr="00922B06">
        <w:t>level service and manual work</w:t>
      </w:r>
      <w:r w:rsidR="00F200D0">
        <w:t>, which</w:t>
      </w:r>
      <w:r w:rsidRPr="00922B06">
        <w:t xml:space="preserve"> places value on </w:t>
      </w:r>
      <w:r w:rsidR="00E71D26">
        <w:t>‘practical’</w:t>
      </w:r>
      <w:r w:rsidRPr="00922B06">
        <w:t xml:space="preserve"> outcomes, as a senior staff member at Easts</w:t>
      </w:r>
      <w:r w:rsidR="00DC0F38">
        <w:t>hire TAFE explains</w:t>
      </w:r>
      <w:r w:rsidRPr="00922B06">
        <w:t>:</w:t>
      </w:r>
    </w:p>
    <w:p w:rsidR="00922B06" w:rsidRPr="00922B06" w:rsidRDefault="006A0315" w:rsidP="00631598">
      <w:pPr>
        <w:pStyle w:val="Quote"/>
        <w:rPr>
          <w:lang w:val="en-US"/>
        </w:rPr>
      </w:pPr>
      <w:r>
        <w:rPr>
          <w:lang w:val="en-US"/>
        </w:rPr>
        <w:t>P</w:t>
      </w:r>
      <w:r w:rsidR="00922B06" w:rsidRPr="00922B06">
        <w:rPr>
          <w:lang w:val="en-US"/>
        </w:rPr>
        <w:t xml:space="preserve">eople don’t necessarily proudly say, oh my son or daughter is doing an arts degree. Law would </w:t>
      </w:r>
      <w:r w:rsidR="00FF4BA0">
        <w:rPr>
          <w:lang w:val="en-US"/>
        </w:rPr>
        <w:t xml:space="preserve">be </w:t>
      </w:r>
      <w:r w:rsidR="00922B06" w:rsidRPr="00922B06">
        <w:rPr>
          <w:lang w:val="en-US"/>
        </w:rPr>
        <w:t>good, medicine would b</w:t>
      </w:r>
      <w:r w:rsidR="00EA4590">
        <w:rPr>
          <w:lang w:val="en-US"/>
        </w:rPr>
        <w:t xml:space="preserve">e good, nursing would be good. </w:t>
      </w:r>
      <w:r w:rsidR="00922B06" w:rsidRPr="00922B06">
        <w:rPr>
          <w:lang w:val="en-US"/>
        </w:rPr>
        <w:t>They’re jobs that have got a known kind of outcome.</w:t>
      </w:r>
    </w:p>
    <w:p w:rsidR="00922B06" w:rsidRPr="00922B06" w:rsidRDefault="00922B06" w:rsidP="00922B06">
      <w:pPr>
        <w:pStyle w:val="Text"/>
      </w:pPr>
      <w:r w:rsidRPr="00922B06">
        <w:t>Only two of the young men interviewed have chosen non-traditional careers. Dan (</w:t>
      </w:r>
      <w:r w:rsidR="00C62B63">
        <w:t xml:space="preserve">aged </w:t>
      </w:r>
      <w:r w:rsidRPr="00922B06">
        <w:t>18, Southland) is studying aged care at TAFE but is considering swapping to disability care, having been told that he has a natural aptitude for this type of career. Drew (</w:t>
      </w:r>
      <w:r w:rsidR="00C62B63">
        <w:t xml:space="preserve">aged </w:t>
      </w:r>
      <w:r w:rsidRPr="00922B06">
        <w:t xml:space="preserve">25, Westvale) is undertaking studies in </w:t>
      </w:r>
      <w:r w:rsidR="00C62B63" w:rsidRPr="00922B06">
        <w:t>childre</w:t>
      </w:r>
      <w:r w:rsidR="00C62B63">
        <w:t xml:space="preserve">n’s services </w:t>
      </w:r>
      <w:r w:rsidR="00EA4590">
        <w:t xml:space="preserve">as a pathway into primary </w:t>
      </w:r>
      <w:r w:rsidR="002674AC">
        <w:t>t</w:t>
      </w:r>
      <w:r w:rsidRPr="00922B06">
        <w:t>eaching, having tried a number of careers, including the A</w:t>
      </w:r>
      <w:r w:rsidR="002674AC">
        <w:t>irforce, which didn’t work out.</w:t>
      </w:r>
    </w:p>
    <w:p w:rsidR="00922B06" w:rsidRPr="00922B06" w:rsidRDefault="00922B06" w:rsidP="00EA1F3D">
      <w:pPr>
        <w:pStyle w:val="Heading2"/>
      </w:pPr>
      <w:bookmarkStart w:id="97" w:name="_Toc253925149"/>
      <w:bookmarkStart w:id="98" w:name="_Toc409079380"/>
      <w:r w:rsidRPr="00922B06">
        <w:t>Traditions and the influences of family and the familiar</w:t>
      </w:r>
      <w:bookmarkEnd w:id="97"/>
      <w:bookmarkEnd w:id="98"/>
    </w:p>
    <w:p w:rsidR="00922B06" w:rsidRPr="00922B06" w:rsidRDefault="00922B06" w:rsidP="00922B06">
      <w:pPr>
        <w:pStyle w:val="Text"/>
        <w:rPr>
          <w:bCs/>
        </w:rPr>
      </w:pPr>
      <w:bookmarkStart w:id="99" w:name="_Toc253925150"/>
      <w:bookmarkStart w:id="100" w:name="_Toc251771700"/>
      <w:r w:rsidRPr="00922B06">
        <w:rPr>
          <w:bCs/>
        </w:rPr>
        <w:t xml:space="preserve">Underpinning the young people’s accounts of gendered patterns of career aspiration and employment were narratives about the influence of </w:t>
      </w:r>
      <w:r w:rsidR="00DC0F38">
        <w:rPr>
          <w:bCs/>
        </w:rPr>
        <w:t>family and</w:t>
      </w:r>
      <w:r w:rsidRPr="00922B06">
        <w:rPr>
          <w:bCs/>
        </w:rPr>
        <w:t xml:space="preserve"> friends and the social networks </w:t>
      </w:r>
      <w:r w:rsidR="00DC0F38">
        <w:rPr>
          <w:bCs/>
        </w:rPr>
        <w:t xml:space="preserve">in which </w:t>
      </w:r>
      <w:r w:rsidRPr="00922B06">
        <w:rPr>
          <w:bCs/>
        </w:rPr>
        <w:t>they participated through leisure activities such as sport.</w:t>
      </w:r>
      <w:bookmarkEnd w:id="99"/>
    </w:p>
    <w:p w:rsidR="00922B06" w:rsidRPr="00922B06" w:rsidRDefault="00922B06" w:rsidP="002674AC">
      <w:pPr>
        <w:pStyle w:val="Heading3"/>
      </w:pPr>
      <w:bookmarkStart w:id="101" w:name="_Toc253925151"/>
      <w:r w:rsidRPr="00922B06">
        <w:t>Finding 10: The influence of family habitus</w:t>
      </w:r>
      <w:bookmarkEnd w:id="100"/>
      <w:r w:rsidRPr="00922B06">
        <w:t xml:space="preserve"> and social networks</w:t>
      </w:r>
      <w:bookmarkEnd w:id="101"/>
    </w:p>
    <w:p w:rsidR="00922B06" w:rsidRPr="00922B06" w:rsidRDefault="00922B06" w:rsidP="00922B06">
      <w:pPr>
        <w:pStyle w:val="Text"/>
      </w:pPr>
      <w:r w:rsidRPr="00922B06">
        <w:t>This section explores the influences of family on the career choices and aspirations of the case</w:t>
      </w:r>
      <w:r w:rsidR="002674AC">
        <w:t xml:space="preserve"> study participants, by gender.</w:t>
      </w:r>
    </w:p>
    <w:p w:rsidR="00922B06" w:rsidRPr="00922B06" w:rsidRDefault="00922B06" w:rsidP="002674AC">
      <w:pPr>
        <w:pStyle w:val="Heading4"/>
      </w:pPr>
      <w:r w:rsidRPr="00922B06">
        <w:t>Family habitus, social networks and young men</w:t>
      </w:r>
    </w:p>
    <w:p w:rsidR="00922B06" w:rsidRPr="00922B06" w:rsidRDefault="00922B06" w:rsidP="00833984">
      <w:pPr>
        <w:pStyle w:val="Text"/>
      </w:pPr>
      <w:r w:rsidRPr="00922B06">
        <w:t xml:space="preserve">In </w:t>
      </w:r>
      <w:r w:rsidR="006A0315">
        <w:t xml:space="preserve">the industrial area of </w:t>
      </w:r>
      <w:proofErr w:type="spellStart"/>
      <w:r w:rsidR="006A0315">
        <w:t>Westvale</w:t>
      </w:r>
      <w:proofErr w:type="spellEnd"/>
      <w:r w:rsidRPr="00922B06">
        <w:t xml:space="preserve"> in particular, young men’s career expectations and aspirations draw strongly on </w:t>
      </w:r>
      <w:r w:rsidR="00C62B63">
        <w:t xml:space="preserve">the </w:t>
      </w:r>
      <w:r w:rsidRPr="00922B06">
        <w:t>traditions associated with the locality and with their families’ histories in that locality, especially the employ</w:t>
      </w:r>
      <w:r w:rsidR="002674AC">
        <w:t xml:space="preserve">ment history of their fathers. </w:t>
      </w:r>
      <w:r w:rsidRPr="00922B06">
        <w:t>For some young men, the expectation is frequently that they will remain in the area and enter the same trade as their father or other male fa</w:t>
      </w:r>
      <w:r w:rsidR="002674AC">
        <w:t>mily members, as Jay explains: ‘</w:t>
      </w:r>
      <w:r w:rsidRPr="00922B06">
        <w:t>my brother is now a 4</w:t>
      </w:r>
      <w:r w:rsidRPr="00C62B63">
        <w:t>th</w:t>
      </w:r>
      <w:r w:rsidR="00C62B63">
        <w:t xml:space="preserve"> Year Boiler Maker</w:t>
      </w:r>
      <w:r w:rsidRPr="00922B06">
        <w:t xml:space="preserve"> … he’s out at the power station so he’s doing really well for himself, so Dad wants me to get a trade and h</w:t>
      </w:r>
      <w:r w:rsidR="002674AC">
        <w:t>e wants me to be an electrician’</w:t>
      </w:r>
      <w:r w:rsidRPr="00922B06">
        <w:t>. Ted also appears to be following in his father’s footsteps, although closer attention to his story suggests that he</w:t>
      </w:r>
      <w:r w:rsidR="002674AC">
        <w:t xml:space="preserve"> is open to other opportunities</w:t>
      </w:r>
      <w:r w:rsidR="00C62B63">
        <w:t>. (S</w:t>
      </w:r>
      <w:r w:rsidRPr="00922B06">
        <w:t xml:space="preserve">ee </w:t>
      </w:r>
      <w:r w:rsidR="00C62B63">
        <w:t>a</w:t>
      </w:r>
      <w:r w:rsidR="00833984">
        <w:t xml:space="preserve">ppendix </w:t>
      </w:r>
      <w:r w:rsidR="00C62B63">
        <w:t>t</w:t>
      </w:r>
      <w:r w:rsidR="002674AC">
        <w:t xml:space="preserve">able </w:t>
      </w:r>
      <w:r w:rsidR="00C62B63">
        <w:t>A7</w:t>
      </w:r>
      <w:r w:rsidRPr="00922B06">
        <w:t xml:space="preserve"> for more details of t</w:t>
      </w:r>
      <w:r w:rsidR="002674AC">
        <w:t>hese patterns</w:t>
      </w:r>
      <w:r w:rsidR="00C62B63">
        <w:t>.)</w:t>
      </w:r>
    </w:p>
    <w:p w:rsidR="00922B06" w:rsidRPr="00922B06" w:rsidRDefault="00922B06" w:rsidP="00922B06">
      <w:pPr>
        <w:pStyle w:val="Text"/>
      </w:pPr>
      <w:r w:rsidRPr="00922B06">
        <w:t>In Northtown, n</w:t>
      </w:r>
      <w:r w:rsidR="00FF4BA0">
        <w:t xml:space="preserve">one of the three young men </w:t>
      </w:r>
      <w:r w:rsidRPr="00922B06">
        <w:t>who as</w:t>
      </w:r>
      <w:r w:rsidR="00DC0F38">
        <w:t>pire to study at university have</w:t>
      </w:r>
      <w:r w:rsidRPr="00922B06">
        <w:t xml:space="preserve"> fathers with university qualifications. Here, sporting mates and the school seem to have a particular influence. Jimmy, for example</w:t>
      </w:r>
      <w:r w:rsidR="00C62B63">
        <w:t xml:space="preserve">, mentions that his soccer team </w:t>
      </w:r>
      <w:r w:rsidRPr="00922B06">
        <w:t>mates, many of whom are older than him, have been the most influential in his aspiration to study at university:</w:t>
      </w:r>
    </w:p>
    <w:p w:rsidR="00922B06" w:rsidRPr="00922B06" w:rsidRDefault="00922B06" w:rsidP="00631598">
      <w:pPr>
        <w:pStyle w:val="Quote"/>
        <w:rPr>
          <w:lang w:val="en-US"/>
        </w:rPr>
      </w:pPr>
      <w:r w:rsidRPr="00922B06">
        <w:rPr>
          <w:lang w:val="en-US"/>
        </w:rPr>
        <w:t>Probably from my friends or people at soccer, becau</w:t>
      </w:r>
      <w:r w:rsidR="00C62B63">
        <w:rPr>
          <w:lang w:val="en-US"/>
        </w:rPr>
        <w:t>se they’re always saying that, ‘</w:t>
      </w:r>
      <w:r w:rsidRPr="00922B06">
        <w:rPr>
          <w:lang w:val="en-US"/>
        </w:rPr>
        <w:t xml:space="preserve">Oh, yeah, if you go here, these courses are </w:t>
      </w:r>
      <w:r w:rsidR="00C62B63">
        <w:rPr>
          <w:lang w:val="en-US"/>
        </w:rPr>
        <w:t>good, these people can help you’ or, ‘</w:t>
      </w:r>
      <w:r w:rsidRPr="00922B06">
        <w:rPr>
          <w:lang w:val="en-US"/>
        </w:rPr>
        <w:t>This is where you c</w:t>
      </w:r>
      <w:r w:rsidR="00C62B63">
        <w:rPr>
          <w:lang w:val="en-US"/>
        </w:rPr>
        <w:t>an get help’, stuff like that</w:t>
      </w:r>
      <w:r w:rsidR="002674AC">
        <w:rPr>
          <w:lang w:val="en-US"/>
        </w:rPr>
        <w:t xml:space="preserve"> …</w:t>
      </w:r>
      <w:r w:rsidR="00C62B63">
        <w:rPr>
          <w:lang w:val="en-US"/>
        </w:rPr>
        <w:t xml:space="preserve"> </w:t>
      </w:r>
      <w:r w:rsidRPr="00922B06">
        <w:rPr>
          <w:lang w:val="en-US"/>
        </w:rPr>
        <w:t>I think one is doing</w:t>
      </w:r>
      <w:r w:rsidR="00C62B63">
        <w:rPr>
          <w:lang w:val="en-US"/>
        </w:rPr>
        <w:t xml:space="preserve"> </w:t>
      </w:r>
      <w:r w:rsidRPr="00922B06">
        <w:rPr>
          <w:lang w:val="en-US"/>
        </w:rPr>
        <w:t>…</w:t>
      </w:r>
      <w:r w:rsidR="00C62B63">
        <w:rPr>
          <w:lang w:val="en-US"/>
        </w:rPr>
        <w:t xml:space="preserve"> </w:t>
      </w:r>
      <w:r w:rsidRPr="00922B06">
        <w:rPr>
          <w:lang w:val="en-US"/>
        </w:rPr>
        <w:t>one's going to be a doctor, another one is in like, health, or something like that, and one's in business management or something like that.</w:t>
      </w:r>
    </w:p>
    <w:p w:rsidR="00D21B79" w:rsidRDefault="00D21B79">
      <w:pPr>
        <w:spacing w:before="0" w:line="240" w:lineRule="auto"/>
        <w:rPr>
          <w:rFonts w:ascii="Tahoma" w:hAnsi="Tahoma"/>
          <w:i/>
          <w:sz w:val="22"/>
        </w:rPr>
      </w:pPr>
      <w:r>
        <w:br w:type="page"/>
      </w:r>
    </w:p>
    <w:p w:rsidR="00922B06" w:rsidRPr="00922B06" w:rsidRDefault="00922B06" w:rsidP="002674AC">
      <w:pPr>
        <w:pStyle w:val="Heading4"/>
      </w:pPr>
      <w:r w:rsidRPr="00922B06">
        <w:lastRenderedPageBreak/>
        <w:t>Family habitus, social networks and young women</w:t>
      </w:r>
    </w:p>
    <w:p w:rsidR="00922B06" w:rsidRPr="00922B06" w:rsidRDefault="006A0315" w:rsidP="00726000">
      <w:pPr>
        <w:pStyle w:val="Text"/>
      </w:pPr>
      <w:r>
        <w:t>The a</w:t>
      </w:r>
      <w:r w:rsidR="00922B06" w:rsidRPr="00922B06">
        <w:t>nalysis of the 16 females interviewed in depth to explore understandings of the effects of their family habitus and social networks identifi</w:t>
      </w:r>
      <w:r w:rsidR="00C62B63">
        <w:t xml:space="preserve">ed a </w:t>
      </w:r>
      <w:r w:rsidR="00DC0F38">
        <w:t>link</w:t>
      </w:r>
      <w:r w:rsidR="00C62B63">
        <w:t xml:space="preserve"> between mother</w:t>
      </w:r>
      <w:r w:rsidR="00922B06" w:rsidRPr="00922B06">
        <w:t>s</w:t>
      </w:r>
      <w:r w:rsidR="00C62B63">
        <w:t>’</w:t>
      </w:r>
      <w:r w:rsidR="00922B06" w:rsidRPr="00922B06">
        <w:t xml:space="preserve"> educational qualifications (especially university qualifications) and the university intentio</w:t>
      </w:r>
      <w:r w:rsidR="009D471F">
        <w:t>ns of participants</w:t>
      </w:r>
      <w:r w:rsidR="00C62B63">
        <w:t>. (S</w:t>
      </w:r>
      <w:r w:rsidR="00DC6D36">
        <w:t xml:space="preserve">ee </w:t>
      </w:r>
      <w:r w:rsidR="00C62B63">
        <w:t>appendix table A8</w:t>
      </w:r>
      <w:r w:rsidR="00DC0F38">
        <w:t>.</w:t>
      </w:r>
      <w:r w:rsidR="00922B06" w:rsidRPr="00922B06">
        <w:t>)</w:t>
      </w:r>
    </w:p>
    <w:p w:rsidR="00922B06" w:rsidRPr="00922B06" w:rsidRDefault="00922B06" w:rsidP="00922B06">
      <w:pPr>
        <w:pStyle w:val="Text"/>
      </w:pPr>
      <w:r w:rsidRPr="00922B06">
        <w:t>Mothers were particularly influential in the career aspirations and decisions of some of these young women. Missy (Eastshire) attributes her decision to study fitness to her childhood experience in and around the recreation centre where her mother still works: she is currently working part-time a</w:t>
      </w:r>
      <w:r w:rsidR="00DC6D36">
        <w:t xml:space="preserve">t that same recreation centre. </w:t>
      </w:r>
      <w:r w:rsidRPr="00922B06">
        <w:t>Jo (Eastshire) attributes her decision to undertake a visual arts diploma to her mother’s encouragement</w:t>
      </w:r>
      <w:r w:rsidR="007A3E8F">
        <w:t xml:space="preserve"> and a family habitus in which ‘</w:t>
      </w:r>
      <w:r w:rsidRPr="00922B06">
        <w:t>my fam</w:t>
      </w:r>
      <w:r w:rsidR="007A3E8F">
        <w:t>ily are all artists pretty much’</w:t>
      </w:r>
      <w:r w:rsidRPr="00922B06">
        <w:t>.</w:t>
      </w:r>
      <w:r w:rsidR="00D13A1E">
        <w:t xml:space="preserve"> </w:t>
      </w:r>
      <w:r w:rsidRPr="00922B06">
        <w:t>For other young women, their mother’s influence was more ambiguous. Simone was the only young woman aspiring to university whose mother did not have a university qualification, and her aspirations appeared to be formed despite her mother’s wishes. Her mother didn’t particularly want her to leave the area or to study: she wanted her to find a job locally. Instead, it was Simone’s father who encouraged her aspirations.</w:t>
      </w:r>
    </w:p>
    <w:p w:rsidR="00922B06" w:rsidRPr="00922B06" w:rsidRDefault="00922B06" w:rsidP="00922B06">
      <w:pPr>
        <w:pStyle w:val="Text"/>
      </w:pPr>
      <w:r w:rsidRPr="00922B06">
        <w:t>For other young women, family influences may discourage further study. This is particularly true in Westvale</w:t>
      </w:r>
      <w:r w:rsidR="00C62B63">
        <w:t>,</w:t>
      </w:r>
      <w:r w:rsidRPr="00922B06">
        <w:t xml:space="preserve"> where young women and men</w:t>
      </w:r>
      <w:r w:rsidR="00C62B63">
        <w:t xml:space="preserve"> may </w:t>
      </w:r>
      <w:r w:rsidR="00DC0F38" w:rsidRPr="00922B06">
        <w:t>both</w:t>
      </w:r>
      <w:r w:rsidR="00DC0F38">
        <w:t xml:space="preserve"> </w:t>
      </w:r>
      <w:r w:rsidR="00C62B63">
        <w:t>be discouraged from having aspirations</w:t>
      </w:r>
      <w:r w:rsidRPr="00922B06">
        <w:t xml:space="preserve">, as these teachers from one Westvale school observe: </w:t>
      </w:r>
    </w:p>
    <w:p w:rsidR="00922B06" w:rsidRPr="00922B06" w:rsidRDefault="00922B06" w:rsidP="00631598">
      <w:pPr>
        <w:pStyle w:val="Quote"/>
        <w:rPr>
          <w:lang w:val="en-US"/>
        </w:rPr>
      </w:pPr>
      <w:r w:rsidRPr="00922B06">
        <w:t>A</w:t>
      </w:r>
      <w:r w:rsidRPr="00922B06">
        <w:rPr>
          <w:lang w:val="en-US"/>
        </w:rPr>
        <w:t xml:space="preserve"> lot of the families don’t necessarily value education too well or they have had bad experiences themselves so they don’t necessarily put a high value on it for their kids</w:t>
      </w:r>
      <w:r w:rsidR="007A3E8F">
        <w:rPr>
          <w:lang w:val="en-US"/>
        </w:rPr>
        <w:t>.</w:t>
      </w:r>
    </w:p>
    <w:p w:rsidR="00922B06" w:rsidRPr="00922B06" w:rsidRDefault="006A0315" w:rsidP="00631598">
      <w:pPr>
        <w:pStyle w:val="Quote"/>
        <w:rPr>
          <w:lang w:val="en-US"/>
        </w:rPr>
      </w:pPr>
      <w:r>
        <w:rPr>
          <w:lang w:val="en-US"/>
        </w:rPr>
        <w:t>U</w:t>
      </w:r>
      <w:r w:rsidR="00922B06" w:rsidRPr="00922B06">
        <w:rPr>
          <w:lang w:val="en-US"/>
        </w:rPr>
        <w:t>sually kids will go with what they know because that’s all they know.</w:t>
      </w:r>
      <w:r w:rsidR="00D13A1E">
        <w:rPr>
          <w:lang w:val="en-US"/>
        </w:rPr>
        <w:t xml:space="preserve"> </w:t>
      </w:r>
      <w:r w:rsidR="00922B06" w:rsidRPr="00922B06">
        <w:rPr>
          <w:lang w:val="en-US"/>
        </w:rPr>
        <w:t>And if mum and dad didn’t go to university, then it’s not something that’s necessarily seen as the first option either.</w:t>
      </w:r>
    </w:p>
    <w:p w:rsidR="00922B06" w:rsidRPr="00922B06" w:rsidRDefault="00922B06" w:rsidP="00922B06">
      <w:pPr>
        <w:pStyle w:val="Text"/>
      </w:pPr>
      <w:r w:rsidRPr="00922B06">
        <w:t>For young women, however, the family habitus may have more specific outcomes</w:t>
      </w:r>
      <w:r w:rsidR="00DC0F38">
        <w:t>,</w:t>
      </w:r>
      <w:r w:rsidRPr="00922B06">
        <w:t xml:space="preserve"> limiting their horizons for education and employment: </w:t>
      </w:r>
    </w:p>
    <w:p w:rsidR="00922B06" w:rsidRPr="00922B06" w:rsidRDefault="00922B06" w:rsidP="00631598">
      <w:pPr>
        <w:pStyle w:val="Quote"/>
        <w:rPr>
          <w:lang w:val="en-US"/>
        </w:rPr>
      </w:pPr>
      <w:r w:rsidRPr="00922B06">
        <w:rPr>
          <w:lang w:val="en-US"/>
        </w:rPr>
        <w:t>We had a lot of stories around particularly young women not being encouraged from their own families to go onto university or higher education, because it was far more important for the</w:t>
      </w:r>
      <w:r w:rsidR="00204178">
        <w:rPr>
          <w:lang w:val="en-US"/>
        </w:rPr>
        <w:t>m to marry and have a family</w:t>
      </w:r>
      <w:r w:rsidR="007A3E8F">
        <w:rPr>
          <w:lang w:val="en-US"/>
        </w:rPr>
        <w:t xml:space="preserve"> …</w:t>
      </w:r>
      <w:r w:rsidR="00204178">
        <w:rPr>
          <w:lang w:val="en-US"/>
        </w:rPr>
        <w:t xml:space="preserve"> </w:t>
      </w:r>
      <w:r w:rsidRPr="00922B06">
        <w:rPr>
          <w:lang w:val="en-US"/>
        </w:rPr>
        <w:t xml:space="preserve">there's a lot </w:t>
      </w:r>
      <w:r w:rsidR="007A3E8F">
        <w:rPr>
          <w:lang w:val="en-US"/>
        </w:rPr>
        <w:t>of girls who get caught up in</w:t>
      </w:r>
      <w:r w:rsidR="00204178">
        <w:rPr>
          <w:lang w:val="en-US"/>
        </w:rPr>
        <w:t xml:space="preserve"> </w:t>
      </w:r>
      <w:r w:rsidR="007A3E8F">
        <w:rPr>
          <w:lang w:val="en-US"/>
        </w:rPr>
        <w:t>…</w:t>
      </w:r>
      <w:r w:rsidR="00204178">
        <w:rPr>
          <w:lang w:val="en-US"/>
        </w:rPr>
        <w:t xml:space="preserve"> </w:t>
      </w:r>
      <w:r w:rsidRPr="00922B06">
        <w:rPr>
          <w:lang w:val="en-US"/>
        </w:rPr>
        <w:t>having young families and having families young and then they just feel that they can't ever do anything different and that's a big issue in the valley</w:t>
      </w:r>
      <w:r w:rsidR="007A3E8F">
        <w:rPr>
          <w:lang w:val="en-US"/>
        </w:rPr>
        <w:t>.</w:t>
      </w:r>
      <w:r w:rsidR="00204178">
        <w:rPr>
          <w:lang w:val="en-US"/>
        </w:rPr>
        <w:tab/>
      </w:r>
      <w:r w:rsidRPr="00922B06">
        <w:rPr>
          <w:lang w:val="en-US"/>
        </w:rPr>
        <w:t>(</w:t>
      </w:r>
      <w:r w:rsidR="00204178">
        <w:rPr>
          <w:lang w:val="en-US"/>
        </w:rPr>
        <w:t>A</w:t>
      </w:r>
      <w:r w:rsidR="00613A60" w:rsidRPr="00922B06">
        <w:rPr>
          <w:lang w:val="en-US"/>
        </w:rPr>
        <w:t>cademic</w:t>
      </w:r>
      <w:r w:rsidRPr="00922B06">
        <w:rPr>
          <w:lang w:val="en-US"/>
        </w:rPr>
        <w:t>, Federation University)</w:t>
      </w:r>
    </w:p>
    <w:p w:rsidR="00922B06" w:rsidRPr="00922B06" w:rsidRDefault="00922B06" w:rsidP="00631598">
      <w:pPr>
        <w:pStyle w:val="Quote"/>
        <w:rPr>
          <w:lang w:val="en-US"/>
        </w:rPr>
      </w:pPr>
      <w:proofErr w:type="gramStart"/>
      <w:r w:rsidRPr="00922B06">
        <w:rPr>
          <w:lang w:val="en-US"/>
        </w:rPr>
        <w:t>There’s</w:t>
      </w:r>
      <w:proofErr w:type="gramEnd"/>
      <w:r w:rsidR="00F744FC">
        <w:rPr>
          <w:lang w:val="en-US"/>
        </w:rPr>
        <w:t xml:space="preserve"> quite a lot of young mothers. </w:t>
      </w:r>
      <w:r w:rsidRPr="00922B06">
        <w:rPr>
          <w:lang w:val="en-US"/>
        </w:rPr>
        <w:t xml:space="preserve">There’s a fair amount </w:t>
      </w:r>
      <w:r w:rsidR="00F744FC">
        <w:rPr>
          <w:lang w:val="en-US"/>
        </w:rPr>
        <w:t xml:space="preserve">of teenage parenting going on. </w:t>
      </w:r>
      <w:r w:rsidRPr="00922B06">
        <w:rPr>
          <w:lang w:val="en-US"/>
        </w:rPr>
        <w:t>But yeah, so the birth rate, it’s certainly higher than the Victorian average</w:t>
      </w:r>
      <w:r w:rsidR="00F744FC">
        <w:rPr>
          <w:lang w:val="en-US"/>
        </w:rPr>
        <w:t>.</w:t>
      </w:r>
      <w:r w:rsidR="00204178">
        <w:rPr>
          <w:lang w:val="en-US"/>
        </w:rPr>
        <w:tab/>
      </w:r>
      <w:r w:rsidR="00204178">
        <w:rPr>
          <w:lang w:val="en-US"/>
        </w:rPr>
        <w:tab/>
        <w:t>(S</w:t>
      </w:r>
      <w:r w:rsidR="00F744FC">
        <w:rPr>
          <w:lang w:val="en-US"/>
        </w:rPr>
        <w:t>taff member, Eastshire council)</w:t>
      </w:r>
    </w:p>
    <w:p w:rsidR="00922B06" w:rsidRPr="00922B06" w:rsidRDefault="00922B06" w:rsidP="00922B06">
      <w:pPr>
        <w:pStyle w:val="Text"/>
      </w:pPr>
      <w:r w:rsidRPr="00922B06">
        <w:t xml:space="preserve">Another key figure in the lives of many young women </w:t>
      </w:r>
      <w:r w:rsidR="00204178">
        <w:t xml:space="preserve">was their boyfriend or husband. </w:t>
      </w:r>
      <w:r w:rsidRPr="00922B06">
        <w:t>Some of these young women appear to draw encouragement and support from their partner, or, where this encouragement is lacking, have distanced themselves from that partner. Simone (</w:t>
      </w:r>
      <w:r w:rsidR="00204178">
        <w:t xml:space="preserve">aged </w:t>
      </w:r>
      <w:r w:rsidRPr="00922B06">
        <w:t>17) and Jessica B (</w:t>
      </w:r>
      <w:r w:rsidR="00204178">
        <w:t xml:space="preserve">aged </w:t>
      </w:r>
      <w:r w:rsidRPr="00922B06">
        <w:t>24) both ended relationships because their boyfriends were distracting them from their studies. For other young women, the presence of a partner has held them back somewhat from career decisions that they may otherwise have made. Joanna (Eastshire) describes her experience:</w:t>
      </w:r>
    </w:p>
    <w:p w:rsidR="00922B06" w:rsidRPr="00922B06" w:rsidRDefault="00922B06" w:rsidP="00631598">
      <w:pPr>
        <w:pStyle w:val="Quote"/>
        <w:rPr>
          <w:lang w:val="en-US"/>
        </w:rPr>
      </w:pPr>
      <w:r w:rsidRPr="00922B06">
        <w:rPr>
          <w:lang w:val="en-US"/>
        </w:rPr>
        <w:t>I’m still with the same boyfriend I had when I was 16 and that’s been quite an influential factor because I’m not just going to leave for four years and he wanted to study here which he couldn’t find the avenues to do so, so he hasn’t actually studied yet. So that was something that I took into consideration was that I wanted to stay here for those reasons as well. So I guess he wasn’t influential in expanding my education but he was influential in the decisions that I made.</w:t>
      </w:r>
    </w:p>
    <w:p w:rsidR="00922B06" w:rsidRPr="00922B06" w:rsidRDefault="00922B06" w:rsidP="00167167">
      <w:pPr>
        <w:pStyle w:val="Heading3"/>
      </w:pPr>
      <w:bookmarkStart w:id="102" w:name="_Toc253925152"/>
      <w:r w:rsidRPr="00922B06">
        <w:lastRenderedPageBreak/>
        <w:t>Finding 11: The influence of local traditions and the school</w:t>
      </w:r>
      <w:bookmarkEnd w:id="102"/>
    </w:p>
    <w:p w:rsidR="00922B06" w:rsidRPr="00922B06" w:rsidRDefault="00922B06" w:rsidP="00922B06">
      <w:pPr>
        <w:pStyle w:val="Text"/>
      </w:pPr>
      <w:r w:rsidRPr="00922B06">
        <w:t>Our discussions with some young people also illustrate the wider educational habitus that influences some yo</w:t>
      </w:r>
      <w:r w:rsidR="00FF4BA0">
        <w:t>ung people’s future aspirations</w:t>
      </w:r>
      <w:r w:rsidRPr="00922B06">
        <w:t xml:space="preserve">. For young people in the school in the main regional centre in Eastshire who aspire to university qualifications, including those who would be the first in their families to attend university, there appeared to be a particular importance and desirability attached to university study as well as an expectation from school and family that they would embark on such study: </w:t>
      </w:r>
    </w:p>
    <w:p w:rsidR="00922B06" w:rsidRPr="00922B06" w:rsidRDefault="00922B06" w:rsidP="00631598">
      <w:pPr>
        <w:pStyle w:val="Quote"/>
        <w:rPr>
          <w:lang w:val="en-US"/>
        </w:rPr>
      </w:pPr>
      <w:r w:rsidRPr="00922B06">
        <w:rPr>
          <w:lang w:val="en-US"/>
        </w:rPr>
        <w:t>When I first finished high school there was a lot of pr</w:t>
      </w:r>
      <w:r w:rsidR="00204178">
        <w:rPr>
          <w:lang w:val="en-US"/>
        </w:rPr>
        <w:t>essure: ‘</w:t>
      </w:r>
      <w:r w:rsidRPr="00922B06">
        <w:rPr>
          <w:lang w:val="en-US"/>
        </w:rPr>
        <w:t xml:space="preserve">You need to go to </w:t>
      </w:r>
      <w:r w:rsidR="00632595">
        <w:rPr>
          <w:lang w:val="en-US"/>
        </w:rPr>
        <w:t>U</w:t>
      </w:r>
      <w:r w:rsidRPr="00922B06">
        <w:rPr>
          <w:lang w:val="en-US"/>
        </w:rPr>
        <w:t xml:space="preserve">ni. You need to go to </w:t>
      </w:r>
      <w:r w:rsidR="00632595">
        <w:rPr>
          <w:lang w:val="en-US"/>
        </w:rPr>
        <w:t>U</w:t>
      </w:r>
      <w:r w:rsidRPr="00922B06">
        <w:rPr>
          <w:lang w:val="en-US"/>
        </w:rPr>
        <w:t xml:space="preserve">ni. You’re not going to get a job anywhere </w:t>
      </w:r>
      <w:r w:rsidR="00204178">
        <w:rPr>
          <w:lang w:val="en-US"/>
        </w:rPr>
        <w:t>if you [don’t] go to university’</w:t>
      </w:r>
      <w:r w:rsidR="00167167">
        <w:rPr>
          <w:lang w:val="en-US"/>
        </w:rPr>
        <w:t>.</w:t>
      </w:r>
      <w:r w:rsidR="00204178">
        <w:rPr>
          <w:lang w:val="en-US"/>
        </w:rPr>
        <w:tab/>
      </w:r>
      <w:r w:rsidR="00204178">
        <w:rPr>
          <w:lang w:val="en-US"/>
        </w:rPr>
        <w:tab/>
      </w:r>
      <w:r w:rsidR="00204178">
        <w:rPr>
          <w:lang w:val="en-US"/>
        </w:rPr>
        <w:tab/>
      </w:r>
      <w:r w:rsidRPr="00922B06">
        <w:rPr>
          <w:lang w:val="en-US"/>
        </w:rPr>
        <w:t xml:space="preserve">(Joanna, </w:t>
      </w:r>
      <w:proofErr w:type="spellStart"/>
      <w:r w:rsidRPr="00922B06">
        <w:rPr>
          <w:lang w:val="en-US"/>
        </w:rPr>
        <w:t>Eastshire</w:t>
      </w:r>
      <w:proofErr w:type="spellEnd"/>
      <w:r w:rsidRPr="00922B06">
        <w:rPr>
          <w:lang w:val="en-US"/>
        </w:rPr>
        <w:t>)</w:t>
      </w:r>
    </w:p>
    <w:p w:rsidR="00922B06" w:rsidRPr="00922B06" w:rsidRDefault="006A0315" w:rsidP="00631598">
      <w:pPr>
        <w:pStyle w:val="Quote"/>
        <w:rPr>
          <w:lang w:val="en-US"/>
        </w:rPr>
      </w:pPr>
      <w:r>
        <w:rPr>
          <w:lang w:val="en-US"/>
        </w:rPr>
        <w:t>B</w:t>
      </w:r>
      <w:r w:rsidR="00204178">
        <w:rPr>
          <w:lang w:val="en-US"/>
        </w:rPr>
        <w:t>ecause all I was hearing was, ‘</w:t>
      </w:r>
      <w:r w:rsidR="00922B06" w:rsidRPr="00922B06">
        <w:rPr>
          <w:lang w:val="en-US"/>
        </w:rPr>
        <w:t>you’ve got to go to uni</w:t>
      </w:r>
      <w:r w:rsidR="00204178">
        <w:rPr>
          <w:lang w:val="en-US"/>
        </w:rPr>
        <w:t>versity, to do this, to do that’</w:t>
      </w:r>
      <w:r w:rsidR="00922B06" w:rsidRPr="00922B06">
        <w:rPr>
          <w:lang w:val="en-US"/>
        </w:rPr>
        <w:t>, to survive</w:t>
      </w:r>
      <w:r w:rsidR="00167167">
        <w:rPr>
          <w:lang w:val="en-US"/>
        </w:rPr>
        <w:t xml:space="preserve"> really</w:t>
      </w:r>
      <w:r w:rsidR="00204178">
        <w:rPr>
          <w:lang w:val="en-US"/>
        </w:rPr>
        <w:t xml:space="preserve"> </w:t>
      </w:r>
      <w:r w:rsidR="00167167">
        <w:rPr>
          <w:lang w:val="en-US"/>
        </w:rPr>
        <w:t>…</w:t>
      </w:r>
      <w:r w:rsidR="00204178">
        <w:rPr>
          <w:lang w:val="en-US"/>
        </w:rPr>
        <w:t xml:space="preserve"> </w:t>
      </w:r>
      <w:r w:rsidR="00922B06" w:rsidRPr="00922B06">
        <w:rPr>
          <w:lang w:val="en-US"/>
        </w:rPr>
        <w:t>I just I didn’t think I’d be able to live without going to Uni. And so that has put a lot of stress on my schooling and hom</w:t>
      </w:r>
      <w:r w:rsidR="00204178">
        <w:rPr>
          <w:lang w:val="en-US"/>
        </w:rPr>
        <w:t>e life, because I’m just like, ‘</w:t>
      </w:r>
      <w:r w:rsidR="00922B06" w:rsidRPr="00922B06">
        <w:rPr>
          <w:lang w:val="en-US"/>
        </w:rPr>
        <w:t xml:space="preserve">well what am I going to </w:t>
      </w:r>
      <w:r w:rsidR="00204178">
        <w:rPr>
          <w:lang w:val="en-US"/>
        </w:rPr>
        <w:t>do if I don’t pass my subjects?’</w:t>
      </w:r>
      <w:r w:rsidR="00922B06" w:rsidRPr="00922B06">
        <w:rPr>
          <w:lang w:val="en-US"/>
        </w:rPr>
        <w:t xml:space="preserve"> I had difficulty with that</w:t>
      </w:r>
      <w:r w:rsidR="00167167">
        <w:rPr>
          <w:lang w:val="en-US"/>
        </w:rPr>
        <w:t>.</w:t>
      </w:r>
      <w:r w:rsidR="00204178">
        <w:rPr>
          <w:lang w:val="en-US"/>
        </w:rPr>
        <w:tab/>
      </w:r>
      <w:r w:rsidR="00922B06" w:rsidRPr="00922B06">
        <w:rPr>
          <w:lang w:val="en-US"/>
        </w:rPr>
        <w:t>(Meg, E</w:t>
      </w:r>
      <w:r w:rsidR="00167167">
        <w:rPr>
          <w:lang w:val="en-US"/>
        </w:rPr>
        <w:t>astshire)</w:t>
      </w:r>
    </w:p>
    <w:p w:rsidR="00922B06" w:rsidRPr="00922B06" w:rsidRDefault="00922B06" w:rsidP="00922B06">
      <w:pPr>
        <w:pStyle w:val="Text"/>
      </w:pPr>
      <w:r w:rsidRPr="00922B06">
        <w:t>Missy from Eastshire expresses an active regret that she did not accompany her friends to university:</w:t>
      </w:r>
    </w:p>
    <w:p w:rsidR="00922B06" w:rsidRPr="00922B06" w:rsidRDefault="00922B06" w:rsidP="00631598">
      <w:pPr>
        <w:pStyle w:val="Quote"/>
        <w:rPr>
          <w:b/>
          <w:lang w:val="en-US"/>
        </w:rPr>
      </w:pPr>
      <w:r w:rsidRPr="00922B06">
        <w:rPr>
          <w:lang w:val="en-US"/>
        </w:rPr>
        <w:t xml:space="preserve">I talk to all my friends now because they’re still at </w:t>
      </w:r>
      <w:r w:rsidR="00632595">
        <w:rPr>
          <w:lang w:val="en-US"/>
        </w:rPr>
        <w:t>U</w:t>
      </w:r>
      <w:r w:rsidRPr="00922B06">
        <w:rPr>
          <w:lang w:val="en-US"/>
        </w:rPr>
        <w:t>ni. They’re in their final year and they just don’t regre</w:t>
      </w:r>
      <w:r w:rsidR="00204178">
        <w:rPr>
          <w:lang w:val="en-US"/>
        </w:rPr>
        <w:t>t it at all. They’re just like ‘</w:t>
      </w:r>
      <w:r w:rsidRPr="00922B06">
        <w:rPr>
          <w:lang w:val="en-US"/>
        </w:rPr>
        <w:t>It’s the final year. I ca</w:t>
      </w:r>
      <w:r w:rsidR="00204178">
        <w:rPr>
          <w:lang w:val="en-US"/>
        </w:rPr>
        <w:t>n’t believe that I’ve done this’. I’m just like ‘I wish I’d done that’</w:t>
      </w:r>
      <w:r w:rsidRPr="00922B06">
        <w:rPr>
          <w:lang w:val="en-US"/>
        </w:rPr>
        <w:t>. So now I’m at the stage where I’m looking online: can I do an online university course or should I go now while they’re in their last year?</w:t>
      </w:r>
    </w:p>
    <w:p w:rsidR="00922B06" w:rsidRPr="00922B06" w:rsidRDefault="00922B06" w:rsidP="00922B06">
      <w:pPr>
        <w:pStyle w:val="Text"/>
      </w:pPr>
      <w:r w:rsidRPr="00922B06">
        <w:t>For Mason, however, the pull of the local neighbourhood exerts a stronger infl</w:t>
      </w:r>
      <w:r w:rsidR="00167167">
        <w:t>uence than these expectations: ‘</w:t>
      </w:r>
      <w:r w:rsidRPr="00922B06">
        <w:t>there was pressure from the high school to go to university, but it was not something I wanted to do because I didn’t want to lea</w:t>
      </w:r>
      <w:r w:rsidR="00167167">
        <w:t>ve this sort of hub around here’</w:t>
      </w:r>
      <w:r w:rsidRPr="00922B06">
        <w:t>.</w:t>
      </w:r>
    </w:p>
    <w:p w:rsidR="00922B06" w:rsidRPr="00922B06" w:rsidRDefault="00922B06" w:rsidP="00632595">
      <w:pPr>
        <w:pStyle w:val="Text"/>
      </w:pPr>
      <w:r w:rsidRPr="00922B06">
        <w:t>In Northtown and Southland, too, the ‘</w:t>
      </w:r>
      <w:r w:rsidR="00167167">
        <w:t>educational habitus’ was mixed.</w:t>
      </w:r>
      <w:r w:rsidRPr="00922B06">
        <w:t xml:space="preserve"> For some young people in Southland attending a socially mixed school with relatively high numbers progressing to university, for </w:t>
      </w:r>
      <w:r w:rsidR="00DC0F38">
        <w:t>example,</w:t>
      </w:r>
      <w:r w:rsidRPr="00922B06">
        <w:t xml:space="preserve"> Jessica B, university study is </w:t>
      </w:r>
      <w:r w:rsidR="00204178">
        <w:t xml:space="preserve">the expected </w:t>
      </w:r>
      <w:r w:rsidR="00167167">
        <w:t>norm: ‘</w:t>
      </w:r>
      <w:r w:rsidRPr="00922B06">
        <w:t xml:space="preserve">Well, pretty much all my friends went to </w:t>
      </w:r>
      <w:r w:rsidR="00632595">
        <w:t>U</w:t>
      </w:r>
      <w:r w:rsidRPr="00922B06">
        <w:t>ni</w:t>
      </w:r>
      <w:r w:rsidR="00632595">
        <w:t xml:space="preserve"> and my sister also went to U</w:t>
      </w:r>
      <w:r w:rsidR="00167167">
        <w:t>ni’. In Northtown, where the p</w:t>
      </w:r>
      <w:r w:rsidRPr="00922B06">
        <w:t>rincipals claimed that school cultures had changed significantly over the past ten years, a number of the school students we interviewed attending local high schools also identified their aspirations for university study, although they expressed this as a personal ambition in which the school supported them, rather than a normal pathway from the school. T</w:t>
      </w:r>
      <w:r w:rsidR="008D7935">
        <w:t>his was perhaps because</w:t>
      </w:r>
      <w:r w:rsidR="00DC0F38">
        <w:t>,</w:t>
      </w:r>
      <w:r w:rsidR="008D7935">
        <w:t xml:space="preserve"> as the p</w:t>
      </w:r>
      <w:r w:rsidRPr="00922B06">
        <w:t xml:space="preserve">rincipal of this </w:t>
      </w:r>
      <w:r w:rsidR="00167167">
        <w:t>school i</w:t>
      </w:r>
      <w:r w:rsidR="006A0315">
        <w:t>nformed us, there is 40 per cent</w:t>
      </w:r>
      <w:r w:rsidRPr="00922B06">
        <w:t xml:space="preserve"> youth unemployment in this area and considerable intergenerational poverty and unemployment. The young men we interviewed at Northtown TAFE provided different insights into the lives of other young people in this neighbourhood. </w:t>
      </w:r>
      <w:r w:rsidR="00167167">
        <w:t>Three</w:t>
      </w:r>
      <w:r w:rsidRPr="00922B06">
        <w:t xml:space="preserve"> had left school at an early age following a poor experience of high school, as </w:t>
      </w:r>
      <w:r w:rsidR="006A0315">
        <w:t>one of them describes</w:t>
      </w:r>
      <w:r w:rsidRPr="00922B06">
        <w:t>:</w:t>
      </w:r>
    </w:p>
    <w:p w:rsidR="00922B06" w:rsidRPr="00922B06" w:rsidRDefault="00922B06" w:rsidP="00631598">
      <w:pPr>
        <w:pStyle w:val="Quote"/>
        <w:rPr>
          <w:lang w:val="en-US"/>
        </w:rPr>
      </w:pPr>
      <w:r w:rsidRPr="00922B06">
        <w:rPr>
          <w:lang w:val="en-US"/>
        </w:rPr>
        <w:t>Me, I got kicked out in Year 9, ou</w:t>
      </w:r>
      <w:r w:rsidR="00167167">
        <w:rPr>
          <w:lang w:val="en-US"/>
        </w:rPr>
        <w:t>t of high school, Year 9, yeah.</w:t>
      </w:r>
      <w:r w:rsidRPr="00922B06">
        <w:rPr>
          <w:lang w:val="en-US"/>
        </w:rPr>
        <w:t xml:space="preserve"> I sort of got kicked out for a bit of violence, been a bit of, </w:t>
      </w:r>
      <w:r w:rsidR="00167167">
        <w:rPr>
          <w:lang w:val="en-US"/>
        </w:rPr>
        <w:t>yeah.</w:t>
      </w:r>
      <w:r w:rsidR="00D13A1E">
        <w:rPr>
          <w:lang w:val="en-US"/>
        </w:rPr>
        <w:t xml:space="preserve"> </w:t>
      </w:r>
      <w:r w:rsidR="00167167">
        <w:rPr>
          <w:lang w:val="en-US"/>
        </w:rPr>
        <w:t xml:space="preserve">School, wagging. </w:t>
      </w:r>
      <w:r w:rsidRPr="00922B06">
        <w:rPr>
          <w:lang w:val="en-US"/>
        </w:rPr>
        <w:t>It was only because I couldn’t do half th</w:t>
      </w:r>
      <w:r w:rsidR="00167167">
        <w:rPr>
          <w:lang w:val="en-US"/>
        </w:rPr>
        <w:t xml:space="preserve">e work the teachers </w:t>
      </w:r>
      <w:r w:rsidR="008D7935">
        <w:rPr>
          <w:lang w:val="en-US"/>
        </w:rPr>
        <w:t xml:space="preserve">handed me. I’m dyslexic myself </w:t>
      </w:r>
      <w:r w:rsidR="00167167">
        <w:rPr>
          <w:lang w:val="en-US"/>
        </w:rPr>
        <w:t>…</w:t>
      </w:r>
      <w:r w:rsidR="008D7935">
        <w:rPr>
          <w:lang w:val="en-US"/>
        </w:rPr>
        <w:t xml:space="preserve"> </w:t>
      </w:r>
      <w:r w:rsidRPr="00922B06">
        <w:rPr>
          <w:lang w:val="en-US"/>
        </w:rPr>
        <w:t>I was a hea</w:t>
      </w:r>
      <w:r w:rsidR="00167167">
        <w:rPr>
          <w:lang w:val="en-US"/>
        </w:rPr>
        <w:t xml:space="preserve">ps good kid in primary school. </w:t>
      </w:r>
      <w:r w:rsidRPr="00922B06">
        <w:rPr>
          <w:lang w:val="en-US"/>
        </w:rPr>
        <w:t>I was on the s</w:t>
      </w:r>
      <w:r w:rsidR="00167167">
        <w:rPr>
          <w:lang w:val="en-US"/>
        </w:rPr>
        <w:t>tudent council and everything.</w:t>
      </w:r>
    </w:p>
    <w:p w:rsidR="00922B06" w:rsidRPr="00922B06" w:rsidRDefault="00922B06" w:rsidP="00922B06">
      <w:pPr>
        <w:pStyle w:val="Text"/>
      </w:pPr>
      <w:r w:rsidRPr="00922B06">
        <w:t>A number of the school participants, however, identified the supportive environ</w:t>
      </w:r>
      <w:r w:rsidR="002D4D4E">
        <w:t xml:space="preserve">ment provided by their school. </w:t>
      </w:r>
      <w:r w:rsidRPr="00922B06">
        <w:t>Simone (Westvale) was full of praise for her school, describing several instances where teachers ha</w:t>
      </w:r>
      <w:r w:rsidR="008D7935">
        <w:t>d</w:t>
      </w:r>
      <w:r w:rsidRPr="00922B06">
        <w:t xml:space="preserve"> supported her in her career aspirations in the </w:t>
      </w:r>
      <w:r w:rsidR="008D7935">
        <w:t>context</w:t>
      </w:r>
      <w:r w:rsidRPr="00922B06">
        <w:t xml:space="preserve"> of classes where many students did not want to continue with study:</w:t>
      </w:r>
    </w:p>
    <w:p w:rsidR="00922B06" w:rsidRPr="00922B06" w:rsidRDefault="006A0315" w:rsidP="00631598">
      <w:pPr>
        <w:pStyle w:val="Quote"/>
        <w:rPr>
          <w:lang w:val="en-US"/>
        </w:rPr>
      </w:pPr>
      <w:r>
        <w:rPr>
          <w:lang w:val="en-US"/>
        </w:rPr>
        <w:t>T</w:t>
      </w:r>
      <w:r w:rsidR="00922B06" w:rsidRPr="00922B06">
        <w:rPr>
          <w:lang w:val="en-US"/>
        </w:rPr>
        <w:t xml:space="preserve">he teachers know </w:t>
      </w:r>
      <w:r w:rsidR="00FF4BA0">
        <w:rPr>
          <w:lang w:val="en-US"/>
        </w:rPr>
        <w:t xml:space="preserve">[those] </w:t>
      </w:r>
      <w:r w:rsidR="00922B06" w:rsidRPr="00922B06">
        <w:rPr>
          <w:lang w:val="en-US"/>
        </w:rPr>
        <w:t xml:space="preserve">who want to do well, it </w:t>
      </w:r>
      <w:r w:rsidR="008D7935">
        <w:rPr>
          <w:lang w:val="en-US"/>
        </w:rPr>
        <w:t>was evident in my English class</w:t>
      </w:r>
      <w:r w:rsidR="00922B06" w:rsidRPr="00922B06">
        <w:rPr>
          <w:lang w:val="en-US"/>
        </w:rPr>
        <w:t xml:space="preserve"> … A group of us were dying to get to </w:t>
      </w:r>
      <w:r w:rsidR="00632595">
        <w:rPr>
          <w:lang w:val="en-US"/>
        </w:rPr>
        <w:t>U</w:t>
      </w:r>
      <w:r w:rsidR="00922B06" w:rsidRPr="00922B06">
        <w:rPr>
          <w:lang w:val="en-US"/>
        </w:rPr>
        <w:t>ni and wanted to push ourselves</w:t>
      </w:r>
      <w:r w:rsidR="008D7935">
        <w:rPr>
          <w:lang w:val="en-US"/>
        </w:rPr>
        <w:t xml:space="preserve"> up [but] there were four guys — the rowdy </w:t>
      </w:r>
      <w:r w:rsidR="008D7935">
        <w:rPr>
          <w:lang w:val="en-US"/>
        </w:rPr>
        <w:lastRenderedPageBreak/>
        <w:t>sporty ones —</w:t>
      </w:r>
      <w:r w:rsidR="00922B06" w:rsidRPr="00922B06">
        <w:rPr>
          <w:lang w:val="en-US"/>
        </w:rPr>
        <w:t xml:space="preserve"> who didn’t give a crap about school, there wa</w:t>
      </w:r>
      <w:r w:rsidR="008D7935">
        <w:rPr>
          <w:lang w:val="en-US"/>
        </w:rPr>
        <w:t>s [</w:t>
      </w:r>
      <w:r w:rsidR="008D7935" w:rsidRPr="008D7935">
        <w:rPr>
          <w:i/>
          <w:lang w:val="en-US"/>
        </w:rPr>
        <w:t>sic</w:t>
      </w:r>
      <w:r w:rsidR="008D7935">
        <w:rPr>
          <w:lang w:val="en-US"/>
        </w:rPr>
        <w:t>] students who rarely turned up</w:t>
      </w:r>
      <w:r w:rsidR="00922B06" w:rsidRPr="00922B06">
        <w:rPr>
          <w:lang w:val="en-US"/>
        </w:rPr>
        <w:t>, students that did turn up and just wouldn’t listen and I suppose the teacher focused on the group that I put myself in the most, like he still interacted with everyone, he got along with the guys a lot, but he was welcome to help us a</w:t>
      </w:r>
      <w:r w:rsidR="008D7935">
        <w:rPr>
          <w:lang w:val="en-US"/>
        </w:rPr>
        <w:t>nd he was more supportive of us.</w:t>
      </w:r>
    </w:p>
    <w:p w:rsidR="00922B06" w:rsidRPr="00922B06" w:rsidRDefault="00922B06" w:rsidP="00922B06">
      <w:pPr>
        <w:pStyle w:val="Text"/>
      </w:pPr>
      <w:r w:rsidRPr="00922B06">
        <w:t>At another school in Northtown, students spoke highly of the careers program held on Monday mornings and of the support of particular teachers. For James (</w:t>
      </w:r>
      <w:r w:rsidR="008D7935">
        <w:t xml:space="preserve">aged </w:t>
      </w:r>
      <w:r w:rsidRPr="00922B06">
        <w:t>16, Northtown) it was the positive fe</w:t>
      </w:r>
      <w:r w:rsidR="008D7935">
        <w:t xml:space="preserve">edback from one of his teachers, who </w:t>
      </w:r>
      <w:r w:rsidRPr="00922B06">
        <w:t>prais</w:t>
      </w:r>
      <w:r w:rsidR="008D7935">
        <w:t>ed</w:t>
      </w:r>
      <w:r w:rsidRPr="00922B06">
        <w:t xml:space="preserve"> his </w:t>
      </w:r>
      <w:r w:rsidR="008D7935">
        <w:t>ability in</w:t>
      </w:r>
      <w:r w:rsidRPr="00922B06">
        <w:t xml:space="preserve"> his subject</w:t>
      </w:r>
      <w:r w:rsidR="00DC0F38">
        <w:t>,</w:t>
      </w:r>
      <w:r w:rsidRPr="00922B06">
        <w:t xml:space="preserve"> that sparked his imagination and gave him the confidence to realise that he could follow his interest in finance and </w:t>
      </w:r>
      <w:r w:rsidR="002D4D4E">
        <w:t>commerce through to university.</w:t>
      </w:r>
    </w:p>
    <w:p w:rsidR="00922B06" w:rsidRPr="00922B06" w:rsidRDefault="00922B06" w:rsidP="00922B06">
      <w:pPr>
        <w:pStyle w:val="Text"/>
      </w:pPr>
      <w:r w:rsidRPr="009D3BED">
        <w:t xml:space="preserve">Interviews with the principals </w:t>
      </w:r>
      <w:r w:rsidR="009D3BED" w:rsidRPr="009D3BED">
        <w:t>and other key staff supporting young people’s transitions in</w:t>
      </w:r>
      <w:r w:rsidRPr="009D3BED">
        <w:t xml:space="preserve"> all six schools</w:t>
      </w:r>
      <w:r w:rsidRPr="00922B06">
        <w:t xml:space="preserve"> attended by the young people interviewed also revealed the changing dynamics of the contexts in which these people had studied or were studying and the current school focus on developing a culture that values educational participation. All these </w:t>
      </w:r>
      <w:r w:rsidR="00FF4BA0">
        <w:t xml:space="preserve">schools are in areas of </w:t>
      </w:r>
      <w:r w:rsidR="0021491D">
        <w:t xml:space="preserve">socioeconomic </w:t>
      </w:r>
      <w:r w:rsidR="00FF4BA0">
        <w:t xml:space="preserve">disadvantage </w:t>
      </w:r>
      <w:r w:rsidRPr="00922B06">
        <w:t xml:space="preserve">and in some cases struggle with limited resources. For example, in the more socially mixed area of Eastshire one small </w:t>
      </w:r>
      <w:r w:rsidR="008D7935">
        <w:t>under-resourced school</w:t>
      </w:r>
      <w:r w:rsidRPr="00922B06">
        <w:t xml:space="preserve"> was not only </w:t>
      </w:r>
      <w:r w:rsidR="006A0315">
        <w:t>having to cope</w:t>
      </w:r>
      <w:r w:rsidRPr="00922B06">
        <w:t xml:space="preserve"> with a diminishing population and pressures on remaining staff but also had to contend with the ‘cream skimming’ </w:t>
      </w:r>
      <w:r w:rsidR="002D4D4E">
        <w:t xml:space="preserve">activities of private schools. </w:t>
      </w:r>
      <w:r w:rsidRPr="00922B06">
        <w:t>This problem was particularly acute in this small town in the remote east of East</w:t>
      </w:r>
      <w:r w:rsidR="002D4D4E">
        <w:t>shire, as the principal stated</w:t>
      </w:r>
      <w:r w:rsidR="008D7935">
        <w:t>:</w:t>
      </w:r>
      <w:r w:rsidR="002D4D4E">
        <w:t xml:space="preserve"> ‘</w:t>
      </w:r>
      <w:r w:rsidRPr="00922B06">
        <w:t>There’s a little bit of a trend starting to emerge of kids leaving after Year 7, 8 to go to private schools</w:t>
      </w:r>
      <w:r w:rsidR="008D7935">
        <w:t>’</w:t>
      </w:r>
      <w:r w:rsidRPr="00922B06">
        <w:t>.</w:t>
      </w:r>
      <w:r w:rsidR="00FF4BA0">
        <w:t xml:space="preserve"> </w:t>
      </w:r>
      <w:r w:rsidR="006506BB">
        <w:t>This</w:t>
      </w:r>
      <w:r w:rsidR="00FF4BA0">
        <w:t xml:space="preserve"> trend </w:t>
      </w:r>
      <w:r w:rsidR="006506BB">
        <w:t xml:space="preserve">of the flight by the more able and mobile </w:t>
      </w:r>
      <w:r w:rsidR="00FF4BA0">
        <w:t>has the potential to undermine further resource allocations</w:t>
      </w:r>
      <w:r w:rsidR="006506BB">
        <w:t xml:space="preserve"> and </w:t>
      </w:r>
      <w:r w:rsidR="008D7935">
        <w:t xml:space="preserve">the </w:t>
      </w:r>
      <w:r w:rsidR="006506BB">
        <w:t>opportunities schools can provide for those in more disadvantaged circumstances.</w:t>
      </w:r>
    </w:p>
    <w:p w:rsidR="00922B06" w:rsidRPr="00922B06" w:rsidRDefault="00922B06" w:rsidP="00922B06">
      <w:pPr>
        <w:pStyle w:val="Text"/>
      </w:pPr>
      <w:r w:rsidRPr="00922B06">
        <w:t>Consequently</w:t>
      </w:r>
      <w:r w:rsidR="008D7935">
        <w:t>,</w:t>
      </w:r>
      <w:r w:rsidRPr="00922B06">
        <w:t xml:space="preserve"> this </w:t>
      </w:r>
      <w:r w:rsidR="006506BB">
        <w:t xml:space="preserve">Eastshire </w:t>
      </w:r>
      <w:r w:rsidRPr="00922B06">
        <w:t xml:space="preserve">school found it more difficult to shift the local family culture of </w:t>
      </w:r>
      <w:r w:rsidR="008D7935">
        <w:t xml:space="preserve">the </w:t>
      </w:r>
      <w:r w:rsidRPr="00922B06">
        <w:t xml:space="preserve">remaining students into valuing </w:t>
      </w:r>
      <w:r w:rsidR="00D230DC">
        <w:t>post-school</w:t>
      </w:r>
      <w:r w:rsidRPr="00922B06">
        <w:t xml:space="preserve"> educational participation; university progression was relatively low, students often deferred places and the average ATAR score </w:t>
      </w:r>
      <w:r w:rsidR="008D7935" w:rsidRPr="00922B06">
        <w:t xml:space="preserve">last year </w:t>
      </w:r>
      <w:r w:rsidRPr="00922B06">
        <w:t>was 65. The school also struggled to maintain a comprehensive range of subjects</w:t>
      </w:r>
      <w:r w:rsidR="00E60A90">
        <w:t>,</w:t>
      </w:r>
      <w:r w:rsidRPr="00922B06">
        <w:t xml:space="preserve"> but with combined classes and video conferen</w:t>
      </w:r>
      <w:r w:rsidR="002D4D4E">
        <w:t>cing, the principal feels that ‘</w:t>
      </w:r>
      <w:r w:rsidRPr="00922B06">
        <w:t>it’s all compromised, but better t</w:t>
      </w:r>
      <w:r w:rsidR="002D4D4E">
        <w:t>han distance education</w:t>
      </w:r>
      <w:r w:rsidR="008D7935">
        <w:t>’</w:t>
      </w:r>
      <w:r w:rsidR="002D4D4E">
        <w:t>.</w:t>
      </w:r>
    </w:p>
    <w:p w:rsidR="00922B06" w:rsidRPr="00922B06" w:rsidRDefault="00922B06" w:rsidP="00922B06">
      <w:pPr>
        <w:pStyle w:val="Text"/>
      </w:pPr>
      <w:r w:rsidRPr="00922B06">
        <w:t>In contrast, the Southland school</w:t>
      </w:r>
      <w:r w:rsidR="008D7935">
        <w:t>,</w:t>
      </w:r>
      <w:r w:rsidRPr="00922B06">
        <w:t xml:space="preserve"> also locat</w:t>
      </w:r>
      <w:r w:rsidR="00BB2A6C">
        <w:t>ed in an area of poor transport</w:t>
      </w:r>
      <w:r w:rsidR="008D7935">
        <w:t>,</w:t>
      </w:r>
      <w:r w:rsidRPr="00922B06">
        <w:t xml:space="preserve"> </w:t>
      </w:r>
      <w:r w:rsidR="00BB2A6C">
        <w:t xml:space="preserve">has a school bus </w:t>
      </w:r>
      <w:r w:rsidR="00381F2C">
        <w:t>service that is essential to</w:t>
      </w:r>
      <w:r w:rsidR="00BB2A6C">
        <w:t xml:space="preserve"> </w:t>
      </w:r>
      <w:r w:rsidR="00381F2C">
        <w:t xml:space="preserve">those living in the </w:t>
      </w:r>
      <w:r w:rsidR="00BB2A6C">
        <w:t>very dispersed poorer neighbourhoods.</w:t>
      </w:r>
      <w:r w:rsidR="00D13A1E">
        <w:t xml:space="preserve"> </w:t>
      </w:r>
      <w:r w:rsidR="00381F2C">
        <w:t>Moreover, as the area’s population is increasing, it</w:t>
      </w:r>
      <w:r w:rsidRPr="00922B06">
        <w:t xml:space="preserve"> is also </w:t>
      </w:r>
      <w:r w:rsidR="00BB2A6C">
        <w:t xml:space="preserve">becoming </w:t>
      </w:r>
      <w:r w:rsidRPr="00922B06">
        <w:t>more socially mixed</w:t>
      </w:r>
      <w:r w:rsidR="00BB2A6C">
        <w:t xml:space="preserve">, </w:t>
      </w:r>
      <w:r w:rsidR="00381F2C">
        <w:t xml:space="preserve">resulting in </w:t>
      </w:r>
      <w:r w:rsidR="00BB2A6C">
        <w:t>this school</w:t>
      </w:r>
      <w:r w:rsidR="00381F2C">
        <w:t xml:space="preserve"> becoming</w:t>
      </w:r>
      <w:r w:rsidRPr="00922B06">
        <w:t xml:space="preserve"> </w:t>
      </w:r>
      <w:r w:rsidR="00381F2C">
        <w:t xml:space="preserve">very popular among </w:t>
      </w:r>
      <w:r w:rsidR="00BB2A6C">
        <w:t xml:space="preserve">the locals from </w:t>
      </w:r>
      <w:r w:rsidR="008D7935">
        <w:t xml:space="preserve">the </w:t>
      </w:r>
      <w:r w:rsidRPr="00922B06">
        <w:t>poor</w:t>
      </w:r>
      <w:r w:rsidR="00BB2A6C">
        <w:t xml:space="preserve">er </w:t>
      </w:r>
      <w:r w:rsidR="00381F2C">
        <w:t xml:space="preserve">areas </w:t>
      </w:r>
      <w:r w:rsidR="00E60A90">
        <w:t xml:space="preserve">that </w:t>
      </w:r>
      <w:r w:rsidR="00381F2C">
        <w:t>the bus serves</w:t>
      </w:r>
      <w:r w:rsidR="006506BB">
        <w:t>,</w:t>
      </w:r>
      <w:r w:rsidRPr="00922B06">
        <w:t xml:space="preserve"> as well as </w:t>
      </w:r>
      <w:r w:rsidR="00BB2A6C">
        <w:t xml:space="preserve">those from </w:t>
      </w:r>
      <w:r w:rsidR="002D4D4E">
        <w:t>the more affluent families: ‘</w:t>
      </w:r>
      <w:r w:rsidR="008D7935">
        <w:t>We certainly are a people’</w:t>
      </w:r>
      <w:r w:rsidRPr="00922B06">
        <w:t xml:space="preserve">s school of </w:t>
      </w:r>
      <w:r w:rsidR="002D4D4E">
        <w:t>fi</w:t>
      </w:r>
      <w:r w:rsidR="008D7935">
        <w:t>rst choice in the local area’ (P</w:t>
      </w:r>
      <w:r w:rsidRPr="00922B06">
        <w:t>rincipal</w:t>
      </w:r>
      <w:r w:rsidR="002D4D4E">
        <w:t>,</w:t>
      </w:r>
      <w:r w:rsidRPr="00922B06">
        <w:t xml:space="preserve"> Southland). School numbers have doubled in the past t</w:t>
      </w:r>
      <w:r w:rsidR="002D4D4E">
        <w:t>wo years</w:t>
      </w:r>
      <w:r w:rsidR="006A0315">
        <w:t>, a high proportion (80 per cent</w:t>
      </w:r>
      <w:r w:rsidR="008D7935">
        <w:t>) of the Y</w:t>
      </w:r>
      <w:r w:rsidRPr="00922B06">
        <w:t xml:space="preserve">ear 12 cohort are progressing to higher education and links have been </w:t>
      </w:r>
      <w:r w:rsidR="006A0315">
        <w:t xml:space="preserve">established </w:t>
      </w:r>
      <w:r w:rsidRPr="00922B06">
        <w:t>with an int</w:t>
      </w:r>
      <w:r w:rsidR="00365445">
        <w:t>erstate Group of Eight research-</w:t>
      </w:r>
      <w:r w:rsidRPr="00922B06">
        <w:t>intensive university, thereby opening up very different pathways to university from t</w:t>
      </w:r>
      <w:r w:rsidR="002D4D4E">
        <w:t>he other schools in the study</w:t>
      </w:r>
      <w:r w:rsidR="00E60A90">
        <w:t>.</w:t>
      </w:r>
    </w:p>
    <w:p w:rsidR="00922B06" w:rsidRPr="00922B06" w:rsidRDefault="00922B06" w:rsidP="00922B06">
      <w:pPr>
        <w:pStyle w:val="Text"/>
      </w:pPr>
      <w:r w:rsidRPr="00922B06">
        <w:t>Nevertheless</w:t>
      </w:r>
      <w:r w:rsidR="00365445">
        <w:t>,</w:t>
      </w:r>
      <w:r w:rsidRPr="00922B06">
        <w:t xml:space="preserve"> all </w:t>
      </w:r>
      <w:r w:rsidR="00365445">
        <w:t xml:space="preserve">of the </w:t>
      </w:r>
      <w:r w:rsidRPr="00922B06">
        <w:t>schools identified that school retention rates in both states have increased</w:t>
      </w:r>
      <w:r w:rsidR="00365445">
        <w:t xml:space="preserve"> due to the presence of VET in S</w:t>
      </w:r>
      <w:r w:rsidRPr="00922B06">
        <w:t xml:space="preserve">chools, which now affords </w:t>
      </w:r>
      <w:r w:rsidR="00365445">
        <w:t>many</w:t>
      </w:r>
      <w:r w:rsidRPr="00922B06">
        <w:t xml:space="preserve"> more opportunities, particularly for those students who prefer applied learning. In Northtown there was strong evidence that the two schools </w:t>
      </w:r>
      <w:r w:rsidR="00E60A90">
        <w:t>investigated</w:t>
      </w:r>
      <w:r w:rsidRPr="00922B06">
        <w:t xml:space="preserve"> were able to change both </w:t>
      </w:r>
      <w:r w:rsidR="00365445">
        <w:t xml:space="preserve">the </w:t>
      </w:r>
      <w:r w:rsidRPr="00922B06">
        <w:t xml:space="preserve">school and local cultures </w:t>
      </w:r>
      <w:r w:rsidR="00365445">
        <w:t>by</w:t>
      </w:r>
      <w:r w:rsidRPr="00922B06">
        <w:t xml:space="preserve"> working together in providing access to a broad VET curriculum and in changing staffing cultures, employing more newly qualified young staff and developing a culture of staff living in the area and showing a commitment to t</w:t>
      </w:r>
      <w:r w:rsidR="00365445">
        <w:t>he community. For example, the p</w:t>
      </w:r>
      <w:r w:rsidRPr="00922B06">
        <w:t xml:space="preserve">rincipal of one of the </w:t>
      </w:r>
      <w:r w:rsidR="006506BB">
        <w:t>Northtown schools</w:t>
      </w:r>
      <w:r w:rsidR="002D4D4E">
        <w:t xml:space="preserve"> commented:</w:t>
      </w:r>
    </w:p>
    <w:p w:rsidR="00922B06" w:rsidRPr="00922B06" w:rsidRDefault="00922B06" w:rsidP="00631598">
      <w:pPr>
        <w:pStyle w:val="Quote"/>
      </w:pPr>
      <w:r w:rsidRPr="00922B06">
        <w:t xml:space="preserve">Ten years ago we really had a dysfunctional school with a staff that was very staff centric and students were just an afterthought really and we’ve kind of changed that around but that’s really </w:t>
      </w:r>
      <w:r w:rsidRPr="00922B06">
        <w:lastRenderedPageBreak/>
        <w:t>through a rejuvenation of the staffing and leadership and changing some structures and pretty much had an 8</w:t>
      </w:r>
      <w:r w:rsidR="00365445">
        <w:t>0—</w:t>
      </w:r>
      <w:r w:rsidR="002D4D4E">
        <w:t>90</w:t>
      </w:r>
      <w:r w:rsidR="003241F8">
        <w:t xml:space="preserve">% </w:t>
      </w:r>
      <w:r w:rsidRPr="00922B06">
        <w:t>staff turnover in that ten years</w:t>
      </w:r>
      <w:r w:rsidR="00365445">
        <w:t xml:space="preserve"> </w:t>
      </w:r>
      <w:r w:rsidRPr="00922B06">
        <w:t>…</w:t>
      </w:r>
      <w:r w:rsidR="00365445">
        <w:t xml:space="preserve"> </w:t>
      </w:r>
      <w:r w:rsidRPr="00922B06">
        <w:t>The kids are valuing the place very differently and a lot of that’s got to do with the relationship with the adults, it’s got a lot to do with the sort of courses we’re offering, the relevance of the curriculum and I think the kids are really, I think it’s really about feeling valued and participating more in their education than they ever would’ve.</w:t>
      </w:r>
    </w:p>
    <w:p w:rsidR="00922B06" w:rsidRPr="00922B06" w:rsidRDefault="00922B06" w:rsidP="00922B06">
      <w:pPr>
        <w:pStyle w:val="Text"/>
      </w:pPr>
      <w:r w:rsidRPr="00922B06">
        <w:t>All principals identified a number of specific initiatives to redress the problem of young people and the</w:t>
      </w:r>
      <w:r w:rsidR="00365445">
        <w:t>ir</w:t>
      </w:r>
      <w:r w:rsidRPr="00922B06">
        <w:t xml:space="preserve"> families having</w:t>
      </w:r>
      <w:r w:rsidR="00365445">
        <w:t xml:space="preserve"> little knowledge or experience</w:t>
      </w:r>
      <w:r w:rsidRPr="00922B06">
        <w:t xml:space="preserve"> of university education and other </w:t>
      </w:r>
      <w:r w:rsidR="00D230DC">
        <w:t>post-school</w:t>
      </w:r>
      <w:r w:rsidRPr="00922B06">
        <w:t xml:space="preserve"> education pathways and </w:t>
      </w:r>
      <w:r w:rsidR="00E60A90">
        <w:t xml:space="preserve">consequently </w:t>
      </w:r>
      <w:r w:rsidRPr="00922B06">
        <w:t xml:space="preserve">leaving </w:t>
      </w:r>
      <w:r w:rsidR="00365445">
        <w:t xml:space="preserve">the </w:t>
      </w:r>
      <w:r w:rsidRPr="00922B06">
        <w:t>educational decision</w:t>
      </w:r>
      <w:r w:rsidR="00365445">
        <w:t>-</w:t>
      </w:r>
      <w:r w:rsidR="002D4D4E">
        <w:t>making up to the young person.</w:t>
      </w:r>
    </w:p>
    <w:p w:rsidR="00922B06" w:rsidRPr="00922B06" w:rsidRDefault="00922B06" w:rsidP="00631598">
      <w:pPr>
        <w:pStyle w:val="Quote"/>
      </w:pPr>
      <w:r w:rsidRPr="00922B06">
        <w:t>Many of the kids that I deal with</w:t>
      </w:r>
      <w:r w:rsidR="00365445">
        <w:t>,</w:t>
      </w:r>
      <w:r w:rsidRPr="00922B06">
        <w:t xml:space="preserve"> some of the parents have never even set foot on a university before and wouldn't have any idea how a university is structured, how they go about paying for it, what's expected of the child to get to university, what's expected of the parents.</w:t>
      </w:r>
      <w:r w:rsidR="00D13A1E">
        <w:t xml:space="preserve"> </w:t>
      </w:r>
      <w:r w:rsidRPr="00922B06">
        <w:t>So it is really breaking down all of that information that they need to obtain in order to be able to go forward.</w:t>
      </w:r>
      <w:r w:rsidR="00D13A1E">
        <w:t xml:space="preserve"> </w:t>
      </w:r>
      <w:r w:rsidRPr="00922B06">
        <w:t>When you</w:t>
      </w:r>
      <w:r w:rsidR="00365445">
        <w:t>'re talking about incentives it’</w:t>
      </w:r>
      <w:r w:rsidRPr="00922B06">
        <w:t>s a little bit hard to pinpoint it as a</w:t>
      </w:r>
      <w:r w:rsidR="00365445">
        <w:t>ny incentive as such because it’</w:t>
      </w:r>
      <w:r w:rsidRPr="00922B06">
        <w:t xml:space="preserve">s more so based on the personal choice of what the child wants </w:t>
      </w:r>
      <w:r w:rsidR="00365445">
        <w:t>to do.</w:t>
      </w:r>
      <w:r w:rsidR="00365445">
        <w:tab/>
      </w:r>
      <w:r w:rsidR="00365445">
        <w:tab/>
      </w:r>
      <w:r w:rsidR="00365445">
        <w:tab/>
      </w:r>
      <w:r w:rsidRPr="00922B06">
        <w:t>(Spokesperson for Access initiatives, Group of Eight University)</w:t>
      </w:r>
    </w:p>
    <w:p w:rsidR="00922B06" w:rsidRPr="00922B06" w:rsidRDefault="00010510" w:rsidP="00922B06">
      <w:pPr>
        <w:pStyle w:val="Text"/>
      </w:pPr>
      <w:r w:rsidRPr="00922B06">
        <w:t>The schools claimed to provide excellent support to the students in term</w:t>
      </w:r>
      <w:r>
        <w:t xml:space="preserve">s of information </w:t>
      </w:r>
      <w:r w:rsidR="00365445">
        <w:t xml:space="preserve">on </w:t>
      </w:r>
      <w:r>
        <w:t>post-</w:t>
      </w:r>
      <w:r w:rsidRPr="00922B06">
        <w:t>school options. Career counsellors, apprenticeship brokers, transition leaders, visits to expos and universities, connections with TAFE</w:t>
      </w:r>
      <w:r w:rsidR="00365445">
        <w:t xml:space="preserve"> institute</w:t>
      </w:r>
      <w:r w:rsidRPr="00922B06">
        <w:t>s, working on plac</w:t>
      </w:r>
      <w:r>
        <w:t>ements with local employers</w:t>
      </w:r>
      <w:r w:rsidR="00365445">
        <w:t>,</w:t>
      </w:r>
      <w:r>
        <w:t xml:space="preserve"> for example,</w:t>
      </w:r>
      <w:r w:rsidRPr="00922B06">
        <w:t xml:space="preserve"> were all facilities provided by the schools. </w:t>
      </w:r>
      <w:r>
        <w:t>Other</w:t>
      </w:r>
      <w:r w:rsidR="00922B06" w:rsidRPr="00922B06">
        <w:t xml:space="preserve"> strategies adopted </w:t>
      </w:r>
      <w:r w:rsidR="006506BB">
        <w:t xml:space="preserve">by schools to increase post-school aspirations </w:t>
      </w:r>
      <w:r w:rsidR="00922B06" w:rsidRPr="00922B06">
        <w:t>ranged from</w:t>
      </w:r>
      <w:r w:rsidR="00E60A90">
        <w:t xml:space="preserve"> the</w:t>
      </w:r>
      <w:r w:rsidR="00922B06" w:rsidRPr="00922B06">
        <w:t xml:space="preserve"> ‘case managem</w:t>
      </w:r>
      <w:r w:rsidR="00365445">
        <w:t>ent’ of Y</w:t>
      </w:r>
      <w:r w:rsidR="00922B06" w:rsidRPr="00922B06">
        <w:t>ear</w:t>
      </w:r>
      <w:r w:rsidR="00365445">
        <w:t>s</w:t>
      </w:r>
      <w:r w:rsidR="00922B06" w:rsidRPr="00922B06">
        <w:t xml:space="preserve"> 11 and 12 by a senior management team, to seeking connections with regional</w:t>
      </w:r>
      <w:r>
        <w:t xml:space="preserve"> campuses of universities</w:t>
      </w:r>
      <w:r w:rsidR="00922B06" w:rsidRPr="00922B06">
        <w:t>, develop</w:t>
      </w:r>
      <w:r w:rsidR="00365445">
        <w:t>ing personal learning plans in Y</w:t>
      </w:r>
      <w:r w:rsidR="00922B06" w:rsidRPr="00922B06">
        <w:t xml:space="preserve">ear 10, bringing </w:t>
      </w:r>
      <w:r w:rsidR="00B97A1F">
        <w:t xml:space="preserve">in </w:t>
      </w:r>
      <w:r w:rsidR="00922B06" w:rsidRPr="00922B06">
        <w:t>speakers from TAFE and universities</w:t>
      </w:r>
      <w:r w:rsidR="00E60A90">
        <w:t>,</w:t>
      </w:r>
      <w:r w:rsidR="00922B06" w:rsidRPr="00922B06">
        <w:t xml:space="preserve"> and co</w:t>
      </w:r>
      <w:r w:rsidR="002D4D4E">
        <w:t xml:space="preserve">nnecting with local employers. </w:t>
      </w:r>
      <w:r w:rsidR="00922B06" w:rsidRPr="00922B06">
        <w:t xml:space="preserve">However, it was interesting to note that the </w:t>
      </w:r>
      <w:r w:rsidR="006506BB">
        <w:t xml:space="preserve">progression </w:t>
      </w:r>
      <w:r w:rsidR="00922B06" w:rsidRPr="00922B06">
        <w:t xml:space="preserve">pathways </w:t>
      </w:r>
      <w:r w:rsidR="006506BB" w:rsidRPr="00922B06">
        <w:t>developed</w:t>
      </w:r>
      <w:r w:rsidR="006506BB">
        <w:t xml:space="preserve"> </w:t>
      </w:r>
      <w:r w:rsidR="00922B06" w:rsidRPr="00922B06">
        <w:t>to TAFE</w:t>
      </w:r>
      <w:r w:rsidR="00365445">
        <w:t xml:space="preserve"> institute</w:t>
      </w:r>
      <w:r w:rsidR="00922B06" w:rsidRPr="00922B06">
        <w:t>s and universities tended to rei</w:t>
      </w:r>
      <w:r w:rsidR="006506BB">
        <w:t>nforce progression to recruiting, rather than selecting</w:t>
      </w:r>
      <w:r w:rsidR="00E60A90">
        <w:t>,</w:t>
      </w:r>
      <w:r w:rsidR="00922B06" w:rsidRPr="00922B06">
        <w:t xml:space="preserve"> institutions and </w:t>
      </w:r>
      <w:r w:rsidR="006506BB">
        <w:t xml:space="preserve">to institutions that were local and </w:t>
      </w:r>
      <w:r w:rsidR="00922B06" w:rsidRPr="00922B06">
        <w:t>familiar</w:t>
      </w:r>
      <w:r w:rsidR="006506BB">
        <w:t xml:space="preserve"> to staff and students</w:t>
      </w:r>
      <w:r w:rsidR="00B97A1F">
        <w:t>, and l</w:t>
      </w:r>
      <w:r w:rsidR="00365445">
        <w:t>argely these were non-</w:t>
      </w:r>
      <w:r w:rsidR="00B97A1F">
        <w:t>metropolitan</w:t>
      </w:r>
      <w:r w:rsidR="00922B06" w:rsidRPr="00922B06">
        <w:t xml:space="preserve">. </w:t>
      </w:r>
      <w:r w:rsidR="00E60A90">
        <w:t xml:space="preserve">In addition to </w:t>
      </w:r>
      <w:r w:rsidR="006506BB">
        <w:t xml:space="preserve">the practices of schools that encouraged progression to local institutions, many </w:t>
      </w:r>
      <w:r w:rsidR="00922B06" w:rsidRPr="00922B06">
        <w:t>young people’s source</w:t>
      </w:r>
      <w:r w:rsidR="006A0315">
        <w:t>s</w:t>
      </w:r>
      <w:r w:rsidR="00922B06" w:rsidRPr="00922B06">
        <w:t xml:space="preserve"> of information about universities and colleges </w:t>
      </w:r>
      <w:r>
        <w:t>also reinf</w:t>
      </w:r>
      <w:r w:rsidR="006506BB">
        <w:t xml:space="preserve">orced the idea of staying local. </w:t>
      </w:r>
      <w:r>
        <w:t xml:space="preserve">Apart from what they found out through school, young people </w:t>
      </w:r>
      <w:r w:rsidR="00922B06" w:rsidRPr="00922B06">
        <w:t xml:space="preserve">derived </w:t>
      </w:r>
      <w:r>
        <w:t xml:space="preserve">most of their ideas about post-school education </w:t>
      </w:r>
      <w:r w:rsidR="00B97A1F">
        <w:t xml:space="preserve">from </w:t>
      </w:r>
      <w:r w:rsidR="00922B06" w:rsidRPr="00922B06">
        <w:t xml:space="preserve">informal sources </w:t>
      </w:r>
      <w:r w:rsidR="00B97A1F">
        <w:t xml:space="preserve">such as </w:t>
      </w:r>
      <w:r w:rsidR="00922B06" w:rsidRPr="00922B06">
        <w:t>their parents, siblings and other family members or friends</w:t>
      </w:r>
      <w:r>
        <w:t>, who also had</w:t>
      </w:r>
      <w:r w:rsidR="00922B06" w:rsidRPr="00922B06">
        <w:t xml:space="preserve"> limited experiences of higher education, </w:t>
      </w:r>
      <w:r>
        <w:t xml:space="preserve">and perhaps had had negative experiences of schooling. Thus an information cycle of reinforcement about the limited horizons for post-school education and training developed from </w:t>
      </w:r>
      <w:r w:rsidR="00B97A1F">
        <w:t xml:space="preserve">interactions in </w:t>
      </w:r>
      <w:r>
        <w:t>young people’s famil</w:t>
      </w:r>
      <w:r w:rsidR="00B97A1F">
        <w:t xml:space="preserve">ies </w:t>
      </w:r>
      <w:r>
        <w:t>and social networks. W</w:t>
      </w:r>
      <w:r w:rsidR="00922B06" w:rsidRPr="00922B06">
        <w:t xml:space="preserve">hen schools also supported connections with the local providers rather than to more </w:t>
      </w:r>
      <w:r>
        <w:t xml:space="preserve">distant </w:t>
      </w:r>
      <w:r w:rsidR="00922B06" w:rsidRPr="00922B06">
        <w:t xml:space="preserve">metropolitan universities, the students who did consider university were typically guided to </w:t>
      </w:r>
      <w:r w:rsidR="00B97A1F">
        <w:t xml:space="preserve">choose </w:t>
      </w:r>
      <w:r w:rsidR="00922B06" w:rsidRPr="00922B06">
        <w:t>l</w:t>
      </w:r>
      <w:r>
        <w:t>ocal l</w:t>
      </w:r>
      <w:r w:rsidR="00DD1CB5">
        <w:t>ower-</w:t>
      </w:r>
      <w:r>
        <w:t>ATAR entry</w:t>
      </w:r>
      <w:r w:rsidR="00922B06" w:rsidRPr="00922B06">
        <w:t xml:space="preserve"> institutions and lower professional vocations.</w:t>
      </w:r>
    </w:p>
    <w:p w:rsidR="00922B06" w:rsidRPr="00922B06" w:rsidRDefault="006A0315" w:rsidP="00922B06">
      <w:pPr>
        <w:pStyle w:val="Text"/>
      </w:pPr>
      <w:r>
        <w:t>I</w:t>
      </w:r>
      <w:r w:rsidR="00922B06" w:rsidRPr="00922B06">
        <w:t>t was</w:t>
      </w:r>
      <w:r>
        <w:t xml:space="preserve"> also</w:t>
      </w:r>
      <w:r w:rsidR="00922B06" w:rsidRPr="00922B06">
        <w:t xml:space="preserve"> interesting to note some differences between states. In </w:t>
      </w:r>
      <w:proofErr w:type="spellStart"/>
      <w:r w:rsidR="00922B06" w:rsidRPr="00922B06">
        <w:t>Northtown</w:t>
      </w:r>
      <w:proofErr w:type="spellEnd"/>
      <w:r w:rsidR="00922B06" w:rsidRPr="00922B06">
        <w:t xml:space="preserve"> and Southland</w:t>
      </w:r>
      <w:r>
        <w:t xml:space="preserve"> in South Australia</w:t>
      </w:r>
      <w:r w:rsidR="00922B06" w:rsidRPr="00922B06">
        <w:t xml:space="preserve">, </w:t>
      </w:r>
      <w:r w:rsidR="002A1A83">
        <w:t xml:space="preserve">schools, the local council, </w:t>
      </w:r>
      <w:r w:rsidR="00DD1CB5">
        <w:t>state government departments</w:t>
      </w:r>
      <w:r w:rsidR="002A1A83">
        <w:t>,</w:t>
      </w:r>
      <w:r w:rsidR="00B97A1F">
        <w:t xml:space="preserve"> </w:t>
      </w:r>
      <w:r w:rsidR="002A1A83">
        <w:t>the TAFE</w:t>
      </w:r>
      <w:r w:rsidR="00922B06" w:rsidRPr="00922B06">
        <w:t xml:space="preserve"> </w:t>
      </w:r>
      <w:r w:rsidR="00DD1CB5">
        <w:t xml:space="preserve">institute </w:t>
      </w:r>
      <w:r w:rsidR="002A1A83">
        <w:t xml:space="preserve">and some of the university campuses </w:t>
      </w:r>
      <w:r w:rsidR="00922B06" w:rsidRPr="00922B06">
        <w:t>all worked closel</w:t>
      </w:r>
      <w:r w:rsidR="00EC7B2C">
        <w:t>y with a wide range of non-</w:t>
      </w:r>
      <w:r w:rsidR="00922B06" w:rsidRPr="00922B06">
        <w:t>government organisations to support disaffected and</w:t>
      </w:r>
      <w:r w:rsidR="00B97A1F">
        <w:t xml:space="preserve"> disengaged or truanting school-</w:t>
      </w:r>
      <w:r w:rsidR="00922B06" w:rsidRPr="00922B06">
        <w:t>aged students</w:t>
      </w:r>
      <w:r w:rsidR="002A1A83">
        <w:t xml:space="preserve"> and encourage post-school education and training pathways</w:t>
      </w:r>
      <w:r w:rsidR="00922B06" w:rsidRPr="00922B06">
        <w:t>. In ide</w:t>
      </w:r>
      <w:r w:rsidR="002A1A83">
        <w:t xml:space="preserve">ntifying </w:t>
      </w:r>
      <w:r w:rsidR="00922B06" w:rsidRPr="00922B06">
        <w:t xml:space="preserve">stakeholders </w:t>
      </w:r>
      <w:r w:rsidR="002A1A83">
        <w:t xml:space="preserve">in these areas </w:t>
      </w:r>
      <w:r w:rsidR="00922B06" w:rsidRPr="00922B06">
        <w:t xml:space="preserve">we invariably found ourselves being referred </w:t>
      </w:r>
      <w:r w:rsidR="00DD1CB5">
        <w:t>by</w:t>
      </w:r>
      <w:r w:rsidR="002A1A83">
        <w:t xml:space="preserve"> one organisation to another</w:t>
      </w:r>
      <w:r w:rsidR="00922B06" w:rsidRPr="00922B06">
        <w:t>. S</w:t>
      </w:r>
      <w:r>
        <w:t xml:space="preserve">takeholders in </w:t>
      </w:r>
      <w:proofErr w:type="spellStart"/>
      <w:r>
        <w:t>Northtown</w:t>
      </w:r>
      <w:proofErr w:type="spellEnd"/>
      <w:r>
        <w:t xml:space="preserve"> and </w:t>
      </w:r>
      <w:r w:rsidR="00922B06" w:rsidRPr="00922B06">
        <w:t>Southland knew each other well and had identified specific partnership strategies to address their local needs. In contrast, in regional and r</w:t>
      </w:r>
      <w:r w:rsidR="00B97A1F">
        <w:t>ural Victoria</w:t>
      </w:r>
      <w:r w:rsidR="00DD1CB5">
        <w:t>,</w:t>
      </w:r>
      <w:r w:rsidR="00B97A1F">
        <w:t xml:space="preserve"> where distances w</w:t>
      </w:r>
      <w:r w:rsidR="00922B06" w:rsidRPr="00922B06">
        <w:t xml:space="preserve">ere much greater, stakeholders identified </w:t>
      </w:r>
      <w:r w:rsidR="00922B06" w:rsidRPr="00922B06">
        <w:lastRenderedPageBreak/>
        <w:t>the difficulties of distance from specific organ</w:t>
      </w:r>
      <w:r w:rsidR="001535A3">
        <w:t>is</w:t>
      </w:r>
      <w:r w:rsidR="00922B06" w:rsidRPr="00922B06">
        <w:t xml:space="preserve">ations such as the regional offices </w:t>
      </w:r>
      <w:r>
        <w:t>of</w:t>
      </w:r>
      <w:r w:rsidR="00922B06" w:rsidRPr="00922B06">
        <w:t xml:space="preserve"> </w:t>
      </w:r>
      <w:r w:rsidR="00DD1CB5">
        <w:t>the state e</w:t>
      </w:r>
      <w:r w:rsidR="001535A3">
        <w:t>ducation department.</w:t>
      </w:r>
      <w:r w:rsidR="00922B06" w:rsidRPr="00922B06">
        <w:t xml:space="preserve"> </w:t>
      </w:r>
      <w:r w:rsidR="00B97A1F">
        <w:t>I</w:t>
      </w:r>
      <w:r w:rsidR="00922B06" w:rsidRPr="00922B06">
        <w:t xml:space="preserve">t was </w:t>
      </w:r>
      <w:r w:rsidR="00B97A1F">
        <w:t xml:space="preserve">also </w:t>
      </w:r>
      <w:r w:rsidR="00922B06" w:rsidRPr="00922B06">
        <w:t xml:space="preserve">interesting to note </w:t>
      </w:r>
      <w:r w:rsidR="00DD1CB5">
        <w:t xml:space="preserve">that </w:t>
      </w:r>
      <w:r w:rsidR="00B97A1F">
        <w:t xml:space="preserve">in Victoria there was </w:t>
      </w:r>
      <w:r w:rsidR="00922B06" w:rsidRPr="00922B06">
        <w:t xml:space="preserve">some dissent between schools and other </w:t>
      </w:r>
      <w:r w:rsidR="001535A3">
        <w:t>organis</w:t>
      </w:r>
      <w:r w:rsidR="00922B06" w:rsidRPr="00922B06">
        <w:t xml:space="preserve">ations in </w:t>
      </w:r>
      <w:r w:rsidR="002A1A83">
        <w:t xml:space="preserve">the </w:t>
      </w:r>
      <w:r w:rsidR="00922B06" w:rsidRPr="00922B06">
        <w:t>education</w:t>
      </w:r>
      <w:r w:rsidR="002A1A83">
        <w:t xml:space="preserve"> field</w:t>
      </w:r>
      <w:r w:rsidR="00922B06" w:rsidRPr="00922B06">
        <w:t>, and some stakeholders specifically questioned the value of eac</w:t>
      </w:r>
      <w:r w:rsidR="00DD1CB5">
        <w:t>h other’s activities, with one p</w:t>
      </w:r>
      <w:r w:rsidR="00922B06" w:rsidRPr="00922B06">
        <w:t>rincipal questioning the r</w:t>
      </w:r>
      <w:r>
        <w:t>ole of specific non-government</w:t>
      </w:r>
      <w:r w:rsidR="00922B06" w:rsidRPr="00922B06">
        <w:t xml:space="preserve"> organisations and some of these organisations questioning the expertise of some schools in </w:t>
      </w:r>
      <w:r w:rsidR="00EC7B2C">
        <w:t>relation to career counselling.</w:t>
      </w:r>
      <w:r w:rsidR="00B97A1F">
        <w:t xml:space="preserve"> </w:t>
      </w:r>
      <w:r w:rsidR="00922B06" w:rsidRPr="00922B06">
        <w:t>Nevertheless</w:t>
      </w:r>
      <w:r w:rsidR="00DD1CB5">
        <w:t>,</w:t>
      </w:r>
      <w:r w:rsidR="00922B06" w:rsidRPr="00922B06">
        <w:t xml:space="preserve"> t</w:t>
      </w:r>
      <w:r w:rsidR="00381F2C">
        <w:t>he universal opinion of school</w:t>
      </w:r>
      <w:r w:rsidR="00922B06" w:rsidRPr="00922B06">
        <w:t xml:space="preserve"> principals </w:t>
      </w:r>
      <w:r w:rsidR="00DD1CB5">
        <w:t>in both s</w:t>
      </w:r>
      <w:r w:rsidR="002A1A83">
        <w:t xml:space="preserve">tates </w:t>
      </w:r>
      <w:r w:rsidR="00922B06" w:rsidRPr="00922B06">
        <w:t>was that schools were vital in shaping a student’s future pathways and the government ne</w:t>
      </w:r>
      <w:r w:rsidR="00EC7B2C">
        <w:t>eded to provide better support.</w:t>
      </w:r>
    </w:p>
    <w:p w:rsidR="00922B06" w:rsidRPr="00922B06" w:rsidRDefault="00922B06" w:rsidP="00B14CEC">
      <w:pPr>
        <w:pStyle w:val="Heading2"/>
      </w:pPr>
      <w:bookmarkStart w:id="103" w:name="_Toc253925153"/>
      <w:bookmarkStart w:id="104" w:name="_Toc409079381"/>
      <w:r w:rsidRPr="00922B06">
        <w:t>Critical events and disruptions</w:t>
      </w:r>
      <w:bookmarkStart w:id="105" w:name="_Toc251771706"/>
      <w:bookmarkEnd w:id="103"/>
      <w:bookmarkEnd w:id="104"/>
    </w:p>
    <w:p w:rsidR="00922B06" w:rsidRPr="00922B06" w:rsidRDefault="00922B06" w:rsidP="00EC7B2C">
      <w:pPr>
        <w:pStyle w:val="Heading3"/>
      </w:pPr>
      <w:bookmarkStart w:id="106" w:name="_Toc253925154"/>
      <w:r w:rsidRPr="00922B06">
        <w:t>Finding 12: Early career and work experiences</w:t>
      </w:r>
      <w:bookmarkEnd w:id="105"/>
      <w:bookmarkEnd w:id="106"/>
      <w:r w:rsidRPr="00922B06">
        <w:t xml:space="preserve"> </w:t>
      </w:r>
    </w:p>
    <w:p w:rsidR="00922B06" w:rsidRPr="00922B06" w:rsidRDefault="00922B06" w:rsidP="00922B06">
      <w:pPr>
        <w:pStyle w:val="Text"/>
      </w:pPr>
      <w:r w:rsidRPr="00922B06">
        <w:t>Aspirations developed at an early age are important in predicting the post-school destinations of young people (Johnson et al</w:t>
      </w:r>
      <w:r w:rsidR="00EC7B2C">
        <w:t>.</w:t>
      </w:r>
      <w:r w:rsidRPr="00922B06">
        <w:t xml:space="preserve"> 2014). In this context, work experience can be a crucial ‘critical incident’ in terms of young people’s decision-making and horizons of aspiration. A number of school student participants described their Year 10 work experience as a positive influence in framing their career choices. </w:t>
      </w:r>
      <w:r w:rsidR="007216F1" w:rsidRPr="007216F1">
        <w:t>LM</w:t>
      </w:r>
      <w:r w:rsidRPr="007216F1">
        <w:t>, from Westvale, for example, described his Year 10 experience of working in an electrical business and his desire to undertake an electrical apprentices</w:t>
      </w:r>
      <w:r w:rsidR="00EC7B2C" w:rsidRPr="007216F1">
        <w:t>hip: ‘</w:t>
      </w:r>
      <w:r w:rsidRPr="007216F1">
        <w:t>in Year 10 I had a family friend who had an electrical business so I went and did work experience with him and then just sin</w:t>
      </w:r>
      <w:r w:rsidR="00EC7B2C" w:rsidRPr="007216F1">
        <w:t>ce then I’ve wanted to do that</w:t>
      </w:r>
      <w:r w:rsidR="00DD1CB5">
        <w:t>’.</w:t>
      </w:r>
      <w:r w:rsidR="007216F1" w:rsidRPr="007216F1">
        <w:t xml:space="preserve"> </w:t>
      </w:r>
      <w:r w:rsidRPr="007216F1">
        <w:t>L</w:t>
      </w:r>
      <w:r w:rsidR="007216F1" w:rsidRPr="007216F1">
        <w:t>M</w:t>
      </w:r>
      <w:r w:rsidRPr="007216F1">
        <w:t>’s friend B</w:t>
      </w:r>
      <w:r w:rsidR="007216F1" w:rsidRPr="007216F1">
        <w:t>C</w:t>
      </w:r>
      <w:r w:rsidRPr="00922B06">
        <w:t xml:space="preserve"> also chose work experience in the field of work of his dad and brother: </w:t>
      </w:r>
    </w:p>
    <w:p w:rsidR="00922B06" w:rsidRPr="00922B06" w:rsidRDefault="00922B06" w:rsidP="00631598">
      <w:pPr>
        <w:pStyle w:val="Quote"/>
      </w:pPr>
      <w:r w:rsidRPr="00922B06">
        <w:t>My brother is a qualified builder and it just seems like a good lifestyle and that, being outside and everything, and it seems good. It’s just something I’ve always wanted to do and it’s what my dad does, so</w:t>
      </w:r>
      <w:r w:rsidR="00DD1CB5">
        <w:t xml:space="preserve"> </w:t>
      </w:r>
      <w:r w:rsidRPr="00922B06">
        <w:t>…</w:t>
      </w:r>
      <w:r w:rsidR="00DD1CB5">
        <w:t xml:space="preserve"> </w:t>
      </w:r>
      <w:r w:rsidRPr="00922B06">
        <w:t>I’m the same as LM through work experience, and I’ve loved it ever since.</w:t>
      </w:r>
    </w:p>
    <w:p w:rsidR="00922B06" w:rsidRPr="00922B06" w:rsidRDefault="00EC7B2C" w:rsidP="00922B06">
      <w:pPr>
        <w:pStyle w:val="Text"/>
      </w:pPr>
      <w:r>
        <w:t>Jessica</w:t>
      </w:r>
      <w:r w:rsidR="00DD1CB5">
        <w:t>, who left school after Y</w:t>
      </w:r>
      <w:r w:rsidR="00922B06" w:rsidRPr="00922B06">
        <w:t>ear 12, but with little motivation about her future, began casual work in retailing</w:t>
      </w:r>
      <w:r w:rsidR="00DD1CB5">
        <w:t>,</w:t>
      </w:r>
      <w:r w:rsidR="00922B06" w:rsidRPr="00922B06">
        <w:t xml:space="preserve"> which became a significant turning point in increasing her confidence in her abilities and raising her awareness and imagination about other opportunities. She is now in the third year of a degree course in </w:t>
      </w:r>
      <w:r w:rsidR="00DD1CB5" w:rsidRPr="00922B06">
        <w:t xml:space="preserve">social work </w:t>
      </w:r>
      <w:r w:rsidR="00922B06" w:rsidRPr="00922B06">
        <w:t xml:space="preserve">and </w:t>
      </w:r>
      <w:r w:rsidR="00DD1CB5">
        <w:t xml:space="preserve">is </w:t>
      </w:r>
      <w:r w:rsidR="00922B06" w:rsidRPr="00922B06">
        <w:t xml:space="preserve">committed to </w:t>
      </w:r>
      <w:r w:rsidR="006A0315">
        <w:t>making</w:t>
      </w:r>
      <w:r w:rsidR="00922B06" w:rsidRPr="00922B06">
        <w:t xml:space="preserve"> a difference to the lives of her contempora</w:t>
      </w:r>
      <w:r>
        <w:t>ries in Southland and elsewhere:</w:t>
      </w:r>
    </w:p>
    <w:p w:rsidR="00922B06" w:rsidRPr="00922B06" w:rsidRDefault="00922B06" w:rsidP="00631598">
      <w:pPr>
        <w:pStyle w:val="Quote"/>
      </w:pPr>
      <w:r w:rsidRPr="00922B06">
        <w:t>The reason why I decided to go to university is because I got to the point where I’d kind of learnt everythin</w:t>
      </w:r>
      <w:r w:rsidR="00EC7B2C">
        <w:t xml:space="preserve">g I had learnt in my position. </w:t>
      </w:r>
      <w:r w:rsidRPr="00922B06">
        <w:t>Like I could go higher, but even then I was thinking about</w:t>
      </w:r>
      <w:r w:rsidR="00DD1CB5">
        <w:t>, ‘Do I even want to do that?’</w:t>
      </w:r>
      <w:r w:rsidR="00EC7B2C">
        <w:t xml:space="preserve"> </w:t>
      </w:r>
      <w:r w:rsidR="00DD1CB5">
        <w:t>Like, ‘</w:t>
      </w:r>
      <w:r w:rsidRPr="00922B06">
        <w:t>Do I really want to go into being a State</w:t>
      </w:r>
      <w:r w:rsidR="00DD1CB5">
        <w:t xml:space="preserve"> manager or a regional manager?’’</w:t>
      </w:r>
      <w:r w:rsidRPr="00922B06">
        <w:t xml:space="preserve"> and I kind of started to see a bit more of my poten</w:t>
      </w:r>
      <w:r w:rsidR="00EC7B2C">
        <w:t xml:space="preserve">tial I think through managing. </w:t>
      </w:r>
      <w:r w:rsidRPr="00922B06">
        <w:t>Like I started to realise that I think I was a bit bett</w:t>
      </w:r>
      <w:r w:rsidR="00EC7B2C">
        <w:t xml:space="preserve">er than just managing a store. </w:t>
      </w:r>
      <w:r w:rsidRPr="00922B06">
        <w:t>Because I think a lot in my younger years I didn’t see myself as a v</w:t>
      </w:r>
      <w:r w:rsidR="00EC7B2C">
        <w:t xml:space="preserve">ery smart person. </w:t>
      </w:r>
      <w:r w:rsidRPr="00922B06">
        <w:t>Like I was a bit like, you know, just wasn’t going t</w:t>
      </w:r>
      <w:r w:rsidR="00EC7B2C">
        <w:t xml:space="preserve">o do anything like university. I hated to read. </w:t>
      </w:r>
      <w:r w:rsidRPr="00922B06">
        <w:t>I’d probably say I</w:t>
      </w:r>
      <w:r w:rsidR="00EC7B2C">
        <w:t xml:space="preserve"> put myself down in that sense.</w:t>
      </w:r>
      <w:r w:rsidRPr="00922B06">
        <w:t xml:space="preserve"> Like I didn’t really give myself credit for what I could do and so I think by managing it gave me that confidence that I think I can d</w:t>
      </w:r>
      <w:r w:rsidR="00DD1CB5">
        <w:t>o more than this sort of thing.</w:t>
      </w:r>
      <w:r w:rsidR="00DD1CB5">
        <w:tab/>
      </w:r>
      <w:r w:rsidR="00994936">
        <w:br/>
      </w:r>
      <w:r w:rsidR="002A5370">
        <w:t xml:space="preserve">                                                                                                        </w:t>
      </w:r>
      <w:r w:rsidRPr="00922B06">
        <w:t>(</w:t>
      </w:r>
      <w:proofErr w:type="gramStart"/>
      <w:r w:rsidRPr="00922B06">
        <w:t>Jessica,</w:t>
      </w:r>
      <w:proofErr w:type="gramEnd"/>
      <w:r w:rsidRPr="00922B06">
        <w:t xml:space="preserve"> </w:t>
      </w:r>
      <w:r w:rsidR="00DD1CB5">
        <w:t xml:space="preserve">aged </w:t>
      </w:r>
      <w:r w:rsidRPr="00922B06">
        <w:t>24, Southland)</w:t>
      </w:r>
    </w:p>
    <w:p w:rsidR="00D21B79" w:rsidRDefault="00D21B79" w:rsidP="002A5370">
      <w:pPr>
        <w:tabs>
          <w:tab w:val="left" w:pos="8222"/>
        </w:tabs>
        <w:spacing w:before="0" w:line="240" w:lineRule="auto"/>
        <w:rPr>
          <w:rFonts w:ascii="Tahoma" w:hAnsi="Tahoma" w:cs="Tahoma"/>
          <w:color w:val="000000"/>
          <w:sz w:val="24"/>
        </w:rPr>
      </w:pPr>
      <w:bookmarkStart w:id="107" w:name="_Toc251771709"/>
      <w:bookmarkStart w:id="108" w:name="_Toc253925155"/>
      <w:r>
        <w:br w:type="page"/>
      </w:r>
    </w:p>
    <w:p w:rsidR="00922B06" w:rsidRPr="00922B06" w:rsidRDefault="00922B06" w:rsidP="00EC7B2C">
      <w:pPr>
        <w:pStyle w:val="Heading3"/>
      </w:pPr>
      <w:r w:rsidRPr="00922B06">
        <w:lastRenderedPageBreak/>
        <w:t xml:space="preserve">Finding 13: Positive critical interruptions by </w:t>
      </w:r>
      <w:bookmarkEnd w:id="107"/>
      <w:r w:rsidRPr="00922B06">
        <w:t>organisations or individuals</w:t>
      </w:r>
      <w:bookmarkEnd w:id="108"/>
    </w:p>
    <w:p w:rsidR="00922B06" w:rsidRPr="00922B06" w:rsidRDefault="00922B06" w:rsidP="00922B06">
      <w:pPr>
        <w:pStyle w:val="Text"/>
      </w:pPr>
      <w:r w:rsidRPr="00922B06">
        <w:t xml:space="preserve">Other critical events include the encouragement or example of friends or serendipitous experiences with organisations that expand young people’s horizons and opportunities. </w:t>
      </w:r>
      <w:bookmarkStart w:id="109" w:name="_Toc251515690"/>
      <w:r w:rsidRPr="00922B06">
        <w:t>For Kate (</w:t>
      </w:r>
      <w:r w:rsidR="00BC35D2">
        <w:t xml:space="preserve">aged </w:t>
      </w:r>
      <w:r w:rsidRPr="00922B06">
        <w:t xml:space="preserve">23, </w:t>
      </w:r>
      <w:bookmarkEnd w:id="109"/>
      <w:r w:rsidRPr="00922B06">
        <w:t>Eastshire), the decision to open a dance school and to offer accredited dance programs has been largely inspired by one friend:</w:t>
      </w:r>
    </w:p>
    <w:p w:rsidR="00922B06" w:rsidRPr="00922B06" w:rsidRDefault="00922B06" w:rsidP="00631598">
      <w:pPr>
        <w:pStyle w:val="Quote"/>
      </w:pPr>
      <w:r w:rsidRPr="00922B06">
        <w:t>A friend</w:t>
      </w:r>
      <w:r w:rsidR="00BC35D2">
        <w:t xml:space="preserve"> from Melbourne actually pushed — </w:t>
      </w:r>
      <w:r w:rsidRPr="00922B06">
        <w:t>oh he sort of gave me the idea of, you know, you should push yourself to try new things and search out new avenues and search out new places to teach and he’s actually opened up a dance program, I’d say you’d call it, or performing arts program down in Melbourne for underprivileged kids and, yeah, so he’s really a big influence on me and, ye</w:t>
      </w:r>
      <w:r w:rsidR="00BC35D2">
        <w:t>ah, he’s one that always says, ‘Yes’</w:t>
      </w:r>
      <w:r w:rsidRPr="00922B06">
        <w:t xml:space="preserve"> to any opportunity that he can get so, yea</w:t>
      </w:r>
      <w:r w:rsidR="00EC7B2C">
        <w:t>h, and that’s really driven me.</w:t>
      </w:r>
    </w:p>
    <w:p w:rsidR="00922B06" w:rsidRPr="00922B06" w:rsidRDefault="00922B06" w:rsidP="00922B06">
      <w:pPr>
        <w:pStyle w:val="Text"/>
      </w:pPr>
      <w:r w:rsidRPr="00922B06">
        <w:t xml:space="preserve">John (Southland) had a </w:t>
      </w:r>
      <w:r w:rsidR="00BC35D2">
        <w:t xml:space="preserve">most </w:t>
      </w:r>
      <w:r w:rsidRPr="00922B06">
        <w:t xml:space="preserve">disrupted experience of schooling, partly </w:t>
      </w:r>
      <w:r w:rsidR="00BC35D2">
        <w:t xml:space="preserve">the result </w:t>
      </w:r>
      <w:r w:rsidRPr="00922B06">
        <w:t>of his role as carer for his ill mother. He left sc</w:t>
      </w:r>
      <w:r w:rsidR="00EC7B2C">
        <w:t>hool early and did a number of ‘shit jobs’</w:t>
      </w:r>
      <w:r w:rsidRPr="00922B06">
        <w:t xml:space="preserve"> before participating in a Flexible Learning Option (FLO) program, through which he managed to complete a Certificate II in Community Services. His long-term aspiration is to set up a youth camp for troubled youth. He makes it clear that the support of case managers and a second chance at education through the FLO program have turned his life around:</w:t>
      </w:r>
    </w:p>
    <w:p w:rsidR="00922B06" w:rsidRPr="00922B06" w:rsidRDefault="00922B06" w:rsidP="00631598">
      <w:pPr>
        <w:pStyle w:val="Quote"/>
      </w:pPr>
      <w:r w:rsidRPr="00922B06">
        <w:t>I tried to get into Cert IV in youth work through TAFE for two consecutive years, but I never got accepted, because I le</w:t>
      </w:r>
      <w:r w:rsidR="00BC35D2">
        <w:t>ft school early and my history —</w:t>
      </w:r>
      <w:r w:rsidRPr="00922B06">
        <w:t xml:space="preserve"> I missed out on a lot of sch</w:t>
      </w:r>
      <w:r w:rsidR="001C5231">
        <w:t xml:space="preserve">ooling when I was younger too. </w:t>
      </w:r>
      <w:r w:rsidRPr="00922B06">
        <w:t>And then one of my case managers was: ‘why don’t you try through Tabor Adelaide, because they’ve got a different way of looking at, it’s not just about your education, it’s about your background, they fully take oth</w:t>
      </w:r>
      <w:r w:rsidR="00EC7B2C">
        <w:t xml:space="preserve">er things into consideration’. </w:t>
      </w:r>
      <w:r w:rsidRPr="00922B06">
        <w:t>And then I got accepted and I had my books within two weeks.</w:t>
      </w:r>
    </w:p>
    <w:p w:rsidR="002A5370" w:rsidRDefault="00922B06" w:rsidP="00922B06">
      <w:pPr>
        <w:pStyle w:val="Text"/>
      </w:pPr>
      <w:r w:rsidRPr="00922B06">
        <w:t xml:space="preserve">For two of its members, </w:t>
      </w:r>
      <w:r w:rsidR="00E60A90">
        <w:t>the</w:t>
      </w:r>
      <w:r w:rsidRPr="00922B06">
        <w:t xml:space="preserve"> </w:t>
      </w:r>
      <w:r w:rsidR="00E60A90" w:rsidRPr="00922B06">
        <w:t xml:space="preserve">Youth Council </w:t>
      </w:r>
      <w:r w:rsidR="00BC35D2">
        <w:t xml:space="preserve">in </w:t>
      </w:r>
      <w:r w:rsidRPr="00922B06">
        <w:t>Eastshire has been a key influence. Through his part-time</w:t>
      </w:r>
      <w:r w:rsidR="00BC35D2">
        <w:t xml:space="preserve"> and casual positions with the c</w:t>
      </w:r>
      <w:r w:rsidRPr="00922B06">
        <w:t>ouncil, Mason (</w:t>
      </w:r>
      <w:r w:rsidR="00BC35D2">
        <w:t xml:space="preserve">aged </w:t>
      </w:r>
      <w:r w:rsidRPr="00922B06">
        <w:t xml:space="preserve">22) has slowly worked his way to a full-time traineeship. He now aspires to staff management and higher management positions and has been considering a business degree. </w:t>
      </w:r>
      <w:r w:rsidR="007216F1" w:rsidRPr="007216F1">
        <w:t>AA</w:t>
      </w:r>
      <w:r w:rsidRPr="00922B06">
        <w:t xml:space="preserve"> didn’t want to do any furt</w:t>
      </w:r>
      <w:r w:rsidR="001C5231">
        <w:t>her study at all after school: ‘</w:t>
      </w:r>
      <w:r w:rsidRPr="00922B06">
        <w:t xml:space="preserve">I didn’t think school was my thing, so I just went to get a </w:t>
      </w:r>
      <w:r w:rsidR="00E60A90">
        <w:t>job as soon as I could …</w:t>
      </w:r>
      <w:r w:rsidRPr="00922B06">
        <w:t xml:space="preserve"> I finished year 11 and then I just went job hun</w:t>
      </w:r>
      <w:r w:rsidR="001C5231">
        <w:t>ting’</w:t>
      </w:r>
      <w:r w:rsidRPr="00922B06">
        <w:t xml:space="preserve">. The Job Network agency advised her to do some voluntary work, which led her to the </w:t>
      </w:r>
      <w:r w:rsidR="00E60A90" w:rsidRPr="00922B06">
        <w:t>Youth Council</w:t>
      </w:r>
      <w:r w:rsidRPr="00922B06">
        <w:t>. She has subsequently embarked on a</w:t>
      </w:r>
      <w:r w:rsidR="00BC35D2">
        <w:t xml:space="preserve"> traineeship with the c</w:t>
      </w:r>
      <w:r w:rsidR="001C5231">
        <w:t>ouncil: ‘</w:t>
      </w:r>
      <w:r w:rsidRPr="00922B06">
        <w:t>[I] literally s</w:t>
      </w:r>
      <w:r w:rsidR="00BC35D2">
        <w:t>tumbled across it and I really —</w:t>
      </w:r>
      <w:r w:rsidRPr="00922B06">
        <w:t xml:space="preserve"> because I didn’t want to do study or anything </w:t>
      </w:r>
      <w:r w:rsidR="001C5231">
        <w:t>like that, but I love what I do’</w:t>
      </w:r>
      <w:r w:rsidRPr="00922B06">
        <w:t>. For Missy, a turning point came with the intervention of school leaders at her high school who provided advice</w:t>
      </w:r>
      <w:r w:rsidR="006A0315">
        <w:t xml:space="preserve"> and support at crucial times:</w:t>
      </w:r>
    </w:p>
    <w:p w:rsidR="00922B06" w:rsidRPr="00922B06" w:rsidRDefault="00922B06" w:rsidP="002A5370">
      <w:pPr>
        <w:pStyle w:val="Quote"/>
      </w:pPr>
      <w:r w:rsidRPr="002A5370">
        <w:t>I got such a close relationship with them that when I left high school, I could still go to the principal’s office and be like, do you want to have a coffee and he’ll just make a coffee and w</w:t>
      </w:r>
      <w:r w:rsidR="001C5231" w:rsidRPr="002A5370">
        <w:t>e’ll sit in his office and talk</w:t>
      </w:r>
      <w:r w:rsidR="00BC35D2" w:rsidRPr="002A5370">
        <w:t xml:space="preserve"> </w:t>
      </w:r>
      <w:r w:rsidR="001C5231" w:rsidRPr="002A5370">
        <w:t>…</w:t>
      </w:r>
      <w:r w:rsidR="00BC35D2" w:rsidRPr="002A5370">
        <w:t xml:space="preserve"> </w:t>
      </w:r>
      <w:r w:rsidRPr="002A5370">
        <w:t xml:space="preserve">they gave </w:t>
      </w:r>
      <w:r w:rsidR="001C5231" w:rsidRPr="002A5370">
        <w:t>me the help that I needed and</w:t>
      </w:r>
      <w:r w:rsidR="00BC35D2" w:rsidRPr="002A5370">
        <w:t xml:space="preserve"> </w:t>
      </w:r>
      <w:r w:rsidR="001C5231" w:rsidRPr="002A5370">
        <w:t>…</w:t>
      </w:r>
      <w:r w:rsidR="00BC35D2" w:rsidRPr="002A5370">
        <w:t xml:space="preserve"> </w:t>
      </w:r>
      <w:r w:rsidR="001C5231" w:rsidRPr="002A5370">
        <w:t>they were just amazing</w:t>
      </w:r>
      <w:r w:rsidR="00BC35D2" w:rsidRPr="002A5370">
        <w:t xml:space="preserve"> </w:t>
      </w:r>
      <w:r w:rsidR="001C5231" w:rsidRPr="002A5370">
        <w:t>…</w:t>
      </w:r>
      <w:r w:rsidR="00BC35D2" w:rsidRPr="002A5370">
        <w:t xml:space="preserve"> </w:t>
      </w:r>
      <w:r w:rsidRPr="002A5370">
        <w:t>I</w:t>
      </w:r>
      <w:r w:rsidR="006A0315" w:rsidRPr="002A5370">
        <w:t>’ll always be grateful for that</w:t>
      </w:r>
      <w:r w:rsidRPr="002A5370">
        <w:t>.</w:t>
      </w:r>
    </w:p>
    <w:p w:rsidR="00922B06" w:rsidRPr="00922B06" w:rsidRDefault="00922B06" w:rsidP="00922B06">
      <w:pPr>
        <w:pStyle w:val="Text"/>
      </w:pPr>
      <w:r w:rsidRPr="00922B06">
        <w:t xml:space="preserve">There are limitations to the futures that can be </w:t>
      </w:r>
      <w:r w:rsidR="00E60A90" w:rsidRPr="00922B06">
        <w:t xml:space="preserve">imagined </w:t>
      </w:r>
      <w:r w:rsidRPr="00922B06">
        <w:t>when influenced by friends and serendipity as James’</w:t>
      </w:r>
      <w:r w:rsidR="00BC35D2">
        <w:t>s</w:t>
      </w:r>
      <w:r w:rsidRPr="00922B06">
        <w:t xml:space="preserve"> story shows. James (</w:t>
      </w:r>
      <w:r w:rsidR="00BC35D2">
        <w:t xml:space="preserve">aged </w:t>
      </w:r>
      <w:r w:rsidRPr="00922B06">
        <w:t>16, Northtown) had sought out additional i</w:t>
      </w:r>
      <w:r w:rsidR="002A1A83">
        <w:t xml:space="preserve">nformation about his options </w:t>
      </w:r>
      <w:r w:rsidRPr="00922B06">
        <w:t>through the interne</w:t>
      </w:r>
      <w:r w:rsidR="00DC631E">
        <w:t>t and attend</w:t>
      </w:r>
      <w:r w:rsidR="002A1A83">
        <w:t>ed the o</w:t>
      </w:r>
      <w:r w:rsidRPr="00922B06">
        <w:t>pen days of two Adelaide universities. He identified some advantages to a scheme of entry to the Group of Eight university, but he found that his school didn’t participate in this scheme and he rationalised that it would be prefe</w:t>
      </w:r>
      <w:r w:rsidR="00381F2C">
        <w:t>rable to choose the lower ATAR entry recruiting</w:t>
      </w:r>
      <w:r w:rsidRPr="00922B06">
        <w:t xml:space="preserve"> university</w:t>
      </w:r>
      <w:r w:rsidR="00E60A90">
        <w:t xml:space="preserve"> with which</w:t>
      </w:r>
      <w:r w:rsidRPr="00922B06">
        <w:t xml:space="preserve"> his school had a connection because it seemed friendlier and less strict</w:t>
      </w:r>
      <w:r w:rsidR="006A0315">
        <w:t xml:space="preserve"> than the more selective</w:t>
      </w:r>
      <w:r w:rsidR="00381F2C">
        <w:t xml:space="preserve"> university</w:t>
      </w:r>
      <w:r w:rsidRPr="00922B06">
        <w:t xml:space="preserve">: </w:t>
      </w:r>
    </w:p>
    <w:p w:rsidR="00922B06" w:rsidRPr="00922B06" w:rsidRDefault="00922B06" w:rsidP="00631598">
      <w:pPr>
        <w:pStyle w:val="Quote"/>
      </w:pPr>
      <w:r w:rsidRPr="00922B06">
        <w:lastRenderedPageBreak/>
        <w:t>I get this vibe that University of Adelaide is more of like a prestigious kind of university whereas Uni SA just gives off a friendlier, it has better, more student life, more student involvement outside of class. [And friends] I think all of them, pretty much, will go to Uni SA. I've gone to the open days and</w:t>
      </w:r>
      <w:r w:rsidR="00BC35D2">
        <w:t xml:space="preserve"> </w:t>
      </w:r>
      <w:r w:rsidRPr="00922B06">
        <w:t>…</w:t>
      </w:r>
      <w:r w:rsidR="00BC35D2">
        <w:t xml:space="preserve"> </w:t>
      </w:r>
      <w:r w:rsidRPr="00922B06">
        <w:t>the only good thing I thought about Adelaide Uni was it had a Head Start programme. I think it was if you did well in year 11, you could undertake a university course in year 12 at the same time and have that count towards your SACE and your ATAR.</w:t>
      </w:r>
    </w:p>
    <w:p w:rsidR="00922B06" w:rsidRPr="00922B06" w:rsidRDefault="00922B06" w:rsidP="00DC631E">
      <w:pPr>
        <w:pStyle w:val="Heading3"/>
        <w:rPr>
          <w:lang w:val="en-US"/>
        </w:rPr>
      </w:pPr>
      <w:bookmarkStart w:id="110" w:name="_Toc253925156"/>
      <w:r w:rsidRPr="00922B06">
        <w:rPr>
          <w:lang w:val="en-US"/>
        </w:rPr>
        <w:t>Finding 14: Resilience, expanded horizons and imagined futures</w:t>
      </w:r>
      <w:bookmarkStart w:id="111" w:name="_Toc251515691"/>
      <w:bookmarkEnd w:id="110"/>
    </w:p>
    <w:p w:rsidR="00922B06" w:rsidRPr="00922B06" w:rsidRDefault="00922B06" w:rsidP="00922B06">
      <w:pPr>
        <w:pStyle w:val="Text"/>
        <w:rPr>
          <w:iCs/>
        </w:rPr>
      </w:pPr>
      <w:r w:rsidRPr="00922B06">
        <w:rPr>
          <w:iCs/>
        </w:rPr>
        <w:t>Not all young people see their horizons as being geographically bounded</w:t>
      </w:r>
      <w:r w:rsidR="00BC35D2">
        <w:rPr>
          <w:iCs/>
        </w:rPr>
        <w:t>,</w:t>
      </w:r>
      <w:r w:rsidRPr="00922B06">
        <w:rPr>
          <w:iCs/>
        </w:rPr>
        <w:t xml:space="preserve"> as we identified earlier. Family habitus could pla</w:t>
      </w:r>
      <w:r w:rsidR="00BC35D2">
        <w:rPr>
          <w:iCs/>
        </w:rPr>
        <w:t>y a part in opening up horizons and</w:t>
      </w:r>
      <w:r w:rsidRPr="00922B06">
        <w:rPr>
          <w:iCs/>
        </w:rPr>
        <w:t xml:space="preserve"> building resilience and a capability to recognise situations as opportunities rather than obstacles. Of those we interviewed who were choosing </w:t>
      </w:r>
      <w:r w:rsidR="00BC35D2">
        <w:rPr>
          <w:iCs/>
        </w:rPr>
        <w:t xml:space="preserve">a </w:t>
      </w:r>
      <w:r w:rsidRPr="00922B06">
        <w:rPr>
          <w:iCs/>
        </w:rPr>
        <w:t>university pathway, their narratives described relatively stable home lives, often with two parents who were employed, parents who had hobbies and interests outside the home, frequently read books and organised family holidays camping or</w:t>
      </w:r>
      <w:r w:rsidR="00632595">
        <w:rPr>
          <w:iCs/>
        </w:rPr>
        <w:t>,</w:t>
      </w:r>
      <w:r w:rsidRPr="00922B06">
        <w:rPr>
          <w:iCs/>
        </w:rPr>
        <w:t xml:space="preserve"> in a limited number of cases</w:t>
      </w:r>
      <w:r w:rsidR="00632595">
        <w:rPr>
          <w:iCs/>
        </w:rPr>
        <w:t>,</w:t>
      </w:r>
      <w:r w:rsidRPr="00922B06">
        <w:rPr>
          <w:iCs/>
        </w:rPr>
        <w:t xml:space="preserve"> to Europe to meet extended family.</w:t>
      </w:r>
      <w:r w:rsidR="00DC631E">
        <w:rPr>
          <w:iCs/>
        </w:rPr>
        <w:t xml:space="preserve"> </w:t>
      </w:r>
      <w:r w:rsidRPr="00922B06">
        <w:rPr>
          <w:iCs/>
        </w:rPr>
        <w:t>These family environments were in sharp contrast to the instability and intergenerational unemployment that many of the stakeholders identified as commonplace in the neighbo</w:t>
      </w:r>
      <w:r w:rsidR="00326575">
        <w:rPr>
          <w:iCs/>
        </w:rPr>
        <w:t xml:space="preserve">urhoods. Not surprisingly, when </w:t>
      </w:r>
      <w:r w:rsidRPr="00922B06">
        <w:rPr>
          <w:iCs/>
        </w:rPr>
        <w:t>fam</w:t>
      </w:r>
      <w:r w:rsidR="00326575">
        <w:rPr>
          <w:iCs/>
        </w:rPr>
        <w:t xml:space="preserve">ilies provided stability and </w:t>
      </w:r>
      <w:r w:rsidR="00326575" w:rsidRPr="002A5370">
        <w:rPr>
          <w:iCs/>
        </w:rPr>
        <w:t>support</w:t>
      </w:r>
      <w:r w:rsidR="006A0315" w:rsidRPr="002A5370">
        <w:rPr>
          <w:iCs/>
        </w:rPr>
        <w:t>, young people were</w:t>
      </w:r>
      <w:r w:rsidR="0079657F" w:rsidRPr="002A5370">
        <w:rPr>
          <w:iCs/>
        </w:rPr>
        <w:t xml:space="preserve"> less</w:t>
      </w:r>
      <w:r w:rsidR="006A0315" w:rsidRPr="002A5370">
        <w:rPr>
          <w:iCs/>
        </w:rPr>
        <w:t xml:space="preserve"> likely to choose</w:t>
      </w:r>
      <w:r w:rsidR="00326575" w:rsidRPr="002A5370">
        <w:rPr>
          <w:iCs/>
        </w:rPr>
        <w:t xml:space="preserve"> the pathway of early school leaving. Additionally, when such contexts fostered</w:t>
      </w:r>
      <w:r w:rsidR="00326575">
        <w:rPr>
          <w:iCs/>
        </w:rPr>
        <w:t xml:space="preserve"> interests and activities that were outside the norms of the local community, young people</w:t>
      </w:r>
      <w:r w:rsidR="005F2D0A">
        <w:rPr>
          <w:iCs/>
        </w:rPr>
        <w:t xml:space="preserve"> were able</w:t>
      </w:r>
      <w:r w:rsidR="00326575">
        <w:rPr>
          <w:iCs/>
        </w:rPr>
        <w:t xml:space="preserve"> to recognise situations as opportunities and </w:t>
      </w:r>
      <w:r w:rsidR="005F2D0A">
        <w:rPr>
          <w:iCs/>
        </w:rPr>
        <w:t>possessed</w:t>
      </w:r>
      <w:r w:rsidR="00326575">
        <w:rPr>
          <w:iCs/>
        </w:rPr>
        <w:t xml:space="preserve"> the resilience to handle difficult situations more positively than some of their contemporaries. </w:t>
      </w:r>
      <w:r w:rsidRPr="00922B06">
        <w:rPr>
          <w:iCs/>
        </w:rPr>
        <w:t>Critical experiences such as a school trip or meeting someone in relation to one’s hobby or interest were sites for learning about the self and one’s capabilities. These incidents or encounters could increase young people’s confidence, expand their horizons and stir their im</w:t>
      </w:r>
      <w:r w:rsidR="00DC631E">
        <w:rPr>
          <w:iCs/>
        </w:rPr>
        <w:t>aginations about their futures.</w:t>
      </w:r>
    </w:p>
    <w:p w:rsidR="00AC037F" w:rsidRPr="00AC037F" w:rsidRDefault="00922B06" w:rsidP="002E7B38">
      <w:pPr>
        <w:pStyle w:val="Text"/>
      </w:pPr>
      <w:r w:rsidRPr="00922B06">
        <w:t>In Southland, Jade’s narrative presented a life (until three years ago) of chaos, frequent moves around the region with her fathe</w:t>
      </w:r>
      <w:r w:rsidR="00DC631E">
        <w:t xml:space="preserve">r and periods of homelessness. </w:t>
      </w:r>
      <w:r w:rsidRPr="00922B06">
        <w:t>She has now found some stability because her father has a new partner and a home and she is attending a socially mixed school in Southland</w:t>
      </w:r>
      <w:r w:rsidR="00E60A90">
        <w:t>. Here</w:t>
      </w:r>
      <w:r w:rsidRPr="00922B06">
        <w:t xml:space="preserve"> she has had the longest continued </w:t>
      </w:r>
      <w:r w:rsidR="005F2D0A">
        <w:t>attendance</w:t>
      </w:r>
      <w:r w:rsidRPr="00922B06">
        <w:t xml:space="preserve"> (three years) than at any other school to date and </w:t>
      </w:r>
      <w:r w:rsidR="00E60A90">
        <w:t xml:space="preserve">has </w:t>
      </w:r>
      <w:r w:rsidRPr="00922B06">
        <w:t>found opportunities through education that have expanded her horizons. She is now committed to completing studies in Japanese and particip</w:t>
      </w:r>
      <w:r w:rsidR="001559C0">
        <w:t>ating</w:t>
      </w:r>
      <w:r w:rsidR="00DC631E">
        <w:t xml:space="preserve"> in a school trip to Japan: ‘</w:t>
      </w:r>
      <w:r w:rsidRPr="00922B06">
        <w:t>I w</w:t>
      </w:r>
      <w:r w:rsidR="001559C0">
        <w:t>ant to travel, I don’t want to —</w:t>
      </w:r>
      <w:r w:rsidRPr="00922B06">
        <w:t xml:space="preserve"> the world’s so big, I don’t want to stay in this tiny little spot in the world, I w</w:t>
      </w:r>
      <w:r w:rsidR="00DC631E">
        <w:t>ant to travel, I want to see it’</w:t>
      </w:r>
      <w:r w:rsidRPr="00922B06">
        <w:t>.</w:t>
      </w:r>
    </w:p>
    <w:p w:rsidR="00AC037F" w:rsidRPr="00922B06" w:rsidRDefault="00F6720D" w:rsidP="00AC037F">
      <w:pPr>
        <w:pStyle w:val="Text"/>
      </w:pPr>
      <w:r w:rsidRPr="00922B06">
        <w:t xml:space="preserve">For Emily (22, from Southland) </w:t>
      </w:r>
      <w:r>
        <w:t xml:space="preserve">capabilities </w:t>
      </w:r>
      <w:r w:rsidRPr="00922B06">
        <w:t xml:space="preserve">developed through dealing with a very complex and chaotic </w:t>
      </w:r>
      <w:r>
        <w:t xml:space="preserve">family </w:t>
      </w:r>
      <w:r w:rsidRPr="00922B06">
        <w:t xml:space="preserve">life can account for her determination </w:t>
      </w:r>
      <w:r w:rsidR="005F2D0A">
        <w:t>to make something of her life</w:t>
      </w:r>
      <w:r w:rsidRPr="00922B06">
        <w:t xml:space="preserve"> a</w:t>
      </w:r>
      <w:r>
        <w:t xml:space="preserve">fter becoming a teenage mother. </w:t>
      </w:r>
      <w:r w:rsidR="00AC037F" w:rsidRPr="00922B06">
        <w:t>She put it this way</w:t>
      </w:r>
      <w:r w:rsidR="00AC037F">
        <w:t>:</w:t>
      </w:r>
    </w:p>
    <w:p w:rsidR="00AC037F" w:rsidRPr="00922B06" w:rsidRDefault="00AC037F" w:rsidP="00631598">
      <w:pPr>
        <w:pStyle w:val="Quote"/>
      </w:pPr>
      <w:r w:rsidRPr="00922B06">
        <w:t xml:space="preserve">I just knew </w:t>
      </w:r>
      <w:r>
        <w:t xml:space="preserve">[about] </w:t>
      </w:r>
      <w:r w:rsidRPr="00922B06">
        <w:t>children so I did some work exper</w:t>
      </w:r>
      <w:r w:rsidR="001559C0">
        <w:t xml:space="preserve">ience at a child care centre … </w:t>
      </w:r>
      <w:r w:rsidRPr="00922B06">
        <w:t>I just didn’t know what I wanted to do with it yet</w:t>
      </w:r>
      <w:r w:rsidR="001559C0">
        <w:t xml:space="preserve"> … </w:t>
      </w:r>
      <w:r w:rsidRPr="00922B06">
        <w:t>then I got pregnant, I’ve got very high morals and I’m very pro breastfeeding for as long as possible and things like that</w:t>
      </w:r>
      <w:r>
        <w:t>,</w:t>
      </w:r>
      <w:r w:rsidRPr="00922B06">
        <w:t xml:space="preserve"> so I didn’t want to be working at least for the first year or two so I could educate him</w:t>
      </w:r>
      <w:r>
        <w:t>,</w:t>
      </w:r>
      <w:r w:rsidRPr="00922B06">
        <w:t xml:space="preserve"> but I also didn’t want to just be kind of a dole bludger sitting on Centrelink. So I looked into study. </w:t>
      </w:r>
    </w:p>
    <w:p w:rsidR="00AC037F" w:rsidRPr="00922B06" w:rsidRDefault="00AC037F" w:rsidP="00AC037F">
      <w:pPr>
        <w:pStyle w:val="Text"/>
      </w:pPr>
      <w:r w:rsidRPr="00922B06">
        <w:t xml:space="preserve">Emily </w:t>
      </w:r>
      <w:r>
        <w:t>described seeking out an older mothers’ group rather than the teenage mothers’ group because she didn’t want to be labelled and stereotyped as someone with no ambit</w:t>
      </w:r>
      <w:r w:rsidR="00BE23D6">
        <w:t>ion</w:t>
      </w:r>
      <w:r w:rsidR="001559C0">
        <w:t>,</w:t>
      </w:r>
      <w:r w:rsidR="00BE23D6">
        <w:t xml:space="preserve"> and the older women were able to provide some support for her aspirations</w:t>
      </w:r>
      <w:r>
        <w:t>. S</w:t>
      </w:r>
      <w:r w:rsidRPr="00922B06">
        <w:t>ubsequently</w:t>
      </w:r>
      <w:r>
        <w:t>,</w:t>
      </w:r>
      <w:r w:rsidRPr="00922B06">
        <w:t xml:space="preserve"> </w:t>
      </w:r>
      <w:r>
        <w:t xml:space="preserve">she </w:t>
      </w:r>
      <w:r w:rsidR="001559C0">
        <w:t>completed Y</w:t>
      </w:r>
      <w:r w:rsidRPr="00922B06">
        <w:t xml:space="preserve">ear 12 and </w:t>
      </w:r>
      <w:r w:rsidR="00BE23D6">
        <w:t xml:space="preserve">a </w:t>
      </w:r>
      <w:r>
        <w:t>Certificate</w:t>
      </w:r>
      <w:r w:rsidR="00BE23D6">
        <w:t xml:space="preserve"> III</w:t>
      </w:r>
      <w:r w:rsidRPr="00922B06">
        <w:t xml:space="preserve"> </w:t>
      </w:r>
      <w:r>
        <w:t xml:space="preserve">in Business and Finance </w:t>
      </w:r>
      <w:r w:rsidRPr="00922B06">
        <w:t>at Southland TAFE</w:t>
      </w:r>
      <w:r w:rsidR="00BE23D6">
        <w:t>. S</w:t>
      </w:r>
      <w:r w:rsidRPr="00922B06">
        <w:t>he is now contemplating a bridging course for university entrance</w:t>
      </w:r>
      <w:r>
        <w:t>,</w:t>
      </w:r>
      <w:r w:rsidRPr="00922B06">
        <w:t xml:space="preserve"> a</w:t>
      </w:r>
      <w:r>
        <w:t>s well as</w:t>
      </w:r>
      <w:r w:rsidRPr="00922B06">
        <w:t xml:space="preserve"> building up her own business as an accounts clerk working peripat</w:t>
      </w:r>
      <w:r>
        <w:t>etically with small businesses.</w:t>
      </w:r>
    </w:p>
    <w:p w:rsidR="00D7376D" w:rsidRPr="00DC631E" w:rsidRDefault="00922B06" w:rsidP="002E7B38">
      <w:pPr>
        <w:pStyle w:val="Text"/>
        <w:rPr>
          <w:iCs/>
        </w:rPr>
      </w:pPr>
      <w:r w:rsidRPr="00922B06">
        <w:rPr>
          <w:iCs/>
        </w:rPr>
        <w:lastRenderedPageBreak/>
        <w:t xml:space="preserve">While few young people from the </w:t>
      </w:r>
      <w:r w:rsidRPr="00922B06">
        <w:t>Westvale area saw themselves leaving the area or mentioned international travel</w:t>
      </w:r>
      <w:r w:rsidRPr="00922B06">
        <w:rPr>
          <w:iCs/>
        </w:rPr>
        <w:t>, young people from the foothills of the high country (</w:t>
      </w:r>
      <w:r w:rsidR="00BE23D6">
        <w:rPr>
          <w:iCs/>
        </w:rPr>
        <w:t xml:space="preserve">in the </w:t>
      </w:r>
      <w:r w:rsidRPr="00922B06">
        <w:rPr>
          <w:iCs/>
        </w:rPr>
        <w:t>towns in Eastshire) appear to have more mobile and expansive horizons</w:t>
      </w:r>
      <w:r w:rsidRPr="00922B06">
        <w:t>. Missy from the main regional centre had travelled to the US</w:t>
      </w:r>
      <w:r w:rsidR="001559C0">
        <w:t xml:space="preserve"> while at</w:t>
      </w:r>
      <w:r w:rsidRPr="00922B06">
        <w:t xml:space="preserve"> school and was itching to return, although her immediate plans were to save money to visit Thailand, while Joanna had spent a few months in India doing volunteer work. Ted (</w:t>
      </w:r>
      <w:r w:rsidR="00B97217">
        <w:t xml:space="preserve">aged </w:t>
      </w:r>
      <w:r w:rsidRPr="00922B06">
        <w:t>17) and JD (</w:t>
      </w:r>
      <w:r w:rsidR="00B97217">
        <w:t xml:space="preserve">aged </w:t>
      </w:r>
      <w:r w:rsidRPr="00922B06">
        <w:t>17) both had aspirations to travel around Australia or overseas, using their rural skills and apprenticeship qualifications as passports to wider places.</w:t>
      </w:r>
      <w:r w:rsidR="005F2D0A">
        <w:t xml:space="preserve"> Ted’s story in particular</w:t>
      </w:r>
      <w:r w:rsidRPr="00922B06">
        <w:t xml:space="preserve"> highlights the global aspirations that may be held by young people whose rural neighbourhoods may be </w:t>
      </w:r>
      <w:bookmarkStart w:id="112" w:name="_Toc251515688"/>
      <w:r w:rsidR="00DC631E">
        <w:t xml:space="preserve">otherwise seen as restrictive. </w:t>
      </w:r>
      <w:r w:rsidRPr="00922B06">
        <w:t xml:space="preserve">Ted </w:t>
      </w:r>
      <w:bookmarkEnd w:id="112"/>
      <w:r w:rsidRPr="00922B06">
        <w:t xml:space="preserve">sees his career and hobby choice as having expansive global horizons. He wants </w:t>
      </w:r>
      <w:r w:rsidR="00E30161">
        <w:t xml:space="preserve">to gain a </w:t>
      </w:r>
      <w:r w:rsidR="00E30161" w:rsidRPr="00922B06">
        <w:t xml:space="preserve">stock agent </w:t>
      </w:r>
      <w:r w:rsidR="00E30161">
        <w:t>licence</w:t>
      </w:r>
      <w:r w:rsidRPr="00922B06">
        <w:t xml:space="preserve"> and is happy to move anywhere in Victoria to achieve that. He has extensive networks of stock agent contacts through a long </w:t>
      </w:r>
      <w:r w:rsidR="00BE23D6">
        <w:t>informal</w:t>
      </w:r>
      <w:r w:rsidRPr="00922B06">
        <w:t xml:space="preserve"> apprenticeship with stock agent mentors after being introduced to the profession through his grandfather. However, this career appears to be a means to a financial end. His real love is cattle, anything to do with cattle, and he has bred show cattle from quite a young age</w:t>
      </w:r>
      <w:r w:rsidR="00E30161">
        <w:t>,</w:t>
      </w:r>
      <w:r w:rsidRPr="00922B06">
        <w:t xml:space="preserve"> which has taken him to shows throughout regional Vict</w:t>
      </w:r>
      <w:r w:rsidR="00526152">
        <w:t>oria: ‘</w:t>
      </w:r>
      <w:r w:rsidRPr="00922B06">
        <w:t>I go and</w:t>
      </w:r>
      <w:r w:rsidR="00E30161">
        <w:t xml:space="preserve"> show my cattle at shows —</w:t>
      </w:r>
      <w:r w:rsidRPr="00922B06">
        <w:t xml:space="preserve"> no one here really does. I’ve sort of got a couple of younger kids involved in it</w:t>
      </w:r>
      <w:r w:rsidR="00BE23D6">
        <w:t>,</w:t>
      </w:r>
      <w:r w:rsidRPr="00922B06">
        <w:t xml:space="preserve"> but</w:t>
      </w:r>
      <w:r w:rsidR="00526152">
        <w:t xml:space="preserve"> none of my mates really do it</w:t>
      </w:r>
      <w:r w:rsidR="00E30161">
        <w:t>’.</w:t>
      </w:r>
      <w:r w:rsidRPr="00922B06">
        <w:t xml:space="preserve"> This interest in </w:t>
      </w:r>
      <w:r w:rsidR="005F2D0A" w:rsidRPr="002A5370">
        <w:t xml:space="preserve">stock </w:t>
      </w:r>
      <w:r w:rsidRPr="002A5370">
        <w:t>breeding has earned him a scholarship to spend some time on a stud farm in New Zealand and</w:t>
      </w:r>
      <w:r w:rsidRPr="00922B06">
        <w:t xml:space="preserve"> then when he’s finished his traineeship he sees himself travelling around Australia visiting cattle farms to get some more experience and he also plans to travel to Canada</w:t>
      </w:r>
      <w:r w:rsidR="002E54F0">
        <w:t>,</w:t>
      </w:r>
      <w:r w:rsidRPr="00922B06">
        <w:t xml:space="preserve"> having met a Canadian at one of the shows he attended. He has been working on his father’s dairy farm for many years and is already looking to purchase a house to have financial security behind him. One gets the impression that a lack of a</w:t>
      </w:r>
      <w:r w:rsidR="00BE23D6">
        <w:t>spiration for a higher education degree, o</w:t>
      </w:r>
      <w:r w:rsidRPr="00922B06">
        <w:t xml:space="preserve">r </w:t>
      </w:r>
      <w:r w:rsidR="00BE23D6">
        <w:t>a VET traineeship</w:t>
      </w:r>
      <w:r w:rsidRPr="00922B06">
        <w:t xml:space="preserve">, will </w:t>
      </w:r>
      <w:r w:rsidR="002E54F0">
        <w:t xml:space="preserve">not </w:t>
      </w:r>
      <w:r w:rsidRPr="00922B06">
        <w:t xml:space="preserve">be </w:t>
      </w:r>
      <w:r w:rsidR="00BE23D6">
        <w:t>a</w:t>
      </w:r>
      <w:r w:rsidRPr="00922B06">
        <w:t xml:space="preserve"> hindrance or </w:t>
      </w:r>
      <w:r w:rsidR="00BE23D6">
        <w:t>‘</w:t>
      </w:r>
      <w:r w:rsidRPr="00922B06">
        <w:t>deficit</w:t>
      </w:r>
      <w:r w:rsidR="00BE23D6">
        <w:t>’</w:t>
      </w:r>
      <w:r w:rsidRPr="00922B06">
        <w:t xml:space="preserve"> in his li</w:t>
      </w:r>
      <w:r w:rsidR="00BE23D6">
        <w:t>fe because his passion</w:t>
      </w:r>
      <w:r w:rsidRPr="00922B06">
        <w:t xml:space="preserve"> and</w:t>
      </w:r>
      <w:r w:rsidR="00F6720D">
        <w:t xml:space="preserve"> ability to network make</w:t>
      </w:r>
      <w:r w:rsidRPr="00922B06">
        <w:t xml:space="preserve"> the world his oyster.</w:t>
      </w:r>
      <w:bookmarkEnd w:id="111"/>
    </w:p>
    <w:p w:rsidR="00D7376D" w:rsidRDefault="00D7376D">
      <w:pPr>
        <w:spacing w:before="0" w:line="240" w:lineRule="auto"/>
        <w:rPr>
          <w:rFonts w:ascii="Tahoma" w:hAnsi="Tahoma" w:cs="Tahoma"/>
          <w:sz w:val="28"/>
        </w:rPr>
      </w:pPr>
      <w:r>
        <w:br w:type="page"/>
      </w:r>
    </w:p>
    <w:p w:rsidR="00D7376D" w:rsidRDefault="00D7376D" w:rsidP="00D7376D">
      <w:pPr>
        <w:pStyle w:val="Heading1"/>
      </w:pPr>
      <w:bookmarkStart w:id="113" w:name="_Toc409079382"/>
      <w:r>
        <w:lastRenderedPageBreak/>
        <w:t>Conclusion</w:t>
      </w:r>
      <w:bookmarkEnd w:id="113"/>
    </w:p>
    <w:p w:rsidR="007D0444" w:rsidRPr="007D0444" w:rsidRDefault="007D0444" w:rsidP="007D0444">
      <w:pPr>
        <w:pStyle w:val="Text"/>
      </w:pPr>
      <w:r w:rsidRPr="007D0444">
        <w:t xml:space="preserve">This report has investigated the </w:t>
      </w:r>
      <w:r w:rsidR="00707811">
        <w:t xml:space="preserve">ways by which different aspects of living in a neighbourhood, including how people relate and participate in the structures, opportunities and networks available in their neighbourhoods, affect </w:t>
      </w:r>
      <w:r w:rsidR="00E30161">
        <w:t>young people’s (16—</w:t>
      </w:r>
      <w:r w:rsidRPr="007D0444">
        <w:t xml:space="preserve">25 years old) </w:t>
      </w:r>
      <w:r w:rsidR="00D230DC">
        <w:t>post-school</w:t>
      </w:r>
      <w:r w:rsidRPr="007D0444">
        <w:t xml:space="preserve"> education and training pathways and decision-making. By exploring the influence of neighbourhood factors</w:t>
      </w:r>
      <w:r w:rsidR="00E62723">
        <w:t>, including</w:t>
      </w:r>
      <w:r w:rsidRPr="007D0444">
        <w:t xml:space="preserve"> access to education and training and other community </w:t>
      </w:r>
      <w:r w:rsidR="00E30161">
        <w:t>aspects</w:t>
      </w:r>
      <w:r w:rsidR="00E62723">
        <w:t>,</w:t>
      </w:r>
      <w:r w:rsidRPr="007D0444">
        <w:t xml:space="preserve"> on education and training outcomes, this study has contributed to an understanding of the geographical </w:t>
      </w:r>
      <w:r w:rsidR="001244E8">
        <w:t xml:space="preserve">and place </w:t>
      </w:r>
      <w:r w:rsidRPr="007D0444">
        <w:t xml:space="preserve">aspects of social exclusion and the role </w:t>
      </w:r>
      <w:r w:rsidR="00E62723">
        <w:t xml:space="preserve">that </w:t>
      </w:r>
      <w:r w:rsidRPr="007D0444">
        <w:t>education and training can have in reducing its risk and in improving labour force participation.</w:t>
      </w:r>
    </w:p>
    <w:p w:rsidR="007D0444" w:rsidRPr="007D0444" w:rsidRDefault="002E54F0" w:rsidP="007D0444">
      <w:pPr>
        <w:pStyle w:val="Text"/>
      </w:pPr>
      <w:r>
        <w:t>This study discusses</w:t>
      </w:r>
      <w:r w:rsidR="007D0444" w:rsidRPr="007D0444">
        <w:t xml:space="preserve"> findings from qualitative research in two regions of Australia, one in Victoria and the other in South Australia. Qualitative research was identified as necessary to build on and explore </w:t>
      </w:r>
      <w:r w:rsidR="00E30161">
        <w:t>in more detail</w:t>
      </w:r>
      <w:r w:rsidR="007D0444" w:rsidRPr="007D0444">
        <w:t xml:space="preserve"> the findings from a quantitative s</w:t>
      </w:r>
      <w:r w:rsidR="00E30161">
        <w:t xml:space="preserve">tudy conducted </w:t>
      </w:r>
      <w:r w:rsidR="00E62723">
        <w:t>during</w:t>
      </w:r>
      <w:r w:rsidR="00E30161">
        <w:t xml:space="preserve"> the three-year (2010—</w:t>
      </w:r>
      <w:r w:rsidR="007D0444" w:rsidRPr="007D0444">
        <w:t>13) funded research partnership between Monash University and the National Centre for Vocat</w:t>
      </w:r>
      <w:r w:rsidR="005F2D0A">
        <w:t>ional Education Research</w:t>
      </w:r>
      <w:r w:rsidR="00E30161">
        <w:t xml:space="preserve"> which</w:t>
      </w:r>
      <w:r w:rsidR="007D0444" w:rsidRPr="007D0444">
        <w:t xml:space="preserve"> examined the role of community and neighbourhood factors in predicting the </w:t>
      </w:r>
      <w:r w:rsidR="00D230DC">
        <w:t>post-school</w:t>
      </w:r>
      <w:r w:rsidR="007D0444" w:rsidRPr="007D0444">
        <w:t xml:space="preserve"> destinations of young Australians (</w:t>
      </w:r>
      <w:r w:rsidR="00E62723">
        <w:t xml:space="preserve">see </w:t>
      </w:r>
      <w:r w:rsidR="007D0444" w:rsidRPr="007D0444">
        <w:t>Johnston et al</w:t>
      </w:r>
      <w:r w:rsidR="00E30161">
        <w:t>.</w:t>
      </w:r>
      <w:r w:rsidR="00012074">
        <w:t xml:space="preserve"> 2014). </w:t>
      </w:r>
      <w:r w:rsidR="007C36D0">
        <w:t>We used</w:t>
      </w:r>
      <w:r w:rsidR="007D0444" w:rsidRPr="007C36D0">
        <w:t xml:space="preserve"> </w:t>
      </w:r>
      <w:r w:rsidR="007C36D0">
        <w:t xml:space="preserve">a </w:t>
      </w:r>
      <w:r w:rsidR="007D0444" w:rsidRPr="007C36D0">
        <w:t xml:space="preserve">qualitative methodology </w:t>
      </w:r>
      <w:r w:rsidR="007C36D0">
        <w:t>to enable more in-depth</w:t>
      </w:r>
      <w:r w:rsidR="007D0444" w:rsidRPr="007C36D0">
        <w:t xml:space="preserve"> research </w:t>
      </w:r>
      <w:r w:rsidR="007C36D0">
        <w:t>on</w:t>
      </w:r>
      <w:r w:rsidR="007D0444" w:rsidRPr="007C36D0">
        <w:t xml:space="preserve"> the mechanisms </w:t>
      </w:r>
      <w:r w:rsidRPr="007C36D0">
        <w:t xml:space="preserve">and </w:t>
      </w:r>
      <w:r w:rsidR="007C36D0" w:rsidRPr="007C36D0">
        <w:t>environments</w:t>
      </w:r>
      <w:r w:rsidRPr="007C36D0">
        <w:t xml:space="preserve"> </w:t>
      </w:r>
      <w:r w:rsidR="007D0444" w:rsidRPr="007C36D0">
        <w:t>that e</w:t>
      </w:r>
      <w:r w:rsidR="007C36D0" w:rsidRPr="007C36D0">
        <w:t>nable some people in low socio</w:t>
      </w:r>
      <w:r w:rsidR="007D0444" w:rsidRPr="007C36D0">
        <w:t xml:space="preserve">economic neighbourhoods to </w:t>
      </w:r>
      <w:r w:rsidR="007C36D0">
        <w:t>overcome</w:t>
      </w:r>
      <w:r w:rsidR="007D0444" w:rsidRPr="007C36D0">
        <w:t xml:space="preserve"> the </w:t>
      </w:r>
      <w:r w:rsidRPr="007C36D0">
        <w:t xml:space="preserve">effects of </w:t>
      </w:r>
      <w:r w:rsidR="007D0444" w:rsidRPr="007C36D0">
        <w:t>neighbourhood and participate in post-school education and training.</w:t>
      </w:r>
      <w:r w:rsidR="007D0444" w:rsidRPr="007D0444">
        <w:t xml:space="preserve"> This methodology enabled exploration of people’s li</w:t>
      </w:r>
      <w:r w:rsidR="00512D9B">
        <w:t>fe worlds in different contexts</w:t>
      </w:r>
      <w:r w:rsidR="007D0444" w:rsidRPr="007D0444">
        <w:t>.</w:t>
      </w:r>
    </w:p>
    <w:p w:rsidR="00F6720D" w:rsidRDefault="007D0444" w:rsidP="007D0444">
      <w:pPr>
        <w:pStyle w:val="Text"/>
      </w:pPr>
      <w:r w:rsidRPr="007D0444">
        <w:t>A comparative analysis of areas with differ</w:t>
      </w:r>
      <w:r w:rsidR="00E62723">
        <w:t>ing</w:t>
      </w:r>
      <w:r w:rsidRPr="007D0444">
        <w:t xml:space="preserve"> neighbourhood and schooling characteristics and </w:t>
      </w:r>
      <w:r w:rsidR="00D230DC">
        <w:t>post-school</w:t>
      </w:r>
      <w:r w:rsidRPr="007D0444">
        <w:t xml:space="preserve"> labour markets and education and training opportunities facilitated </w:t>
      </w:r>
      <w:r w:rsidR="007C36D0">
        <w:t xml:space="preserve">an </w:t>
      </w:r>
      <w:r w:rsidRPr="007D0444">
        <w:t xml:space="preserve">examination of our contention that a nuanced understanding </w:t>
      </w:r>
      <w:r w:rsidR="00F777F7" w:rsidRPr="007D0444">
        <w:t>of the ‘geography</w:t>
      </w:r>
      <w:r w:rsidR="00F777F7">
        <w:t xml:space="preserve"> and place</w:t>
      </w:r>
      <w:r w:rsidR="00F777F7" w:rsidRPr="007D0444">
        <w:t xml:space="preserve">’ of </w:t>
      </w:r>
      <w:r w:rsidRPr="007D0444">
        <w:t>neighbourhoods is required</w:t>
      </w:r>
      <w:r w:rsidR="00E62723">
        <w:t>. This understanding</w:t>
      </w:r>
      <w:r w:rsidRPr="007D0444">
        <w:t xml:space="preserve"> </w:t>
      </w:r>
      <w:r w:rsidR="00E62723">
        <w:t>will</w:t>
      </w:r>
      <w:r w:rsidR="00F6720D">
        <w:t xml:space="preserve"> enable</w:t>
      </w:r>
      <w:r w:rsidRPr="007D0444">
        <w:t xml:space="preserve"> policy responses </w:t>
      </w:r>
      <w:r w:rsidR="00F6720D">
        <w:t>that take into account</w:t>
      </w:r>
      <w:r w:rsidRPr="007D0444">
        <w:t xml:space="preserve"> </w:t>
      </w:r>
      <w:r w:rsidR="007C36D0">
        <w:t xml:space="preserve">the </w:t>
      </w:r>
      <w:r w:rsidRPr="007D0444">
        <w:t xml:space="preserve">factors affecting the educational aspirations and choices of young people from </w:t>
      </w:r>
      <w:r w:rsidR="008E0670" w:rsidRPr="004C0996">
        <w:rPr>
          <w:bCs/>
        </w:rPr>
        <w:t>urban</w:t>
      </w:r>
      <w:r w:rsidR="008E0670">
        <w:rPr>
          <w:bCs/>
        </w:rPr>
        <w:t xml:space="preserve"> fringe</w:t>
      </w:r>
      <w:r w:rsidR="00A73C73">
        <w:t>, rural and regional plac</w:t>
      </w:r>
      <w:r w:rsidRPr="007D0444">
        <w:t>es.</w:t>
      </w:r>
      <w:r w:rsidR="00DD4F64">
        <w:t xml:space="preserve"> The selection of areas </w:t>
      </w:r>
      <w:r w:rsidR="005F2D0A">
        <w:t xml:space="preserve">(see discussion on page </w:t>
      </w:r>
      <w:r w:rsidR="005F2D0A" w:rsidRPr="00C22130">
        <w:t>24</w:t>
      </w:r>
      <w:r w:rsidR="007C36D0">
        <w:t xml:space="preserve"> and t</w:t>
      </w:r>
      <w:r w:rsidR="00DD4F64">
        <w:t>able 1) showed that two areas, one in South Australia, Southland</w:t>
      </w:r>
      <w:r w:rsidR="007C36D0">
        <w:t>,</w:t>
      </w:r>
      <w:r w:rsidR="00DD4F64">
        <w:t xml:space="preserve"> and one in Victoria, Eastshire, were performing above the average for areas of low SES compared with Northtown in South Austral</w:t>
      </w:r>
      <w:r w:rsidR="007C36D0">
        <w:t>ia and Westvale in Victoria, which</w:t>
      </w:r>
      <w:r w:rsidR="00DD4F64">
        <w:t xml:space="preserve"> were performing below the average. </w:t>
      </w:r>
      <w:r w:rsidR="007C36D0">
        <w:t>Our</w:t>
      </w:r>
      <w:r w:rsidR="00DD4F64">
        <w:t xml:space="preserve"> research identified some</w:t>
      </w:r>
      <w:r w:rsidR="0033252A">
        <w:t xml:space="preserve"> differences between these are</w:t>
      </w:r>
      <w:r w:rsidR="007C36D0">
        <w:t>as, which</w:t>
      </w:r>
      <w:r w:rsidR="0033252A">
        <w:t xml:space="preserve"> we discuss as the </w:t>
      </w:r>
      <w:r w:rsidR="007C36D0">
        <w:t>‘</w:t>
      </w:r>
      <w:r w:rsidR="0033252A">
        <w:t>embodied psychology of place</w:t>
      </w:r>
      <w:r w:rsidR="007C36D0">
        <w:t>’</w:t>
      </w:r>
      <w:r w:rsidR="0033252A">
        <w:t xml:space="preserve">. </w:t>
      </w:r>
      <w:r w:rsidR="00111E27">
        <w:t>Southland and Eastshire</w:t>
      </w:r>
      <w:r w:rsidR="00212803">
        <w:t xml:space="preserve"> were both regarded as areas of natural beauty and</w:t>
      </w:r>
      <w:r w:rsidR="00111E27">
        <w:t xml:space="preserve"> had fairly stable professional communities who were very committed to living in these areas and making a difference to the lives of young people. In</w:t>
      </w:r>
      <w:r w:rsidR="00212803">
        <w:t xml:space="preserve"> </w:t>
      </w:r>
      <w:r w:rsidR="00111E27">
        <w:t xml:space="preserve">contrast, </w:t>
      </w:r>
      <w:r w:rsidR="00212803">
        <w:t>Westvale</w:t>
      </w:r>
      <w:r w:rsidR="00111E27">
        <w:t xml:space="preserve"> and </w:t>
      </w:r>
      <w:r w:rsidR="000474F4">
        <w:t>Northtown</w:t>
      </w:r>
      <w:r w:rsidR="00212803">
        <w:t xml:space="preserve"> had a history of employment in traditional extraction industries and manufacturing</w:t>
      </w:r>
      <w:r w:rsidR="00E62723">
        <w:t>,</w:t>
      </w:r>
      <w:r w:rsidR="00212803">
        <w:t xml:space="preserve"> and the professional employees who worked in these areas were more likely to live apart from the communities they were supporting.</w:t>
      </w:r>
    </w:p>
    <w:p w:rsidR="0033252A" w:rsidRDefault="00381F2C" w:rsidP="007D0444">
      <w:pPr>
        <w:pStyle w:val="Text"/>
      </w:pPr>
      <w:r>
        <w:t>Perhaps not surprising</w:t>
      </w:r>
      <w:r w:rsidR="007C36D0">
        <w:t>ly</w:t>
      </w:r>
      <w:r>
        <w:t>, th</w:t>
      </w:r>
      <w:r w:rsidR="00F6720D">
        <w:t>e</w:t>
      </w:r>
      <w:r>
        <w:t xml:space="preserve"> greater social mix in parts of Southland and Eastshire </w:t>
      </w:r>
      <w:r w:rsidR="007C36D0">
        <w:t>permeated</w:t>
      </w:r>
      <w:r>
        <w:t xml:space="preserve"> the cultures of two of the schools, where university aspiration was regarded as a more normal post-school aspiration. </w:t>
      </w:r>
      <w:r w:rsidR="00BC5DBC">
        <w:t>While</w:t>
      </w:r>
      <w:r w:rsidR="007C36D0">
        <w:t xml:space="preserve"> policy-</w:t>
      </w:r>
      <w:r w:rsidR="00111E27">
        <w:t xml:space="preserve">makers might </w:t>
      </w:r>
      <w:r w:rsidR="00BC230A">
        <w:t>consider themselves</w:t>
      </w:r>
      <w:r w:rsidR="00111E27">
        <w:t xml:space="preserve"> powerless to change the physical characteristics of a place </w:t>
      </w:r>
      <w:r>
        <w:t xml:space="preserve">and the social mix, </w:t>
      </w:r>
      <w:r w:rsidR="00111E27">
        <w:t>we did f</w:t>
      </w:r>
      <w:r w:rsidR="00212803">
        <w:t xml:space="preserve">ind examples of strategies that </w:t>
      </w:r>
      <w:r w:rsidR="00111E27">
        <w:t xml:space="preserve">at least one school </w:t>
      </w:r>
      <w:r w:rsidR="00212803">
        <w:t xml:space="preserve">in Northtown had </w:t>
      </w:r>
      <w:r w:rsidR="00111E27">
        <w:t>adopted that helped to overcome the negative psychology of place</w:t>
      </w:r>
      <w:r w:rsidR="00212803">
        <w:t xml:space="preserve"> from the perspective of the professionals</w:t>
      </w:r>
      <w:r w:rsidR="00E62723">
        <w:t xml:space="preserve"> and encouraged</w:t>
      </w:r>
      <w:r>
        <w:t xml:space="preserve"> more staff to live in the local area</w:t>
      </w:r>
      <w:r w:rsidR="00111E27">
        <w:t>.</w:t>
      </w:r>
    </w:p>
    <w:p w:rsidR="007D0444" w:rsidRPr="007D0444" w:rsidRDefault="007D0444" w:rsidP="007D0444">
      <w:pPr>
        <w:pStyle w:val="Text"/>
      </w:pPr>
      <w:r w:rsidRPr="007D0444">
        <w:t xml:space="preserve">Our findings have been grouped into </w:t>
      </w:r>
      <w:r w:rsidR="00FE2E8D">
        <w:t>four</w:t>
      </w:r>
      <w:r w:rsidR="00BC230A">
        <w:t xml:space="preserve"> major themes: p</w:t>
      </w:r>
      <w:r w:rsidRPr="007D0444">
        <w:t>athways of engage</w:t>
      </w:r>
      <w:r w:rsidR="00BC230A">
        <w:t>ment in education or training; g</w:t>
      </w:r>
      <w:r w:rsidRPr="007D0444">
        <w:t xml:space="preserve">eographic </w:t>
      </w:r>
      <w:r w:rsidR="00F36E24">
        <w:t xml:space="preserve">and place </w:t>
      </w:r>
      <w:r w:rsidR="00BC230A">
        <w:t xml:space="preserve">influences; </w:t>
      </w:r>
      <w:r w:rsidR="00E62723">
        <w:t>g</w:t>
      </w:r>
      <w:r w:rsidRPr="007D0444">
        <w:t>ender</w:t>
      </w:r>
      <w:r w:rsidR="00FE2E8D">
        <w:t>,</w:t>
      </w:r>
      <w:r w:rsidRPr="007D0444">
        <w:t xml:space="preserve"> and the influences of family </w:t>
      </w:r>
      <w:r w:rsidR="00BC230A">
        <w:t>and the familiar; and c</w:t>
      </w:r>
      <w:r w:rsidR="00BE4665">
        <w:t>ritical events and disruptions.</w:t>
      </w:r>
    </w:p>
    <w:p w:rsidR="002E54F0" w:rsidRPr="002E54F0" w:rsidRDefault="002E54F0" w:rsidP="00BC230A">
      <w:pPr>
        <w:pStyle w:val="Heading2"/>
      </w:pPr>
      <w:bookmarkStart w:id="114" w:name="_Toc409079383"/>
      <w:r w:rsidRPr="002E54F0">
        <w:lastRenderedPageBreak/>
        <w:t>Pathways of enga</w:t>
      </w:r>
      <w:r w:rsidR="00BC230A">
        <w:t>gement in education or training</w:t>
      </w:r>
      <w:bookmarkEnd w:id="114"/>
    </w:p>
    <w:p w:rsidR="002E54F0" w:rsidRDefault="007D0444" w:rsidP="00FE4960">
      <w:pPr>
        <w:pStyle w:val="Text"/>
      </w:pPr>
      <w:r w:rsidRPr="007D0444">
        <w:t>Firstly, within our broad theme of pathways of engagement to education and training, we found that vocational education and training was an important pathway for the continuing education and training of young people and for the re</w:t>
      </w:r>
      <w:r w:rsidR="00BE4665">
        <w:t xml:space="preserve">-engagement of the unemployed. </w:t>
      </w:r>
      <w:r w:rsidRPr="007D0444">
        <w:t xml:space="preserve">We found that this </w:t>
      </w:r>
      <w:r w:rsidR="00DE1E98">
        <w:t>held true</w:t>
      </w:r>
      <w:r w:rsidR="00512D9B">
        <w:t xml:space="preserve"> </w:t>
      </w:r>
      <w:r w:rsidRPr="007D0444">
        <w:t xml:space="preserve">across all four </w:t>
      </w:r>
      <w:r w:rsidR="00DE1E98">
        <w:t xml:space="preserve">of the </w:t>
      </w:r>
      <w:r w:rsidR="00BC230A">
        <w:rPr>
          <w:bCs/>
        </w:rPr>
        <w:t>socio</w:t>
      </w:r>
      <w:r w:rsidR="00FE4960">
        <w:rPr>
          <w:bCs/>
        </w:rPr>
        <w:t xml:space="preserve">economically </w:t>
      </w:r>
      <w:r w:rsidRPr="007D0444">
        <w:t>disadvantaged sites in</w:t>
      </w:r>
      <w:r w:rsidR="00BE4665">
        <w:t xml:space="preserve"> South Australia and Victoria. </w:t>
      </w:r>
      <w:r w:rsidRPr="007D0444">
        <w:t xml:space="preserve">The narratives identified </w:t>
      </w:r>
      <w:r w:rsidR="00BC230A">
        <w:t xml:space="preserve">one of </w:t>
      </w:r>
      <w:r w:rsidRPr="007D0444">
        <w:t xml:space="preserve">the specific ways </w:t>
      </w:r>
      <w:r w:rsidR="00BC230A">
        <w:t>by</w:t>
      </w:r>
      <w:r w:rsidRPr="007D0444">
        <w:t xml:space="preserve"> which young people were enabled to engage with this form of education in times of economic downtur</w:t>
      </w:r>
      <w:r w:rsidR="00BC230A">
        <w:t>n and industrial restructuring</w:t>
      </w:r>
      <w:r w:rsidR="009F6546">
        <w:t>. This was</w:t>
      </w:r>
      <w:r w:rsidR="00BC230A">
        <w:t xml:space="preserve"> </w:t>
      </w:r>
      <w:r w:rsidR="009F6546">
        <w:t>to utilise</w:t>
      </w:r>
      <w:r w:rsidR="00BC230A">
        <w:t xml:space="preserve"> post-</w:t>
      </w:r>
      <w:r w:rsidRPr="007D0444">
        <w:t xml:space="preserve">compulsory education as a safety </w:t>
      </w:r>
      <w:r w:rsidR="009F6546">
        <w:t>net to secure employment; however, this did not necessarily</w:t>
      </w:r>
      <w:r w:rsidRPr="007D0444">
        <w:t xml:space="preserve"> mean the</w:t>
      </w:r>
      <w:r w:rsidR="009F6546">
        <w:t>se young people</w:t>
      </w:r>
      <w:r w:rsidRPr="007D0444">
        <w:t xml:space="preserve"> had become socially mobile (</w:t>
      </w:r>
      <w:r w:rsidR="009F6546">
        <w:rPr>
          <w:lang w:val="en-US"/>
        </w:rPr>
        <w:t>Thompson &amp; Simmons</w:t>
      </w:r>
      <w:r w:rsidRPr="007D0444">
        <w:rPr>
          <w:lang w:val="en-US"/>
        </w:rPr>
        <w:t xml:space="preserve"> 2013)</w:t>
      </w:r>
      <w:r w:rsidR="009F6546">
        <w:t>. Nevertheless, s</w:t>
      </w:r>
      <w:r w:rsidRPr="007D0444">
        <w:t xml:space="preserve">ome schools and some family </w:t>
      </w:r>
      <w:r w:rsidR="009F6546">
        <w:t>contexts</w:t>
      </w:r>
      <w:r w:rsidRPr="007D0444">
        <w:t xml:space="preserve"> afforded more opportunities </w:t>
      </w:r>
      <w:r w:rsidR="009F6546">
        <w:t xml:space="preserve">for, </w:t>
      </w:r>
      <w:r w:rsidRPr="007D0444">
        <w:t xml:space="preserve">and </w:t>
      </w:r>
      <w:r w:rsidR="009F6546">
        <w:t xml:space="preserve">had greater </w:t>
      </w:r>
      <w:r w:rsidRPr="007D0444">
        <w:t xml:space="preserve">expectations </w:t>
      </w:r>
      <w:r w:rsidR="009F6546">
        <w:t>of progression to,</w:t>
      </w:r>
      <w:r w:rsidRPr="007D0444">
        <w:t xml:space="preserve"> university</w:t>
      </w:r>
      <w:r w:rsidR="001E23C4">
        <w:t>, bu</w:t>
      </w:r>
      <w:r w:rsidR="009F6546">
        <w:t>t there were no discerni</w:t>
      </w:r>
      <w:r w:rsidR="001E23C4">
        <w:t>ble patterns of difference across the four areas</w:t>
      </w:r>
      <w:r w:rsidRPr="007D0444">
        <w:t xml:space="preserve">. </w:t>
      </w:r>
    </w:p>
    <w:p w:rsidR="00DE1E98" w:rsidRDefault="002E54F0" w:rsidP="00FE4960">
      <w:pPr>
        <w:pStyle w:val="Text"/>
      </w:pPr>
      <w:r>
        <w:t xml:space="preserve">Secondly, </w:t>
      </w:r>
      <w:r w:rsidR="00BC5DBC">
        <w:t>while</w:t>
      </w:r>
      <w:r w:rsidR="007D0444" w:rsidRPr="007D0444">
        <w:t xml:space="preserve"> all schools had developed strategies to encourage students without the family habitus and understanding of university to consider this option, the schools that were more socially mixed and included young people from families with </w:t>
      </w:r>
      <w:r w:rsidR="005F2D0A">
        <w:t>a history of tertiary education</w:t>
      </w:r>
      <w:r w:rsidR="007D0444" w:rsidRPr="007D0444">
        <w:t xml:space="preserve"> were more likely to consider this option, confirming findings in the literature </w:t>
      </w:r>
      <w:r w:rsidR="00DE1E98">
        <w:t>on</w:t>
      </w:r>
      <w:r w:rsidR="007D0444" w:rsidRPr="007D0444">
        <w:t xml:space="preserve"> the continued influence of social class on</w:t>
      </w:r>
      <w:r w:rsidR="00BE4665">
        <w:t xml:space="preserve"> educatio</w:t>
      </w:r>
      <w:r w:rsidR="009F6546">
        <w:t>n outcomes (Ball 2006; Reay</w:t>
      </w:r>
      <w:r w:rsidR="00BE4665">
        <w:t xml:space="preserve"> 2011). </w:t>
      </w:r>
      <w:r w:rsidR="007D0444" w:rsidRPr="007D0444">
        <w:t xml:space="preserve">This finding also </w:t>
      </w:r>
      <w:r w:rsidR="009F6546">
        <w:t>resonates</w:t>
      </w:r>
      <w:r w:rsidR="007D0444" w:rsidRPr="007D0444">
        <w:t xml:space="preserve"> with the ideas of cultural convergence and disruption</w:t>
      </w:r>
      <w:r w:rsidR="009F6546">
        <w:t>,</w:t>
      </w:r>
      <w:r w:rsidR="007D0444" w:rsidRPr="007D0444">
        <w:t xml:space="preserve"> whereby young people who encounter educational cultures different </w:t>
      </w:r>
      <w:r w:rsidR="009F6546">
        <w:t>from</w:t>
      </w:r>
      <w:r w:rsidR="007D0444" w:rsidRPr="007D0444">
        <w:t xml:space="preserve"> their own are more likely to make life choices divergent from those they ‘inherit’ from their </w:t>
      </w:r>
      <w:r w:rsidR="0021491D">
        <w:t xml:space="preserve">socioeconomic </w:t>
      </w:r>
      <w:r w:rsidR="009F6546">
        <w:t>background (Granovetter 1973;</w:t>
      </w:r>
      <w:r w:rsidR="007D0444" w:rsidRPr="007D0444">
        <w:t xml:space="preserve"> Broadbent </w:t>
      </w:r>
      <w:r w:rsidR="00BE4665">
        <w:t>&amp;</w:t>
      </w:r>
      <w:r w:rsidR="00A06053">
        <w:t xml:space="preserve"> Cacciottolo</w:t>
      </w:r>
      <w:r w:rsidR="007D0444" w:rsidRPr="007D0444">
        <w:t xml:space="preserve"> </w:t>
      </w:r>
      <w:r w:rsidR="00FE3DFC" w:rsidRPr="007D0444">
        <w:fldChar w:fldCharType="begin"/>
      </w:r>
      <w:r w:rsidR="007D0444" w:rsidRPr="007D0444">
        <w:instrText xml:space="preserve"> ADDIN EN.CITE &lt;EndNote&gt;&lt;Cite ExcludeAuth="1"&gt;&lt;Author&gt;Broadbent&lt;/Author&gt;&lt;Year&gt;2013&lt;/Year&gt;&lt;RecNum&gt;76&lt;/RecNum&gt;&lt;DisplayText&gt;(2013)&lt;/DisplayText&gt;&lt;record&gt;&lt;rec-number&gt;76&lt;/rec-number&gt;&lt;foreign-keys&gt;&lt;key app="EN" db-id="fwd2spe0e95592e5v5fpzxepda9fpz5fv2sd"&gt;76&lt;/key&gt;&lt;/foreign-keys&gt;&lt;ref-type name="Journal Article"&gt;17&lt;/ref-type&gt;&lt;contributors&gt;&lt;authors&gt;&lt;author&gt;Broadbent, Robyn&lt;/author&gt;&lt;author&gt;Cacciattolo, Marcelle&lt;/author&gt;&lt;/authors&gt;&lt;/contributors&gt;&lt;titles&gt;&lt;title&gt;The role of school community partnerships in building successful transition pathways for young people: one school’s approach&lt;/title&gt;&lt;secondary-title&gt;The Australian Educational Researcher&lt;/secondary-title&gt;&lt;alt-title&gt;Aust. Educ. Res.&lt;/alt-title&gt;&lt;/titles&gt;&lt;periodical&gt;&lt;full-title&gt;The Australian Educational Researcher&lt;/full-title&gt;&lt;abbr-1&gt;Aust. Educ. Res.&lt;/abbr-1&gt;&lt;/periodical&gt;&lt;alt-periodical&gt;&lt;full-title&gt;The Australian Educational Researcher&lt;/full-title&gt;&lt;abbr-1&gt;Aust. Educ. Res.&lt;/abbr-1&gt;&lt;/alt-periodical&gt;&lt;pages&gt;109-123&lt;/pages&gt;&lt;volume&gt;40&lt;/volume&gt;&lt;number&gt;1&lt;/number&gt;&lt;keywords&gt;&lt;keyword&gt;Education&lt;/keyword&gt;&lt;keyword&gt;Community partnerships&lt;/keyword&gt;&lt;keyword&gt;Teachers&lt;/keyword&gt;&lt;keyword&gt;Careers&lt;/keyword&gt;&lt;/keywords&gt;&lt;dates&gt;&lt;year&gt;2013&lt;/year&gt;&lt;pub-dates&gt;&lt;date&gt;2013/02/01&lt;/date&gt;&lt;/pub-dates&gt;&lt;/dates&gt;&lt;publisher&gt;Springer Netherlands&lt;/publisher&gt;&lt;isbn&gt;0311-6999&lt;/isbn&gt;&lt;urls&gt;&lt;related-urls&gt;&lt;url&gt;http://dx.doi.org/10.1007/s13384-012-0081-9&lt;/url&gt;&lt;/related-urls&gt;&lt;/urls&gt;&lt;electronic-resource-num&gt;10.1007/s13384-012-0081-9&lt;/electronic-resource-num&gt;&lt;language&gt;English&lt;/language&gt;&lt;/record&gt;&lt;/Cite&gt;&lt;/EndNote&gt;</w:instrText>
      </w:r>
      <w:r w:rsidR="00FE3DFC" w:rsidRPr="007D0444">
        <w:fldChar w:fldCharType="separate"/>
      </w:r>
      <w:r w:rsidR="007D0444" w:rsidRPr="007D0444">
        <w:t>2013)</w:t>
      </w:r>
      <w:r w:rsidR="00FE3DFC" w:rsidRPr="007D0444">
        <w:fldChar w:fldCharType="end"/>
      </w:r>
      <w:r w:rsidR="00BE4665">
        <w:t>.</w:t>
      </w:r>
      <w:r w:rsidR="007D0444" w:rsidRPr="007D0444">
        <w:t xml:space="preserve"> However, as with other research on educational choice and decision-making, families without e</w:t>
      </w:r>
      <w:r w:rsidR="00A06053">
        <w:t>xperience of tertiary education</w:t>
      </w:r>
      <w:r w:rsidR="007D0444" w:rsidRPr="007D0444">
        <w:t xml:space="preserve"> left the decision to </w:t>
      </w:r>
      <w:r w:rsidR="00DE1E98">
        <w:t xml:space="preserve">the </w:t>
      </w:r>
      <w:r w:rsidR="007D0444" w:rsidRPr="007D0444">
        <w:t>young people, who in turn relied on fr</w:t>
      </w:r>
      <w:r w:rsidR="00DE1E98">
        <w:t>iends and other local networks.</w:t>
      </w:r>
    </w:p>
    <w:p w:rsidR="007D0444" w:rsidRPr="007D0444" w:rsidRDefault="007D0444" w:rsidP="00FE4960">
      <w:pPr>
        <w:pStyle w:val="Text"/>
      </w:pPr>
      <w:r w:rsidRPr="007D0444">
        <w:t xml:space="preserve">As a consequence, our third finding was that localised </w:t>
      </w:r>
      <w:r w:rsidR="00A06053">
        <w:t xml:space="preserve">considerations </w:t>
      </w:r>
      <w:r w:rsidRPr="007D0444">
        <w:t xml:space="preserve">affected the aspirations and choices that young people made in ‘choosing’ to stay with the familiar (as Mills </w:t>
      </w:r>
      <w:r w:rsidR="00BE4665">
        <w:t>&amp;</w:t>
      </w:r>
      <w:r w:rsidR="00A06053">
        <w:t xml:space="preserve"> Gale</w:t>
      </w:r>
      <w:r w:rsidRPr="007D0444">
        <w:t xml:space="preserve"> 2008 also fou</w:t>
      </w:r>
      <w:r w:rsidR="00BE4665">
        <w:t xml:space="preserve">nd and termed ‘inheritance’). </w:t>
      </w:r>
      <w:r w:rsidRPr="007D0444">
        <w:t xml:space="preserve">Additionally, as with Ianneli’s (2013) study of the </w:t>
      </w:r>
      <w:r w:rsidR="00F86FDB">
        <w:t>role</w:t>
      </w:r>
      <w:r w:rsidRPr="007D0444">
        <w:t xml:space="preserve"> of schools and curricula in </w:t>
      </w:r>
      <w:r w:rsidR="00F86FDB">
        <w:t>influencing young people’s decisions on whether</w:t>
      </w:r>
      <w:r w:rsidRPr="007D0444">
        <w:t xml:space="preserve"> to study locally or </w:t>
      </w:r>
      <w:r w:rsidR="00DE1E98">
        <w:t xml:space="preserve">stay </w:t>
      </w:r>
      <w:r w:rsidRPr="007D0444">
        <w:t xml:space="preserve">with the familiar, </w:t>
      </w:r>
      <w:r w:rsidR="00A06053">
        <w:t>the</w:t>
      </w:r>
      <w:r w:rsidRPr="007D0444">
        <w:t xml:space="preserve"> young people </w:t>
      </w:r>
      <w:r w:rsidR="00A06053">
        <w:t xml:space="preserve">in this study </w:t>
      </w:r>
      <w:r w:rsidRPr="007D0444">
        <w:t>were o</w:t>
      </w:r>
      <w:r w:rsidR="00F86FDB">
        <w:t>n pathways to lower ATAR scores; they</w:t>
      </w:r>
      <w:r w:rsidRPr="007D0444">
        <w:t xml:space="preserve"> often </w:t>
      </w:r>
      <w:r w:rsidR="00F86FDB">
        <w:t>lacked</w:t>
      </w:r>
      <w:r w:rsidRPr="007D0444">
        <w:t xml:space="preserve"> the requisite subjects for </w:t>
      </w:r>
      <w:r w:rsidR="00A06053" w:rsidRPr="007D0444">
        <w:t>science</w:t>
      </w:r>
      <w:r w:rsidR="00A06053">
        <w:t>,</w:t>
      </w:r>
      <w:r w:rsidR="00A06053" w:rsidRPr="007D0444">
        <w:t xml:space="preserve"> technology and maths</w:t>
      </w:r>
      <w:r w:rsidRPr="007D0444">
        <w:t xml:space="preserve"> (STEM) subjects and therefore ‘chose’ pathways into lower professions</w:t>
      </w:r>
      <w:r w:rsidR="00A06053">
        <w:t>,</w:t>
      </w:r>
      <w:r w:rsidRPr="007D0444">
        <w:t xml:space="preserve"> often in the public sector</w:t>
      </w:r>
      <w:r w:rsidR="00A06053">
        <w:t>,</w:t>
      </w:r>
      <w:r w:rsidRPr="007D0444">
        <w:t xml:space="preserve"> rather than </w:t>
      </w:r>
      <w:r w:rsidR="00F86FDB">
        <w:t xml:space="preserve">selecting </w:t>
      </w:r>
      <w:r w:rsidRPr="007D0444">
        <w:t xml:space="preserve">curricula and universities that would segue into traditional professional employment. In this regard, their physical </w:t>
      </w:r>
      <w:r w:rsidR="00A06053">
        <w:t>lack of mobility</w:t>
      </w:r>
      <w:r w:rsidRPr="007D0444">
        <w:t xml:space="preserve"> w</w:t>
      </w:r>
      <w:r w:rsidR="00A06053">
        <w:t>as</w:t>
      </w:r>
      <w:r w:rsidR="00F86FDB">
        <w:t xml:space="preserve"> </w:t>
      </w:r>
      <w:r w:rsidRPr="007D0444">
        <w:t xml:space="preserve">once again replicating </w:t>
      </w:r>
      <w:r w:rsidR="00A06053">
        <w:t xml:space="preserve">their </w:t>
      </w:r>
      <w:r w:rsidRPr="007D0444">
        <w:t>social immobi</w:t>
      </w:r>
      <w:r w:rsidR="00A06053">
        <w:t>lity (Elliott &amp; Urry</w:t>
      </w:r>
      <w:r w:rsidR="00BE4665">
        <w:t xml:space="preserve"> 2010).</w:t>
      </w:r>
    </w:p>
    <w:p w:rsidR="001E23C4" w:rsidRDefault="001E23C4" w:rsidP="00A06053">
      <w:pPr>
        <w:pStyle w:val="Heading2"/>
      </w:pPr>
      <w:bookmarkStart w:id="115" w:name="_Toc409079384"/>
      <w:r w:rsidRPr="001E23C4">
        <w:t>Geographic and place influences</w:t>
      </w:r>
      <w:bookmarkEnd w:id="115"/>
      <w:r>
        <w:t xml:space="preserve"> </w:t>
      </w:r>
    </w:p>
    <w:p w:rsidR="00DE1E98" w:rsidRDefault="007D0444" w:rsidP="007D0444">
      <w:pPr>
        <w:pStyle w:val="Text"/>
      </w:pPr>
      <w:r w:rsidRPr="007D0444">
        <w:t xml:space="preserve">Underpinning the findings in relation </w:t>
      </w:r>
      <w:r w:rsidR="00A06053">
        <w:t>to these pathways to engagement</w:t>
      </w:r>
      <w:r w:rsidRPr="007D0444">
        <w:t xml:space="preserve"> were geographic influences and what we have termed the </w:t>
      </w:r>
      <w:r w:rsidR="00A06053">
        <w:t>‘</w:t>
      </w:r>
      <w:r w:rsidR="001E23C4">
        <w:t xml:space="preserve">embodied </w:t>
      </w:r>
      <w:r w:rsidRPr="007D0444">
        <w:t>psychology of place</w:t>
      </w:r>
      <w:r w:rsidR="00A06053">
        <w:t>’</w:t>
      </w:r>
      <w:r w:rsidRPr="007D0444">
        <w:t xml:space="preserve">. Popular culture and policy might </w:t>
      </w:r>
      <w:r w:rsidR="005F2D0A">
        <w:t>promote</w:t>
      </w:r>
      <w:r w:rsidRPr="007D0444">
        <w:t xml:space="preserve"> mobility, but our study identified a range of </w:t>
      </w:r>
      <w:r w:rsidR="00A06053" w:rsidRPr="007D0444">
        <w:t xml:space="preserve">physical and perceptual </w:t>
      </w:r>
      <w:r w:rsidRPr="007D0444">
        <w:t xml:space="preserve">factors that </w:t>
      </w:r>
      <w:r w:rsidR="00BE4665">
        <w:t>kept people in the local place.</w:t>
      </w:r>
      <w:r w:rsidRPr="007D0444">
        <w:t xml:space="preserve"> Many physical </w:t>
      </w:r>
      <w:r w:rsidR="00A06053">
        <w:t xml:space="preserve">difficulties </w:t>
      </w:r>
      <w:r w:rsidR="00DE1E98">
        <w:t xml:space="preserve">to relocation/study </w:t>
      </w:r>
      <w:r w:rsidR="00A06053">
        <w:t>were recounted,</w:t>
      </w:r>
      <w:r w:rsidRPr="007D0444">
        <w:t xml:space="preserve"> as they have been in </w:t>
      </w:r>
      <w:r w:rsidR="00A06053">
        <w:t>other policy studies (Dow, Allan &amp; Mitchell</w:t>
      </w:r>
      <w:r w:rsidRPr="007D0444">
        <w:t xml:space="preserve"> 2011)</w:t>
      </w:r>
      <w:r w:rsidR="00A06053">
        <w:t>,</w:t>
      </w:r>
      <w:r w:rsidRPr="007D0444">
        <w:t xml:space="preserve"> including distance from centres of learning, lack of transport, lack of broadband internet access, costs of travel, limited e</w:t>
      </w:r>
      <w:r w:rsidR="00A06053">
        <w:t>ducation providers and program</w:t>
      </w:r>
      <w:r w:rsidRPr="007D0444">
        <w:t>s</w:t>
      </w:r>
      <w:r w:rsidR="00DE1E98">
        <w:t>,</w:t>
      </w:r>
      <w:r w:rsidRPr="007D0444">
        <w:t xml:space="preserve"> and the unintended consequences of funding policies for education and training that impacted </w:t>
      </w:r>
      <w:r w:rsidR="00DE1E98">
        <w:t>particularly</w:t>
      </w:r>
      <w:r w:rsidRPr="007D0444">
        <w:t xml:space="preserve"> harshly on those most in need. Equally</w:t>
      </w:r>
      <w:r w:rsidR="009900E8">
        <w:t>,</w:t>
      </w:r>
      <w:r w:rsidRPr="007D0444">
        <w:t xml:space="preserve"> the perceptions of place and acceptable times and</w:t>
      </w:r>
      <w:r w:rsidR="00843A72">
        <w:t xml:space="preserve"> costs </w:t>
      </w:r>
      <w:r w:rsidR="005F2D0A">
        <w:t xml:space="preserve">for travel to study </w:t>
      </w:r>
      <w:r w:rsidR="00843A72">
        <w:t xml:space="preserve">were important, </w:t>
      </w:r>
      <w:r w:rsidR="009900E8">
        <w:t>demonstrating</w:t>
      </w:r>
      <w:r w:rsidR="00843A72">
        <w:t xml:space="preserve"> </w:t>
      </w:r>
      <w:r w:rsidRPr="007D0444">
        <w:t xml:space="preserve">again </w:t>
      </w:r>
      <w:r w:rsidR="009900E8">
        <w:t xml:space="preserve">that </w:t>
      </w:r>
      <w:r w:rsidRPr="007D0444">
        <w:t>perceptions of place are developed though interactions within families, social networks and other encounters</w:t>
      </w:r>
      <w:r w:rsidR="00D13A1E">
        <w:t xml:space="preserve"> </w:t>
      </w:r>
      <w:r w:rsidR="005F2D0A">
        <w:t>(o</w:t>
      </w:r>
      <w:r w:rsidR="0079657F">
        <w:t>r</w:t>
      </w:r>
      <w:r w:rsidR="005F2D0A">
        <w:t>,</w:t>
      </w:r>
      <w:r w:rsidRPr="007D0444">
        <w:t xml:space="preserve"> drawing on Bourdieu</w:t>
      </w:r>
      <w:r w:rsidR="005F2D0A">
        <w:t>,</w:t>
      </w:r>
      <w:r w:rsidRPr="007D0444">
        <w:t xml:space="preserve"> what we termed</w:t>
      </w:r>
      <w:r w:rsidR="00BE4665">
        <w:t xml:space="preserve"> </w:t>
      </w:r>
      <w:r w:rsidR="00DE1E98">
        <w:t>‘</w:t>
      </w:r>
      <w:r w:rsidR="00BE4665">
        <w:t>habitus</w:t>
      </w:r>
      <w:r w:rsidR="00DE1E98">
        <w:t>’</w:t>
      </w:r>
      <w:r w:rsidR="00BE4665">
        <w:t xml:space="preserve"> and </w:t>
      </w:r>
      <w:r w:rsidR="00DE1E98">
        <w:t>‘</w:t>
      </w:r>
      <w:r w:rsidR="00BE4665">
        <w:t>fields of power</w:t>
      </w:r>
      <w:r w:rsidR="00DE1E98">
        <w:t>’</w:t>
      </w:r>
      <w:r w:rsidR="00BE4665">
        <w:t xml:space="preserve">). </w:t>
      </w:r>
      <w:r w:rsidRPr="007D0444">
        <w:t>For</w:t>
      </w:r>
      <w:r w:rsidR="009900E8">
        <w:t xml:space="preserve"> a number of participants, however,</w:t>
      </w:r>
      <w:r w:rsidRPr="007D0444">
        <w:t xml:space="preserve"> the local place was ‘not all bad’</w:t>
      </w:r>
      <w:r w:rsidR="0033252A">
        <w:t>. Two of the places, Southland and Eastshire, both with beac</w:t>
      </w:r>
      <w:r w:rsidR="00381F2C">
        <w:t xml:space="preserve">hes, </w:t>
      </w:r>
      <w:r w:rsidR="00381F2C">
        <w:lastRenderedPageBreak/>
        <w:t xml:space="preserve">farmland, forests and artisan food producers and wineries </w:t>
      </w:r>
      <w:r w:rsidR="0033252A">
        <w:t>were regarded as offering a good lifestyle</w:t>
      </w:r>
      <w:r w:rsidR="00212803">
        <w:t xml:space="preserve">. Not surprisingly, </w:t>
      </w:r>
      <w:r w:rsidR="0033252A">
        <w:t>there were several examples of professional</w:t>
      </w:r>
      <w:r w:rsidR="009900E8">
        <w:t>s who had chosen to re</w:t>
      </w:r>
      <w:r w:rsidR="00212803">
        <w:t>locate to</w:t>
      </w:r>
      <w:r w:rsidR="0033252A">
        <w:t xml:space="preserve"> these areas</w:t>
      </w:r>
      <w:r w:rsidRPr="007D0444">
        <w:t xml:space="preserve">. </w:t>
      </w:r>
      <w:r w:rsidR="0033252A">
        <w:t>In contrast, in the other two areas, Westvale and Northtown, many p</w:t>
      </w:r>
      <w:r w:rsidR="00DE1E98">
        <w:t xml:space="preserve">rofessionals chose to commute </w:t>
      </w:r>
      <w:r w:rsidR="0033252A">
        <w:t>to the area for employment rather than live there. Interestingly, the strategic move by one school principal in Northtown to encourage new</w:t>
      </w:r>
      <w:r w:rsidR="009900E8">
        <w:t>, younger staff to live locally</w:t>
      </w:r>
      <w:r w:rsidR="0033252A">
        <w:t xml:space="preserve"> had helped to develop a commitment to the </w:t>
      </w:r>
      <w:r w:rsidR="00111E27">
        <w:t xml:space="preserve">needs of </w:t>
      </w:r>
      <w:r w:rsidR="009900E8">
        <w:t xml:space="preserve">the </w:t>
      </w:r>
      <w:r w:rsidR="0033252A">
        <w:t xml:space="preserve">area and </w:t>
      </w:r>
      <w:r w:rsidR="009900E8">
        <w:t xml:space="preserve">had contributed </w:t>
      </w:r>
      <w:r w:rsidR="00DE1E98">
        <w:t>to</w:t>
      </w:r>
      <w:r w:rsidR="009900E8">
        <w:t xml:space="preserve"> an increase in the number</w:t>
      </w:r>
      <w:r w:rsidR="00111E27">
        <w:t xml:space="preserve"> of young people from this school choosing a post-school pathway to a local university.</w:t>
      </w:r>
    </w:p>
    <w:p w:rsidR="007D0444" w:rsidRPr="007D0444" w:rsidRDefault="007D0444" w:rsidP="007D0444">
      <w:pPr>
        <w:pStyle w:val="Text"/>
      </w:pPr>
      <w:r w:rsidRPr="007D0444">
        <w:t>A</w:t>
      </w:r>
      <w:r w:rsidR="00111E27">
        <w:t xml:space="preserve">s well as the importance of the natural beauty of a place, a </w:t>
      </w:r>
      <w:r w:rsidRPr="007D0444">
        <w:t xml:space="preserve">number </w:t>
      </w:r>
      <w:r w:rsidR="00111E27">
        <w:t xml:space="preserve">of people </w:t>
      </w:r>
      <w:r w:rsidRPr="007D0444">
        <w:t>identified the value of community in amelior</w:t>
      </w:r>
      <w:r w:rsidR="009900E8">
        <w:t>ating the isolation of distance</w:t>
      </w:r>
      <w:r w:rsidRPr="007D0444">
        <w:t xml:space="preserve"> </w:t>
      </w:r>
      <w:r w:rsidR="001E23C4">
        <w:t xml:space="preserve">and in compensating for poor pay and </w:t>
      </w:r>
      <w:r w:rsidRPr="007D0444">
        <w:t xml:space="preserve">having a </w:t>
      </w:r>
      <w:r w:rsidR="001E23C4">
        <w:t>‘</w:t>
      </w:r>
      <w:r w:rsidRPr="007D0444">
        <w:t>job not a career</w:t>
      </w:r>
      <w:r w:rsidR="001E23C4">
        <w:t xml:space="preserve">’. </w:t>
      </w:r>
      <w:r w:rsidR="00627308">
        <w:t>These findings resonate with those</w:t>
      </w:r>
      <w:r w:rsidR="001E23C4">
        <w:t xml:space="preserve"> of Hillman</w:t>
      </w:r>
      <w:r w:rsidRPr="007D0444">
        <w:t xml:space="preserve"> (2005)</w:t>
      </w:r>
      <w:r w:rsidR="009900E8">
        <w:t>,</w:t>
      </w:r>
      <w:r w:rsidRPr="007D0444">
        <w:t xml:space="preserve"> </w:t>
      </w:r>
      <w:r w:rsidR="001E23C4">
        <w:t xml:space="preserve">who found </w:t>
      </w:r>
      <w:r w:rsidR="00DE1E98">
        <w:t>a</w:t>
      </w:r>
      <w:r w:rsidR="00627308">
        <w:t xml:space="preserve"> strong </w:t>
      </w:r>
      <w:r w:rsidR="009900E8">
        <w:t>pull</w:t>
      </w:r>
      <w:r w:rsidR="00627308">
        <w:t xml:space="preserve"> to return ‘</w:t>
      </w:r>
      <w:proofErr w:type="gramStart"/>
      <w:r w:rsidR="00627308">
        <w:t>home’</w:t>
      </w:r>
      <w:proofErr w:type="gramEnd"/>
      <w:r w:rsidR="00627308">
        <w:t xml:space="preserve"> among</w:t>
      </w:r>
      <w:r w:rsidRPr="007D0444">
        <w:t xml:space="preserve"> university students</w:t>
      </w:r>
      <w:r w:rsidR="001E23C4">
        <w:t xml:space="preserve"> once they have graduated</w:t>
      </w:r>
      <w:r w:rsidRPr="007D0444">
        <w:t>. Indeed</w:t>
      </w:r>
      <w:r w:rsidR="00627308">
        <w:t>,</w:t>
      </w:r>
      <w:r w:rsidRPr="007D0444">
        <w:t xml:space="preserve"> a number of stakeholders pointed to </w:t>
      </w:r>
      <w:r w:rsidR="009900E8">
        <w:t>the practice of many university-</w:t>
      </w:r>
      <w:r w:rsidRPr="007D0444">
        <w:t>edu</w:t>
      </w:r>
      <w:r w:rsidR="00627308">
        <w:t>cated families leaving the area</w:t>
      </w:r>
      <w:r w:rsidR="005F2D0A">
        <w:t xml:space="preserve"> (particularly areas</w:t>
      </w:r>
      <w:r w:rsidRPr="007D0444">
        <w:t xml:space="preserve"> with outstanding scenery such as Southland and Eastshire) to support the continuing education of their families in metropolitan areas and then </w:t>
      </w:r>
      <w:r w:rsidR="001E23C4">
        <w:t>being drawn back by the psychology of the place, choosing to return</w:t>
      </w:r>
      <w:r w:rsidR="009900E8">
        <w:t xml:space="preserve"> later to re</w:t>
      </w:r>
      <w:r w:rsidRPr="007D0444">
        <w:t>settle</w:t>
      </w:r>
      <w:r w:rsidR="00BE4665">
        <w:t xml:space="preserve">. </w:t>
      </w:r>
      <w:r w:rsidRPr="007D0444">
        <w:t>Indeed, one provider mentioned the advocacy her organisation undertook for a Victorian scholarship scheme (called Young Professionals Provincial Cadetships Program)</w:t>
      </w:r>
      <w:r w:rsidR="000E2E77">
        <w:t>. The aim of the program was</w:t>
      </w:r>
      <w:r w:rsidRPr="007D0444">
        <w:t xml:space="preserve"> to facil</w:t>
      </w:r>
      <w:r w:rsidR="00627308">
        <w:t xml:space="preserve">itate </w:t>
      </w:r>
      <w:r w:rsidR="000E2E77">
        <w:t xml:space="preserve">the return for </w:t>
      </w:r>
      <w:r w:rsidR="000E2E77" w:rsidRPr="007D0444">
        <w:t xml:space="preserve">work experience </w:t>
      </w:r>
      <w:r w:rsidR="000E2E77">
        <w:t>of young people who had</w:t>
      </w:r>
      <w:r w:rsidR="00627308">
        <w:t xml:space="preserve"> mov</w:t>
      </w:r>
      <w:r w:rsidR="000E2E77">
        <w:t>ed</w:t>
      </w:r>
      <w:r w:rsidR="00627308">
        <w:t xml:space="preserve"> </w:t>
      </w:r>
      <w:r w:rsidRPr="007D0444">
        <w:t>out of the area to study</w:t>
      </w:r>
      <w:r w:rsidR="000E2E77">
        <w:t>, the idea being to encourage post-</w:t>
      </w:r>
      <w:r w:rsidRPr="007D0444">
        <w:t>qualification resettleme</w:t>
      </w:r>
      <w:r>
        <w:t>nt in regional and rural areas.</w:t>
      </w:r>
    </w:p>
    <w:p w:rsidR="00627308" w:rsidRDefault="00627308" w:rsidP="000E2E77">
      <w:pPr>
        <w:pStyle w:val="Heading2"/>
      </w:pPr>
      <w:bookmarkStart w:id="116" w:name="_Toc409079385"/>
      <w:r>
        <w:t xml:space="preserve">Gender, </w:t>
      </w:r>
      <w:r w:rsidRPr="00627308">
        <w:t>family influences</w:t>
      </w:r>
      <w:r>
        <w:t xml:space="preserve"> and the familiar</w:t>
      </w:r>
      <w:bookmarkEnd w:id="116"/>
    </w:p>
    <w:p w:rsidR="007D0444" w:rsidRPr="007D0444" w:rsidRDefault="000E2E77" w:rsidP="008E0670">
      <w:pPr>
        <w:pStyle w:val="Text"/>
      </w:pPr>
      <w:r>
        <w:t>T</w:t>
      </w:r>
      <w:r w:rsidRPr="007D0444">
        <w:t xml:space="preserve">wo other major themes </w:t>
      </w:r>
      <w:r>
        <w:t>were also connected to the psychology of place. These were</w:t>
      </w:r>
      <w:r w:rsidR="007D0444" w:rsidRPr="007D0444">
        <w:t xml:space="preserve"> gender and the traditions and influences of family and the familiar. </w:t>
      </w:r>
      <w:r w:rsidR="007D0444" w:rsidRPr="005B1C37">
        <w:t>Although Glover et al</w:t>
      </w:r>
      <w:r w:rsidRPr="005B1C37">
        <w:t>.</w:t>
      </w:r>
      <w:r w:rsidR="007D0444" w:rsidRPr="005B1C37">
        <w:t xml:space="preserve"> (2010) identified</w:t>
      </w:r>
      <w:r w:rsidR="007D0444" w:rsidRPr="007D0444">
        <w:t xml:space="preserve"> low levels of parental involvement in education in </w:t>
      </w:r>
      <w:r w:rsidR="00627308">
        <w:t xml:space="preserve">two of </w:t>
      </w:r>
      <w:r w:rsidR="007D0444" w:rsidRPr="007D0444">
        <w:t>the areas</w:t>
      </w:r>
      <w:r w:rsidR="005F2D0A">
        <w:t xml:space="preserve">, </w:t>
      </w:r>
      <w:proofErr w:type="spellStart"/>
      <w:r w:rsidR="00627308" w:rsidRPr="00EC776A">
        <w:t>Northtown</w:t>
      </w:r>
      <w:proofErr w:type="spellEnd"/>
      <w:r w:rsidR="007D0444" w:rsidRPr="007D0444">
        <w:t xml:space="preserve"> and </w:t>
      </w:r>
      <w:r w:rsidR="007D0444" w:rsidRPr="00EC776A">
        <w:t>Southland</w:t>
      </w:r>
      <w:r w:rsidR="00843A72">
        <w:t>,</w:t>
      </w:r>
      <w:r w:rsidR="007D0444" w:rsidRPr="007D0444">
        <w:t xml:space="preserve"> </w:t>
      </w:r>
      <w:r w:rsidR="00627308">
        <w:t xml:space="preserve">in our study of those young people who aspired to continue in post-school education and training, </w:t>
      </w:r>
      <w:r w:rsidR="007D0444" w:rsidRPr="007D0444">
        <w:t>the involvement of parents was highlighted</w:t>
      </w:r>
      <w:r w:rsidR="00BE4665">
        <w:t xml:space="preserve"> </w:t>
      </w:r>
      <w:r w:rsidR="00627308">
        <w:t>as valuable</w:t>
      </w:r>
      <w:r w:rsidR="005F2D0A">
        <w:t>,</w:t>
      </w:r>
      <w:r w:rsidR="00BE4665">
        <w:t xml:space="preserve"> </w:t>
      </w:r>
      <w:r w:rsidR="005F2D0A">
        <w:t>suggesting</w:t>
      </w:r>
      <w:r w:rsidR="007D0444" w:rsidRPr="007D0444">
        <w:t xml:space="preserve"> even </w:t>
      </w:r>
      <w:r w:rsidR="005F2D0A">
        <w:t>parents</w:t>
      </w:r>
      <w:r w:rsidR="007D0444" w:rsidRPr="007D0444">
        <w:t xml:space="preserve"> without direct experience of university education</w:t>
      </w:r>
      <w:r w:rsidR="005F2D0A">
        <w:t xml:space="preserve"> are</w:t>
      </w:r>
      <w:r w:rsidR="007D0444" w:rsidRPr="007D0444">
        <w:t xml:space="preserve"> an important part of the support structure in creating the habitus and building the capability to continue with educ</w:t>
      </w:r>
      <w:r>
        <w:t xml:space="preserve">ation and learning. This </w:t>
      </w:r>
      <w:r w:rsidR="006600E3">
        <w:t xml:space="preserve">confirms </w:t>
      </w:r>
      <w:r w:rsidR="007D0444" w:rsidRPr="007D0444">
        <w:t>the notion of ‘quiet support’ from parents raised by Marks et al</w:t>
      </w:r>
      <w:r w:rsidR="006600E3">
        <w:t>.</w:t>
      </w:r>
      <w:r w:rsidR="007D0444" w:rsidRPr="007D0444">
        <w:t xml:space="preserve"> (2011), Bryce et al</w:t>
      </w:r>
      <w:r w:rsidR="006600E3">
        <w:t>.</w:t>
      </w:r>
      <w:r w:rsidR="007D0444" w:rsidRPr="007D0444">
        <w:t xml:space="preserve"> (2007) and Bedson </w:t>
      </w:r>
      <w:r w:rsidR="00EC776A">
        <w:t>and Perkins</w:t>
      </w:r>
      <w:r w:rsidR="007D0444" w:rsidRPr="007D0444">
        <w:t xml:space="preserve"> </w:t>
      </w:r>
      <w:r w:rsidR="006600E3">
        <w:t>(2006). A</w:t>
      </w:r>
      <w:r w:rsidR="007D0444" w:rsidRPr="007D0444">
        <w:t xml:space="preserve">s with other </w:t>
      </w:r>
      <w:r w:rsidR="006600E3">
        <w:t xml:space="preserve">research on </w:t>
      </w:r>
      <w:r w:rsidR="007D0444" w:rsidRPr="007D0444">
        <w:t xml:space="preserve">traditional working class communities, we found </w:t>
      </w:r>
      <w:r w:rsidR="006600E3">
        <w:t xml:space="preserve">the </w:t>
      </w:r>
      <w:r w:rsidR="007D0444" w:rsidRPr="007D0444">
        <w:t>strong influences of family and gender</w:t>
      </w:r>
      <w:r w:rsidR="006600E3">
        <w:t>ed role modelling (Marks et al. 2011; Bryce et al. 2007;</w:t>
      </w:r>
      <w:r w:rsidR="007D0444" w:rsidRPr="007D0444">
        <w:t xml:space="preserve"> Broadbent </w:t>
      </w:r>
      <w:r w:rsidR="00BE4665">
        <w:t>&amp;</w:t>
      </w:r>
      <w:r w:rsidR="007D0444" w:rsidRPr="007D0444">
        <w:t xml:space="preserve"> Cacciattol</w:t>
      </w:r>
      <w:r w:rsidR="006600E3">
        <w:t xml:space="preserve">o 2013; </w:t>
      </w:r>
      <w:r w:rsidR="006600E3" w:rsidRPr="00EC776A">
        <w:t xml:space="preserve">Bedson </w:t>
      </w:r>
      <w:r w:rsidR="00EC776A" w:rsidRPr="00EC776A">
        <w:t>&amp; Perkins</w:t>
      </w:r>
      <w:r w:rsidR="00BE4665" w:rsidRPr="00EC776A">
        <w:t xml:space="preserve"> 2006</w:t>
      </w:r>
      <w:r w:rsidR="00BE4665">
        <w:t xml:space="preserve">). </w:t>
      </w:r>
      <w:r w:rsidR="006600E3">
        <w:t>The p</w:t>
      </w:r>
      <w:r w:rsidR="007D0444" w:rsidRPr="007D0444">
        <w:t>atterns of VET and university participation were si</w:t>
      </w:r>
      <w:r w:rsidR="00BE4665">
        <w:t>milar to those found by Butler and</w:t>
      </w:r>
      <w:r w:rsidR="007D0444" w:rsidRPr="007D0444">
        <w:t xml:space="preserve"> Ferrier (2006) and Mills and Gale (2008)</w:t>
      </w:r>
      <w:r w:rsidR="00326575">
        <w:t>. Post-school participation in VET and university curricula replicated the occupational opportunities available in the highly gendered labour markets in these urban fringe and regional and rural areas</w:t>
      </w:r>
      <w:r w:rsidR="006600E3" w:rsidRPr="00326575">
        <w:t>,</w:t>
      </w:r>
      <w:r w:rsidR="007D0444" w:rsidRPr="00326575">
        <w:t xml:space="preserve"> </w:t>
      </w:r>
      <w:r w:rsidR="007D0444" w:rsidRPr="008C0D4D">
        <w:t xml:space="preserve">thus perhaps limiting the potential for personal change. But </w:t>
      </w:r>
      <w:r w:rsidR="00BC5DBC" w:rsidRPr="008C0D4D">
        <w:t>while</w:t>
      </w:r>
      <w:r w:rsidR="007D0444" w:rsidRPr="008C0D4D">
        <w:t xml:space="preserve"> boys often followed in the traditions</w:t>
      </w:r>
      <w:r w:rsidR="007D0444" w:rsidRPr="007D0444">
        <w:t xml:space="preserve"> of their fathers, brothers and other key male figures, not all women stayed local and close to their mothers, especially if their mothers had some </w:t>
      </w:r>
      <w:r w:rsidR="005F2D0A">
        <w:t xml:space="preserve">past </w:t>
      </w:r>
      <w:r w:rsidR="007D0444" w:rsidRPr="007D0444">
        <w:t>tertiary e</w:t>
      </w:r>
      <w:r w:rsidR="006600E3">
        <w:t>ducation experience. A</w:t>
      </w:r>
      <w:r w:rsidR="007D0444" w:rsidRPr="007D0444">
        <w:t>s one unive</w:t>
      </w:r>
      <w:r w:rsidR="00BE4665">
        <w:t>rsity spokesperson commented, ‘s</w:t>
      </w:r>
      <w:r w:rsidR="007D0444" w:rsidRPr="007D0444">
        <w:t>mart girls leave’ (again confirming findings of other studies of remote and isolated communities, se</w:t>
      </w:r>
      <w:r w:rsidR="006600E3">
        <w:t xml:space="preserve">e </w:t>
      </w:r>
      <w:r w:rsidR="006600E3" w:rsidRPr="00326575">
        <w:t>Porter</w:t>
      </w:r>
      <w:r w:rsidR="007D0444" w:rsidRPr="00326575">
        <w:t xml:space="preserve"> 1993</w:t>
      </w:r>
      <w:r w:rsidR="007D0444">
        <w:t xml:space="preserve"> on Newfoundland</w:t>
      </w:r>
      <w:r w:rsidR="00326575">
        <w:t>; Corbett 2007 on Nova Scotia</w:t>
      </w:r>
      <w:r w:rsidR="007D0444">
        <w:t>)</w:t>
      </w:r>
      <w:r w:rsidR="00BE4665">
        <w:t>.</w:t>
      </w:r>
    </w:p>
    <w:p w:rsidR="008C229E" w:rsidRPr="008C229E" w:rsidRDefault="00233737" w:rsidP="006600E3">
      <w:pPr>
        <w:pStyle w:val="Heading2"/>
      </w:pPr>
      <w:bookmarkStart w:id="117" w:name="_Toc409079386"/>
      <w:r>
        <w:t xml:space="preserve">Disrupting </w:t>
      </w:r>
      <w:r w:rsidR="00FA78DB">
        <w:t xml:space="preserve">pragmatic rationalism and </w:t>
      </w:r>
      <w:r>
        <w:t>envisaging</w:t>
      </w:r>
      <w:r w:rsidR="000E4583">
        <w:t xml:space="preserve"> </w:t>
      </w:r>
      <w:r w:rsidR="00FA78DB">
        <w:t>new imaginaries</w:t>
      </w:r>
      <w:bookmarkEnd w:id="117"/>
    </w:p>
    <w:p w:rsidR="00EC776A" w:rsidRDefault="00EC776A" w:rsidP="007D0444">
      <w:pPr>
        <w:pStyle w:val="Text"/>
      </w:pPr>
      <w:r>
        <w:t>I</w:t>
      </w:r>
      <w:r w:rsidR="00FA78DB">
        <w:t>n identifying how</w:t>
      </w:r>
      <w:r w:rsidR="007D0444" w:rsidRPr="007D0444">
        <w:t xml:space="preserve"> geography, </w:t>
      </w:r>
      <w:r w:rsidR="008C229E">
        <w:t xml:space="preserve">place, </w:t>
      </w:r>
      <w:r w:rsidR="007D0444" w:rsidRPr="007D0444">
        <w:t xml:space="preserve">opportunities, family tradition and gender play a part in affecting how young people ‘choose’ pathways to education and training, we </w:t>
      </w:r>
      <w:r w:rsidR="00233737">
        <w:t xml:space="preserve">have </w:t>
      </w:r>
      <w:r w:rsidR="000E4583">
        <w:t xml:space="preserve">shown </w:t>
      </w:r>
      <w:r w:rsidR="00233737">
        <w:t xml:space="preserve">how their </w:t>
      </w:r>
      <w:r w:rsidR="000E4583">
        <w:t xml:space="preserve">choices are circumscribed </w:t>
      </w:r>
      <w:r w:rsidR="00233737">
        <w:t xml:space="preserve">and can be understood as </w:t>
      </w:r>
      <w:r w:rsidR="000E4583">
        <w:t xml:space="preserve">pragmatic rationalisations of their </w:t>
      </w:r>
      <w:r w:rsidR="007D0444" w:rsidRPr="007D0444">
        <w:t>aspiration</w:t>
      </w:r>
      <w:r w:rsidR="000E4583">
        <w:t>s</w:t>
      </w:r>
      <w:r>
        <w:t>,</w:t>
      </w:r>
      <w:r w:rsidR="007D0444" w:rsidRPr="007D0444">
        <w:t xml:space="preserve"> </w:t>
      </w:r>
      <w:r w:rsidR="000E4583">
        <w:t xml:space="preserve">or put another way, of </w:t>
      </w:r>
      <w:r w:rsidR="006600E3">
        <w:t>‘</w:t>
      </w:r>
      <w:r w:rsidR="007D0444" w:rsidRPr="007D0444">
        <w:t>the capacity to imagine futures</w:t>
      </w:r>
      <w:r w:rsidR="006600E3">
        <w:t>’</w:t>
      </w:r>
      <w:r w:rsidR="00BE4665">
        <w:t xml:space="preserve"> (Sellar &amp; Gale 2011, p.122). </w:t>
      </w:r>
      <w:r w:rsidR="007D0444" w:rsidRPr="007D0444">
        <w:t xml:space="preserve">Our findings also </w:t>
      </w:r>
      <w:r w:rsidR="007D0444" w:rsidRPr="007D0444">
        <w:lastRenderedPageBreak/>
        <w:t>confirm</w:t>
      </w:r>
      <w:r w:rsidR="00BE4665">
        <w:t xml:space="preserve"> one recent report</w:t>
      </w:r>
      <w:r w:rsidR="006600E3">
        <w:t>, which</w:t>
      </w:r>
      <w:r w:rsidR="00BE4665">
        <w:t xml:space="preserve"> notes, ‘</w:t>
      </w:r>
      <w:r w:rsidR="007D0444" w:rsidRPr="007D0444">
        <w:t>there is no single determinant of education aspirations, but rather a complex interplay between related considerations which operate cumulatively to reflect how far a student hopes to progress in school, and the degree of</w:t>
      </w:r>
      <w:r w:rsidR="00BE4665">
        <w:t xml:space="preserve"> education they seek to achieve’</w:t>
      </w:r>
      <w:r w:rsidR="007D0444" w:rsidRPr="007D0444">
        <w:t xml:space="preserve"> (</w:t>
      </w:r>
      <w:r w:rsidR="007D0444" w:rsidRPr="000E3148">
        <w:t>Regional Policy Advisory Committee</w:t>
      </w:r>
      <w:r w:rsidR="000E4583" w:rsidRPr="000E3148">
        <w:t xml:space="preserve"> 2013, </w:t>
      </w:r>
      <w:r w:rsidRPr="000E3148">
        <w:t>p.32).</w:t>
      </w:r>
    </w:p>
    <w:p w:rsidR="007D0444" w:rsidRPr="007D0444" w:rsidRDefault="000E4583" w:rsidP="007D0444">
      <w:pPr>
        <w:pStyle w:val="Text"/>
      </w:pPr>
      <w:r>
        <w:t>Our contribution</w:t>
      </w:r>
      <w:r w:rsidR="007D0444" w:rsidRPr="007D0444">
        <w:t xml:space="preserve"> has been to uncover the sources of these </w:t>
      </w:r>
      <w:r>
        <w:t xml:space="preserve">complex </w:t>
      </w:r>
      <w:r w:rsidR="007D0444" w:rsidRPr="007D0444">
        <w:t>effects on aspirations</w:t>
      </w:r>
      <w:r>
        <w:t xml:space="preserve"> and </w:t>
      </w:r>
      <w:r w:rsidR="0088321C">
        <w:t xml:space="preserve">to identify </w:t>
      </w:r>
      <w:r>
        <w:t>the navigational strategies young people employ to pursue their aspirations</w:t>
      </w:r>
      <w:r w:rsidR="007D0444" w:rsidRPr="007D0444">
        <w:t xml:space="preserve">. </w:t>
      </w:r>
      <w:r w:rsidR="00A40E21" w:rsidRPr="007D0444">
        <w:t>Narrative</w:t>
      </w:r>
      <w:r w:rsidR="007D0444" w:rsidRPr="007D0444">
        <w:t xml:space="preserve"> inquiry has enabled us to present and discuss a range of accounts and types of aspirations. In these accounts we</w:t>
      </w:r>
      <w:r w:rsidR="00843A72">
        <w:t xml:space="preserve"> have identified </w:t>
      </w:r>
      <w:r w:rsidR="007D0444" w:rsidRPr="007D0444">
        <w:t>examples of how family habitus, school environments and other social networks are experi</w:t>
      </w:r>
      <w:r w:rsidR="00233737">
        <w:t>enced and given meaning in young people’s</w:t>
      </w:r>
      <w:r w:rsidR="007D0444" w:rsidRPr="007D0444">
        <w:t xml:space="preserve"> accounts</w:t>
      </w:r>
      <w:r w:rsidR="00233737">
        <w:t xml:space="preserve">. In other words, we have revealed the </w:t>
      </w:r>
      <w:r w:rsidR="008C229E">
        <w:t xml:space="preserve">pragmatic </w:t>
      </w:r>
      <w:r w:rsidR="007D0444" w:rsidRPr="007D0444">
        <w:t xml:space="preserve">rationalisations of </w:t>
      </w:r>
      <w:r w:rsidR="00233737">
        <w:t xml:space="preserve">the </w:t>
      </w:r>
      <w:r w:rsidR="007D0444" w:rsidRPr="007D0444">
        <w:t xml:space="preserve">‘choices’ young people </w:t>
      </w:r>
      <w:r w:rsidR="00233737">
        <w:t xml:space="preserve">make </w:t>
      </w:r>
      <w:r w:rsidR="0088321C">
        <w:t>(Hodkinson &amp; Sparkes</w:t>
      </w:r>
      <w:r w:rsidR="008C229E">
        <w:t xml:space="preserve"> 1997)</w:t>
      </w:r>
      <w:r w:rsidR="007D0444" w:rsidRPr="007D0444">
        <w:t xml:space="preserve">. </w:t>
      </w:r>
      <w:r w:rsidR="00233737">
        <w:t>Yet, w</w:t>
      </w:r>
      <w:r w:rsidR="007D0444" w:rsidRPr="007D0444">
        <w:t>ithin these accounts, specific moment</w:t>
      </w:r>
      <w:r>
        <w:t>s</w:t>
      </w:r>
      <w:r w:rsidR="005F2D0A">
        <w:t>, key individuals, particular</w:t>
      </w:r>
      <w:r w:rsidR="007D0444" w:rsidRPr="007D0444">
        <w:t xml:space="preserve"> encounters are </w:t>
      </w:r>
      <w:r w:rsidR="00233737">
        <w:t xml:space="preserve">also </w:t>
      </w:r>
      <w:r w:rsidR="007D0444" w:rsidRPr="007D0444">
        <w:t>relayed as turning points of significance in shapin</w:t>
      </w:r>
      <w:r w:rsidR="00843A72">
        <w:t xml:space="preserve">g </w:t>
      </w:r>
      <w:r w:rsidR="007D0444" w:rsidRPr="007D0444">
        <w:t xml:space="preserve">people’s capacities to handle difficult situations and build resilience or to imagine a future very different from that of </w:t>
      </w:r>
      <w:r w:rsidR="0088321C">
        <w:t xml:space="preserve">their </w:t>
      </w:r>
      <w:r w:rsidR="007D0444" w:rsidRPr="007D0444">
        <w:t>family and friends a</w:t>
      </w:r>
      <w:r w:rsidR="0088321C">
        <w:t xml:space="preserve">nd other locals </w:t>
      </w:r>
      <w:r w:rsidR="0088321C" w:rsidRPr="000E3148">
        <w:t>(</w:t>
      </w:r>
      <w:proofErr w:type="spellStart"/>
      <w:r w:rsidR="0088321C" w:rsidRPr="000E3148">
        <w:t>Laub</w:t>
      </w:r>
      <w:proofErr w:type="spellEnd"/>
      <w:r w:rsidR="0088321C" w:rsidRPr="000E3148">
        <w:t xml:space="preserve"> &amp; Sampson</w:t>
      </w:r>
      <w:r w:rsidR="007D0444" w:rsidRPr="000E3148">
        <w:t xml:space="preserve"> 2003). In </w:t>
      </w:r>
      <w:r w:rsidR="0088321C" w:rsidRPr="000E3148">
        <w:t>describing</w:t>
      </w:r>
      <w:r w:rsidR="007D0444" w:rsidRPr="000E3148">
        <w:t xml:space="preserve"> these critical moments and encounters</w:t>
      </w:r>
      <w:r w:rsidR="0088321C" w:rsidRPr="000E3148">
        <w:t>,</w:t>
      </w:r>
      <w:r w:rsidR="007D0444" w:rsidRPr="000E3148">
        <w:t xml:space="preserve"> we have shown that</w:t>
      </w:r>
      <w:r w:rsidR="007D0444" w:rsidRPr="007D0444">
        <w:t xml:space="preserve"> Granovetter’s (1973) concept of ‘weak</w:t>
      </w:r>
      <w:r w:rsidR="0088321C">
        <w:t xml:space="preserve"> ties’ still has some purchase i</w:t>
      </w:r>
      <w:r w:rsidR="007D0444" w:rsidRPr="007D0444">
        <w:t>n providing an account of how t</w:t>
      </w:r>
      <w:r>
        <w:t xml:space="preserve">he process of change operates </w:t>
      </w:r>
      <w:r w:rsidR="005F2D0A">
        <w:t>by</w:t>
      </w:r>
      <w:r w:rsidR="007D0444" w:rsidRPr="007D0444">
        <w:t xml:space="preserve"> exposing </w:t>
      </w:r>
      <w:r w:rsidR="008C229E">
        <w:t xml:space="preserve">young </w:t>
      </w:r>
      <w:r w:rsidR="007D0444" w:rsidRPr="007D0444">
        <w:t xml:space="preserve">people to </w:t>
      </w:r>
      <w:r w:rsidR="008C229E">
        <w:t xml:space="preserve">new </w:t>
      </w:r>
      <w:r w:rsidR="007D0444" w:rsidRPr="007D0444">
        <w:t xml:space="preserve">people, ideas or experiences that </w:t>
      </w:r>
      <w:r>
        <w:t xml:space="preserve">can </w:t>
      </w:r>
      <w:r w:rsidR="007D0444" w:rsidRPr="007D0444">
        <w:t>disrupt</w:t>
      </w:r>
      <w:r w:rsidR="00BE4665">
        <w:t xml:space="preserve"> the </w:t>
      </w:r>
      <w:r w:rsidR="00233737">
        <w:t xml:space="preserve">‘strong ties’ of the </w:t>
      </w:r>
      <w:r w:rsidR="00BE4665">
        <w:t xml:space="preserve">familiar and comfortable. </w:t>
      </w:r>
      <w:r w:rsidR="0088321C">
        <w:t>By describing their</w:t>
      </w:r>
      <w:r>
        <w:t xml:space="preserve"> stories of disruption to their </w:t>
      </w:r>
      <w:r w:rsidR="0088321C">
        <w:t>taken-for-</w:t>
      </w:r>
      <w:r w:rsidR="00632875">
        <w:t xml:space="preserve">granted </w:t>
      </w:r>
      <w:r>
        <w:t xml:space="preserve">horizons for action, young people reveal </w:t>
      </w:r>
      <w:r w:rsidR="007D0444" w:rsidRPr="007D0444">
        <w:t xml:space="preserve">new </w:t>
      </w:r>
      <w:r w:rsidR="0088321C">
        <w:t>imagined possibilities</w:t>
      </w:r>
      <w:r>
        <w:t xml:space="preserve"> and aspirations</w:t>
      </w:r>
      <w:r w:rsidR="00233737">
        <w:t xml:space="preserve"> for the future</w:t>
      </w:r>
      <w:r w:rsidR="007D0444" w:rsidRPr="007D0444">
        <w:t xml:space="preserve"> </w:t>
      </w:r>
      <w:r>
        <w:t xml:space="preserve">and challenge </w:t>
      </w:r>
      <w:r w:rsidR="007D0444" w:rsidRPr="007D0444">
        <w:t>what others have described as a defi</w:t>
      </w:r>
      <w:r w:rsidR="00EC776A">
        <w:t>cit model of rurality (Robinson</w:t>
      </w:r>
      <w:r w:rsidR="007D0444" w:rsidRPr="007D0444">
        <w:t xml:space="preserve"> 2012).</w:t>
      </w:r>
    </w:p>
    <w:p w:rsidR="007D0444" w:rsidRPr="007D0444" w:rsidRDefault="00632875" w:rsidP="007D0444">
      <w:pPr>
        <w:pStyle w:val="Heading2"/>
      </w:pPr>
      <w:bookmarkStart w:id="118" w:name="_Toc409079387"/>
      <w:r>
        <w:t>Suggestions for policy and practice</w:t>
      </w:r>
      <w:bookmarkEnd w:id="118"/>
    </w:p>
    <w:p w:rsidR="007D0444" w:rsidRPr="007D0444" w:rsidRDefault="007D0444" w:rsidP="007D0444">
      <w:pPr>
        <w:pStyle w:val="Text"/>
      </w:pPr>
      <w:r w:rsidRPr="007D0444">
        <w:t xml:space="preserve">Drawing on our findings, this report makes the following </w:t>
      </w:r>
      <w:r w:rsidR="00632875">
        <w:t>suggestions for policy and practice</w:t>
      </w:r>
      <w:r w:rsidRPr="007D0444">
        <w:t>:</w:t>
      </w:r>
    </w:p>
    <w:p w:rsidR="00632875" w:rsidRPr="00632875" w:rsidRDefault="00632875" w:rsidP="00B96C19">
      <w:pPr>
        <w:pStyle w:val="Text"/>
      </w:pPr>
      <w:r w:rsidRPr="00632875">
        <w:t>For representatives from state departments and local government</w:t>
      </w:r>
    </w:p>
    <w:p w:rsidR="007D0444" w:rsidRPr="007D0444" w:rsidRDefault="005F2D0A" w:rsidP="00D0755D">
      <w:pPr>
        <w:pStyle w:val="Dotpoint1"/>
      </w:pPr>
      <w:r>
        <w:t>I</w:t>
      </w:r>
      <w:r w:rsidR="007D0444" w:rsidRPr="007D0444">
        <w:t xml:space="preserve">n Victoria and South Australia, </w:t>
      </w:r>
      <w:r w:rsidR="0088321C">
        <w:t xml:space="preserve">local government areas </w:t>
      </w:r>
      <w:r>
        <w:t xml:space="preserve">should </w:t>
      </w:r>
      <w:r w:rsidR="0088321C">
        <w:t>be utilis</w:t>
      </w:r>
      <w:r w:rsidR="007D0444" w:rsidRPr="007D0444">
        <w:t>ed as</w:t>
      </w:r>
      <w:r w:rsidR="00BE4665">
        <w:t xml:space="preserve"> geographic research sites or u</w:t>
      </w:r>
      <w:r w:rsidR="007D0444" w:rsidRPr="007D0444">
        <w:t>nits of study and for policy design, implementation and coordination in relation to education and work support services for young people.</w:t>
      </w:r>
    </w:p>
    <w:p w:rsidR="007D0444" w:rsidRPr="007D0444" w:rsidRDefault="005F2D0A" w:rsidP="00D0755D">
      <w:pPr>
        <w:pStyle w:val="Dotpoint1"/>
      </w:pPr>
      <w:r>
        <w:t>I</w:t>
      </w:r>
      <w:r w:rsidR="007D0444" w:rsidRPr="007D0444">
        <w:t>n local government areas where public transport is very limited, policy de</w:t>
      </w:r>
      <w:r w:rsidR="0088321C">
        <w:t xml:space="preserve">sign and implementation </w:t>
      </w:r>
      <w:r>
        <w:t xml:space="preserve">should </w:t>
      </w:r>
      <w:r w:rsidR="0088321C">
        <w:t>recognis</w:t>
      </w:r>
      <w:r w:rsidR="007D0444" w:rsidRPr="007D0444">
        <w:t xml:space="preserve">e the importance of the car for young people </w:t>
      </w:r>
      <w:r w:rsidR="00290E19">
        <w:t>for</w:t>
      </w:r>
      <w:r w:rsidR="007D0444" w:rsidRPr="007D0444">
        <w:t xml:space="preserve"> access</w:t>
      </w:r>
      <w:r w:rsidR="00290E19">
        <w:t>ing</w:t>
      </w:r>
      <w:r w:rsidR="007D0444" w:rsidRPr="007D0444">
        <w:t xml:space="preserve"> education and work opportunities, </w:t>
      </w:r>
      <w:r>
        <w:t>by</w:t>
      </w:r>
      <w:r w:rsidR="007D0444" w:rsidRPr="007D0444">
        <w:t xml:space="preserve"> measures such as identifying areas where access to a car is crucial and providing petrol subsidies to replace public transport subsidies for some on government income support; removal of the car as an asset for the purposes of income support assessment</w:t>
      </w:r>
      <w:r>
        <w:t xml:space="preserve"> is recommended</w:t>
      </w:r>
      <w:r w:rsidR="00B12E77">
        <w:t>.</w:t>
      </w:r>
    </w:p>
    <w:p w:rsidR="007D0444" w:rsidRPr="007D0444" w:rsidRDefault="005F2D0A" w:rsidP="00D0755D">
      <w:pPr>
        <w:pStyle w:val="Dotpoint1"/>
      </w:pPr>
      <w:r>
        <w:t>E</w:t>
      </w:r>
      <w:r w:rsidR="007D0444" w:rsidRPr="007D0444">
        <w:t xml:space="preserve">ducation and training providers </w:t>
      </w:r>
      <w:r>
        <w:t xml:space="preserve">should </w:t>
      </w:r>
      <w:r w:rsidR="007D0444" w:rsidRPr="007D0444">
        <w:t>work closely with local government and transport authorities to find creative solutions for individuals to access a wider range of education and training opportunities, particularly fo</w:t>
      </w:r>
      <w:r w:rsidR="00A73C73">
        <w:t>r those in small towns and plac</w:t>
      </w:r>
      <w:r w:rsidR="007D0444" w:rsidRPr="007D0444">
        <w:t xml:space="preserve">es outside the major population centres in each </w:t>
      </w:r>
      <w:r w:rsidR="00290E19" w:rsidRPr="007D0444">
        <w:t>l</w:t>
      </w:r>
      <w:r w:rsidR="00290E19">
        <w:t xml:space="preserve">ocal </w:t>
      </w:r>
      <w:r w:rsidR="00290E19" w:rsidRPr="007D0444">
        <w:t>g</w:t>
      </w:r>
      <w:r w:rsidR="00290E19">
        <w:t xml:space="preserve">overnment </w:t>
      </w:r>
      <w:r w:rsidR="00290E19" w:rsidRPr="007D0444">
        <w:t>a</w:t>
      </w:r>
      <w:r w:rsidR="00290E19">
        <w:t>rea</w:t>
      </w:r>
      <w:r w:rsidR="007D0444" w:rsidRPr="007D0444">
        <w:t xml:space="preserve">. </w:t>
      </w:r>
    </w:p>
    <w:p w:rsidR="00417B32" w:rsidRPr="002A5370" w:rsidRDefault="000E3148" w:rsidP="00D0755D">
      <w:pPr>
        <w:pStyle w:val="Dotpoint1"/>
      </w:pPr>
      <w:r>
        <w:t xml:space="preserve">Review where relevant, the state government policies regarding the restrictions on funding for those studying at an equivalent or lower level to previous qualifications when such study is part of a progression pathway to a higher qualification; consider the unintended consequences of policies </w:t>
      </w:r>
      <w:r w:rsidRPr="002A5370">
        <w:t>on VET-University pathways of restricting such funding; and consider i</w:t>
      </w:r>
      <w:r w:rsidR="005F2D0A" w:rsidRPr="002A5370">
        <w:t>ntroducing support on an income-</w:t>
      </w:r>
      <w:r w:rsidRPr="002A5370">
        <w:t xml:space="preserve">weighted index to those studying lower qualifications. </w:t>
      </w:r>
    </w:p>
    <w:p w:rsidR="000E3148" w:rsidRDefault="000E3148" w:rsidP="00D0755D">
      <w:pPr>
        <w:pStyle w:val="Dotpoint1"/>
      </w:pPr>
      <w:r w:rsidRPr="002A5370">
        <w:t>Additional and targeted</w:t>
      </w:r>
      <w:r>
        <w:t xml:space="preserve"> support to access opportunities is required for young people in areas which lack public transport, especially for travel to study in tertiary education. </w:t>
      </w:r>
    </w:p>
    <w:p w:rsidR="00175610" w:rsidRDefault="00381F2C" w:rsidP="00D0755D">
      <w:pPr>
        <w:pStyle w:val="Dotpoint1"/>
      </w:pPr>
      <w:r>
        <w:lastRenderedPageBreak/>
        <w:t>Recognise</w:t>
      </w:r>
      <w:r w:rsidR="00417B32">
        <w:t xml:space="preserve"> that ‘learning pays’</w:t>
      </w:r>
      <w:r>
        <w:t xml:space="preserve"> and that education policies aimed at one sector can impact on another</w:t>
      </w:r>
      <w:r w:rsidR="00417B32">
        <w:t>. Support for adult learning and adult re</w:t>
      </w:r>
      <w:r w:rsidR="00290E19">
        <w:t xml:space="preserve">-engagement in education spills </w:t>
      </w:r>
      <w:r w:rsidR="00417B32">
        <w:t>over into increased aspirations and support for children’s learning and aspiration</w:t>
      </w:r>
      <w:r w:rsidR="00EC776A">
        <w:t>s</w:t>
      </w:r>
      <w:r w:rsidR="00417B32">
        <w:t xml:space="preserve"> to be economically active. </w:t>
      </w:r>
    </w:p>
    <w:p w:rsidR="00175610" w:rsidRPr="00175610" w:rsidRDefault="005B6FFF" w:rsidP="00D0755D">
      <w:pPr>
        <w:pStyle w:val="Dotpoint1"/>
      </w:pPr>
      <w:r>
        <w:t>F</w:t>
      </w:r>
      <w:r w:rsidR="00175610">
        <w:t xml:space="preserve">urther research </w:t>
      </w:r>
      <w:r>
        <w:t xml:space="preserve">should </w:t>
      </w:r>
      <w:r w:rsidR="00175610">
        <w:t>be undertaken and subsequent policy and practice advice be formulated on ‘closing the status gap’ between VET and university pathways.</w:t>
      </w:r>
    </w:p>
    <w:p w:rsidR="00632875" w:rsidRDefault="00632875" w:rsidP="00B96C19">
      <w:pPr>
        <w:pStyle w:val="Text"/>
      </w:pPr>
      <w:r w:rsidRPr="00632875">
        <w:t>For educational providers</w:t>
      </w:r>
      <w:r w:rsidR="009B5E1C">
        <w:t xml:space="preserve"> and community organisations working with young people</w:t>
      </w:r>
    </w:p>
    <w:p w:rsidR="007D0444" w:rsidRPr="00632875" w:rsidRDefault="000E3148" w:rsidP="00B96C19">
      <w:pPr>
        <w:pStyle w:val="Dotpoint1"/>
      </w:pPr>
      <w:r>
        <w:t>Identify opportunities to work across organisations at the local level to enable sharing of resources between schools (in the public and private sector</w:t>
      </w:r>
      <w:r w:rsidR="005B6FFF">
        <w:t>s</w:t>
      </w:r>
      <w:r>
        <w:t>), colleges, universities and other not-for-profit agencies to spread the burden of initiatives from schools and draw in other resources and expertise.</w:t>
      </w:r>
    </w:p>
    <w:p w:rsidR="00212803" w:rsidRDefault="005B6FFF" w:rsidP="00D0755D">
      <w:pPr>
        <w:pStyle w:val="Dotpoint1"/>
      </w:pPr>
      <w:r>
        <w:t>Expand</w:t>
      </w:r>
      <w:r w:rsidR="00212803">
        <w:t xml:space="preserve"> co-located facil</w:t>
      </w:r>
      <w:r w:rsidR="009D70DB">
        <w:t>ities f</w:t>
      </w:r>
      <w:r w:rsidR="00212803">
        <w:t>o</w:t>
      </w:r>
      <w:r w:rsidR="009D70DB">
        <w:t>r</w:t>
      </w:r>
      <w:r w:rsidR="00212803">
        <w:t xml:space="preserve"> VET and university provision </w:t>
      </w:r>
      <w:r w:rsidR="009D70DB">
        <w:t>to enable pathways through vocational qualifications to degree programs in a greater range of curriculum areas.</w:t>
      </w:r>
    </w:p>
    <w:p w:rsidR="007D0444" w:rsidRPr="007D0444" w:rsidRDefault="005B6FFF" w:rsidP="00D0755D">
      <w:pPr>
        <w:pStyle w:val="Dotpoint1"/>
      </w:pPr>
      <w:r w:rsidRPr="00A24768">
        <w:t>Create</w:t>
      </w:r>
      <w:r w:rsidR="000E3148" w:rsidRPr="00A24768">
        <w:t xml:space="preserve"> opportunities for young people to engage with a wide range of work experience and to encounter peers from a </w:t>
      </w:r>
      <w:r w:rsidRPr="00A24768">
        <w:t>variety of geographical, socioe</w:t>
      </w:r>
      <w:r w:rsidR="000E3148" w:rsidRPr="00A24768">
        <w:t>conomic and cultural backgrounds</w:t>
      </w:r>
      <w:r w:rsidR="000E3148">
        <w:t xml:space="preserve">. </w:t>
      </w:r>
    </w:p>
    <w:p w:rsidR="00BF49AF" w:rsidRDefault="005B6FFF" w:rsidP="00D0755D">
      <w:pPr>
        <w:pStyle w:val="Dotpoint1"/>
      </w:pPr>
      <w:r>
        <w:t>Introduce</w:t>
      </w:r>
      <w:r w:rsidR="00BF49AF">
        <w:t xml:space="preserve"> (paid and expenses covered) peer mentoring between students in tertiary studies</w:t>
      </w:r>
      <w:r w:rsidR="00381F2C">
        <w:t xml:space="preserve"> and school students</w:t>
      </w:r>
      <w:r w:rsidR="00417B32">
        <w:t>,</w:t>
      </w:r>
      <w:r w:rsidR="00BF49AF">
        <w:t xml:space="preserve"> and a training program and network for mentors.</w:t>
      </w:r>
    </w:p>
    <w:p w:rsidR="007D0444" w:rsidRPr="007D0444" w:rsidRDefault="005B6FFF" w:rsidP="00D0755D">
      <w:pPr>
        <w:pStyle w:val="Dotpoint1"/>
      </w:pPr>
      <w:r>
        <w:t>Facilitate</w:t>
      </w:r>
      <w:r w:rsidR="007D0444" w:rsidRPr="007D0444">
        <w:t xml:space="preserve"> organised and supervised trips to careers expos for younger students</w:t>
      </w:r>
      <w:r w:rsidR="00417B32">
        <w:t xml:space="preserve"> at no additional cost to students or families</w:t>
      </w:r>
      <w:r w:rsidR="00BF49AF">
        <w:t>.</w:t>
      </w:r>
    </w:p>
    <w:p w:rsidR="00B4168C" w:rsidRDefault="005B6FFF" w:rsidP="00D0755D">
      <w:pPr>
        <w:pStyle w:val="Dotpoint1"/>
      </w:pPr>
      <w:r>
        <w:t>Provide a</w:t>
      </w:r>
      <w:r w:rsidR="007D0444" w:rsidRPr="007D0444">
        <w:t>dditional and targeted support to access opportunities for young people in areas which lack public transport</w:t>
      </w:r>
      <w:r w:rsidR="00BF49AF">
        <w:t>, especially for travel to study in tertiary education</w:t>
      </w:r>
      <w:r w:rsidR="007D0444" w:rsidRPr="007D0444">
        <w:t>.</w:t>
      </w:r>
    </w:p>
    <w:p w:rsidR="009B5E1C" w:rsidRDefault="005B6FFF" w:rsidP="00D0755D">
      <w:pPr>
        <w:pStyle w:val="Dotpoint1"/>
      </w:pPr>
      <w:r>
        <w:t>Provide c</w:t>
      </w:r>
      <w:r w:rsidR="007D0444" w:rsidRPr="007D0444">
        <w:t xml:space="preserve">areer advice and career preparation programs </w:t>
      </w:r>
      <w:r w:rsidR="00290E19">
        <w:t>to</w:t>
      </w:r>
      <w:r w:rsidR="007D0444" w:rsidRPr="007D0444">
        <w:t xml:space="preserve"> commence earlier </w:t>
      </w:r>
      <w:r w:rsidR="00290E19">
        <w:t>in schools (well before Y</w:t>
      </w:r>
      <w:r w:rsidR="009B5E1C">
        <w:t xml:space="preserve">ear </w:t>
      </w:r>
      <w:r w:rsidR="00290E19">
        <w:t>9—</w:t>
      </w:r>
      <w:r w:rsidR="009B5E1C">
        <w:t>10)</w:t>
      </w:r>
      <w:r w:rsidR="00290E19">
        <w:t xml:space="preserve">, with </w:t>
      </w:r>
      <w:r w:rsidR="007D0444" w:rsidRPr="007D0444">
        <w:t xml:space="preserve">a key principle on which programs </w:t>
      </w:r>
      <w:r w:rsidR="00290E19">
        <w:t xml:space="preserve">are </w:t>
      </w:r>
      <w:r w:rsidR="007D0444" w:rsidRPr="007D0444">
        <w:t xml:space="preserve">based </w:t>
      </w:r>
      <w:r w:rsidR="00290E19">
        <w:t>being</w:t>
      </w:r>
      <w:r w:rsidR="007D0444" w:rsidRPr="007D0444">
        <w:t xml:space="preserve"> that of expanding the exposure of young people to unfamiliar careers</w:t>
      </w:r>
      <w:r w:rsidR="00417B32">
        <w:t xml:space="preserve"> and sectors of employment</w:t>
      </w:r>
      <w:r w:rsidR="007D0444" w:rsidRPr="007D0444">
        <w:t xml:space="preserve">. </w:t>
      </w:r>
    </w:p>
    <w:p w:rsidR="009B5E1C" w:rsidRDefault="009B5E1C" w:rsidP="00D0755D">
      <w:pPr>
        <w:pStyle w:val="Dotpoint1"/>
      </w:pPr>
      <w:r>
        <w:t>Parental and key family members</w:t>
      </w:r>
      <w:r w:rsidR="00A40E21">
        <w:t>’</w:t>
      </w:r>
      <w:r>
        <w:t xml:space="preserve"> educational engagement program</w:t>
      </w:r>
      <w:r w:rsidR="005B6FFF">
        <w:t>s should</w:t>
      </w:r>
      <w:r>
        <w:t xml:space="preserve"> provide information and dispel myths about schooling </w:t>
      </w:r>
      <w:r w:rsidRPr="002A5370">
        <w:t xml:space="preserve">and post-school education and training pathways and provide access to resources for enabling parents to </w:t>
      </w:r>
      <w:r w:rsidR="000E3148" w:rsidRPr="002A5370">
        <w:t>support young people’s</w:t>
      </w:r>
      <w:r w:rsidR="000E3148">
        <w:t xml:space="preserve"> learning, including the higher rates of Youth Allowance for study away from home. </w:t>
      </w:r>
    </w:p>
    <w:p w:rsidR="00417B32" w:rsidRDefault="009B5E1C" w:rsidP="00D0755D">
      <w:pPr>
        <w:pStyle w:val="Dotpoint1"/>
      </w:pPr>
      <w:r>
        <w:t>Tertiary educa</w:t>
      </w:r>
      <w:r w:rsidR="005B6FFF">
        <w:t>tion provider/school networks should</w:t>
      </w:r>
      <w:r>
        <w:t xml:space="preserve"> provide continuing professional development </w:t>
      </w:r>
      <w:r w:rsidR="00122D2D">
        <w:t>for staff in both sectors to share and update</w:t>
      </w:r>
      <w:r>
        <w:t xml:space="preserve"> curriculum developments and career opportunities. </w:t>
      </w:r>
    </w:p>
    <w:p w:rsidR="00175610" w:rsidRDefault="005B6FFF" w:rsidP="00D0755D">
      <w:pPr>
        <w:pStyle w:val="Dotpoint1"/>
      </w:pPr>
      <w:r>
        <w:t>Consider the</w:t>
      </w:r>
      <w:r w:rsidR="00417B32">
        <w:t xml:space="preserve"> potential </w:t>
      </w:r>
      <w:r>
        <w:t>of introducing</w:t>
      </w:r>
      <w:r w:rsidR="00417B32">
        <w:t xml:space="preserve"> </w:t>
      </w:r>
      <w:r w:rsidR="00A932E9">
        <w:t xml:space="preserve">learning and advice relating to </w:t>
      </w:r>
      <w:r w:rsidR="00417B32">
        <w:t xml:space="preserve">educational </w:t>
      </w:r>
      <w:r w:rsidR="00615131">
        <w:t>pathways in primary schools. Experience in the UK has shown that introducing programs such as the cartoon character Prof</w:t>
      </w:r>
      <w:r w:rsidR="00A932E9">
        <w:t>essor Fluffy to children aged 9—</w:t>
      </w:r>
      <w:r w:rsidR="00615131">
        <w:t xml:space="preserve">10 years can develop a language and understanding of learning journeys </w:t>
      </w:r>
      <w:r w:rsidR="00122D2D">
        <w:t xml:space="preserve">through fun and games </w:t>
      </w:r>
      <w:r w:rsidR="00615131">
        <w:t>and projects su</w:t>
      </w:r>
      <w:r w:rsidR="00EC776A">
        <w:t>ch as the Children’s University and</w:t>
      </w:r>
      <w:r w:rsidR="00615131">
        <w:t xml:space="preserve"> can raise the status of schooling and learning in communities that have traditionally de</w:t>
      </w:r>
      <w:r w:rsidR="00417B32">
        <w:t>value</w:t>
      </w:r>
      <w:r w:rsidR="00122D2D">
        <w:t xml:space="preserve">d education (see </w:t>
      </w:r>
      <w:r w:rsidR="0089189A">
        <w:t>for example, &lt;</w:t>
      </w:r>
      <w:hyperlink r:id="rId20" w:history="1">
        <w:r w:rsidR="00175610" w:rsidRPr="00584043">
          <w:rPr>
            <w:rStyle w:val="Hyperlink"/>
          </w:rPr>
          <w:t>http://www.theguardian.com/education/2005/nov/29/accesstouniversity.primaryeducation</w:t>
        </w:r>
      </w:hyperlink>
      <w:r w:rsidR="00A932E9">
        <w:t>&gt;</w:t>
      </w:r>
      <w:r w:rsidR="00122D2D">
        <w:t>)</w:t>
      </w:r>
      <w:r w:rsidR="00381F2C">
        <w:t>.</w:t>
      </w:r>
    </w:p>
    <w:p w:rsidR="000E3148" w:rsidRDefault="005B6FFF" w:rsidP="00D0755D">
      <w:pPr>
        <w:pStyle w:val="Dotpoint1"/>
      </w:pPr>
      <w:r>
        <w:t xml:space="preserve">Recognise </w:t>
      </w:r>
      <w:r w:rsidR="000E3148">
        <w:t>that, while it presents significant opportunities, technology such as internet-based learning and video-conferencing is a ‘mixed blessing’</w:t>
      </w:r>
      <w:r>
        <w:t>,</w:t>
      </w:r>
      <w:r w:rsidR="000E3148">
        <w:t xml:space="preserve"> which can serve to further isolate geographically remote students</w:t>
      </w:r>
      <w:r>
        <w:t>,</w:t>
      </w:r>
      <w:r w:rsidR="000E3148">
        <w:t xml:space="preserve"> and is also not a ‘one size fits all’ solution. </w:t>
      </w:r>
    </w:p>
    <w:p w:rsidR="000E3148" w:rsidRDefault="000E3148" w:rsidP="00D0755D">
      <w:pPr>
        <w:pStyle w:val="Dotpoint1"/>
      </w:pPr>
      <w:r>
        <w:t xml:space="preserve">In the light of </w:t>
      </w:r>
      <w:r w:rsidR="005B6FFF">
        <w:t>the proposed de</w:t>
      </w:r>
      <w:r>
        <w:t>regulation of higher education fees, universities need to consider their support systems for students</w:t>
      </w:r>
      <w:r w:rsidR="00D26A9C">
        <w:t xml:space="preserve"> from low SES and geographically remote locations. There needs to be specific recognition of the economic, social and logistical barriers to university attendance for such students. Such considerations could include the provision of appropriate and flexible </w:t>
      </w:r>
      <w:r w:rsidR="00D26A9C">
        <w:lastRenderedPageBreak/>
        <w:t xml:space="preserve">accommodation, the provision of mentoring for first year students and funding related to their geographical location. </w:t>
      </w:r>
    </w:p>
    <w:p w:rsidR="00D26A9C" w:rsidRDefault="00D26A9C" w:rsidP="00D0755D">
      <w:pPr>
        <w:pStyle w:val="Dotpoint1"/>
      </w:pPr>
      <w:r>
        <w:t xml:space="preserve">The raising of VET status and increased recognition of VET pathways to both higher education and careers is important. Information on </w:t>
      </w:r>
      <w:r w:rsidR="005B6FFF">
        <w:t xml:space="preserve">the </w:t>
      </w:r>
      <w:r>
        <w:t xml:space="preserve">VET options available to young people should be increased and the ways in which this infogrmaion is presented should be examined to eliminate assumptions about the ‘type’ of students for whom VET is suitable. </w:t>
      </w:r>
    </w:p>
    <w:p w:rsidR="00844F53" w:rsidRPr="00B4168C" w:rsidRDefault="00A50895" w:rsidP="00D0755D">
      <w:pPr>
        <w:pStyle w:val="Dotpoint1"/>
        <w:numPr>
          <w:ilvl w:val="0"/>
          <w:numId w:val="0"/>
        </w:numPr>
        <w:ind w:left="284"/>
      </w:pPr>
      <w:r>
        <w:br w:type="page"/>
      </w:r>
      <w:bookmarkStart w:id="119" w:name="_Toc456000800"/>
      <w:bookmarkStart w:id="120" w:name="_Toc457122465"/>
      <w:bookmarkStart w:id="121" w:name="_Toc188077643"/>
    </w:p>
    <w:p w:rsidR="00A50895" w:rsidRPr="00B4168C" w:rsidRDefault="00A50895" w:rsidP="00B4168C">
      <w:pPr>
        <w:pStyle w:val="Heading1"/>
      </w:pPr>
      <w:bookmarkStart w:id="122" w:name="_Toc409079388"/>
      <w:r w:rsidRPr="00B4168C">
        <w:lastRenderedPageBreak/>
        <w:t>References</w:t>
      </w:r>
      <w:bookmarkEnd w:id="119"/>
      <w:bookmarkEnd w:id="120"/>
      <w:bookmarkEnd w:id="121"/>
      <w:bookmarkEnd w:id="122"/>
    </w:p>
    <w:p w:rsidR="00EC6C5F" w:rsidRPr="004B34E5" w:rsidRDefault="00A72860" w:rsidP="00543AFF">
      <w:pPr>
        <w:pStyle w:val="References"/>
      </w:pPr>
      <w:r w:rsidRPr="004B34E5">
        <w:t>Alloway, N</w:t>
      </w:r>
      <w:r w:rsidR="009706E0" w:rsidRPr="004B34E5">
        <w:t xml:space="preserve">, Gilbert, </w:t>
      </w:r>
      <w:r w:rsidRPr="004B34E5">
        <w:t xml:space="preserve">P, Gilbert, R &amp; </w:t>
      </w:r>
      <w:proofErr w:type="spellStart"/>
      <w:r w:rsidRPr="004B34E5">
        <w:t>Muspratt</w:t>
      </w:r>
      <w:proofErr w:type="spellEnd"/>
      <w:r w:rsidRPr="004B34E5">
        <w:t>, S</w:t>
      </w:r>
      <w:r w:rsidR="009706E0" w:rsidRPr="004B34E5">
        <w:t xml:space="preserve"> 2004, </w:t>
      </w:r>
      <w:r w:rsidR="009706E0" w:rsidRPr="004B34E5">
        <w:rPr>
          <w:i/>
        </w:rPr>
        <w:t>Factors impacting on student aspirations and expectations in regional Australia</w:t>
      </w:r>
      <w:r w:rsidR="00085C31" w:rsidRPr="004B34E5">
        <w:t>,</w:t>
      </w:r>
      <w:r w:rsidR="009706E0" w:rsidRPr="004B34E5">
        <w:t xml:space="preserve"> Department of Education, Science and Training</w:t>
      </w:r>
      <w:r w:rsidR="002D0925" w:rsidRPr="004B34E5">
        <w:t>, Canberra</w:t>
      </w:r>
      <w:r w:rsidR="003732D8" w:rsidRPr="004B34E5">
        <w:t>.</w:t>
      </w:r>
    </w:p>
    <w:p w:rsidR="00367CFD" w:rsidRPr="004B34E5" w:rsidRDefault="001F46AC" w:rsidP="00543AFF">
      <w:pPr>
        <w:pStyle w:val="References"/>
        <w:rPr>
          <w:color w:val="000000"/>
        </w:rPr>
      </w:pPr>
      <w:r>
        <w:rPr>
          <w:color w:val="000000"/>
        </w:rPr>
        <w:t>Alston, M &amp; Kent, J 2009,</w:t>
      </w:r>
      <w:r w:rsidR="00A932E9">
        <w:rPr>
          <w:color w:val="000000"/>
        </w:rPr>
        <w:t xml:space="preserve"> ‘Generation X-</w:t>
      </w:r>
      <w:proofErr w:type="spellStart"/>
      <w:r w:rsidR="00A932E9">
        <w:rPr>
          <w:color w:val="000000"/>
        </w:rPr>
        <w:t>pendable</w:t>
      </w:r>
      <w:proofErr w:type="spellEnd"/>
      <w:r w:rsidR="00A932E9">
        <w:rPr>
          <w:color w:val="000000"/>
        </w:rPr>
        <w:t>: t</w:t>
      </w:r>
      <w:r w:rsidR="00367CFD" w:rsidRPr="004B34E5">
        <w:rPr>
          <w:color w:val="000000"/>
        </w:rPr>
        <w:t>he social exclusion of rural and remote young people’</w:t>
      </w:r>
      <w:r w:rsidR="00985B5C">
        <w:rPr>
          <w:color w:val="000000"/>
        </w:rPr>
        <w:t xml:space="preserve">, </w:t>
      </w:r>
      <w:r w:rsidR="00367CFD" w:rsidRPr="004B34E5">
        <w:rPr>
          <w:i/>
          <w:color w:val="000000"/>
        </w:rPr>
        <w:t>Journal of Sociology</w:t>
      </w:r>
      <w:r w:rsidR="00F667F3">
        <w:rPr>
          <w:i/>
          <w:color w:val="000000"/>
        </w:rPr>
        <w:t>,</w:t>
      </w:r>
      <w:r w:rsidR="00367CFD" w:rsidRPr="004B34E5">
        <w:rPr>
          <w:color w:val="000000"/>
        </w:rPr>
        <w:t xml:space="preserve"> </w:t>
      </w:r>
      <w:r w:rsidR="00A932E9">
        <w:rPr>
          <w:color w:val="000000"/>
        </w:rPr>
        <w:t>vol.</w:t>
      </w:r>
      <w:r w:rsidR="00367CFD" w:rsidRPr="004B34E5">
        <w:rPr>
          <w:color w:val="000000"/>
        </w:rPr>
        <w:t>45</w:t>
      </w:r>
      <w:r w:rsidR="00A932E9">
        <w:rPr>
          <w:color w:val="000000"/>
        </w:rPr>
        <w:t>, no.</w:t>
      </w:r>
      <w:r w:rsidR="00F667F3">
        <w:rPr>
          <w:color w:val="000000"/>
        </w:rPr>
        <w:t>1, pp.</w:t>
      </w:r>
      <w:r w:rsidR="00367CFD" w:rsidRPr="004B34E5">
        <w:rPr>
          <w:color w:val="000000"/>
        </w:rPr>
        <w:t>89</w:t>
      </w:r>
      <w:r w:rsidR="00A932E9">
        <w:rPr>
          <w:color w:val="000000"/>
        </w:rPr>
        <w:t>—</w:t>
      </w:r>
      <w:r w:rsidR="00367CFD" w:rsidRPr="004B34E5">
        <w:rPr>
          <w:color w:val="000000"/>
        </w:rPr>
        <w:t>107</w:t>
      </w:r>
      <w:r w:rsidR="00F667F3">
        <w:rPr>
          <w:color w:val="000000"/>
        </w:rPr>
        <w:t>.</w:t>
      </w:r>
    </w:p>
    <w:p w:rsidR="009706E0" w:rsidRPr="004B34E5" w:rsidRDefault="009706E0" w:rsidP="00543AFF">
      <w:pPr>
        <w:pStyle w:val="References"/>
        <w:rPr>
          <w:b/>
        </w:rPr>
      </w:pPr>
      <w:r w:rsidRPr="004B34E5">
        <w:t>Australian Dep</w:t>
      </w:r>
      <w:r w:rsidR="00A72860" w:rsidRPr="004B34E5">
        <w:t>artmen</w:t>
      </w:r>
      <w:r w:rsidRPr="004B34E5">
        <w:t xml:space="preserve">t of Education 2010, </w:t>
      </w:r>
      <w:r w:rsidRPr="004B34E5">
        <w:rPr>
          <w:i/>
          <w:iCs/>
        </w:rPr>
        <w:t>Year 12 student choices: a survey on fa</w:t>
      </w:r>
      <w:r w:rsidR="00A932E9">
        <w:rPr>
          <w:i/>
          <w:iCs/>
        </w:rPr>
        <w:t>ctors influencing Y</w:t>
      </w:r>
      <w:r w:rsidRPr="004B34E5">
        <w:rPr>
          <w:i/>
          <w:iCs/>
        </w:rPr>
        <w:t>ear 12 decision-making on post-school destination, choice of university and preferred subject</w:t>
      </w:r>
      <w:r w:rsidR="0030392A" w:rsidRPr="004B34E5">
        <w:t xml:space="preserve">, </w:t>
      </w:r>
      <w:r w:rsidRPr="004B34E5">
        <w:t>Department of Education, Emp</w:t>
      </w:r>
      <w:r w:rsidR="0030392A" w:rsidRPr="004B34E5">
        <w:t>loyment and Workplace Relations</w:t>
      </w:r>
      <w:r w:rsidR="002D6FC6" w:rsidRPr="004B34E5">
        <w:t xml:space="preserve"> and</w:t>
      </w:r>
      <w:r w:rsidR="0030392A" w:rsidRPr="004B34E5">
        <w:t xml:space="preserve"> Roy Morgan Research, </w:t>
      </w:r>
      <w:r w:rsidR="00472AE2">
        <w:t>viewed 14 February 2014</w:t>
      </w:r>
      <w:r w:rsidR="00A932E9">
        <w:t>,</w:t>
      </w:r>
      <w:r w:rsidR="0030392A" w:rsidRPr="004B34E5">
        <w:t xml:space="preserve"> </w:t>
      </w:r>
      <w:r w:rsidR="00A932E9">
        <w:t>&lt;</w:t>
      </w:r>
      <w:r w:rsidR="002D6FC6" w:rsidRPr="004B34E5">
        <w:rPr>
          <w:rFonts w:eastAsia="Arial Unicode MS" w:cs="Arial Unicode MS"/>
          <w:color w:val="392529"/>
          <w:shd w:val="clear" w:color="auto" w:fill="FFFFFF"/>
        </w:rPr>
        <w:t>http://pandora.nla.gov.au/tep/127723</w:t>
      </w:r>
      <w:r w:rsidR="00A932E9">
        <w:rPr>
          <w:rFonts w:eastAsia="Arial Unicode MS" w:cs="Arial Unicode MS"/>
          <w:color w:val="392529"/>
          <w:shd w:val="clear" w:color="auto" w:fill="FFFFFF"/>
        </w:rPr>
        <w:t>&gt;</w:t>
      </w:r>
      <w:r w:rsidR="00A932E9">
        <w:t>.</w:t>
      </w:r>
    </w:p>
    <w:p w:rsidR="009706E0" w:rsidRPr="004B34E5" w:rsidRDefault="009706E0" w:rsidP="00543AFF">
      <w:pPr>
        <w:pStyle w:val="References"/>
      </w:pPr>
      <w:proofErr w:type="gramStart"/>
      <w:r w:rsidRPr="004B34E5">
        <w:t xml:space="preserve">Ball, S 2006, </w:t>
      </w:r>
      <w:r w:rsidRPr="004B34E5">
        <w:rPr>
          <w:i/>
        </w:rPr>
        <w:t>Education policy and social class</w:t>
      </w:r>
      <w:r w:rsidRPr="004B34E5">
        <w:t>, Routledge, London.</w:t>
      </w:r>
      <w:proofErr w:type="gramEnd"/>
    </w:p>
    <w:p w:rsidR="009706E0" w:rsidRPr="004B34E5" w:rsidRDefault="009706E0" w:rsidP="00543AFF">
      <w:pPr>
        <w:pStyle w:val="References"/>
        <w:rPr>
          <w:b/>
        </w:rPr>
      </w:pPr>
      <w:r w:rsidRPr="004B34E5">
        <w:t>Ball, S, Davies, J, David, M &amp; Reay, D 2002, ‘“Cl</w:t>
      </w:r>
      <w:r w:rsidR="0033145C" w:rsidRPr="004B34E5">
        <w:t>assification” and “judgement”: s</w:t>
      </w:r>
      <w:r w:rsidRPr="004B34E5">
        <w:t xml:space="preserve">ocial class and the “cognitive structures” of choice of higher education’, </w:t>
      </w:r>
      <w:r w:rsidRPr="004B34E5">
        <w:rPr>
          <w:i/>
        </w:rPr>
        <w:t>British Journal of Sociology of Education</w:t>
      </w:r>
      <w:r w:rsidR="00A932E9">
        <w:t>, vol.23, no.1, pp.51—</w:t>
      </w:r>
      <w:r w:rsidRPr="004B34E5">
        <w:t>72.</w:t>
      </w:r>
    </w:p>
    <w:p w:rsidR="00543AFF" w:rsidRDefault="00543AFF" w:rsidP="00543AFF">
      <w:pPr>
        <w:pStyle w:val="References"/>
      </w:pPr>
      <w:r>
        <w:t xml:space="preserve">Bauman, Z 2001, </w:t>
      </w:r>
      <w:proofErr w:type="gramStart"/>
      <w:r w:rsidRPr="005B6FFF">
        <w:rPr>
          <w:i/>
        </w:rPr>
        <w:t>The</w:t>
      </w:r>
      <w:proofErr w:type="gramEnd"/>
      <w:r w:rsidRPr="005B6FFF">
        <w:rPr>
          <w:i/>
        </w:rPr>
        <w:t xml:space="preserve"> individualized society</w:t>
      </w:r>
      <w:r>
        <w:t xml:space="preserve">, </w:t>
      </w:r>
      <w:r w:rsidR="005B6FFF">
        <w:t>Polity Press, Cambridge.</w:t>
      </w:r>
    </w:p>
    <w:p w:rsidR="009706E0" w:rsidRPr="004B34E5" w:rsidRDefault="009706E0" w:rsidP="00543AFF">
      <w:pPr>
        <w:pStyle w:val="References"/>
        <w:rPr>
          <w:b/>
        </w:rPr>
      </w:pPr>
      <w:proofErr w:type="gramStart"/>
      <w:r w:rsidRPr="004B34E5">
        <w:t>Baum, S, M</w:t>
      </w:r>
      <w:r w:rsidR="00A72860" w:rsidRPr="004B34E5">
        <w:t>itchell, W &amp; Han, J</w:t>
      </w:r>
      <w:r w:rsidRPr="004B34E5">
        <w:t>H 2008, ‘</w:t>
      </w:r>
      <w:r w:rsidR="0021491D">
        <w:t xml:space="preserve">Socioeconomic </w:t>
      </w:r>
      <w:r w:rsidRPr="004B34E5">
        <w:t xml:space="preserve">performance across Australia’s non-metropolitan functional economic regions’, </w:t>
      </w:r>
      <w:r w:rsidRPr="004B34E5">
        <w:rPr>
          <w:i/>
        </w:rPr>
        <w:t>Australasian Journal of Regional Studies</w:t>
      </w:r>
      <w:r w:rsidRPr="004B34E5">
        <w:t>,</w:t>
      </w:r>
      <w:r w:rsidR="00A932E9">
        <w:t xml:space="preserve"> vol.14, no.3, pp.215—</w:t>
      </w:r>
      <w:r w:rsidRPr="004B34E5">
        <w:t>49.</w:t>
      </w:r>
      <w:proofErr w:type="gramEnd"/>
    </w:p>
    <w:p w:rsidR="009706E0" w:rsidRPr="004B34E5" w:rsidRDefault="009706E0" w:rsidP="00543AFF">
      <w:pPr>
        <w:pStyle w:val="References"/>
        <w:rPr>
          <w:noProof/>
        </w:rPr>
      </w:pPr>
      <w:r w:rsidRPr="004B34E5">
        <w:rPr>
          <w:noProof/>
        </w:rPr>
        <w:t xml:space="preserve">Baum, S, Stimson, R, O’Connor, K, Mullins, P &amp; Davis, R 1999, </w:t>
      </w:r>
      <w:r w:rsidRPr="004B34E5">
        <w:rPr>
          <w:i/>
          <w:noProof/>
        </w:rPr>
        <w:t>Community opportunity and vulnerability in Australia’s cities and towns</w:t>
      </w:r>
      <w:r w:rsidRPr="004B34E5">
        <w:rPr>
          <w:noProof/>
        </w:rPr>
        <w:t>, Australian Housing and Urban Research Institute, Brisbane.</w:t>
      </w:r>
    </w:p>
    <w:p w:rsidR="00711FC4" w:rsidRPr="004B34E5" w:rsidRDefault="00711FC4" w:rsidP="00543AFF">
      <w:pPr>
        <w:pStyle w:val="References"/>
        <w:rPr>
          <w:b/>
          <w:bCs/>
        </w:rPr>
      </w:pPr>
      <w:r>
        <w:t>Bedson, L &amp;</w:t>
      </w:r>
      <w:r w:rsidRPr="004B34E5">
        <w:t xml:space="preserve"> Perkins, D 2006, </w:t>
      </w:r>
      <w:proofErr w:type="gramStart"/>
      <w:r w:rsidRPr="004B34E5">
        <w:rPr>
          <w:i/>
          <w:iCs/>
        </w:rPr>
        <w:t>A</w:t>
      </w:r>
      <w:proofErr w:type="gramEnd"/>
      <w:r w:rsidRPr="004B34E5">
        <w:rPr>
          <w:i/>
          <w:iCs/>
        </w:rPr>
        <w:t xml:space="preserve"> positive influence: equipping parents to support yo</w:t>
      </w:r>
      <w:r w:rsidR="00472AE2">
        <w:rPr>
          <w:i/>
          <w:iCs/>
        </w:rPr>
        <w:t>ung people's career transitions</w:t>
      </w:r>
      <w:r w:rsidRPr="004B34E5">
        <w:rPr>
          <w:i/>
          <w:iCs/>
        </w:rPr>
        <w:t>: evaluation of the PACTS program</w:t>
      </w:r>
      <w:r w:rsidR="005B6FFF">
        <w:t>, Brotherhood of St</w:t>
      </w:r>
      <w:r w:rsidRPr="004B34E5">
        <w:t xml:space="preserve"> Laurence, Fitzroy</w:t>
      </w:r>
      <w:r>
        <w:t>,</w:t>
      </w:r>
      <w:r w:rsidRPr="004B34E5">
        <w:t xml:space="preserve"> Vic.</w:t>
      </w:r>
    </w:p>
    <w:p w:rsidR="009706E0" w:rsidRPr="004B34E5" w:rsidRDefault="00A72860" w:rsidP="00543AFF">
      <w:pPr>
        <w:pStyle w:val="References"/>
        <w:rPr>
          <w:b/>
        </w:rPr>
      </w:pPr>
      <w:r w:rsidRPr="004B34E5">
        <w:t>Black, R</w:t>
      </w:r>
      <w:r w:rsidR="009706E0" w:rsidRPr="004B34E5">
        <w:t xml:space="preserve"> 2007</w:t>
      </w:r>
      <w:r w:rsidRPr="004B34E5">
        <w:t>,</w:t>
      </w:r>
      <w:r w:rsidR="009706E0" w:rsidRPr="004B34E5">
        <w:t xml:space="preserve"> </w:t>
      </w:r>
      <w:proofErr w:type="gramStart"/>
      <w:r w:rsidR="009706E0" w:rsidRPr="004B34E5">
        <w:rPr>
          <w:i/>
        </w:rPr>
        <w:t>Crossing</w:t>
      </w:r>
      <w:proofErr w:type="gramEnd"/>
      <w:r w:rsidR="009706E0" w:rsidRPr="004B34E5">
        <w:rPr>
          <w:i/>
        </w:rPr>
        <w:t xml:space="preserve"> the </w:t>
      </w:r>
      <w:r w:rsidR="00A932E9" w:rsidRPr="004B34E5">
        <w:rPr>
          <w:i/>
        </w:rPr>
        <w:t xml:space="preserve">bridge: overcoming </w:t>
      </w:r>
      <w:r w:rsidR="009706E0" w:rsidRPr="004B34E5">
        <w:rPr>
          <w:i/>
        </w:rPr>
        <w:t>entrenched disadvantage through student-centred learning</w:t>
      </w:r>
      <w:r w:rsidR="0030392A" w:rsidRPr="004B34E5">
        <w:t>,</w:t>
      </w:r>
      <w:r w:rsidR="009706E0" w:rsidRPr="004B34E5">
        <w:t xml:space="preserve"> </w:t>
      </w:r>
      <w:r w:rsidR="0030392A" w:rsidRPr="004B34E5">
        <w:t>Education Foundation, Melbourne.</w:t>
      </w:r>
    </w:p>
    <w:p w:rsidR="009706E0" w:rsidRPr="004B34E5" w:rsidRDefault="009706E0" w:rsidP="00543AFF">
      <w:pPr>
        <w:pStyle w:val="References"/>
      </w:pPr>
      <w:r w:rsidRPr="004B34E5">
        <w:t>Bl</w:t>
      </w:r>
      <w:r w:rsidR="00A72860" w:rsidRPr="004B34E5">
        <w:t>oomer, M</w:t>
      </w:r>
      <w:r w:rsidRPr="004B34E5">
        <w:t xml:space="preserve"> &amp; Hod</w:t>
      </w:r>
      <w:r w:rsidR="00A72860" w:rsidRPr="004B34E5">
        <w:t>kinson, P</w:t>
      </w:r>
      <w:r w:rsidRPr="004B34E5">
        <w:t xml:space="preserve"> 2000, </w:t>
      </w:r>
      <w:r w:rsidR="0033145C" w:rsidRPr="004B34E5">
        <w:t>‘Learning careers: c</w:t>
      </w:r>
      <w:r w:rsidRPr="004B34E5">
        <w:t>ontinuity</w:t>
      </w:r>
      <w:r w:rsidR="0033145C" w:rsidRPr="004B34E5">
        <w:t xml:space="preserve"> and change in young people’s dispositions to l</w:t>
      </w:r>
      <w:r w:rsidRPr="004B34E5">
        <w:t>earning</w:t>
      </w:r>
      <w:r w:rsidR="00985B5C">
        <w:t>’</w:t>
      </w:r>
      <w:r w:rsidRPr="004B34E5">
        <w:t xml:space="preserve">, </w:t>
      </w:r>
      <w:r w:rsidRPr="004B34E5">
        <w:rPr>
          <w:i/>
        </w:rPr>
        <w:t xml:space="preserve">British Educational Research Journal, </w:t>
      </w:r>
      <w:r w:rsidR="00954EE0" w:rsidRPr="004B34E5">
        <w:t>vol.</w:t>
      </w:r>
      <w:r w:rsidRPr="004B34E5">
        <w:t>26</w:t>
      </w:r>
      <w:r w:rsidR="00954EE0" w:rsidRPr="004B34E5">
        <w:t>, no.5, pp.</w:t>
      </w:r>
      <w:r w:rsidRPr="004B34E5">
        <w:rPr>
          <w:i/>
        </w:rPr>
        <w:t xml:space="preserve"> </w:t>
      </w:r>
      <w:r w:rsidR="00711FC4">
        <w:t>583—</w:t>
      </w:r>
      <w:r w:rsidRPr="004B34E5">
        <w:t>98</w:t>
      </w:r>
      <w:r w:rsidR="003732D8" w:rsidRPr="004B34E5">
        <w:t>.</w:t>
      </w:r>
    </w:p>
    <w:p w:rsidR="009706E0" w:rsidRPr="004B34E5" w:rsidRDefault="00A72860" w:rsidP="00543AFF">
      <w:pPr>
        <w:pStyle w:val="References"/>
        <w:rPr>
          <w:b/>
        </w:rPr>
      </w:pPr>
      <w:r w:rsidRPr="004B34E5">
        <w:t>Bradley, D</w:t>
      </w:r>
      <w:r w:rsidR="00711FC4">
        <w:t>, Noonan, P, Nugent, H &amp; Scales, B</w:t>
      </w:r>
      <w:r w:rsidR="009706E0" w:rsidRPr="004B34E5">
        <w:t xml:space="preserve"> 2008, </w:t>
      </w:r>
      <w:r w:rsidR="009706E0" w:rsidRPr="004B34E5">
        <w:rPr>
          <w:i/>
        </w:rPr>
        <w:t>Review o</w:t>
      </w:r>
      <w:r w:rsidR="00711FC4">
        <w:rPr>
          <w:i/>
        </w:rPr>
        <w:t>f Australian higher education: f</w:t>
      </w:r>
      <w:r w:rsidR="009706E0" w:rsidRPr="004B34E5">
        <w:rPr>
          <w:i/>
        </w:rPr>
        <w:t>inal report</w:t>
      </w:r>
      <w:r w:rsidR="009706E0" w:rsidRPr="004B34E5">
        <w:t xml:space="preserve">, </w:t>
      </w:r>
      <w:r w:rsidR="00711FC4">
        <w:t>DEEWR, Canberra, viewed 14 February 2014,</w:t>
      </w:r>
      <w:r w:rsidR="0047428C" w:rsidRPr="004B34E5">
        <w:t xml:space="preserve"> </w:t>
      </w:r>
      <w:r w:rsidR="00711FC4">
        <w:t>&lt;http://</w:t>
      </w:r>
      <w:hyperlink r:id="rId21" w:history="1">
        <w:r w:rsidR="002D6FC6" w:rsidRPr="004B34E5">
          <w:rPr>
            <w:rStyle w:val="Hyperlink"/>
            <w:szCs w:val="19"/>
          </w:rPr>
          <w:t>www.deewr.gov.au/he_review_finalreport</w:t>
        </w:r>
      </w:hyperlink>
      <w:r w:rsidR="00711FC4">
        <w:t>&gt;</w:t>
      </w:r>
      <w:r w:rsidR="009706E0" w:rsidRPr="004B34E5">
        <w:t>.</w:t>
      </w:r>
    </w:p>
    <w:p w:rsidR="009706E0" w:rsidRPr="004B34E5" w:rsidRDefault="009706E0" w:rsidP="00543AFF">
      <w:pPr>
        <w:pStyle w:val="References"/>
        <w:rPr>
          <w:b/>
          <w:bCs/>
        </w:rPr>
      </w:pPr>
      <w:r w:rsidRPr="004B34E5">
        <w:t>Br</w:t>
      </w:r>
      <w:r w:rsidR="00A72860" w:rsidRPr="004B34E5">
        <w:t>oadbent, R</w:t>
      </w:r>
      <w:r w:rsidRPr="004B34E5">
        <w:t xml:space="preserve"> &amp; Ca</w:t>
      </w:r>
      <w:r w:rsidR="00A72860" w:rsidRPr="004B34E5">
        <w:t>cciattolo, M</w:t>
      </w:r>
      <w:r w:rsidRPr="004B34E5">
        <w:t xml:space="preserve"> 2013, </w:t>
      </w:r>
      <w:r w:rsidR="00E240D2" w:rsidRPr="004B34E5">
        <w:t>‘</w:t>
      </w:r>
      <w:proofErr w:type="gramStart"/>
      <w:r w:rsidRPr="004B34E5">
        <w:t>The</w:t>
      </w:r>
      <w:proofErr w:type="gramEnd"/>
      <w:r w:rsidRPr="004B34E5">
        <w:t xml:space="preserve"> role of school community partnerships in building successful transition pathways for young</w:t>
      </w:r>
      <w:r w:rsidR="00E240D2" w:rsidRPr="004B34E5">
        <w:t xml:space="preserve"> people: one school’s approach’, </w:t>
      </w:r>
      <w:r w:rsidRPr="004B34E5">
        <w:rPr>
          <w:i/>
          <w:iCs/>
        </w:rPr>
        <w:t>The Australian Educational Researcher,</w:t>
      </w:r>
      <w:r w:rsidR="00E240D2" w:rsidRPr="004B34E5">
        <w:rPr>
          <w:i/>
          <w:iCs/>
        </w:rPr>
        <w:t xml:space="preserve"> </w:t>
      </w:r>
      <w:r w:rsidR="00E240D2" w:rsidRPr="004B34E5">
        <w:rPr>
          <w:iCs/>
        </w:rPr>
        <w:t>vol.</w:t>
      </w:r>
      <w:r w:rsidRPr="004B34E5">
        <w:rPr>
          <w:iCs/>
        </w:rPr>
        <w:t>40</w:t>
      </w:r>
      <w:r w:rsidR="00E240D2" w:rsidRPr="004B34E5">
        <w:rPr>
          <w:iCs/>
        </w:rPr>
        <w:t>, no.</w:t>
      </w:r>
      <w:r w:rsidR="00E240D2" w:rsidRPr="004B34E5">
        <w:t>1</w:t>
      </w:r>
      <w:r w:rsidRPr="004B34E5">
        <w:t xml:space="preserve">, </w:t>
      </w:r>
      <w:r w:rsidR="00E240D2" w:rsidRPr="004B34E5">
        <w:t>pp.</w:t>
      </w:r>
      <w:r w:rsidR="00711FC4">
        <w:t>109—</w:t>
      </w:r>
      <w:r w:rsidRPr="004B34E5">
        <w:t>23.</w:t>
      </w:r>
    </w:p>
    <w:p w:rsidR="009706E0" w:rsidRPr="004B34E5" w:rsidRDefault="009706E0" w:rsidP="00543AFF">
      <w:pPr>
        <w:pStyle w:val="References"/>
      </w:pPr>
      <w:proofErr w:type="gramStart"/>
      <w:r w:rsidRPr="004B34E5">
        <w:t>Bro</w:t>
      </w:r>
      <w:r w:rsidR="00A72860" w:rsidRPr="004B34E5">
        <w:t>wn, P, Reay, D &amp; Vincent, C</w:t>
      </w:r>
      <w:r w:rsidRPr="004B34E5">
        <w:t xml:space="preserve"> 2013, </w:t>
      </w:r>
      <w:r w:rsidR="00E240D2" w:rsidRPr="004B34E5">
        <w:t>‘</w:t>
      </w:r>
      <w:r w:rsidR="0033145C" w:rsidRPr="004B34E5">
        <w:t>Education and social m</w:t>
      </w:r>
      <w:r w:rsidRPr="004B34E5">
        <w:t>obility</w:t>
      </w:r>
      <w:r w:rsidR="00E240D2" w:rsidRPr="004B34E5">
        <w:t>’</w:t>
      </w:r>
      <w:r w:rsidRPr="004B34E5">
        <w:t xml:space="preserve">, </w:t>
      </w:r>
      <w:r w:rsidRPr="004B34E5">
        <w:rPr>
          <w:i/>
        </w:rPr>
        <w:t xml:space="preserve">British Journal of Sociology of Education, </w:t>
      </w:r>
      <w:r w:rsidR="00E240D2" w:rsidRPr="004B34E5">
        <w:t>vol.</w:t>
      </w:r>
      <w:r w:rsidRPr="004B34E5">
        <w:t>3</w:t>
      </w:r>
      <w:r w:rsidR="00E240D2" w:rsidRPr="004B34E5">
        <w:t>4, no.</w:t>
      </w:r>
      <w:r w:rsidR="00711FC4">
        <w:t>5—</w:t>
      </w:r>
      <w:r w:rsidRPr="004B34E5">
        <w:t xml:space="preserve">6, </w:t>
      </w:r>
      <w:r w:rsidR="00E240D2" w:rsidRPr="004B34E5">
        <w:t>pp.</w:t>
      </w:r>
      <w:r w:rsidR="00711FC4">
        <w:t>637—</w:t>
      </w:r>
      <w:r w:rsidRPr="004B34E5">
        <w:t>43</w:t>
      </w:r>
      <w:r w:rsidR="003732D8" w:rsidRPr="004B34E5">
        <w:t>.</w:t>
      </w:r>
      <w:proofErr w:type="gramEnd"/>
    </w:p>
    <w:p w:rsidR="009706E0" w:rsidRPr="004B34E5" w:rsidRDefault="00A72860" w:rsidP="00543AFF">
      <w:pPr>
        <w:pStyle w:val="References"/>
        <w:rPr>
          <w:b/>
          <w:bCs/>
        </w:rPr>
      </w:pPr>
      <w:r w:rsidRPr="004B34E5">
        <w:t>Bryce, J</w:t>
      </w:r>
      <w:r w:rsidR="009706E0" w:rsidRPr="004B34E5">
        <w:t xml:space="preserve"> &amp;</w:t>
      </w:r>
      <w:r w:rsidRPr="004B34E5">
        <w:t xml:space="preserve"> Anderson, M</w:t>
      </w:r>
      <w:r w:rsidR="009706E0" w:rsidRPr="004B34E5">
        <w:t xml:space="preserve"> 2008, What can be learned from the roller coaster journeys of young people making ultimately successful transitions beyond school?</w:t>
      </w:r>
      <w:r w:rsidR="00E240D2" w:rsidRPr="004B34E5">
        <w:t>’,</w:t>
      </w:r>
      <w:r w:rsidR="009706E0" w:rsidRPr="004B34E5">
        <w:t xml:space="preserve"> </w:t>
      </w:r>
      <w:r w:rsidR="009706E0" w:rsidRPr="004B34E5">
        <w:rPr>
          <w:i/>
          <w:iCs/>
        </w:rPr>
        <w:t>Australian Journal of Career Development</w:t>
      </w:r>
      <w:r w:rsidR="009706E0" w:rsidRPr="004B34E5">
        <w:rPr>
          <w:iCs/>
        </w:rPr>
        <w:t xml:space="preserve">, </w:t>
      </w:r>
      <w:r w:rsidR="00E240D2" w:rsidRPr="004B34E5">
        <w:rPr>
          <w:iCs/>
        </w:rPr>
        <w:t>vol.</w:t>
      </w:r>
      <w:r w:rsidR="009706E0" w:rsidRPr="004B34E5">
        <w:rPr>
          <w:iCs/>
        </w:rPr>
        <w:t>17</w:t>
      </w:r>
      <w:r w:rsidR="00E240D2" w:rsidRPr="004B34E5">
        <w:rPr>
          <w:iCs/>
        </w:rPr>
        <w:t>, no.</w:t>
      </w:r>
      <w:r w:rsidR="00E240D2" w:rsidRPr="004B34E5">
        <w:t>1</w:t>
      </w:r>
      <w:r w:rsidR="009706E0" w:rsidRPr="004B34E5">
        <w:t xml:space="preserve">, </w:t>
      </w:r>
      <w:r w:rsidR="00E240D2" w:rsidRPr="004B34E5">
        <w:t>pp.</w:t>
      </w:r>
      <w:r w:rsidR="00711FC4">
        <w:t>41—</w:t>
      </w:r>
      <w:r w:rsidR="009706E0" w:rsidRPr="004B34E5">
        <w:t>9.</w:t>
      </w:r>
    </w:p>
    <w:p w:rsidR="009706E0" w:rsidRPr="004B34E5" w:rsidRDefault="00A72860" w:rsidP="00543AFF">
      <w:pPr>
        <w:pStyle w:val="References"/>
        <w:rPr>
          <w:b/>
          <w:bCs/>
        </w:rPr>
      </w:pPr>
      <w:r w:rsidRPr="004B34E5">
        <w:t>Bryce, J</w:t>
      </w:r>
      <w:r w:rsidR="009706E0" w:rsidRPr="004B34E5">
        <w:t>, Anderso</w:t>
      </w:r>
      <w:r w:rsidRPr="004B34E5">
        <w:t xml:space="preserve">n, M, </w:t>
      </w:r>
      <w:proofErr w:type="spellStart"/>
      <w:r w:rsidRPr="004B34E5">
        <w:t>Frigo</w:t>
      </w:r>
      <w:proofErr w:type="spellEnd"/>
      <w:r w:rsidRPr="004B34E5">
        <w:t xml:space="preserve">, T &amp; McKenzie, P </w:t>
      </w:r>
      <w:r w:rsidR="009706E0" w:rsidRPr="004B34E5">
        <w:t xml:space="preserve">2007, </w:t>
      </w:r>
      <w:r w:rsidR="0033145C" w:rsidRPr="004B34E5">
        <w:rPr>
          <w:i/>
          <w:iCs/>
        </w:rPr>
        <w:t>Australian young people</w:t>
      </w:r>
      <w:r w:rsidR="009706E0" w:rsidRPr="004B34E5">
        <w:rPr>
          <w:i/>
          <w:iCs/>
        </w:rPr>
        <w:t>: their stories, their families and post school plan</w:t>
      </w:r>
      <w:r w:rsidR="00711FC4">
        <w:rPr>
          <w:i/>
          <w:iCs/>
        </w:rPr>
        <w:t>s</w:t>
      </w:r>
      <w:r w:rsidR="0033145C" w:rsidRPr="004B34E5">
        <w:t>,</w:t>
      </w:r>
      <w:r w:rsidR="009706E0" w:rsidRPr="004B34E5">
        <w:t xml:space="preserve"> </w:t>
      </w:r>
      <w:r w:rsidR="00E240D2" w:rsidRPr="004B34E5">
        <w:t>Smith Family, Melbourne.</w:t>
      </w:r>
    </w:p>
    <w:p w:rsidR="009706E0" w:rsidRPr="004B34E5" w:rsidRDefault="00A72860" w:rsidP="00543AFF">
      <w:pPr>
        <w:pStyle w:val="References"/>
      </w:pPr>
      <w:r w:rsidRPr="004B34E5">
        <w:t>Butler, E &amp; Ferrier, F</w:t>
      </w:r>
      <w:r w:rsidR="009706E0" w:rsidRPr="004B34E5">
        <w:t xml:space="preserve"> 2006, ‘Asking difficult (femi</w:t>
      </w:r>
      <w:r w:rsidR="0033145C" w:rsidRPr="004B34E5">
        <w:t>nist) questions: t</w:t>
      </w:r>
      <w:r w:rsidR="009706E0" w:rsidRPr="004B34E5">
        <w:t xml:space="preserve">he case of “disappearing” women and policy problematics in Australian VET’, </w:t>
      </w:r>
      <w:r w:rsidR="009706E0" w:rsidRPr="004B34E5">
        <w:rPr>
          <w:i/>
        </w:rPr>
        <w:t>Journal of Vocational Education and Training</w:t>
      </w:r>
      <w:r w:rsidR="00711FC4">
        <w:t>, vol.58, no.4, pp.577—</w:t>
      </w:r>
      <w:r w:rsidR="003732D8" w:rsidRPr="004B34E5">
        <w:t>601.</w:t>
      </w:r>
    </w:p>
    <w:p w:rsidR="009706E0" w:rsidRPr="004B34E5" w:rsidRDefault="009706E0" w:rsidP="00543AFF">
      <w:pPr>
        <w:pStyle w:val="References"/>
        <w:rPr>
          <w:b/>
          <w:noProof/>
        </w:rPr>
      </w:pPr>
      <w:r w:rsidRPr="004B34E5">
        <w:rPr>
          <w:noProof/>
        </w:rPr>
        <w:t xml:space="preserve">Byron, I 2010, 'Place-based approaches to addressing disadvanatge', </w:t>
      </w:r>
      <w:r w:rsidRPr="004B34E5">
        <w:rPr>
          <w:i/>
          <w:noProof/>
        </w:rPr>
        <w:t>Family Matters</w:t>
      </w:r>
      <w:r w:rsidR="00C235FD" w:rsidRPr="004B34E5">
        <w:rPr>
          <w:noProof/>
        </w:rPr>
        <w:t>, vol.84,</w:t>
      </w:r>
      <w:r w:rsidR="00E240D2" w:rsidRPr="004B34E5">
        <w:rPr>
          <w:noProof/>
        </w:rPr>
        <w:t xml:space="preserve"> pp.</w:t>
      </w:r>
      <w:r w:rsidR="00711FC4">
        <w:rPr>
          <w:noProof/>
        </w:rPr>
        <w:t>20—</w:t>
      </w:r>
      <w:r w:rsidRPr="004B34E5">
        <w:rPr>
          <w:noProof/>
        </w:rPr>
        <w:t>7</w:t>
      </w:r>
      <w:r w:rsidR="003732D8" w:rsidRPr="004B34E5">
        <w:rPr>
          <w:noProof/>
        </w:rPr>
        <w:t>.</w:t>
      </w:r>
    </w:p>
    <w:p w:rsidR="009706E0" w:rsidRPr="004B34E5" w:rsidRDefault="00A72860" w:rsidP="00543AFF">
      <w:pPr>
        <w:pStyle w:val="References"/>
        <w:rPr>
          <w:b/>
          <w:bCs/>
        </w:rPr>
      </w:pPr>
      <w:r w:rsidRPr="004B34E5">
        <w:t>Carson, E &amp; Kerr, L</w:t>
      </w:r>
      <w:r w:rsidR="009706E0" w:rsidRPr="004B34E5">
        <w:t xml:space="preserve"> 2010, </w:t>
      </w:r>
      <w:r w:rsidR="005B6FFF">
        <w:t>‘</w:t>
      </w:r>
      <w:r w:rsidR="009706E0" w:rsidRPr="005B6FFF">
        <w:t xml:space="preserve">Northern Adelaide </w:t>
      </w:r>
      <w:r w:rsidR="00711FC4" w:rsidRPr="005B6FFF">
        <w:t>skills, workforce and employment: blueprint</w:t>
      </w:r>
      <w:r w:rsidR="005B6FFF">
        <w:t>’</w:t>
      </w:r>
      <w:r w:rsidR="00E240D2" w:rsidRPr="004B34E5">
        <w:t xml:space="preserve">, </w:t>
      </w:r>
      <w:r w:rsidR="00711FC4">
        <w:t xml:space="preserve">viewed </w:t>
      </w:r>
      <w:r w:rsidR="0047428C" w:rsidRPr="004B34E5">
        <w:t>14</w:t>
      </w:r>
      <w:r w:rsidR="00711FC4">
        <w:t xml:space="preserve"> February 2014,</w:t>
      </w:r>
      <w:r w:rsidR="0047428C" w:rsidRPr="004B34E5">
        <w:t xml:space="preserve"> </w:t>
      </w:r>
      <w:r w:rsidR="00711FC4">
        <w:t>&lt;</w:t>
      </w:r>
      <w:r w:rsidR="00C235FD" w:rsidRPr="004B34E5">
        <w:rPr>
          <w:rFonts w:cs="Arial"/>
        </w:rPr>
        <w:t>http://www.northernfutures.org.au/NorthernAdelaideSkillsWorkforceandEmploymentBlueprint.aspx</w:t>
      </w:r>
      <w:r w:rsidR="00711FC4">
        <w:rPr>
          <w:rFonts w:cs="Arial"/>
        </w:rPr>
        <w:t>&gt;.</w:t>
      </w:r>
    </w:p>
    <w:p w:rsidR="00367CFD" w:rsidRPr="004B34E5" w:rsidRDefault="00367CFD" w:rsidP="00543AFF">
      <w:pPr>
        <w:pStyle w:val="References"/>
        <w:rPr>
          <w:color w:val="000000"/>
        </w:rPr>
      </w:pPr>
      <w:r w:rsidRPr="004B34E5">
        <w:rPr>
          <w:color w:val="000000"/>
        </w:rPr>
        <w:t>Corbett</w:t>
      </w:r>
      <w:r w:rsidR="00711FC4">
        <w:rPr>
          <w:color w:val="000000"/>
        </w:rPr>
        <w:t>, MJ</w:t>
      </w:r>
      <w:r w:rsidR="00FA4BD2">
        <w:rPr>
          <w:color w:val="000000"/>
        </w:rPr>
        <w:t xml:space="preserve"> 2000,</w:t>
      </w:r>
      <w:r w:rsidRPr="004B34E5">
        <w:rPr>
          <w:color w:val="000000"/>
        </w:rPr>
        <w:t xml:space="preserve"> ‘Learning to </w:t>
      </w:r>
      <w:r w:rsidR="00711FC4" w:rsidRPr="004B34E5">
        <w:rPr>
          <w:color w:val="000000"/>
        </w:rPr>
        <w:t xml:space="preserve">leave: the </w:t>
      </w:r>
      <w:r w:rsidRPr="004B34E5">
        <w:rPr>
          <w:color w:val="000000"/>
        </w:rPr>
        <w:t xml:space="preserve">irony of schooling in a coastal community’, </w:t>
      </w:r>
      <w:r w:rsidR="004C551B" w:rsidRPr="004B34E5">
        <w:rPr>
          <w:color w:val="000000"/>
        </w:rPr>
        <w:t>doctoral thesis</w:t>
      </w:r>
      <w:r w:rsidRPr="004B34E5">
        <w:rPr>
          <w:color w:val="000000"/>
        </w:rPr>
        <w:t>, University of British Columbia</w:t>
      </w:r>
      <w:r w:rsidR="005B6FFF">
        <w:rPr>
          <w:color w:val="000000"/>
        </w:rPr>
        <w:t>, Vancouver</w:t>
      </w:r>
      <w:r w:rsidR="004C551B">
        <w:rPr>
          <w:color w:val="000000"/>
        </w:rPr>
        <w:t>.</w:t>
      </w:r>
    </w:p>
    <w:p w:rsidR="00D26A9C" w:rsidRDefault="00D26A9C" w:rsidP="00543AFF">
      <w:pPr>
        <w:pStyle w:val="References"/>
      </w:pPr>
      <w:r w:rsidRPr="00543AFF">
        <w:t>——</w:t>
      </w:r>
      <w:r>
        <w:t xml:space="preserve">2007, </w:t>
      </w:r>
      <w:r w:rsidRPr="005B6FFF">
        <w:rPr>
          <w:i/>
        </w:rPr>
        <w:t>Learning to leave: the irony of schooling in a coastal community</w:t>
      </w:r>
      <w:r>
        <w:t xml:space="preserve">, </w:t>
      </w:r>
      <w:proofErr w:type="spellStart"/>
      <w:r w:rsidR="005B6FFF">
        <w:t>Fernwood</w:t>
      </w:r>
      <w:proofErr w:type="spellEnd"/>
      <w:r w:rsidR="005B6FFF">
        <w:t xml:space="preserve"> Publishing Co, Toronto.</w:t>
      </w:r>
    </w:p>
    <w:p w:rsidR="009706E0" w:rsidRPr="004B34E5" w:rsidRDefault="00A72860" w:rsidP="00543AFF">
      <w:pPr>
        <w:pStyle w:val="References"/>
        <w:rPr>
          <w:b/>
          <w:bCs/>
        </w:rPr>
      </w:pPr>
      <w:r w:rsidRPr="004B34E5">
        <w:t xml:space="preserve">Crozier, G, </w:t>
      </w:r>
      <w:proofErr w:type="spellStart"/>
      <w:r w:rsidRPr="004B34E5">
        <w:t>Reay</w:t>
      </w:r>
      <w:proofErr w:type="spellEnd"/>
      <w:r w:rsidRPr="004B34E5">
        <w:t>, D,</w:t>
      </w:r>
      <w:r w:rsidR="009706E0" w:rsidRPr="004B34E5">
        <w:t xml:space="preserve"> Clayton,</w:t>
      </w:r>
      <w:r w:rsidRPr="004B34E5">
        <w:t xml:space="preserve"> J,</w:t>
      </w:r>
      <w:r w:rsidR="009706E0" w:rsidRPr="004B34E5">
        <w:t xml:space="preserve"> </w:t>
      </w:r>
      <w:proofErr w:type="spellStart"/>
      <w:r w:rsidR="009706E0" w:rsidRPr="004B34E5">
        <w:t>Colliander</w:t>
      </w:r>
      <w:proofErr w:type="spellEnd"/>
      <w:r w:rsidR="009706E0" w:rsidRPr="004B34E5">
        <w:t>,</w:t>
      </w:r>
      <w:r w:rsidRPr="004B34E5">
        <w:t xml:space="preserve"> L &amp; </w:t>
      </w:r>
      <w:proofErr w:type="spellStart"/>
      <w:r w:rsidR="009706E0" w:rsidRPr="004B34E5">
        <w:t>Grinstead</w:t>
      </w:r>
      <w:proofErr w:type="spellEnd"/>
      <w:r w:rsidR="009706E0" w:rsidRPr="004B34E5">
        <w:t>,</w:t>
      </w:r>
      <w:r w:rsidRPr="004B34E5">
        <w:t xml:space="preserve"> J</w:t>
      </w:r>
      <w:r w:rsidR="009706E0" w:rsidRPr="004B34E5">
        <w:t xml:space="preserve"> 2008, </w:t>
      </w:r>
      <w:r w:rsidR="0033145C" w:rsidRPr="004B34E5">
        <w:t>‘</w:t>
      </w:r>
      <w:r w:rsidR="009706E0" w:rsidRPr="004B34E5">
        <w:rPr>
          <w:iCs/>
        </w:rPr>
        <w:t>Different strokes for different folks: diverse st</w:t>
      </w:r>
      <w:r w:rsidR="004C551B">
        <w:rPr>
          <w:iCs/>
        </w:rPr>
        <w:t>udents in diverse institutions —</w:t>
      </w:r>
      <w:r w:rsidR="009706E0" w:rsidRPr="004B34E5">
        <w:rPr>
          <w:iCs/>
        </w:rPr>
        <w:t xml:space="preserve"> experiences of higher education</w:t>
      </w:r>
      <w:r w:rsidR="0033145C" w:rsidRPr="004B34E5">
        <w:rPr>
          <w:iCs/>
        </w:rPr>
        <w:t>’</w:t>
      </w:r>
      <w:r w:rsidR="00E240D2" w:rsidRPr="004B34E5">
        <w:t>,</w:t>
      </w:r>
      <w:r w:rsidR="009706E0" w:rsidRPr="004B34E5">
        <w:t xml:space="preserve"> </w:t>
      </w:r>
      <w:r w:rsidR="009706E0" w:rsidRPr="004B34E5">
        <w:rPr>
          <w:i/>
        </w:rPr>
        <w:t>Research Papers in Education</w:t>
      </w:r>
      <w:r w:rsidR="009706E0" w:rsidRPr="004B34E5">
        <w:t xml:space="preserve">, </w:t>
      </w:r>
      <w:r w:rsidR="00E240D2" w:rsidRPr="004B34E5">
        <w:t>vol.23, no.2, pp.</w:t>
      </w:r>
      <w:r w:rsidR="004C551B">
        <w:t>167—</w:t>
      </w:r>
      <w:r w:rsidR="009706E0" w:rsidRPr="004B34E5">
        <w:t>77.</w:t>
      </w:r>
    </w:p>
    <w:p w:rsidR="00BD07BC" w:rsidRPr="004B34E5" w:rsidRDefault="00A72860" w:rsidP="00543AFF">
      <w:pPr>
        <w:pStyle w:val="References"/>
      </w:pPr>
      <w:r w:rsidRPr="004B34E5">
        <w:t>Dow, KL</w:t>
      </w:r>
      <w:r w:rsidR="009706E0" w:rsidRPr="004B34E5">
        <w:t xml:space="preserve">, </w:t>
      </w:r>
      <w:r w:rsidRPr="004B34E5">
        <w:t>Allan, M &amp; Mitchell, J</w:t>
      </w:r>
      <w:r w:rsidR="009706E0" w:rsidRPr="004B34E5">
        <w:t xml:space="preserve"> 2011, </w:t>
      </w:r>
      <w:r w:rsidR="0033145C" w:rsidRPr="004B34E5">
        <w:rPr>
          <w:i/>
        </w:rPr>
        <w:t>Gippsland t</w:t>
      </w:r>
      <w:r w:rsidR="009706E0" w:rsidRPr="004B34E5">
        <w:rPr>
          <w:i/>
        </w:rPr>
        <w:t>er</w:t>
      </w:r>
      <w:r w:rsidR="0033145C" w:rsidRPr="004B34E5">
        <w:rPr>
          <w:i/>
        </w:rPr>
        <w:t>tiary education p</w:t>
      </w:r>
      <w:r w:rsidR="00E240D2" w:rsidRPr="004B34E5">
        <w:rPr>
          <w:i/>
        </w:rPr>
        <w:t>lan</w:t>
      </w:r>
      <w:r w:rsidR="00C235FD" w:rsidRPr="004B34E5">
        <w:t>,</w:t>
      </w:r>
      <w:r w:rsidR="00E240D2" w:rsidRPr="004B34E5">
        <w:t xml:space="preserve"> </w:t>
      </w:r>
      <w:r w:rsidR="005D0BCE" w:rsidRPr="004B34E5">
        <w:t xml:space="preserve">Skills Victoria, Department of </w:t>
      </w:r>
      <w:r w:rsidR="00C235FD" w:rsidRPr="004B34E5">
        <w:t xml:space="preserve">Education and Early Childhood Development, </w:t>
      </w:r>
      <w:r w:rsidR="00E240D2" w:rsidRPr="004B34E5">
        <w:t>Melbourne,</w:t>
      </w:r>
      <w:r w:rsidR="009706E0" w:rsidRPr="004B34E5">
        <w:t xml:space="preserve"> </w:t>
      </w:r>
      <w:r w:rsidR="004C551B">
        <w:t xml:space="preserve">viewed </w:t>
      </w:r>
      <w:r w:rsidR="004C551B" w:rsidRPr="004B34E5">
        <w:t>14</w:t>
      </w:r>
      <w:r w:rsidR="004C551B">
        <w:t xml:space="preserve"> February 2014, &lt;http://</w:t>
      </w:r>
      <w:hyperlink r:id="rId22" w:history="1">
        <w:r w:rsidR="00BD07BC" w:rsidRPr="004B34E5">
          <w:rPr>
            <w:rStyle w:val="Hyperlink"/>
            <w:szCs w:val="19"/>
          </w:rPr>
          <w:t>www.education.vic.gov.au</w:t>
        </w:r>
      </w:hyperlink>
      <w:r w:rsidR="004C551B">
        <w:t>&gt;.</w:t>
      </w:r>
    </w:p>
    <w:p w:rsidR="00BD07BC" w:rsidRPr="004B34E5" w:rsidRDefault="00FA4BD2" w:rsidP="00543AFF">
      <w:pPr>
        <w:pStyle w:val="References"/>
        <w:rPr>
          <w:b/>
        </w:rPr>
      </w:pPr>
      <w:r>
        <w:t>Drummond, A</w:t>
      </w:r>
      <w:r w:rsidR="00CF6841">
        <w:t xml:space="preserve">, </w:t>
      </w:r>
      <w:r>
        <w:t>Palmer</w:t>
      </w:r>
      <w:r w:rsidR="00CF6841">
        <w:t xml:space="preserve"> M</w:t>
      </w:r>
      <w:r>
        <w:t xml:space="preserve">, </w:t>
      </w:r>
      <w:r w:rsidR="00CF6841" w:rsidRPr="004B34E5">
        <w:t>&amp;</w:t>
      </w:r>
      <w:r w:rsidR="00CF6841">
        <w:t xml:space="preserve"> </w:t>
      </w:r>
      <w:r w:rsidR="00BD07BC" w:rsidRPr="004B34E5">
        <w:t>Halsey</w:t>
      </w:r>
      <w:r w:rsidR="00250479">
        <w:t>,</w:t>
      </w:r>
      <w:r>
        <w:t xml:space="preserve"> </w:t>
      </w:r>
      <w:r w:rsidR="00CF6841">
        <w:t xml:space="preserve">R </w:t>
      </w:r>
      <w:r>
        <w:t>2013,</w:t>
      </w:r>
      <w:r w:rsidR="00BD07BC" w:rsidRPr="004B34E5">
        <w:t xml:space="preserve"> ‘The </w:t>
      </w:r>
      <w:r w:rsidR="004C551B" w:rsidRPr="004B34E5">
        <w:t xml:space="preserve">attractiveness of regional towns: inferring quality </w:t>
      </w:r>
      <w:r w:rsidR="00BD07BC" w:rsidRPr="004B34E5">
        <w:t>of life from higher education facilities’</w:t>
      </w:r>
      <w:r>
        <w:t xml:space="preserve">, </w:t>
      </w:r>
      <w:r w:rsidR="00BD07BC" w:rsidRPr="004B34E5">
        <w:rPr>
          <w:i/>
        </w:rPr>
        <w:t>Australian and International Journal of Rural Education</w:t>
      </w:r>
      <w:r>
        <w:rPr>
          <w:i/>
        </w:rPr>
        <w:t>,</w:t>
      </w:r>
      <w:r w:rsidR="00BD07BC" w:rsidRPr="004B34E5">
        <w:t xml:space="preserve"> </w:t>
      </w:r>
      <w:r w:rsidR="004C551B">
        <w:t>vol.</w:t>
      </w:r>
      <w:r w:rsidR="00BD07BC" w:rsidRPr="004B34E5">
        <w:t>23</w:t>
      </w:r>
      <w:r w:rsidR="004C551B">
        <w:t>, no.2, pp.21—</w:t>
      </w:r>
      <w:r w:rsidR="00BD07BC" w:rsidRPr="004B34E5">
        <w:t>30</w:t>
      </w:r>
      <w:r>
        <w:t>.</w:t>
      </w:r>
    </w:p>
    <w:p w:rsidR="009706E0" w:rsidRPr="004B34E5" w:rsidRDefault="00A72860" w:rsidP="00543AFF">
      <w:pPr>
        <w:pStyle w:val="References"/>
        <w:rPr>
          <w:b/>
        </w:rPr>
      </w:pPr>
      <w:r w:rsidRPr="004B34E5">
        <w:t>Elliott, A &amp; Urry, J</w:t>
      </w:r>
      <w:r w:rsidR="009706E0" w:rsidRPr="004B34E5">
        <w:t xml:space="preserve"> 2010,</w:t>
      </w:r>
      <w:r w:rsidR="00E240D2" w:rsidRPr="004B34E5">
        <w:t xml:space="preserve"> </w:t>
      </w:r>
      <w:r w:rsidR="00E240D2" w:rsidRPr="004B34E5">
        <w:rPr>
          <w:i/>
        </w:rPr>
        <w:t>Mobile lives</w:t>
      </w:r>
      <w:r w:rsidR="00E240D2" w:rsidRPr="004B34E5">
        <w:t>,</w:t>
      </w:r>
      <w:r w:rsidR="009706E0" w:rsidRPr="004B34E5">
        <w:t xml:space="preserve"> </w:t>
      </w:r>
      <w:r w:rsidR="00E240D2" w:rsidRPr="004B34E5">
        <w:t>Routledge, New York</w:t>
      </w:r>
      <w:r w:rsidR="009706E0" w:rsidRPr="004B34E5">
        <w:t>.</w:t>
      </w:r>
    </w:p>
    <w:p w:rsidR="005E5359" w:rsidRPr="004B34E5" w:rsidRDefault="00A72860" w:rsidP="00543AFF">
      <w:pPr>
        <w:pStyle w:val="References"/>
        <w:rPr>
          <w:b/>
          <w:bCs/>
        </w:rPr>
      </w:pPr>
      <w:r w:rsidRPr="004B34E5">
        <w:lastRenderedPageBreak/>
        <w:t>Gale, T, Parker, S, Rodd, P</w:t>
      </w:r>
      <w:r w:rsidR="009706E0" w:rsidRPr="004B34E5">
        <w:t>, S</w:t>
      </w:r>
      <w:r w:rsidRPr="004B34E5">
        <w:t xml:space="preserve">tratton, G &amp; Sealey, </w:t>
      </w:r>
      <w:proofErr w:type="gramStart"/>
      <w:r w:rsidRPr="004B34E5">
        <w:t>T</w:t>
      </w:r>
      <w:proofErr w:type="gramEnd"/>
      <w:r w:rsidR="009706E0" w:rsidRPr="004B34E5">
        <w:t xml:space="preserve"> 2013, </w:t>
      </w:r>
      <w:r w:rsidR="0033145C" w:rsidRPr="004B34E5">
        <w:rPr>
          <w:i/>
        </w:rPr>
        <w:t>Student aspirations for higher education in c</w:t>
      </w:r>
      <w:r w:rsidR="009706E0" w:rsidRPr="004B34E5">
        <w:rPr>
          <w:i/>
        </w:rPr>
        <w:t xml:space="preserve">entral Queensland: </w:t>
      </w:r>
      <w:r w:rsidR="004C551B">
        <w:rPr>
          <w:i/>
        </w:rPr>
        <w:t>a</w:t>
      </w:r>
      <w:r w:rsidR="009706E0" w:rsidRPr="004B34E5">
        <w:rPr>
          <w:i/>
        </w:rPr>
        <w:t xml:space="preserve"> survey of school students’ navigational capacities</w:t>
      </w:r>
      <w:r w:rsidR="00656182" w:rsidRPr="004B34E5">
        <w:t>,</w:t>
      </w:r>
      <w:r w:rsidR="004C551B">
        <w:t xml:space="preserve"> r</w:t>
      </w:r>
      <w:r w:rsidR="009706E0" w:rsidRPr="004B34E5">
        <w:t>eport submit</w:t>
      </w:r>
      <w:r w:rsidR="004C551B">
        <w:t xml:space="preserve">ted to CQ University, </w:t>
      </w:r>
      <w:r w:rsidR="009706E0" w:rsidRPr="004B34E5">
        <w:t xml:space="preserve">Centre for Research in Education Futures and Innovation (CREFI), Deakin </w:t>
      </w:r>
      <w:r w:rsidR="00656182" w:rsidRPr="004B34E5">
        <w:t>University, Melbourne</w:t>
      </w:r>
      <w:r w:rsidR="005D0BCE" w:rsidRPr="004B34E5">
        <w:t>, Australia</w:t>
      </w:r>
      <w:r w:rsidR="009706E0" w:rsidRPr="004B34E5">
        <w:t>.</w:t>
      </w:r>
    </w:p>
    <w:p w:rsidR="00F721B6" w:rsidRPr="00091302" w:rsidRDefault="004C551B" w:rsidP="00543AFF">
      <w:pPr>
        <w:pStyle w:val="References"/>
      </w:pPr>
      <w:proofErr w:type="gramStart"/>
      <w:r>
        <w:t>Gemici, S, Bednarz, A, Karmel, T &amp; Lim, P 2014</w:t>
      </w:r>
      <w:r w:rsidR="00F721B6">
        <w:t>, ‘</w:t>
      </w:r>
      <w:r>
        <w:t>Young people's aspirations and their occupational outcomes</w:t>
      </w:r>
      <w:r w:rsidR="005B6FFF">
        <w:t xml:space="preserve">’, </w:t>
      </w:r>
      <w:r w:rsidR="00F721B6" w:rsidRPr="00A74539">
        <w:rPr>
          <w:i/>
        </w:rPr>
        <w:t>Australian Economic Review</w:t>
      </w:r>
      <w:r>
        <w:t>, vol.47, no.1, pp.124—</w:t>
      </w:r>
      <w:r w:rsidR="00F721B6">
        <w:t>36.</w:t>
      </w:r>
      <w:proofErr w:type="gramEnd"/>
    </w:p>
    <w:p w:rsidR="007D720C" w:rsidRDefault="007D720C" w:rsidP="00543AFF">
      <w:pPr>
        <w:pStyle w:val="References"/>
      </w:pPr>
      <w:r>
        <w:t>Glover, J</w:t>
      </w:r>
      <w:r w:rsidR="008662AD">
        <w:t xml:space="preserve">, </w:t>
      </w:r>
      <w:proofErr w:type="spellStart"/>
      <w:r w:rsidR="008662AD">
        <w:t>Hetzel</w:t>
      </w:r>
      <w:proofErr w:type="spellEnd"/>
      <w:r w:rsidR="008662AD">
        <w:t xml:space="preserve">, D, Tennant, S &amp; Leahy, K 2010, </w:t>
      </w:r>
      <w:r w:rsidR="008662AD" w:rsidRPr="005B6FFF">
        <w:rPr>
          <w:i/>
        </w:rPr>
        <w:t>Understanding educational opportunities and outcomes: a South Australian atlas</w:t>
      </w:r>
      <w:r w:rsidR="008662AD">
        <w:t>, Public Health In</w:t>
      </w:r>
      <w:r w:rsidR="005B6FFF">
        <w:t xml:space="preserve">formation Development Unit, </w:t>
      </w:r>
      <w:r w:rsidR="008662AD">
        <w:t xml:space="preserve">University of Adelaide. </w:t>
      </w:r>
    </w:p>
    <w:p w:rsidR="009706E0" w:rsidRPr="004B34E5" w:rsidRDefault="00A72860" w:rsidP="00543AFF">
      <w:pPr>
        <w:pStyle w:val="References"/>
        <w:rPr>
          <w:b/>
          <w:bCs/>
        </w:rPr>
      </w:pPr>
      <w:proofErr w:type="spellStart"/>
      <w:proofErr w:type="gramStart"/>
      <w:r w:rsidRPr="004B34E5">
        <w:t>Granovetter</w:t>
      </w:r>
      <w:proofErr w:type="spellEnd"/>
      <w:r w:rsidRPr="004B34E5">
        <w:t>, MS</w:t>
      </w:r>
      <w:r w:rsidR="009706E0" w:rsidRPr="004B34E5">
        <w:t xml:space="preserve"> 1973,</w:t>
      </w:r>
      <w:r w:rsidR="0033145C" w:rsidRPr="004B34E5">
        <w:t xml:space="preserve"> ‘The strength of weak t</w:t>
      </w:r>
      <w:r w:rsidR="00656182" w:rsidRPr="004B34E5">
        <w:t>ies’,</w:t>
      </w:r>
      <w:r w:rsidR="009706E0" w:rsidRPr="004B34E5">
        <w:t xml:space="preserve"> </w:t>
      </w:r>
      <w:r w:rsidR="00656182" w:rsidRPr="004B34E5">
        <w:rPr>
          <w:i/>
          <w:iCs/>
        </w:rPr>
        <w:t>American</w:t>
      </w:r>
      <w:r w:rsidR="009706E0" w:rsidRPr="004B34E5">
        <w:rPr>
          <w:i/>
          <w:iCs/>
        </w:rPr>
        <w:t xml:space="preserve"> Journal of Sociology, </w:t>
      </w:r>
      <w:r w:rsidR="00656182" w:rsidRPr="004B34E5">
        <w:rPr>
          <w:iCs/>
        </w:rPr>
        <w:t>vol.</w:t>
      </w:r>
      <w:r w:rsidR="009706E0" w:rsidRPr="004B34E5">
        <w:rPr>
          <w:iCs/>
        </w:rPr>
        <w:t>78</w:t>
      </w:r>
      <w:r w:rsidR="00656182" w:rsidRPr="004B34E5">
        <w:t>, no.6</w:t>
      </w:r>
      <w:r w:rsidR="009706E0" w:rsidRPr="004B34E5">
        <w:t xml:space="preserve">, </w:t>
      </w:r>
      <w:r w:rsidR="00656182" w:rsidRPr="004B34E5">
        <w:t>pp.</w:t>
      </w:r>
      <w:r w:rsidR="004C551B">
        <w:t>1360—</w:t>
      </w:r>
      <w:r w:rsidR="009706E0" w:rsidRPr="004B34E5">
        <w:t>80.</w:t>
      </w:r>
      <w:proofErr w:type="gramEnd"/>
    </w:p>
    <w:p w:rsidR="009706E0" w:rsidRPr="004B34E5" w:rsidRDefault="004C551B" w:rsidP="00543AFF">
      <w:pPr>
        <w:pStyle w:val="References"/>
        <w:rPr>
          <w:b/>
          <w:bCs/>
        </w:rPr>
      </w:pPr>
      <w:r>
        <w:t>——</w:t>
      </w:r>
      <w:r w:rsidR="009706E0" w:rsidRPr="004B34E5">
        <w:t xml:space="preserve">1983, </w:t>
      </w:r>
      <w:r w:rsidR="00656182" w:rsidRPr="004B34E5">
        <w:t>‘</w:t>
      </w:r>
      <w:proofErr w:type="gramStart"/>
      <w:r w:rsidR="00D4236E" w:rsidRPr="004B34E5">
        <w:t>The</w:t>
      </w:r>
      <w:proofErr w:type="gramEnd"/>
      <w:r w:rsidR="00D4236E" w:rsidRPr="004B34E5">
        <w:t xml:space="preserve"> strength of weak ties: a network t</w:t>
      </w:r>
      <w:r w:rsidR="009706E0" w:rsidRPr="004B34E5">
        <w:t xml:space="preserve">heory </w:t>
      </w:r>
      <w:r w:rsidR="00D4236E" w:rsidRPr="004B34E5">
        <w:t>r</w:t>
      </w:r>
      <w:r w:rsidR="009706E0" w:rsidRPr="004B34E5">
        <w:t>evis</w:t>
      </w:r>
      <w:r w:rsidR="00656182" w:rsidRPr="004B34E5">
        <w:t>ited’,</w:t>
      </w:r>
      <w:r w:rsidR="009706E0" w:rsidRPr="004B34E5">
        <w:t xml:space="preserve"> </w:t>
      </w:r>
      <w:r w:rsidR="009706E0" w:rsidRPr="004B34E5">
        <w:rPr>
          <w:i/>
          <w:iCs/>
        </w:rPr>
        <w:t xml:space="preserve">Sociological </w:t>
      </w:r>
      <w:r w:rsidR="009706E0" w:rsidRPr="004B34E5">
        <w:rPr>
          <w:iCs/>
        </w:rPr>
        <w:t xml:space="preserve">Theory, </w:t>
      </w:r>
      <w:r>
        <w:rPr>
          <w:iCs/>
        </w:rPr>
        <w:t>v</w:t>
      </w:r>
      <w:r w:rsidR="005D0BCE" w:rsidRPr="004B34E5">
        <w:rPr>
          <w:iCs/>
        </w:rPr>
        <w:t>ol.</w:t>
      </w:r>
      <w:r w:rsidR="009706E0" w:rsidRPr="004B34E5">
        <w:rPr>
          <w:iCs/>
        </w:rPr>
        <w:t>1</w:t>
      </w:r>
      <w:r>
        <w:t>, pp.201—</w:t>
      </w:r>
      <w:r w:rsidR="005D0BCE" w:rsidRPr="004B34E5">
        <w:t>33</w:t>
      </w:r>
      <w:r>
        <w:t>.</w:t>
      </w:r>
    </w:p>
    <w:p w:rsidR="009706E0" w:rsidRPr="004B34E5" w:rsidRDefault="009706E0" w:rsidP="00543AFF">
      <w:pPr>
        <w:pStyle w:val="References"/>
        <w:rPr>
          <w:noProof/>
        </w:rPr>
      </w:pPr>
      <w:r w:rsidRPr="004B34E5">
        <w:rPr>
          <w:noProof/>
        </w:rPr>
        <w:t xml:space="preserve">Griggs, J, Whitworth, A, Walker, R, McLennan, D &amp; Noble, M 2008, </w:t>
      </w:r>
      <w:r w:rsidRPr="004B34E5">
        <w:rPr>
          <w:i/>
          <w:noProof/>
        </w:rPr>
        <w:t>Person or place-based policies to tackle disadvantage? Not knowing what works</w:t>
      </w:r>
      <w:r w:rsidRPr="004B34E5">
        <w:rPr>
          <w:noProof/>
        </w:rPr>
        <w:t xml:space="preserve">, Joseph Rowntree Foundation, </w:t>
      </w:r>
      <w:r w:rsidR="005B6FFF">
        <w:rPr>
          <w:noProof/>
        </w:rPr>
        <w:t xml:space="preserve">New </w:t>
      </w:r>
      <w:r w:rsidRPr="004B34E5">
        <w:rPr>
          <w:noProof/>
        </w:rPr>
        <w:t>York.</w:t>
      </w:r>
    </w:p>
    <w:p w:rsidR="009706E0" w:rsidRPr="004B34E5" w:rsidRDefault="009706E0" w:rsidP="00543AFF">
      <w:pPr>
        <w:pStyle w:val="References"/>
      </w:pPr>
      <w:r w:rsidRPr="004B34E5">
        <w:t>Harding,</w:t>
      </w:r>
      <w:r w:rsidR="00BC3A7C" w:rsidRPr="004B34E5">
        <w:t xml:space="preserve"> D, </w:t>
      </w:r>
      <w:proofErr w:type="spellStart"/>
      <w:r w:rsidR="00BC3A7C" w:rsidRPr="004B34E5">
        <w:t>Gennetian</w:t>
      </w:r>
      <w:proofErr w:type="spellEnd"/>
      <w:r w:rsidR="00BC3A7C" w:rsidRPr="004B34E5">
        <w:t xml:space="preserve">, L, </w:t>
      </w:r>
      <w:proofErr w:type="spellStart"/>
      <w:r w:rsidR="00BC3A7C" w:rsidRPr="004B34E5">
        <w:t>Winship</w:t>
      </w:r>
      <w:proofErr w:type="spellEnd"/>
      <w:r w:rsidR="00BC3A7C" w:rsidRPr="004B34E5">
        <w:t>, C</w:t>
      </w:r>
      <w:r w:rsidRPr="004B34E5">
        <w:t xml:space="preserve">, </w:t>
      </w:r>
      <w:proofErr w:type="spellStart"/>
      <w:r w:rsidRPr="004B34E5">
        <w:t>Sanbonmatsu</w:t>
      </w:r>
      <w:proofErr w:type="spellEnd"/>
      <w:r w:rsidRPr="004B34E5">
        <w:t>, L</w:t>
      </w:r>
      <w:r w:rsidR="00BC3A7C" w:rsidRPr="004B34E5">
        <w:t xml:space="preserve"> &amp; Kling, J</w:t>
      </w:r>
      <w:r w:rsidRPr="004B34E5">
        <w:t xml:space="preserve"> 201</w:t>
      </w:r>
      <w:r w:rsidR="00E639BD" w:rsidRPr="004B34E5">
        <w:t>1</w:t>
      </w:r>
      <w:r w:rsidRPr="004B34E5">
        <w:t xml:space="preserve">, </w:t>
      </w:r>
      <w:r w:rsidR="007A4C39">
        <w:t>‘</w:t>
      </w:r>
      <w:r w:rsidR="00E639BD" w:rsidRPr="004B34E5">
        <w:t xml:space="preserve">Unpacking </w:t>
      </w:r>
      <w:r w:rsidR="00EB075E" w:rsidRPr="004B34E5">
        <w:t>neighbourhood influences on education outcomes: setting the stage for future research</w:t>
      </w:r>
      <w:r w:rsidR="007A4C39">
        <w:t>’</w:t>
      </w:r>
      <w:r w:rsidR="00EB075E">
        <w:t>, i</w:t>
      </w:r>
      <w:r w:rsidR="005D0BCE" w:rsidRPr="004B34E5">
        <w:t>n</w:t>
      </w:r>
      <w:r w:rsidR="00656182" w:rsidRPr="004B34E5">
        <w:t xml:space="preserve"> </w:t>
      </w:r>
      <w:r w:rsidR="005D0BCE" w:rsidRPr="004B34E5">
        <w:t xml:space="preserve">G Duncan </w:t>
      </w:r>
      <w:r w:rsidR="00EB075E">
        <w:t xml:space="preserve">&amp; R </w:t>
      </w:r>
      <w:proofErr w:type="spellStart"/>
      <w:r w:rsidR="00EB075E">
        <w:t>Murnane</w:t>
      </w:r>
      <w:proofErr w:type="spellEnd"/>
      <w:r w:rsidR="00EB075E">
        <w:t xml:space="preserve"> (e</w:t>
      </w:r>
      <w:r w:rsidR="005D0BCE" w:rsidRPr="004B34E5">
        <w:t xml:space="preserve">ds.), </w:t>
      </w:r>
      <w:proofErr w:type="gramStart"/>
      <w:r w:rsidR="00E639BD" w:rsidRPr="004B34E5">
        <w:rPr>
          <w:i/>
        </w:rPr>
        <w:t>Whither</w:t>
      </w:r>
      <w:proofErr w:type="gramEnd"/>
      <w:r w:rsidR="00E639BD" w:rsidRPr="004B34E5">
        <w:rPr>
          <w:i/>
        </w:rPr>
        <w:t xml:space="preserve"> </w:t>
      </w:r>
      <w:r w:rsidR="005B6FFF">
        <w:rPr>
          <w:i/>
        </w:rPr>
        <w:t xml:space="preserve">opportunity? </w:t>
      </w:r>
      <w:proofErr w:type="gramStart"/>
      <w:r w:rsidR="005B6FFF">
        <w:rPr>
          <w:i/>
        </w:rPr>
        <w:t>R</w:t>
      </w:r>
      <w:r w:rsidR="00EB075E" w:rsidRPr="004B34E5">
        <w:rPr>
          <w:i/>
        </w:rPr>
        <w:t>ising inequality, schools, and children’s life chances</w:t>
      </w:r>
      <w:r w:rsidR="00931177" w:rsidRPr="004B34E5">
        <w:t xml:space="preserve">, </w:t>
      </w:r>
      <w:r w:rsidR="00125926" w:rsidRPr="004B34E5">
        <w:t xml:space="preserve">Russell </w:t>
      </w:r>
      <w:r w:rsidRPr="004B34E5">
        <w:t>Sage</w:t>
      </w:r>
      <w:r w:rsidR="00D4236E" w:rsidRPr="004B34E5">
        <w:t xml:space="preserve"> </w:t>
      </w:r>
      <w:r w:rsidR="00125926" w:rsidRPr="004B34E5">
        <w:t>Foundation</w:t>
      </w:r>
      <w:r w:rsidR="00EB075E">
        <w:t>,</w:t>
      </w:r>
      <w:r w:rsidR="00EB075E" w:rsidRPr="00EB075E">
        <w:t xml:space="preserve"> </w:t>
      </w:r>
      <w:r w:rsidR="00EB075E">
        <w:t>New York</w:t>
      </w:r>
      <w:r w:rsidR="00125926" w:rsidRPr="004B34E5">
        <w:t>.</w:t>
      </w:r>
      <w:proofErr w:type="gramEnd"/>
    </w:p>
    <w:p w:rsidR="00FF5D71" w:rsidRDefault="00FF5D71" w:rsidP="00543AFF">
      <w:pPr>
        <w:pStyle w:val="References"/>
      </w:pPr>
      <w:proofErr w:type="gramStart"/>
      <w:r>
        <w:t xml:space="preserve">Harrington, I 2006, </w:t>
      </w:r>
      <w:r w:rsidR="005B6FFF">
        <w:t>‘</w:t>
      </w:r>
      <w:r w:rsidRPr="005B6FFF">
        <w:t>The role of a dominant masculinity discourse in the decisions of early school leaving boys in Queensland</w:t>
      </w:r>
      <w:r w:rsidR="005B6FFF">
        <w:t>’</w:t>
      </w:r>
      <w:r>
        <w:t>, Ph</w:t>
      </w:r>
      <w:r w:rsidR="005B6FFF">
        <w:t>D thesis, James Cook University, Townsville, Qld.</w:t>
      </w:r>
      <w:proofErr w:type="gramEnd"/>
    </w:p>
    <w:p w:rsidR="009706E0" w:rsidRPr="004B34E5" w:rsidRDefault="00BC3A7C" w:rsidP="00543AFF">
      <w:pPr>
        <w:pStyle w:val="References"/>
        <w:rPr>
          <w:b/>
          <w:bCs/>
        </w:rPr>
      </w:pPr>
      <w:r w:rsidRPr="004B34E5">
        <w:t>Heath, S, Fuller, A &amp; Paton, K</w:t>
      </w:r>
      <w:r w:rsidR="009706E0" w:rsidRPr="004B34E5">
        <w:t xml:space="preserve"> 2008</w:t>
      </w:r>
      <w:r w:rsidR="00250479">
        <w:t>,</w:t>
      </w:r>
      <w:r w:rsidR="009706E0" w:rsidRPr="004B34E5">
        <w:t xml:space="preserve"> </w:t>
      </w:r>
      <w:r w:rsidR="00656182" w:rsidRPr="004B34E5">
        <w:t>‘</w:t>
      </w:r>
      <w:r w:rsidR="009706E0" w:rsidRPr="004B34E5">
        <w:t>Network</w:t>
      </w:r>
      <w:r w:rsidR="009706E0" w:rsidRPr="004B34E5">
        <w:rPr>
          <w:rFonts w:cs="Noteworthy Bold"/>
        </w:rPr>
        <w:t>‐</w:t>
      </w:r>
      <w:r w:rsidR="009706E0" w:rsidRPr="004B34E5">
        <w:t>based ambivalence and educational decision</w:t>
      </w:r>
      <w:r w:rsidR="009706E0" w:rsidRPr="004B34E5">
        <w:rPr>
          <w:rFonts w:cs="Noteworthy Bold"/>
        </w:rPr>
        <w:t>‐</w:t>
      </w:r>
      <w:r w:rsidR="005B6FFF">
        <w:t>making: a case study of “</w:t>
      </w:r>
      <w:r w:rsidR="009706E0" w:rsidRPr="004B34E5">
        <w:t>non</w:t>
      </w:r>
      <w:r w:rsidR="009706E0" w:rsidRPr="004B34E5">
        <w:rPr>
          <w:rFonts w:cs="Noteworthy Bold"/>
        </w:rPr>
        <w:t>‐</w:t>
      </w:r>
      <w:r w:rsidR="00EB075E">
        <w:t>participation”</w:t>
      </w:r>
      <w:r w:rsidRPr="004B34E5">
        <w:t xml:space="preserve"> </w:t>
      </w:r>
      <w:r w:rsidR="00656182" w:rsidRPr="004B34E5">
        <w:t>in higher education’,</w:t>
      </w:r>
      <w:r w:rsidR="009706E0" w:rsidRPr="004B34E5">
        <w:t xml:space="preserve"> </w:t>
      </w:r>
      <w:r w:rsidR="009706E0" w:rsidRPr="004B34E5">
        <w:rPr>
          <w:i/>
          <w:iCs/>
        </w:rPr>
        <w:t xml:space="preserve">Research </w:t>
      </w:r>
      <w:r w:rsidR="005B6FFF">
        <w:rPr>
          <w:i/>
          <w:iCs/>
        </w:rPr>
        <w:t>Papers in E</w:t>
      </w:r>
      <w:r w:rsidR="009706E0" w:rsidRPr="004B34E5">
        <w:rPr>
          <w:i/>
          <w:iCs/>
        </w:rPr>
        <w:t xml:space="preserve">ducation, </w:t>
      </w:r>
      <w:r w:rsidR="00656182" w:rsidRPr="004B34E5">
        <w:rPr>
          <w:iCs/>
        </w:rPr>
        <w:t>vol.</w:t>
      </w:r>
      <w:r w:rsidR="009706E0" w:rsidRPr="004B34E5">
        <w:rPr>
          <w:iCs/>
        </w:rPr>
        <w:t>23</w:t>
      </w:r>
      <w:r w:rsidR="00656182" w:rsidRPr="004B34E5">
        <w:rPr>
          <w:iCs/>
        </w:rPr>
        <w:t>, no.</w:t>
      </w:r>
      <w:r w:rsidR="00656182" w:rsidRPr="004B34E5">
        <w:t>2</w:t>
      </w:r>
      <w:r w:rsidR="009706E0" w:rsidRPr="004B34E5">
        <w:t xml:space="preserve">, </w:t>
      </w:r>
      <w:r w:rsidR="00656182" w:rsidRPr="004B34E5">
        <w:t>pp.</w:t>
      </w:r>
      <w:r w:rsidR="00EB075E">
        <w:t>219—</w:t>
      </w:r>
      <w:r w:rsidR="009706E0" w:rsidRPr="004B34E5">
        <w:t>29.</w:t>
      </w:r>
    </w:p>
    <w:p w:rsidR="009706E0" w:rsidRPr="004B34E5" w:rsidRDefault="00BC3A7C" w:rsidP="00543AFF">
      <w:pPr>
        <w:pStyle w:val="References"/>
        <w:rPr>
          <w:b/>
          <w:bCs/>
        </w:rPr>
      </w:pPr>
      <w:r w:rsidRPr="004B34E5">
        <w:t xml:space="preserve">Higgins, J </w:t>
      </w:r>
      <w:r w:rsidR="009706E0" w:rsidRPr="004B34E5">
        <w:t xml:space="preserve">2013, </w:t>
      </w:r>
      <w:r w:rsidR="00656182" w:rsidRPr="004B34E5">
        <w:t>‘</w:t>
      </w:r>
      <w:proofErr w:type="gramStart"/>
      <w:r w:rsidR="009706E0" w:rsidRPr="004B34E5">
        <w:t>Towards</w:t>
      </w:r>
      <w:proofErr w:type="gramEnd"/>
      <w:r w:rsidR="009706E0" w:rsidRPr="004B34E5">
        <w:t xml:space="preserve"> a learning identity: young people becomin</w:t>
      </w:r>
      <w:r w:rsidR="00656182" w:rsidRPr="004B34E5">
        <w:t>g learners after leaving school’,</w:t>
      </w:r>
      <w:r w:rsidR="009706E0" w:rsidRPr="004B34E5">
        <w:t xml:space="preserve"> </w:t>
      </w:r>
      <w:r w:rsidR="009706E0" w:rsidRPr="004B34E5">
        <w:rPr>
          <w:i/>
          <w:iCs/>
        </w:rPr>
        <w:t xml:space="preserve">Research in Post-Compulsory Education, </w:t>
      </w:r>
      <w:r w:rsidR="00656182" w:rsidRPr="004B34E5">
        <w:rPr>
          <w:iCs/>
        </w:rPr>
        <w:t>vol.</w:t>
      </w:r>
      <w:r w:rsidR="009706E0" w:rsidRPr="004B34E5">
        <w:rPr>
          <w:iCs/>
        </w:rPr>
        <w:t>18</w:t>
      </w:r>
      <w:r w:rsidR="00656182" w:rsidRPr="004B34E5">
        <w:rPr>
          <w:iCs/>
        </w:rPr>
        <w:t>, no.</w:t>
      </w:r>
      <w:r w:rsidR="00EB075E">
        <w:t>1—</w:t>
      </w:r>
      <w:r w:rsidR="00656182" w:rsidRPr="004B34E5">
        <w:t>2</w:t>
      </w:r>
      <w:r w:rsidR="009706E0" w:rsidRPr="004B34E5">
        <w:t xml:space="preserve">, </w:t>
      </w:r>
      <w:r w:rsidR="00656182" w:rsidRPr="004B34E5">
        <w:t>pp.</w:t>
      </w:r>
      <w:r w:rsidR="00EB075E">
        <w:t>175—</w:t>
      </w:r>
      <w:r w:rsidR="009706E0" w:rsidRPr="004B34E5">
        <w:t>93.</w:t>
      </w:r>
    </w:p>
    <w:p w:rsidR="009706E0" w:rsidRPr="004B34E5" w:rsidRDefault="00BC3A7C" w:rsidP="00543AFF">
      <w:pPr>
        <w:pStyle w:val="References"/>
        <w:rPr>
          <w:b/>
          <w:bCs/>
        </w:rPr>
      </w:pPr>
      <w:r w:rsidRPr="004B34E5">
        <w:t>Hillman, K</w:t>
      </w:r>
      <w:r w:rsidR="00CE3E4E" w:rsidRPr="004B34E5">
        <w:t xml:space="preserve"> 2005,</w:t>
      </w:r>
      <w:r w:rsidR="009706E0" w:rsidRPr="004B34E5">
        <w:t xml:space="preserve"> </w:t>
      </w:r>
      <w:proofErr w:type="gramStart"/>
      <w:r w:rsidR="009706E0" w:rsidRPr="004B34E5">
        <w:rPr>
          <w:i/>
          <w:iCs/>
        </w:rPr>
        <w:t>The</w:t>
      </w:r>
      <w:proofErr w:type="gramEnd"/>
      <w:r w:rsidR="009706E0" w:rsidRPr="004B34E5">
        <w:rPr>
          <w:i/>
          <w:iCs/>
        </w:rPr>
        <w:t xml:space="preserve"> first year experience: the transition from secondary school to university and TAFE in Australia</w:t>
      </w:r>
      <w:r w:rsidR="00656182" w:rsidRPr="004B34E5">
        <w:t>,</w:t>
      </w:r>
      <w:r w:rsidR="009706E0" w:rsidRPr="004B34E5">
        <w:t xml:space="preserve"> Australian Council for Educational Research</w:t>
      </w:r>
      <w:r w:rsidR="003C1FA3" w:rsidRPr="004B34E5">
        <w:t>,</w:t>
      </w:r>
      <w:r w:rsidR="00656182" w:rsidRPr="004B34E5">
        <w:t xml:space="preserve"> </w:t>
      </w:r>
      <w:r w:rsidR="003C1FA3" w:rsidRPr="004B34E5">
        <w:t>Camberwell, Vic</w:t>
      </w:r>
      <w:r w:rsidR="009706E0" w:rsidRPr="004B34E5">
        <w:t>.</w:t>
      </w:r>
    </w:p>
    <w:p w:rsidR="009706E0" w:rsidRPr="004B34E5" w:rsidRDefault="009706E0" w:rsidP="00543AFF">
      <w:pPr>
        <w:pStyle w:val="References"/>
        <w:rPr>
          <w:b/>
          <w:bCs/>
        </w:rPr>
      </w:pPr>
      <w:r w:rsidRPr="004B34E5">
        <w:t>Hi</w:t>
      </w:r>
      <w:r w:rsidR="00BC3A7C" w:rsidRPr="004B34E5">
        <w:t>llman, K &amp; McMillan, J</w:t>
      </w:r>
      <w:r w:rsidR="00CE3E4E" w:rsidRPr="004B34E5">
        <w:t xml:space="preserve"> 2005,</w:t>
      </w:r>
      <w:r w:rsidRPr="004B34E5">
        <w:t xml:space="preserve"> </w:t>
      </w:r>
      <w:r w:rsidRPr="004B34E5">
        <w:rPr>
          <w:i/>
          <w:iCs/>
        </w:rPr>
        <w:t>Life sa</w:t>
      </w:r>
      <w:r w:rsidR="003C1FA3" w:rsidRPr="004B34E5">
        <w:rPr>
          <w:i/>
          <w:iCs/>
        </w:rPr>
        <w:t>tisfaction of young Australians</w:t>
      </w:r>
      <w:r w:rsidRPr="004B34E5">
        <w:rPr>
          <w:i/>
          <w:iCs/>
        </w:rPr>
        <w:t>: relationships between further education, training and employment and general and career satisfaction</w:t>
      </w:r>
      <w:r w:rsidR="00D4236E" w:rsidRPr="004B34E5">
        <w:t>,</w:t>
      </w:r>
      <w:r w:rsidRPr="004B34E5">
        <w:t xml:space="preserve"> Australian Council</w:t>
      </w:r>
      <w:r w:rsidR="00EB075E">
        <w:t xml:space="preserve"> for Educational Research</w:t>
      </w:r>
      <w:r w:rsidRPr="004B34E5">
        <w:t xml:space="preserve">, </w:t>
      </w:r>
      <w:r w:rsidR="003C1FA3" w:rsidRPr="004B34E5">
        <w:t>Melbourne.</w:t>
      </w:r>
    </w:p>
    <w:p w:rsidR="001A7D5B" w:rsidRPr="00EB075E" w:rsidRDefault="00EB075E" w:rsidP="00543AFF">
      <w:pPr>
        <w:pStyle w:val="References"/>
      </w:pPr>
      <w:r>
        <w:t>Hodkinson, P &amp; Sparkes, A</w:t>
      </w:r>
      <w:r w:rsidR="001A7D5B" w:rsidRPr="00EB075E">
        <w:t xml:space="preserve"> 1997, </w:t>
      </w:r>
      <w:r>
        <w:t>‘</w:t>
      </w:r>
      <w:r w:rsidR="001A7D5B" w:rsidRPr="00EB075E">
        <w:t>Careership</w:t>
      </w:r>
      <w:r w:rsidRPr="00EB075E">
        <w:t>: a sociological theory of career decision making</w:t>
      </w:r>
      <w:r>
        <w:t>’,</w:t>
      </w:r>
      <w:r w:rsidRPr="00EB075E">
        <w:t xml:space="preserve"> </w:t>
      </w:r>
      <w:r w:rsidR="001A7D5B" w:rsidRPr="00EB075E">
        <w:rPr>
          <w:i/>
        </w:rPr>
        <w:t>British Journal of Sociology of Education</w:t>
      </w:r>
      <w:r>
        <w:t>, vol.18, no.1, pp.29—</w:t>
      </w:r>
      <w:r w:rsidR="001A7D5B" w:rsidRPr="00EB075E">
        <w:t>44</w:t>
      </w:r>
      <w:r>
        <w:t>.</w:t>
      </w:r>
    </w:p>
    <w:p w:rsidR="00091302" w:rsidRPr="00543AFF" w:rsidRDefault="00091302" w:rsidP="00543AFF">
      <w:pPr>
        <w:pStyle w:val="References"/>
        <w:rPr>
          <w:rFonts w:eastAsiaTheme="minorEastAsia"/>
        </w:rPr>
      </w:pPr>
      <w:proofErr w:type="spellStart"/>
      <w:r w:rsidRPr="00543AFF">
        <w:rPr>
          <w:rFonts w:eastAsiaTheme="minorEastAsia"/>
        </w:rPr>
        <w:t>Homel</w:t>
      </w:r>
      <w:proofErr w:type="spellEnd"/>
      <w:r w:rsidRPr="00543AFF">
        <w:rPr>
          <w:rFonts w:eastAsiaTheme="minorEastAsia"/>
        </w:rPr>
        <w:t xml:space="preserve">, J &amp; Ryan, C 2014, </w:t>
      </w:r>
      <w:proofErr w:type="gramStart"/>
      <w:r w:rsidRPr="005B6FFF">
        <w:rPr>
          <w:rFonts w:eastAsiaTheme="minorEastAsia"/>
          <w:i/>
        </w:rPr>
        <w:t>Educational</w:t>
      </w:r>
      <w:proofErr w:type="gramEnd"/>
      <w:r w:rsidRPr="005B6FFF">
        <w:rPr>
          <w:rFonts w:eastAsiaTheme="minorEastAsia"/>
          <w:i/>
        </w:rPr>
        <w:t xml:space="preserve"> outcomes: the impact of aspirations and the role of student background characteristics</w:t>
      </w:r>
      <w:r w:rsidRPr="00543AFF">
        <w:rPr>
          <w:rFonts w:eastAsiaTheme="minorEastAsia"/>
        </w:rPr>
        <w:t>, NCVER, Adelaide.</w:t>
      </w:r>
    </w:p>
    <w:p w:rsidR="009706E0" w:rsidRPr="004B34E5" w:rsidRDefault="00BC3A7C" w:rsidP="00543AFF">
      <w:pPr>
        <w:pStyle w:val="References"/>
        <w:rPr>
          <w:b/>
          <w:bCs/>
        </w:rPr>
      </w:pPr>
      <w:r w:rsidRPr="004B34E5">
        <w:t>Hudson, S</w:t>
      </w:r>
      <w:r w:rsidR="00CE3E4E" w:rsidRPr="004B34E5">
        <w:t xml:space="preserve"> 2008,</w:t>
      </w:r>
      <w:r w:rsidR="009706E0" w:rsidRPr="004B34E5">
        <w:t xml:space="preserve"> </w:t>
      </w:r>
      <w:r w:rsidR="003C1FA3" w:rsidRPr="004B34E5">
        <w:rPr>
          <w:i/>
          <w:iCs/>
        </w:rPr>
        <w:t>CDEP: help or hindrance</w:t>
      </w:r>
      <w:proofErr w:type="gramStart"/>
      <w:r w:rsidR="003C1FA3" w:rsidRPr="004B34E5">
        <w:rPr>
          <w:i/>
          <w:iCs/>
        </w:rPr>
        <w:t>?</w:t>
      </w:r>
      <w:r w:rsidR="009706E0" w:rsidRPr="004B34E5">
        <w:rPr>
          <w:i/>
          <w:iCs/>
        </w:rPr>
        <w:t>:</w:t>
      </w:r>
      <w:proofErr w:type="gramEnd"/>
      <w:r w:rsidR="009706E0" w:rsidRPr="004B34E5">
        <w:rPr>
          <w:i/>
          <w:iCs/>
        </w:rPr>
        <w:t xml:space="preserve"> the Community Development Employment Program and its impact on Indigenous Australians</w:t>
      </w:r>
      <w:r w:rsidR="003C1FA3" w:rsidRPr="004B34E5">
        <w:t>,</w:t>
      </w:r>
      <w:r w:rsidR="005B6FFF">
        <w:t xml:space="preserve"> </w:t>
      </w:r>
      <w:r w:rsidR="009706E0" w:rsidRPr="004B34E5">
        <w:t xml:space="preserve">Centre for Independent Studies, </w:t>
      </w:r>
      <w:r w:rsidR="003C1FA3" w:rsidRPr="004B34E5">
        <w:t>St Leonards, NSW</w:t>
      </w:r>
      <w:r w:rsidR="009706E0" w:rsidRPr="004B34E5">
        <w:t>.</w:t>
      </w:r>
    </w:p>
    <w:p w:rsidR="009706E0" w:rsidRPr="004B34E5" w:rsidRDefault="00BC3A7C" w:rsidP="00543AFF">
      <w:pPr>
        <w:pStyle w:val="References"/>
        <w:rPr>
          <w:b/>
          <w:bCs/>
        </w:rPr>
      </w:pPr>
      <w:proofErr w:type="gramStart"/>
      <w:r w:rsidRPr="004B34E5">
        <w:t>Iannelli, C</w:t>
      </w:r>
      <w:r w:rsidR="00CE3E4E" w:rsidRPr="004B34E5">
        <w:t xml:space="preserve"> </w:t>
      </w:r>
      <w:r w:rsidR="009706E0" w:rsidRPr="004B34E5">
        <w:t>20</w:t>
      </w:r>
      <w:r w:rsidR="00CE3E4E" w:rsidRPr="004B34E5">
        <w:t>13,</w:t>
      </w:r>
      <w:r w:rsidR="009706E0" w:rsidRPr="004B34E5">
        <w:t xml:space="preserve"> </w:t>
      </w:r>
      <w:r w:rsidR="003C1FA3" w:rsidRPr="004B34E5">
        <w:t>‘</w:t>
      </w:r>
      <w:r w:rsidR="009706E0" w:rsidRPr="004B34E5">
        <w:t>The role of the schoo</w:t>
      </w:r>
      <w:r w:rsidR="003C1FA3" w:rsidRPr="004B34E5">
        <w:t>l curriculum in social mob</w:t>
      </w:r>
      <w:r w:rsidR="00D4236E" w:rsidRPr="004B34E5">
        <w:t>ility’,</w:t>
      </w:r>
      <w:r w:rsidR="009706E0" w:rsidRPr="004B34E5">
        <w:t xml:space="preserve"> </w:t>
      </w:r>
      <w:r w:rsidR="009706E0" w:rsidRPr="004B34E5">
        <w:rPr>
          <w:i/>
          <w:iCs/>
        </w:rPr>
        <w:t xml:space="preserve">British Journal of Sociology of Education, </w:t>
      </w:r>
      <w:r w:rsidR="003C1FA3" w:rsidRPr="004B34E5">
        <w:rPr>
          <w:iCs/>
        </w:rPr>
        <w:t>vol.</w:t>
      </w:r>
      <w:r w:rsidR="009706E0" w:rsidRPr="004B34E5">
        <w:rPr>
          <w:iCs/>
        </w:rPr>
        <w:t>34</w:t>
      </w:r>
      <w:r w:rsidR="003C1FA3" w:rsidRPr="004B34E5">
        <w:t>, no.5-06</w:t>
      </w:r>
      <w:r w:rsidR="009706E0" w:rsidRPr="004B34E5">
        <w:t xml:space="preserve">, </w:t>
      </w:r>
      <w:r w:rsidR="003C1FA3" w:rsidRPr="004B34E5">
        <w:t>pp.</w:t>
      </w:r>
      <w:r w:rsidR="00EB075E">
        <w:t>907—</w:t>
      </w:r>
      <w:r w:rsidR="009706E0" w:rsidRPr="004B34E5">
        <w:t>28.</w:t>
      </w:r>
      <w:proofErr w:type="gramEnd"/>
    </w:p>
    <w:p w:rsidR="009706E0" w:rsidRPr="004B34E5" w:rsidRDefault="009706E0" w:rsidP="00543AFF">
      <w:pPr>
        <w:pStyle w:val="References"/>
        <w:rPr>
          <w:b/>
        </w:rPr>
      </w:pPr>
      <w:r w:rsidRPr="004B34E5">
        <w:t>Johnston, D</w:t>
      </w:r>
      <w:r w:rsidR="00BC3A7C" w:rsidRPr="004B34E5">
        <w:t>,</w:t>
      </w:r>
      <w:r w:rsidRPr="004B34E5">
        <w:t xml:space="preserve"> Lee, W, Shah, </w:t>
      </w:r>
      <w:r w:rsidR="00BC3A7C" w:rsidRPr="004B34E5">
        <w:t>C, Shields, M &amp; Spinks, J</w:t>
      </w:r>
      <w:r w:rsidR="00CE3E4E" w:rsidRPr="004B34E5">
        <w:t xml:space="preserve"> 2014,</w:t>
      </w:r>
      <w:r w:rsidRPr="004B34E5">
        <w:t xml:space="preserve"> </w:t>
      </w:r>
      <w:r w:rsidRPr="004B34E5">
        <w:rPr>
          <w:i/>
        </w:rPr>
        <w:t>Are neighbourhood characteristics important in predicting the post-school destinations of young Australians</w:t>
      </w:r>
      <w:proofErr w:type="gramStart"/>
      <w:r w:rsidRPr="004B34E5">
        <w:rPr>
          <w:i/>
        </w:rPr>
        <w:t>?,</w:t>
      </w:r>
      <w:proofErr w:type="gramEnd"/>
      <w:r w:rsidRPr="004B34E5">
        <w:t xml:space="preserve"> NCVER, Adelaide</w:t>
      </w:r>
      <w:r w:rsidR="003732D8" w:rsidRPr="004B34E5">
        <w:t>.</w:t>
      </w:r>
    </w:p>
    <w:p w:rsidR="00F216C9" w:rsidRDefault="00F216C9" w:rsidP="00543AFF">
      <w:pPr>
        <w:pStyle w:val="References"/>
        <w:rPr>
          <w:rFonts w:cs="AdvTTec369687"/>
          <w:lang w:val="en-US"/>
        </w:rPr>
      </w:pPr>
      <w:proofErr w:type="spellStart"/>
      <w:r>
        <w:rPr>
          <w:rFonts w:cs="AdvTTec369687"/>
          <w:lang w:val="en-US"/>
        </w:rPr>
        <w:t>Laub</w:t>
      </w:r>
      <w:proofErr w:type="spellEnd"/>
      <w:r>
        <w:rPr>
          <w:rFonts w:cs="AdvTTec369687"/>
          <w:lang w:val="en-US"/>
        </w:rPr>
        <w:t xml:space="preserve">, J &amp; Sampson R 2003, </w:t>
      </w:r>
      <w:r w:rsidRPr="00F216C9">
        <w:rPr>
          <w:rFonts w:cs="AdvTTec369687"/>
          <w:i/>
          <w:lang w:val="en-US"/>
        </w:rPr>
        <w:t>Shared beginnings, divergent lives: delinquent boys to age 70</w:t>
      </w:r>
      <w:r>
        <w:rPr>
          <w:rFonts w:cs="AdvTTec369687"/>
          <w:lang w:val="en-US"/>
        </w:rPr>
        <w:t xml:space="preserve">, </w:t>
      </w:r>
      <w:r w:rsidR="005B6FFF">
        <w:rPr>
          <w:rFonts w:cs="AdvTTec369687"/>
          <w:lang w:val="en-US"/>
        </w:rPr>
        <w:t>Harvard University Press, Cambridge, MA.</w:t>
      </w:r>
    </w:p>
    <w:p w:rsidR="009706E0" w:rsidRPr="004B34E5" w:rsidRDefault="00BC3A7C" w:rsidP="00543AFF">
      <w:pPr>
        <w:pStyle w:val="References"/>
        <w:rPr>
          <w:rFonts w:cs="AdvTTec369687"/>
          <w:b/>
          <w:lang w:val="en-US"/>
        </w:rPr>
      </w:pPr>
      <w:r w:rsidRPr="004B34E5">
        <w:rPr>
          <w:rFonts w:cs="AdvTTec369687"/>
          <w:lang w:val="en-US"/>
        </w:rPr>
        <w:t>Lucas, SR</w:t>
      </w:r>
      <w:r w:rsidR="00CE3E4E" w:rsidRPr="004B34E5">
        <w:rPr>
          <w:rFonts w:cs="AdvTTec369687"/>
          <w:lang w:val="en-US"/>
        </w:rPr>
        <w:t xml:space="preserve"> 2001,</w:t>
      </w:r>
      <w:r w:rsidR="00D4236E" w:rsidRPr="004B34E5">
        <w:rPr>
          <w:rFonts w:cs="AdvTTec369687"/>
          <w:lang w:val="en-US"/>
        </w:rPr>
        <w:t xml:space="preserve"> ‘</w:t>
      </w:r>
      <w:proofErr w:type="gramStart"/>
      <w:r w:rsidR="00D4236E" w:rsidRPr="004B34E5">
        <w:rPr>
          <w:rFonts w:cs="AdvTTec369687"/>
          <w:lang w:val="en-US"/>
        </w:rPr>
        <w:t>Effectively</w:t>
      </w:r>
      <w:proofErr w:type="gramEnd"/>
      <w:r w:rsidR="00D4236E" w:rsidRPr="004B34E5">
        <w:rPr>
          <w:rFonts w:cs="AdvTTec369687"/>
          <w:lang w:val="en-US"/>
        </w:rPr>
        <w:t xml:space="preserve"> maintained Inequality: education transitions, t</w:t>
      </w:r>
      <w:r w:rsidR="009706E0" w:rsidRPr="004B34E5">
        <w:rPr>
          <w:rFonts w:cs="AdvTTec369687"/>
          <w:lang w:val="en-US"/>
        </w:rPr>
        <w:t>rack</w:t>
      </w:r>
      <w:r w:rsidR="00CE3E4E" w:rsidRPr="004B34E5">
        <w:rPr>
          <w:rFonts w:cs="AdvTTec369687"/>
          <w:b/>
          <w:lang w:val="en-US"/>
        </w:rPr>
        <w:t xml:space="preserve"> </w:t>
      </w:r>
      <w:r w:rsidR="00D4236E" w:rsidRPr="004B34E5">
        <w:rPr>
          <w:rFonts w:cs="AdvTTec369687"/>
          <w:lang w:val="en-US"/>
        </w:rPr>
        <w:t>m</w:t>
      </w:r>
      <w:r w:rsidR="009706E0" w:rsidRPr="004B34E5">
        <w:rPr>
          <w:rFonts w:cs="AdvTTec369687"/>
          <w:lang w:val="en-US"/>
        </w:rPr>
        <w:t>obility,</w:t>
      </w:r>
      <w:r w:rsidR="00D4236E" w:rsidRPr="004B34E5">
        <w:rPr>
          <w:rFonts w:cs="AdvTTec369687"/>
          <w:lang w:val="en-US"/>
        </w:rPr>
        <w:t xml:space="preserve"> and social background e</w:t>
      </w:r>
      <w:r w:rsidR="0041378D" w:rsidRPr="004B34E5">
        <w:rPr>
          <w:rFonts w:cs="AdvTTec369687"/>
          <w:lang w:val="en-US"/>
        </w:rPr>
        <w:t>ffects’,</w:t>
      </w:r>
      <w:r w:rsidR="009706E0" w:rsidRPr="004B34E5">
        <w:rPr>
          <w:rFonts w:cs="AdvTTec369687"/>
          <w:lang w:val="en-US"/>
        </w:rPr>
        <w:t xml:space="preserve"> </w:t>
      </w:r>
      <w:r w:rsidR="009706E0" w:rsidRPr="004B34E5">
        <w:rPr>
          <w:rFonts w:cs="AdvTTec369687"/>
          <w:i/>
          <w:lang w:val="en-US"/>
        </w:rPr>
        <w:t>American Journal of Sociology</w:t>
      </w:r>
      <w:r w:rsidR="0041378D" w:rsidRPr="004B34E5">
        <w:rPr>
          <w:rFonts w:cs="AdvTTec369687"/>
          <w:i/>
          <w:lang w:val="en-US"/>
        </w:rPr>
        <w:t>,</w:t>
      </w:r>
      <w:r w:rsidR="009706E0" w:rsidRPr="004B34E5">
        <w:rPr>
          <w:rFonts w:cs="AdvTTec369687"/>
          <w:lang w:val="en-US"/>
        </w:rPr>
        <w:t xml:space="preserve"> </w:t>
      </w:r>
      <w:r w:rsidR="0041378D" w:rsidRPr="004B34E5">
        <w:rPr>
          <w:rFonts w:cs="AdvTTec369687"/>
          <w:lang w:val="en-US"/>
        </w:rPr>
        <w:t>vol.</w:t>
      </w:r>
      <w:r w:rsidR="009706E0" w:rsidRPr="004B34E5">
        <w:rPr>
          <w:rFonts w:cs="AdvTTec369687"/>
          <w:lang w:val="en-US"/>
        </w:rPr>
        <w:t>106</w:t>
      </w:r>
      <w:r w:rsidR="0041378D" w:rsidRPr="004B34E5">
        <w:rPr>
          <w:rFonts w:cs="AdvTTec369687"/>
          <w:lang w:val="en-US"/>
        </w:rPr>
        <w:t>, no.3, pp.</w:t>
      </w:r>
      <w:r w:rsidR="00EB075E">
        <w:rPr>
          <w:rFonts w:cs="AdvTTec369687"/>
          <w:lang w:val="en-US"/>
        </w:rPr>
        <w:t>1642—</w:t>
      </w:r>
      <w:r w:rsidR="009706E0" w:rsidRPr="004B34E5">
        <w:rPr>
          <w:rFonts w:cs="AdvTTec369687"/>
          <w:lang w:val="en-US"/>
        </w:rPr>
        <w:t>90</w:t>
      </w:r>
      <w:r w:rsidR="003732D8" w:rsidRPr="004B34E5">
        <w:rPr>
          <w:rFonts w:cs="AdvTTec369687"/>
          <w:lang w:val="en-US"/>
        </w:rPr>
        <w:t>.</w:t>
      </w:r>
    </w:p>
    <w:p w:rsidR="009706E0" w:rsidRPr="004B34E5" w:rsidRDefault="00BC3A7C" w:rsidP="00543AFF">
      <w:pPr>
        <w:pStyle w:val="References"/>
        <w:rPr>
          <w:b/>
        </w:rPr>
      </w:pPr>
      <w:r w:rsidRPr="004B34E5">
        <w:t>Lupton, R</w:t>
      </w:r>
      <w:r w:rsidR="00250479">
        <w:t xml:space="preserve"> 2010,</w:t>
      </w:r>
      <w:r w:rsidR="009706E0" w:rsidRPr="004B34E5">
        <w:t xml:space="preserve"> ‘Area-based </w:t>
      </w:r>
      <w:r w:rsidR="00EB075E">
        <w:t>i</w:t>
      </w:r>
      <w:r w:rsidRPr="004B34E5">
        <w:t>nitiatives</w:t>
      </w:r>
      <w:r w:rsidR="00D4236E" w:rsidRPr="004B34E5">
        <w:t xml:space="preserve"> in English education: what place for p</w:t>
      </w:r>
      <w:r w:rsidR="009706E0" w:rsidRPr="004B34E5">
        <w:t>lace and space?</w:t>
      </w:r>
      <w:r w:rsidR="00D4236E" w:rsidRPr="004B34E5">
        <w:t>’</w:t>
      </w:r>
      <w:r w:rsidR="00EB075E">
        <w:t>, i</w:t>
      </w:r>
      <w:r w:rsidR="009706E0" w:rsidRPr="004B34E5">
        <w:t>n</w:t>
      </w:r>
      <w:r w:rsidR="00D8614D" w:rsidRPr="004B34E5">
        <w:t xml:space="preserve"> C </w:t>
      </w:r>
      <w:proofErr w:type="spellStart"/>
      <w:r w:rsidR="00D8614D" w:rsidRPr="004B34E5">
        <w:t>Raffo</w:t>
      </w:r>
      <w:proofErr w:type="spellEnd"/>
      <w:r w:rsidR="00D8614D" w:rsidRPr="004B34E5">
        <w:t>, A Dyson, H Gunter, D</w:t>
      </w:r>
      <w:r w:rsidRPr="004B34E5">
        <w:t xml:space="preserve"> </w:t>
      </w:r>
      <w:r w:rsidR="009706E0" w:rsidRPr="004B34E5">
        <w:t>H</w:t>
      </w:r>
      <w:r w:rsidR="00D8614D" w:rsidRPr="004B34E5">
        <w:t xml:space="preserve">all, L </w:t>
      </w:r>
      <w:r w:rsidRPr="004B34E5">
        <w:t xml:space="preserve">Jones </w:t>
      </w:r>
      <w:r w:rsidR="00D8614D" w:rsidRPr="004B34E5">
        <w:t>&amp;</w:t>
      </w:r>
      <w:r w:rsidRPr="004B34E5">
        <w:t xml:space="preserve"> A </w:t>
      </w:r>
      <w:proofErr w:type="spellStart"/>
      <w:r w:rsidRPr="004B34E5">
        <w:t>Kalambouka</w:t>
      </w:r>
      <w:proofErr w:type="spellEnd"/>
      <w:r w:rsidR="00EB075E">
        <w:t xml:space="preserve"> (</w:t>
      </w:r>
      <w:proofErr w:type="spellStart"/>
      <w:r w:rsidR="00EB075E">
        <w:t>eds</w:t>
      </w:r>
      <w:proofErr w:type="spellEnd"/>
      <w:r w:rsidR="00EB075E">
        <w:t>)</w:t>
      </w:r>
      <w:r w:rsidR="009706E0" w:rsidRPr="004B34E5">
        <w:t xml:space="preserve">, </w:t>
      </w:r>
      <w:r w:rsidR="00EB075E">
        <w:rPr>
          <w:i/>
        </w:rPr>
        <w:t>E</w:t>
      </w:r>
      <w:r w:rsidR="00EB075E" w:rsidRPr="004B34E5">
        <w:rPr>
          <w:i/>
        </w:rPr>
        <w:t>ducation and poverty in affluent countries</w:t>
      </w:r>
      <w:r w:rsidR="00EB075E">
        <w:t xml:space="preserve"> </w:t>
      </w:r>
      <w:proofErr w:type="spellStart"/>
      <w:r w:rsidR="00EB075E">
        <w:t>Routledge</w:t>
      </w:r>
      <w:proofErr w:type="spellEnd"/>
      <w:r w:rsidR="00EB075E">
        <w:t>, New York</w:t>
      </w:r>
      <w:r w:rsidR="005B6FFF">
        <w:t>, pp.111—123.</w:t>
      </w:r>
    </w:p>
    <w:p w:rsidR="009706E0" w:rsidRPr="004B34E5" w:rsidRDefault="00BC3A7C" w:rsidP="00543AFF">
      <w:pPr>
        <w:pStyle w:val="References"/>
        <w:rPr>
          <w:b/>
          <w:bCs/>
        </w:rPr>
      </w:pPr>
      <w:r w:rsidRPr="004B34E5">
        <w:t>Marks, GN, Underwood, C</w:t>
      </w:r>
      <w:r w:rsidR="009706E0" w:rsidRPr="004B34E5">
        <w:t>, Ro</w:t>
      </w:r>
      <w:r w:rsidR="00CE3E4E" w:rsidRPr="004B34E5">
        <w:t>thman, S</w:t>
      </w:r>
      <w:r w:rsidRPr="004B34E5">
        <w:t xml:space="preserve"> &amp; Brown, J</w:t>
      </w:r>
      <w:r w:rsidR="00CE3E4E" w:rsidRPr="004B34E5">
        <w:t xml:space="preserve"> 2011,</w:t>
      </w:r>
      <w:r w:rsidR="009706E0" w:rsidRPr="004B34E5">
        <w:t xml:space="preserve"> </w:t>
      </w:r>
      <w:r w:rsidR="00EB075E">
        <w:rPr>
          <w:i/>
          <w:iCs/>
        </w:rPr>
        <w:t>Career moves</w:t>
      </w:r>
      <w:r w:rsidR="009706E0" w:rsidRPr="004B34E5">
        <w:rPr>
          <w:i/>
          <w:iCs/>
        </w:rPr>
        <w:t>: expectations and destinations of NSW senior secondary students</w:t>
      </w:r>
      <w:r w:rsidR="00D4236E" w:rsidRPr="004B34E5">
        <w:t>,</w:t>
      </w:r>
      <w:r w:rsidR="009706E0" w:rsidRPr="004B34E5">
        <w:t xml:space="preserve"> Australian Council</w:t>
      </w:r>
      <w:r w:rsidR="00EB075E">
        <w:t xml:space="preserve"> for Educational Research</w:t>
      </w:r>
      <w:r w:rsidR="009706E0" w:rsidRPr="004B34E5">
        <w:t xml:space="preserve">, </w:t>
      </w:r>
      <w:r w:rsidR="00F1443D" w:rsidRPr="004B34E5">
        <w:t>Melbourne</w:t>
      </w:r>
      <w:r w:rsidR="009706E0" w:rsidRPr="004B34E5">
        <w:t>.</w:t>
      </w:r>
    </w:p>
    <w:p w:rsidR="00967D12" w:rsidRPr="004B34E5" w:rsidRDefault="00250479" w:rsidP="00543AFF">
      <w:pPr>
        <w:pStyle w:val="References"/>
      </w:pPr>
      <w:r>
        <w:t>McLeod, J 2007,</w:t>
      </w:r>
      <w:r w:rsidR="00967D12" w:rsidRPr="004B34E5">
        <w:t xml:space="preserve"> </w:t>
      </w:r>
      <w:r>
        <w:t>‘</w:t>
      </w:r>
      <w:r w:rsidR="00967D12" w:rsidRPr="004B34E5">
        <w:t xml:space="preserve">Generations of </w:t>
      </w:r>
      <w:r w:rsidR="00EB075E" w:rsidRPr="004B34E5">
        <w:t>hope: mothers</w:t>
      </w:r>
      <w:r w:rsidR="00967D12" w:rsidRPr="004B34E5">
        <w:t>, daughters and everyday wishes for a better life</w:t>
      </w:r>
      <w:r>
        <w:t>’</w:t>
      </w:r>
      <w:r w:rsidR="001C2976">
        <w:t>, i</w:t>
      </w:r>
      <w:r w:rsidR="00967D12" w:rsidRPr="004B34E5">
        <w:t xml:space="preserve">n </w:t>
      </w:r>
      <w:r w:rsidR="001C2976">
        <w:t>J</w:t>
      </w:r>
      <w:r w:rsidR="001C2976" w:rsidRPr="004B34E5">
        <w:t xml:space="preserve"> McLeod &amp;</w:t>
      </w:r>
      <w:r w:rsidR="001C2976">
        <w:t xml:space="preserve"> </w:t>
      </w:r>
      <w:proofErr w:type="gramStart"/>
      <w:r w:rsidR="001C2976">
        <w:t>A</w:t>
      </w:r>
      <w:proofErr w:type="gramEnd"/>
      <w:r w:rsidR="001C2976">
        <w:t xml:space="preserve"> Allard (eds),</w:t>
      </w:r>
      <w:r w:rsidR="001C2976" w:rsidRPr="00250479">
        <w:rPr>
          <w:i/>
          <w:iCs/>
        </w:rPr>
        <w:t xml:space="preserve"> </w:t>
      </w:r>
      <w:r w:rsidR="005B6FFF">
        <w:rPr>
          <w:i/>
          <w:iCs/>
        </w:rPr>
        <w:t>Learning from the m</w:t>
      </w:r>
      <w:r w:rsidRPr="00250479">
        <w:rPr>
          <w:i/>
          <w:iCs/>
        </w:rPr>
        <w:t xml:space="preserve">argins, </w:t>
      </w:r>
      <w:r w:rsidR="001C2976" w:rsidRPr="00250479">
        <w:rPr>
          <w:i/>
          <w:iCs/>
        </w:rPr>
        <w:t>young women, social exclusion and education</w:t>
      </w:r>
      <w:r>
        <w:t xml:space="preserve">, </w:t>
      </w:r>
      <w:r w:rsidR="00967D12" w:rsidRPr="004B34E5">
        <w:t>Routledge</w:t>
      </w:r>
      <w:r w:rsidR="001C2976">
        <w:t>, London</w:t>
      </w:r>
      <w:r>
        <w:t>.</w:t>
      </w:r>
    </w:p>
    <w:p w:rsidR="009706E0" w:rsidRPr="004B34E5" w:rsidRDefault="009706E0" w:rsidP="00543AFF">
      <w:pPr>
        <w:pStyle w:val="References"/>
        <w:rPr>
          <w:b/>
        </w:rPr>
      </w:pPr>
      <w:r w:rsidRPr="004B34E5">
        <w:t>Me</w:t>
      </w:r>
      <w:r w:rsidR="002A4F9E" w:rsidRPr="004B34E5">
        <w:t>egan, R</w:t>
      </w:r>
      <w:r w:rsidR="00D13A1E">
        <w:t xml:space="preserve"> </w:t>
      </w:r>
      <w:r w:rsidR="002A4F9E" w:rsidRPr="004B34E5">
        <w:t>&amp; Mitchell, A</w:t>
      </w:r>
      <w:r w:rsidR="00CE3E4E" w:rsidRPr="004B34E5">
        <w:t xml:space="preserve"> 2001,</w:t>
      </w:r>
      <w:r w:rsidRPr="004B34E5">
        <w:t xml:space="preserve"> </w:t>
      </w:r>
      <w:r w:rsidR="00F2609B" w:rsidRPr="004B34E5">
        <w:t>‘</w:t>
      </w:r>
      <w:r w:rsidRPr="004B34E5">
        <w:t>“It’s not community ro</w:t>
      </w:r>
      <w:r w:rsidR="00D4236E" w:rsidRPr="004B34E5">
        <w:t xml:space="preserve">und here, </w:t>
      </w:r>
      <w:proofErr w:type="gramStart"/>
      <w:r w:rsidR="00D4236E" w:rsidRPr="004B34E5">
        <w:t>it’s</w:t>
      </w:r>
      <w:proofErr w:type="gramEnd"/>
      <w:r w:rsidR="00D4236E" w:rsidRPr="004B34E5">
        <w:t xml:space="preserve"> neighbourhood”: neighbourhood change and c</w:t>
      </w:r>
      <w:r w:rsidRPr="004B34E5">
        <w:t>ohesion</w:t>
      </w:r>
      <w:r w:rsidR="00D4236E" w:rsidRPr="004B34E5">
        <w:t xml:space="preserve"> in urban regeneration p</w:t>
      </w:r>
      <w:r w:rsidR="00F2609B" w:rsidRPr="004B34E5">
        <w:t>olicies’,</w:t>
      </w:r>
      <w:r w:rsidRPr="004B34E5">
        <w:t xml:space="preserve"> </w:t>
      </w:r>
      <w:r w:rsidRPr="004B34E5">
        <w:rPr>
          <w:i/>
        </w:rPr>
        <w:t>Urban Studies</w:t>
      </w:r>
      <w:r w:rsidR="00F2609B" w:rsidRPr="004B34E5">
        <w:rPr>
          <w:i/>
        </w:rPr>
        <w:t xml:space="preserve">, </w:t>
      </w:r>
      <w:r w:rsidR="00F2609B" w:rsidRPr="004B34E5">
        <w:t>vol.</w:t>
      </w:r>
      <w:r w:rsidRPr="004B34E5">
        <w:t>38</w:t>
      </w:r>
      <w:r w:rsidR="00553DB5">
        <w:t>, no.12,</w:t>
      </w:r>
      <w:r w:rsidR="00F2609B" w:rsidRPr="004B34E5">
        <w:t xml:space="preserve"> pp.</w:t>
      </w:r>
      <w:r w:rsidR="001C2976">
        <w:t>2167—</w:t>
      </w:r>
      <w:r w:rsidRPr="004B34E5">
        <w:t>94.</w:t>
      </w:r>
    </w:p>
    <w:p w:rsidR="009706E0" w:rsidRPr="004B34E5" w:rsidRDefault="002A4F9E" w:rsidP="00543AFF">
      <w:pPr>
        <w:pStyle w:val="References"/>
      </w:pPr>
      <w:r w:rsidRPr="004B34E5">
        <w:t>Merrill, B &amp; West, L</w:t>
      </w:r>
      <w:r w:rsidR="00CE3E4E" w:rsidRPr="004B34E5">
        <w:t xml:space="preserve"> 2009,</w:t>
      </w:r>
      <w:r w:rsidR="009706E0" w:rsidRPr="004B34E5">
        <w:t xml:space="preserve"> </w:t>
      </w:r>
      <w:proofErr w:type="gramStart"/>
      <w:r w:rsidR="009706E0" w:rsidRPr="004B34E5">
        <w:rPr>
          <w:i/>
        </w:rPr>
        <w:t>Using</w:t>
      </w:r>
      <w:proofErr w:type="gramEnd"/>
      <w:r w:rsidR="009706E0" w:rsidRPr="004B34E5">
        <w:rPr>
          <w:i/>
        </w:rPr>
        <w:t xml:space="preserve"> </w:t>
      </w:r>
      <w:r w:rsidR="007A4C39" w:rsidRPr="004B34E5">
        <w:rPr>
          <w:i/>
        </w:rPr>
        <w:t>biographical methods in social research</w:t>
      </w:r>
      <w:r w:rsidR="009706E0" w:rsidRPr="004B34E5">
        <w:t xml:space="preserve">, </w:t>
      </w:r>
      <w:r w:rsidR="003D2346" w:rsidRPr="004B34E5">
        <w:t xml:space="preserve">Sage, </w:t>
      </w:r>
      <w:r w:rsidR="009706E0" w:rsidRPr="004B34E5">
        <w:t>London.</w:t>
      </w:r>
    </w:p>
    <w:p w:rsidR="009706E0" w:rsidRPr="004B34E5" w:rsidRDefault="002A4F9E" w:rsidP="00543AFF">
      <w:pPr>
        <w:pStyle w:val="References"/>
      </w:pPr>
      <w:r w:rsidRPr="004B34E5">
        <w:t>Mills, C &amp; Gale, T</w:t>
      </w:r>
      <w:r w:rsidR="00CE3E4E" w:rsidRPr="004B34E5">
        <w:t xml:space="preserve"> </w:t>
      </w:r>
      <w:r w:rsidR="009706E0" w:rsidRPr="004B34E5">
        <w:t>200</w:t>
      </w:r>
      <w:r w:rsidR="00CE3E4E" w:rsidRPr="004B34E5">
        <w:t>8,</w:t>
      </w:r>
      <w:r w:rsidR="009706E0" w:rsidRPr="004B34E5">
        <w:t xml:space="preserve"> </w:t>
      </w:r>
      <w:r w:rsidR="003D2346" w:rsidRPr="004B34E5">
        <w:t>‘</w:t>
      </w:r>
      <w:r w:rsidR="001C2976">
        <w:t>“</w:t>
      </w:r>
      <w:r w:rsidR="009706E0" w:rsidRPr="004B34E5">
        <w:t>Remind me; wh</w:t>
      </w:r>
      <w:r w:rsidR="001C2976">
        <w:t>at's the point of schooling?”</w:t>
      </w:r>
      <w:r w:rsidR="00625226" w:rsidRPr="004B34E5">
        <w:t>: f</w:t>
      </w:r>
      <w:r w:rsidR="009706E0" w:rsidRPr="004B34E5">
        <w:t xml:space="preserve">actoring back in the influence of changing economic, </w:t>
      </w:r>
      <w:r w:rsidR="003D2346" w:rsidRPr="004B34E5">
        <w:t>political and cultural contexts’, p</w:t>
      </w:r>
      <w:r w:rsidR="009706E0" w:rsidRPr="004B34E5">
        <w:t xml:space="preserve">aper presented at the AARE 2007 International </w:t>
      </w:r>
      <w:r w:rsidR="003D2346" w:rsidRPr="004B34E5">
        <w:t xml:space="preserve">education research conference, </w:t>
      </w:r>
      <w:r w:rsidR="001C2976">
        <w:t xml:space="preserve">Fremantle, viewed 14 February </w:t>
      </w:r>
      <w:r w:rsidR="00553DB5">
        <w:t xml:space="preserve">2014, </w:t>
      </w:r>
      <w:r w:rsidR="001C2976">
        <w:t>&lt;</w:t>
      </w:r>
      <w:r w:rsidR="00125926" w:rsidRPr="004B34E5">
        <w:t>http://www.aare.edu.au/data/publications/2007/mil07182.pdf</w:t>
      </w:r>
      <w:r w:rsidR="001C2976">
        <w:t>&gt;</w:t>
      </w:r>
      <w:r w:rsidR="00125926" w:rsidRPr="004B34E5">
        <w:t>.</w:t>
      </w:r>
    </w:p>
    <w:p w:rsidR="009706E0" w:rsidRPr="004B34E5" w:rsidRDefault="009706E0" w:rsidP="00543AFF">
      <w:pPr>
        <w:pStyle w:val="References"/>
        <w:rPr>
          <w:b/>
          <w:bCs/>
        </w:rPr>
      </w:pPr>
      <w:proofErr w:type="gramStart"/>
      <w:r w:rsidRPr="004B34E5">
        <w:t>Mookherjee,</w:t>
      </w:r>
      <w:r w:rsidR="002A4F9E" w:rsidRPr="004B34E5">
        <w:t xml:space="preserve"> D, Ray, D &amp; </w:t>
      </w:r>
      <w:proofErr w:type="spellStart"/>
      <w:r w:rsidR="002A4F9E" w:rsidRPr="004B34E5">
        <w:t>Napel</w:t>
      </w:r>
      <w:proofErr w:type="spellEnd"/>
      <w:r w:rsidR="002A4F9E" w:rsidRPr="004B34E5">
        <w:t>, S</w:t>
      </w:r>
      <w:r w:rsidR="00CE3E4E" w:rsidRPr="004B34E5">
        <w:t xml:space="preserve"> 2010,</w:t>
      </w:r>
      <w:r w:rsidRPr="004B34E5">
        <w:t xml:space="preserve"> </w:t>
      </w:r>
      <w:r w:rsidR="003D2346" w:rsidRPr="004B34E5">
        <w:t>‘</w:t>
      </w:r>
      <w:r w:rsidR="00625226" w:rsidRPr="004B34E5">
        <w:t>Aspirations, s</w:t>
      </w:r>
      <w:r w:rsidRPr="004B34E5">
        <w:t>egre</w:t>
      </w:r>
      <w:r w:rsidR="00625226" w:rsidRPr="004B34E5">
        <w:t>gation, and occupational c</w:t>
      </w:r>
      <w:r w:rsidR="003D2346" w:rsidRPr="004B34E5">
        <w:t>hoice’,</w:t>
      </w:r>
      <w:r w:rsidRPr="004B34E5">
        <w:t xml:space="preserve"> </w:t>
      </w:r>
      <w:r w:rsidRPr="004B34E5">
        <w:rPr>
          <w:i/>
        </w:rPr>
        <w:t>Journal of the European Economic Asso</w:t>
      </w:r>
      <w:r w:rsidR="00CE3E4E" w:rsidRPr="004B34E5">
        <w:rPr>
          <w:i/>
        </w:rPr>
        <w:t>ciation</w:t>
      </w:r>
      <w:r w:rsidR="00CE3E4E" w:rsidRPr="004B34E5">
        <w:t xml:space="preserve">, </w:t>
      </w:r>
      <w:r w:rsidR="003D2346" w:rsidRPr="004B34E5">
        <w:t>vol.</w:t>
      </w:r>
      <w:r w:rsidR="00CE3E4E" w:rsidRPr="004B34E5">
        <w:t>8</w:t>
      </w:r>
      <w:r w:rsidR="003D2346" w:rsidRPr="004B34E5">
        <w:t>, no.</w:t>
      </w:r>
      <w:r w:rsidR="00CE3E4E" w:rsidRPr="004B34E5">
        <w:t xml:space="preserve">1, </w:t>
      </w:r>
      <w:r w:rsidR="003D2346" w:rsidRPr="004B34E5">
        <w:t>pp.</w:t>
      </w:r>
      <w:r w:rsidR="001C2976">
        <w:t>139—</w:t>
      </w:r>
      <w:r w:rsidR="00CE3E4E" w:rsidRPr="004B34E5">
        <w:t>68.</w:t>
      </w:r>
      <w:proofErr w:type="gramEnd"/>
    </w:p>
    <w:p w:rsidR="009706E0" w:rsidRPr="004B34E5" w:rsidRDefault="002A4F9E" w:rsidP="00543AFF">
      <w:pPr>
        <w:pStyle w:val="References"/>
        <w:rPr>
          <w:b/>
          <w:bCs/>
        </w:rPr>
      </w:pPr>
      <w:r w:rsidRPr="004B34E5">
        <w:t>Nairn, K &amp; Higgins, J</w:t>
      </w:r>
      <w:r w:rsidR="00CE3E4E" w:rsidRPr="004B34E5">
        <w:t xml:space="preserve"> 2011,</w:t>
      </w:r>
      <w:r w:rsidR="009706E0" w:rsidRPr="004B34E5">
        <w:t xml:space="preserve"> </w:t>
      </w:r>
      <w:r w:rsidR="003D2346" w:rsidRPr="004B34E5">
        <w:t>‘</w:t>
      </w:r>
      <w:proofErr w:type="gramStart"/>
      <w:r w:rsidR="009706E0" w:rsidRPr="004B34E5">
        <w:t>The</w:t>
      </w:r>
      <w:proofErr w:type="gramEnd"/>
      <w:r w:rsidR="009706E0" w:rsidRPr="004B34E5">
        <w:t xml:space="preserve"> emotional geographies</w:t>
      </w:r>
      <w:r w:rsidR="00625226" w:rsidRPr="004B34E5">
        <w:t xml:space="preserve"> of neoliberal school reforms: s</w:t>
      </w:r>
      <w:r w:rsidR="009706E0" w:rsidRPr="004B34E5">
        <w:t>paces of refuge and containment</w:t>
      </w:r>
      <w:r w:rsidR="00907F78" w:rsidRPr="004B34E5">
        <w:t>’,</w:t>
      </w:r>
      <w:r w:rsidR="009706E0" w:rsidRPr="004B34E5">
        <w:t xml:space="preserve"> </w:t>
      </w:r>
      <w:r w:rsidR="009706E0" w:rsidRPr="004B34E5">
        <w:rPr>
          <w:i/>
          <w:iCs/>
        </w:rPr>
        <w:t>Emotion, Space and Society,</w:t>
      </w:r>
      <w:r w:rsidR="00907F78" w:rsidRPr="004B34E5">
        <w:rPr>
          <w:i/>
          <w:iCs/>
        </w:rPr>
        <w:t xml:space="preserve"> </w:t>
      </w:r>
      <w:r w:rsidR="00907F78" w:rsidRPr="004B34E5">
        <w:rPr>
          <w:iCs/>
        </w:rPr>
        <w:t>vol.4, no.</w:t>
      </w:r>
      <w:r w:rsidR="00907F78" w:rsidRPr="004B34E5">
        <w:t>3</w:t>
      </w:r>
      <w:r w:rsidR="009706E0" w:rsidRPr="004B34E5">
        <w:t xml:space="preserve">, </w:t>
      </w:r>
      <w:r w:rsidR="00907F78" w:rsidRPr="004B34E5">
        <w:t>pp.</w:t>
      </w:r>
      <w:r w:rsidR="001C2976">
        <w:t>180—</w:t>
      </w:r>
      <w:r w:rsidR="009706E0" w:rsidRPr="004B34E5">
        <w:t>6.</w:t>
      </w:r>
    </w:p>
    <w:p w:rsidR="00091302" w:rsidRPr="00091302" w:rsidRDefault="00091302" w:rsidP="00543AFF">
      <w:pPr>
        <w:pStyle w:val="References"/>
        <w:rPr>
          <w:rFonts w:ascii="Times" w:eastAsiaTheme="minorEastAsia" w:hAnsi="Times" w:cs="Times"/>
          <w:lang w:val="en-US"/>
        </w:rPr>
      </w:pPr>
      <w:r w:rsidRPr="00091302">
        <w:rPr>
          <w:rFonts w:eastAsiaTheme="minorEastAsia"/>
          <w:lang w:val="en-US"/>
        </w:rPr>
        <w:lastRenderedPageBreak/>
        <w:t xml:space="preserve">Nguyen, N &amp; Blomberg, D 2014, </w:t>
      </w:r>
      <w:proofErr w:type="gramStart"/>
      <w:r w:rsidRPr="00553DB5">
        <w:rPr>
          <w:rFonts w:eastAsiaTheme="minorEastAsia"/>
          <w:i/>
          <w:lang w:val="en-US"/>
        </w:rPr>
        <w:t>The</w:t>
      </w:r>
      <w:proofErr w:type="gramEnd"/>
      <w:r w:rsidRPr="00553DB5">
        <w:rPr>
          <w:rFonts w:eastAsiaTheme="minorEastAsia"/>
          <w:i/>
          <w:lang w:val="en-US"/>
        </w:rPr>
        <w:t xml:space="preserve"> role of aspirations in the educational and occupational choices of young people</w:t>
      </w:r>
      <w:r w:rsidRPr="00091302">
        <w:rPr>
          <w:rFonts w:eastAsiaTheme="minorEastAsia"/>
          <w:lang w:val="en-US"/>
        </w:rPr>
        <w:t>, NCVER, Adelaide.</w:t>
      </w:r>
    </w:p>
    <w:p w:rsidR="009706E0" w:rsidRPr="00543AFF" w:rsidRDefault="00AE5760" w:rsidP="00543AFF">
      <w:pPr>
        <w:pStyle w:val="References"/>
      </w:pPr>
      <w:proofErr w:type="spellStart"/>
      <w:r w:rsidRPr="00543AFF">
        <w:t>Nieuwenhuis</w:t>
      </w:r>
      <w:proofErr w:type="spellEnd"/>
      <w:r w:rsidRPr="00543AFF">
        <w:t xml:space="preserve">, J, </w:t>
      </w:r>
      <w:proofErr w:type="spellStart"/>
      <w:r w:rsidRPr="00543AFF">
        <w:t>Hooimeijer</w:t>
      </w:r>
      <w:proofErr w:type="spellEnd"/>
      <w:r w:rsidRPr="00543AFF">
        <w:t xml:space="preserve">, P, van Ham, M &amp; </w:t>
      </w:r>
      <w:proofErr w:type="spellStart"/>
      <w:r w:rsidRPr="00543AFF">
        <w:t>Meeus</w:t>
      </w:r>
      <w:proofErr w:type="spellEnd"/>
      <w:r w:rsidRPr="00543AFF">
        <w:t>, W</w:t>
      </w:r>
      <w:r w:rsidR="009706E0" w:rsidRPr="00543AFF">
        <w:t xml:space="preserve"> 2013</w:t>
      </w:r>
      <w:r w:rsidR="00CE3E4E" w:rsidRPr="00543AFF">
        <w:t>,</w:t>
      </w:r>
      <w:r w:rsidR="00625226" w:rsidRPr="00543AFF">
        <w:t xml:space="preserve"> </w:t>
      </w:r>
      <w:r w:rsidR="00625226" w:rsidRPr="00553DB5">
        <w:rPr>
          <w:i/>
        </w:rPr>
        <w:t>Neighbourhood effects on migrant youth’s educational c</w:t>
      </w:r>
      <w:r w:rsidR="009706E0" w:rsidRPr="00553DB5">
        <w:rPr>
          <w:i/>
        </w:rPr>
        <w:t>ommitme</w:t>
      </w:r>
      <w:r w:rsidR="00625226" w:rsidRPr="00553DB5">
        <w:rPr>
          <w:i/>
        </w:rPr>
        <w:t>nts: an e</w:t>
      </w:r>
      <w:r w:rsidR="005C0CC4" w:rsidRPr="00553DB5">
        <w:rPr>
          <w:i/>
        </w:rPr>
        <w:t>nquiry into personality d</w:t>
      </w:r>
      <w:r w:rsidR="009706E0" w:rsidRPr="00553DB5">
        <w:rPr>
          <w:i/>
        </w:rPr>
        <w:t>ifferences</w:t>
      </w:r>
      <w:r w:rsidR="009706E0" w:rsidRPr="00543AFF">
        <w:t xml:space="preserve">, Discussion </w:t>
      </w:r>
      <w:r w:rsidR="001C2976" w:rsidRPr="00543AFF">
        <w:t>paper no.7510,</w:t>
      </w:r>
      <w:r w:rsidR="009706E0" w:rsidRPr="00543AFF">
        <w:t xml:space="preserve"> IZA</w:t>
      </w:r>
      <w:r w:rsidR="001C2976" w:rsidRPr="00543AFF">
        <w:t>,</w:t>
      </w:r>
      <w:r w:rsidR="009706E0" w:rsidRPr="00543AFF">
        <w:t xml:space="preserve"> </w:t>
      </w:r>
      <w:r w:rsidR="001C2976" w:rsidRPr="00543AFF">
        <w:t>Bonn</w:t>
      </w:r>
      <w:r w:rsidR="003732D8" w:rsidRPr="00543AFF">
        <w:t>.</w:t>
      </w:r>
    </w:p>
    <w:p w:rsidR="009706E0" w:rsidRPr="00543AFF" w:rsidRDefault="00AE5760" w:rsidP="00543AFF">
      <w:pPr>
        <w:pStyle w:val="References"/>
      </w:pPr>
      <w:proofErr w:type="gramStart"/>
      <w:r w:rsidRPr="00543AFF">
        <w:t>Payne, G</w:t>
      </w:r>
      <w:r w:rsidR="00CE3E4E" w:rsidRPr="00543AFF">
        <w:t xml:space="preserve"> 2012,</w:t>
      </w:r>
      <w:r w:rsidR="009706E0" w:rsidRPr="00543AFF">
        <w:t xml:space="preserve"> </w:t>
      </w:r>
      <w:r w:rsidR="00907F78" w:rsidRPr="00543AFF">
        <w:t>‘</w:t>
      </w:r>
      <w:r w:rsidR="001C2976" w:rsidRPr="00543AFF">
        <w:t>A new social mobility?</w:t>
      </w:r>
      <w:proofErr w:type="gramEnd"/>
      <w:r w:rsidR="001C2976" w:rsidRPr="00543AFF">
        <w:t xml:space="preserve"> T</w:t>
      </w:r>
      <w:r w:rsidR="005C0CC4" w:rsidRPr="00543AFF">
        <w:t>he political r</w:t>
      </w:r>
      <w:r w:rsidR="009706E0" w:rsidRPr="00543AFF">
        <w:t>edefin</w:t>
      </w:r>
      <w:r w:rsidR="005C0CC4" w:rsidRPr="00543AFF">
        <w:t>ition of a sociological p</w:t>
      </w:r>
      <w:r w:rsidR="00907F78" w:rsidRPr="00543AFF">
        <w:t>roblem’,</w:t>
      </w:r>
      <w:r w:rsidR="009706E0" w:rsidRPr="00543AFF">
        <w:t xml:space="preserve"> </w:t>
      </w:r>
      <w:r w:rsidR="009706E0" w:rsidRPr="00553DB5">
        <w:rPr>
          <w:i/>
        </w:rPr>
        <w:t>Contemporary Social Science</w:t>
      </w:r>
      <w:r w:rsidR="009706E0" w:rsidRPr="00543AFF">
        <w:t xml:space="preserve">, </w:t>
      </w:r>
      <w:r w:rsidR="00907F78" w:rsidRPr="00543AFF">
        <w:t>vol.</w:t>
      </w:r>
      <w:r w:rsidR="009706E0" w:rsidRPr="00543AFF">
        <w:t>7,</w:t>
      </w:r>
      <w:r w:rsidR="00907F78" w:rsidRPr="00543AFF">
        <w:t xml:space="preserve"> </w:t>
      </w:r>
      <w:r w:rsidR="00125926" w:rsidRPr="00543AFF">
        <w:t>no.1</w:t>
      </w:r>
      <w:r w:rsidR="00907F78" w:rsidRPr="00543AFF">
        <w:t>,</w:t>
      </w:r>
      <w:r w:rsidR="009706E0" w:rsidRPr="00543AFF">
        <w:t xml:space="preserve"> </w:t>
      </w:r>
      <w:r w:rsidR="00907F78" w:rsidRPr="00543AFF">
        <w:t>pp.</w:t>
      </w:r>
      <w:r w:rsidR="001C2976" w:rsidRPr="00543AFF">
        <w:t>55—</w:t>
      </w:r>
      <w:r w:rsidR="009706E0" w:rsidRPr="00543AFF">
        <w:t>71.</w:t>
      </w:r>
    </w:p>
    <w:p w:rsidR="0034393B" w:rsidRPr="00543AFF" w:rsidRDefault="0034393B" w:rsidP="00553DB5">
      <w:pPr>
        <w:pStyle w:val="References"/>
      </w:pPr>
      <w:r w:rsidRPr="00543AFF">
        <w:t xml:space="preserve">Peters, M, 2001, </w:t>
      </w:r>
      <w:r w:rsidR="00553DB5">
        <w:t>‘</w:t>
      </w:r>
      <w:r w:rsidRPr="00543AFF">
        <w:t>National educati</w:t>
      </w:r>
      <w:r w:rsidR="00553DB5">
        <w:t>on policy constructions of the “knowledge economy”</w:t>
      </w:r>
      <w:r w:rsidRPr="00543AFF">
        <w:t>: towards a critique</w:t>
      </w:r>
      <w:r w:rsidR="00553DB5">
        <w:t>’</w:t>
      </w:r>
      <w:r w:rsidRPr="00543AFF">
        <w:t xml:space="preserve">, </w:t>
      </w:r>
      <w:r w:rsidRPr="00553DB5">
        <w:rPr>
          <w:i/>
        </w:rPr>
        <w:t>Journal of Educational Enquiry</w:t>
      </w:r>
      <w:r w:rsidR="001C2976" w:rsidRPr="00543AFF">
        <w:t>, vol.</w:t>
      </w:r>
      <w:r w:rsidRPr="00543AFF">
        <w:t>2, no.1, pp.1</w:t>
      </w:r>
      <w:r w:rsidR="001C2976" w:rsidRPr="00543AFF">
        <w:t>—</w:t>
      </w:r>
      <w:r w:rsidRPr="00543AFF">
        <w:t>22</w:t>
      </w:r>
      <w:r w:rsidR="001C2976" w:rsidRPr="00543AFF">
        <w:t>.</w:t>
      </w:r>
    </w:p>
    <w:p w:rsidR="00367CFD" w:rsidRPr="00543AFF" w:rsidRDefault="00367CFD" w:rsidP="00543AFF">
      <w:pPr>
        <w:pStyle w:val="References"/>
      </w:pPr>
      <w:proofErr w:type="spellStart"/>
      <w:r w:rsidRPr="00543AFF">
        <w:t>Polesel</w:t>
      </w:r>
      <w:proofErr w:type="spellEnd"/>
      <w:r w:rsidRPr="00543AFF">
        <w:t xml:space="preserve">, </w:t>
      </w:r>
      <w:r w:rsidR="00D80FF3" w:rsidRPr="00543AFF">
        <w:t>J 2009,</w:t>
      </w:r>
      <w:r w:rsidRPr="00543AFF">
        <w:t xml:space="preserve"> ‘Deferring a university offer in rural Australia’</w:t>
      </w:r>
      <w:r w:rsidR="00D80FF3" w:rsidRPr="00543AFF">
        <w:t xml:space="preserve">, </w:t>
      </w:r>
      <w:r w:rsidRPr="00553DB5">
        <w:rPr>
          <w:i/>
        </w:rPr>
        <w:t>Australian Journal of Education</w:t>
      </w:r>
      <w:r w:rsidRPr="00543AFF">
        <w:t xml:space="preserve">, </w:t>
      </w:r>
      <w:r w:rsidR="001C2976" w:rsidRPr="00543AFF">
        <w:t>vol.53, no.</w:t>
      </w:r>
      <w:r w:rsidR="00D80FF3" w:rsidRPr="00543AFF">
        <w:t>1,</w:t>
      </w:r>
      <w:r w:rsidRPr="00543AFF">
        <w:t xml:space="preserve"> </w:t>
      </w:r>
      <w:r w:rsidR="00D80FF3" w:rsidRPr="00543AFF">
        <w:t>pp.</w:t>
      </w:r>
      <w:r w:rsidR="001C2976" w:rsidRPr="00543AFF">
        <w:t>87—</w:t>
      </w:r>
      <w:r w:rsidRPr="00543AFF">
        <w:t>103</w:t>
      </w:r>
      <w:r w:rsidR="00D80FF3" w:rsidRPr="00543AFF">
        <w:t>.</w:t>
      </w:r>
    </w:p>
    <w:p w:rsidR="009706E0" w:rsidRPr="00543AFF" w:rsidRDefault="00AE5760" w:rsidP="00543AFF">
      <w:pPr>
        <w:pStyle w:val="References"/>
      </w:pPr>
      <w:r w:rsidRPr="00543AFF">
        <w:t>Porter, M</w:t>
      </w:r>
      <w:r w:rsidR="007D720C">
        <w:t xml:space="preserve"> 1993</w:t>
      </w:r>
      <w:r w:rsidR="00CE3E4E" w:rsidRPr="00543AFF">
        <w:t>,</w:t>
      </w:r>
      <w:r w:rsidR="009706E0" w:rsidRPr="00543AFF">
        <w:t xml:space="preserve"> </w:t>
      </w:r>
      <w:r w:rsidR="009706E0" w:rsidRPr="00553DB5">
        <w:rPr>
          <w:i/>
        </w:rPr>
        <w:t xml:space="preserve">Long </w:t>
      </w:r>
      <w:r w:rsidR="001C2976" w:rsidRPr="00553DB5">
        <w:rPr>
          <w:i/>
        </w:rPr>
        <w:t xml:space="preserve">haul: place and persistence </w:t>
      </w:r>
      <w:r w:rsidR="009706E0" w:rsidRPr="00553DB5">
        <w:rPr>
          <w:i/>
        </w:rPr>
        <w:t xml:space="preserve">in Newfoundland </w:t>
      </w:r>
      <w:r w:rsidR="001C2976" w:rsidRPr="00553DB5">
        <w:rPr>
          <w:i/>
        </w:rPr>
        <w:t>women's lives</w:t>
      </w:r>
      <w:r w:rsidR="009706E0" w:rsidRPr="00543AFF">
        <w:t>,</w:t>
      </w:r>
      <w:r w:rsidR="0047428C" w:rsidRPr="00543AFF">
        <w:t xml:space="preserve"> </w:t>
      </w:r>
      <w:proofErr w:type="spellStart"/>
      <w:r w:rsidR="009706E0" w:rsidRPr="00543AFF">
        <w:t>Avebury</w:t>
      </w:r>
      <w:proofErr w:type="spellEnd"/>
      <w:r w:rsidR="0047428C" w:rsidRPr="00543AFF">
        <w:t xml:space="preserve"> Publishers</w:t>
      </w:r>
      <w:r w:rsidR="001C2976" w:rsidRPr="00543AFF">
        <w:t>, Aldershot</w:t>
      </w:r>
      <w:r w:rsidR="0047428C" w:rsidRPr="00543AFF">
        <w:t>.</w:t>
      </w:r>
    </w:p>
    <w:p w:rsidR="0034393B" w:rsidRPr="00543AFF" w:rsidRDefault="0034393B" w:rsidP="00543AFF">
      <w:pPr>
        <w:pStyle w:val="References"/>
      </w:pPr>
      <w:r w:rsidRPr="00543AFF">
        <w:t xml:space="preserve">Quinn, J, 2013, </w:t>
      </w:r>
      <w:r w:rsidR="001C2976" w:rsidRPr="00543AFF">
        <w:t>‘</w:t>
      </w:r>
      <w:r w:rsidRPr="00543AFF">
        <w:t>New learning worlds: the significance of nature in the lives of marginalised young people</w:t>
      </w:r>
      <w:r w:rsidR="001C2976" w:rsidRPr="00543AFF">
        <w:t>'</w:t>
      </w:r>
      <w:r w:rsidRPr="00543AFF">
        <w:t xml:space="preserve">, </w:t>
      </w:r>
      <w:r w:rsidRPr="00553DB5">
        <w:rPr>
          <w:i/>
        </w:rPr>
        <w:t>Discourse: Studies in the Cultural Politics of Education</w:t>
      </w:r>
      <w:r w:rsidRPr="00543AFF">
        <w:t>, vol.34, no.5, pp.</w:t>
      </w:r>
      <w:r w:rsidR="001C2976" w:rsidRPr="00543AFF">
        <w:t>716—</w:t>
      </w:r>
      <w:r w:rsidRPr="00543AFF">
        <w:t>30,</w:t>
      </w:r>
    </w:p>
    <w:p w:rsidR="009706E0" w:rsidRPr="00543AFF" w:rsidRDefault="001C2976" w:rsidP="00543AFF">
      <w:pPr>
        <w:pStyle w:val="References"/>
      </w:pPr>
      <w:proofErr w:type="gramStart"/>
      <w:r w:rsidRPr="00543AFF">
        <w:t>Randolph, B 2004, ‘</w:t>
      </w:r>
      <w:r w:rsidR="009706E0" w:rsidRPr="00543AFF">
        <w:t>Social inclusion and place-focused initiatives in western S</w:t>
      </w:r>
      <w:r w:rsidRPr="00543AFF">
        <w:t>ydney’</w:t>
      </w:r>
      <w:r w:rsidR="009706E0" w:rsidRPr="00543AFF">
        <w:t xml:space="preserve">, </w:t>
      </w:r>
      <w:r w:rsidR="009706E0" w:rsidRPr="00553DB5">
        <w:rPr>
          <w:i/>
        </w:rPr>
        <w:t>Australian Journal of Social Issues</w:t>
      </w:r>
      <w:r w:rsidR="00790D6E" w:rsidRPr="00543AFF">
        <w:t>, vol.</w:t>
      </w:r>
      <w:r w:rsidR="009706E0" w:rsidRPr="00543AFF">
        <w:t xml:space="preserve">39, </w:t>
      </w:r>
      <w:r w:rsidR="0047428C" w:rsidRPr="00543AFF">
        <w:t>no.1</w:t>
      </w:r>
      <w:r w:rsidR="00790D6E" w:rsidRPr="00543AFF">
        <w:t>, pp.</w:t>
      </w:r>
      <w:r w:rsidRPr="00543AFF">
        <w:t>63—</w:t>
      </w:r>
      <w:r w:rsidR="009706E0" w:rsidRPr="00543AFF">
        <w:t>78.</w:t>
      </w:r>
      <w:proofErr w:type="gramEnd"/>
    </w:p>
    <w:p w:rsidR="009706E0" w:rsidRPr="00543AFF" w:rsidRDefault="00AE5760" w:rsidP="00543AFF">
      <w:pPr>
        <w:pStyle w:val="References"/>
      </w:pPr>
      <w:proofErr w:type="spellStart"/>
      <w:r w:rsidRPr="00543AFF">
        <w:t>Reay</w:t>
      </w:r>
      <w:proofErr w:type="spellEnd"/>
      <w:r w:rsidRPr="00543AFF">
        <w:t>, D</w:t>
      </w:r>
      <w:r w:rsidR="005C0CC4" w:rsidRPr="00543AFF">
        <w:t xml:space="preserve"> 2011,</w:t>
      </w:r>
      <w:r w:rsidR="00790D6E" w:rsidRPr="00543AFF">
        <w:t xml:space="preserve"> ‘</w:t>
      </w:r>
      <w:r w:rsidR="005C0CC4" w:rsidRPr="00543AFF">
        <w:t>Schooling for democracy: a common school and a c</w:t>
      </w:r>
      <w:r w:rsidR="009706E0" w:rsidRPr="00543AFF">
        <w:t>ommon</w:t>
      </w:r>
      <w:r w:rsidR="00CE3E4E" w:rsidRPr="00543AFF">
        <w:t xml:space="preserve"> </w:t>
      </w:r>
      <w:r w:rsidR="005C0CC4" w:rsidRPr="00543AFF">
        <w:t>university? A r</w:t>
      </w:r>
      <w:r w:rsidR="009706E0" w:rsidRPr="00543AFF">
        <w:t>espo</w:t>
      </w:r>
      <w:r w:rsidR="005C0CC4" w:rsidRPr="00543AFF">
        <w:t>nse to “Schooling for Democracy</w:t>
      </w:r>
      <w:r w:rsidR="009706E0" w:rsidRPr="00543AFF">
        <w:t>”</w:t>
      </w:r>
      <w:r w:rsidR="00790D6E" w:rsidRPr="00543AFF">
        <w:t>’</w:t>
      </w:r>
      <w:r w:rsidR="005C0CC4" w:rsidRPr="00543AFF">
        <w:t>,</w:t>
      </w:r>
      <w:r w:rsidR="009706E0" w:rsidRPr="00543AFF">
        <w:t xml:space="preserve"> </w:t>
      </w:r>
      <w:r w:rsidR="009706E0" w:rsidRPr="00553DB5">
        <w:rPr>
          <w:i/>
        </w:rPr>
        <w:t>Democracy &amp; Education</w:t>
      </w:r>
      <w:r w:rsidR="00790D6E" w:rsidRPr="00543AFF">
        <w:t>, vol.19, no.1, article 6,</w:t>
      </w:r>
      <w:r w:rsidR="009706E0" w:rsidRPr="00543AFF">
        <w:t xml:space="preserve"> </w:t>
      </w:r>
      <w:r w:rsidR="0030276A" w:rsidRPr="00543AFF">
        <w:t xml:space="preserve">viewed 14 February </w:t>
      </w:r>
      <w:r w:rsidR="0047428C" w:rsidRPr="00543AFF">
        <w:t>2014</w:t>
      </w:r>
      <w:r w:rsidR="00790D6E" w:rsidRPr="00543AFF">
        <w:t xml:space="preserve">, </w:t>
      </w:r>
      <w:r w:rsidR="0030276A" w:rsidRPr="00543AFF">
        <w:t>&lt;</w:t>
      </w:r>
      <w:r w:rsidR="009706E0" w:rsidRPr="00543AFF">
        <w:t>http://democracyeducat</w:t>
      </w:r>
      <w:r w:rsidR="0047428C" w:rsidRPr="00543AFF">
        <w:t>ionjournal.org/home/vol19/iss1/6</w:t>
      </w:r>
      <w:r w:rsidR="0030276A" w:rsidRPr="00543AFF">
        <w:t>&gt;</w:t>
      </w:r>
      <w:r w:rsidR="009706E0" w:rsidRPr="00543AFF">
        <w:t>.</w:t>
      </w:r>
    </w:p>
    <w:p w:rsidR="009706E0" w:rsidRPr="00543AFF" w:rsidRDefault="00AE5760" w:rsidP="00543AFF">
      <w:pPr>
        <w:pStyle w:val="References"/>
      </w:pPr>
      <w:proofErr w:type="spellStart"/>
      <w:r w:rsidRPr="00543AFF">
        <w:t>Reay</w:t>
      </w:r>
      <w:proofErr w:type="spellEnd"/>
      <w:r w:rsidRPr="00543AFF">
        <w:t>, D</w:t>
      </w:r>
      <w:r w:rsidR="009706E0" w:rsidRPr="00543AFF">
        <w:t xml:space="preserve">, </w:t>
      </w:r>
      <w:r w:rsidRPr="00543AFF">
        <w:t>Davies, J</w:t>
      </w:r>
      <w:r w:rsidR="009706E0" w:rsidRPr="00543AFF">
        <w:t>,</w:t>
      </w:r>
      <w:r w:rsidRPr="00543AFF">
        <w:t xml:space="preserve"> David, M &amp; Ball, SJ</w:t>
      </w:r>
      <w:r w:rsidR="00CE3E4E" w:rsidRPr="00543AFF">
        <w:t xml:space="preserve"> 2001,</w:t>
      </w:r>
      <w:r w:rsidR="009706E0" w:rsidRPr="00543AFF">
        <w:t xml:space="preserve"> </w:t>
      </w:r>
      <w:r w:rsidR="007A22AF" w:rsidRPr="00543AFF">
        <w:t>‘</w:t>
      </w:r>
      <w:r w:rsidR="005C0CC4" w:rsidRPr="00543AFF">
        <w:t>Choices of d</w:t>
      </w:r>
      <w:r w:rsidR="009706E0" w:rsidRPr="00543AFF">
        <w:t>egre</w:t>
      </w:r>
      <w:r w:rsidR="005C0CC4" w:rsidRPr="00543AFF">
        <w:t>e or degrees of choice? Class, ‘r</w:t>
      </w:r>
      <w:r w:rsidR="007A22AF" w:rsidRPr="00543AFF">
        <w:t>ace’</w:t>
      </w:r>
      <w:r w:rsidR="009706E0" w:rsidRPr="00543AFF">
        <w:t xml:space="preserve"> and the </w:t>
      </w:r>
      <w:r w:rsidR="005C0CC4" w:rsidRPr="00543AFF">
        <w:t>higher education choice p</w:t>
      </w:r>
      <w:r w:rsidR="007A22AF" w:rsidRPr="00543AFF">
        <w:t>rocess’,</w:t>
      </w:r>
      <w:r w:rsidR="009706E0" w:rsidRPr="00543AFF">
        <w:t xml:space="preserve"> </w:t>
      </w:r>
      <w:r w:rsidR="009706E0" w:rsidRPr="00553DB5">
        <w:rPr>
          <w:i/>
        </w:rPr>
        <w:t>Sociology</w:t>
      </w:r>
      <w:r w:rsidR="009706E0" w:rsidRPr="00543AFF">
        <w:t xml:space="preserve">, </w:t>
      </w:r>
      <w:r w:rsidR="007A22AF" w:rsidRPr="00543AFF">
        <w:t>vol.</w:t>
      </w:r>
      <w:r w:rsidR="009706E0" w:rsidRPr="00543AFF">
        <w:t>35</w:t>
      </w:r>
      <w:r w:rsidR="007A22AF" w:rsidRPr="00543AFF">
        <w:t>, no.4</w:t>
      </w:r>
      <w:r w:rsidR="009706E0" w:rsidRPr="00543AFF">
        <w:t>,</w:t>
      </w:r>
      <w:r w:rsidR="007A22AF" w:rsidRPr="00543AFF">
        <w:t xml:space="preserve"> pp.</w:t>
      </w:r>
      <w:r w:rsidR="0030276A" w:rsidRPr="00543AFF">
        <w:t>855—</w:t>
      </w:r>
      <w:r w:rsidR="009706E0" w:rsidRPr="00543AFF">
        <w:t>74.</w:t>
      </w:r>
    </w:p>
    <w:p w:rsidR="00543AFF" w:rsidRPr="00543AFF" w:rsidRDefault="00543AFF" w:rsidP="00543AFF">
      <w:pPr>
        <w:pStyle w:val="References"/>
      </w:pPr>
      <w:r w:rsidRPr="00543AFF">
        <w:t>Regional Policy Advisory Committee 2013</w:t>
      </w:r>
      <w:r w:rsidRPr="00553DB5">
        <w:rPr>
          <w:i/>
        </w:rPr>
        <w:t>, Research into education aspiration for regional Victoria: full report</w:t>
      </w:r>
      <w:r w:rsidR="00553DB5">
        <w:t>, Melbourne</w:t>
      </w:r>
      <w:r w:rsidRPr="00543AFF">
        <w:t xml:space="preserve">. </w:t>
      </w:r>
    </w:p>
    <w:p w:rsidR="009706E0" w:rsidRPr="00543AFF" w:rsidRDefault="00553DB5" w:rsidP="00543AFF">
      <w:pPr>
        <w:pStyle w:val="References"/>
      </w:pPr>
      <w:r>
        <w:t>Robinson, S</w:t>
      </w:r>
      <w:r w:rsidR="00CE3E4E" w:rsidRPr="00543AFF">
        <w:t xml:space="preserve"> 2012,</w:t>
      </w:r>
      <w:r w:rsidR="009706E0" w:rsidRPr="00543AFF">
        <w:t xml:space="preserve"> </w:t>
      </w:r>
      <w:r w:rsidR="005C0CC4" w:rsidRPr="00543AFF">
        <w:t>‘</w:t>
      </w:r>
      <w:r w:rsidR="009706E0" w:rsidRPr="00543AFF">
        <w:t>Freedom, aspiration and informed cho</w:t>
      </w:r>
      <w:r w:rsidR="005C0CC4" w:rsidRPr="00543AFF">
        <w:t>ice in rural higher education: w</w:t>
      </w:r>
      <w:r w:rsidR="009706E0" w:rsidRPr="00543AFF">
        <w:t xml:space="preserve">hy they </w:t>
      </w:r>
      <w:r w:rsidR="0030276A" w:rsidRPr="00543AFF">
        <w:t>are saying “no”’</w:t>
      </w:r>
      <w:r w:rsidR="005C0CC4" w:rsidRPr="00543AFF">
        <w:t>,</w:t>
      </w:r>
      <w:r w:rsidR="009706E0" w:rsidRPr="00543AFF">
        <w:t xml:space="preserve"> </w:t>
      </w:r>
      <w:r w:rsidR="009706E0" w:rsidRPr="00553DB5">
        <w:rPr>
          <w:i/>
        </w:rPr>
        <w:t>Australian and International Journal of Rural Education</w:t>
      </w:r>
      <w:r w:rsidR="009706E0" w:rsidRPr="00543AFF">
        <w:t>,</w:t>
      </w:r>
      <w:r w:rsidR="007A22AF" w:rsidRPr="00543AFF">
        <w:t xml:space="preserve"> vol.</w:t>
      </w:r>
      <w:r w:rsidR="009706E0" w:rsidRPr="00543AFF">
        <w:t>22</w:t>
      </w:r>
      <w:r w:rsidR="007A22AF" w:rsidRPr="00543AFF">
        <w:t>, no.2</w:t>
      </w:r>
      <w:r w:rsidR="009706E0" w:rsidRPr="00543AFF">
        <w:t xml:space="preserve">, </w:t>
      </w:r>
      <w:r w:rsidR="007A22AF" w:rsidRPr="00543AFF">
        <w:t>pp.</w:t>
      </w:r>
      <w:r w:rsidR="0030276A" w:rsidRPr="00543AFF">
        <w:t>79—</w:t>
      </w:r>
      <w:r w:rsidR="009706E0" w:rsidRPr="00543AFF">
        <w:t>95.</w:t>
      </w:r>
    </w:p>
    <w:p w:rsidR="009706E0" w:rsidRPr="00543AFF" w:rsidRDefault="00AE5760" w:rsidP="00543AFF">
      <w:pPr>
        <w:pStyle w:val="References"/>
      </w:pPr>
      <w:proofErr w:type="gramStart"/>
      <w:r w:rsidRPr="00543AFF">
        <w:t xml:space="preserve">Ross, S &amp; </w:t>
      </w:r>
      <w:proofErr w:type="spellStart"/>
      <w:r w:rsidRPr="00543AFF">
        <w:t>Gray</w:t>
      </w:r>
      <w:proofErr w:type="spellEnd"/>
      <w:r w:rsidRPr="00543AFF">
        <w:t>, J</w:t>
      </w:r>
      <w:r w:rsidR="00CE3E4E" w:rsidRPr="00543AFF">
        <w:t xml:space="preserve"> 2005,</w:t>
      </w:r>
      <w:r w:rsidR="009706E0" w:rsidRPr="00543AFF">
        <w:t xml:space="preserve"> </w:t>
      </w:r>
      <w:r w:rsidR="00847A9E" w:rsidRPr="00543AFF">
        <w:t>‘</w:t>
      </w:r>
      <w:r w:rsidR="009706E0" w:rsidRPr="00543AFF">
        <w:t>Transitions and re-engagement through second chance education</w:t>
      </w:r>
      <w:r w:rsidR="00847A9E" w:rsidRPr="00543AFF">
        <w:t>’,</w:t>
      </w:r>
      <w:r w:rsidR="009706E0" w:rsidRPr="00543AFF">
        <w:t xml:space="preserve"> </w:t>
      </w:r>
      <w:r w:rsidR="009706E0" w:rsidRPr="00553DB5">
        <w:rPr>
          <w:i/>
        </w:rPr>
        <w:t>The Australian Educational Researcher</w:t>
      </w:r>
      <w:r w:rsidR="009706E0" w:rsidRPr="00543AFF">
        <w:t xml:space="preserve">, </w:t>
      </w:r>
      <w:r w:rsidR="00847A9E" w:rsidRPr="00543AFF">
        <w:t>vol.</w:t>
      </w:r>
      <w:r w:rsidR="009706E0" w:rsidRPr="00543AFF">
        <w:t>32</w:t>
      </w:r>
      <w:r w:rsidR="00847A9E" w:rsidRPr="00543AFF">
        <w:t>, no.3</w:t>
      </w:r>
      <w:r w:rsidR="009706E0" w:rsidRPr="00543AFF">
        <w:t xml:space="preserve">, </w:t>
      </w:r>
      <w:r w:rsidR="00847A9E" w:rsidRPr="00543AFF">
        <w:t>pp.</w:t>
      </w:r>
      <w:r w:rsidR="0030276A" w:rsidRPr="00543AFF">
        <w:t>103—</w:t>
      </w:r>
      <w:r w:rsidR="009706E0" w:rsidRPr="00543AFF">
        <w:t>40.</w:t>
      </w:r>
      <w:proofErr w:type="gramEnd"/>
    </w:p>
    <w:p w:rsidR="009706E0" w:rsidRPr="00543AFF" w:rsidRDefault="00AE5760" w:rsidP="00543AFF">
      <w:pPr>
        <w:pStyle w:val="References"/>
      </w:pPr>
      <w:r w:rsidRPr="00543AFF">
        <w:t>Rothman, S</w:t>
      </w:r>
      <w:r w:rsidR="00EA464E" w:rsidRPr="00543AFF">
        <w:t xml:space="preserve"> </w:t>
      </w:r>
      <w:r w:rsidR="00CE3E4E" w:rsidRPr="00543AFF">
        <w:t>2005,</w:t>
      </w:r>
      <w:r w:rsidR="009706E0" w:rsidRPr="00543AFF">
        <w:t xml:space="preserve"> </w:t>
      </w:r>
      <w:r w:rsidR="009706E0" w:rsidRPr="00553DB5">
        <w:rPr>
          <w:i/>
        </w:rPr>
        <w:t>Post-school education and training pathways to age 20</w:t>
      </w:r>
      <w:r w:rsidR="0030276A" w:rsidRPr="00543AFF">
        <w:t>,</w:t>
      </w:r>
      <w:r w:rsidR="00EA464E" w:rsidRPr="00543AFF">
        <w:t xml:space="preserve"> </w:t>
      </w:r>
      <w:r w:rsidR="009706E0" w:rsidRPr="00543AFF">
        <w:t xml:space="preserve">LSAY </w:t>
      </w:r>
      <w:r w:rsidR="0030276A" w:rsidRPr="00543AFF">
        <w:t xml:space="preserve">briefing report </w:t>
      </w:r>
      <w:r w:rsidR="00EA464E" w:rsidRPr="00543AFF">
        <w:t>n</w:t>
      </w:r>
      <w:r w:rsidR="0030276A" w:rsidRPr="00543AFF">
        <w:t>o.12</w:t>
      </w:r>
      <w:r w:rsidR="00F12781" w:rsidRPr="00543AFF">
        <w:t xml:space="preserve">, </w:t>
      </w:r>
      <w:r w:rsidR="0030276A" w:rsidRPr="00543AFF">
        <w:t xml:space="preserve">Australian Council for Educational Research, Camberwell, Vic. </w:t>
      </w:r>
    </w:p>
    <w:p w:rsidR="009706E0" w:rsidRPr="00543AFF" w:rsidRDefault="009706E0" w:rsidP="00543AFF">
      <w:pPr>
        <w:pStyle w:val="References"/>
      </w:pPr>
      <w:r w:rsidRPr="00543AFF">
        <w:t>Sa</w:t>
      </w:r>
      <w:r w:rsidR="00AE5760" w:rsidRPr="00543AFF">
        <w:t xml:space="preserve">mpson RJ &amp; </w:t>
      </w:r>
      <w:proofErr w:type="spellStart"/>
      <w:r w:rsidR="00AE5760" w:rsidRPr="00543AFF">
        <w:t>Laub</w:t>
      </w:r>
      <w:proofErr w:type="spellEnd"/>
      <w:r w:rsidR="00AE5760" w:rsidRPr="00543AFF">
        <w:t>, JH</w:t>
      </w:r>
      <w:r w:rsidR="00CE3E4E" w:rsidRPr="00543AFF">
        <w:t xml:space="preserve"> 2003,</w:t>
      </w:r>
      <w:r w:rsidRPr="00543AFF">
        <w:t xml:space="preserve"> </w:t>
      </w:r>
      <w:r w:rsidRPr="00553DB5">
        <w:rPr>
          <w:i/>
        </w:rPr>
        <w:t>Sh</w:t>
      </w:r>
      <w:r w:rsidR="00F12781" w:rsidRPr="00553DB5">
        <w:rPr>
          <w:i/>
        </w:rPr>
        <w:t>ared beginnings, divergent lives</w:t>
      </w:r>
      <w:r w:rsidRPr="00553DB5">
        <w:rPr>
          <w:i/>
        </w:rPr>
        <w:t>: delinquent boys to age 70</w:t>
      </w:r>
      <w:r w:rsidR="00F12781" w:rsidRPr="00543AFF">
        <w:t>,</w:t>
      </w:r>
      <w:r w:rsidRPr="00543AFF">
        <w:t xml:space="preserve"> Harv</w:t>
      </w:r>
      <w:r w:rsidR="00F12781" w:rsidRPr="00543AFF">
        <w:t>ard University Press, Cambridge, MA.</w:t>
      </w:r>
    </w:p>
    <w:p w:rsidR="009706E0" w:rsidRPr="004B34E5" w:rsidRDefault="00AE5760" w:rsidP="00543AFF">
      <w:pPr>
        <w:pStyle w:val="References"/>
        <w:rPr>
          <w:b/>
          <w:bCs/>
        </w:rPr>
      </w:pPr>
      <w:proofErr w:type="spellStart"/>
      <w:r w:rsidRPr="00543AFF">
        <w:t>Sellar</w:t>
      </w:r>
      <w:proofErr w:type="spellEnd"/>
      <w:r w:rsidRPr="00543AFF">
        <w:t>, S &amp; Gale, T</w:t>
      </w:r>
      <w:r w:rsidR="00CE3E4E" w:rsidRPr="00543AFF">
        <w:t xml:space="preserve"> 2011</w:t>
      </w:r>
      <w:r w:rsidR="00F12781" w:rsidRPr="00543AFF">
        <w:t>, ‘</w:t>
      </w:r>
      <w:r w:rsidR="009706E0" w:rsidRPr="00543AFF">
        <w:t>Mobility, aspiration, voice: a new structure of feeling for stu</w:t>
      </w:r>
      <w:r w:rsidR="00F12781" w:rsidRPr="00543AFF">
        <w:t>dent equity in</w:t>
      </w:r>
      <w:r w:rsidR="00F12781" w:rsidRPr="004B34E5">
        <w:t xml:space="preserve"> higher education’,</w:t>
      </w:r>
      <w:r w:rsidR="009706E0" w:rsidRPr="004B34E5">
        <w:t xml:space="preserve"> </w:t>
      </w:r>
      <w:r w:rsidR="009706E0" w:rsidRPr="00553DB5">
        <w:rPr>
          <w:i/>
        </w:rPr>
        <w:t>Critical Studies in Education</w:t>
      </w:r>
      <w:r w:rsidR="009706E0" w:rsidRPr="004B34E5">
        <w:t>,</w:t>
      </w:r>
      <w:r w:rsidR="00F12781" w:rsidRPr="004B34E5">
        <w:t xml:space="preserve"> vol.</w:t>
      </w:r>
      <w:r w:rsidR="009706E0" w:rsidRPr="004B34E5">
        <w:t>52</w:t>
      </w:r>
      <w:r w:rsidR="00F12781" w:rsidRPr="004B34E5">
        <w:t>, no.2</w:t>
      </w:r>
      <w:r w:rsidR="009706E0" w:rsidRPr="004B34E5">
        <w:t xml:space="preserve">, </w:t>
      </w:r>
      <w:r w:rsidR="00F12781" w:rsidRPr="004B34E5">
        <w:t>pp.</w:t>
      </w:r>
      <w:r w:rsidR="0030276A">
        <w:t>115—</w:t>
      </w:r>
      <w:r w:rsidR="009706E0" w:rsidRPr="004B34E5">
        <w:t>34.</w:t>
      </w:r>
    </w:p>
    <w:p w:rsidR="009706E0" w:rsidRPr="00543AFF" w:rsidRDefault="009706E0" w:rsidP="00543AFF">
      <w:pPr>
        <w:pStyle w:val="References"/>
      </w:pPr>
      <w:proofErr w:type="gramStart"/>
      <w:r w:rsidRPr="00543AFF">
        <w:t>Senate, Rural and Regional Affairs and Trans</w:t>
      </w:r>
      <w:r w:rsidR="00CE3E4E" w:rsidRPr="00543AFF">
        <w:t>port Refe</w:t>
      </w:r>
      <w:r w:rsidR="00AE5760" w:rsidRPr="00543AFF">
        <w:t>rences Committee</w:t>
      </w:r>
      <w:r w:rsidR="00CE3E4E" w:rsidRPr="00543AFF">
        <w:t xml:space="preserve"> 2009,</w:t>
      </w:r>
      <w:r w:rsidRPr="00543AFF">
        <w:t xml:space="preserve"> </w:t>
      </w:r>
      <w:r w:rsidRPr="00553DB5">
        <w:rPr>
          <w:i/>
        </w:rPr>
        <w:t>Rural and regional access to secondary and tertiary education opportunities</w:t>
      </w:r>
      <w:r w:rsidRPr="00543AFF">
        <w:t>, Canberra.</w:t>
      </w:r>
      <w:proofErr w:type="gramEnd"/>
    </w:p>
    <w:p w:rsidR="009706E0" w:rsidRPr="00543AFF" w:rsidRDefault="009706E0" w:rsidP="00543AFF">
      <w:pPr>
        <w:pStyle w:val="References"/>
      </w:pPr>
      <w:r w:rsidRPr="00543AFF">
        <w:t>Sm</w:t>
      </w:r>
      <w:r w:rsidR="00AE5760" w:rsidRPr="00543AFF">
        <w:t xml:space="preserve">yth, J &amp; </w:t>
      </w:r>
      <w:proofErr w:type="spellStart"/>
      <w:r w:rsidR="00AE5760" w:rsidRPr="00543AFF">
        <w:t>McInerney</w:t>
      </w:r>
      <w:proofErr w:type="spellEnd"/>
      <w:r w:rsidR="00AE5760" w:rsidRPr="00543AFF">
        <w:t>, P</w:t>
      </w:r>
      <w:r w:rsidR="00CE3E4E" w:rsidRPr="00543AFF">
        <w:t xml:space="preserve"> 2013,</w:t>
      </w:r>
      <w:r w:rsidRPr="00543AFF">
        <w:t xml:space="preserve"> </w:t>
      </w:r>
      <w:r w:rsidR="00F12781" w:rsidRPr="00543AFF">
        <w:t>‘</w:t>
      </w:r>
      <w:r w:rsidR="0030276A" w:rsidRPr="00543AFF">
        <w:t>Making “space”</w:t>
      </w:r>
      <w:r w:rsidRPr="00543AFF">
        <w:t>: young people put at a disadva</w:t>
      </w:r>
      <w:r w:rsidR="00F12781" w:rsidRPr="00543AFF">
        <w:t>ntage re-engaging with learning’,</w:t>
      </w:r>
      <w:r w:rsidRPr="00543AFF">
        <w:t xml:space="preserve"> </w:t>
      </w:r>
      <w:r w:rsidRPr="00553DB5">
        <w:rPr>
          <w:i/>
        </w:rPr>
        <w:t>British Journal of Sociology of Education</w:t>
      </w:r>
      <w:r w:rsidRPr="00543AFF">
        <w:t xml:space="preserve">, </w:t>
      </w:r>
      <w:r w:rsidR="00F12781" w:rsidRPr="00543AFF">
        <w:t>vol.</w:t>
      </w:r>
      <w:r w:rsidRPr="00543AFF">
        <w:t>34</w:t>
      </w:r>
      <w:r w:rsidR="00F12781" w:rsidRPr="00543AFF">
        <w:t>, no.1</w:t>
      </w:r>
      <w:r w:rsidRPr="00543AFF">
        <w:t>,</w:t>
      </w:r>
      <w:r w:rsidR="00F12781" w:rsidRPr="00543AFF">
        <w:t xml:space="preserve"> pp.</w:t>
      </w:r>
      <w:r w:rsidR="0030276A" w:rsidRPr="00543AFF">
        <w:t>39—</w:t>
      </w:r>
      <w:r w:rsidRPr="00543AFF">
        <w:t>55.</w:t>
      </w:r>
    </w:p>
    <w:p w:rsidR="0016602D" w:rsidRPr="00543AFF" w:rsidRDefault="0016602D" w:rsidP="00543AFF">
      <w:pPr>
        <w:pStyle w:val="References"/>
      </w:pPr>
      <w:r w:rsidRPr="00543AFF">
        <w:t xml:space="preserve">South Australian Office for Youth 2010, </w:t>
      </w:r>
      <w:r w:rsidRPr="00553DB5">
        <w:rPr>
          <w:i/>
        </w:rPr>
        <w:t>Youth Connect: South Australia's Youth Strategy 2010—2014</w:t>
      </w:r>
      <w:r w:rsidRPr="00543AFF">
        <w:t>, Attorney-General’s Department, South Australia.</w:t>
      </w:r>
    </w:p>
    <w:p w:rsidR="009706E0" w:rsidRPr="00543AFF" w:rsidRDefault="00AE5760" w:rsidP="00543AFF">
      <w:pPr>
        <w:pStyle w:val="References"/>
      </w:pPr>
      <w:proofErr w:type="spellStart"/>
      <w:r w:rsidRPr="00543AFF">
        <w:t>Spoehr</w:t>
      </w:r>
      <w:proofErr w:type="spellEnd"/>
      <w:r w:rsidRPr="00543AFF">
        <w:t xml:space="preserve">, J, Barnett, K, </w:t>
      </w:r>
      <w:proofErr w:type="spellStart"/>
      <w:r w:rsidRPr="00543AFF">
        <w:t>Dev</w:t>
      </w:r>
      <w:proofErr w:type="spellEnd"/>
      <w:r w:rsidRPr="00543AFF">
        <w:t xml:space="preserve">, SV, </w:t>
      </w:r>
      <w:proofErr w:type="spellStart"/>
      <w:r w:rsidRPr="00543AFF">
        <w:t>Hordacre</w:t>
      </w:r>
      <w:proofErr w:type="spellEnd"/>
      <w:r w:rsidRPr="00543AFF">
        <w:t>, A</w:t>
      </w:r>
      <w:r w:rsidR="009706E0" w:rsidRPr="00543AFF">
        <w:t xml:space="preserve">-L., </w:t>
      </w:r>
      <w:r w:rsidRPr="00543AFF">
        <w:t xml:space="preserve">Howard, N &amp; </w:t>
      </w:r>
      <w:proofErr w:type="spellStart"/>
      <w:r w:rsidRPr="00543AFF">
        <w:t>Parnis</w:t>
      </w:r>
      <w:proofErr w:type="spellEnd"/>
      <w:r w:rsidRPr="00543AFF">
        <w:t>, E</w:t>
      </w:r>
      <w:r w:rsidR="00CE3E4E" w:rsidRPr="00543AFF">
        <w:t xml:space="preserve"> 2009,</w:t>
      </w:r>
      <w:r w:rsidR="009706E0" w:rsidRPr="00543AFF">
        <w:t xml:space="preserve"> </w:t>
      </w:r>
      <w:r w:rsidR="005C0CC4" w:rsidRPr="00553DB5">
        <w:rPr>
          <w:i/>
        </w:rPr>
        <w:t>Youth Connect youth r</w:t>
      </w:r>
      <w:r w:rsidR="009706E0" w:rsidRPr="00553DB5">
        <w:rPr>
          <w:i/>
        </w:rPr>
        <w:t>eport: South Australia’s young people: emerging issues and priorities</w:t>
      </w:r>
      <w:r w:rsidR="005044DB" w:rsidRPr="00543AFF">
        <w:t>,</w:t>
      </w:r>
      <w:r w:rsidR="00381F2C" w:rsidRPr="00543AFF">
        <w:t xml:space="preserve"> Australian Institute of Social Research, University of Adelaide.</w:t>
      </w:r>
    </w:p>
    <w:p w:rsidR="009706E0" w:rsidRPr="00543AFF" w:rsidRDefault="005946AC" w:rsidP="00543AFF">
      <w:pPr>
        <w:pStyle w:val="References"/>
      </w:pPr>
      <w:r w:rsidRPr="00543AFF">
        <w:t>Thompson, R</w:t>
      </w:r>
      <w:r w:rsidR="009706E0" w:rsidRPr="00543AFF">
        <w:t xml:space="preserve"> &amp; S</w:t>
      </w:r>
      <w:r w:rsidRPr="00543AFF">
        <w:t>immons, R</w:t>
      </w:r>
      <w:r w:rsidR="00CE3E4E" w:rsidRPr="00543AFF">
        <w:t xml:space="preserve"> 2013,</w:t>
      </w:r>
      <w:r w:rsidR="009706E0" w:rsidRPr="00543AFF">
        <w:t xml:space="preserve"> </w:t>
      </w:r>
      <w:r w:rsidR="005044DB" w:rsidRPr="00543AFF">
        <w:t>‘</w:t>
      </w:r>
      <w:r w:rsidR="009706E0" w:rsidRPr="00543AFF">
        <w:t xml:space="preserve">Social mobility and post-compulsory education: revisiting </w:t>
      </w:r>
      <w:proofErr w:type="spellStart"/>
      <w:r w:rsidR="009706E0" w:rsidRPr="00543AFF">
        <w:t>Boudo</w:t>
      </w:r>
      <w:r w:rsidR="005044DB" w:rsidRPr="00543AFF">
        <w:t>n’s</w:t>
      </w:r>
      <w:proofErr w:type="spellEnd"/>
      <w:r w:rsidR="005044DB" w:rsidRPr="00543AFF">
        <w:t xml:space="preserve"> model of social opportunity’,</w:t>
      </w:r>
      <w:r w:rsidR="009706E0" w:rsidRPr="00543AFF">
        <w:t xml:space="preserve"> </w:t>
      </w:r>
      <w:r w:rsidR="009706E0" w:rsidRPr="00553DB5">
        <w:rPr>
          <w:i/>
        </w:rPr>
        <w:t>British Journal of Sociology of Education</w:t>
      </w:r>
      <w:r w:rsidR="009706E0" w:rsidRPr="00543AFF">
        <w:t xml:space="preserve">, </w:t>
      </w:r>
      <w:r w:rsidR="005044DB" w:rsidRPr="00543AFF">
        <w:t>vol.</w:t>
      </w:r>
      <w:r w:rsidR="009706E0" w:rsidRPr="00543AFF">
        <w:t>34</w:t>
      </w:r>
      <w:r w:rsidR="005044DB" w:rsidRPr="00543AFF">
        <w:t>, no.</w:t>
      </w:r>
      <w:r w:rsidR="0030276A" w:rsidRPr="00543AFF">
        <w:t>5—</w:t>
      </w:r>
      <w:r w:rsidR="005044DB" w:rsidRPr="00543AFF">
        <w:t>6</w:t>
      </w:r>
      <w:r w:rsidR="009706E0" w:rsidRPr="00543AFF">
        <w:t>,</w:t>
      </w:r>
      <w:r w:rsidR="005044DB" w:rsidRPr="00543AFF">
        <w:t xml:space="preserve"> pp.</w:t>
      </w:r>
      <w:r w:rsidR="0030276A" w:rsidRPr="00543AFF">
        <w:t>744—</w:t>
      </w:r>
      <w:r w:rsidR="009706E0" w:rsidRPr="00543AFF">
        <w:t xml:space="preserve">65. </w:t>
      </w:r>
    </w:p>
    <w:p w:rsidR="009706E0" w:rsidRPr="00543AFF" w:rsidRDefault="005946AC" w:rsidP="00543AFF">
      <w:pPr>
        <w:pStyle w:val="References"/>
      </w:pPr>
      <w:r w:rsidRPr="00543AFF">
        <w:t>Thomson, P</w:t>
      </w:r>
      <w:r w:rsidR="00CE3E4E" w:rsidRPr="00543AFF">
        <w:t xml:space="preserve"> 2007,</w:t>
      </w:r>
      <w:r w:rsidR="009706E0" w:rsidRPr="00543AFF">
        <w:t xml:space="preserve"> </w:t>
      </w:r>
      <w:r w:rsidR="00F158EA" w:rsidRPr="00543AFF">
        <w:t>‘</w:t>
      </w:r>
      <w:r w:rsidR="009706E0" w:rsidRPr="00543AFF">
        <w:t xml:space="preserve">Globalizing </w:t>
      </w:r>
      <w:r w:rsidR="005C0CC4" w:rsidRPr="00543AFF">
        <w:t>the rustbelt and public s</w:t>
      </w:r>
      <w:r w:rsidR="00F158EA" w:rsidRPr="00543AFF">
        <w:t>chools’</w:t>
      </w:r>
      <w:r w:rsidR="00931177" w:rsidRPr="00543AFF">
        <w:t>,</w:t>
      </w:r>
      <w:r w:rsidR="0030276A" w:rsidRPr="00543AFF">
        <w:t xml:space="preserve"> i</w:t>
      </w:r>
      <w:r w:rsidR="009706E0" w:rsidRPr="00543AFF">
        <w:t>n</w:t>
      </w:r>
      <w:r w:rsidR="00F158EA" w:rsidRPr="00543AFF">
        <w:t xml:space="preserve"> </w:t>
      </w:r>
      <w:r w:rsidR="0030276A" w:rsidRPr="00543AFF">
        <w:t xml:space="preserve">MW Apple, J </w:t>
      </w:r>
      <w:proofErr w:type="spellStart"/>
      <w:r w:rsidR="0030276A" w:rsidRPr="00543AFF">
        <w:t>Kenway</w:t>
      </w:r>
      <w:proofErr w:type="spellEnd"/>
      <w:r w:rsidR="0030276A" w:rsidRPr="00543AFF">
        <w:t xml:space="preserve"> &amp; M Singh (</w:t>
      </w:r>
      <w:proofErr w:type="spellStart"/>
      <w:proofErr w:type="gramStart"/>
      <w:r w:rsidR="0030276A" w:rsidRPr="00543AFF">
        <w:t>eds</w:t>
      </w:r>
      <w:proofErr w:type="spellEnd"/>
      <w:proofErr w:type="gramEnd"/>
      <w:r w:rsidR="0030276A" w:rsidRPr="00543AFF">
        <w:t xml:space="preserve">), </w:t>
      </w:r>
      <w:r w:rsidR="00931177" w:rsidRPr="00553DB5">
        <w:rPr>
          <w:i/>
        </w:rPr>
        <w:t xml:space="preserve">Globalizing </w:t>
      </w:r>
      <w:r w:rsidR="0030276A" w:rsidRPr="00553DB5">
        <w:rPr>
          <w:i/>
        </w:rPr>
        <w:t>education: policies, pedagogies, and politics</w:t>
      </w:r>
      <w:r w:rsidR="00931177" w:rsidRPr="00543AFF">
        <w:t>,</w:t>
      </w:r>
      <w:r w:rsidR="00F158EA" w:rsidRPr="00543AFF">
        <w:t xml:space="preserve"> </w:t>
      </w:r>
      <w:r w:rsidR="009706E0" w:rsidRPr="00543AFF">
        <w:t>Peter Lang Publishing</w:t>
      </w:r>
      <w:r w:rsidR="0030276A" w:rsidRPr="00543AFF">
        <w:t>, New York, pp.79—</w:t>
      </w:r>
      <w:r w:rsidR="00F158EA" w:rsidRPr="00543AFF">
        <w:t>92</w:t>
      </w:r>
      <w:r w:rsidR="009706E0" w:rsidRPr="00543AFF">
        <w:t>.</w:t>
      </w:r>
    </w:p>
    <w:p w:rsidR="009706E0" w:rsidRPr="00543AFF" w:rsidRDefault="009706E0" w:rsidP="00543AFF">
      <w:pPr>
        <w:pStyle w:val="References"/>
      </w:pPr>
      <w:r w:rsidRPr="00543AFF">
        <w:t>Un</w:t>
      </w:r>
      <w:r w:rsidR="005946AC" w:rsidRPr="00543AFF">
        <w:t>derwood, C &amp; Rothman, S</w:t>
      </w:r>
      <w:r w:rsidR="00CE3E4E" w:rsidRPr="00543AFF">
        <w:t xml:space="preserve"> 2012a</w:t>
      </w:r>
      <w:r w:rsidR="0030276A" w:rsidRPr="00543AFF">
        <w:t>,</w:t>
      </w:r>
      <w:r w:rsidRPr="00543AFF">
        <w:t xml:space="preserve"> </w:t>
      </w:r>
      <w:r w:rsidRPr="00553DB5">
        <w:rPr>
          <w:i/>
        </w:rPr>
        <w:t xml:space="preserve">The </w:t>
      </w:r>
      <w:proofErr w:type="gramStart"/>
      <w:r w:rsidRPr="00553DB5">
        <w:rPr>
          <w:i/>
        </w:rPr>
        <w:t>On</w:t>
      </w:r>
      <w:proofErr w:type="gramEnd"/>
      <w:r w:rsidRPr="00553DB5">
        <w:rPr>
          <w:i/>
        </w:rPr>
        <w:t xml:space="preserve"> Track Survey 2011: the destination</w:t>
      </w:r>
      <w:r w:rsidR="00C05875" w:rsidRPr="00553DB5">
        <w:rPr>
          <w:i/>
        </w:rPr>
        <w:t>s of school leavers in Victoria</w:t>
      </w:r>
      <w:r w:rsidRPr="00553DB5">
        <w:rPr>
          <w:i/>
        </w:rPr>
        <w:t>: state-wide report</w:t>
      </w:r>
      <w:r w:rsidR="005C0CC4" w:rsidRPr="00543AFF">
        <w:t>,</w:t>
      </w:r>
      <w:r w:rsidRPr="00543AFF">
        <w:t xml:space="preserve"> Dep</w:t>
      </w:r>
      <w:r w:rsidR="00C05875" w:rsidRPr="00543AFF">
        <w:t>ar</w:t>
      </w:r>
      <w:r w:rsidRPr="00543AFF">
        <w:t>t</w:t>
      </w:r>
      <w:r w:rsidR="00C05875" w:rsidRPr="00543AFF">
        <w:t>ment</w:t>
      </w:r>
      <w:r w:rsidRPr="00543AFF">
        <w:t xml:space="preserve"> of Education and Early Childhood Development, </w:t>
      </w:r>
      <w:r w:rsidR="00553DB5">
        <w:t>Melbourne</w:t>
      </w:r>
      <w:r w:rsidRPr="00543AFF">
        <w:t>.</w:t>
      </w:r>
    </w:p>
    <w:p w:rsidR="009706E0" w:rsidRPr="00543AFF" w:rsidRDefault="0030276A" w:rsidP="00543AFF">
      <w:pPr>
        <w:pStyle w:val="References"/>
      </w:pPr>
      <w:r w:rsidRPr="00543AFF">
        <w:t>——</w:t>
      </w:r>
      <w:r w:rsidR="00CE3E4E" w:rsidRPr="00543AFF">
        <w:t>2012b,</w:t>
      </w:r>
      <w:r w:rsidR="009706E0" w:rsidRPr="00543AFF">
        <w:t xml:space="preserve"> </w:t>
      </w:r>
      <w:r w:rsidR="009706E0" w:rsidRPr="00553DB5">
        <w:rPr>
          <w:i/>
        </w:rPr>
        <w:t xml:space="preserve">The </w:t>
      </w:r>
      <w:proofErr w:type="gramStart"/>
      <w:r w:rsidR="009706E0" w:rsidRPr="00553DB5">
        <w:rPr>
          <w:i/>
        </w:rPr>
        <w:t>On</w:t>
      </w:r>
      <w:proofErr w:type="gramEnd"/>
      <w:r w:rsidR="009706E0" w:rsidRPr="00553DB5">
        <w:rPr>
          <w:i/>
        </w:rPr>
        <w:t xml:space="preserve"> Track Survey 2012: the destination</w:t>
      </w:r>
      <w:r w:rsidR="0000620B" w:rsidRPr="00553DB5">
        <w:rPr>
          <w:i/>
        </w:rPr>
        <w:t>s of school leavers in Victoria</w:t>
      </w:r>
      <w:r w:rsidR="009706E0" w:rsidRPr="00553DB5">
        <w:rPr>
          <w:i/>
        </w:rPr>
        <w:t xml:space="preserve">: </w:t>
      </w:r>
      <w:proofErr w:type="spellStart"/>
      <w:r w:rsidR="009706E0" w:rsidRPr="00553DB5">
        <w:rPr>
          <w:i/>
        </w:rPr>
        <w:t>statewide</w:t>
      </w:r>
      <w:proofErr w:type="spellEnd"/>
      <w:r w:rsidR="009706E0" w:rsidRPr="00553DB5">
        <w:rPr>
          <w:i/>
        </w:rPr>
        <w:t xml:space="preserve"> report</w:t>
      </w:r>
      <w:r w:rsidR="0000620B" w:rsidRPr="00543AFF">
        <w:t>,</w:t>
      </w:r>
      <w:r w:rsidR="00CE3E4E" w:rsidRPr="00543AFF">
        <w:t xml:space="preserve"> </w:t>
      </w:r>
      <w:r w:rsidR="009706E0" w:rsidRPr="00543AFF">
        <w:t xml:space="preserve">Department of Education and Early Childhood Development, </w:t>
      </w:r>
      <w:r w:rsidR="00553DB5">
        <w:t>Melbourne</w:t>
      </w:r>
      <w:r w:rsidR="009706E0" w:rsidRPr="00543AFF">
        <w:t>.</w:t>
      </w:r>
    </w:p>
    <w:p w:rsidR="00543AFF" w:rsidRDefault="00543AFF" w:rsidP="00543AFF">
      <w:pPr>
        <w:pStyle w:val="References"/>
      </w:pPr>
      <w:proofErr w:type="spellStart"/>
      <w:proofErr w:type="gramStart"/>
      <w:r>
        <w:t>Urry</w:t>
      </w:r>
      <w:proofErr w:type="spellEnd"/>
      <w:r>
        <w:t xml:space="preserve">, J 2007, </w:t>
      </w:r>
      <w:proofErr w:type="spellStart"/>
      <w:r w:rsidRPr="00553DB5">
        <w:rPr>
          <w:i/>
        </w:rPr>
        <w:t>Mobilities</w:t>
      </w:r>
      <w:proofErr w:type="spellEnd"/>
      <w:r>
        <w:t xml:space="preserve">, </w:t>
      </w:r>
      <w:r w:rsidR="00553DB5">
        <w:t>Polity Press,</w:t>
      </w:r>
      <w:r w:rsidR="00553DB5" w:rsidRPr="00553DB5">
        <w:t xml:space="preserve"> </w:t>
      </w:r>
      <w:r w:rsidR="00553DB5">
        <w:t>Cambridge.</w:t>
      </w:r>
      <w:proofErr w:type="gramEnd"/>
    </w:p>
    <w:p w:rsidR="00506B3F" w:rsidRDefault="00506B3F" w:rsidP="00543AFF">
      <w:pPr>
        <w:pStyle w:val="References"/>
      </w:pPr>
      <w:r>
        <w:t xml:space="preserve">Vincent, C, </w:t>
      </w:r>
      <w:proofErr w:type="spellStart"/>
      <w:r>
        <w:t>Rollock</w:t>
      </w:r>
      <w:proofErr w:type="spellEnd"/>
      <w:r>
        <w:t xml:space="preserve">, N, Ball, S &amp; </w:t>
      </w:r>
      <w:proofErr w:type="spellStart"/>
      <w:r>
        <w:t>Gillborn</w:t>
      </w:r>
      <w:proofErr w:type="spellEnd"/>
      <w:r>
        <w:t xml:space="preserve">, D 2012, ‘Being strategic, being watchful, being determined: black middle-class parents and schooling’, </w:t>
      </w:r>
      <w:r w:rsidRPr="00553DB5">
        <w:rPr>
          <w:i/>
        </w:rPr>
        <w:t>British Journal of Sociology of Education</w:t>
      </w:r>
      <w:r w:rsidR="00553DB5">
        <w:t>, vol.33, no.3, pp.337—</w:t>
      </w:r>
      <w:r>
        <w:t>354.</w:t>
      </w:r>
    </w:p>
    <w:p w:rsidR="009706E0" w:rsidRPr="00543AFF" w:rsidRDefault="009706E0" w:rsidP="00543AFF">
      <w:pPr>
        <w:pStyle w:val="References"/>
      </w:pPr>
      <w:r w:rsidRPr="00543AFF">
        <w:t>W</w:t>
      </w:r>
      <w:r w:rsidR="005946AC" w:rsidRPr="00543AFF">
        <w:t>alsh, L &amp; De Campo, J</w:t>
      </w:r>
      <w:r w:rsidR="00CE3E4E" w:rsidRPr="00543AFF">
        <w:t xml:space="preserve"> 2010,</w:t>
      </w:r>
      <w:r w:rsidR="0000620B" w:rsidRPr="00543AFF">
        <w:t xml:space="preserve"> ‘Falling through the cracks’,</w:t>
      </w:r>
      <w:r w:rsidRPr="00543AFF">
        <w:t xml:space="preserve"> </w:t>
      </w:r>
      <w:r w:rsidRPr="00553DB5">
        <w:rPr>
          <w:i/>
        </w:rPr>
        <w:t>Professional Educator</w:t>
      </w:r>
      <w:r w:rsidRPr="00543AFF">
        <w:t>,</w:t>
      </w:r>
      <w:r w:rsidR="0000620B" w:rsidRPr="00543AFF">
        <w:t xml:space="preserve"> vol.</w:t>
      </w:r>
      <w:r w:rsidRPr="00543AFF">
        <w:t>9</w:t>
      </w:r>
      <w:r w:rsidR="0000620B" w:rsidRPr="00543AFF">
        <w:t>, no.1</w:t>
      </w:r>
      <w:r w:rsidRPr="00543AFF">
        <w:t xml:space="preserve">, </w:t>
      </w:r>
      <w:r w:rsidR="0000620B" w:rsidRPr="00543AFF">
        <w:t>pp.</w:t>
      </w:r>
      <w:r w:rsidR="0030276A" w:rsidRPr="00543AFF">
        <w:t>30—</w:t>
      </w:r>
      <w:r w:rsidRPr="00543AFF">
        <w:t>2.</w:t>
      </w:r>
    </w:p>
    <w:p w:rsidR="009706E0" w:rsidRPr="00543AFF" w:rsidRDefault="0000620B" w:rsidP="00543AFF">
      <w:pPr>
        <w:pStyle w:val="References"/>
      </w:pPr>
      <w:r w:rsidRPr="00543AFF">
        <w:t xml:space="preserve">Warren, S &amp; Webb, S </w:t>
      </w:r>
      <w:r w:rsidR="009706E0" w:rsidRPr="00543AFF">
        <w:t xml:space="preserve">2007, </w:t>
      </w:r>
      <w:r w:rsidRPr="00543AFF">
        <w:t>‘</w:t>
      </w:r>
      <w:r w:rsidR="009706E0" w:rsidRPr="00543AFF">
        <w:t>Challenging lifel</w:t>
      </w:r>
      <w:r w:rsidR="0030276A" w:rsidRPr="00543AFF">
        <w:t>ong learning policy discourse: w</w:t>
      </w:r>
      <w:r w:rsidR="009706E0" w:rsidRPr="00543AFF">
        <w:t>here is structure in agency in narrative-based research?</w:t>
      </w:r>
      <w:proofErr w:type="gramStart"/>
      <w:r w:rsidRPr="00543AFF">
        <w:t>’</w:t>
      </w:r>
      <w:r w:rsidR="009706E0" w:rsidRPr="00543AFF">
        <w:t>,</w:t>
      </w:r>
      <w:proofErr w:type="gramEnd"/>
      <w:r w:rsidR="009706E0" w:rsidRPr="00543AFF">
        <w:t xml:space="preserve"> </w:t>
      </w:r>
      <w:r w:rsidR="009706E0" w:rsidRPr="00553DB5">
        <w:rPr>
          <w:i/>
        </w:rPr>
        <w:t>Studies in the Education of Adults</w:t>
      </w:r>
      <w:r w:rsidR="00553DB5">
        <w:rPr>
          <w:i/>
        </w:rPr>
        <w:t>,</w:t>
      </w:r>
      <w:r w:rsidR="009706E0" w:rsidRPr="00543AFF">
        <w:t xml:space="preserve"> </w:t>
      </w:r>
      <w:r w:rsidRPr="00543AFF">
        <w:t>vol.</w:t>
      </w:r>
      <w:r w:rsidR="009706E0" w:rsidRPr="00543AFF">
        <w:t xml:space="preserve">39, </w:t>
      </w:r>
      <w:r w:rsidRPr="00543AFF">
        <w:t>no.1, pp.</w:t>
      </w:r>
      <w:r w:rsidR="0030276A" w:rsidRPr="00543AFF">
        <w:t>5—</w:t>
      </w:r>
      <w:r w:rsidR="009706E0" w:rsidRPr="00543AFF">
        <w:t>21</w:t>
      </w:r>
      <w:r w:rsidR="003732D8" w:rsidRPr="00543AFF">
        <w:t>.</w:t>
      </w:r>
    </w:p>
    <w:p w:rsidR="009706E0" w:rsidRPr="00543AFF" w:rsidRDefault="0030276A" w:rsidP="00543AFF">
      <w:pPr>
        <w:pStyle w:val="References"/>
      </w:pPr>
      <w:r w:rsidRPr="00543AFF">
        <w:t>——</w:t>
      </w:r>
      <w:r w:rsidR="009706E0" w:rsidRPr="00543AFF">
        <w:t xml:space="preserve">2009, </w:t>
      </w:r>
      <w:r w:rsidR="0000620B" w:rsidRPr="00543AFF">
        <w:t>‘</w:t>
      </w:r>
      <w:r w:rsidR="009706E0" w:rsidRPr="00543AFF">
        <w:t xml:space="preserve">Accounting for structure in agency: recursive methodology, social narratives and habitus, in </w:t>
      </w:r>
      <w:r w:rsidR="0016602D" w:rsidRPr="00543AFF">
        <w:t>B</w:t>
      </w:r>
      <w:r w:rsidR="0016602D" w:rsidRPr="004B34E5">
        <w:rPr>
          <w:lang w:val="en-US"/>
        </w:rPr>
        <w:t xml:space="preserve"> Merrill </w:t>
      </w:r>
      <w:r w:rsidR="0016602D" w:rsidRPr="00543AFF">
        <w:t>&amp; P Lang (</w:t>
      </w:r>
      <w:proofErr w:type="spellStart"/>
      <w:proofErr w:type="gramStart"/>
      <w:r w:rsidR="0016602D" w:rsidRPr="00543AFF">
        <w:t>eds</w:t>
      </w:r>
      <w:proofErr w:type="spellEnd"/>
      <w:proofErr w:type="gramEnd"/>
      <w:r w:rsidR="0016602D" w:rsidRPr="00543AFF">
        <w:t xml:space="preserve">), </w:t>
      </w:r>
      <w:r w:rsidR="00931177" w:rsidRPr="00553DB5">
        <w:rPr>
          <w:i/>
        </w:rPr>
        <w:t>Learning to c</w:t>
      </w:r>
      <w:r w:rsidR="009706E0" w:rsidRPr="00553DB5">
        <w:rPr>
          <w:i/>
        </w:rPr>
        <w:t>hange?</w:t>
      </w:r>
      <w:r w:rsidR="00931177" w:rsidRPr="00553DB5">
        <w:rPr>
          <w:i/>
        </w:rPr>
        <w:t xml:space="preserve"> </w:t>
      </w:r>
      <w:proofErr w:type="gramStart"/>
      <w:r w:rsidR="00931177" w:rsidRPr="00553DB5">
        <w:rPr>
          <w:i/>
        </w:rPr>
        <w:t>The role of identity and learning careers in adult e</w:t>
      </w:r>
      <w:r w:rsidR="009706E0" w:rsidRPr="00553DB5">
        <w:rPr>
          <w:i/>
        </w:rPr>
        <w:t>ducation</w:t>
      </w:r>
      <w:r w:rsidR="0000620B" w:rsidRPr="00543AFF">
        <w:t xml:space="preserve">, </w:t>
      </w:r>
      <w:r w:rsidR="0016602D" w:rsidRPr="00543AFF">
        <w:t>Frankfurt</w:t>
      </w:r>
      <w:r w:rsidR="0000620B" w:rsidRPr="00543AFF">
        <w:t>, pp.</w:t>
      </w:r>
      <w:r w:rsidR="0016602D" w:rsidRPr="00543AFF">
        <w:t>49—</w:t>
      </w:r>
      <w:r w:rsidR="009706E0" w:rsidRPr="00543AFF">
        <w:t>63.</w:t>
      </w:r>
      <w:proofErr w:type="gramEnd"/>
    </w:p>
    <w:p w:rsidR="009706E0" w:rsidRPr="00543AFF" w:rsidRDefault="009706E0" w:rsidP="00543AFF">
      <w:pPr>
        <w:pStyle w:val="References"/>
      </w:pPr>
      <w:r w:rsidRPr="00543AFF">
        <w:lastRenderedPageBreak/>
        <w:t>Welch, A</w:t>
      </w:r>
      <w:r w:rsidR="00510E36" w:rsidRPr="00543AFF">
        <w:t xml:space="preserve">, </w:t>
      </w:r>
      <w:proofErr w:type="spellStart"/>
      <w:r w:rsidR="00510E36" w:rsidRPr="00543AFF">
        <w:t>Helme</w:t>
      </w:r>
      <w:proofErr w:type="spellEnd"/>
      <w:r w:rsidR="00510E36" w:rsidRPr="00543AFF">
        <w:t>, S &amp; Lamb, S</w:t>
      </w:r>
      <w:r w:rsidR="00AB466B" w:rsidRPr="00543AFF">
        <w:t xml:space="preserve"> 2007,</w:t>
      </w:r>
      <w:r w:rsidRPr="00543AFF">
        <w:t xml:space="preserve"> </w:t>
      </w:r>
      <w:r w:rsidR="0000620B" w:rsidRPr="00543AFF">
        <w:t>‘</w:t>
      </w:r>
      <w:proofErr w:type="spellStart"/>
      <w:r w:rsidRPr="00543AFF">
        <w:t>Rural</w:t>
      </w:r>
      <w:r w:rsidR="0000620B" w:rsidRPr="00543AFF">
        <w:t>ity</w:t>
      </w:r>
      <w:proofErr w:type="spellEnd"/>
      <w:r w:rsidR="0000620B" w:rsidRPr="00543AFF">
        <w:t xml:space="preserve"> and inequality in education</w:t>
      </w:r>
      <w:r w:rsidR="0016602D" w:rsidRPr="00543AFF">
        <w:t xml:space="preserve">: the Australian experience’, in R </w:t>
      </w:r>
      <w:proofErr w:type="spellStart"/>
      <w:r w:rsidR="0016602D" w:rsidRPr="00543AFF">
        <w:t>Teese</w:t>
      </w:r>
      <w:proofErr w:type="spellEnd"/>
      <w:r w:rsidR="0016602D" w:rsidRPr="00543AFF">
        <w:t>, S Lamb</w:t>
      </w:r>
      <w:r w:rsidR="00512D9B" w:rsidRPr="00543AFF">
        <w:t xml:space="preserve"> </w:t>
      </w:r>
      <w:r w:rsidR="0016602D" w:rsidRPr="00543AFF">
        <w:t xml:space="preserve">&amp; M </w:t>
      </w:r>
      <w:proofErr w:type="spellStart"/>
      <w:r w:rsidR="0016602D" w:rsidRPr="00543AFF">
        <w:t>Duru-Bellat</w:t>
      </w:r>
      <w:proofErr w:type="spellEnd"/>
      <w:r w:rsidR="0016602D" w:rsidRPr="00543AFF">
        <w:t xml:space="preserve"> (</w:t>
      </w:r>
      <w:proofErr w:type="spellStart"/>
      <w:r w:rsidR="0016602D" w:rsidRPr="00543AFF">
        <w:t>eds</w:t>
      </w:r>
      <w:proofErr w:type="spellEnd"/>
      <w:r w:rsidR="00512D9B" w:rsidRPr="00543AFF">
        <w:t xml:space="preserve">), </w:t>
      </w:r>
      <w:r w:rsidR="00512D9B" w:rsidRPr="00553DB5">
        <w:rPr>
          <w:i/>
        </w:rPr>
        <w:t xml:space="preserve">International </w:t>
      </w:r>
      <w:r w:rsidR="0016602D" w:rsidRPr="00553DB5">
        <w:rPr>
          <w:i/>
        </w:rPr>
        <w:t>studies in educational inequality, theory and policy,</w:t>
      </w:r>
      <w:r w:rsidR="00553DB5">
        <w:t xml:space="preserve"> vol.</w:t>
      </w:r>
      <w:r w:rsidR="00512D9B" w:rsidRPr="00543AFF">
        <w:t xml:space="preserve">2: </w:t>
      </w:r>
      <w:r w:rsidR="00512D9B" w:rsidRPr="00553DB5">
        <w:rPr>
          <w:i/>
        </w:rPr>
        <w:t xml:space="preserve">Inequality </w:t>
      </w:r>
      <w:r w:rsidR="0016602D" w:rsidRPr="00553DB5">
        <w:rPr>
          <w:i/>
        </w:rPr>
        <w:t>in education systems</w:t>
      </w:r>
      <w:r w:rsidR="0016602D" w:rsidRPr="00543AFF">
        <w:t>, Springer, Dordrecht.</w:t>
      </w:r>
    </w:p>
    <w:p w:rsidR="001C2CB5" w:rsidRDefault="001C2CB5" w:rsidP="00157690">
      <w:pPr>
        <w:pStyle w:val="Text"/>
      </w:pPr>
    </w:p>
    <w:p w:rsidR="001C2CB5" w:rsidRDefault="001C2CB5" w:rsidP="00157690">
      <w:pPr>
        <w:pStyle w:val="Text"/>
      </w:pPr>
    </w:p>
    <w:p w:rsidR="0071544F" w:rsidRDefault="0071544F">
      <w:pPr>
        <w:spacing w:before="0" w:line="240" w:lineRule="auto"/>
        <w:rPr>
          <w:rFonts w:ascii="Tahoma" w:eastAsia="MS Gothic" w:hAnsi="Tahoma" w:cs="Tahoma"/>
          <w:color w:val="000000"/>
          <w:kern w:val="28"/>
          <w:sz w:val="56"/>
          <w:szCs w:val="56"/>
        </w:rPr>
      </w:pPr>
      <w:r>
        <w:br w:type="page"/>
      </w:r>
    </w:p>
    <w:p w:rsidR="00856DB5" w:rsidRDefault="00BE2695" w:rsidP="00856DB5">
      <w:pPr>
        <w:pStyle w:val="Heading1"/>
      </w:pPr>
      <w:bookmarkStart w:id="123" w:name="_Toc409079389"/>
      <w:r>
        <w:lastRenderedPageBreak/>
        <w:t>Appendix</w:t>
      </w:r>
      <w:bookmarkEnd w:id="123"/>
    </w:p>
    <w:p w:rsidR="00C11894" w:rsidRPr="00ED1A25" w:rsidRDefault="00C11894" w:rsidP="00C11894">
      <w:pPr>
        <w:pStyle w:val="tabletitle"/>
      </w:pPr>
      <w:bookmarkStart w:id="124" w:name="_Toc258143226"/>
      <w:bookmarkStart w:id="125" w:name="_Toc409079313"/>
      <w:r w:rsidRPr="00ED1A25">
        <w:t xml:space="preserve">Table </w:t>
      </w:r>
      <w:r w:rsidR="00541888">
        <w:t>A1</w:t>
      </w:r>
      <w:r w:rsidRPr="00ED1A25">
        <w:t xml:space="preserve"> </w:t>
      </w:r>
      <w:r w:rsidR="00B96C19">
        <w:tab/>
      </w:r>
      <w:r w:rsidRPr="00ED1A25">
        <w:t>Young people</w:t>
      </w:r>
      <w:r w:rsidR="00553DB5">
        <w:t>’s</w:t>
      </w:r>
      <w:r w:rsidRPr="00ED1A25">
        <w:t xml:space="preserve"> career aspirations and pathways summarised by career category, </w:t>
      </w:r>
      <w:r>
        <w:t>neighbo</w:t>
      </w:r>
      <w:r w:rsidR="0016602D">
        <w:t>u</w:t>
      </w:r>
      <w:r>
        <w:t>rhood</w:t>
      </w:r>
      <w:r w:rsidRPr="00ED1A25">
        <w:t xml:space="preserve"> and pathway</w:t>
      </w:r>
      <w:bookmarkEnd w:id="124"/>
      <w:bookmarkEnd w:id="1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1656"/>
        <w:gridCol w:w="925"/>
        <w:gridCol w:w="916"/>
        <w:gridCol w:w="991"/>
        <w:gridCol w:w="982"/>
        <w:gridCol w:w="716"/>
        <w:gridCol w:w="830"/>
        <w:gridCol w:w="1067"/>
      </w:tblGrid>
      <w:tr w:rsidR="00C11894" w:rsidRPr="00BA2740" w:rsidTr="00BA2740">
        <w:trPr>
          <w:trHeight w:val="500"/>
        </w:trPr>
        <w:tc>
          <w:tcPr>
            <w:tcW w:w="0" w:type="auto"/>
            <w:vMerge w:val="restart"/>
            <w:tcBorders>
              <w:left w:val="nil"/>
              <w:bottom w:val="nil"/>
              <w:right w:val="nil"/>
            </w:tcBorders>
            <w:shd w:val="clear" w:color="auto" w:fill="auto"/>
            <w:noWrap/>
          </w:tcPr>
          <w:p w:rsidR="00C11894" w:rsidRPr="00BA2740" w:rsidRDefault="00C11894" w:rsidP="00BA2740">
            <w:pPr>
              <w:pStyle w:val="Tablehead1"/>
            </w:pPr>
            <w:r w:rsidRPr="00BA2740">
              <w:t>Number</w:t>
            </w:r>
            <w:r w:rsidRPr="00BA2740">
              <w:rPr>
                <w:vertAlign w:val="superscript"/>
              </w:rPr>
              <w:t>1</w:t>
            </w:r>
          </w:p>
        </w:tc>
        <w:tc>
          <w:tcPr>
            <w:tcW w:w="0" w:type="auto"/>
            <w:vMerge w:val="restart"/>
            <w:tcBorders>
              <w:left w:val="nil"/>
              <w:bottom w:val="nil"/>
              <w:right w:val="nil"/>
            </w:tcBorders>
          </w:tcPr>
          <w:p w:rsidR="00C11894" w:rsidRPr="00BA2740" w:rsidRDefault="00C11894" w:rsidP="00BA2740">
            <w:pPr>
              <w:pStyle w:val="Tablehead1"/>
            </w:pPr>
            <w:r w:rsidRPr="00BA2740">
              <w:t>Career category</w:t>
            </w:r>
          </w:p>
        </w:tc>
        <w:tc>
          <w:tcPr>
            <w:tcW w:w="0" w:type="auto"/>
            <w:gridSpan w:val="4"/>
            <w:tcBorders>
              <w:left w:val="nil"/>
              <w:bottom w:val="nil"/>
              <w:right w:val="nil"/>
            </w:tcBorders>
          </w:tcPr>
          <w:p w:rsidR="00C11894" w:rsidRPr="00BA2740" w:rsidRDefault="00C11894" w:rsidP="00BA2740">
            <w:pPr>
              <w:pStyle w:val="Tablehead1"/>
              <w:jc w:val="center"/>
            </w:pPr>
            <w:r w:rsidRPr="00BA2740">
              <w:t>Research site</w:t>
            </w:r>
          </w:p>
        </w:tc>
        <w:tc>
          <w:tcPr>
            <w:tcW w:w="0" w:type="auto"/>
            <w:gridSpan w:val="3"/>
            <w:tcBorders>
              <w:left w:val="nil"/>
              <w:bottom w:val="nil"/>
              <w:right w:val="nil"/>
            </w:tcBorders>
          </w:tcPr>
          <w:p w:rsidR="00C11894" w:rsidRPr="00BA2740" w:rsidRDefault="00C11894" w:rsidP="00BA2740">
            <w:pPr>
              <w:pStyle w:val="Tablehead1"/>
              <w:jc w:val="center"/>
            </w:pPr>
            <w:r w:rsidRPr="00BA2740">
              <w:t>Proposed and actual pathway</w:t>
            </w:r>
          </w:p>
        </w:tc>
      </w:tr>
      <w:tr w:rsidR="00C11894" w:rsidRPr="00ED1A25">
        <w:trPr>
          <w:trHeight w:val="500"/>
        </w:trPr>
        <w:tc>
          <w:tcPr>
            <w:tcW w:w="0" w:type="auto"/>
            <w:vMerge/>
            <w:tcBorders>
              <w:top w:val="nil"/>
              <w:left w:val="nil"/>
              <w:bottom w:val="single" w:sz="4" w:space="0" w:color="auto"/>
              <w:right w:val="nil"/>
            </w:tcBorders>
            <w:shd w:val="clear" w:color="auto" w:fill="auto"/>
            <w:noWrap/>
            <w:vAlign w:val="center"/>
          </w:tcPr>
          <w:p w:rsidR="00C11894" w:rsidRPr="00ED1A25" w:rsidRDefault="00C11894" w:rsidP="008329D1">
            <w:pPr>
              <w:pStyle w:val="Tabletext"/>
            </w:pPr>
          </w:p>
        </w:tc>
        <w:tc>
          <w:tcPr>
            <w:tcW w:w="0" w:type="auto"/>
            <w:vMerge/>
            <w:tcBorders>
              <w:top w:val="nil"/>
              <w:left w:val="nil"/>
              <w:bottom w:val="single" w:sz="4" w:space="0" w:color="auto"/>
              <w:right w:val="nil"/>
            </w:tcBorders>
            <w:vAlign w:val="center"/>
          </w:tcPr>
          <w:p w:rsidR="00C11894" w:rsidRPr="00ED1A25" w:rsidRDefault="00C11894" w:rsidP="008329D1">
            <w:pPr>
              <w:pStyle w:val="Tabletext"/>
            </w:pPr>
          </w:p>
        </w:tc>
        <w:tc>
          <w:tcPr>
            <w:tcW w:w="0" w:type="auto"/>
            <w:tcBorders>
              <w:top w:val="nil"/>
              <w:left w:val="nil"/>
              <w:bottom w:val="single" w:sz="4" w:space="0" w:color="auto"/>
              <w:right w:val="nil"/>
            </w:tcBorders>
          </w:tcPr>
          <w:p w:rsidR="00C11894" w:rsidRPr="00ED1A25" w:rsidRDefault="00C11894" w:rsidP="008329D1">
            <w:pPr>
              <w:pStyle w:val="Tablehead2"/>
            </w:pPr>
            <w:r w:rsidRPr="00ED1A25">
              <w:t>E</w:t>
            </w:r>
            <w:r>
              <w:t>astshire</w:t>
            </w:r>
          </w:p>
        </w:tc>
        <w:tc>
          <w:tcPr>
            <w:tcW w:w="0" w:type="auto"/>
            <w:tcBorders>
              <w:top w:val="nil"/>
              <w:left w:val="nil"/>
              <w:bottom w:val="single" w:sz="4" w:space="0" w:color="auto"/>
              <w:right w:val="nil"/>
            </w:tcBorders>
          </w:tcPr>
          <w:p w:rsidR="00C11894" w:rsidRPr="00ED1A25" w:rsidRDefault="00C11894" w:rsidP="008329D1">
            <w:pPr>
              <w:pStyle w:val="Tablehead2"/>
            </w:pPr>
            <w:r>
              <w:t>Westvale</w:t>
            </w:r>
          </w:p>
        </w:tc>
        <w:tc>
          <w:tcPr>
            <w:tcW w:w="0" w:type="auto"/>
            <w:tcBorders>
              <w:top w:val="nil"/>
              <w:left w:val="nil"/>
              <w:bottom w:val="single" w:sz="4" w:space="0" w:color="auto"/>
              <w:right w:val="nil"/>
            </w:tcBorders>
          </w:tcPr>
          <w:p w:rsidR="00C11894" w:rsidRPr="00ED1A25" w:rsidRDefault="00C11894" w:rsidP="008329D1">
            <w:pPr>
              <w:pStyle w:val="Tablehead2"/>
            </w:pPr>
            <w:r>
              <w:t>Northtown</w:t>
            </w:r>
          </w:p>
        </w:tc>
        <w:tc>
          <w:tcPr>
            <w:tcW w:w="0" w:type="auto"/>
            <w:tcBorders>
              <w:top w:val="nil"/>
              <w:left w:val="nil"/>
              <w:bottom w:val="single" w:sz="4" w:space="0" w:color="auto"/>
              <w:right w:val="nil"/>
            </w:tcBorders>
          </w:tcPr>
          <w:p w:rsidR="00C11894" w:rsidRPr="00ED1A25" w:rsidRDefault="00C11894" w:rsidP="008329D1">
            <w:pPr>
              <w:pStyle w:val="Tablehead2"/>
            </w:pPr>
            <w:r>
              <w:t>Southland</w:t>
            </w:r>
          </w:p>
        </w:tc>
        <w:tc>
          <w:tcPr>
            <w:tcW w:w="0" w:type="auto"/>
            <w:tcBorders>
              <w:top w:val="nil"/>
              <w:left w:val="nil"/>
              <w:bottom w:val="single" w:sz="4" w:space="0" w:color="auto"/>
              <w:right w:val="nil"/>
            </w:tcBorders>
          </w:tcPr>
          <w:p w:rsidR="00C11894" w:rsidRPr="00ED1A25" w:rsidRDefault="00C11894" w:rsidP="008329D1">
            <w:pPr>
              <w:pStyle w:val="Tablehead2"/>
            </w:pPr>
            <w:r>
              <w:t>Uni</w:t>
            </w:r>
          </w:p>
        </w:tc>
        <w:tc>
          <w:tcPr>
            <w:tcW w:w="0" w:type="auto"/>
            <w:tcBorders>
              <w:top w:val="nil"/>
              <w:left w:val="nil"/>
              <w:bottom w:val="single" w:sz="4" w:space="0" w:color="auto"/>
              <w:right w:val="nil"/>
            </w:tcBorders>
          </w:tcPr>
          <w:p w:rsidR="00C11894" w:rsidRPr="00ED1A25" w:rsidRDefault="00C11894" w:rsidP="008329D1">
            <w:pPr>
              <w:pStyle w:val="Tablehead2"/>
            </w:pPr>
            <w:r w:rsidRPr="00ED1A25">
              <w:t>VET</w:t>
            </w:r>
          </w:p>
        </w:tc>
        <w:tc>
          <w:tcPr>
            <w:tcW w:w="0" w:type="auto"/>
            <w:tcBorders>
              <w:top w:val="nil"/>
              <w:left w:val="nil"/>
              <w:bottom w:val="single" w:sz="4" w:space="0" w:color="auto"/>
              <w:right w:val="nil"/>
            </w:tcBorders>
          </w:tcPr>
          <w:p w:rsidR="00C11894" w:rsidRPr="00ED1A25" w:rsidRDefault="00C11894" w:rsidP="008329D1">
            <w:pPr>
              <w:pStyle w:val="Tablehead2"/>
            </w:pPr>
            <w:r w:rsidRPr="00ED1A25">
              <w:t>Other</w:t>
            </w:r>
            <w:r>
              <w:rPr>
                <w:vertAlign w:val="superscript"/>
              </w:rPr>
              <w:t>2</w:t>
            </w:r>
          </w:p>
        </w:tc>
      </w:tr>
      <w:tr w:rsidR="00C11894" w:rsidRPr="00ED1A25">
        <w:trPr>
          <w:trHeight w:val="500"/>
        </w:trPr>
        <w:tc>
          <w:tcPr>
            <w:tcW w:w="0" w:type="auto"/>
            <w:tcBorders>
              <w:left w:val="nil"/>
              <w:bottom w:val="nil"/>
              <w:right w:val="nil"/>
            </w:tcBorders>
            <w:shd w:val="clear" w:color="auto" w:fill="auto"/>
            <w:noWrap/>
            <w:vAlign w:val="center"/>
          </w:tcPr>
          <w:p w:rsidR="00C11894" w:rsidRPr="00ED1A25" w:rsidRDefault="00C11894" w:rsidP="00BA2740">
            <w:pPr>
              <w:pStyle w:val="Tabletext"/>
              <w:tabs>
                <w:tab w:val="decimal" w:pos="180"/>
              </w:tabs>
            </w:pPr>
            <w:r w:rsidRPr="00ED1A25">
              <w:t>14</w:t>
            </w:r>
          </w:p>
        </w:tc>
        <w:tc>
          <w:tcPr>
            <w:tcW w:w="0" w:type="auto"/>
            <w:tcBorders>
              <w:left w:val="nil"/>
              <w:bottom w:val="nil"/>
              <w:right w:val="nil"/>
            </w:tcBorders>
            <w:vAlign w:val="center"/>
          </w:tcPr>
          <w:p w:rsidR="00C11894" w:rsidRPr="00ED1A25" w:rsidRDefault="00C11894" w:rsidP="008329D1">
            <w:pPr>
              <w:pStyle w:val="Tabletext"/>
            </w:pPr>
            <w:bookmarkStart w:id="126" w:name="RANGE!I1:I12"/>
            <w:r>
              <w:t>Community</w:t>
            </w:r>
            <w:r w:rsidRPr="00ED1A25">
              <w:t xml:space="preserve"> services</w:t>
            </w:r>
            <w:bookmarkEnd w:id="126"/>
          </w:p>
        </w:tc>
        <w:tc>
          <w:tcPr>
            <w:tcW w:w="0" w:type="auto"/>
            <w:tcBorders>
              <w:left w:val="nil"/>
              <w:bottom w:val="nil"/>
              <w:right w:val="nil"/>
            </w:tcBorders>
          </w:tcPr>
          <w:p w:rsidR="00C11894" w:rsidRPr="00ED1A25" w:rsidRDefault="00C11894" w:rsidP="00D21B79">
            <w:pPr>
              <w:pStyle w:val="Tabletext"/>
              <w:jc w:val="center"/>
            </w:pPr>
            <w:r w:rsidRPr="00ED1A25">
              <w:t>2</w:t>
            </w:r>
          </w:p>
        </w:tc>
        <w:tc>
          <w:tcPr>
            <w:tcW w:w="0" w:type="auto"/>
            <w:tcBorders>
              <w:left w:val="nil"/>
              <w:bottom w:val="nil"/>
              <w:right w:val="nil"/>
            </w:tcBorders>
          </w:tcPr>
          <w:p w:rsidR="00C11894" w:rsidRPr="00ED1A25" w:rsidRDefault="00C11894" w:rsidP="00D21B79">
            <w:pPr>
              <w:pStyle w:val="Tabletext"/>
              <w:jc w:val="center"/>
            </w:pPr>
            <w:r w:rsidRPr="00ED1A25">
              <w:t>5</w:t>
            </w:r>
          </w:p>
        </w:tc>
        <w:tc>
          <w:tcPr>
            <w:tcW w:w="0" w:type="auto"/>
            <w:tcBorders>
              <w:left w:val="nil"/>
              <w:bottom w:val="nil"/>
              <w:right w:val="nil"/>
            </w:tcBorders>
          </w:tcPr>
          <w:p w:rsidR="00C11894" w:rsidRPr="00ED1A25" w:rsidRDefault="00C11894" w:rsidP="00D21B79">
            <w:pPr>
              <w:pStyle w:val="Tabletext"/>
              <w:jc w:val="center"/>
            </w:pPr>
            <w:r w:rsidRPr="00ED1A25">
              <w:t>2</w:t>
            </w:r>
          </w:p>
        </w:tc>
        <w:tc>
          <w:tcPr>
            <w:tcW w:w="0" w:type="auto"/>
            <w:tcBorders>
              <w:left w:val="nil"/>
              <w:bottom w:val="nil"/>
              <w:right w:val="nil"/>
            </w:tcBorders>
          </w:tcPr>
          <w:p w:rsidR="00C11894" w:rsidRPr="00ED1A25" w:rsidRDefault="00C11894" w:rsidP="00D21B79">
            <w:pPr>
              <w:pStyle w:val="Tabletext"/>
              <w:jc w:val="center"/>
            </w:pPr>
            <w:r w:rsidRPr="00ED1A25">
              <w:t>5</w:t>
            </w:r>
          </w:p>
        </w:tc>
        <w:tc>
          <w:tcPr>
            <w:tcW w:w="0" w:type="auto"/>
            <w:tcBorders>
              <w:left w:val="nil"/>
              <w:bottom w:val="nil"/>
              <w:right w:val="nil"/>
            </w:tcBorders>
          </w:tcPr>
          <w:p w:rsidR="00C11894" w:rsidRPr="00ED1A25" w:rsidRDefault="00C11894" w:rsidP="00D21B79">
            <w:pPr>
              <w:pStyle w:val="Tabletext"/>
              <w:jc w:val="center"/>
            </w:pPr>
            <w:r w:rsidRPr="00ED1A25">
              <w:t>1</w:t>
            </w:r>
          </w:p>
        </w:tc>
        <w:tc>
          <w:tcPr>
            <w:tcW w:w="0" w:type="auto"/>
            <w:tcBorders>
              <w:left w:val="nil"/>
              <w:bottom w:val="nil"/>
              <w:right w:val="nil"/>
            </w:tcBorders>
          </w:tcPr>
          <w:p w:rsidR="00C11894" w:rsidRPr="00ED1A25" w:rsidRDefault="00C11894" w:rsidP="00D21B79">
            <w:pPr>
              <w:pStyle w:val="Tabletext"/>
              <w:tabs>
                <w:tab w:val="decimal" w:pos="264"/>
              </w:tabs>
            </w:pPr>
            <w:r w:rsidRPr="00ED1A25">
              <w:t>12</w:t>
            </w:r>
          </w:p>
        </w:tc>
        <w:tc>
          <w:tcPr>
            <w:tcW w:w="0" w:type="auto"/>
            <w:tcBorders>
              <w:left w:val="nil"/>
              <w:bottom w:val="nil"/>
              <w:right w:val="nil"/>
            </w:tcBorders>
          </w:tcPr>
          <w:p w:rsidR="00C11894" w:rsidRPr="00ED1A25" w:rsidRDefault="00C11894" w:rsidP="008329D1">
            <w:pPr>
              <w:pStyle w:val="Tabletext"/>
            </w:pPr>
          </w:p>
        </w:tc>
        <w:bookmarkStart w:id="127" w:name="RANGE!I1:I11"/>
        <w:bookmarkEnd w:id="127"/>
      </w:tr>
      <w:tr w:rsidR="00C11894" w:rsidRPr="00ED1A25">
        <w:trPr>
          <w:trHeight w:val="320"/>
        </w:trPr>
        <w:tc>
          <w:tcPr>
            <w:tcW w:w="0" w:type="auto"/>
            <w:tcBorders>
              <w:top w:val="nil"/>
              <w:left w:val="nil"/>
              <w:bottom w:val="nil"/>
              <w:right w:val="nil"/>
            </w:tcBorders>
            <w:shd w:val="clear" w:color="auto" w:fill="auto"/>
            <w:noWrap/>
            <w:vAlign w:val="center"/>
          </w:tcPr>
          <w:p w:rsidR="00C11894" w:rsidRPr="00ED1A25" w:rsidRDefault="00C11894" w:rsidP="00BA2740">
            <w:pPr>
              <w:pStyle w:val="Tabletext"/>
              <w:tabs>
                <w:tab w:val="decimal" w:pos="180"/>
              </w:tabs>
            </w:pPr>
            <w:r w:rsidRPr="00ED1A25">
              <w:t>9</w:t>
            </w:r>
          </w:p>
        </w:tc>
        <w:tc>
          <w:tcPr>
            <w:tcW w:w="0" w:type="auto"/>
            <w:tcBorders>
              <w:top w:val="nil"/>
              <w:left w:val="nil"/>
              <w:bottom w:val="nil"/>
              <w:right w:val="nil"/>
            </w:tcBorders>
            <w:vAlign w:val="center"/>
          </w:tcPr>
          <w:p w:rsidR="00C11894" w:rsidRPr="00ED1A25" w:rsidRDefault="00C11894" w:rsidP="008329D1">
            <w:pPr>
              <w:pStyle w:val="Tabletext"/>
            </w:pPr>
            <w:r w:rsidRPr="00ED1A25">
              <w:t>Trade</w:t>
            </w:r>
          </w:p>
        </w:tc>
        <w:tc>
          <w:tcPr>
            <w:tcW w:w="0" w:type="auto"/>
            <w:tcBorders>
              <w:top w:val="nil"/>
              <w:left w:val="nil"/>
              <w:bottom w:val="nil"/>
              <w:right w:val="nil"/>
            </w:tcBorders>
          </w:tcPr>
          <w:p w:rsidR="00C11894" w:rsidRPr="00ED1A25" w:rsidRDefault="00C11894" w:rsidP="00D21B79">
            <w:pPr>
              <w:pStyle w:val="Tabletext"/>
              <w:jc w:val="center"/>
            </w:pPr>
            <w:r w:rsidRPr="00ED1A25">
              <w:t>1</w:t>
            </w:r>
          </w:p>
        </w:tc>
        <w:tc>
          <w:tcPr>
            <w:tcW w:w="0" w:type="auto"/>
            <w:tcBorders>
              <w:top w:val="nil"/>
              <w:left w:val="nil"/>
              <w:bottom w:val="nil"/>
              <w:right w:val="nil"/>
            </w:tcBorders>
          </w:tcPr>
          <w:p w:rsidR="00C11894" w:rsidRPr="00ED1A25" w:rsidRDefault="00C11894" w:rsidP="00D21B79">
            <w:pPr>
              <w:pStyle w:val="Tabletext"/>
              <w:jc w:val="center"/>
            </w:pPr>
            <w:r w:rsidRPr="00ED1A25">
              <w:t>5</w:t>
            </w:r>
          </w:p>
        </w:tc>
        <w:tc>
          <w:tcPr>
            <w:tcW w:w="0" w:type="auto"/>
            <w:tcBorders>
              <w:top w:val="nil"/>
              <w:left w:val="nil"/>
              <w:bottom w:val="nil"/>
              <w:right w:val="nil"/>
            </w:tcBorders>
          </w:tcPr>
          <w:p w:rsidR="00C11894" w:rsidRPr="00ED1A25" w:rsidRDefault="00C11894" w:rsidP="00D21B79">
            <w:pPr>
              <w:pStyle w:val="Tabletext"/>
              <w:jc w:val="center"/>
            </w:pPr>
            <w:r w:rsidRPr="00ED1A25">
              <w:t>1</w:t>
            </w:r>
          </w:p>
        </w:tc>
        <w:tc>
          <w:tcPr>
            <w:tcW w:w="0" w:type="auto"/>
            <w:tcBorders>
              <w:top w:val="nil"/>
              <w:left w:val="nil"/>
              <w:bottom w:val="nil"/>
              <w:right w:val="nil"/>
            </w:tcBorders>
          </w:tcPr>
          <w:p w:rsidR="00C11894" w:rsidRPr="00ED1A25" w:rsidRDefault="00C11894" w:rsidP="00D21B79">
            <w:pPr>
              <w:pStyle w:val="Tabletext"/>
              <w:jc w:val="center"/>
            </w:pPr>
            <w:r w:rsidRPr="00ED1A25">
              <w:t>2</w:t>
            </w:r>
          </w:p>
        </w:tc>
        <w:tc>
          <w:tcPr>
            <w:tcW w:w="0" w:type="auto"/>
            <w:tcBorders>
              <w:top w:val="nil"/>
              <w:left w:val="nil"/>
              <w:bottom w:val="nil"/>
              <w:right w:val="nil"/>
            </w:tcBorders>
          </w:tcPr>
          <w:p w:rsidR="00C11894" w:rsidRPr="00ED1A25" w:rsidRDefault="00C11894" w:rsidP="00D21B79">
            <w:pPr>
              <w:pStyle w:val="Tabletext"/>
              <w:jc w:val="center"/>
            </w:pPr>
          </w:p>
        </w:tc>
        <w:tc>
          <w:tcPr>
            <w:tcW w:w="0" w:type="auto"/>
            <w:tcBorders>
              <w:top w:val="nil"/>
              <w:left w:val="nil"/>
              <w:bottom w:val="nil"/>
              <w:right w:val="nil"/>
            </w:tcBorders>
          </w:tcPr>
          <w:p w:rsidR="00C11894" w:rsidRPr="00ED1A25" w:rsidRDefault="00C11894" w:rsidP="00D21B79">
            <w:pPr>
              <w:pStyle w:val="Tabletext"/>
              <w:tabs>
                <w:tab w:val="decimal" w:pos="264"/>
              </w:tabs>
            </w:pPr>
            <w:r w:rsidRPr="00ED1A25">
              <w:t>9</w:t>
            </w:r>
          </w:p>
        </w:tc>
        <w:tc>
          <w:tcPr>
            <w:tcW w:w="0" w:type="auto"/>
            <w:tcBorders>
              <w:top w:val="nil"/>
              <w:left w:val="nil"/>
              <w:bottom w:val="nil"/>
              <w:right w:val="nil"/>
            </w:tcBorders>
          </w:tcPr>
          <w:p w:rsidR="00C11894" w:rsidRPr="00ED1A25" w:rsidRDefault="00C11894" w:rsidP="008329D1">
            <w:pPr>
              <w:pStyle w:val="Tabletext"/>
            </w:pPr>
          </w:p>
        </w:tc>
      </w:tr>
      <w:tr w:rsidR="00C11894" w:rsidRPr="00ED1A25">
        <w:trPr>
          <w:trHeight w:val="320"/>
        </w:trPr>
        <w:tc>
          <w:tcPr>
            <w:tcW w:w="0" w:type="auto"/>
            <w:tcBorders>
              <w:top w:val="nil"/>
              <w:left w:val="nil"/>
              <w:bottom w:val="nil"/>
              <w:right w:val="nil"/>
            </w:tcBorders>
            <w:shd w:val="clear" w:color="auto" w:fill="auto"/>
            <w:noWrap/>
            <w:vAlign w:val="center"/>
          </w:tcPr>
          <w:p w:rsidR="00C11894" w:rsidRPr="00ED1A25" w:rsidRDefault="00C11894" w:rsidP="00BA2740">
            <w:pPr>
              <w:pStyle w:val="Tabletext"/>
              <w:tabs>
                <w:tab w:val="decimal" w:pos="180"/>
              </w:tabs>
            </w:pPr>
            <w:r w:rsidRPr="00ED1A25">
              <w:t>8</w:t>
            </w:r>
          </w:p>
        </w:tc>
        <w:tc>
          <w:tcPr>
            <w:tcW w:w="0" w:type="auto"/>
            <w:tcBorders>
              <w:top w:val="nil"/>
              <w:left w:val="nil"/>
              <w:bottom w:val="nil"/>
              <w:right w:val="nil"/>
            </w:tcBorders>
            <w:vAlign w:val="center"/>
          </w:tcPr>
          <w:p w:rsidR="00C11894" w:rsidRPr="00ED1A25" w:rsidRDefault="00C11894" w:rsidP="008329D1">
            <w:pPr>
              <w:pStyle w:val="Tabletext"/>
            </w:pPr>
            <w:r w:rsidRPr="00ED1A25">
              <w:t>Health</w:t>
            </w:r>
          </w:p>
        </w:tc>
        <w:tc>
          <w:tcPr>
            <w:tcW w:w="0" w:type="auto"/>
            <w:tcBorders>
              <w:top w:val="nil"/>
              <w:left w:val="nil"/>
              <w:bottom w:val="nil"/>
              <w:right w:val="nil"/>
            </w:tcBorders>
          </w:tcPr>
          <w:p w:rsidR="00C11894" w:rsidRPr="00ED1A25" w:rsidRDefault="00C11894" w:rsidP="00D21B79">
            <w:pPr>
              <w:pStyle w:val="Tabletext"/>
              <w:jc w:val="center"/>
            </w:pPr>
            <w:r>
              <w:t>2</w:t>
            </w:r>
          </w:p>
        </w:tc>
        <w:tc>
          <w:tcPr>
            <w:tcW w:w="0" w:type="auto"/>
            <w:tcBorders>
              <w:top w:val="nil"/>
              <w:left w:val="nil"/>
              <w:bottom w:val="nil"/>
              <w:right w:val="nil"/>
            </w:tcBorders>
          </w:tcPr>
          <w:p w:rsidR="00C11894" w:rsidRPr="00ED1A25" w:rsidRDefault="00C11894" w:rsidP="00D21B79">
            <w:pPr>
              <w:pStyle w:val="Tabletext"/>
              <w:jc w:val="center"/>
            </w:pPr>
            <w:r w:rsidRPr="00ED1A25">
              <w:t>1</w:t>
            </w:r>
          </w:p>
        </w:tc>
        <w:tc>
          <w:tcPr>
            <w:tcW w:w="0" w:type="auto"/>
            <w:tcBorders>
              <w:top w:val="nil"/>
              <w:left w:val="nil"/>
              <w:bottom w:val="nil"/>
              <w:right w:val="nil"/>
            </w:tcBorders>
          </w:tcPr>
          <w:p w:rsidR="00C11894" w:rsidRPr="00ED1A25" w:rsidRDefault="00C11894" w:rsidP="00D21B79">
            <w:pPr>
              <w:pStyle w:val="Tabletext"/>
              <w:jc w:val="center"/>
            </w:pPr>
            <w:r w:rsidRPr="00ED1A25">
              <w:t>4</w:t>
            </w:r>
          </w:p>
        </w:tc>
        <w:tc>
          <w:tcPr>
            <w:tcW w:w="0" w:type="auto"/>
            <w:tcBorders>
              <w:top w:val="nil"/>
              <w:left w:val="nil"/>
              <w:bottom w:val="nil"/>
              <w:right w:val="nil"/>
            </w:tcBorders>
          </w:tcPr>
          <w:p w:rsidR="00C11894" w:rsidRPr="00ED1A25" w:rsidRDefault="00C11894" w:rsidP="00D21B79">
            <w:pPr>
              <w:pStyle w:val="Tabletext"/>
              <w:jc w:val="center"/>
            </w:pPr>
            <w:r w:rsidRPr="00ED1A25">
              <w:t>1</w:t>
            </w:r>
          </w:p>
        </w:tc>
        <w:tc>
          <w:tcPr>
            <w:tcW w:w="0" w:type="auto"/>
            <w:tcBorders>
              <w:top w:val="nil"/>
              <w:left w:val="nil"/>
              <w:bottom w:val="nil"/>
              <w:right w:val="nil"/>
            </w:tcBorders>
          </w:tcPr>
          <w:p w:rsidR="00C11894" w:rsidRPr="00ED1A25" w:rsidRDefault="00C11894" w:rsidP="00D21B79">
            <w:pPr>
              <w:pStyle w:val="Tabletext"/>
              <w:jc w:val="center"/>
            </w:pPr>
          </w:p>
        </w:tc>
        <w:tc>
          <w:tcPr>
            <w:tcW w:w="0" w:type="auto"/>
            <w:tcBorders>
              <w:top w:val="nil"/>
              <w:left w:val="nil"/>
              <w:bottom w:val="nil"/>
              <w:right w:val="nil"/>
            </w:tcBorders>
          </w:tcPr>
          <w:p w:rsidR="00C11894" w:rsidRPr="00ED1A25" w:rsidRDefault="00C11894" w:rsidP="00D21B79">
            <w:pPr>
              <w:pStyle w:val="Tabletext"/>
              <w:tabs>
                <w:tab w:val="decimal" w:pos="264"/>
              </w:tabs>
            </w:pPr>
          </w:p>
        </w:tc>
        <w:tc>
          <w:tcPr>
            <w:tcW w:w="0" w:type="auto"/>
            <w:tcBorders>
              <w:top w:val="nil"/>
              <w:left w:val="nil"/>
              <w:bottom w:val="nil"/>
              <w:right w:val="nil"/>
            </w:tcBorders>
          </w:tcPr>
          <w:p w:rsidR="00C11894" w:rsidRPr="00ED1A25" w:rsidRDefault="00C11894" w:rsidP="00D21B79">
            <w:pPr>
              <w:pStyle w:val="Tabletext"/>
              <w:jc w:val="center"/>
            </w:pPr>
          </w:p>
        </w:tc>
      </w:tr>
      <w:tr w:rsidR="00C11894" w:rsidRPr="00ED1A25">
        <w:trPr>
          <w:trHeight w:val="320"/>
        </w:trPr>
        <w:tc>
          <w:tcPr>
            <w:tcW w:w="0" w:type="auto"/>
            <w:tcBorders>
              <w:top w:val="nil"/>
              <w:left w:val="nil"/>
              <w:bottom w:val="nil"/>
              <w:right w:val="nil"/>
            </w:tcBorders>
            <w:shd w:val="clear" w:color="auto" w:fill="auto"/>
            <w:noWrap/>
            <w:vAlign w:val="center"/>
          </w:tcPr>
          <w:p w:rsidR="00C11894" w:rsidRPr="00ED1A25" w:rsidRDefault="00C11894" w:rsidP="00BA2740">
            <w:pPr>
              <w:pStyle w:val="Tabletext"/>
              <w:tabs>
                <w:tab w:val="decimal" w:pos="180"/>
              </w:tabs>
            </w:pPr>
            <w:r w:rsidRPr="00ED1A25">
              <w:t>6</w:t>
            </w:r>
          </w:p>
        </w:tc>
        <w:tc>
          <w:tcPr>
            <w:tcW w:w="0" w:type="auto"/>
            <w:tcBorders>
              <w:top w:val="nil"/>
              <w:left w:val="nil"/>
              <w:bottom w:val="nil"/>
              <w:right w:val="nil"/>
            </w:tcBorders>
            <w:vAlign w:val="center"/>
          </w:tcPr>
          <w:p w:rsidR="00C11894" w:rsidRPr="00ED1A25" w:rsidRDefault="00C11894" w:rsidP="008329D1">
            <w:pPr>
              <w:pStyle w:val="Tabletext"/>
            </w:pPr>
            <w:r w:rsidRPr="00ED1A25">
              <w:t>Teaching</w:t>
            </w:r>
          </w:p>
        </w:tc>
        <w:tc>
          <w:tcPr>
            <w:tcW w:w="0" w:type="auto"/>
            <w:tcBorders>
              <w:top w:val="nil"/>
              <w:left w:val="nil"/>
              <w:bottom w:val="nil"/>
              <w:right w:val="nil"/>
            </w:tcBorders>
          </w:tcPr>
          <w:p w:rsidR="00C11894" w:rsidRPr="00ED1A25" w:rsidRDefault="00C11894" w:rsidP="00D21B79">
            <w:pPr>
              <w:pStyle w:val="Tabletext"/>
              <w:jc w:val="center"/>
            </w:pPr>
            <w:r>
              <w:t>2</w:t>
            </w:r>
          </w:p>
        </w:tc>
        <w:tc>
          <w:tcPr>
            <w:tcW w:w="0" w:type="auto"/>
            <w:tcBorders>
              <w:top w:val="nil"/>
              <w:left w:val="nil"/>
              <w:bottom w:val="nil"/>
              <w:right w:val="nil"/>
            </w:tcBorders>
          </w:tcPr>
          <w:p w:rsidR="00C11894" w:rsidRPr="00ED1A25" w:rsidRDefault="00C11894" w:rsidP="00D21B79">
            <w:pPr>
              <w:pStyle w:val="Tabletext"/>
              <w:jc w:val="center"/>
            </w:pPr>
            <w:r w:rsidRPr="00ED1A25">
              <w:t>3</w:t>
            </w:r>
          </w:p>
        </w:tc>
        <w:tc>
          <w:tcPr>
            <w:tcW w:w="0" w:type="auto"/>
            <w:tcBorders>
              <w:top w:val="nil"/>
              <w:left w:val="nil"/>
              <w:bottom w:val="nil"/>
              <w:right w:val="nil"/>
            </w:tcBorders>
          </w:tcPr>
          <w:p w:rsidR="00C11894" w:rsidRPr="00ED1A25" w:rsidRDefault="00C11894" w:rsidP="00D21B79">
            <w:pPr>
              <w:pStyle w:val="Tabletext"/>
              <w:jc w:val="center"/>
            </w:pPr>
            <w:r w:rsidRPr="00ED1A25">
              <w:t>1</w:t>
            </w:r>
          </w:p>
        </w:tc>
        <w:tc>
          <w:tcPr>
            <w:tcW w:w="0" w:type="auto"/>
            <w:tcBorders>
              <w:top w:val="nil"/>
              <w:left w:val="nil"/>
              <w:bottom w:val="nil"/>
              <w:right w:val="nil"/>
            </w:tcBorders>
          </w:tcPr>
          <w:p w:rsidR="00C11894" w:rsidRPr="00ED1A25" w:rsidRDefault="00C11894" w:rsidP="00D21B79">
            <w:pPr>
              <w:pStyle w:val="Tabletext"/>
              <w:jc w:val="center"/>
            </w:pPr>
          </w:p>
        </w:tc>
        <w:tc>
          <w:tcPr>
            <w:tcW w:w="0" w:type="auto"/>
            <w:tcBorders>
              <w:top w:val="nil"/>
              <w:left w:val="nil"/>
              <w:bottom w:val="nil"/>
              <w:right w:val="nil"/>
            </w:tcBorders>
          </w:tcPr>
          <w:p w:rsidR="00C11894" w:rsidRPr="00ED1A25" w:rsidRDefault="00C11894" w:rsidP="00D21B79">
            <w:pPr>
              <w:pStyle w:val="Tabletext"/>
              <w:jc w:val="center"/>
            </w:pPr>
            <w:r w:rsidRPr="00ED1A25">
              <w:t>5</w:t>
            </w:r>
          </w:p>
        </w:tc>
        <w:tc>
          <w:tcPr>
            <w:tcW w:w="0" w:type="auto"/>
            <w:tcBorders>
              <w:top w:val="nil"/>
              <w:left w:val="nil"/>
              <w:bottom w:val="nil"/>
              <w:right w:val="nil"/>
            </w:tcBorders>
          </w:tcPr>
          <w:p w:rsidR="00C11894" w:rsidRPr="00ED1A25" w:rsidRDefault="00C11894" w:rsidP="00D21B79">
            <w:pPr>
              <w:pStyle w:val="Tabletext"/>
              <w:tabs>
                <w:tab w:val="decimal" w:pos="264"/>
              </w:tabs>
            </w:pPr>
          </w:p>
        </w:tc>
        <w:tc>
          <w:tcPr>
            <w:tcW w:w="0" w:type="auto"/>
            <w:tcBorders>
              <w:top w:val="nil"/>
              <w:left w:val="nil"/>
              <w:bottom w:val="nil"/>
              <w:right w:val="nil"/>
            </w:tcBorders>
          </w:tcPr>
          <w:p w:rsidR="00C11894" w:rsidRPr="00ED1A25" w:rsidRDefault="00C11894" w:rsidP="00D21B79">
            <w:pPr>
              <w:pStyle w:val="Tabletext"/>
              <w:jc w:val="center"/>
            </w:pPr>
            <w:r w:rsidRPr="00ED1A25">
              <w:t>1</w:t>
            </w:r>
          </w:p>
        </w:tc>
      </w:tr>
      <w:tr w:rsidR="00C11894" w:rsidRPr="00ED1A25">
        <w:trPr>
          <w:trHeight w:val="320"/>
        </w:trPr>
        <w:tc>
          <w:tcPr>
            <w:tcW w:w="0" w:type="auto"/>
            <w:tcBorders>
              <w:top w:val="nil"/>
              <w:left w:val="nil"/>
              <w:bottom w:val="nil"/>
              <w:right w:val="nil"/>
            </w:tcBorders>
            <w:shd w:val="clear" w:color="auto" w:fill="auto"/>
            <w:noWrap/>
            <w:vAlign w:val="center"/>
          </w:tcPr>
          <w:p w:rsidR="00C11894" w:rsidRPr="00ED1A25" w:rsidRDefault="00C11894" w:rsidP="00BA2740">
            <w:pPr>
              <w:pStyle w:val="Tabletext"/>
              <w:tabs>
                <w:tab w:val="decimal" w:pos="180"/>
              </w:tabs>
            </w:pPr>
            <w:r w:rsidRPr="00ED1A25">
              <w:t>6</w:t>
            </w:r>
          </w:p>
        </w:tc>
        <w:tc>
          <w:tcPr>
            <w:tcW w:w="0" w:type="auto"/>
            <w:tcBorders>
              <w:top w:val="nil"/>
              <w:left w:val="nil"/>
              <w:bottom w:val="nil"/>
              <w:right w:val="nil"/>
            </w:tcBorders>
            <w:vAlign w:val="center"/>
          </w:tcPr>
          <w:p w:rsidR="00C11894" w:rsidRPr="00ED1A25" w:rsidRDefault="00C11894" w:rsidP="008329D1">
            <w:pPr>
              <w:pStyle w:val="Tabletext"/>
            </w:pPr>
            <w:r w:rsidRPr="00ED1A25">
              <w:t>Small business</w:t>
            </w:r>
          </w:p>
        </w:tc>
        <w:tc>
          <w:tcPr>
            <w:tcW w:w="0" w:type="auto"/>
            <w:tcBorders>
              <w:top w:val="nil"/>
              <w:left w:val="nil"/>
              <w:bottom w:val="nil"/>
              <w:right w:val="nil"/>
            </w:tcBorders>
          </w:tcPr>
          <w:p w:rsidR="00C11894" w:rsidRPr="00ED1A25" w:rsidRDefault="00C11894" w:rsidP="00D21B79">
            <w:pPr>
              <w:pStyle w:val="Tabletext"/>
              <w:jc w:val="center"/>
            </w:pPr>
            <w:r w:rsidRPr="00ED1A25">
              <w:t>1</w:t>
            </w:r>
          </w:p>
        </w:tc>
        <w:tc>
          <w:tcPr>
            <w:tcW w:w="0" w:type="auto"/>
            <w:tcBorders>
              <w:top w:val="nil"/>
              <w:left w:val="nil"/>
              <w:bottom w:val="nil"/>
              <w:right w:val="nil"/>
            </w:tcBorders>
          </w:tcPr>
          <w:p w:rsidR="00C11894" w:rsidRPr="00ED1A25" w:rsidRDefault="00C11894" w:rsidP="00D21B79">
            <w:pPr>
              <w:pStyle w:val="Tabletext"/>
              <w:jc w:val="center"/>
            </w:pPr>
          </w:p>
        </w:tc>
        <w:tc>
          <w:tcPr>
            <w:tcW w:w="0" w:type="auto"/>
            <w:tcBorders>
              <w:top w:val="nil"/>
              <w:left w:val="nil"/>
              <w:bottom w:val="nil"/>
              <w:right w:val="nil"/>
            </w:tcBorders>
          </w:tcPr>
          <w:p w:rsidR="00C11894" w:rsidRPr="00ED1A25" w:rsidRDefault="00C11894" w:rsidP="00D21B79">
            <w:pPr>
              <w:pStyle w:val="Tabletext"/>
              <w:jc w:val="center"/>
            </w:pPr>
            <w:r w:rsidRPr="00ED1A25">
              <w:t>3</w:t>
            </w:r>
          </w:p>
        </w:tc>
        <w:tc>
          <w:tcPr>
            <w:tcW w:w="0" w:type="auto"/>
            <w:tcBorders>
              <w:top w:val="nil"/>
              <w:left w:val="nil"/>
              <w:bottom w:val="nil"/>
              <w:right w:val="nil"/>
            </w:tcBorders>
          </w:tcPr>
          <w:p w:rsidR="00C11894" w:rsidRPr="00ED1A25" w:rsidRDefault="00C11894" w:rsidP="00D21B79">
            <w:pPr>
              <w:pStyle w:val="Tabletext"/>
              <w:jc w:val="center"/>
            </w:pPr>
            <w:r w:rsidRPr="00ED1A25">
              <w:t>2</w:t>
            </w:r>
          </w:p>
        </w:tc>
        <w:tc>
          <w:tcPr>
            <w:tcW w:w="0" w:type="auto"/>
            <w:tcBorders>
              <w:top w:val="nil"/>
              <w:left w:val="nil"/>
              <w:bottom w:val="nil"/>
              <w:right w:val="nil"/>
            </w:tcBorders>
          </w:tcPr>
          <w:p w:rsidR="00C11894" w:rsidRPr="00ED1A25" w:rsidRDefault="00C11894" w:rsidP="00D21B79">
            <w:pPr>
              <w:pStyle w:val="Tabletext"/>
              <w:jc w:val="center"/>
            </w:pPr>
            <w:r w:rsidRPr="00ED1A25">
              <w:t>1</w:t>
            </w:r>
          </w:p>
        </w:tc>
        <w:tc>
          <w:tcPr>
            <w:tcW w:w="0" w:type="auto"/>
            <w:tcBorders>
              <w:top w:val="nil"/>
              <w:left w:val="nil"/>
              <w:bottom w:val="nil"/>
              <w:right w:val="nil"/>
            </w:tcBorders>
          </w:tcPr>
          <w:p w:rsidR="00C11894" w:rsidRPr="00ED1A25" w:rsidRDefault="00C11894" w:rsidP="00D21B79">
            <w:pPr>
              <w:pStyle w:val="Tabletext"/>
              <w:tabs>
                <w:tab w:val="decimal" w:pos="264"/>
              </w:tabs>
            </w:pPr>
            <w:r w:rsidRPr="00ED1A25">
              <w:t>4</w:t>
            </w:r>
          </w:p>
        </w:tc>
        <w:tc>
          <w:tcPr>
            <w:tcW w:w="0" w:type="auto"/>
            <w:tcBorders>
              <w:top w:val="nil"/>
              <w:left w:val="nil"/>
              <w:bottom w:val="nil"/>
              <w:right w:val="nil"/>
            </w:tcBorders>
          </w:tcPr>
          <w:p w:rsidR="00C11894" w:rsidRPr="00ED1A25" w:rsidRDefault="00C11894" w:rsidP="00D21B79">
            <w:pPr>
              <w:pStyle w:val="Tabletext"/>
              <w:jc w:val="center"/>
            </w:pPr>
            <w:r w:rsidRPr="00ED1A25">
              <w:t>1</w:t>
            </w:r>
          </w:p>
        </w:tc>
      </w:tr>
      <w:tr w:rsidR="00C11894" w:rsidRPr="00ED1A25">
        <w:trPr>
          <w:trHeight w:val="320"/>
        </w:trPr>
        <w:tc>
          <w:tcPr>
            <w:tcW w:w="0" w:type="auto"/>
            <w:tcBorders>
              <w:top w:val="nil"/>
              <w:left w:val="nil"/>
              <w:bottom w:val="nil"/>
              <w:right w:val="nil"/>
            </w:tcBorders>
            <w:shd w:val="clear" w:color="auto" w:fill="auto"/>
            <w:noWrap/>
            <w:vAlign w:val="center"/>
          </w:tcPr>
          <w:p w:rsidR="00C11894" w:rsidRPr="00ED1A25" w:rsidRDefault="00C11894" w:rsidP="00BA2740">
            <w:pPr>
              <w:pStyle w:val="Tabletext"/>
              <w:tabs>
                <w:tab w:val="decimal" w:pos="180"/>
              </w:tabs>
            </w:pPr>
            <w:r w:rsidRPr="00ED1A25">
              <w:t>6</w:t>
            </w:r>
          </w:p>
        </w:tc>
        <w:tc>
          <w:tcPr>
            <w:tcW w:w="0" w:type="auto"/>
            <w:tcBorders>
              <w:top w:val="nil"/>
              <w:left w:val="nil"/>
              <w:bottom w:val="nil"/>
              <w:right w:val="nil"/>
            </w:tcBorders>
            <w:vAlign w:val="center"/>
          </w:tcPr>
          <w:p w:rsidR="00C11894" w:rsidRPr="00ED1A25" w:rsidRDefault="00C11894" w:rsidP="008329D1">
            <w:pPr>
              <w:pStyle w:val="Tabletext"/>
            </w:pPr>
            <w:r w:rsidRPr="00ED1A25">
              <w:t>Arts</w:t>
            </w:r>
          </w:p>
        </w:tc>
        <w:tc>
          <w:tcPr>
            <w:tcW w:w="0" w:type="auto"/>
            <w:tcBorders>
              <w:top w:val="nil"/>
              <w:left w:val="nil"/>
              <w:bottom w:val="nil"/>
              <w:right w:val="nil"/>
            </w:tcBorders>
          </w:tcPr>
          <w:p w:rsidR="00C11894" w:rsidRPr="00ED1A25" w:rsidRDefault="00C11894" w:rsidP="00D21B79">
            <w:pPr>
              <w:pStyle w:val="Tabletext"/>
              <w:jc w:val="center"/>
            </w:pPr>
            <w:r>
              <w:t>3</w:t>
            </w:r>
          </w:p>
        </w:tc>
        <w:tc>
          <w:tcPr>
            <w:tcW w:w="0" w:type="auto"/>
            <w:tcBorders>
              <w:top w:val="nil"/>
              <w:left w:val="nil"/>
              <w:bottom w:val="nil"/>
              <w:right w:val="nil"/>
            </w:tcBorders>
          </w:tcPr>
          <w:p w:rsidR="00C11894" w:rsidRPr="00ED1A25" w:rsidRDefault="00C11894" w:rsidP="00D21B79">
            <w:pPr>
              <w:pStyle w:val="Tabletext"/>
              <w:jc w:val="center"/>
            </w:pPr>
            <w:r w:rsidRPr="00ED1A25">
              <w:t>1</w:t>
            </w:r>
          </w:p>
        </w:tc>
        <w:tc>
          <w:tcPr>
            <w:tcW w:w="0" w:type="auto"/>
            <w:tcBorders>
              <w:top w:val="nil"/>
              <w:left w:val="nil"/>
              <w:bottom w:val="nil"/>
              <w:right w:val="nil"/>
            </w:tcBorders>
          </w:tcPr>
          <w:p w:rsidR="00C11894" w:rsidRPr="00ED1A25" w:rsidRDefault="00C11894" w:rsidP="00D21B79">
            <w:pPr>
              <w:pStyle w:val="Tabletext"/>
              <w:jc w:val="center"/>
            </w:pPr>
            <w:r w:rsidRPr="00ED1A25">
              <w:t>1</w:t>
            </w:r>
          </w:p>
        </w:tc>
        <w:tc>
          <w:tcPr>
            <w:tcW w:w="0" w:type="auto"/>
            <w:tcBorders>
              <w:top w:val="nil"/>
              <w:left w:val="nil"/>
              <w:bottom w:val="nil"/>
              <w:right w:val="nil"/>
            </w:tcBorders>
          </w:tcPr>
          <w:p w:rsidR="00C11894" w:rsidRPr="00ED1A25" w:rsidRDefault="00C11894" w:rsidP="00D21B79">
            <w:pPr>
              <w:pStyle w:val="Tabletext"/>
              <w:jc w:val="center"/>
            </w:pPr>
            <w:r w:rsidRPr="00ED1A25">
              <w:t>1</w:t>
            </w:r>
          </w:p>
        </w:tc>
        <w:tc>
          <w:tcPr>
            <w:tcW w:w="0" w:type="auto"/>
            <w:tcBorders>
              <w:top w:val="nil"/>
              <w:left w:val="nil"/>
              <w:bottom w:val="nil"/>
              <w:right w:val="nil"/>
            </w:tcBorders>
          </w:tcPr>
          <w:p w:rsidR="00C11894" w:rsidRPr="00ED1A25" w:rsidRDefault="00C11894" w:rsidP="00D21B79">
            <w:pPr>
              <w:pStyle w:val="Tabletext"/>
              <w:jc w:val="center"/>
            </w:pPr>
            <w:r w:rsidRPr="00ED1A25">
              <w:t>3</w:t>
            </w:r>
          </w:p>
        </w:tc>
        <w:tc>
          <w:tcPr>
            <w:tcW w:w="0" w:type="auto"/>
            <w:tcBorders>
              <w:top w:val="nil"/>
              <w:left w:val="nil"/>
              <w:bottom w:val="nil"/>
              <w:right w:val="nil"/>
            </w:tcBorders>
          </w:tcPr>
          <w:p w:rsidR="00C11894" w:rsidRPr="00ED1A25" w:rsidRDefault="00C11894" w:rsidP="00D21B79">
            <w:pPr>
              <w:pStyle w:val="Tabletext"/>
              <w:tabs>
                <w:tab w:val="decimal" w:pos="264"/>
              </w:tabs>
            </w:pPr>
            <w:r w:rsidRPr="00ED1A25">
              <w:t>3</w:t>
            </w:r>
          </w:p>
        </w:tc>
        <w:tc>
          <w:tcPr>
            <w:tcW w:w="0" w:type="auto"/>
            <w:tcBorders>
              <w:top w:val="nil"/>
              <w:left w:val="nil"/>
              <w:bottom w:val="nil"/>
              <w:right w:val="nil"/>
            </w:tcBorders>
          </w:tcPr>
          <w:p w:rsidR="00C11894" w:rsidRPr="00ED1A25" w:rsidRDefault="00C11894" w:rsidP="00D21B79">
            <w:pPr>
              <w:pStyle w:val="Tabletext"/>
              <w:jc w:val="center"/>
            </w:pPr>
          </w:p>
        </w:tc>
      </w:tr>
      <w:tr w:rsidR="00C11894" w:rsidRPr="00ED1A25">
        <w:trPr>
          <w:trHeight w:val="320"/>
        </w:trPr>
        <w:tc>
          <w:tcPr>
            <w:tcW w:w="0" w:type="auto"/>
            <w:tcBorders>
              <w:top w:val="nil"/>
              <w:left w:val="nil"/>
              <w:bottom w:val="nil"/>
              <w:right w:val="nil"/>
            </w:tcBorders>
            <w:shd w:val="clear" w:color="auto" w:fill="auto"/>
            <w:noWrap/>
            <w:vAlign w:val="center"/>
          </w:tcPr>
          <w:p w:rsidR="00C11894" w:rsidRPr="00ED1A25" w:rsidRDefault="00C11894" w:rsidP="00BA2740">
            <w:pPr>
              <w:pStyle w:val="Tabletext"/>
              <w:tabs>
                <w:tab w:val="decimal" w:pos="180"/>
              </w:tabs>
            </w:pPr>
            <w:r w:rsidRPr="00ED1A25">
              <w:t>6</w:t>
            </w:r>
          </w:p>
        </w:tc>
        <w:tc>
          <w:tcPr>
            <w:tcW w:w="0" w:type="auto"/>
            <w:tcBorders>
              <w:top w:val="nil"/>
              <w:left w:val="nil"/>
              <w:bottom w:val="nil"/>
              <w:right w:val="nil"/>
            </w:tcBorders>
            <w:vAlign w:val="center"/>
          </w:tcPr>
          <w:p w:rsidR="00C11894" w:rsidRPr="00ED1A25" w:rsidRDefault="00C11894" w:rsidP="008329D1">
            <w:pPr>
              <w:pStyle w:val="Tabletext"/>
            </w:pPr>
            <w:r w:rsidRPr="00ED1A25">
              <w:t>Office work</w:t>
            </w:r>
          </w:p>
        </w:tc>
        <w:tc>
          <w:tcPr>
            <w:tcW w:w="0" w:type="auto"/>
            <w:tcBorders>
              <w:top w:val="nil"/>
              <w:left w:val="nil"/>
              <w:bottom w:val="nil"/>
              <w:right w:val="nil"/>
            </w:tcBorders>
          </w:tcPr>
          <w:p w:rsidR="00C11894" w:rsidRPr="00ED1A25" w:rsidRDefault="00C11894" w:rsidP="00D21B79">
            <w:pPr>
              <w:pStyle w:val="Tabletext"/>
              <w:jc w:val="center"/>
            </w:pPr>
            <w:r>
              <w:t>5</w:t>
            </w:r>
          </w:p>
        </w:tc>
        <w:tc>
          <w:tcPr>
            <w:tcW w:w="0" w:type="auto"/>
            <w:tcBorders>
              <w:top w:val="nil"/>
              <w:left w:val="nil"/>
              <w:bottom w:val="nil"/>
              <w:right w:val="nil"/>
            </w:tcBorders>
          </w:tcPr>
          <w:p w:rsidR="00C11894" w:rsidRPr="00ED1A25" w:rsidRDefault="00C11894" w:rsidP="00D21B79">
            <w:pPr>
              <w:pStyle w:val="Tabletext"/>
              <w:jc w:val="center"/>
            </w:pPr>
          </w:p>
        </w:tc>
        <w:tc>
          <w:tcPr>
            <w:tcW w:w="0" w:type="auto"/>
            <w:tcBorders>
              <w:top w:val="nil"/>
              <w:left w:val="nil"/>
              <w:bottom w:val="nil"/>
              <w:right w:val="nil"/>
            </w:tcBorders>
          </w:tcPr>
          <w:p w:rsidR="00C11894" w:rsidRPr="00ED1A25" w:rsidRDefault="00C11894" w:rsidP="00D21B79">
            <w:pPr>
              <w:pStyle w:val="Tabletext"/>
              <w:jc w:val="center"/>
            </w:pPr>
          </w:p>
        </w:tc>
        <w:tc>
          <w:tcPr>
            <w:tcW w:w="0" w:type="auto"/>
            <w:tcBorders>
              <w:top w:val="nil"/>
              <w:left w:val="nil"/>
              <w:bottom w:val="nil"/>
              <w:right w:val="nil"/>
            </w:tcBorders>
          </w:tcPr>
          <w:p w:rsidR="00C11894" w:rsidRPr="00ED1A25" w:rsidRDefault="00C11894" w:rsidP="00D21B79">
            <w:pPr>
              <w:pStyle w:val="Tabletext"/>
              <w:jc w:val="center"/>
            </w:pPr>
            <w:r w:rsidRPr="00ED1A25">
              <w:t>1</w:t>
            </w:r>
          </w:p>
        </w:tc>
        <w:tc>
          <w:tcPr>
            <w:tcW w:w="0" w:type="auto"/>
            <w:tcBorders>
              <w:top w:val="nil"/>
              <w:left w:val="nil"/>
              <w:bottom w:val="nil"/>
              <w:right w:val="nil"/>
            </w:tcBorders>
          </w:tcPr>
          <w:p w:rsidR="00C11894" w:rsidRPr="00ED1A25" w:rsidRDefault="00C11894" w:rsidP="00D21B79">
            <w:pPr>
              <w:pStyle w:val="Tabletext"/>
              <w:jc w:val="center"/>
            </w:pPr>
          </w:p>
        </w:tc>
        <w:tc>
          <w:tcPr>
            <w:tcW w:w="0" w:type="auto"/>
            <w:tcBorders>
              <w:top w:val="nil"/>
              <w:left w:val="nil"/>
              <w:bottom w:val="nil"/>
              <w:right w:val="nil"/>
            </w:tcBorders>
          </w:tcPr>
          <w:p w:rsidR="00C11894" w:rsidRPr="00ED1A25" w:rsidRDefault="00C11894" w:rsidP="00D21B79">
            <w:pPr>
              <w:pStyle w:val="Tabletext"/>
              <w:tabs>
                <w:tab w:val="decimal" w:pos="264"/>
              </w:tabs>
            </w:pPr>
            <w:r w:rsidRPr="00ED1A25">
              <w:t>6</w:t>
            </w:r>
          </w:p>
        </w:tc>
        <w:tc>
          <w:tcPr>
            <w:tcW w:w="0" w:type="auto"/>
            <w:tcBorders>
              <w:top w:val="nil"/>
              <w:left w:val="nil"/>
              <w:bottom w:val="nil"/>
              <w:right w:val="nil"/>
            </w:tcBorders>
          </w:tcPr>
          <w:p w:rsidR="00C11894" w:rsidRPr="00ED1A25" w:rsidRDefault="00C11894" w:rsidP="00D21B79">
            <w:pPr>
              <w:pStyle w:val="Tabletext"/>
              <w:jc w:val="center"/>
            </w:pPr>
          </w:p>
        </w:tc>
      </w:tr>
      <w:tr w:rsidR="00C11894" w:rsidRPr="00ED1A25">
        <w:trPr>
          <w:trHeight w:val="320"/>
        </w:trPr>
        <w:tc>
          <w:tcPr>
            <w:tcW w:w="0" w:type="auto"/>
            <w:tcBorders>
              <w:top w:val="nil"/>
              <w:left w:val="nil"/>
              <w:bottom w:val="nil"/>
              <w:right w:val="nil"/>
            </w:tcBorders>
            <w:shd w:val="clear" w:color="auto" w:fill="auto"/>
            <w:noWrap/>
            <w:vAlign w:val="center"/>
          </w:tcPr>
          <w:p w:rsidR="00C11894" w:rsidRPr="00ED1A25" w:rsidRDefault="00C11894" w:rsidP="00BA2740">
            <w:pPr>
              <w:pStyle w:val="Tabletext"/>
              <w:tabs>
                <w:tab w:val="decimal" w:pos="180"/>
              </w:tabs>
            </w:pPr>
            <w:r w:rsidRPr="00ED1A25">
              <w:t>3</w:t>
            </w:r>
          </w:p>
        </w:tc>
        <w:tc>
          <w:tcPr>
            <w:tcW w:w="0" w:type="auto"/>
            <w:tcBorders>
              <w:top w:val="nil"/>
              <w:left w:val="nil"/>
              <w:bottom w:val="nil"/>
              <w:right w:val="nil"/>
            </w:tcBorders>
            <w:vAlign w:val="center"/>
          </w:tcPr>
          <w:p w:rsidR="00C11894" w:rsidRPr="00ED1A25" w:rsidRDefault="00C11894" w:rsidP="008329D1">
            <w:pPr>
              <w:pStyle w:val="Tabletext"/>
            </w:pPr>
            <w:r w:rsidRPr="00ED1A25">
              <w:t>Beauty &amp; fashion</w:t>
            </w:r>
          </w:p>
        </w:tc>
        <w:tc>
          <w:tcPr>
            <w:tcW w:w="0" w:type="auto"/>
            <w:tcBorders>
              <w:top w:val="nil"/>
              <w:left w:val="nil"/>
              <w:bottom w:val="nil"/>
              <w:right w:val="nil"/>
            </w:tcBorders>
          </w:tcPr>
          <w:p w:rsidR="00C11894" w:rsidRPr="00ED1A25" w:rsidRDefault="00C11894" w:rsidP="00D21B79">
            <w:pPr>
              <w:pStyle w:val="Tabletext"/>
              <w:jc w:val="center"/>
            </w:pPr>
          </w:p>
        </w:tc>
        <w:tc>
          <w:tcPr>
            <w:tcW w:w="0" w:type="auto"/>
            <w:tcBorders>
              <w:top w:val="nil"/>
              <w:left w:val="nil"/>
              <w:bottom w:val="nil"/>
              <w:right w:val="nil"/>
            </w:tcBorders>
          </w:tcPr>
          <w:p w:rsidR="00C11894" w:rsidRPr="00ED1A25" w:rsidRDefault="00C11894" w:rsidP="00D21B79">
            <w:pPr>
              <w:pStyle w:val="Tabletext"/>
              <w:jc w:val="center"/>
            </w:pPr>
            <w:r w:rsidRPr="00ED1A25">
              <w:t>1</w:t>
            </w:r>
          </w:p>
        </w:tc>
        <w:tc>
          <w:tcPr>
            <w:tcW w:w="0" w:type="auto"/>
            <w:tcBorders>
              <w:top w:val="nil"/>
              <w:left w:val="nil"/>
              <w:bottom w:val="nil"/>
              <w:right w:val="nil"/>
            </w:tcBorders>
          </w:tcPr>
          <w:p w:rsidR="00C11894" w:rsidRPr="00ED1A25" w:rsidRDefault="00C11894" w:rsidP="00D21B79">
            <w:pPr>
              <w:pStyle w:val="Tabletext"/>
              <w:jc w:val="center"/>
            </w:pPr>
            <w:r w:rsidRPr="00ED1A25">
              <w:t>1</w:t>
            </w:r>
          </w:p>
        </w:tc>
        <w:tc>
          <w:tcPr>
            <w:tcW w:w="0" w:type="auto"/>
            <w:tcBorders>
              <w:top w:val="nil"/>
              <w:left w:val="nil"/>
              <w:bottom w:val="nil"/>
              <w:right w:val="nil"/>
            </w:tcBorders>
          </w:tcPr>
          <w:p w:rsidR="00C11894" w:rsidRPr="00ED1A25" w:rsidRDefault="00C11894" w:rsidP="00D21B79">
            <w:pPr>
              <w:pStyle w:val="Tabletext"/>
              <w:jc w:val="center"/>
            </w:pPr>
            <w:r w:rsidRPr="00ED1A25">
              <w:t>1</w:t>
            </w:r>
          </w:p>
        </w:tc>
        <w:tc>
          <w:tcPr>
            <w:tcW w:w="0" w:type="auto"/>
            <w:tcBorders>
              <w:top w:val="nil"/>
              <w:left w:val="nil"/>
              <w:bottom w:val="nil"/>
              <w:right w:val="nil"/>
            </w:tcBorders>
          </w:tcPr>
          <w:p w:rsidR="00C11894" w:rsidRPr="00ED1A25" w:rsidRDefault="00C11894" w:rsidP="00D21B79">
            <w:pPr>
              <w:pStyle w:val="Tabletext"/>
              <w:jc w:val="center"/>
            </w:pPr>
          </w:p>
        </w:tc>
        <w:tc>
          <w:tcPr>
            <w:tcW w:w="0" w:type="auto"/>
            <w:tcBorders>
              <w:top w:val="nil"/>
              <w:left w:val="nil"/>
              <w:bottom w:val="nil"/>
              <w:right w:val="nil"/>
            </w:tcBorders>
          </w:tcPr>
          <w:p w:rsidR="00C11894" w:rsidRPr="00ED1A25" w:rsidRDefault="00C11894" w:rsidP="00D21B79">
            <w:pPr>
              <w:pStyle w:val="Tabletext"/>
              <w:tabs>
                <w:tab w:val="decimal" w:pos="264"/>
              </w:tabs>
            </w:pPr>
            <w:r w:rsidRPr="00ED1A25">
              <w:t>3</w:t>
            </w:r>
          </w:p>
        </w:tc>
        <w:tc>
          <w:tcPr>
            <w:tcW w:w="0" w:type="auto"/>
            <w:tcBorders>
              <w:top w:val="nil"/>
              <w:left w:val="nil"/>
              <w:bottom w:val="nil"/>
              <w:right w:val="nil"/>
            </w:tcBorders>
          </w:tcPr>
          <w:p w:rsidR="00C11894" w:rsidRPr="00ED1A25" w:rsidRDefault="00C11894" w:rsidP="00D21B79">
            <w:pPr>
              <w:pStyle w:val="Tabletext"/>
              <w:jc w:val="center"/>
            </w:pPr>
          </w:p>
        </w:tc>
      </w:tr>
      <w:tr w:rsidR="00C11894" w:rsidRPr="00ED1A25">
        <w:trPr>
          <w:trHeight w:val="320"/>
        </w:trPr>
        <w:tc>
          <w:tcPr>
            <w:tcW w:w="0" w:type="auto"/>
            <w:tcBorders>
              <w:top w:val="nil"/>
              <w:left w:val="nil"/>
              <w:bottom w:val="nil"/>
              <w:right w:val="nil"/>
            </w:tcBorders>
            <w:shd w:val="clear" w:color="auto" w:fill="auto"/>
            <w:noWrap/>
            <w:vAlign w:val="center"/>
          </w:tcPr>
          <w:p w:rsidR="00C11894" w:rsidRPr="00ED1A25" w:rsidRDefault="00C11894" w:rsidP="00BA2740">
            <w:pPr>
              <w:pStyle w:val="Tabletext"/>
              <w:tabs>
                <w:tab w:val="decimal" w:pos="180"/>
              </w:tabs>
            </w:pPr>
            <w:r w:rsidRPr="00ED1A25">
              <w:t>2</w:t>
            </w:r>
          </w:p>
        </w:tc>
        <w:tc>
          <w:tcPr>
            <w:tcW w:w="0" w:type="auto"/>
            <w:tcBorders>
              <w:top w:val="nil"/>
              <w:left w:val="nil"/>
              <w:bottom w:val="nil"/>
              <w:right w:val="nil"/>
            </w:tcBorders>
            <w:vAlign w:val="center"/>
          </w:tcPr>
          <w:p w:rsidR="00C11894" w:rsidRPr="00ED1A25" w:rsidRDefault="00C11894" w:rsidP="008329D1">
            <w:pPr>
              <w:pStyle w:val="Tabletext"/>
            </w:pPr>
            <w:r w:rsidRPr="00ED1A25">
              <w:t>Management</w:t>
            </w:r>
          </w:p>
        </w:tc>
        <w:tc>
          <w:tcPr>
            <w:tcW w:w="0" w:type="auto"/>
            <w:tcBorders>
              <w:top w:val="nil"/>
              <w:left w:val="nil"/>
              <w:bottom w:val="nil"/>
              <w:right w:val="nil"/>
            </w:tcBorders>
          </w:tcPr>
          <w:p w:rsidR="00C11894" w:rsidRPr="00ED1A25" w:rsidRDefault="00C11894" w:rsidP="00D21B79">
            <w:pPr>
              <w:pStyle w:val="Tabletext"/>
              <w:jc w:val="center"/>
            </w:pPr>
            <w:r>
              <w:t>2</w:t>
            </w:r>
          </w:p>
        </w:tc>
        <w:tc>
          <w:tcPr>
            <w:tcW w:w="0" w:type="auto"/>
            <w:tcBorders>
              <w:top w:val="nil"/>
              <w:left w:val="nil"/>
              <w:bottom w:val="nil"/>
              <w:right w:val="nil"/>
            </w:tcBorders>
          </w:tcPr>
          <w:p w:rsidR="00C11894" w:rsidRPr="00ED1A25" w:rsidRDefault="00C11894" w:rsidP="00D21B79">
            <w:pPr>
              <w:pStyle w:val="Tabletext"/>
              <w:jc w:val="center"/>
            </w:pPr>
          </w:p>
        </w:tc>
        <w:tc>
          <w:tcPr>
            <w:tcW w:w="0" w:type="auto"/>
            <w:tcBorders>
              <w:top w:val="nil"/>
              <w:left w:val="nil"/>
              <w:bottom w:val="nil"/>
              <w:right w:val="nil"/>
            </w:tcBorders>
          </w:tcPr>
          <w:p w:rsidR="00C11894" w:rsidRPr="00ED1A25" w:rsidRDefault="00C11894" w:rsidP="00D21B79">
            <w:pPr>
              <w:pStyle w:val="Tabletext"/>
              <w:jc w:val="center"/>
            </w:pPr>
          </w:p>
        </w:tc>
        <w:tc>
          <w:tcPr>
            <w:tcW w:w="0" w:type="auto"/>
            <w:tcBorders>
              <w:top w:val="nil"/>
              <w:left w:val="nil"/>
              <w:bottom w:val="nil"/>
              <w:right w:val="nil"/>
            </w:tcBorders>
          </w:tcPr>
          <w:p w:rsidR="00C11894" w:rsidRPr="00ED1A25" w:rsidRDefault="00C11894" w:rsidP="00D21B79">
            <w:pPr>
              <w:pStyle w:val="Tabletext"/>
              <w:jc w:val="center"/>
            </w:pPr>
          </w:p>
        </w:tc>
        <w:tc>
          <w:tcPr>
            <w:tcW w:w="0" w:type="auto"/>
            <w:tcBorders>
              <w:top w:val="nil"/>
              <w:left w:val="nil"/>
              <w:bottom w:val="nil"/>
              <w:right w:val="nil"/>
            </w:tcBorders>
          </w:tcPr>
          <w:p w:rsidR="00C11894" w:rsidRPr="00ED1A25" w:rsidRDefault="00C11894" w:rsidP="00D21B79">
            <w:pPr>
              <w:pStyle w:val="Tabletext"/>
              <w:jc w:val="center"/>
            </w:pPr>
          </w:p>
        </w:tc>
        <w:tc>
          <w:tcPr>
            <w:tcW w:w="0" w:type="auto"/>
            <w:tcBorders>
              <w:top w:val="nil"/>
              <w:left w:val="nil"/>
              <w:bottom w:val="nil"/>
              <w:right w:val="nil"/>
            </w:tcBorders>
          </w:tcPr>
          <w:p w:rsidR="00C11894" w:rsidRPr="00ED1A25" w:rsidRDefault="00C11894" w:rsidP="00D21B79">
            <w:pPr>
              <w:pStyle w:val="Tabletext"/>
              <w:tabs>
                <w:tab w:val="decimal" w:pos="264"/>
              </w:tabs>
            </w:pPr>
            <w:r w:rsidRPr="00ED1A25">
              <w:t>2</w:t>
            </w:r>
          </w:p>
        </w:tc>
        <w:tc>
          <w:tcPr>
            <w:tcW w:w="0" w:type="auto"/>
            <w:tcBorders>
              <w:top w:val="nil"/>
              <w:left w:val="nil"/>
              <w:bottom w:val="nil"/>
              <w:right w:val="nil"/>
            </w:tcBorders>
          </w:tcPr>
          <w:p w:rsidR="00C11894" w:rsidRPr="00ED1A25" w:rsidRDefault="00C11894" w:rsidP="00D21B79">
            <w:pPr>
              <w:pStyle w:val="Tabletext"/>
              <w:jc w:val="center"/>
            </w:pPr>
          </w:p>
        </w:tc>
      </w:tr>
      <w:tr w:rsidR="00C11894" w:rsidRPr="00ED1A25">
        <w:trPr>
          <w:trHeight w:val="320"/>
        </w:trPr>
        <w:tc>
          <w:tcPr>
            <w:tcW w:w="0" w:type="auto"/>
            <w:tcBorders>
              <w:top w:val="nil"/>
              <w:left w:val="nil"/>
              <w:bottom w:val="nil"/>
              <w:right w:val="nil"/>
            </w:tcBorders>
            <w:shd w:val="clear" w:color="auto" w:fill="auto"/>
            <w:noWrap/>
            <w:vAlign w:val="center"/>
          </w:tcPr>
          <w:p w:rsidR="00C11894" w:rsidRPr="00ED1A25" w:rsidRDefault="00C11894" w:rsidP="00BA2740">
            <w:pPr>
              <w:pStyle w:val="Tabletext"/>
              <w:tabs>
                <w:tab w:val="decimal" w:pos="180"/>
              </w:tabs>
            </w:pPr>
            <w:r w:rsidRPr="00ED1A25">
              <w:t>2</w:t>
            </w:r>
          </w:p>
        </w:tc>
        <w:tc>
          <w:tcPr>
            <w:tcW w:w="0" w:type="auto"/>
            <w:tcBorders>
              <w:top w:val="nil"/>
              <w:left w:val="nil"/>
              <w:bottom w:val="nil"/>
              <w:right w:val="nil"/>
            </w:tcBorders>
            <w:vAlign w:val="center"/>
          </w:tcPr>
          <w:p w:rsidR="00C11894" w:rsidRPr="00ED1A25" w:rsidRDefault="00C11894" w:rsidP="008329D1">
            <w:pPr>
              <w:pStyle w:val="Tabletext"/>
            </w:pPr>
            <w:r w:rsidRPr="00ED1A25">
              <w:t>Armed Forces</w:t>
            </w:r>
          </w:p>
        </w:tc>
        <w:tc>
          <w:tcPr>
            <w:tcW w:w="0" w:type="auto"/>
            <w:tcBorders>
              <w:top w:val="nil"/>
              <w:left w:val="nil"/>
              <w:bottom w:val="nil"/>
              <w:right w:val="nil"/>
            </w:tcBorders>
          </w:tcPr>
          <w:p w:rsidR="00C11894" w:rsidRPr="00ED1A25" w:rsidRDefault="00C11894" w:rsidP="00D21B79">
            <w:pPr>
              <w:pStyle w:val="Tabletext"/>
              <w:jc w:val="center"/>
            </w:pPr>
          </w:p>
        </w:tc>
        <w:tc>
          <w:tcPr>
            <w:tcW w:w="0" w:type="auto"/>
            <w:tcBorders>
              <w:top w:val="nil"/>
              <w:left w:val="nil"/>
              <w:bottom w:val="nil"/>
              <w:right w:val="nil"/>
            </w:tcBorders>
          </w:tcPr>
          <w:p w:rsidR="00C11894" w:rsidRPr="00ED1A25" w:rsidRDefault="00C11894" w:rsidP="00D21B79">
            <w:pPr>
              <w:pStyle w:val="Tabletext"/>
              <w:jc w:val="center"/>
            </w:pPr>
            <w:r w:rsidRPr="00ED1A25">
              <w:t>1</w:t>
            </w:r>
          </w:p>
        </w:tc>
        <w:tc>
          <w:tcPr>
            <w:tcW w:w="0" w:type="auto"/>
            <w:tcBorders>
              <w:top w:val="nil"/>
              <w:left w:val="nil"/>
              <w:bottom w:val="nil"/>
              <w:right w:val="nil"/>
            </w:tcBorders>
          </w:tcPr>
          <w:p w:rsidR="00C11894" w:rsidRPr="00ED1A25" w:rsidRDefault="00C11894" w:rsidP="00D21B79">
            <w:pPr>
              <w:pStyle w:val="Tabletext"/>
              <w:jc w:val="center"/>
            </w:pPr>
            <w:r w:rsidRPr="00ED1A25">
              <w:t>1</w:t>
            </w:r>
          </w:p>
        </w:tc>
        <w:tc>
          <w:tcPr>
            <w:tcW w:w="0" w:type="auto"/>
            <w:tcBorders>
              <w:top w:val="nil"/>
              <w:left w:val="nil"/>
              <w:bottom w:val="nil"/>
              <w:right w:val="nil"/>
            </w:tcBorders>
          </w:tcPr>
          <w:p w:rsidR="00C11894" w:rsidRPr="00ED1A25" w:rsidRDefault="00C11894" w:rsidP="00D21B79">
            <w:pPr>
              <w:pStyle w:val="Tabletext"/>
              <w:jc w:val="center"/>
            </w:pPr>
          </w:p>
        </w:tc>
        <w:tc>
          <w:tcPr>
            <w:tcW w:w="0" w:type="auto"/>
            <w:tcBorders>
              <w:top w:val="nil"/>
              <w:left w:val="nil"/>
              <w:bottom w:val="nil"/>
              <w:right w:val="nil"/>
            </w:tcBorders>
          </w:tcPr>
          <w:p w:rsidR="00C11894" w:rsidRPr="00ED1A25" w:rsidRDefault="00C11894" w:rsidP="00D21B79">
            <w:pPr>
              <w:pStyle w:val="Tabletext"/>
              <w:jc w:val="center"/>
            </w:pPr>
          </w:p>
        </w:tc>
        <w:tc>
          <w:tcPr>
            <w:tcW w:w="0" w:type="auto"/>
            <w:tcBorders>
              <w:top w:val="nil"/>
              <w:left w:val="nil"/>
              <w:bottom w:val="nil"/>
              <w:right w:val="nil"/>
            </w:tcBorders>
          </w:tcPr>
          <w:p w:rsidR="00C11894" w:rsidRPr="00ED1A25" w:rsidRDefault="00C11894" w:rsidP="00D21B79">
            <w:pPr>
              <w:pStyle w:val="Tabletext"/>
              <w:tabs>
                <w:tab w:val="decimal" w:pos="264"/>
              </w:tabs>
            </w:pPr>
          </w:p>
        </w:tc>
        <w:tc>
          <w:tcPr>
            <w:tcW w:w="0" w:type="auto"/>
            <w:tcBorders>
              <w:top w:val="nil"/>
              <w:left w:val="nil"/>
              <w:bottom w:val="nil"/>
              <w:right w:val="nil"/>
            </w:tcBorders>
          </w:tcPr>
          <w:p w:rsidR="00C11894" w:rsidRPr="00ED1A25" w:rsidRDefault="00C11894" w:rsidP="00D21B79">
            <w:pPr>
              <w:pStyle w:val="Tabletext"/>
              <w:jc w:val="center"/>
            </w:pPr>
            <w:r w:rsidRPr="00ED1A25">
              <w:t>2</w:t>
            </w:r>
          </w:p>
        </w:tc>
      </w:tr>
      <w:tr w:rsidR="00C11894" w:rsidRPr="00ED1A25">
        <w:trPr>
          <w:trHeight w:val="320"/>
        </w:trPr>
        <w:tc>
          <w:tcPr>
            <w:tcW w:w="0" w:type="auto"/>
            <w:tcBorders>
              <w:top w:val="nil"/>
              <w:left w:val="nil"/>
              <w:bottom w:val="nil"/>
              <w:right w:val="nil"/>
            </w:tcBorders>
            <w:shd w:val="clear" w:color="auto" w:fill="auto"/>
            <w:noWrap/>
            <w:vAlign w:val="center"/>
          </w:tcPr>
          <w:p w:rsidR="00C11894" w:rsidRPr="00ED1A25" w:rsidRDefault="00C11894" w:rsidP="00BA2740">
            <w:pPr>
              <w:pStyle w:val="Tabletext"/>
              <w:tabs>
                <w:tab w:val="decimal" w:pos="180"/>
              </w:tabs>
            </w:pPr>
            <w:r w:rsidRPr="00ED1A25">
              <w:t>2</w:t>
            </w:r>
          </w:p>
        </w:tc>
        <w:tc>
          <w:tcPr>
            <w:tcW w:w="0" w:type="auto"/>
            <w:tcBorders>
              <w:top w:val="nil"/>
              <w:left w:val="nil"/>
              <w:bottom w:val="nil"/>
              <w:right w:val="nil"/>
            </w:tcBorders>
            <w:vAlign w:val="center"/>
          </w:tcPr>
          <w:p w:rsidR="00C11894" w:rsidRPr="00ED1A25" w:rsidRDefault="00C11894" w:rsidP="008329D1">
            <w:pPr>
              <w:pStyle w:val="Tabletext"/>
            </w:pPr>
            <w:r w:rsidRPr="00ED1A25">
              <w:t>Retail</w:t>
            </w:r>
          </w:p>
        </w:tc>
        <w:tc>
          <w:tcPr>
            <w:tcW w:w="0" w:type="auto"/>
            <w:tcBorders>
              <w:top w:val="nil"/>
              <w:left w:val="nil"/>
              <w:bottom w:val="nil"/>
              <w:right w:val="nil"/>
            </w:tcBorders>
          </w:tcPr>
          <w:p w:rsidR="00C11894" w:rsidRPr="00ED1A25" w:rsidRDefault="00C11894" w:rsidP="00D21B79">
            <w:pPr>
              <w:pStyle w:val="Tabletext"/>
              <w:jc w:val="center"/>
            </w:pPr>
          </w:p>
        </w:tc>
        <w:tc>
          <w:tcPr>
            <w:tcW w:w="0" w:type="auto"/>
            <w:tcBorders>
              <w:top w:val="nil"/>
              <w:left w:val="nil"/>
              <w:bottom w:val="nil"/>
              <w:right w:val="nil"/>
            </w:tcBorders>
          </w:tcPr>
          <w:p w:rsidR="00C11894" w:rsidRPr="00ED1A25" w:rsidRDefault="00C11894" w:rsidP="00D21B79">
            <w:pPr>
              <w:pStyle w:val="Tabletext"/>
              <w:jc w:val="center"/>
            </w:pPr>
            <w:r w:rsidRPr="00ED1A25">
              <w:t>1</w:t>
            </w:r>
          </w:p>
        </w:tc>
        <w:tc>
          <w:tcPr>
            <w:tcW w:w="0" w:type="auto"/>
            <w:tcBorders>
              <w:top w:val="nil"/>
              <w:left w:val="nil"/>
              <w:bottom w:val="nil"/>
              <w:right w:val="nil"/>
            </w:tcBorders>
          </w:tcPr>
          <w:p w:rsidR="00C11894" w:rsidRPr="00ED1A25" w:rsidRDefault="00C11894" w:rsidP="00D21B79">
            <w:pPr>
              <w:pStyle w:val="Tabletext"/>
              <w:jc w:val="center"/>
            </w:pPr>
          </w:p>
        </w:tc>
        <w:tc>
          <w:tcPr>
            <w:tcW w:w="0" w:type="auto"/>
            <w:tcBorders>
              <w:top w:val="nil"/>
              <w:left w:val="nil"/>
              <w:bottom w:val="nil"/>
              <w:right w:val="nil"/>
            </w:tcBorders>
          </w:tcPr>
          <w:p w:rsidR="00C11894" w:rsidRPr="00ED1A25" w:rsidRDefault="00C11894" w:rsidP="00D21B79">
            <w:pPr>
              <w:pStyle w:val="Tabletext"/>
              <w:jc w:val="center"/>
            </w:pPr>
            <w:r w:rsidRPr="00ED1A25">
              <w:t>1</w:t>
            </w:r>
          </w:p>
        </w:tc>
        <w:tc>
          <w:tcPr>
            <w:tcW w:w="0" w:type="auto"/>
            <w:tcBorders>
              <w:top w:val="nil"/>
              <w:left w:val="nil"/>
              <w:bottom w:val="nil"/>
              <w:right w:val="nil"/>
            </w:tcBorders>
          </w:tcPr>
          <w:p w:rsidR="00C11894" w:rsidRPr="00ED1A25" w:rsidRDefault="00C11894" w:rsidP="00D21B79">
            <w:pPr>
              <w:pStyle w:val="Tabletext"/>
              <w:jc w:val="center"/>
            </w:pPr>
          </w:p>
        </w:tc>
        <w:tc>
          <w:tcPr>
            <w:tcW w:w="0" w:type="auto"/>
            <w:tcBorders>
              <w:top w:val="nil"/>
              <w:left w:val="nil"/>
              <w:bottom w:val="nil"/>
              <w:right w:val="nil"/>
            </w:tcBorders>
          </w:tcPr>
          <w:p w:rsidR="00C11894" w:rsidRPr="00ED1A25" w:rsidRDefault="00C11894" w:rsidP="00D21B79">
            <w:pPr>
              <w:pStyle w:val="Tabletext"/>
              <w:tabs>
                <w:tab w:val="decimal" w:pos="264"/>
              </w:tabs>
            </w:pPr>
          </w:p>
        </w:tc>
        <w:tc>
          <w:tcPr>
            <w:tcW w:w="0" w:type="auto"/>
            <w:tcBorders>
              <w:top w:val="nil"/>
              <w:left w:val="nil"/>
              <w:bottom w:val="nil"/>
              <w:right w:val="nil"/>
            </w:tcBorders>
          </w:tcPr>
          <w:p w:rsidR="00C11894" w:rsidRPr="00ED1A25" w:rsidRDefault="00C11894" w:rsidP="00D21B79">
            <w:pPr>
              <w:pStyle w:val="Tabletext"/>
              <w:jc w:val="center"/>
            </w:pPr>
            <w:r w:rsidRPr="00ED1A25">
              <w:t>2</w:t>
            </w:r>
          </w:p>
        </w:tc>
      </w:tr>
      <w:tr w:rsidR="00C11894" w:rsidRPr="00ED1A25">
        <w:trPr>
          <w:trHeight w:val="320"/>
        </w:trPr>
        <w:tc>
          <w:tcPr>
            <w:tcW w:w="0" w:type="auto"/>
            <w:gridSpan w:val="2"/>
            <w:tcBorders>
              <w:top w:val="nil"/>
              <w:left w:val="nil"/>
              <w:bottom w:val="nil"/>
              <w:right w:val="nil"/>
            </w:tcBorders>
            <w:shd w:val="clear" w:color="auto" w:fill="auto"/>
            <w:noWrap/>
            <w:vAlign w:val="center"/>
          </w:tcPr>
          <w:p w:rsidR="00C11894" w:rsidRPr="00ED1A25" w:rsidRDefault="00C11894" w:rsidP="008329D1">
            <w:pPr>
              <w:pStyle w:val="Tabletext"/>
            </w:pPr>
            <w:r w:rsidRPr="00ED1A25">
              <w:t>Other:</w:t>
            </w:r>
          </w:p>
        </w:tc>
        <w:tc>
          <w:tcPr>
            <w:tcW w:w="0" w:type="auto"/>
            <w:tcBorders>
              <w:top w:val="nil"/>
              <w:left w:val="nil"/>
              <w:bottom w:val="nil"/>
              <w:right w:val="nil"/>
            </w:tcBorders>
          </w:tcPr>
          <w:p w:rsidR="00C11894" w:rsidRPr="00ED1A25" w:rsidRDefault="00C11894" w:rsidP="00D21B79">
            <w:pPr>
              <w:pStyle w:val="Tabletext"/>
              <w:jc w:val="center"/>
            </w:pPr>
          </w:p>
        </w:tc>
        <w:tc>
          <w:tcPr>
            <w:tcW w:w="0" w:type="auto"/>
            <w:tcBorders>
              <w:top w:val="nil"/>
              <w:left w:val="nil"/>
              <w:bottom w:val="nil"/>
              <w:right w:val="nil"/>
            </w:tcBorders>
          </w:tcPr>
          <w:p w:rsidR="00C11894" w:rsidRPr="00ED1A25" w:rsidRDefault="00C11894" w:rsidP="00D21B79">
            <w:pPr>
              <w:pStyle w:val="Tabletext"/>
              <w:jc w:val="center"/>
            </w:pPr>
          </w:p>
        </w:tc>
        <w:tc>
          <w:tcPr>
            <w:tcW w:w="0" w:type="auto"/>
            <w:tcBorders>
              <w:top w:val="nil"/>
              <w:left w:val="nil"/>
              <w:bottom w:val="nil"/>
              <w:right w:val="nil"/>
            </w:tcBorders>
          </w:tcPr>
          <w:p w:rsidR="00C11894" w:rsidRPr="00ED1A25" w:rsidRDefault="00C11894" w:rsidP="00D21B79">
            <w:pPr>
              <w:pStyle w:val="Tabletext"/>
              <w:jc w:val="center"/>
            </w:pPr>
          </w:p>
        </w:tc>
        <w:tc>
          <w:tcPr>
            <w:tcW w:w="0" w:type="auto"/>
            <w:tcBorders>
              <w:top w:val="nil"/>
              <w:left w:val="nil"/>
              <w:bottom w:val="nil"/>
              <w:right w:val="nil"/>
            </w:tcBorders>
          </w:tcPr>
          <w:p w:rsidR="00C11894" w:rsidRPr="00ED1A25" w:rsidRDefault="00C11894" w:rsidP="00D21B79">
            <w:pPr>
              <w:pStyle w:val="Tabletext"/>
              <w:jc w:val="center"/>
            </w:pPr>
          </w:p>
        </w:tc>
        <w:tc>
          <w:tcPr>
            <w:tcW w:w="0" w:type="auto"/>
            <w:tcBorders>
              <w:top w:val="nil"/>
              <w:left w:val="nil"/>
              <w:bottom w:val="nil"/>
              <w:right w:val="nil"/>
            </w:tcBorders>
          </w:tcPr>
          <w:p w:rsidR="00C11894" w:rsidRPr="00ED1A25" w:rsidRDefault="00C11894" w:rsidP="00D21B79">
            <w:pPr>
              <w:pStyle w:val="Tabletext"/>
              <w:jc w:val="center"/>
            </w:pPr>
          </w:p>
        </w:tc>
        <w:tc>
          <w:tcPr>
            <w:tcW w:w="0" w:type="auto"/>
            <w:tcBorders>
              <w:top w:val="nil"/>
              <w:left w:val="nil"/>
              <w:bottom w:val="nil"/>
              <w:right w:val="nil"/>
            </w:tcBorders>
          </w:tcPr>
          <w:p w:rsidR="00C11894" w:rsidRPr="00ED1A25" w:rsidRDefault="00C11894" w:rsidP="00D21B79">
            <w:pPr>
              <w:pStyle w:val="Tabletext"/>
              <w:tabs>
                <w:tab w:val="decimal" w:pos="264"/>
              </w:tabs>
            </w:pPr>
          </w:p>
        </w:tc>
        <w:tc>
          <w:tcPr>
            <w:tcW w:w="0" w:type="auto"/>
            <w:tcBorders>
              <w:top w:val="nil"/>
              <w:left w:val="nil"/>
              <w:bottom w:val="nil"/>
              <w:right w:val="nil"/>
            </w:tcBorders>
          </w:tcPr>
          <w:p w:rsidR="00C11894" w:rsidRPr="00ED1A25" w:rsidRDefault="00C11894" w:rsidP="00D21B79">
            <w:pPr>
              <w:pStyle w:val="Tabletext"/>
              <w:jc w:val="center"/>
            </w:pPr>
          </w:p>
        </w:tc>
      </w:tr>
      <w:tr w:rsidR="00C11894" w:rsidRPr="00ED1A25">
        <w:trPr>
          <w:trHeight w:val="320"/>
        </w:trPr>
        <w:tc>
          <w:tcPr>
            <w:tcW w:w="0" w:type="auto"/>
            <w:tcBorders>
              <w:top w:val="nil"/>
              <w:left w:val="nil"/>
              <w:bottom w:val="nil"/>
              <w:right w:val="nil"/>
            </w:tcBorders>
            <w:shd w:val="clear" w:color="auto" w:fill="auto"/>
            <w:noWrap/>
            <w:vAlign w:val="center"/>
          </w:tcPr>
          <w:p w:rsidR="00C11894" w:rsidRPr="00ED1A25" w:rsidRDefault="00C11894" w:rsidP="00104F40">
            <w:pPr>
              <w:pStyle w:val="Tabletext"/>
              <w:tabs>
                <w:tab w:val="decimal" w:pos="195"/>
              </w:tabs>
            </w:pPr>
            <w:r w:rsidRPr="00ED1A25">
              <w:t>1</w:t>
            </w:r>
          </w:p>
        </w:tc>
        <w:tc>
          <w:tcPr>
            <w:tcW w:w="0" w:type="auto"/>
            <w:tcBorders>
              <w:top w:val="nil"/>
              <w:left w:val="nil"/>
              <w:bottom w:val="nil"/>
              <w:right w:val="nil"/>
            </w:tcBorders>
            <w:vAlign w:val="center"/>
          </w:tcPr>
          <w:p w:rsidR="00C11894" w:rsidRPr="00ED1A25" w:rsidRDefault="00C11894" w:rsidP="008329D1">
            <w:pPr>
              <w:pStyle w:val="Tabletext"/>
            </w:pPr>
            <w:r w:rsidRPr="00ED1A25">
              <w:t>Stock agent</w:t>
            </w:r>
          </w:p>
        </w:tc>
        <w:tc>
          <w:tcPr>
            <w:tcW w:w="0" w:type="auto"/>
            <w:tcBorders>
              <w:top w:val="nil"/>
              <w:left w:val="nil"/>
              <w:bottom w:val="nil"/>
              <w:right w:val="nil"/>
            </w:tcBorders>
          </w:tcPr>
          <w:p w:rsidR="00C11894" w:rsidRPr="00ED1A25" w:rsidRDefault="00C11894" w:rsidP="00D21B79">
            <w:pPr>
              <w:pStyle w:val="Tabletext"/>
              <w:jc w:val="center"/>
            </w:pPr>
            <w:r w:rsidRPr="00ED1A25">
              <w:t>1</w:t>
            </w:r>
          </w:p>
        </w:tc>
        <w:tc>
          <w:tcPr>
            <w:tcW w:w="0" w:type="auto"/>
            <w:tcBorders>
              <w:top w:val="nil"/>
              <w:left w:val="nil"/>
              <w:bottom w:val="nil"/>
              <w:right w:val="nil"/>
            </w:tcBorders>
          </w:tcPr>
          <w:p w:rsidR="00C11894" w:rsidRPr="00ED1A25" w:rsidRDefault="00C11894" w:rsidP="00D21B79">
            <w:pPr>
              <w:pStyle w:val="Tabletext"/>
              <w:jc w:val="center"/>
            </w:pPr>
          </w:p>
        </w:tc>
        <w:tc>
          <w:tcPr>
            <w:tcW w:w="0" w:type="auto"/>
            <w:tcBorders>
              <w:top w:val="nil"/>
              <w:left w:val="nil"/>
              <w:bottom w:val="nil"/>
              <w:right w:val="nil"/>
            </w:tcBorders>
          </w:tcPr>
          <w:p w:rsidR="00C11894" w:rsidRPr="00ED1A25" w:rsidRDefault="00C11894" w:rsidP="00D21B79">
            <w:pPr>
              <w:pStyle w:val="Tabletext"/>
              <w:jc w:val="center"/>
            </w:pPr>
          </w:p>
        </w:tc>
        <w:tc>
          <w:tcPr>
            <w:tcW w:w="0" w:type="auto"/>
            <w:tcBorders>
              <w:top w:val="nil"/>
              <w:left w:val="nil"/>
              <w:bottom w:val="nil"/>
              <w:right w:val="nil"/>
            </w:tcBorders>
          </w:tcPr>
          <w:p w:rsidR="00C11894" w:rsidRPr="00ED1A25" w:rsidRDefault="00C11894" w:rsidP="00D21B79">
            <w:pPr>
              <w:pStyle w:val="Tabletext"/>
              <w:jc w:val="center"/>
            </w:pPr>
          </w:p>
        </w:tc>
        <w:tc>
          <w:tcPr>
            <w:tcW w:w="0" w:type="auto"/>
            <w:tcBorders>
              <w:top w:val="nil"/>
              <w:left w:val="nil"/>
              <w:bottom w:val="nil"/>
              <w:right w:val="nil"/>
            </w:tcBorders>
          </w:tcPr>
          <w:p w:rsidR="00C11894" w:rsidRPr="00ED1A25" w:rsidRDefault="00C11894" w:rsidP="00D21B79">
            <w:pPr>
              <w:pStyle w:val="Tabletext"/>
              <w:jc w:val="center"/>
            </w:pPr>
          </w:p>
        </w:tc>
        <w:tc>
          <w:tcPr>
            <w:tcW w:w="0" w:type="auto"/>
            <w:tcBorders>
              <w:top w:val="nil"/>
              <w:left w:val="nil"/>
              <w:bottom w:val="nil"/>
              <w:right w:val="nil"/>
            </w:tcBorders>
          </w:tcPr>
          <w:p w:rsidR="00C11894" w:rsidRPr="00ED1A25" w:rsidRDefault="00C11894" w:rsidP="00D21B79">
            <w:pPr>
              <w:pStyle w:val="Tabletext"/>
              <w:tabs>
                <w:tab w:val="decimal" w:pos="264"/>
              </w:tabs>
            </w:pPr>
            <w:r w:rsidRPr="00ED1A25">
              <w:t>1</w:t>
            </w:r>
          </w:p>
        </w:tc>
        <w:tc>
          <w:tcPr>
            <w:tcW w:w="0" w:type="auto"/>
            <w:tcBorders>
              <w:top w:val="nil"/>
              <w:left w:val="nil"/>
              <w:bottom w:val="nil"/>
              <w:right w:val="nil"/>
            </w:tcBorders>
          </w:tcPr>
          <w:p w:rsidR="00C11894" w:rsidRPr="00ED1A25" w:rsidRDefault="00C11894" w:rsidP="00D21B79">
            <w:pPr>
              <w:pStyle w:val="Tabletext"/>
              <w:jc w:val="center"/>
            </w:pPr>
          </w:p>
        </w:tc>
      </w:tr>
      <w:tr w:rsidR="00C11894" w:rsidRPr="00ED1A25">
        <w:trPr>
          <w:trHeight w:val="320"/>
        </w:trPr>
        <w:tc>
          <w:tcPr>
            <w:tcW w:w="0" w:type="auto"/>
            <w:tcBorders>
              <w:top w:val="nil"/>
              <w:left w:val="nil"/>
              <w:bottom w:val="nil"/>
              <w:right w:val="nil"/>
            </w:tcBorders>
            <w:shd w:val="clear" w:color="auto" w:fill="auto"/>
            <w:noWrap/>
            <w:vAlign w:val="center"/>
          </w:tcPr>
          <w:p w:rsidR="00C11894" w:rsidRPr="00ED1A25" w:rsidRDefault="00C11894" w:rsidP="00104F40">
            <w:pPr>
              <w:pStyle w:val="Tabletext"/>
              <w:tabs>
                <w:tab w:val="decimal" w:pos="195"/>
              </w:tabs>
            </w:pPr>
            <w:r w:rsidRPr="00ED1A25">
              <w:t>1</w:t>
            </w:r>
          </w:p>
        </w:tc>
        <w:tc>
          <w:tcPr>
            <w:tcW w:w="0" w:type="auto"/>
            <w:tcBorders>
              <w:top w:val="nil"/>
              <w:left w:val="nil"/>
              <w:bottom w:val="nil"/>
              <w:right w:val="nil"/>
            </w:tcBorders>
            <w:vAlign w:val="center"/>
          </w:tcPr>
          <w:p w:rsidR="00C11894" w:rsidRPr="00ED1A25" w:rsidRDefault="00C11894" w:rsidP="008329D1">
            <w:pPr>
              <w:pStyle w:val="Tabletext"/>
            </w:pPr>
            <w:r w:rsidRPr="00ED1A25">
              <w:t>Dairy farmer</w:t>
            </w:r>
          </w:p>
        </w:tc>
        <w:tc>
          <w:tcPr>
            <w:tcW w:w="0" w:type="auto"/>
            <w:tcBorders>
              <w:top w:val="nil"/>
              <w:left w:val="nil"/>
              <w:bottom w:val="nil"/>
              <w:right w:val="nil"/>
            </w:tcBorders>
          </w:tcPr>
          <w:p w:rsidR="00C11894" w:rsidRPr="00ED1A25" w:rsidRDefault="00C11894" w:rsidP="00D21B79">
            <w:pPr>
              <w:pStyle w:val="Tabletext"/>
              <w:jc w:val="center"/>
            </w:pPr>
            <w:r w:rsidRPr="00ED1A25">
              <w:t>1</w:t>
            </w:r>
          </w:p>
        </w:tc>
        <w:tc>
          <w:tcPr>
            <w:tcW w:w="0" w:type="auto"/>
            <w:tcBorders>
              <w:top w:val="nil"/>
              <w:left w:val="nil"/>
              <w:bottom w:val="nil"/>
              <w:right w:val="nil"/>
            </w:tcBorders>
          </w:tcPr>
          <w:p w:rsidR="00C11894" w:rsidRPr="00ED1A25" w:rsidRDefault="00C11894" w:rsidP="00D21B79">
            <w:pPr>
              <w:pStyle w:val="Tabletext"/>
              <w:jc w:val="center"/>
            </w:pPr>
          </w:p>
        </w:tc>
        <w:tc>
          <w:tcPr>
            <w:tcW w:w="0" w:type="auto"/>
            <w:tcBorders>
              <w:top w:val="nil"/>
              <w:left w:val="nil"/>
              <w:bottom w:val="nil"/>
              <w:right w:val="nil"/>
            </w:tcBorders>
          </w:tcPr>
          <w:p w:rsidR="00C11894" w:rsidRPr="00ED1A25" w:rsidRDefault="00C11894" w:rsidP="00D21B79">
            <w:pPr>
              <w:pStyle w:val="Tabletext"/>
              <w:jc w:val="center"/>
            </w:pPr>
          </w:p>
        </w:tc>
        <w:tc>
          <w:tcPr>
            <w:tcW w:w="0" w:type="auto"/>
            <w:tcBorders>
              <w:top w:val="nil"/>
              <w:left w:val="nil"/>
              <w:bottom w:val="nil"/>
              <w:right w:val="nil"/>
            </w:tcBorders>
          </w:tcPr>
          <w:p w:rsidR="00C11894" w:rsidRPr="00ED1A25" w:rsidRDefault="00C11894" w:rsidP="00D21B79">
            <w:pPr>
              <w:pStyle w:val="Tabletext"/>
              <w:jc w:val="center"/>
            </w:pPr>
          </w:p>
        </w:tc>
        <w:tc>
          <w:tcPr>
            <w:tcW w:w="0" w:type="auto"/>
            <w:tcBorders>
              <w:top w:val="nil"/>
              <w:left w:val="nil"/>
              <w:bottom w:val="nil"/>
              <w:right w:val="nil"/>
            </w:tcBorders>
          </w:tcPr>
          <w:p w:rsidR="00C11894" w:rsidRPr="00ED1A25" w:rsidRDefault="00C11894" w:rsidP="00D21B79">
            <w:pPr>
              <w:pStyle w:val="Tabletext"/>
              <w:jc w:val="center"/>
            </w:pPr>
          </w:p>
        </w:tc>
        <w:tc>
          <w:tcPr>
            <w:tcW w:w="0" w:type="auto"/>
            <w:tcBorders>
              <w:top w:val="nil"/>
              <w:left w:val="nil"/>
              <w:bottom w:val="nil"/>
              <w:right w:val="nil"/>
            </w:tcBorders>
          </w:tcPr>
          <w:p w:rsidR="00C11894" w:rsidRPr="00ED1A25" w:rsidRDefault="00C11894" w:rsidP="00D21B79">
            <w:pPr>
              <w:pStyle w:val="Tabletext"/>
              <w:tabs>
                <w:tab w:val="decimal" w:pos="220"/>
              </w:tabs>
            </w:pPr>
          </w:p>
        </w:tc>
        <w:tc>
          <w:tcPr>
            <w:tcW w:w="0" w:type="auto"/>
            <w:tcBorders>
              <w:top w:val="nil"/>
              <w:left w:val="nil"/>
              <w:bottom w:val="nil"/>
              <w:right w:val="nil"/>
            </w:tcBorders>
          </w:tcPr>
          <w:p w:rsidR="00C11894" w:rsidRPr="00ED1A25" w:rsidRDefault="00C11894" w:rsidP="00D21B79">
            <w:pPr>
              <w:pStyle w:val="Tabletext"/>
              <w:jc w:val="center"/>
            </w:pPr>
            <w:r w:rsidRPr="00ED1A25">
              <w:t>1</w:t>
            </w:r>
          </w:p>
        </w:tc>
      </w:tr>
      <w:tr w:rsidR="00C11894" w:rsidRPr="00ED1A25">
        <w:trPr>
          <w:trHeight w:val="320"/>
        </w:trPr>
        <w:tc>
          <w:tcPr>
            <w:tcW w:w="0" w:type="auto"/>
            <w:tcBorders>
              <w:top w:val="nil"/>
              <w:left w:val="nil"/>
              <w:bottom w:val="nil"/>
              <w:right w:val="nil"/>
            </w:tcBorders>
            <w:shd w:val="clear" w:color="auto" w:fill="auto"/>
            <w:noWrap/>
            <w:vAlign w:val="center"/>
          </w:tcPr>
          <w:p w:rsidR="00C11894" w:rsidRPr="00ED1A25" w:rsidRDefault="00C11894" w:rsidP="00104F40">
            <w:pPr>
              <w:pStyle w:val="Tabletext"/>
              <w:tabs>
                <w:tab w:val="decimal" w:pos="195"/>
              </w:tabs>
            </w:pPr>
            <w:r w:rsidRPr="00ED1A25">
              <w:t>1</w:t>
            </w:r>
          </w:p>
        </w:tc>
        <w:tc>
          <w:tcPr>
            <w:tcW w:w="0" w:type="auto"/>
            <w:tcBorders>
              <w:top w:val="nil"/>
              <w:left w:val="nil"/>
              <w:bottom w:val="nil"/>
              <w:right w:val="nil"/>
            </w:tcBorders>
            <w:vAlign w:val="center"/>
          </w:tcPr>
          <w:p w:rsidR="00C11894" w:rsidRPr="00ED1A25" w:rsidRDefault="00C11894" w:rsidP="008329D1">
            <w:pPr>
              <w:pStyle w:val="Tabletext"/>
            </w:pPr>
            <w:r w:rsidRPr="00ED1A25">
              <w:t>Archaeology</w:t>
            </w:r>
          </w:p>
        </w:tc>
        <w:tc>
          <w:tcPr>
            <w:tcW w:w="0" w:type="auto"/>
            <w:tcBorders>
              <w:top w:val="nil"/>
              <w:left w:val="nil"/>
              <w:bottom w:val="nil"/>
              <w:right w:val="nil"/>
            </w:tcBorders>
          </w:tcPr>
          <w:p w:rsidR="00C11894" w:rsidRPr="00ED1A25" w:rsidRDefault="00C11894" w:rsidP="00D21B79">
            <w:pPr>
              <w:pStyle w:val="Tabletext"/>
              <w:jc w:val="center"/>
            </w:pPr>
          </w:p>
        </w:tc>
        <w:tc>
          <w:tcPr>
            <w:tcW w:w="0" w:type="auto"/>
            <w:tcBorders>
              <w:top w:val="nil"/>
              <w:left w:val="nil"/>
              <w:bottom w:val="nil"/>
              <w:right w:val="nil"/>
            </w:tcBorders>
          </w:tcPr>
          <w:p w:rsidR="00C11894" w:rsidRPr="00ED1A25" w:rsidRDefault="00C11894" w:rsidP="00D21B79">
            <w:pPr>
              <w:pStyle w:val="Tabletext"/>
              <w:jc w:val="center"/>
            </w:pPr>
          </w:p>
        </w:tc>
        <w:tc>
          <w:tcPr>
            <w:tcW w:w="0" w:type="auto"/>
            <w:tcBorders>
              <w:top w:val="nil"/>
              <w:left w:val="nil"/>
              <w:bottom w:val="nil"/>
              <w:right w:val="nil"/>
            </w:tcBorders>
          </w:tcPr>
          <w:p w:rsidR="00C11894" w:rsidRPr="00ED1A25" w:rsidRDefault="00C11894" w:rsidP="00D21B79">
            <w:pPr>
              <w:pStyle w:val="Tabletext"/>
              <w:jc w:val="center"/>
            </w:pPr>
          </w:p>
        </w:tc>
        <w:tc>
          <w:tcPr>
            <w:tcW w:w="0" w:type="auto"/>
            <w:tcBorders>
              <w:top w:val="nil"/>
              <w:left w:val="nil"/>
              <w:bottom w:val="nil"/>
              <w:right w:val="nil"/>
            </w:tcBorders>
          </w:tcPr>
          <w:p w:rsidR="00C11894" w:rsidRPr="00ED1A25" w:rsidRDefault="00C11894" w:rsidP="00D21B79">
            <w:pPr>
              <w:pStyle w:val="Tabletext"/>
              <w:jc w:val="center"/>
            </w:pPr>
            <w:r w:rsidRPr="00ED1A25">
              <w:t>1</w:t>
            </w:r>
          </w:p>
        </w:tc>
        <w:tc>
          <w:tcPr>
            <w:tcW w:w="0" w:type="auto"/>
            <w:tcBorders>
              <w:top w:val="nil"/>
              <w:left w:val="nil"/>
              <w:bottom w:val="nil"/>
              <w:right w:val="nil"/>
            </w:tcBorders>
          </w:tcPr>
          <w:p w:rsidR="00C11894" w:rsidRPr="00ED1A25" w:rsidRDefault="00C11894" w:rsidP="00D21B79">
            <w:pPr>
              <w:pStyle w:val="Tabletext"/>
              <w:jc w:val="center"/>
            </w:pPr>
            <w:r w:rsidRPr="00ED1A25">
              <w:t>1</w:t>
            </w:r>
          </w:p>
        </w:tc>
        <w:tc>
          <w:tcPr>
            <w:tcW w:w="0" w:type="auto"/>
            <w:tcBorders>
              <w:top w:val="nil"/>
              <w:left w:val="nil"/>
              <w:bottom w:val="nil"/>
              <w:right w:val="nil"/>
            </w:tcBorders>
          </w:tcPr>
          <w:p w:rsidR="00C11894" w:rsidRPr="00ED1A25" w:rsidRDefault="00C11894" w:rsidP="008329D1">
            <w:pPr>
              <w:pStyle w:val="Tabletext"/>
            </w:pPr>
          </w:p>
        </w:tc>
        <w:tc>
          <w:tcPr>
            <w:tcW w:w="0" w:type="auto"/>
            <w:tcBorders>
              <w:top w:val="nil"/>
              <w:left w:val="nil"/>
              <w:bottom w:val="nil"/>
              <w:right w:val="nil"/>
            </w:tcBorders>
          </w:tcPr>
          <w:p w:rsidR="00C11894" w:rsidRPr="00ED1A25" w:rsidRDefault="00C11894" w:rsidP="00D21B79">
            <w:pPr>
              <w:pStyle w:val="Tabletext"/>
              <w:jc w:val="center"/>
            </w:pPr>
          </w:p>
        </w:tc>
      </w:tr>
      <w:tr w:rsidR="00C11894" w:rsidRPr="00ED1A25">
        <w:trPr>
          <w:trHeight w:val="320"/>
        </w:trPr>
        <w:tc>
          <w:tcPr>
            <w:tcW w:w="0" w:type="auto"/>
            <w:tcBorders>
              <w:top w:val="nil"/>
              <w:left w:val="nil"/>
              <w:bottom w:val="nil"/>
              <w:right w:val="nil"/>
            </w:tcBorders>
            <w:shd w:val="clear" w:color="auto" w:fill="auto"/>
            <w:noWrap/>
            <w:vAlign w:val="center"/>
          </w:tcPr>
          <w:p w:rsidR="00C11894" w:rsidRPr="00ED1A25" w:rsidRDefault="00C11894" w:rsidP="00104F40">
            <w:pPr>
              <w:pStyle w:val="Tabletext"/>
              <w:tabs>
                <w:tab w:val="decimal" w:pos="195"/>
              </w:tabs>
            </w:pPr>
            <w:r w:rsidRPr="00ED1A25">
              <w:t>1</w:t>
            </w:r>
          </w:p>
        </w:tc>
        <w:tc>
          <w:tcPr>
            <w:tcW w:w="0" w:type="auto"/>
            <w:tcBorders>
              <w:top w:val="nil"/>
              <w:left w:val="nil"/>
              <w:bottom w:val="nil"/>
              <w:right w:val="nil"/>
            </w:tcBorders>
            <w:vAlign w:val="center"/>
          </w:tcPr>
          <w:p w:rsidR="00C11894" w:rsidRPr="00ED1A25" w:rsidRDefault="00C11894" w:rsidP="008329D1">
            <w:pPr>
              <w:pStyle w:val="Tabletext"/>
            </w:pPr>
            <w:r w:rsidRPr="00ED1A25">
              <w:t>Commerce</w:t>
            </w:r>
          </w:p>
        </w:tc>
        <w:tc>
          <w:tcPr>
            <w:tcW w:w="0" w:type="auto"/>
            <w:tcBorders>
              <w:top w:val="nil"/>
              <w:left w:val="nil"/>
              <w:bottom w:val="nil"/>
              <w:right w:val="nil"/>
            </w:tcBorders>
          </w:tcPr>
          <w:p w:rsidR="00C11894" w:rsidRPr="00ED1A25" w:rsidRDefault="00C11894" w:rsidP="00D21B79">
            <w:pPr>
              <w:pStyle w:val="Tabletext"/>
              <w:jc w:val="center"/>
            </w:pPr>
          </w:p>
        </w:tc>
        <w:tc>
          <w:tcPr>
            <w:tcW w:w="0" w:type="auto"/>
            <w:tcBorders>
              <w:top w:val="nil"/>
              <w:left w:val="nil"/>
              <w:bottom w:val="nil"/>
              <w:right w:val="nil"/>
            </w:tcBorders>
          </w:tcPr>
          <w:p w:rsidR="00C11894" w:rsidRPr="00ED1A25" w:rsidRDefault="00C11894" w:rsidP="00D21B79">
            <w:pPr>
              <w:pStyle w:val="Tabletext"/>
              <w:jc w:val="center"/>
            </w:pPr>
          </w:p>
        </w:tc>
        <w:tc>
          <w:tcPr>
            <w:tcW w:w="0" w:type="auto"/>
            <w:tcBorders>
              <w:top w:val="nil"/>
              <w:left w:val="nil"/>
              <w:bottom w:val="nil"/>
              <w:right w:val="nil"/>
            </w:tcBorders>
          </w:tcPr>
          <w:p w:rsidR="00C11894" w:rsidRPr="00ED1A25" w:rsidRDefault="00C11894" w:rsidP="00D21B79">
            <w:pPr>
              <w:pStyle w:val="Tabletext"/>
              <w:jc w:val="center"/>
            </w:pPr>
            <w:r w:rsidRPr="00ED1A25">
              <w:t>1</w:t>
            </w:r>
          </w:p>
        </w:tc>
        <w:tc>
          <w:tcPr>
            <w:tcW w:w="0" w:type="auto"/>
            <w:tcBorders>
              <w:top w:val="nil"/>
              <w:left w:val="nil"/>
              <w:bottom w:val="nil"/>
              <w:right w:val="nil"/>
            </w:tcBorders>
          </w:tcPr>
          <w:p w:rsidR="00C11894" w:rsidRPr="00ED1A25" w:rsidRDefault="00C11894" w:rsidP="00D21B79">
            <w:pPr>
              <w:pStyle w:val="Tabletext"/>
              <w:jc w:val="center"/>
            </w:pPr>
          </w:p>
        </w:tc>
        <w:tc>
          <w:tcPr>
            <w:tcW w:w="0" w:type="auto"/>
            <w:tcBorders>
              <w:top w:val="nil"/>
              <w:left w:val="nil"/>
              <w:bottom w:val="nil"/>
              <w:right w:val="nil"/>
            </w:tcBorders>
          </w:tcPr>
          <w:p w:rsidR="00C11894" w:rsidRPr="00ED1A25" w:rsidRDefault="00C11894" w:rsidP="00D21B79">
            <w:pPr>
              <w:pStyle w:val="Tabletext"/>
              <w:jc w:val="center"/>
            </w:pPr>
            <w:r w:rsidRPr="00ED1A25">
              <w:t>1</w:t>
            </w:r>
          </w:p>
        </w:tc>
        <w:tc>
          <w:tcPr>
            <w:tcW w:w="0" w:type="auto"/>
            <w:tcBorders>
              <w:top w:val="nil"/>
              <w:left w:val="nil"/>
              <w:bottom w:val="nil"/>
              <w:right w:val="nil"/>
            </w:tcBorders>
          </w:tcPr>
          <w:p w:rsidR="00C11894" w:rsidRPr="00ED1A25" w:rsidRDefault="00C11894" w:rsidP="008329D1">
            <w:pPr>
              <w:pStyle w:val="Tabletext"/>
            </w:pPr>
          </w:p>
        </w:tc>
        <w:tc>
          <w:tcPr>
            <w:tcW w:w="0" w:type="auto"/>
            <w:tcBorders>
              <w:top w:val="nil"/>
              <w:left w:val="nil"/>
              <w:bottom w:val="nil"/>
              <w:right w:val="nil"/>
            </w:tcBorders>
          </w:tcPr>
          <w:p w:rsidR="00C11894" w:rsidRPr="00ED1A25" w:rsidRDefault="00C11894" w:rsidP="00D21B79">
            <w:pPr>
              <w:pStyle w:val="Tabletext"/>
              <w:jc w:val="center"/>
            </w:pPr>
          </w:p>
        </w:tc>
      </w:tr>
      <w:tr w:rsidR="00C11894" w:rsidRPr="00ED1A25">
        <w:trPr>
          <w:trHeight w:val="320"/>
        </w:trPr>
        <w:tc>
          <w:tcPr>
            <w:tcW w:w="0" w:type="auto"/>
            <w:tcBorders>
              <w:top w:val="nil"/>
              <w:left w:val="nil"/>
              <w:bottom w:val="nil"/>
              <w:right w:val="nil"/>
            </w:tcBorders>
            <w:shd w:val="clear" w:color="auto" w:fill="auto"/>
            <w:noWrap/>
            <w:vAlign w:val="center"/>
          </w:tcPr>
          <w:p w:rsidR="00C11894" w:rsidRPr="00ED1A25" w:rsidRDefault="00C11894" w:rsidP="00104F40">
            <w:pPr>
              <w:pStyle w:val="Tabletext"/>
              <w:tabs>
                <w:tab w:val="decimal" w:pos="195"/>
              </w:tabs>
            </w:pPr>
            <w:r w:rsidRPr="00ED1A25">
              <w:t>1</w:t>
            </w:r>
          </w:p>
        </w:tc>
        <w:tc>
          <w:tcPr>
            <w:tcW w:w="0" w:type="auto"/>
            <w:tcBorders>
              <w:top w:val="nil"/>
              <w:left w:val="nil"/>
              <w:bottom w:val="nil"/>
              <w:right w:val="nil"/>
            </w:tcBorders>
            <w:vAlign w:val="center"/>
          </w:tcPr>
          <w:p w:rsidR="00C11894" w:rsidRPr="00ED1A25" w:rsidRDefault="00C11894" w:rsidP="008329D1">
            <w:pPr>
              <w:pStyle w:val="Tabletext"/>
            </w:pPr>
            <w:r w:rsidRPr="00ED1A25">
              <w:t>Civil engineering</w:t>
            </w:r>
          </w:p>
        </w:tc>
        <w:tc>
          <w:tcPr>
            <w:tcW w:w="0" w:type="auto"/>
            <w:tcBorders>
              <w:top w:val="nil"/>
              <w:left w:val="nil"/>
              <w:bottom w:val="nil"/>
              <w:right w:val="nil"/>
            </w:tcBorders>
          </w:tcPr>
          <w:p w:rsidR="00C11894" w:rsidRPr="00ED1A25" w:rsidRDefault="00C11894" w:rsidP="00D21B79">
            <w:pPr>
              <w:pStyle w:val="Tabletext"/>
              <w:jc w:val="center"/>
            </w:pPr>
          </w:p>
        </w:tc>
        <w:tc>
          <w:tcPr>
            <w:tcW w:w="0" w:type="auto"/>
            <w:tcBorders>
              <w:top w:val="nil"/>
              <w:left w:val="nil"/>
              <w:bottom w:val="nil"/>
              <w:right w:val="nil"/>
            </w:tcBorders>
          </w:tcPr>
          <w:p w:rsidR="00C11894" w:rsidRPr="00ED1A25" w:rsidRDefault="00C11894" w:rsidP="00D21B79">
            <w:pPr>
              <w:pStyle w:val="Tabletext"/>
              <w:jc w:val="center"/>
            </w:pPr>
          </w:p>
        </w:tc>
        <w:tc>
          <w:tcPr>
            <w:tcW w:w="0" w:type="auto"/>
            <w:tcBorders>
              <w:top w:val="nil"/>
              <w:left w:val="nil"/>
              <w:bottom w:val="nil"/>
              <w:right w:val="nil"/>
            </w:tcBorders>
          </w:tcPr>
          <w:p w:rsidR="00C11894" w:rsidRPr="00ED1A25" w:rsidRDefault="00C11894" w:rsidP="00D21B79">
            <w:pPr>
              <w:pStyle w:val="Tabletext"/>
              <w:jc w:val="center"/>
            </w:pPr>
            <w:r w:rsidRPr="00ED1A25">
              <w:t>1</w:t>
            </w:r>
          </w:p>
        </w:tc>
        <w:tc>
          <w:tcPr>
            <w:tcW w:w="0" w:type="auto"/>
            <w:tcBorders>
              <w:top w:val="nil"/>
              <w:left w:val="nil"/>
              <w:bottom w:val="nil"/>
              <w:right w:val="nil"/>
            </w:tcBorders>
          </w:tcPr>
          <w:p w:rsidR="00C11894" w:rsidRPr="00ED1A25" w:rsidRDefault="00C11894" w:rsidP="00D21B79">
            <w:pPr>
              <w:pStyle w:val="Tabletext"/>
              <w:jc w:val="center"/>
            </w:pPr>
          </w:p>
        </w:tc>
        <w:tc>
          <w:tcPr>
            <w:tcW w:w="0" w:type="auto"/>
            <w:tcBorders>
              <w:top w:val="nil"/>
              <w:left w:val="nil"/>
              <w:bottom w:val="nil"/>
              <w:right w:val="nil"/>
            </w:tcBorders>
          </w:tcPr>
          <w:p w:rsidR="00C11894" w:rsidRPr="00ED1A25" w:rsidRDefault="00C11894" w:rsidP="00D21B79">
            <w:pPr>
              <w:pStyle w:val="Tabletext"/>
              <w:jc w:val="center"/>
            </w:pPr>
            <w:r w:rsidRPr="00ED1A25">
              <w:t>1</w:t>
            </w:r>
          </w:p>
        </w:tc>
        <w:tc>
          <w:tcPr>
            <w:tcW w:w="0" w:type="auto"/>
            <w:tcBorders>
              <w:top w:val="nil"/>
              <w:left w:val="nil"/>
              <w:bottom w:val="nil"/>
              <w:right w:val="nil"/>
            </w:tcBorders>
          </w:tcPr>
          <w:p w:rsidR="00C11894" w:rsidRPr="00ED1A25" w:rsidRDefault="00C11894" w:rsidP="008329D1">
            <w:pPr>
              <w:pStyle w:val="Tabletext"/>
            </w:pPr>
          </w:p>
        </w:tc>
        <w:tc>
          <w:tcPr>
            <w:tcW w:w="0" w:type="auto"/>
            <w:tcBorders>
              <w:top w:val="nil"/>
              <w:left w:val="nil"/>
              <w:bottom w:val="nil"/>
              <w:right w:val="nil"/>
            </w:tcBorders>
          </w:tcPr>
          <w:p w:rsidR="00C11894" w:rsidRPr="00ED1A25" w:rsidRDefault="00C11894" w:rsidP="008329D1">
            <w:pPr>
              <w:pStyle w:val="Tabletext"/>
            </w:pPr>
          </w:p>
        </w:tc>
      </w:tr>
      <w:tr w:rsidR="00C11894" w:rsidRPr="00ED1A25">
        <w:trPr>
          <w:trHeight w:val="320"/>
        </w:trPr>
        <w:tc>
          <w:tcPr>
            <w:tcW w:w="0" w:type="auto"/>
            <w:tcBorders>
              <w:top w:val="nil"/>
              <w:left w:val="nil"/>
              <w:bottom w:val="nil"/>
              <w:right w:val="nil"/>
            </w:tcBorders>
            <w:shd w:val="clear" w:color="auto" w:fill="auto"/>
            <w:noWrap/>
            <w:vAlign w:val="center"/>
          </w:tcPr>
          <w:p w:rsidR="00C11894" w:rsidRPr="00ED1A25" w:rsidRDefault="00C11894" w:rsidP="00104F40">
            <w:pPr>
              <w:pStyle w:val="Tabletext"/>
              <w:tabs>
                <w:tab w:val="decimal" w:pos="195"/>
              </w:tabs>
            </w:pPr>
            <w:r w:rsidRPr="00ED1A25">
              <w:t>2</w:t>
            </w:r>
          </w:p>
        </w:tc>
        <w:tc>
          <w:tcPr>
            <w:tcW w:w="0" w:type="auto"/>
            <w:tcBorders>
              <w:top w:val="nil"/>
              <w:left w:val="nil"/>
              <w:bottom w:val="nil"/>
              <w:right w:val="nil"/>
            </w:tcBorders>
            <w:vAlign w:val="center"/>
          </w:tcPr>
          <w:p w:rsidR="00C11894" w:rsidRPr="00ED1A25" w:rsidRDefault="00C11894" w:rsidP="008329D1">
            <w:pPr>
              <w:pStyle w:val="Tabletext"/>
            </w:pPr>
            <w:r w:rsidRPr="00ED1A25">
              <w:t>Psychology</w:t>
            </w:r>
          </w:p>
        </w:tc>
        <w:tc>
          <w:tcPr>
            <w:tcW w:w="0" w:type="auto"/>
            <w:tcBorders>
              <w:top w:val="nil"/>
              <w:left w:val="nil"/>
              <w:bottom w:val="nil"/>
              <w:right w:val="nil"/>
            </w:tcBorders>
          </w:tcPr>
          <w:p w:rsidR="00C11894" w:rsidRPr="00ED1A25" w:rsidRDefault="00C11894" w:rsidP="00D21B79">
            <w:pPr>
              <w:pStyle w:val="Tabletext"/>
              <w:jc w:val="center"/>
            </w:pPr>
          </w:p>
        </w:tc>
        <w:tc>
          <w:tcPr>
            <w:tcW w:w="0" w:type="auto"/>
            <w:tcBorders>
              <w:top w:val="nil"/>
              <w:left w:val="nil"/>
              <w:bottom w:val="nil"/>
              <w:right w:val="nil"/>
            </w:tcBorders>
          </w:tcPr>
          <w:p w:rsidR="00C11894" w:rsidRPr="00ED1A25" w:rsidRDefault="00C11894" w:rsidP="00D21B79">
            <w:pPr>
              <w:pStyle w:val="Tabletext"/>
              <w:jc w:val="center"/>
            </w:pPr>
          </w:p>
        </w:tc>
        <w:tc>
          <w:tcPr>
            <w:tcW w:w="0" w:type="auto"/>
            <w:tcBorders>
              <w:top w:val="nil"/>
              <w:left w:val="nil"/>
              <w:bottom w:val="nil"/>
              <w:right w:val="nil"/>
            </w:tcBorders>
          </w:tcPr>
          <w:p w:rsidR="00C11894" w:rsidRPr="00ED1A25" w:rsidRDefault="00C11894" w:rsidP="00D21B79">
            <w:pPr>
              <w:pStyle w:val="Tabletext"/>
              <w:jc w:val="center"/>
            </w:pPr>
          </w:p>
        </w:tc>
        <w:tc>
          <w:tcPr>
            <w:tcW w:w="0" w:type="auto"/>
            <w:tcBorders>
              <w:top w:val="nil"/>
              <w:left w:val="nil"/>
              <w:bottom w:val="nil"/>
              <w:right w:val="nil"/>
            </w:tcBorders>
          </w:tcPr>
          <w:p w:rsidR="00C11894" w:rsidRPr="00ED1A25" w:rsidRDefault="00C11894" w:rsidP="00D21B79">
            <w:pPr>
              <w:pStyle w:val="Tabletext"/>
              <w:jc w:val="center"/>
            </w:pPr>
            <w:r w:rsidRPr="00ED1A25">
              <w:t>2</w:t>
            </w:r>
          </w:p>
        </w:tc>
        <w:tc>
          <w:tcPr>
            <w:tcW w:w="0" w:type="auto"/>
            <w:tcBorders>
              <w:top w:val="nil"/>
              <w:left w:val="nil"/>
              <w:bottom w:val="nil"/>
              <w:right w:val="nil"/>
            </w:tcBorders>
          </w:tcPr>
          <w:p w:rsidR="00C11894" w:rsidRPr="00ED1A25" w:rsidRDefault="00C11894" w:rsidP="00D21B79">
            <w:pPr>
              <w:pStyle w:val="Tabletext"/>
              <w:jc w:val="center"/>
            </w:pPr>
            <w:r w:rsidRPr="00ED1A25">
              <w:t>2</w:t>
            </w:r>
          </w:p>
        </w:tc>
        <w:tc>
          <w:tcPr>
            <w:tcW w:w="0" w:type="auto"/>
            <w:tcBorders>
              <w:top w:val="nil"/>
              <w:left w:val="nil"/>
              <w:bottom w:val="nil"/>
              <w:right w:val="nil"/>
            </w:tcBorders>
          </w:tcPr>
          <w:p w:rsidR="00C11894" w:rsidRPr="00ED1A25" w:rsidRDefault="00C11894" w:rsidP="008329D1">
            <w:pPr>
              <w:pStyle w:val="Tabletext"/>
            </w:pPr>
          </w:p>
        </w:tc>
        <w:tc>
          <w:tcPr>
            <w:tcW w:w="0" w:type="auto"/>
            <w:tcBorders>
              <w:top w:val="nil"/>
              <w:left w:val="nil"/>
              <w:bottom w:val="nil"/>
              <w:right w:val="nil"/>
            </w:tcBorders>
          </w:tcPr>
          <w:p w:rsidR="00C11894" w:rsidRPr="00ED1A25" w:rsidRDefault="00C11894" w:rsidP="008329D1">
            <w:pPr>
              <w:pStyle w:val="Tabletext"/>
            </w:pPr>
          </w:p>
        </w:tc>
      </w:tr>
      <w:tr w:rsidR="00C11894" w:rsidRPr="00ED1A25">
        <w:trPr>
          <w:trHeight w:val="320"/>
        </w:trPr>
        <w:tc>
          <w:tcPr>
            <w:tcW w:w="0" w:type="auto"/>
            <w:tcBorders>
              <w:top w:val="nil"/>
              <w:left w:val="nil"/>
              <w:right w:val="nil"/>
            </w:tcBorders>
            <w:shd w:val="clear" w:color="auto" w:fill="auto"/>
            <w:noWrap/>
            <w:vAlign w:val="center"/>
          </w:tcPr>
          <w:p w:rsidR="00C11894" w:rsidRPr="00ED1A25" w:rsidRDefault="00C11894" w:rsidP="00104F40">
            <w:pPr>
              <w:pStyle w:val="Tabletext"/>
              <w:tabs>
                <w:tab w:val="decimal" w:pos="195"/>
              </w:tabs>
            </w:pPr>
            <w:r w:rsidRPr="00ED1A25">
              <w:t>1</w:t>
            </w:r>
          </w:p>
        </w:tc>
        <w:tc>
          <w:tcPr>
            <w:tcW w:w="0" w:type="auto"/>
            <w:tcBorders>
              <w:top w:val="nil"/>
              <w:left w:val="nil"/>
              <w:right w:val="nil"/>
            </w:tcBorders>
            <w:vAlign w:val="center"/>
          </w:tcPr>
          <w:p w:rsidR="00C11894" w:rsidRPr="00ED1A25" w:rsidRDefault="00C11894" w:rsidP="008329D1">
            <w:pPr>
              <w:pStyle w:val="Tabletext"/>
            </w:pPr>
            <w:r w:rsidRPr="00ED1A25">
              <w:t>Business</w:t>
            </w:r>
          </w:p>
        </w:tc>
        <w:tc>
          <w:tcPr>
            <w:tcW w:w="0" w:type="auto"/>
            <w:tcBorders>
              <w:top w:val="nil"/>
              <w:left w:val="nil"/>
              <w:right w:val="nil"/>
            </w:tcBorders>
          </w:tcPr>
          <w:p w:rsidR="00C11894" w:rsidRPr="00ED1A25" w:rsidRDefault="00C11894" w:rsidP="00D21B79">
            <w:pPr>
              <w:pStyle w:val="Tabletext"/>
              <w:jc w:val="center"/>
            </w:pPr>
            <w:r>
              <w:t>1</w:t>
            </w:r>
          </w:p>
        </w:tc>
        <w:tc>
          <w:tcPr>
            <w:tcW w:w="0" w:type="auto"/>
            <w:tcBorders>
              <w:top w:val="nil"/>
              <w:left w:val="nil"/>
              <w:right w:val="nil"/>
            </w:tcBorders>
          </w:tcPr>
          <w:p w:rsidR="00C11894" w:rsidRPr="00ED1A25" w:rsidRDefault="00C11894" w:rsidP="00D21B79">
            <w:pPr>
              <w:pStyle w:val="Tabletext"/>
              <w:jc w:val="center"/>
            </w:pPr>
          </w:p>
        </w:tc>
        <w:tc>
          <w:tcPr>
            <w:tcW w:w="0" w:type="auto"/>
            <w:tcBorders>
              <w:top w:val="nil"/>
              <w:left w:val="nil"/>
              <w:right w:val="nil"/>
            </w:tcBorders>
          </w:tcPr>
          <w:p w:rsidR="00C11894" w:rsidRPr="00ED1A25" w:rsidRDefault="00C11894" w:rsidP="00D21B79">
            <w:pPr>
              <w:pStyle w:val="Tabletext"/>
              <w:jc w:val="center"/>
            </w:pPr>
          </w:p>
        </w:tc>
        <w:tc>
          <w:tcPr>
            <w:tcW w:w="0" w:type="auto"/>
            <w:tcBorders>
              <w:top w:val="nil"/>
              <w:left w:val="nil"/>
              <w:right w:val="nil"/>
            </w:tcBorders>
          </w:tcPr>
          <w:p w:rsidR="00C11894" w:rsidRPr="00ED1A25" w:rsidRDefault="00C11894" w:rsidP="00D21B79">
            <w:pPr>
              <w:pStyle w:val="Tabletext"/>
              <w:jc w:val="center"/>
            </w:pPr>
          </w:p>
        </w:tc>
        <w:tc>
          <w:tcPr>
            <w:tcW w:w="0" w:type="auto"/>
            <w:tcBorders>
              <w:top w:val="nil"/>
              <w:left w:val="nil"/>
              <w:right w:val="nil"/>
            </w:tcBorders>
          </w:tcPr>
          <w:p w:rsidR="00C11894" w:rsidRPr="00ED1A25" w:rsidRDefault="00C11894" w:rsidP="00D21B79">
            <w:pPr>
              <w:pStyle w:val="Tabletext"/>
              <w:jc w:val="center"/>
            </w:pPr>
            <w:r w:rsidRPr="00ED1A25">
              <w:t>1</w:t>
            </w:r>
          </w:p>
        </w:tc>
        <w:tc>
          <w:tcPr>
            <w:tcW w:w="0" w:type="auto"/>
            <w:tcBorders>
              <w:top w:val="nil"/>
              <w:left w:val="nil"/>
              <w:right w:val="nil"/>
            </w:tcBorders>
          </w:tcPr>
          <w:p w:rsidR="00C11894" w:rsidRPr="00ED1A25" w:rsidRDefault="00C11894" w:rsidP="008329D1">
            <w:pPr>
              <w:pStyle w:val="Tabletext"/>
            </w:pPr>
          </w:p>
        </w:tc>
        <w:tc>
          <w:tcPr>
            <w:tcW w:w="0" w:type="auto"/>
            <w:tcBorders>
              <w:top w:val="nil"/>
              <w:left w:val="nil"/>
              <w:right w:val="nil"/>
            </w:tcBorders>
          </w:tcPr>
          <w:p w:rsidR="00C11894" w:rsidRPr="00ED1A25" w:rsidRDefault="00C11894" w:rsidP="008329D1">
            <w:pPr>
              <w:pStyle w:val="Tabletext"/>
            </w:pPr>
          </w:p>
        </w:tc>
      </w:tr>
    </w:tbl>
    <w:p w:rsidR="00C11894" w:rsidRDefault="00C11894" w:rsidP="00104F40">
      <w:pPr>
        <w:pStyle w:val="Source"/>
        <w:tabs>
          <w:tab w:val="left" w:pos="851"/>
        </w:tabs>
      </w:pPr>
      <w:r>
        <w:t>*Notes:</w:t>
      </w:r>
      <w:r w:rsidR="00104F40">
        <w:tab/>
      </w:r>
      <w:r>
        <w:t xml:space="preserve">1. </w:t>
      </w:r>
      <w:r w:rsidR="00104F40">
        <w:tab/>
      </w:r>
      <w:r>
        <w:t>Number of mentions not necessarily number of participants</w:t>
      </w:r>
    </w:p>
    <w:p w:rsidR="00C11894" w:rsidRPr="00ED1A25" w:rsidRDefault="00C11894" w:rsidP="00104F40">
      <w:pPr>
        <w:pStyle w:val="Source"/>
        <w:tabs>
          <w:tab w:val="left" w:pos="851"/>
        </w:tabs>
        <w:ind w:left="851" w:hanging="284"/>
      </w:pPr>
      <w:r>
        <w:t xml:space="preserve">2. </w:t>
      </w:r>
      <w:r w:rsidR="00104F40">
        <w:tab/>
      </w:r>
      <w:r>
        <w:t>Other: teaching – dance teacher skills developed through private classes throughout childhood; small business proposal for carpet cleaning no formal training proposed to be undertaken; armed forces recruitment and training processes; retail –</w:t>
      </w:r>
      <w:r w:rsidR="0016602D">
        <w:t xml:space="preserve"> informal on the job training; d</w:t>
      </w:r>
      <w:r>
        <w:t>airy farmer – taught by father throughout childhood.</w:t>
      </w:r>
    </w:p>
    <w:p w:rsidR="00F02010" w:rsidRPr="00ED1A25" w:rsidRDefault="00F02010" w:rsidP="00F02010">
      <w:pPr>
        <w:pStyle w:val="tabletitle"/>
      </w:pPr>
      <w:bookmarkStart w:id="128" w:name="_Toc254034417"/>
      <w:bookmarkStart w:id="129" w:name="_Toc258143227"/>
      <w:bookmarkStart w:id="130" w:name="_Toc409079314"/>
      <w:r w:rsidRPr="00ED1A25">
        <w:t xml:space="preserve">Table </w:t>
      </w:r>
      <w:r w:rsidR="00541888">
        <w:t>A2</w:t>
      </w:r>
      <w:r w:rsidRPr="00ED1A25">
        <w:t xml:space="preserve"> </w:t>
      </w:r>
      <w:r w:rsidR="00104F40">
        <w:tab/>
      </w:r>
      <w:r w:rsidRPr="00ED1A25">
        <w:t>Most popular career categories</w:t>
      </w:r>
      <w:bookmarkEnd w:id="128"/>
      <w:bookmarkEnd w:id="129"/>
      <w:bookmarkEnd w:id="130"/>
    </w:p>
    <w:tbl>
      <w:tblPr>
        <w:tblW w:w="340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51"/>
        <w:gridCol w:w="2551"/>
      </w:tblGrid>
      <w:tr w:rsidR="00F02010" w:rsidRPr="00104F40" w:rsidTr="00104F40">
        <w:trPr>
          <w:trHeight w:val="300"/>
        </w:trPr>
        <w:tc>
          <w:tcPr>
            <w:tcW w:w="851" w:type="dxa"/>
            <w:tcBorders>
              <w:left w:val="nil"/>
              <w:bottom w:val="single" w:sz="8" w:space="0" w:color="auto"/>
              <w:right w:val="nil"/>
            </w:tcBorders>
            <w:shd w:val="clear" w:color="auto" w:fill="auto"/>
            <w:noWrap/>
            <w:tcMar>
              <w:right w:w="0" w:type="dxa"/>
            </w:tcMar>
          </w:tcPr>
          <w:p w:rsidR="00F02010" w:rsidRPr="00104F40" w:rsidRDefault="00F02010" w:rsidP="00104F40">
            <w:pPr>
              <w:pStyle w:val="Tablehead1"/>
            </w:pPr>
            <w:r w:rsidRPr="00104F40">
              <w:t>Number</w:t>
            </w:r>
          </w:p>
        </w:tc>
        <w:tc>
          <w:tcPr>
            <w:tcW w:w="2551" w:type="dxa"/>
            <w:tcBorders>
              <w:left w:val="nil"/>
              <w:bottom w:val="single" w:sz="8" w:space="0" w:color="auto"/>
              <w:right w:val="nil"/>
            </w:tcBorders>
            <w:shd w:val="clear" w:color="auto" w:fill="auto"/>
            <w:noWrap/>
          </w:tcPr>
          <w:p w:rsidR="00F02010" w:rsidRPr="00104F40" w:rsidRDefault="00F02010" w:rsidP="00104F40">
            <w:pPr>
              <w:pStyle w:val="Tablehead1"/>
            </w:pPr>
            <w:r w:rsidRPr="00104F40">
              <w:t>Career category</w:t>
            </w:r>
          </w:p>
        </w:tc>
      </w:tr>
      <w:tr w:rsidR="00F02010" w:rsidRPr="00ED1A25" w:rsidTr="00104F40">
        <w:trPr>
          <w:trHeight w:val="300"/>
        </w:trPr>
        <w:tc>
          <w:tcPr>
            <w:tcW w:w="851" w:type="dxa"/>
            <w:tcBorders>
              <w:left w:val="nil"/>
              <w:bottom w:val="nil"/>
              <w:right w:val="nil"/>
            </w:tcBorders>
            <w:shd w:val="clear" w:color="auto" w:fill="auto"/>
            <w:noWrap/>
            <w:tcMar>
              <w:right w:w="0" w:type="dxa"/>
            </w:tcMar>
            <w:vAlign w:val="bottom"/>
          </w:tcPr>
          <w:p w:rsidR="00F02010" w:rsidRPr="00ED1A25" w:rsidRDefault="00F02010" w:rsidP="00104F40">
            <w:pPr>
              <w:pStyle w:val="Tabletext"/>
              <w:tabs>
                <w:tab w:val="decimal" w:pos="176"/>
              </w:tabs>
              <w:spacing w:before="20" w:after="20"/>
            </w:pPr>
            <w:r w:rsidRPr="00ED1A25">
              <w:t>13</w:t>
            </w:r>
          </w:p>
        </w:tc>
        <w:tc>
          <w:tcPr>
            <w:tcW w:w="2551" w:type="dxa"/>
            <w:tcBorders>
              <w:left w:val="nil"/>
              <w:bottom w:val="nil"/>
              <w:right w:val="nil"/>
            </w:tcBorders>
            <w:shd w:val="clear" w:color="auto" w:fill="auto"/>
            <w:noWrap/>
            <w:vAlign w:val="bottom"/>
          </w:tcPr>
          <w:p w:rsidR="00F02010" w:rsidRPr="00ED1A25" w:rsidRDefault="00F02010" w:rsidP="00FB6F6F">
            <w:pPr>
              <w:pStyle w:val="Tabletext"/>
              <w:spacing w:before="20" w:after="20"/>
            </w:pPr>
            <w:r>
              <w:t>Community</w:t>
            </w:r>
            <w:r w:rsidRPr="00ED1A25">
              <w:t xml:space="preserve"> services</w:t>
            </w:r>
          </w:p>
        </w:tc>
      </w:tr>
      <w:tr w:rsidR="00F02010" w:rsidRPr="00ED1A25" w:rsidTr="00104F40">
        <w:trPr>
          <w:trHeight w:val="300"/>
        </w:trPr>
        <w:tc>
          <w:tcPr>
            <w:tcW w:w="851" w:type="dxa"/>
            <w:tcBorders>
              <w:top w:val="nil"/>
              <w:left w:val="nil"/>
              <w:bottom w:val="nil"/>
              <w:right w:val="nil"/>
            </w:tcBorders>
            <w:shd w:val="clear" w:color="auto" w:fill="auto"/>
            <w:noWrap/>
            <w:tcMar>
              <w:right w:w="0" w:type="dxa"/>
            </w:tcMar>
            <w:vAlign w:val="bottom"/>
          </w:tcPr>
          <w:p w:rsidR="00F02010" w:rsidRPr="00ED1A25" w:rsidRDefault="00F02010" w:rsidP="00104F40">
            <w:pPr>
              <w:pStyle w:val="Tabletext"/>
              <w:tabs>
                <w:tab w:val="decimal" w:pos="176"/>
              </w:tabs>
              <w:spacing w:before="20" w:after="20"/>
            </w:pPr>
            <w:r w:rsidRPr="00ED1A25">
              <w:t>9</w:t>
            </w:r>
          </w:p>
        </w:tc>
        <w:tc>
          <w:tcPr>
            <w:tcW w:w="2551" w:type="dxa"/>
            <w:tcBorders>
              <w:top w:val="nil"/>
              <w:left w:val="nil"/>
              <w:bottom w:val="nil"/>
              <w:right w:val="nil"/>
            </w:tcBorders>
            <w:shd w:val="clear" w:color="auto" w:fill="auto"/>
            <w:noWrap/>
            <w:vAlign w:val="bottom"/>
          </w:tcPr>
          <w:p w:rsidR="00F02010" w:rsidRPr="00ED1A25" w:rsidRDefault="00F02010" w:rsidP="00FB6F6F">
            <w:pPr>
              <w:pStyle w:val="Tabletext"/>
              <w:spacing w:before="20" w:after="20"/>
            </w:pPr>
            <w:r w:rsidRPr="00ED1A25">
              <w:t>Trades</w:t>
            </w:r>
          </w:p>
        </w:tc>
      </w:tr>
      <w:tr w:rsidR="00F02010" w:rsidRPr="00ED1A25" w:rsidTr="00104F40">
        <w:trPr>
          <w:trHeight w:val="300"/>
        </w:trPr>
        <w:tc>
          <w:tcPr>
            <w:tcW w:w="851" w:type="dxa"/>
            <w:tcBorders>
              <w:top w:val="nil"/>
              <w:left w:val="nil"/>
              <w:bottom w:val="nil"/>
              <w:right w:val="nil"/>
            </w:tcBorders>
            <w:shd w:val="clear" w:color="auto" w:fill="auto"/>
            <w:noWrap/>
            <w:tcMar>
              <w:right w:w="0" w:type="dxa"/>
            </w:tcMar>
            <w:vAlign w:val="bottom"/>
          </w:tcPr>
          <w:p w:rsidR="00F02010" w:rsidRPr="00ED1A25" w:rsidRDefault="00F02010" w:rsidP="00104F40">
            <w:pPr>
              <w:pStyle w:val="Tabletext"/>
              <w:tabs>
                <w:tab w:val="decimal" w:pos="176"/>
              </w:tabs>
              <w:spacing w:before="20" w:after="20"/>
            </w:pPr>
            <w:r w:rsidRPr="00ED1A25">
              <w:t>8</w:t>
            </w:r>
          </w:p>
        </w:tc>
        <w:tc>
          <w:tcPr>
            <w:tcW w:w="2551" w:type="dxa"/>
            <w:tcBorders>
              <w:top w:val="nil"/>
              <w:left w:val="nil"/>
              <w:bottom w:val="nil"/>
              <w:right w:val="nil"/>
            </w:tcBorders>
            <w:shd w:val="clear" w:color="auto" w:fill="auto"/>
            <w:noWrap/>
            <w:vAlign w:val="bottom"/>
          </w:tcPr>
          <w:p w:rsidR="00F02010" w:rsidRPr="00ED1A25" w:rsidRDefault="00F02010" w:rsidP="00FB6F6F">
            <w:pPr>
              <w:pStyle w:val="Tabletext"/>
              <w:spacing w:before="20" w:after="20"/>
            </w:pPr>
            <w:r w:rsidRPr="00ED1A25">
              <w:t>Health</w:t>
            </w:r>
          </w:p>
        </w:tc>
      </w:tr>
      <w:tr w:rsidR="00F02010" w:rsidRPr="00ED1A25" w:rsidTr="00104F40">
        <w:trPr>
          <w:trHeight w:val="300"/>
        </w:trPr>
        <w:tc>
          <w:tcPr>
            <w:tcW w:w="851" w:type="dxa"/>
            <w:tcBorders>
              <w:top w:val="nil"/>
              <w:left w:val="nil"/>
              <w:bottom w:val="nil"/>
              <w:right w:val="nil"/>
            </w:tcBorders>
            <w:shd w:val="clear" w:color="auto" w:fill="auto"/>
            <w:noWrap/>
            <w:tcMar>
              <w:right w:w="0" w:type="dxa"/>
            </w:tcMar>
            <w:vAlign w:val="bottom"/>
          </w:tcPr>
          <w:p w:rsidR="00F02010" w:rsidRPr="00ED1A25" w:rsidRDefault="00F02010" w:rsidP="00104F40">
            <w:pPr>
              <w:pStyle w:val="Tabletext"/>
              <w:tabs>
                <w:tab w:val="decimal" w:pos="176"/>
              </w:tabs>
              <w:spacing w:before="20" w:after="20"/>
            </w:pPr>
            <w:r w:rsidRPr="00ED1A25">
              <w:t>6</w:t>
            </w:r>
          </w:p>
        </w:tc>
        <w:tc>
          <w:tcPr>
            <w:tcW w:w="2551" w:type="dxa"/>
            <w:tcBorders>
              <w:top w:val="nil"/>
              <w:left w:val="nil"/>
              <w:bottom w:val="nil"/>
              <w:right w:val="nil"/>
            </w:tcBorders>
            <w:shd w:val="clear" w:color="auto" w:fill="auto"/>
            <w:noWrap/>
            <w:vAlign w:val="bottom"/>
          </w:tcPr>
          <w:p w:rsidR="00F02010" w:rsidRPr="00ED1A25" w:rsidRDefault="00F02010" w:rsidP="00FB6F6F">
            <w:pPr>
              <w:pStyle w:val="Tabletext"/>
              <w:spacing w:before="20" w:after="20"/>
            </w:pPr>
            <w:r w:rsidRPr="00ED1A25">
              <w:t>Teaching</w:t>
            </w:r>
          </w:p>
        </w:tc>
      </w:tr>
      <w:tr w:rsidR="00F02010" w:rsidRPr="00ED1A25" w:rsidTr="00104F40">
        <w:trPr>
          <w:trHeight w:val="300"/>
        </w:trPr>
        <w:tc>
          <w:tcPr>
            <w:tcW w:w="851" w:type="dxa"/>
            <w:tcBorders>
              <w:top w:val="nil"/>
              <w:left w:val="nil"/>
              <w:bottom w:val="nil"/>
              <w:right w:val="nil"/>
            </w:tcBorders>
            <w:shd w:val="clear" w:color="auto" w:fill="auto"/>
            <w:noWrap/>
            <w:tcMar>
              <w:right w:w="0" w:type="dxa"/>
            </w:tcMar>
            <w:vAlign w:val="bottom"/>
          </w:tcPr>
          <w:p w:rsidR="00F02010" w:rsidRPr="00ED1A25" w:rsidRDefault="00F02010" w:rsidP="00104F40">
            <w:pPr>
              <w:pStyle w:val="Tabletext"/>
              <w:tabs>
                <w:tab w:val="decimal" w:pos="176"/>
              </w:tabs>
              <w:spacing w:before="20" w:after="20"/>
            </w:pPr>
            <w:r w:rsidRPr="00ED1A25">
              <w:t>6</w:t>
            </w:r>
          </w:p>
        </w:tc>
        <w:tc>
          <w:tcPr>
            <w:tcW w:w="2551" w:type="dxa"/>
            <w:tcBorders>
              <w:top w:val="nil"/>
              <w:left w:val="nil"/>
              <w:bottom w:val="nil"/>
              <w:right w:val="nil"/>
            </w:tcBorders>
            <w:shd w:val="clear" w:color="auto" w:fill="auto"/>
            <w:noWrap/>
            <w:vAlign w:val="bottom"/>
          </w:tcPr>
          <w:p w:rsidR="00F02010" w:rsidRPr="00ED1A25" w:rsidRDefault="00F02010" w:rsidP="00FB6F6F">
            <w:pPr>
              <w:pStyle w:val="Tabletext"/>
              <w:spacing w:before="20" w:after="20"/>
            </w:pPr>
            <w:r w:rsidRPr="00ED1A25">
              <w:t>Office work</w:t>
            </w:r>
          </w:p>
        </w:tc>
      </w:tr>
      <w:tr w:rsidR="00F02010" w:rsidRPr="00ED1A25" w:rsidTr="00104F40">
        <w:trPr>
          <w:trHeight w:val="300"/>
        </w:trPr>
        <w:tc>
          <w:tcPr>
            <w:tcW w:w="851" w:type="dxa"/>
            <w:tcBorders>
              <w:top w:val="nil"/>
              <w:left w:val="nil"/>
              <w:bottom w:val="nil"/>
              <w:right w:val="nil"/>
            </w:tcBorders>
            <w:shd w:val="clear" w:color="auto" w:fill="auto"/>
            <w:noWrap/>
            <w:tcMar>
              <w:right w:w="0" w:type="dxa"/>
            </w:tcMar>
            <w:vAlign w:val="bottom"/>
          </w:tcPr>
          <w:p w:rsidR="00F02010" w:rsidRPr="00ED1A25" w:rsidRDefault="00F02010" w:rsidP="00104F40">
            <w:pPr>
              <w:pStyle w:val="Tabletext"/>
              <w:tabs>
                <w:tab w:val="decimal" w:pos="176"/>
              </w:tabs>
              <w:spacing w:before="20" w:after="20"/>
            </w:pPr>
            <w:r w:rsidRPr="00ED1A25">
              <w:t>6</w:t>
            </w:r>
          </w:p>
        </w:tc>
        <w:tc>
          <w:tcPr>
            <w:tcW w:w="2551" w:type="dxa"/>
            <w:tcBorders>
              <w:top w:val="nil"/>
              <w:left w:val="nil"/>
              <w:bottom w:val="nil"/>
              <w:right w:val="nil"/>
            </w:tcBorders>
            <w:shd w:val="clear" w:color="auto" w:fill="auto"/>
            <w:noWrap/>
            <w:vAlign w:val="bottom"/>
          </w:tcPr>
          <w:p w:rsidR="00F02010" w:rsidRPr="00ED1A25" w:rsidRDefault="00F02010" w:rsidP="00FB6F6F">
            <w:pPr>
              <w:pStyle w:val="Tabletext"/>
              <w:spacing w:before="20" w:after="20"/>
            </w:pPr>
            <w:r w:rsidRPr="00ED1A25">
              <w:t>Arts</w:t>
            </w:r>
          </w:p>
        </w:tc>
      </w:tr>
      <w:tr w:rsidR="00F02010" w:rsidRPr="00ED1A25" w:rsidTr="00104F40">
        <w:trPr>
          <w:trHeight w:val="300"/>
        </w:trPr>
        <w:tc>
          <w:tcPr>
            <w:tcW w:w="851" w:type="dxa"/>
            <w:tcBorders>
              <w:top w:val="nil"/>
              <w:left w:val="nil"/>
              <w:right w:val="nil"/>
            </w:tcBorders>
            <w:shd w:val="clear" w:color="auto" w:fill="auto"/>
            <w:noWrap/>
            <w:tcMar>
              <w:right w:w="0" w:type="dxa"/>
            </w:tcMar>
            <w:vAlign w:val="bottom"/>
          </w:tcPr>
          <w:p w:rsidR="00F02010" w:rsidRPr="00ED1A25" w:rsidRDefault="00F02010" w:rsidP="00104F40">
            <w:pPr>
              <w:pStyle w:val="Tabletext"/>
              <w:tabs>
                <w:tab w:val="decimal" w:pos="176"/>
              </w:tabs>
              <w:spacing w:before="20" w:after="20"/>
            </w:pPr>
            <w:r w:rsidRPr="00ED1A25">
              <w:t>6</w:t>
            </w:r>
          </w:p>
        </w:tc>
        <w:tc>
          <w:tcPr>
            <w:tcW w:w="2551" w:type="dxa"/>
            <w:tcBorders>
              <w:top w:val="nil"/>
              <w:left w:val="nil"/>
              <w:right w:val="nil"/>
            </w:tcBorders>
            <w:shd w:val="clear" w:color="auto" w:fill="auto"/>
            <w:noWrap/>
            <w:vAlign w:val="bottom"/>
          </w:tcPr>
          <w:p w:rsidR="00F02010" w:rsidRPr="00ED1A25" w:rsidRDefault="00F02010" w:rsidP="00FB6F6F">
            <w:pPr>
              <w:pStyle w:val="Tabletext"/>
              <w:spacing w:before="20" w:after="20"/>
            </w:pPr>
            <w:r w:rsidRPr="00ED1A25">
              <w:t>Small business owner</w:t>
            </w:r>
          </w:p>
        </w:tc>
      </w:tr>
    </w:tbl>
    <w:p w:rsidR="00104F40" w:rsidRDefault="00104F40" w:rsidP="000C6DDB">
      <w:pPr>
        <w:pStyle w:val="tabletitle"/>
      </w:pPr>
      <w:bookmarkStart w:id="131" w:name="_Toc254034418"/>
      <w:bookmarkStart w:id="132" w:name="_Toc258143228"/>
      <w:bookmarkStart w:id="133" w:name="_Toc409079315"/>
    </w:p>
    <w:p w:rsidR="00104F40" w:rsidRDefault="00104F40">
      <w:pPr>
        <w:spacing w:before="0" w:line="240" w:lineRule="auto"/>
        <w:rPr>
          <w:rFonts w:ascii="Tahoma" w:hAnsi="Tahoma"/>
          <w:b/>
          <w:sz w:val="17"/>
        </w:rPr>
      </w:pPr>
      <w:r>
        <w:br w:type="page"/>
      </w:r>
    </w:p>
    <w:p w:rsidR="000C6DDB" w:rsidRPr="00ED1A25" w:rsidRDefault="000C6DDB" w:rsidP="000C6DDB">
      <w:pPr>
        <w:pStyle w:val="tabletitle"/>
      </w:pPr>
      <w:r w:rsidRPr="00ED1A25">
        <w:lastRenderedPageBreak/>
        <w:t xml:space="preserve">Table </w:t>
      </w:r>
      <w:r w:rsidR="00541888">
        <w:t>A3</w:t>
      </w:r>
      <w:r w:rsidRPr="00ED1A25">
        <w:t xml:space="preserve"> </w:t>
      </w:r>
      <w:r w:rsidR="00104F40">
        <w:tab/>
      </w:r>
      <w:r w:rsidRPr="00ED1A25">
        <w:t>VET pathway preferred career categories</w:t>
      </w:r>
      <w:bookmarkEnd w:id="131"/>
      <w:bookmarkEnd w:id="132"/>
      <w:bookmarkEnd w:id="133"/>
    </w:p>
    <w:tbl>
      <w:tblPr>
        <w:tblW w:w="4802"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744"/>
        <w:gridCol w:w="4583"/>
        <w:gridCol w:w="1320"/>
      </w:tblGrid>
      <w:tr w:rsidR="000C6DDB" w:rsidRPr="00ED1A25">
        <w:trPr>
          <w:trHeight w:val="320"/>
        </w:trPr>
        <w:tc>
          <w:tcPr>
            <w:tcW w:w="1587" w:type="pct"/>
            <w:tcBorders>
              <w:left w:val="nil"/>
              <w:bottom w:val="single" w:sz="8" w:space="0" w:color="auto"/>
              <w:right w:val="nil"/>
            </w:tcBorders>
            <w:shd w:val="clear" w:color="auto" w:fill="auto"/>
            <w:noWrap/>
            <w:vAlign w:val="center"/>
          </w:tcPr>
          <w:p w:rsidR="000C6DDB" w:rsidRPr="00ED1A25" w:rsidRDefault="000C6DDB" w:rsidP="008329D1">
            <w:pPr>
              <w:pStyle w:val="Tablehead1"/>
            </w:pPr>
            <w:r w:rsidRPr="00ED1A25">
              <w:t>Career category</w:t>
            </w:r>
          </w:p>
        </w:tc>
        <w:tc>
          <w:tcPr>
            <w:tcW w:w="2650" w:type="pct"/>
            <w:tcBorders>
              <w:left w:val="nil"/>
              <w:bottom w:val="single" w:sz="8" w:space="0" w:color="auto"/>
              <w:right w:val="nil"/>
            </w:tcBorders>
            <w:vAlign w:val="center"/>
          </w:tcPr>
          <w:p w:rsidR="000C6DDB" w:rsidRPr="00ED1A25" w:rsidRDefault="000C6DDB" w:rsidP="008329D1">
            <w:pPr>
              <w:pStyle w:val="Tablehead1"/>
            </w:pPr>
            <w:r w:rsidRPr="00ED1A25">
              <w:t>Career type</w:t>
            </w:r>
          </w:p>
        </w:tc>
        <w:tc>
          <w:tcPr>
            <w:tcW w:w="763" w:type="pct"/>
            <w:tcBorders>
              <w:left w:val="nil"/>
              <w:bottom w:val="single" w:sz="8" w:space="0" w:color="auto"/>
              <w:right w:val="nil"/>
            </w:tcBorders>
            <w:vAlign w:val="center"/>
          </w:tcPr>
          <w:p w:rsidR="000C6DDB" w:rsidRPr="00ED1A25" w:rsidRDefault="000C6DDB" w:rsidP="00104F40">
            <w:pPr>
              <w:pStyle w:val="Tablehead1"/>
              <w:jc w:val="center"/>
            </w:pPr>
            <w:r w:rsidRPr="00ED1A25">
              <w:t>No. of participants</w:t>
            </w:r>
          </w:p>
        </w:tc>
      </w:tr>
      <w:tr w:rsidR="000C6DDB" w:rsidRPr="00ED1A25">
        <w:trPr>
          <w:trHeight w:val="320"/>
        </w:trPr>
        <w:tc>
          <w:tcPr>
            <w:tcW w:w="1587" w:type="pct"/>
            <w:tcBorders>
              <w:left w:val="nil"/>
              <w:bottom w:val="nil"/>
              <w:right w:val="nil"/>
            </w:tcBorders>
            <w:shd w:val="clear" w:color="auto" w:fill="auto"/>
            <w:noWrap/>
            <w:vAlign w:val="center"/>
          </w:tcPr>
          <w:p w:rsidR="000C6DDB" w:rsidRPr="00ED1A25" w:rsidRDefault="000C6DDB" w:rsidP="00FB6F6F">
            <w:pPr>
              <w:pStyle w:val="Tabletext"/>
              <w:spacing w:before="20" w:after="20"/>
            </w:pPr>
            <w:r>
              <w:t>Community</w:t>
            </w:r>
            <w:r w:rsidRPr="00ED1A25">
              <w:t xml:space="preserve"> services</w:t>
            </w:r>
          </w:p>
        </w:tc>
        <w:tc>
          <w:tcPr>
            <w:tcW w:w="2650" w:type="pct"/>
            <w:tcBorders>
              <w:left w:val="nil"/>
              <w:bottom w:val="nil"/>
              <w:right w:val="nil"/>
            </w:tcBorders>
            <w:vAlign w:val="center"/>
          </w:tcPr>
          <w:p w:rsidR="000C6DDB" w:rsidRPr="00ED1A25" w:rsidRDefault="000C6DDB" w:rsidP="00FB6F6F">
            <w:pPr>
              <w:pStyle w:val="Tabletext"/>
              <w:spacing w:before="20" w:after="20"/>
            </w:pPr>
            <w:r w:rsidRPr="00ED1A25">
              <w:t>Children’s services; youth work; aged care and disability</w:t>
            </w:r>
          </w:p>
        </w:tc>
        <w:tc>
          <w:tcPr>
            <w:tcW w:w="763" w:type="pct"/>
            <w:tcBorders>
              <w:left w:val="nil"/>
              <w:bottom w:val="nil"/>
              <w:right w:val="nil"/>
            </w:tcBorders>
            <w:vAlign w:val="center"/>
          </w:tcPr>
          <w:p w:rsidR="000C6DDB" w:rsidRPr="00ED1A25" w:rsidRDefault="000C6DDB" w:rsidP="00104F40">
            <w:pPr>
              <w:pStyle w:val="Tabletext"/>
              <w:tabs>
                <w:tab w:val="decimal" w:pos="635"/>
              </w:tabs>
              <w:spacing w:before="20" w:after="20"/>
            </w:pPr>
            <w:r w:rsidRPr="00ED1A25">
              <w:t>13</w:t>
            </w:r>
          </w:p>
        </w:tc>
      </w:tr>
      <w:tr w:rsidR="000C6DDB" w:rsidRPr="00ED1A25">
        <w:trPr>
          <w:trHeight w:val="320"/>
        </w:trPr>
        <w:tc>
          <w:tcPr>
            <w:tcW w:w="1587" w:type="pct"/>
            <w:tcBorders>
              <w:top w:val="nil"/>
              <w:left w:val="nil"/>
              <w:bottom w:val="nil"/>
              <w:right w:val="nil"/>
            </w:tcBorders>
            <w:shd w:val="clear" w:color="auto" w:fill="auto"/>
            <w:noWrap/>
            <w:vAlign w:val="center"/>
          </w:tcPr>
          <w:p w:rsidR="000C6DDB" w:rsidRPr="00ED1A25" w:rsidRDefault="000C6DDB" w:rsidP="00FB6F6F">
            <w:pPr>
              <w:pStyle w:val="Tabletext"/>
              <w:spacing w:before="20" w:after="20"/>
            </w:pPr>
            <w:r w:rsidRPr="00ED1A25">
              <w:t>Trade</w:t>
            </w:r>
          </w:p>
        </w:tc>
        <w:tc>
          <w:tcPr>
            <w:tcW w:w="2650" w:type="pct"/>
            <w:tcBorders>
              <w:top w:val="nil"/>
              <w:left w:val="nil"/>
              <w:bottom w:val="nil"/>
              <w:right w:val="nil"/>
            </w:tcBorders>
            <w:vAlign w:val="center"/>
          </w:tcPr>
          <w:p w:rsidR="000C6DDB" w:rsidRPr="00ED1A25" w:rsidRDefault="0016602D" w:rsidP="00FB6F6F">
            <w:pPr>
              <w:pStyle w:val="Tabletext"/>
              <w:spacing w:before="20" w:after="20"/>
            </w:pPr>
            <w:r>
              <w:t>Including</w:t>
            </w:r>
            <w:r w:rsidR="000C6DDB" w:rsidRPr="00ED1A25">
              <w:t xml:space="preserve"> pastry chef and chef; brickl</w:t>
            </w:r>
            <w:r w:rsidR="000C6DDB">
              <w:t>aying; fabrication; electrician</w:t>
            </w:r>
            <w:r w:rsidR="000C6DDB" w:rsidRPr="00ED1A25">
              <w:t>;</w:t>
            </w:r>
            <w:r w:rsidR="000C6DDB">
              <w:t xml:space="preserve"> </w:t>
            </w:r>
            <w:r w:rsidR="000C6DDB" w:rsidRPr="00ED1A25">
              <w:t xml:space="preserve">civil construction; </w:t>
            </w:r>
            <w:r>
              <w:t>linesman; building or carpentry</w:t>
            </w:r>
          </w:p>
        </w:tc>
        <w:tc>
          <w:tcPr>
            <w:tcW w:w="763" w:type="pct"/>
            <w:tcBorders>
              <w:top w:val="nil"/>
              <w:left w:val="nil"/>
              <w:bottom w:val="nil"/>
              <w:right w:val="nil"/>
            </w:tcBorders>
            <w:vAlign w:val="center"/>
          </w:tcPr>
          <w:p w:rsidR="000C6DDB" w:rsidRPr="00ED1A25" w:rsidRDefault="000C6DDB" w:rsidP="00104F40">
            <w:pPr>
              <w:pStyle w:val="Tabletext"/>
              <w:tabs>
                <w:tab w:val="decimal" w:pos="635"/>
              </w:tabs>
              <w:spacing w:before="20" w:after="20"/>
            </w:pPr>
            <w:r w:rsidRPr="00ED1A25">
              <w:t>9</w:t>
            </w:r>
          </w:p>
        </w:tc>
      </w:tr>
      <w:tr w:rsidR="000C6DDB" w:rsidRPr="00ED1A25">
        <w:trPr>
          <w:trHeight w:val="320"/>
        </w:trPr>
        <w:tc>
          <w:tcPr>
            <w:tcW w:w="1587" w:type="pct"/>
            <w:tcBorders>
              <w:top w:val="nil"/>
              <w:left w:val="nil"/>
              <w:bottom w:val="nil"/>
              <w:right w:val="nil"/>
            </w:tcBorders>
            <w:shd w:val="clear" w:color="auto" w:fill="auto"/>
            <w:noWrap/>
            <w:vAlign w:val="center"/>
          </w:tcPr>
          <w:p w:rsidR="000C6DDB" w:rsidRPr="00ED1A25" w:rsidRDefault="000C6DDB" w:rsidP="00FB6F6F">
            <w:pPr>
              <w:pStyle w:val="Tabletext"/>
              <w:spacing w:before="20" w:after="20"/>
            </w:pPr>
            <w:r w:rsidRPr="00ED1A25">
              <w:t>Office work</w:t>
            </w:r>
          </w:p>
        </w:tc>
        <w:tc>
          <w:tcPr>
            <w:tcW w:w="2650" w:type="pct"/>
            <w:tcBorders>
              <w:top w:val="nil"/>
              <w:left w:val="nil"/>
              <w:bottom w:val="nil"/>
              <w:right w:val="nil"/>
            </w:tcBorders>
            <w:vAlign w:val="center"/>
          </w:tcPr>
          <w:p w:rsidR="000C6DDB" w:rsidRPr="00ED1A25" w:rsidRDefault="000C6DDB" w:rsidP="00FB6F6F">
            <w:pPr>
              <w:pStyle w:val="Tabletext"/>
              <w:spacing w:before="20" w:after="20"/>
            </w:pPr>
            <w:r w:rsidRPr="00ED1A25">
              <w:t>Local government; reception; other</w:t>
            </w:r>
          </w:p>
        </w:tc>
        <w:tc>
          <w:tcPr>
            <w:tcW w:w="763" w:type="pct"/>
            <w:tcBorders>
              <w:top w:val="nil"/>
              <w:left w:val="nil"/>
              <w:bottom w:val="nil"/>
              <w:right w:val="nil"/>
            </w:tcBorders>
            <w:vAlign w:val="center"/>
          </w:tcPr>
          <w:p w:rsidR="000C6DDB" w:rsidRPr="00ED1A25" w:rsidRDefault="000C6DDB" w:rsidP="00104F40">
            <w:pPr>
              <w:pStyle w:val="Tabletext"/>
              <w:tabs>
                <w:tab w:val="decimal" w:pos="635"/>
              </w:tabs>
              <w:spacing w:before="20" w:after="20"/>
            </w:pPr>
            <w:r w:rsidRPr="00ED1A25">
              <w:t>6</w:t>
            </w:r>
          </w:p>
        </w:tc>
      </w:tr>
      <w:tr w:rsidR="000C6DDB" w:rsidRPr="00ED1A25">
        <w:trPr>
          <w:trHeight w:val="320"/>
        </w:trPr>
        <w:tc>
          <w:tcPr>
            <w:tcW w:w="1587" w:type="pct"/>
            <w:tcBorders>
              <w:top w:val="nil"/>
              <w:left w:val="nil"/>
              <w:bottom w:val="nil"/>
              <w:right w:val="nil"/>
            </w:tcBorders>
            <w:shd w:val="clear" w:color="auto" w:fill="auto"/>
            <w:noWrap/>
            <w:vAlign w:val="center"/>
          </w:tcPr>
          <w:p w:rsidR="000C6DDB" w:rsidRPr="00ED1A25" w:rsidRDefault="000C6DDB" w:rsidP="00FB6F6F">
            <w:pPr>
              <w:pStyle w:val="Tabletext"/>
              <w:spacing w:before="20" w:after="20"/>
            </w:pPr>
            <w:r w:rsidRPr="00ED1A25">
              <w:t>Health</w:t>
            </w:r>
          </w:p>
        </w:tc>
        <w:tc>
          <w:tcPr>
            <w:tcW w:w="2650" w:type="pct"/>
            <w:tcBorders>
              <w:top w:val="nil"/>
              <w:left w:val="nil"/>
              <w:bottom w:val="nil"/>
              <w:right w:val="nil"/>
            </w:tcBorders>
            <w:vAlign w:val="center"/>
          </w:tcPr>
          <w:p w:rsidR="000C6DDB" w:rsidRPr="00ED1A25" w:rsidRDefault="000C6DDB" w:rsidP="00FB6F6F">
            <w:pPr>
              <w:pStyle w:val="Tabletext"/>
              <w:spacing w:before="20" w:after="20"/>
            </w:pPr>
            <w:r w:rsidRPr="00ED1A25">
              <w:t>Fitness; personal trainer; outdoor recreation</w:t>
            </w:r>
          </w:p>
        </w:tc>
        <w:tc>
          <w:tcPr>
            <w:tcW w:w="763" w:type="pct"/>
            <w:tcBorders>
              <w:top w:val="nil"/>
              <w:left w:val="nil"/>
              <w:bottom w:val="nil"/>
              <w:right w:val="nil"/>
            </w:tcBorders>
            <w:vAlign w:val="center"/>
          </w:tcPr>
          <w:p w:rsidR="000C6DDB" w:rsidRPr="00ED1A25" w:rsidRDefault="000C6DDB" w:rsidP="00104F40">
            <w:pPr>
              <w:pStyle w:val="Tabletext"/>
              <w:tabs>
                <w:tab w:val="decimal" w:pos="635"/>
              </w:tabs>
              <w:spacing w:before="20" w:after="20"/>
            </w:pPr>
            <w:r w:rsidRPr="00ED1A25">
              <w:t>4</w:t>
            </w:r>
          </w:p>
        </w:tc>
      </w:tr>
      <w:tr w:rsidR="000C6DDB" w:rsidRPr="00ED1A25">
        <w:trPr>
          <w:trHeight w:val="320"/>
        </w:trPr>
        <w:tc>
          <w:tcPr>
            <w:tcW w:w="1587" w:type="pct"/>
            <w:tcBorders>
              <w:top w:val="nil"/>
              <w:left w:val="nil"/>
              <w:bottom w:val="nil"/>
              <w:right w:val="nil"/>
            </w:tcBorders>
            <w:shd w:val="clear" w:color="auto" w:fill="auto"/>
            <w:noWrap/>
            <w:vAlign w:val="center"/>
          </w:tcPr>
          <w:p w:rsidR="000C6DDB" w:rsidRPr="00ED1A25" w:rsidRDefault="000C6DDB" w:rsidP="00FB6F6F">
            <w:pPr>
              <w:pStyle w:val="Tabletext"/>
              <w:spacing w:before="20" w:after="20"/>
            </w:pPr>
            <w:r w:rsidRPr="00ED1A25">
              <w:t>Beauty &amp; fashion</w:t>
            </w:r>
          </w:p>
        </w:tc>
        <w:tc>
          <w:tcPr>
            <w:tcW w:w="2650" w:type="pct"/>
            <w:tcBorders>
              <w:top w:val="nil"/>
              <w:left w:val="nil"/>
              <w:bottom w:val="nil"/>
              <w:right w:val="nil"/>
            </w:tcBorders>
            <w:vAlign w:val="center"/>
          </w:tcPr>
          <w:p w:rsidR="000C6DDB" w:rsidRPr="00ED1A25" w:rsidRDefault="000C6DDB" w:rsidP="00FB6F6F">
            <w:pPr>
              <w:pStyle w:val="Tabletext"/>
              <w:spacing w:before="20" w:after="20"/>
            </w:pPr>
            <w:r w:rsidRPr="00ED1A25">
              <w:t>Make</w:t>
            </w:r>
            <w:r w:rsidR="00553DB5">
              <w:t>-</w:t>
            </w:r>
            <w:r w:rsidRPr="00ED1A25">
              <w:t>up artist; beauty therapist</w:t>
            </w:r>
          </w:p>
        </w:tc>
        <w:tc>
          <w:tcPr>
            <w:tcW w:w="763" w:type="pct"/>
            <w:tcBorders>
              <w:top w:val="nil"/>
              <w:left w:val="nil"/>
              <w:bottom w:val="nil"/>
              <w:right w:val="nil"/>
            </w:tcBorders>
            <w:vAlign w:val="center"/>
          </w:tcPr>
          <w:p w:rsidR="000C6DDB" w:rsidRPr="00ED1A25" w:rsidRDefault="000C6DDB" w:rsidP="00104F40">
            <w:pPr>
              <w:pStyle w:val="Tabletext"/>
              <w:tabs>
                <w:tab w:val="decimal" w:pos="635"/>
              </w:tabs>
              <w:spacing w:before="20" w:after="20"/>
            </w:pPr>
            <w:r w:rsidRPr="00ED1A25">
              <w:t>2</w:t>
            </w:r>
          </w:p>
        </w:tc>
      </w:tr>
      <w:tr w:rsidR="000C6DDB" w:rsidRPr="00ED1A25">
        <w:trPr>
          <w:trHeight w:val="320"/>
        </w:trPr>
        <w:tc>
          <w:tcPr>
            <w:tcW w:w="1587" w:type="pct"/>
            <w:tcBorders>
              <w:top w:val="nil"/>
              <w:left w:val="nil"/>
              <w:bottom w:val="nil"/>
              <w:right w:val="nil"/>
            </w:tcBorders>
            <w:shd w:val="clear" w:color="auto" w:fill="auto"/>
            <w:noWrap/>
            <w:vAlign w:val="center"/>
          </w:tcPr>
          <w:p w:rsidR="000C6DDB" w:rsidRPr="00ED1A25" w:rsidRDefault="000C6DDB" w:rsidP="00FB6F6F">
            <w:pPr>
              <w:pStyle w:val="Tabletext"/>
              <w:spacing w:before="20" w:after="20"/>
            </w:pPr>
            <w:r w:rsidRPr="00ED1A25">
              <w:t>Management</w:t>
            </w:r>
          </w:p>
        </w:tc>
        <w:tc>
          <w:tcPr>
            <w:tcW w:w="2650" w:type="pct"/>
            <w:tcBorders>
              <w:top w:val="nil"/>
              <w:left w:val="nil"/>
              <w:bottom w:val="nil"/>
              <w:right w:val="nil"/>
            </w:tcBorders>
            <w:vAlign w:val="center"/>
          </w:tcPr>
          <w:p w:rsidR="000C6DDB" w:rsidRPr="00ED1A25" w:rsidRDefault="000C6DDB" w:rsidP="00FB6F6F">
            <w:pPr>
              <w:pStyle w:val="Tabletext"/>
              <w:spacing w:before="20" w:after="20"/>
            </w:pPr>
            <w:r w:rsidRPr="00ED1A25">
              <w:t>Hotel and local government</w:t>
            </w:r>
          </w:p>
        </w:tc>
        <w:tc>
          <w:tcPr>
            <w:tcW w:w="763" w:type="pct"/>
            <w:tcBorders>
              <w:top w:val="nil"/>
              <w:left w:val="nil"/>
              <w:bottom w:val="nil"/>
              <w:right w:val="nil"/>
            </w:tcBorders>
            <w:vAlign w:val="center"/>
          </w:tcPr>
          <w:p w:rsidR="000C6DDB" w:rsidRPr="00ED1A25" w:rsidRDefault="000C6DDB" w:rsidP="00104F40">
            <w:pPr>
              <w:pStyle w:val="Tabletext"/>
              <w:tabs>
                <w:tab w:val="decimal" w:pos="635"/>
              </w:tabs>
              <w:spacing w:before="20" w:after="20"/>
            </w:pPr>
            <w:r w:rsidRPr="00ED1A25">
              <w:t>2</w:t>
            </w:r>
          </w:p>
        </w:tc>
      </w:tr>
      <w:tr w:rsidR="000C6DDB" w:rsidRPr="00ED1A25">
        <w:trPr>
          <w:trHeight w:val="320"/>
        </w:trPr>
        <w:tc>
          <w:tcPr>
            <w:tcW w:w="1587" w:type="pct"/>
            <w:tcBorders>
              <w:top w:val="nil"/>
              <w:left w:val="nil"/>
              <w:bottom w:val="nil"/>
              <w:right w:val="nil"/>
            </w:tcBorders>
            <w:shd w:val="clear" w:color="auto" w:fill="auto"/>
            <w:noWrap/>
            <w:vAlign w:val="center"/>
          </w:tcPr>
          <w:p w:rsidR="000C6DDB" w:rsidRPr="00ED1A25" w:rsidRDefault="000C6DDB" w:rsidP="00FB6F6F">
            <w:pPr>
              <w:pStyle w:val="Tabletext"/>
              <w:spacing w:before="20" w:after="20"/>
            </w:pPr>
            <w:r w:rsidRPr="00ED1A25">
              <w:t>Small business</w:t>
            </w:r>
          </w:p>
        </w:tc>
        <w:tc>
          <w:tcPr>
            <w:tcW w:w="2650" w:type="pct"/>
            <w:tcBorders>
              <w:top w:val="nil"/>
              <w:left w:val="nil"/>
              <w:bottom w:val="nil"/>
              <w:right w:val="nil"/>
            </w:tcBorders>
            <w:vAlign w:val="center"/>
          </w:tcPr>
          <w:p w:rsidR="000C6DDB" w:rsidRPr="00ED1A25" w:rsidRDefault="000C6DDB" w:rsidP="00FB6F6F">
            <w:pPr>
              <w:pStyle w:val="Tabletext"/>
              <w:spacing w:before="20" w:after="20"/>
            </w:pPr>
            <w:r w:rsidRPr="00ED1A25">
              <w:t>Electrician, gym</w:t>
            </w:r>
          </w:p>
        </w:tc>
        <w:tc>
          <w:tcPr>
            <w:tcW w:w="763" w:type="pct"/>
            <w:tcBorders>
              <w:top w:val="nil"/>
              <w:left w:val="nil"/>
              <w:bottom w:val="nil"/>
              <w:right w:val="nil"/>
            </w:tcBorders>
            <w:vAlign w:val="center"/>
          </w:tcPr>
          <w:p w:rsidR="000C6DDB" w:rsidRPr="00ED1A25" w:rsidRDefault="000C6DDB" w:rsidP="00104F40">
            <w:pPr>
              <w:pStyle w:val="Tabletext"/>
              <w:tabs>
                <w:tab w:val="decimal" w:pos="635"/>
              </w:tabs>
              <w:spacing w:before="20" w:after="20"/>
            </w:pPr>
            <w:r w:rsidRPr="00ED1A25">
              <w:t>2</w:t>
            </w:r>
          </w:p>
        </w:tc>
      </w:tr>
      <w:tr w:rsidR="000C6DDB" w:rsidRPr="00ED1A25">
        <w:trPr>
          <w:trHeight w:val="320"/>
        </w:trPr>
        <w:tc>
          <w:tcPr>
            <w:tcW w:w="1587" w:type="pct"/>
            <w:tcBorders>
              <w:top w:val="nil"/>
              <w:left w:val="nil"/>
              <w:bottom w:val="nil"/>
              <w:right w:val="nil"/>
            </w:tcBorders>
            <w:shd w:val="clear" w:color="auto" w:fill="auto"/>
            <w:noWrap/>
            <w:vAlign w:val="center"/>
          </w:tcPr>
          <w:p w:rsidR="000C6DDB" w:rsidRPr="00ED1A25" w:rsidRDefault="000C6DDB" w:rsidP="00FB6F6F">
            <w:pPr>
              <w:pStyle w:val="Tabletext"/>
              <w:spacing w:before="20" w:after="20"/>
            </w:pPr>
            <w:r w:rsidRPr="00ED1A25">
              <w:t>Arts</w:t>
            </w:r>
          </w:p>
        </w:tc>
        <w:tc>
          <w:tcPr>
            <w:tcW w:w="2650" w:type="pct"/>
            <w:tcBorders>
              <w:top w:val="nil"/>
              <w:left w:val="nil"/>
              <w:bottom w:val="nil"/>
              <w:right w:val="nil"/>
            </w:tcBorders>
            <w:vAlign w:val="center"/>
          </w:tcPr>
          <w:p w:rsidR="000C6DDB" w:rsidRPr="00ED1A25" w:rsidRDefault="000C6DDB" w:rsidP="00FB6F6F">
            <w:pPr>
              <w:pStyle w:val="Tabletext"/>
              <w:spacing w:before="20" w:after="20"/>
            </w:pPr>
            <w:r w:rsidRPr="00ED1A25">
              <w:t>Graphic design</w:t>
            </w:r>
          </w:p>
        </w:tc>
        <w:tc>
          <w:tcPr>
            <w:tcW w:w="763" w:type="pct"/>
            <w:tcBorders>
              <w:top w:val="nil"/>
              <w:left w:val="nil"/>
              <w:bottom w:val="nil"/>
              <w:right w:val="nil"/>
            </w:tcBorders>
            <w:vAlign w:val="center"/>
          </w:tcPr>
          <w:p w:rsidR="000C6DDB" w:rsidRPr="00ED1A25" w:rsidRDefault="000C6DDB" w:rsidP="00104F40">
            <w:pPr>
              <w:pStyle w:val="Tabletext"/>
              <w:tabs>
                <w:tab w:val="decimal" w:pos="635"/>
              </w:tabs>
              <w:spacing w:before="20" w:after="20"/>
            </w:pPr>
            <w:r w:rsidRPr="00ED1A25">
              <w:t>1</w:t>
            </w:r>
          </w:p>
        </w:tc>
      </w:tr>
      <w:tr w:rsidR="000C6DDB" w:rsidRPr="00ED1A25" w:rsidTr="00104F40">
        <w:trPr>
          <w:trHeight w:val="320"/>
        </w:trPr>
        <w:tc>
          <w:tcPr>
            <w:tcW w:w="1587" w:type="pct"/>
            <w:tcBorders>
              <w:top w:val="nil"/>
              <w:left w:val="nil"/>
              <w:bottom w:val="single" w:sz="4" w:space="0" w:color="auto"/>
              <w:right w:val="nil"/>
            </w:tcBorders>
            <w:shd w:val="clear" w:color="auto" w:fill="auto"/>
            <w:noWrap/>
            <w:vAlign w:val="center"/>
          </w:tcPr>
          <w:p w:rsidR="000C6DDB" w:rsidRPr="00ED1A25" w:rsidRDefault="000C6DDB" w:rsidP="00FB6F6F">
            <w:pPr>
              <w:pStyle w:val="Tabletext"/>
              <w:spacing w:before="20" w:after="20"/>
            </w:pPr>
            <w:r w:rsidRPr="00ED1A25">
              <w:t>Other</w:t>
            </w:r>
          </w:p>
        </w:tc>
        <w:tc>
          <w:tcPr>
            <w:tcW w:w="2650" w:type="pct"/>
            <w:tcBorders>
              <w:top w:val="nil"/>
              <w:left w:val="nil"/>
              <w:bottom w:val="single" w:sz="4" w:space="0" w:color="auto"/>
              <w:right w:val="nil"/>
            </w:tcBorders>
            <w:vAlign w:val="center"/>
          </w:tcPr>
          <w:p w:rsidR="000C6DDB" w:rsidRPr="00ED1A25" w:rsidRDefault="000C6DDB" w:rsidP="00FB6F6F">
            <w:pPr>
              <w:pStyle w:val="Tabletext"/>
              <w:spacing w:before="20" w:after="20"/>
            </w:pPr>
            <w:r w:rsidRPr="00ED1A25">
              <w:t>Stock agent</w:t>
            </w:r>
          </w:p>
        </w:tc>
        <w:tc>
          <w:tcPr>
            <w:tcW w:w="763" w:type="pct"/>
            <w:tcBorders>
              <w:top w:val="nil"/>
              <w:left w:val="nil"/>
              <w:bottom w:val="single" w:sz="4" w:space="0" w:color="auto"/>
              <w:right w:val="nil"/>
            </w:tcBorders>
            <w:vAlign w:val="center"/>
          </w:tcPr>
          <w:p w:rsidR="000C6DDB" w:rsidRPr="00ED1A25" w:rsidRDefault="000C6DDB" w:rsidP="00104F40">
            <w:pPr>
              <w:pStyle w:val="Tabletext"/>
              <w:tabs>
                <w:tab w:val="decimal" w:pos="635"/>
              </w:tabs>
              <w:spacing w:before="20" w:after="20"/>
            </w:pPr>
            <w:r w:rsidRPr="00ED1A25">
              <w:t>1</w:t>
            </w:r>
          </w:p>
        </w:tc>
      </w:tr>
      <w:tr w:rsidR="00E86537" w:rsidRPr="00ED1A25" w:rsidTr="00104F40">
        <w:trPr>
          <w:trHeight w:val="320"/>
        </w:trPr>
        <w:tc>
          <w:tcPr>
            <w:tcW w:w="1587" w:type="pct"/>
            <w:tcBorders>
              <w:top w:val="single" w:sz="4" w:space="0" w:color="auto"/>
              <w:left w:val="nil"/>
              <w:bottom w:val="single" w:sz="8" w:space="0" w:color="auto"/>
              <w:right w:val="nil"/>
            </w:tcBorders>
            <w:shd w:val="clear" w:color="auto" w:fill="auto"/>
            <w:noWrap/>
            <w:vAlign w:val="center"/>
          </w:tcPr>
          <w:p w:rsidR="00E86537" w:rsidRPr="007C0A0F" w:rsidRDefault="007C0A0F" w:rsidP="00FB6F6F">
            <w:pPr>
              <w:pStyle w:val="Tabletext"/>
              <w:spacing w:before="20" w:after="20"/>
              <w:rPr>
                <w:b/>
              </w:rPr>
            </w:pPr>
            <w:r w:rsidRPr="007C0A0F">
              <w:rPr>
                <w:b/>
              </w:rPr>
              <w:t>Total VET pathway</w:t>
            </w:r>
          </w:p>
        </w:tc>
        <w:tc>
          <w:tcPr>
            <w:tcW w:w="2650" w:type="pct"/>
            <w:tcBorders>
              <w:top w:val="single" w:sz="4" w:space="0" w:color="auto"/>
              <w:left w:val="nil"/>
              <w:bottom w:val="single" w:sz="8" w:space="0" w:color="auto"/>
              <w:right w:val="nil"/>
            </w:tcBorders>
            <w:vAlign w:val="center"/>
          </w:tcPr>
          <w:p w:rsidR="00E86537" w:rsidRPr="00ED1A25" w:rsidRDefault="00E86537" w:rsidP="00FB6F6F">
            <w:pPr>
              <w:pStyle w:val="Tabletext"/>
              <w:spacing w:before="20" w:after="20"/>
            </w:pPr>
          </w:p>
        </w:tc>
        <w:tc>
          <w:tcPr>
            <w:tcW w:w="763" w:type="pct"/>
            <w:tcBorders>
              <w:top w:val="single" w:sz="4" w:space="0" w:color="auto"/>
              <w:left w:val="nil"/>
              <w:bottom w:val="single" w:sz="8" w:space="0" w:color="auto"/>
              <w:right w:val="nil"/>
            </w:tcBorders>
            <w:vAlign w:val="center"/>
          </w:tcPr>
          <w:p w:rsidR="00E86537" w:rsidRPr="007C0A0F" w:rsidRDefault="00E86537" w:rsidP="00104F40">
            <w:pPr>
              <w:pStyle w:val="Tabletext"/>
              <w:tabs>
                <w:tab w:val="decimal" w:pos="635"/>
              </w:tabs>
              <w:spacing w:before="20" w:after="20"/>
              <w:rPr>
                <w:b/>
              </w:rPr>
            </w:pPr>
            <w:r w:rsidRPr="007C0A0F">
              <w:rPr>
                <w:b/>
              </w:rPr>
              <w:t>40</w:t>
            </w:r>
          </w:p>
        </w:tc>
      </w:tr>
    </w:tbl>
    <w:p w:rsidR="006E203A" w:rsidRPr="00ED1A25" w:rsidRDefault="006E203A" w:rsidP="006E203A">
      <w:pPr>
        <w:pStyle w:val="tabletitle"/>
      </w:pPr>
      <w:bookmarkStart w:id="134" w:name="_Toc254034419"/>
      <w:bookmarkStart w:id="135" w:name="_Toc258143229"/>
      <w:bookmarkStart w:id="136" w:name="_Toc409079316"/>
      <w:r w:rsidRPr="00ED1A25">
        <w:t xml:space="preserve">Table </w:t>
      </w:r>
      <w:r w:rsidR="00541888">
        <w:t>A4</w:t>
      </w:r>
      <w:r w:rsidRPr="00ED1A25">
        <w:t xml:space="preserve"> </w:t>
      </w:r>
      <w:r>
        <w:t>University</w:t>
      </w:r>
      <w:r w:rsidRPr="00ED1A25">
        <w:t xml:space="preserve"> pathway preferred career categories</w:t>
      </w:r>
      <w:bookmarkEnd w:id="134"/>
      <w:bookmarkEnd w:id="135"/>
      <w:bookmarkEnd w:id="136"/>
    </w:p>
    <w:tbl>
      <w:tblPr>
        <w:tblW w:w="8647"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694"/>
        <w:gridCol w:w="4658"/>
        <w:gridCol w:w="1295"/>
      </w:tblGrid>
      <w:tr w:rsidR="006E203A" w:rsidRPr="00ED1A25">
        <w:trPr>
          <w:trHeight w:val="500"/>
        </w:trPr>
        <w:tc>
          <w:tcPr>
            <w:tcW w:w="2694" w:type="dxa"/>
            <w:tcBorders>
              <w:left w:val="nil"/>
              <w:bottom w:val="single" w:sz="8" w:space="0" w:color="auto"/>
              <w:right w:val="nil"/>
            </w:tcBorders>
            <w:vAlign w:val="center"/>
          </w:tcPr>
          <w:p w:rsidR="006E203A" w:rsidRPr="00ED1A25" w:rsidRDefault="006E203A" w:rsidP="008329D1">
            <w:pPr>
              <w:pStyle w:val="Tablehead1"/>
            </w:pPr>
            <w:r w:rsidRPr="00ED1A25">
              <w:t>Career category</w:t>
            </w:r>
          </w:p>
        </w:tc>
        <w:tc>
          <w:tcPr>
            <w:tcW w:w="4658" w:type="dxa"/>
            <w:tcBorders>
              <w:left w:val="nil"/>
              <w:bottom w:val="single" w:sz="8" w:space="0" w:color="auto"/>
              <w:right w:val="nil"/>
            </w:tcBorders>
            <w:vAlign w:val="center"/>
          </w:tcPr>
          <w:p w:rsidR="006E203A" w:rsidRPr="00ED1A25" w:rsidRDefault="006E203A" w:rsidP="008329D1">
            <w:pPr>
              <w:pStyle w:val="Tablehead1"/>
            </w:pPr>
            <w:r w:rsidRPr="00ED1A25">
              <w:t>Career type</w:t>
            </w:r>
          </w:p>
        </w:tc>
        <w:tc>
          <w:tcPr>
            <w:tcW w:w="1295" w:type="dxa"/>
            <w:tcBorders>
              <w:left w:val="nil"/>
              <w:bottom w:val="single" w:sz="8" w:space="0" w:color="auto"/>
              <w:right w:val="nil"/>
            </w:tcBorders>
          </w:tcPr>
          <w:p w:rsidR="006E203A" w:rsidRPr="00ED1A25" w:rsidRDefault="006E203A" w:rsidP="00104F40">
            <w:pPr>
              <w:pStyle w:val="Tablehead1"/>
              <w:jc w:val="center"/>
            </w:pPr>
            <w:r w:rsidRPr="00ED1A25">
              <w:t>No. of participants</w:t>
            </w:r>
          </w:p>
        </w:tc>
      </w:tr>
      <w:tr w:rsidR="006E203A" w:rsidRPr="00ED1A25">
        <w:trPr>
          <w:trHeight w:val="320"/>
        </w:trPr>
        <w:tc>
          <w:tcPr>
            <w:tcW w:w="2694" w:type="dxa"/>
            <w:tcBorders>
              <w:left w:val="nil"/>
              <w:bottom w:val="nil"/>
              <w:right w:val="nil"/>
            </w:tcBorders>
            <w:vAlign w:val="center"/>
          </w:tcPr>
          <w:p w:rsidR="006E203A" w:rsidRPr="00ED1A25" w:rsidRDefault="006E203A" w:rsidP="00FB6F6F">
            <w:pPr>
              <w:pStyle w:val="Tabletext"/>
              <w:spacing w:before="20" w:after="20"/>
            </w:pPr>
            <w:r w:rsidRPr="00ED1A25">
              <w:t>Teaching</w:t>
            </w:r>
          </w:p>
        </w:tc>
        <w:tc>
          <w:tcPr>
            <w:tcW w:w="4658" w:type="dxa"/>
            <w:tcBorders>
              <w:left w:val="nil"/>
              <w:bottom w:val="nil"/>
              <w:right w:val="nil"/>
            </w:tcBorders>
            <w:vAlign w:val="center"/>
          </w:tcPr>
          <w:p w:rsidR="006E203A" w:rsidRPr="00ED1A25" w:rsidRDefault="00553DB5" w:rsidP="00FB6F6F">
            <w:pPr>
              <w:pStyle w:val="Tabletext"/>
              <w:spacing w:before="20" w:after="20"/>
            </w:pPr>
            <w:r>
              <w:t>PE t</w:t>
            </w:r>
            <w:r w:rsidR="006E203A" w:rsidRPr="00ED1A25">
              <w:t>eacher x 3; Primary school teacher x 2; Art teacher</w:t>
            </w:r>
          </w:p>
        </w:tc>
        <w:tc>
          <w:tcPr>
            <w:tcW w:w="1295" w:type="dxa"/>
            <w:tcBorders>
              <w:left w:val="nil"/>
              <w:bottom w:val="nil"/>
              <w:right w:val="nil"/>
            </w:tcBorders>
            <w:vAlign w:val="center"/>
          </w:tcPr>
          <w:p w:rsidR="006E203A" w:rsidRPr="00ED1A25" w:rsidRDefault="006E203A" w:rsidP="00104F40">
            <w:pPr>
              <w:pStyle w:val="Tabletext"/>
              <w:tabs>
                <w:tab w:val="decimal" w:pos="620"/>
              </w:tabs>
              <w:spacing w:before="20" w:after="20"/>
            </w:pPr>
            <w:r w:rsidRPr="00ED1A25">
              <w:t>6</w:t>
            </w:r>
          </w:p>
        </w:tc>
      </w:tr>
      <w:tr w:rsidR="006E203A" w:rsidRPr="00ED1A25">
        <w:trPr>
          <w:trHeight w:val="500"/>
        </w:trPr>
        <w:tc>
          <w:tcPr>
            <w:tcW w:w="2694" w:type="dxa"/>
            <w:tcBorders>
              <w:top w:val="nil"/>
              <w:left w:val="nil"/>
              <w:bottom w:val="nil"/>
              <w:right w:val="nil"/>
            </w:tcBorders>
            <w:vAlign w:val="center"/>
          </w:tcPr>
          <w:p w:rsidR="006E203A" w:rsidRPr="00ED1A25" w:rsidRDefault="006E203A" w:rsidP="00FB6F6F">
            <w:pPr>
              <w:pStyle w:val="Tabletext"/>
              <w:spacing w:before="20" w:after="20"/>
            </w:pPr>
            <w:r w:rsidRPr="00ED1A25">
              <w:t>Arts</w:t>
            </w:r>
          </w:p>
        </w:tc>
        <w:tc>
          <w:tcPr>
            <w:tcW w:w="4658" w:type="dxa"/>
            <w:tcBorders>
              <w:top w:val="nil"/>
              <w:left w:val="nil"/>
              <w:bottom w:val="nil"/>
              <w:right w:val="nil"/>
            </w:tcBorders>
            <w:vAlign w:val="center"/>
          </w:tcPr>
          <w:p w:rsidR="006E203A" w:rsidRPr="00ED1A25" w:rsidRDefault="006E203A" w:rsidP="00FB6F6F">
            <w:pPr>
              <w:pStyle w:val="Tabletext"/>
              <w:spacing w:before="20" w:after="20"/>
            </w:pPr>
            <w:r w:rsidRPr="00ED1A25">
              <w:t xml:space="preserve">Arts: </w:t>
            </w:r>
            <w:r>
              <w:t>visual</w:t>
            </w:r>
            <w:r w:rsidRPr="00ED1A25">
              <w:t xml:space="preserve"> arts, creative writing, curating, fashion</w:t>
            </w:r>
          </w:p>
        </w:tc>
        <w:tc>
          <w:tcPr>
            <w:tcW w:w="1295" w:type="dxa"/>
            <w:tcBorders>
              <w:top w:val="nil"/>
              <w:left w:val="nil"/>
              <w:bottom w:val="nil"/>
              <w:right w:val="nil"/>
            </w:tcBorders>
            <w:vAlign w:val="center"/>
          </w:tcPr>
          <w:p w:rsidR="006E203A" w:rsidRPr="00ED1A25" w:rsidRDefault="006E203A" w:rsidP="00104F40">
            <w:pPr>
              <w:pStyle w:val="Tabletext"/>
              <w:tabs>
                <w:tab w:val="decimal" w:pos="620"/>
              </w:tabs>
              <w:spacing w:before="20" w:after="20"/>
            </w:pPr>
            <w:r w:rsidRPr="00ED1A25">
              <w:t>5</w:t>
            </w:r>
          </w:p>
        </w:tc>
      </w:tr>
      <w:tr w:rsidR="006E203A" w:rsidRPr="00ED1A25">
        <w:trPr>
          <w:trHeight w:val="320"/>
        </w:trPr>
        <w:tc>
          <w:tcPr>
            <w:tcW w:w="2694" w:type="dxa"/>
            <w:tcBorders>
              <w:top w:val="nil"/>
              <w:left w:val="nil"/>
              <w:bottom w:val="nil"/>
              <w:right w:val="nil"/>
            </w:tcBorders>
            <w:vAlign w:val="center"/>
          </w:tcPr>
          <w:p w:rsidR="006E203A" w:rsidRPr="00ED1A25" w:rsidRDefault="006E203A" w:rsidP="00FB6F6F">
            <w:pPr>
              <w:pStyle w:val="Tabletext"/>
              <w:spacing w:before="20" w:after="20"/>
            </w:pPr>
            <w:r w:rsidRPr="00ED1A25">
              <w:t>Health</w:t>
            </w:r>
          </w:p>
        </w:tc>
        <w:tc>
          <w:tcPr>
            <w:tcW w:w="4658" w:type="dxa"/>
            <w:tcBorders>
              <w:top w:val="nil"/>
              <w:left w:val="nil"/>
              <w:bottom w:val="nil"/>
              <w:right w:val="nil"/>
            </w:tcBorders>
            <w:vAlign w:val="center"/>
          </w:tcPr>
          <w:p w:rsidR="006E203A" w:rsidRPr="00ED1A25" w:rsidRDefault="006E203A" w:rsidP="00FB6F6F">
            <w:pPr>
              <w:pStyle w:val="Tabletext"/>
              <w:spacing w:before="20" w:after="20"/>
            </w:pPr>
            <w:r w:rsidRPr="00ED1A25">
              <w:t>Nursing, nutrition, health sciences, medicine</w:t>
            </w:r>
          </w:p>
        </w:tc>
        <w:tc>
          <w:tcPr>
            <w:tcW w:w="1295" w:type="dxa"/>
            <w:tcBorders>
              <w:top w:val="nil"/>
              <w:left w:val="nil"/>
              <w:bottom w:val="nil"/>
              <w:right w:val="nil"/>
            </w:tcBorders>
            <w:vAlign w:val="center"/>
          </w:tcPr>
          <w:p w:rsidR="006E203A" w:rsidRPr="00ED1A25" w:rsidRDefault="006E203A" w:rsidP="00104F40">
            <w:pPr>
              <w:pStyle w:val="Tabletext"/>
              <w:tabs>
                <w:tab w:val="decimal" w:pos="620"/>
              </w:tabs>
              <w:spacing w:before="20" w:after="20"/>
            </w:pPr>
            <w:r w:rsidRPr="00ED1A25">
              <w:t>4</w:t>
            </w:r>
          </w:p>
        </w:tc>
      </w:tr>
      <w:tr w:rsidR="006E203A" w:rsidRPr="00ED1A25">
        <w:trPr>
          <w:trHeight w:val="320"/>
        </w:trPr>
        <w:tc>
          <w:tcPr>
            <w:tcW w:w="2694" w:type="dxa"/>
            <w:tcBorders>
              <w:top w:val="nil"/>
              <w:left w:val="nil"/>
              <w:bottom w:val="nil"/>
              <w:right w:val="nil"/>
            </w:tcBorders>
            <w:vAlign w:val="center"/>
          </w:tcPr>
          <w:p w:rsidR="006E203A" w:rsidRPr="00ED1A25" w:rsidRDefault="006E203A" w:rsidP="00FB6F6F">
            <w:pPr>
              <w:pStyle w:val="Tabletext"/>
              <w:spacing w:before="20" w:after="20"/>
            </w:pPr>
            <w:r>
              <w:t>Community</w:t>
            </w:r>
            <w:r w:rsidRPr="00ED1A25">
              <w:t xml:space="preserve"> services</w:t>
            </w:r>
          </w:p>
        </w:tc>
        <w:tc>
          <w:tcPr>
            <w:tcW w:w="4658" w:type="dxa"/>
            <w:tcBorders>
              <w:top w:val="nil"/>
              <w:left w:val="nil"/>
              <w:bottom w:val="nil"/>
              <w:right w:val="nil"/>
            </w:tcBorders>
            <w:vAlign w:val="center"/>
          </w:tcPr>
          <w:p w:rsidR="006E203A" w:rsidRPr="00ED1A25" w:rsidRDefault="006E203A" w:rsidP="00FB6F6F">
            <w:pPr>
              <w:pStyle w:val="Tabletext"/>
              <w:spacing w:before="20" w:after="20"/>
            </w:pPr>
            <w:r w:rsidRPr="00ED1A25">
              <w:t>Social work</w:t>
            </w:r>
          </w:p>
        </w:tc>
        <w:tc>
          <w:tcPr>
            <w:tcW w:w="1295" w:type="dxa"/>
            <w:tcBorders>
              <w:top w:val="nil"/>
              <w:left w:val="nil"/>
              <w:bottom w:val="nil"/>
              <w:right w:val="nil"/>
            </w:tcBorders>
            <w:vAlign w:val="center"/>
          </w:tcPr>
          <w:p w:rsidR="006E203A" w:rsidRPr="00ED1A25" w:rsidRDefault="006E203A" w:rsidP="00104F40">
            <w:pPr>
              <w:pStyle w:val="Tabletext"/>
              <w:tabs>
                <w:tab w:val="decimal" w:pos="620"/>
              </w:tabs>
              <w:spacing w:before="20" w:after="20"/>
            </w:pPr>
            <w:r w:rsidRPr="00ED1A25">
              <w:t>1</w:t>
            </w:r>
          </w:p>
        </w:tc>
      </w:tr>
      <w:tr w:rsidR="006E203A" w:rsidRPr="00ED1A25">
        <w:trPr>
          <w:trHeight w:val="320"/>
        </w:trPr>
        <w:tc>
          <w:tcPr>
            <w:tcW w:w="2694" w:type="dxa"/>
            <w:tcBorders>
              <w:top w:val="nil"/>
              <w:left w:val="nil"/>
              <w:bottom w:val="nil"/>
              <w:right w:val="nil"/>
            </w:tcBorders>
            <w:vAlign w:val="center"/>
          </w:tcPr>
          <w:p w:rsidR="006E203A" w:rsidRPr="00ED1A25" w:rsidRDefault="006E203A" w:rsidP="00FB6F6F">
            <w:pPr>
              <w:pStyle w:val="Tabletext"/>
              <w:spacing w:before="20" w:after="20"/>
            </w:pPr>
            <w:r w:rsidRPr="00ED1A25">
              <w:t>Small business</w:t>
            </w:r>
          </w:p>
        </w:tc>
        <w:tc>
          <w:tcPr>
            <w:tcW w:w="4658" w:type="dxa"/>
            <w:tcBorders>
              <w:top w:val="nil"/>
              <w:left w:val="nil"/>
              <w:bottom w:val="nil"/>
              <w:right w:val="nil"/>
            </w:tcBorders>
            <w:vAlign w:val="center"/>
          </w:tcPr>
          <w:p w:rsidR="006E203A" w:rsidRPr="00ED1A25" w:rsidRDefault="0016602D" w:rsidP="00FB6F6F">
            <w:pPr>
              <w:pStyle w:val="Tabletext"/>
              <w:spacing w:before="20" w:after="20"/>
            </w:pPr>
            <w:r>
              <w:t>Own business – p</w:t>
            </w:r>
            <w:r w:rsidR="006E203A" w:rsidRPr="00ED1A25">
              <w:t>hysiotherapy</w:t>
            </w:r>
          </w:p>
        </w:tc>
        <w:tc>
          <w:tcPr>
            <w:tcW w:w="1295" w:type="dxa"/>
            <w:tcBorders>
              <w:top w:val="nil"/>
              <w:left w:val="nil"/>
              <w:bottom w:val="nil"/>
              <w:right w:val="nil"/>
            </w:tcBorders>
            <w:vAlign w:val="center"/>
          </w:tcPr>
          <w:p w:rsidR="006E203A" w:rsidRPr="00ED1A25" w:rsidRDefault="006E203A" w:rsidP="00104F40">
            <w:pPr>
              <w:pStyle w:val="Tabletext"/>
              <w:tabs>
                <w:tab w:val="decimal" w:pos="620"/>
              </w:tabs>
              <w:spacing w:before="20" w:after="20"/>
            </w:pPr>
            <w:r w:rsidRPr="00ED1A25">
              <w:t>1</w:t>
            </w:r>
          </w:p>
        </w:tc>
      </w:tr>
      <w:tr w:rsidR="006E203A" w:rsidRPr="00ED1A25">
        <w:trPr>
          <w:trHeight w:val="320"/>
        </w:trPr>
        <w:tc>
          <w:tcPr>
            <w:tcW w:w="2694" w:type="dxa"/>
            <w:tcBorders>
              <w:top w:val="nil"/>
              <w:left w:val="nil"/>
              <w:bottom w:val="nil"/>
              <w:right w:val="nil"/>
            </w:tcBorders>
            <w:vAlign w:val="center"/>
          </w:tcPr>
          <w:p w:rsidR="006E203A" w:rsidRPr="00ED1A25" w:rsidRDefault="006E203A" w:rsidP="00FB6F6F">
            <w:pPr>
              <w:pStyle w:val="Tabletext"/>
              <w:spacing w:before="20" w:after="20"/>
            </w:pPr>
            <w:r w:rsidRPr="00ED1A25">
              <w:t>Other</w:t>
            </w:r>
          </w:p>
        </w:tc>
        <w:tc>
          <w:tcPr>
            <w:tcW w:w="4658" w:type="dxa"/>
            <w:tcBorders>
              <w:top w:val="nil"/>
              <w:left w:val="nil"/>
              <w:bottom w:val="nil"/>
              <w:right w:val="nil"/>
            </w:tcBorders>
            <w:vAlign w:val="center"/>
          </w:tcPr>
          <w:p w:rsidR="006E203A" w:rsidRPr="00ED1A25" w:rsidRDefault="006E203A" w:rsidP="00FB6F6F">
            <w:pPr>
              <w:pStyle w:val="Tabletext"/>
              <w:spacing w:before="20" w:after="20"/>
            </w:pPr>
            <w:r w:rsidRPr="00ED1A25">
              <w:t>Psychology</w:t>
            </w:r>
          </w:p>
        </w:tc>
        <w:tc>
          <w:tcPr>
            <w:tcW w:w="1295" w:type="dxa"/>
            <w:tcBorders>
              <w:top w:val="nil"/>
              <w:left w:val="nil"/>
              <w:bottom w:val="nil"/>
              <w:right w:val="nil"/>
            </w:tcBorders>
            <w:vAlign w:val="center"/>
          </w:tcPr>
          <w:p w:rsidR="006E203A" w:rsidRPr="00ED1A25" w:rsidRDefault="006E203A" w:rsidP="00104F40">
            <w:pPr>
              <w:pStyle w:val="Tabletext"/>
              <w:tabs>
                <w:tab w:val="decimal" w:pos="620"/>
              </w:tabs>
              <w:spacing w:before="20" w:after="20"/>
            </w:pPr>
            <w:r w:rsidRPr="00ED1A25">
              <w:t>2</w:t>
            </w:r>
          </w:p>
        </w:tc>
      </w:tr>
      <w:tr w:rsidR="006E203A" w:rsidRPr="00ED1A25">
        <w:trPr>
          <w:trHeight w:val="320"/>
        </w:trPr>
        <w:tc>
          <w:tcPr>
            <w:tcW w:w="2694" w:type="dxa"/>
            <w:tcBorders>
              <w:top w:val="nil"/>
              <w:left w:val="nil"/>
              <w:bottom w:val="nil"/>
              <w:right w:val="nil"/>
            </w:tcBorders>
            <w:vAlign w:val="center"/>
          </w:tcPr>
          <w:p w:rsidR="006E203A" w:rsidRPr="00ED1A25" w:rsidRDefault="006E203A" w:rsidP="00FB6F6F">
            <w:pPr>
              <w:pStyle w:val="Tabletext"/>
              <w:spacing w:before="20" w:after="20"/>
            </w:pPr>
            <w:r w:rsidRPr="00ED1A25">
              <w:t>Other</w:t>
            </w:r>
          </w:p>
        </w:tc>
        <w:tc>
          <w:tcPr>
            <w:tcW w:w="4658" w:type="dxa"/>
            <w:tcBorders>
              <w:top w:val="nil"/>
              <w:left w:val="nil"/>
              <w:bottom w:val="nil"/>
              <w:right w:val="nil"/>
            </w:tcBorders>
            <w:vAlign w:val="center"/>
          </w:tcPr>
          <w:p w:rsidR="006E203A" w:rsidRPr="00ED1A25" w:rsidRDefault="006E203A" w:rsidP="00FB6F6F">
            <w:pPr>
              <w:pStyle w:val="Tabletext"/>
              <w:spacing w:before="20" w:after="20"/>
            </w:pPr>
            <w:r w:rsidRPr="00ED1A25">
              <w:t>Archaeology</w:t>
            </w:r>
          </w:p>
        </w:tc>
        <w:tc>
          <w:tcPr>
            <w:tcW w:w="1295" w:type="dxa"/>
            <w:tcBorders>
              <w:top w:val="nil"/>
              <w:left w:val="nil"/>
              <w:bottom w:val="nil"/>
              <w:right w:val="nil"/>
            </w:tcBorders>
            <w:vAlign w:val="center"/>
          </w:tcPr>
          <w:p w:rsidR="006E203A" w:rsidRPr="00ED1A25" w:rsidRDefault="006E203A" w:rsidP="00104F40">
            <w:pPr>
              <w:pStyle w:val="Tabletext"/>
              <w:tabs>
                <w:tab w:val="decimal" w:pos="620"/>
              </w:tabs>
              <w:spacing w:before="20" w:after="20"/>
            </w:pPr>
            <w:r w:rsidRPr="00ED1A25">
              <w:t>1</w:t>
            </w:r>
          </w:p>
        </w:tc>
      </w:tr>
      <w:tr w:rsidR="006E203A" w:rsidRPr="00ED1A25">
        <w:trPr>
          <w:trHeight w:val="320"/>
        </w:trPr>
        <w:tc>
          <w:tcPr>
            <w:tcW w:w="2694" w:type="dxa"/>
            <w:tcBorders>
              <w:top w:val="nil"/>
              <w:left w:val="nil"/>
              <w:bottom w:val="nil"/>
              <w:right w:val="nil"/>
            </w:tcBorders>
            <w:vAlign w:val="center"/>
          </w:tcPr>
          <w:p w:rsidR="006E203A" w:rsidRPr="00ED1A25" w:rsidRDefault="006E203A" w:rsidP="00FB6F6F">
            <w:pPr>
              <w:pStyle w:val="Tabletext"/>
              <w:spacing w:before="20" w:after="20"/>
            </w:pPr>
            <w:r w:rsidRPr="00ED1A25">
              <w:t>Other</w:t>
            </w:r>
          </w:p>
        </w:tc>
        <w:tc>
          <w:tcPr>
            <w:tcW w:w="4658" w:type="dxa"/>
            <w:tcBorders>
              <w:top w:val="nil"/>
              <w:left w:val="nil"/>
              <w:bottom w:val="nil"/>
              <w:right w:val="nil"/>
            </w:tcBorders>
            <w:vAlign w:val="center"/>
          </w:tcPr>
          <w:p w:rsidR="006E203A" w:rsidRPr="00ED1A25" w:rsidRDefault="006E203A" w:rsidP="00FB6F6F">
            <w:pPr>
              <w:pStyle w:val="Tabletext"/>
              <w:spacing w:before="20" w:after="20"/>
            </w:pPr>
            <w:r w:rsidRPr="00ED1A25">
              <w:t>Commerce/finance</w:t>
            </w:r>
          </w:p>
        </w:tc>
        <w:tc>
          <w:tcPr>
            <w:tcW w:w="1295" w:type="dxa"/>
            <w:tcBorders>
              <w:top w:val="nil"/>
              <w:left w:val="nil"/>
              <w:bottom w:val="nil"/>
              <w:right w:val="nil"/>
            </w:tcBorders>
            <w:vAlign w:val="center"/>
          </w:tcPr>
          <w:p w:rsidR="006E203A" w:rsidRPr="00ED1A25" w:rsidRDefault="006E203A" w:rsidP="00104F40">
            <w:pPr>
              <w:pStyle w:val="Tabletext"/>
              <w:tabs>
                <w:tab w:val="decimal" w:pos="620"/>
              </w:tabs>
              <w:spacing w:before="20" w:after="20"/>
            </w:pPr>
            <w:r w:rsidRPr="00ED1A25">
              <w:t>1</w:t>
            </w:r>
          </w:p>
        </w:tc>
      </w:tr>
      <w:tr w:rsidR="006E203A" w:rsidRPr="00ED1A25" w:rsidTr="00104F40">
        <w:trPr>
          <w:trHeight w:val="320"/>
        </w:trPr>
        <w:tc>
          <w:tcPr>
            <w:tcW w:w="2694" w:type="dxa"/>
            <w:tcBorders>
              <w:top w:val="nil"/>
              <w:left w:val="nil"/>
              <w:bottom w:val="single" w:sz="4" w:space="0" w:color="auto"/>
              <w:right w:val="nil"/>
            </w:tcBorders>
            <w:vAlign w:val="center"/>
          </w:tcPr>
          <w:p w:rsidR="006E203A" w:rsidRPr="00ED1A25" w:rsidRDefault="006E203A" w:rsidP="00FB6F6F">
            <w:pPr>
              <w:pStyle w:val="Tabletext"/>
              <w:spacing w:before="20" w:after="20"/>
            </w:pPr>
            <w:r w:rsidRPr="00ED1A25">
              <w:t>Other</w:t>
            </w:r>
          </w:p>
        </w:tc>
        <w:tc>
          <w:tcPr>
            <w:tcW w:w="4658" w:type="dxa"/>
            <w:tcBorders>
              <w:top w:val="nil"/>
              <w:left w:val="nil"/>
              <w:bottom w:val="single" w:sz="4" w:space="0" w:color="auto"/>
              <w:right w:val="nil"/>
            </w:tcBorders>
            <w:vAlign w:val="center"/>
          </w:tcPr>
          <w:p w:rsidR="006E203A" w:rsidRPr="00ED1A25" w:rsidRDefault="006E203A" w:rsidP="00FB6F6F">
            <w:pPr>
              <w:pStyle w:val="Tabletext"/>
              <w:spacing w:before="20" w:after="20"/>
            </w:pPr>
            <w:r w:rsidRPr="00ED1A25">
              <w:t>Civil engineering</w:t>
            </w:r>
          </w:p>
        </w:tc>
        <w:tc>
          <w:tcPr>
            <w:tcW w:w="1295" w:type="dxa"/>
            <w:tcBorders>
              <w:top w:val="nil"/>
              <w:left w:val="nil"/>
              <w:bottom w:val="single" w:sz="4" w:space="0" w:color="auto"/>
              <w:right w:val="nil"/>
            </w:tcBorders>
            <w:vAlign w:val="center"/>
          </w:tcPr>
          <w:p w:rsidR="006E203A" w:rsidRPr="00ED1A25" w:rsidRDefault="006E203A" w:rsidP="00104F40">
            <w:pPr>
              <w:pStyle w:val="Tabletext"/>
              <w:tabs>
                <w:tab w:val="decimal" w:pos="620"/>
              </w:tabs>
              <w:spacing w:before="20" w:after="20"/>
            </w:pPr>
            <w:r w:rsidRPr="00ED1A25">
              <w:t>1</w:t>
            </w:r>
          </w:p>
        </w:tc>
      </w:tr>
      <w:tr w:rsidR="007C0A0F" w:rsidRPr="00ED1A25" w:rsidTr="00104F40">
        <w:trPr>
          <w:trHeight w:val="320"/>
        </w:trPr>
        <w:tc>
          <w:tcPr>
            <w:tcW w:w="2694" w:type="dxa"/>
            <w:tcBorders>
              <w:top w:val="single" w:sz="4" w:space="0" w:color="auto"/>
              <w:left w:val="nil"/>
              <w:right w:val="nil"/>
            </w:tcBorders>
            <w:vAlign w:val="center"/>
          </w:tcPr>
          <w:p w:rsidR="007C0A0F" w:rsidRPr="007C0A0F" w:rsidRDefault="007C0A0F" w:rsidP="00FB6F6F">
            <w:pPr>
              <w:pStyle w:val="Tabletext"/>
              <w:spacing w:before="20" w:after="20"/>
              <w:rPr>
                <w:b/>
              </w:rPr>
            </w:pPr>
            <w:r w:rsidRPr="007C0A0F">
              <w:rPr>
                <w:b/>
              </w:rPr>
              <w:t>Total university pathway</w:t>
            </w:r>
          </w:p>
        </w:tc>
        <w:tc>
          <w:tcPr>
            <w:tcW w:w="4658" w:type="dxa"/>
            <w:tcBorders>
              <w:top w:val="single" w:sz="4" w:space="0" w:color="auto"/>
              <w:left w:val="nil"/>
              <w:right w:val="nil"/>
            </w:tcBorders>
            <w:vAlign w:val="center"/>
          </w:tcPr>
          <w:p w:rsidR="007C0A0F" w:rsidRPr="00ED1A25" w:rsidRDefault="007C0A0F" w:rsidP="00FB6F6F">
            <w:pPr>
              <w:pStyle w:val="Tabletext"/>
              <w:spacing w:before="20" w:after="20"/>
            </w:pPr>
          </w:p>
        </w:tc>
        <w:tc>
          <w:tcPr>
            <w:tcW w:w="1295" w:type="dxa"/>
            <w:tcBorders>
              <w:top w:val="single" w:sz="4" w:space="0" w:color="auto"/>
              <w:left w:val="nil"/>
              <w:right w:val="nil"/>
            </w:tcBorders>
            <w:vAlign w:val="center"/>
          </w:tcPr>
          <w:p w:rsidR="007C0A0F" w:rsidRPr="007C0A0F" w:rsidRDefault="007C0A0F" w:rsidP="00104F40">
            <w:pPr>
              <w:pStyle w:val="Tabletext"/>
              <w:tabs>
                <w:tab w:val="decimal" w:pos="620"/>
              </w:tabs>
              <w:spacing w:before="20" w:after="20"/>
              <w:rPr>
                <w:b/>
              </w:rPr>
            </w:pPr>
            <w:r w:rsidRPr="007C0A0F">
              <w:rPr>
                <w:b/>
              </w:rPr>
              <w:t>22</w:t>
            </w:r>
          </w:p>
        </w:tc>
      </w:tr>
    </w:tbl>
    <w:p w:rsidR="006E203A" w:rsidRDefault="006E203A" w:rsidP="003C4BC1">
      <w:pPr>
        <w:pStyle w:val="Text"/>
      </w:pPr>
    </w:p>
    <w:p w:rsidR="00F26DB4" w:rsidRDefault="00F26DB4">
      <w:pPr>
        <w:spacing w:before="0" w:line="240" w:lineRule="auto"/>
        <w:rPr>
          <w:rFonts w:ascii="Tahoma" w:hAnsi="Tahoma"/>
          <w:b/>
          <w:sz w:val="17"/>
        </w:rPr>
      </w:pPr>
      <w:bookmarkStart w:id="137" w:name="_Toc254034420"/>
      <w:bookmarkStart w:id="138" w:name="_Toc258143230"/>
      <w:r>
        <w:br w:type="page"/>
      </w:r>
    </w:p>
    <w:p w:rsidR="00F26DB4" w:rsidRPr="00445516" w:rsidRDefault="00F26DB4" w:rsidP="00F26DB4">
      <w:pPr>
        <w:pStyle w:val="tabletitle"/>
      </w:pPr>
      <w:bookmarkStart w:id="139" w:name="_Toc409079317"/>
      <w:r w:rsidRPr="00445516">
        <w:lastRenderedPageBreak/>
        <w:t xml:space="preserve">Table </w:t>
      </w:r>
      <w:r w:rsidR="00541888">
        <w:t>A5</w:t>
      </w:r>
      <w:r w:rsidRPr="00445516">
        <w:t xml:space="preserve"> Women's career aspirations and pathways</w:t>
      </w:r>
      <w:bookmarkEnd w:id="137"/>
      <w:bookmarkEnd w:id="138"/>
      <w:bookmarkEnd w:id="1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8"/>
        <w:gridCol w:w="556"/>
        <w:gridCol w:w="4120"/>
        <w:gridCol w:w="1902"/>
      </w:tblGrid>
      <w:tr w:rsidR="00F26DB4" w:rsidRPr="00445516">
        <w:trPr>
          <w:trHeight w:val="320"/>
        </w:trPr>
        <w:tc>
          <w:tcPr>
            <w:tcW w:w="1888" w:type="dxa"/>
            <w:tcBorders>
              <w:top w:val="single" w:sz="4" w:space="0" w:color="auto"/>
              <w:left w:val="nil"/>
              <w:bottom w:val="single" w:sz="4" w:space="0" w:color="auto"/>
              <w:right w:val="nil"/>
            </w:tcBorders>
            <w:vAlign w:val="center"/>
          </w:tcPr>
          <w:p w:rsidR="00F26DB4" w:rsidRPr="00445516" w:rsidRDefault="00F26DB4" w:rsidP="008329D1">
            <w:pPr>
              <w:pStyle w:val="Tablehead1"/>
            </w:pPr>
            <w:r w:rsidRPr="00445516">
              <w:t>Career category</w:t>
            </w:r>
          </w:p>
        </w:tc>
        <w:tc>
          <w:tcPr>
            <w:tcW w:w="556" w:type="dxa"/>
            <w:tcBorders>
              <w:top w:val="single" w:sz="4" w:space="0" w:color="auto"/>
              <w:left w:val="nil"/>
              <w:bottom w:val="single" w:sz="4" w:space="0" w:color="auto"/>
              <w:right w:val="nil"/>
            </w:tcBorders>
            <w:shd w:val="clear" w:color="auto" w:fill="auto"/>
            <w:vAlign w:val="center"/>
          </w:tcPr>
          <w:p w:rsidR="00F26DB4" w:rsidRPr="00445516" w:rsidRDefault="00F26DB4" w:rsidP="008329D1">
            <w:pPr>
              <w:pStyle w:val="Tablehead1"/>
            </w:pPr>
            <w:r w:rsidRPr="00445516">
              <w:t>No.*</w:t>
            </w:r>
          </w:p>
        </w:tc>
        <w:tc>
          <w:tcPr>
            <w:tcW w:w="4120" w:type="dxa"/>
            <w:tcBorders>
              <w:top w:val="single" w:sz="4" w:space="0" w:color="auto"/>
              <w:left w:val="nil"/>
              <w:bottom w:val="single" w:sz="4" w:space="0" w:color="auto"/>
              <w:right w:val="nil"/>
            </w:tcBorders>
            <w:shd w:val="clear" w:color="auto" w:fill="auto"/>
            <w:vAlign w:val="center"/>
          </w:tcPr>
          <w:p w:rsidR="00F26DB4" w:rsidRPr="00445516" w:rsidRDefault="00F26DB4" w:rsidP="008329D1">
            <w:pPr>
              <w:pStyle w:val="Tablehead1"/>
            </w:pPr>
            <w:r w:rsidRPr="00445516">
              <w:t xml:space="preserve">Career </w:t>
            </w:r>
          </w:p>
        </w:tc>
        <w:tc>
          <w:tcPr>
            <w:tcW w:w="1902" w:type="dxa"/>
            <w:tcBorders>
              <w:top w:val="single" w:sz="4" w:space="0" w:color="auto"/>
              <w:left w:val="nil"/>
              <w:bottom w:val="single" w:sz="4" w:space="0" w:color="auto"/>
              <w:right w:val="nil"/>
            </w:tcBorders>
            <w:shd w:val="clear" w:color="auto" w:fill="auto"/>
            <w:noWrap/>
            <w:vAlign w:val="center"/>
          </w:tcPr>
          <w:p w:rsidR="00F26DB4" w:rsidRPr="00445516" w:rsidRDefault="00F26DB4" w:rsidP="008329D1">
            <w:pPr>
              <w:pStyle w:val="Tablehead1"/>
            </w:pPr>
            <w:r w:rsidRPr="00445516">
              <w:t>Gender traditional</w:t>
            </w:r>
          </w:p>
        </w:tc>
      </w:tr>
      <w:tr w:rsidR="00F26DB4" w:rsidRPr="00445516" w:rsidTr="00FF33C0">
        <w:trPr>
          <w:trHeight w:val="320"/>
        </w:trPr>
        <w:tc>
          <w:tcPr>
            <w:tcW w:w="1888" w:type="dxa"/>
            <w:vMerge w:val="restart"/>
            <w:tcBorders>
              <w:top w:val="single" w:sz="4" w:space="0" w:color="auto"/>
              <w:left w:val="nil"/>
              <w:right w:val="nil"/>
            </w:tcBorders>
          </w:tcPr>
          <w:p w:rsidR="00F26DB4" w:rsidRPr="00445516" w:rsidRDefault="00F26DB4" w:rsidP="00FF33C0">
            <w:pPr>
              <w:pStyle w:val="Tabletext"/>
              <w:spacing w:before="80"/>
            </w:pPr>
            <w:r>
              <w:t>Community</w:t>
            </w:r>
            <w:r w:rsidRPr="00445516">
              <w:t xml:space="preserve"> services</w:t>
            </w:r>
          </w:p>
          <w:p w:rsidR="00F26DB4" w:rsidRPr="00445516" w:rsidRDefault="00F26DB4" w:rsidP="00FF33C0">
            <w:pPr>
              <w:pStyle w:val="Tabletext"/>
              <w:spacing w:before="80"/>
            </w:pPr>
          </w:p>
        </w:tc>
        <w:tc>
          <w:tcPr>
            <w:tcW w:w="556" w:type="dxa"/>
            <w:tcBorders>
              <w:top w:val="single" w:sz="4" w:space="0" w:color="auto"/>
              <w:left w:val="nil"/>
              <w:bottom w:val="nil"/>
              <w:right w:val="nil"/>
            </w:tcBorders>
            <w:shd w:val="clear" w:color="auto" w:fill="auto"/>
            <w:vAlign w:val="center"/>
          </w:tcPr>
          <w:p w:rsidR="00F26DB4" w:rsidRPr="00445516" w:rsidRDefault="00F26DB4" w:rsidP="008329D1">
            <w:pPr>
              <w:pStyle w:val="Tabletext"/>
            </w:pPr>
            <w:r w:rsidRPr="00445516">
              <w:t>6</w:t>
            </w:r>
          </w:p>
        </w:tc>
        <w:tc>
          <w:tcPr>
            <w:tcW w:w="4120" w:type="dxa"/>
            <w:tcBorders>
              <w:top w:val="single" w:sz="4" w:space="0" w:color="auto"/>
              <w:left w:val="nil"/>
              <w:bottom w:val="nil"/>
              <w:right w:val="nil"/>
            </w:tcBorders>
            <w:shd w:val="clear" w:color="auto" w:fill="auto"/>
            <w:vAlign w:val="center"/>
          </w:tcPr>
          <w:p w:rsidR="00F26DB4" w:rsidRPr="00445516" w:rsidRDefault="00F26DB4" w:rsidP="008329D1">
            <w:pPr>
              <w:pStyle w:val="Tabletext"/>
            </w:pPr>
            <w:r w:rsidRPr="00445516">
              <w:t>Children’s services</w:t>
            </w:r>
          </w:p>
        </w:tc>
        <w:tc>
          <w:tcPr>
            <w:tcW w:w="1902" w:type="dxa"/>
            <w:tcBorders>
              <w:top w:val="single" w:sz="4" w:space="0" w:color="auto"/>
              <w:left w:val="nil"/>
              <w:bottom w:val="nil"/>
              <w:right w:val="nil"/>
            </w:tcBorders>
            <w:shd w:val="clear" w:color="auto" w:fill="auto"/>
            <w:noWrap/>
            <w:vAlign w:val="bottom"/>
          </w:tcPr>
          <w:p w:rsidR="00F26DB4" w:rsidRPr="00445516" w:rsidRDefault="00F26DB4" w:rsidP="008329D1">
            <w:pPr>
              <w:pStyle w:val="Tabletext"/>
            </w:pPr>
            <w:r w:rsidRPr="00445516">
              <w:t>Yes</w:t>
            </w:r>
          </w:p>
        </w:tc>
      </w:tr>
      <w:tr w:rsidR="00F26DB4" w:rsidRPr="00445516" w:rsidTr="00FF33C0">
        <w:trPr>
          <w:trHeight w:val="320"/>
        </w:trPr>
        <w:tc>
          <w:tcPr>
            <w:tcW w:w="1888" w:type="dxa"/>
            <w:vMerge/>
            <w:tcBorders>
              <w:left w:val="nil"/>
              <w:right w:val="nil"/>
            </w:tcBorders>
          </w:tcPr>
          <w:p w:rsidR="00F26DB4" w:rsidRPr="00445516" w:rsidRDefault="00F26DB4" w:rsidP="00FF33C0">
            <w:pPr>
              <w:pStyle w:val="Tabletext"/>
              <w:spacing w:before="80"/>
            </w:pPr>
          </w:p>
        </w:tc>
        <w:tc>
          <w:tcPr>
            <w:tcW w:w="556" w:type="dxa"/>
            <w:tcBorders>
              <w:top w:val="nil"/>
              <w:left w:val="nil"/>
              <w:bottom w:val="nil"/>
              <w:right w:val="nil"/>
            </w:tcBorders>
            <w:shd w:val="clear" w:color="auto" w:fill="auto"/>
            <w:vAlign w:val="center"/>
          </w:tcPr>
          <w:p w:rsidR="00F26DB4" w:rsidRPr="00445516" w:rsidRDefault="00F26DB4" w:rsidP="008329D1">
            <w:pPr>
              <w:pStyle w:val="Tabletext"/>
            </w:pPr>
            <w:r w:rsidRPr="00445516">
              <w:t>3</w:t>
            </w:r>
          </w:p>
        </w:tc>
        <w:tc>
          <w:tcPr>
            <w:tcW w:w="4120" w:type="dxa"/>
            <w:tcBorders>
              <w:top w:val="nil"/>
              <w:left w:val="nil"/>
              <w:bottom w:val="nil"/>
              <w:right w:val="nil"/>
            </w:tcBorders>
            <w:shd w:val="clear" w:color="auto" w:fill="auto"/>
            <w:vAlign w:val="center"/>
          </w:tcPr>
          <w:p w:rsidR="00F26DB4" w:rsidRPr="00445516" w:rsidRDefault="00F26DB4" w:rsidP="008329D1">
            <w:pPr>
              <w:pStyle w:val="Tabletext"/>
            </w:pPr>
            <w:r w:rsidRPr="00445516">
              <w:t>Youth work</w:t>
            </w:r>
          </w:p>
        </w:tc>
        <w:tc>
          <w:tcPr>
            <w:tcW w:w="1902" w:type="dxa"/>
            <w:tcBorders>
              <w:top w:val="nil"/>
              <w:left w:val="nil"/>
              <w:bottom w:val="nil"/>
              <w:right w:val="nil"/>
            </w:tcBorders>
            <w:shd w:val="clear" w:color="auto" w:fill="auto"/>
            <w:noWrap/>
            <w:vAlign w:val="bottom"/>
          </w:tcPr>
          <w:p w:rsidR="00F26DB4" w:rsidRPr="00445516" w:rsidRDefault="00F26DB4" w:rsidP="008329D1">
            <w:pPr>
              <w:pStyle w:val="Tabletext"/>
            </w:pPr>
            <w:r w:rsidRPr="00445516">
              <w:t>Neutral</w:t>
            </w:r>
          </w:p>
        </w:tc>
      </w:tr>
      <w:tr w:rsidR="00F26DB4" w:rsidRPr="00445516" w:rsidTr="00FF33C0">
        <w:trPr>
          <w:trHeight w:val="320"/>
        </w:trPr>
        <w:tc>
          <w:tcPr>
            <w:tcW w:w="1888" w:type="dxa"/>
            <w:vMerge/>
            <w:tcBorders>
              <w:left w:val="nil"/>
              <w:bottom w:val="single" w:sz="4" w:space="0" w:color="auto"/>
              <w:right w:val="nil"/>
            </w:tcBorders>
          </w:tcPr>
          <w:p w:rsidR="00F26DB4" w:rsidRPr="00445516" w:rsidRDefault="00F26DB4" w:rsidP="00FF33C0">
            <w:pPr>
              <w:pStyle w:val="Tabletext"/>
              <w:spacing w:before="80"/>
            </w:pPr>
          </w:p>
        </w:tc>
        <w:tc>
          <w:tcPr>
            <w:tcW w:w="556" w:type="dxa"/>
            <w:tcBorders>
              <w:top w:val="nil"/>
              <w:left w:val="nil"/>
              <w:bottom w:val="single" w:sz="4" w:space="0" w:color="auto"/>
              <w:right w:val="nil"/>
            </w:tcBorders>
            <w:shd w:val="clear" w:color="auto" w:fill="auto"/>
            <w:vAlign w:val="center"/>
          </w:tcPr>
          <w:p w:rsidR="00F26DB4" w:rsidRPr="00445516" w:rsidRDefault="00F26DB4" w:rsidP="008329D1">
            <w:pPr>
              <w:pStyle w:val="Tabletext"/>
            </w:pPr>
            <w:r w:rsidRPr="00445516">
              <w:t>1</w:t>
            </w:r>
          </w:p>
        </w:tc>
        <w:tc>
          <w:tcPr>
            <w:tcW w:w="4120" w:type="dxa"/>
            <w:tcBorders>
              <w:top w:val="nil"/>
              <w:left w:val="nil"/>
              <w:bottom w:val="single" w:sz="4" w:space="0" w:color="auto"/>
              <w:right w:val="nil"/>
            </w:tcBorders>
            <w:shd w:val="clear" w:color="auto" w:fill="auto"/>
            <w:vAlign w:val="center"/>
          </w:tcPr>
          <w:p w:rsidR="00F26DB4" w:rsidRPr="00445516" w:rsidRDefault="00F26DB4" w:rsidP="008329D1">
            <w:pPr>
              <w:pStyle w:val="Tabletext"/>
            </w:pPr>
            <w:r w:rsidRPr="00445516">
              <w:t>Social work</w:t>
            </w:r>
          </w:p>
        </w:tc>
        <w:tc>
          <w:tcPr>
            <w:tcW w:w="1902" w:type="dxa"/>
            <w:tcBorders>
              <w:top w:val="nil"/>
              <w:left w:val="nil"/>
              <w:bottom w:val="single" w:sz="4" w:space="0" w:color="auto"/>
              <w:right w:val="nil"/>
            </w:tcBorders>
            <w:shd w:val="clear" w:color="auto" w:fill="auto"/>
            <w:noWrap/>
            <w:vAlign w:val="bottom"/>
          </w:tcPr>
          <w:p w:rsidR="00F26DB4" w:rsidRPr="00445516" w:rsidRDefault="00F26DB4" w:rsidP="008329D1">
            <w:pPr>
              <w:pStyle w:val="Tabletext"/>
            </w:pPr>
            <w:r w:rsidRPr="00445516">
              <w:t>Yes</w:t>
            </w:r>
          </w:p>
        </w:tc>
      </w:tr>
      <w:tr w:rsidR="00F26DB4" w:rsidRPr="00445516" w:rsidTr="00FF33C0">
        <w:trPr>
          <w:trHeight w:val="320"/>
        </w:trPr>
        <w:tc>
          <w:tcPr>
            <w:tcW w:w="1888" w:type="dxa"/>
            <w:vMerge w:val="restart"/>
            <w:tcBorders>
              <w:top w:val="single" w:sz="4" w:space="0" w:color="auto"/>
              <w:left w:val="nil"/>
              <w:bottom w:val="nil"/>
              <w:right w:val="nil"/>
            </w:tcBorders>
          </w:tcPr>
          <w:p w:rsidR="00F26DB4" w:rsidRPr="00445516" w:rsidRDefault="00F26DB4" w:rsidP="00FF33C0">
            <w:pPr>
              <w:pStyle w:val="Tabletext"/>
              <w:spacing w:before="80"/>
            </w:pPr>
            <w:r w:rsidRPr="00445516">
              <w:t>Arts</w:t>
            </w:r>
          </w:p>
          <w:p w:rsidR="00F26DB4" w:rsidRPr="00445516" w:rsidRDefault="00F26DB4" w:rsidP="00FF33C0">
            <w:pPr>
              <w:pStyle w:val="Tabletext"/>
              <w:spacing w:before="80"/>
            </w:pPr>
          </w:p>
        </w:tc>
        <w:tc>
          <w:tcPr>
            <w:tcW w:w="556" w:type="dxa"/>
            <w:tcBorders>
              <w:top w:val="single" w:sz="4" w:space="0" w:color="auto"/>
              <w:left w:val="nil"/>
              <w:bottom w:val="nil"/>
              <w:right w:val="nil"/>
            </w:tcBorders>
            <w:shd w:val="clear" w:color="auto" w:fill="auto"/>
            <w:vAlign w:val="center"/>
          </w:tcPr>
          <w:p w:rsidR="00F26DB4" w:rsidRPr="00445516" w:rsidRDefault="00F26DB4" w:rsidP="008329D1">
            <w:pPr>
              <w:pStyle w:val="Tabletext"/>
            </w:pPr>
            <w:r w:rsidRPr="00445516">
              <w:t>5</w:t>
            </w:r>
          </w:p>
        </w:tc>
        <w:tc>
          <w:tcPr>
            <w:tcW w:w="4120" w:type="dxa"/>
            <w:tcBorders>
              <w:top w:val="single" w:sz="4" w:space="0" w:color="auto"/>
              <w:left w:val="nil"/>
              <w:bottom w:val="nil"/>
              <w:right w:val="nil"/>
            </w:tcBorders>
            <w:shd w:val="clear" w:color="auto" w:fill="auto"/>
            <w:vAlign w:val="center"/>
          </w:tcPr>
          <w:p w:rsidR="00F26DB4" w:rsidRPr="00445516" w:rsidRDefault="00F26DB4" w:rsidP="008329D1">
            <w:pPr>
              <w:pStyle w:val="Tabletext"/>
            </w:pPr>
            <w:r w:rsidRPr="00445516">
              <w:t>Arts: visual arts, creative writing, curating, fashion (</w:t>
            </w:r>
            <w:r w:rsidR="0016602D">
              <w:t>u</w:t>
            </w:r>
            <w:r>
              <w:t>ni</w:t>
            </w:r>
            <w:r w:rsidRPr="00445516">
              <w:t>)</w:t>
            </w:r>
          </w:p>
        </w:tc>
        <w:tc>
          <w:tcPr>
            <w:tcW w:w="1902" w:type="dxa"/>
            <w:tcBorders>
              <w:top w:val="single" w:sz="4" w:space="0" w:color="auto"/>
              <w:left w:val="nil"/>
              <w:bottom w:val="nil"/>
              <w:right w:val="nil"/>
            </w:tcBorders>
            <w:shd w:val="clear" w:color="auto" w:fill="auto"/>
            <w:noWrap/>
            <w:vAlign w:val="bottom"/>
          </w:tcPr>
          <w:p w:rsidR="00F26DB4" w:rsidRPr="00445516" w:rsidRDefault="00F26DB4" w:rsidP="008329D1">
            <w:pPr>
              <w:pStyle w:val="Tabletext"/>
            </w:pPr>
            <w:r w:rsidRPr="00445516">
              <w:t>Yes</w:t>
            </w:r>
          </w:p>
        </w:tc>
      </w:tr>
      <w:tr w:rsidR="00F26DB4" w:rsidRPr="00445516" w:rsidTr="00FF33C0">
        <w:trPr>
          <w:trHeight w:val="320"/>
        </w:trPr>
        <w:tc>
          <w:tcPr>
            <w:tcW w:w="1888" w:type="dxa"/>
            <w:vMerge/>
            <w:tcBorders>
              <w:top w:val="nil"/>
              <w:left w:val="nil"/>
              <w:bottom w:val="single" w:sz="4" w:space="0" w:color="auto"/>
              <w:right w:val="nil"/>
            </w:tcBorders>
          </w:tcPr>
          <w:p w:rsidR="00F26DB4" w:rsidRPr="00445516" w:rsidRDefault="00F26DB4" w:rsidP="00FF33C0">
            <w:pPr>
              <w:pStyle w:val="Tabletext"/>
              <w:spacing w:before="80"/>
            </w:pPr>
          </w:p>
        </w:tc>
        <w:tc>
          <w:tcPr>
            <w:tcW w:w="556" w:type="dxa"/>
            <w:tcBorders>
              <w:top w:val="nil"/>
              <w:left w:val="nil"/>
              <w:bottom w:val="single" w:sz="4" w:space="0" w:color="auto"/>
              <w:right w:val="nil"/>
            </w:tcBorders>
            <w:shd w:val="clear" w:color="auto" w:fill="auto"/>
            <w:noWrap/>
            <w:vAlign w:val="bottom"/>
          </w:tcPr>
          <w:p w:rsidR="00F26DB4" w:rsidRPr="00445516" w:rsidRDefault="00F26DB4" w:rsidP="008329D1">
            <w:pPr>
              <w:pStyle w:val="Tabletext"/>
            </w:pPr>
            <w:r w:rsidRPr="00445516">
              <w:t>1</w:t>
            </w:r>
          </w:p>
        </w:tc>
        <w:tc>
          <w:tcPr>
            <w:tcW w:w="4120" w:type="dxa"/>
            <w:tcBorders>
              <w:top w:val="nil"/>
              <w:left w:val="nil"/>
              <w:bottom w:val="single" w:sz="4" w:space="0" w:color="auto"/>
              <w:right w:val="nil"/>
            </w:tcBorders>
            <w:shd w:val="clear" w:color="auto" w:fill="auto"/>
            <w:vAlign w:val="center"/>
          </w:tcPr>
          <w:p w:rsidR="00F26DB4" w:rsidRPr="00445516" w:rsidRDefault="00F26DB4" w:rsidP="008329D1">
            <w:pPr>
              <w:pStyle w:val="Tabletext"/>
            </w:pPr>
            <w:r w:rsidRPr="00445516">
              <w:t>Graphic design</w:t>
            </w:r>
          </w:p>
        </w:tc>
        <w:tc>
          <w:tcPr>
            <w:tcW w:w="1902" w:type="dxa"/>
            <w:tcBorders>
              <w:top w:val="nil"/>
              <w:left w:val="nil"/>
              <w:bottom w:val="single" w:sz="4" w:space="0" w:color="auto"/>
              <w:right w:val="nil"/>
            </w:tcBorders>
            <w:shd w:val="clear" w:color="auto" w:fill="auto"/>
            <w:noWrap/>
            <w:vAlign w:val="bottom"/>
          </w:tcPr>
          <w:p w:rsidR="00F26DB4" w:rsidRPr="00445516" w:rsidRDefault="00F26DB4" w:rsidP="008329D1">
            <w:pPr>
              <w:pStyle w:val="Tabletext"/>
            </w:pPr>
            <w:r w:rsidRPr="00445516">
              <w:t>Neutral</w:t>
            </w:r>
          </w:p>
        </w:tc>
      </w:tr>
      <w:tr w:rsidR="00F26DB4" w:rsidRPr="00445516" w:rsidTr="00FF33C0">
        <w:trPr>
          <w:trHeight w:val="320"/>
        </w:trPr>
        <w:tc>
          <w:tcPr>
            <w:tcW w:w="1888" w:type="dxa"/>
            <w:vMerge w:val="restart"/>
            <w:tcBorders>
              <w:top w:val="single" w:sz="4" w:space="0" w:color="auto"/>
              <w:left w:val="nil"/>
              <w:bottom w:val="nil"/>
              <w:right w:val="nil"/>
            </w:tcBorders>
          </w:tcPr>
          <w:p w:rsidR="00F26DB4" w:rsidRPr="00445516" w:rsidRDefault="00F26DB4" w:rsidP="00FF33C0">
            <w:pPr>
              <w:pStyle w:val="Tabletext"/>
              <w:spacing w:before="80"/>
            </w:pPr>
            <w:r w:rsidRPr="00445516">
              <w:t>Office work</w:t>
            </w:r>
          </w:p>
          <w:p w:rsidR="00F26DB4" w:rsidRPr="00445516" w:rsidRDefault="00F26DB4" w:rsidP="00FF33C0">
            <w:pPr>
              <w:pStyle w:val="Tabletext"/>
              <w:spacing w:before="80"/>
            </w:pPr>
          </w:p>
        </w:tc>
        <w:tc>
          <w:tcPr>
            <w:tcW w:w="556" w:type="dxa"/>
            <w:tcBorders>
              <w:top w:val="single" w:sz="4" w:space="0" w:color="auto"/>
              <w:left w:val="nil"/>
              <w:bottom w:val="nil"/>
              <w:right w:val="nil"/>
            </w:tcBorders>
            <w:shd w:val="clear" w:color="auto" w:fill="auto"/>
            <w:vAlign w:val="center"/>
          </w:tcPr>
          <w:p w:rsidR="00F26DB4" w:rsidRPr="00445516" w:rsidRDefault="00F26DB4" w:rsidP="008329D1">
            <w:pPr>
              <w:pStyle w:val="Tabletext"/>
            </w:pPr>
            <w:r w:rsidRPr="00445516">
              <w:t>5</w:t>
            </w:r>
          </w:p>
        </w:tc>
        <w:tc>
          <w:tcPr>
            <w:tcW w:w="4120" w:type="dxa"/>
            <w:tcBorders>
              <w:top w:val="single" w:sz="4" w:space="0" w:color="auto"/>
              <w:left w:val="nil"/>
              <w:bottom w:val="nil"/>
              <w:right w:val="nil"/>
            </w:tcBorders>
            <w:shd w:val="clear" w:color="auto" w:fill="auto"/>
            <w:vAlign w:val="center"/>
          </w:tcPr>
          <w:p w:rsidR="00F26DB4" w:rsidRPr="00445516" w:rsidRDefault="00F26DB4" w:rsidP="008329D1">
            <w:pPr>
              <w:pStyle w:val="Tabletext"/>
            </w:pPr>
            <w:r w:rsidRPr="00445516">
              <w:t>Administration</w:t>
            </w:r>
          </w:p>
        </w:tc>
        <w:tc>
          <w:tcPr>
            <w:tcW w:w="1902" w:type="dxa"/>
            <w:tcBorders>
              <w:top w:val="single" w:sz="4" w:space="0" w:color="auto"/>
              <w:left w:val="nil"/>
              <w:bottom w:val="nil"/>
              <w:right w:val="nil"/>
            </w:tcBorders>
            <w:shd w:val="clear" w:color="auto" w:fill="auto"/>
            <w:noWrap/>
            <w:vAlign w:val="bottom"/>
          </w:tcPr>
          <w:p w:rsidR="00F26DB4" w:rsidRPr="00445516" w:rsidRDefault="00F26DB4" w:rsidP="008329D1">
            <w:pPr>
              <w:pStyle w:val="Tabletext"/>
            </w:pPr>
            <w:r w:rsidRPr="00445516">
              <w:t>Yes</w:t>
            </w:r>
          </w:p>
        </w:tc>
      </w:tr>
      <w:tr w:rsidR="00F26DB4" w:rsidRPr="00445516" w:rsidTr="00FF33C0">
        <w:trPr>
          <w:trHeight w:val="320"/>
        </w:trPr>
        <w:tc>
          <w:tcPr>
            <w:tcW w:w="1888" w:type="dxa"/>
            <w:vMerge/>
            <w:tcBorders>
              <w:top w:val="nil"/>
              <w:left w:val="nil"/>
              <w:bottom w:val="single" w:sz="4" w:space="0" w:color="auto"/>
              <w:right w:val="nil"/>
            </w:tcBorders>
          </w:tcPr>
          <w:p w:rsidR="00F26DB4" w:rsidRPr="00445516" w:rsidRDefault="00F26DB4" w:rsidP="00FF33C0">
            <w:pPr>
              <w:pStyle w:val="Tabletext"/>
              <w:spacing w:before="80"/>
            </w:pPr>
          </w:p>
        </w:tc>
        <w:tc>
          <w:tcPr>
            <w:tcW w:w="556" w:type="dxa"/>
            <w:tcBorders>
              <w:top w:val="nil"/>
              <w:left w:val="nil"/>
              <w:bottom w:val="single" w:sz="4" w:space="0" w:color="auto"/>
              <w:right w:val="nil"/>
            </w:tcBorders>
            <w:shd w:val="clear" w:color="auto" w:fill="auto"/>
            <w:vAlign w:val="center"/>
          </w:tcPr>
          <w:p w:rsidR="00F26DB4" w:rsidRPr="00445516" w:rsidRDefault="00F26DB4" w:rsidP="008329D1">
            <w:pPr>
              <w:pStyle w:val="Tabletext"/>
            </w:pPr>
            <w:r w:rsidRPr="00445516">
              <w:t>1</w:t>
            </w:r>
          </w:p>
        </w:tc>
        <w:tc>
          <w:tcPr>
            <w:tcW w:w="4120" w:type="dxa"/>
            <w:tcBorders>
              <w:top w:val="nil"/>
              <w:left w:val="nil"/>
              <w:bottom w:val="single" w:sz="4" w:space="0" w:color="auto"/>
              <w:right w:val="nil"/>
            </w:tcBorders>
            <w:shd w:val="clear" w:color="auto" w:fill="auto"/>
            <w:vAlign w:val="center"/>
          </w:tcPr>
          <w:p w:rsidR="00F26DB4" w:rsidRPr="00445516" w:rsidRDefault="00F26DB4" w:rsidP="008329D1">
            <w:pPr>
              <w:pStyle w:val="Tabletext"/>
            </w:pPr>
            <w:r w:rsidRPr="00445516">
              <w:t>Local government officer/trainee</w:t>
            </w:r>
          </w:p>
        </w:tc>
        <w:tc>
          <w:tcPr>
            <w:tcW w:w="1902" w:type="dxa"/>
            <w:tcBorders>
              <w:top w:val="nil"/>
              <w:left w:val="nil"/>
              <w:bottom w:val="single" w:sz="4" w:space="0" w:color="auto"/>
              <w:right w:val="nil"/>
            </w:tcBorders>
            <w:shd w:val="clear" w:color="auto" w:fill="auto"/>
            <w:noWrap/>
            <w:vAlign w:val="bottom"/>
          </w:tcPr>
          <w:p w:rsidR="00F26DB4" w:rsidRPr="00445516" w:rsidRDefault="00F26DB4" w:rsidP="008329D1">
            <w:pPr>
              <w:pStyle w:val="Tabletext"/>
            </w:pPr>
            <w:r w:rsidRPr="00445516">
              <w:t>Neutral</w:t>
            </w:r>
          </w:p>
        </w:tc>
      </w:tr>
      <w:tr w:rsidR="00F26DB4" w:rsidRPr="00445516" w:rsidTr="00FF33C0">
        <w:trPr>
          <w:trHeight w:val="320"/>
        </w:trPr>
        <w:tc>
          <w:tcPr>
            <w:tcW w:w="1888" w:type="dxa"/>
            <w:vMerge w:val="restart"/>
            <w:tcBorders>
              <w:top w:val="single" w:sz="4" w:space="0" w:color="auto"/>
              <w:left w:val="nil"/>
              <w:bottom w:val="nil"/>
              <w:right w:val="nil"/>
            </w:tcBorders>
          </w:tcPr>
          <w:p w:rsidR="00F26DB4" w:rsidRPr="00445516" w:rsidRDefault="00F26DB4" w:rsidP="00FF33C0">
            <w:pPr>
              <w:pStyle w:val="Tabletext"/>
              <w:spacing w:before="80"/>
            </w:pPr>
            <w:r w:rsidRPr="00445516">
              <w:t>Health</w:t>
            </w:r>
          </w:p>
          <w:p w:rsidR="00F26DB4" w:rsidRPr="00445516" w:rsidRDefault="00F26DB4" w:rsidP="00FF33C0">
            <w:pPr>
              <w:pStyle w:val="Tabletext"/>
              <w:spacing w:before="80"/>
            </w:pPr>
          </w:p>
        </w:tc>
        <w:tc>
          <w:tcPr>
            <w:tcW w:w="556" w:type="dxa"/>
            <w:tcBorders>
              <w:top w:val="single" w:sz="4" w:space="0" w:color="auto"/>
              <w:left w:val="nil"/>
              <w:bottom w:val="nil"/>
              <w:right w:val="nil"/>
            </w:tcBorders>
            <w:shd w:val="clear" w:color="auto" w:fill="auto"/>
            <w:vAlign w:val="center"/>
          </w:tcPr>
          <w:p w:rsidR="00F26DB4" w:rsidRPr="00445516" w:rsidRDefault="00F26DB4" w:rsidP="008329D1">
            <w:pPr>
              <w:pStyle w:val="Tabletext"/>
            </w:pPr>
            <w:r w:rsidRPr="00445516">
              <w:t>1</w:t>
            </w:r>
          </w:p>
        </w:tc>
        <w:tc>
          <w:tcPr>
            <w:tcW w:w="4120" w:type="dxa"/>
            <w:tcBorders>
              <w:top w:val="single" w:sz="4" w:space="0" w:color="auto"/>
              <w:left w:val="nil"/>
              <w:bottom w:val="nil"/>
              <w:right w:val="nil"/>
            </w:tcBorders>
            <w:shd w:val="clear" w:color="auto" w:fill="auto"/>
            <w:vAlign w:val="center"/>
          </w:tcPr>
          <w:p w:rsidR="00F26DB4" w:rsidRPr="00445516" w:rsidRDefault="00F26DB4" w:rsidP="008329D1">
            <w:pPr>
              <w:pStyle w:val="Tabletext"/>
            </w:pPr>
            <w:r w:rsidRPr="00445516">
              <w:t>Nursing</w:t>
            </w:r>
          </w:p>
        </w:tc>
        <w:tc>
          <w:tcPr>
            <w:tcW w:w="1902" w:type="dxa"/>
            <w:tcBorders>
              <w:top w:val="single" w:sz="4" w:space="0" w:color="auto"/>
              <w:left w:val="nil"/>
              <w:bottom w:val="nil"/>
              <w:right w:val="nil"/>
            </w:tcBorders>
            <w:shd w:val="clear" w:color="auto" w:fill="auto"/>
            <w:noWrap/>
            <w:vAlign w:val="bottom"/>
          </w:tcPr>
          <w:p w:rsidR="00F26DB4" w:rsidRPr="00445516" w:rsidRDefault="00F26DB4" w:rsidP="008329D1">
            <w:pPr>
              <w:pStyle w:val="Tabletext"/>
            </w:pPr>
            <w:r w:rsidRPr="00445516">
              <w:t>Yes</w:t>
            </w:r>
          </w:p>
        </w:tc>
      </w:tr>
      <w:tr w:rsidR="00F26DB4" w:rsidRPr="00445516" w:rsidTr="00FF33C0">
        <w:trPr>
          <w:trHeight w:val="320"/>
        </w:trPr>
        <w:tc>
          <w:tcPr>
            <w:tcW w:w="1888" w:type="dxa"/>
            <w:vMerge/>
            <w:tcBorders>
              <w:top w:val="nil"/>
              <w:left w:val="nil"/>
              <w:bottom w:val="nil"/>
              <w:right w:val="nil"/>
            </w:tcBorders>
          </w:tcPr>
          <w:p w:rsidR="00F26DB4" w:rsidRPr="00445516" w:rsidRDefault="00F26DB4" w:rsidP="00FF33C0">
            <w:pPr>
              <w:pStyle w:val="Tabletext"/>
              <w:spacing w:before="80"/>
            </w:pPr>
          </w:p>
        </w:tc>
        <w:tc>
          <w:tcPr>
            <w:tcW w:w="556" w:type="dxa"/>
            <w:tcBorders>
              <w:top w:val="nil"/>
              <w:left w:val="nil"/>
              <w:bottom w:val="nil"/>
              <w:right w:val="nil"/>
            </w:tcBorders>
            <w:shd w:val="clear" w:color="auto" w:fill="auto"/>
            <w:vAlign w:val="center"/>
          </w:tcPr>
          <w:p w:rsidR="00F26DB4" w:rsidRPr="00445516" w:rsidRDefault="00F26DB4" w:rsidP="008329D1">
            <w:pPr>
              <w:pStyle w:val="Tabletext"/>
            </w:pPr>
            <w:r w:rsidRPr="00445516">
              <w:t>1</w:t>
            </w:r>
          </w:p>
        </w:tc>
        <w:tc>
          <w:tcPr>
            <w:tcW w:w="4120" w:type="dxa"/>
            <w:tcBorders>
              <w:top w:val="nil"/>
              <w:left w:val="nil"/>
              <w:bottom w:val="nil"/>
              <w:right w:val="nil"/>
            </w:tcBorders>
            <w:shd w:val="clear" w:color="auto" w:fill="auto"/>
            <w:vAlign w:val="center"/>
          </w:tcPr>
          <w:p w:rsidR="00F26DB4" w:rsidRPr="00445516" w:rsidRDefault="00F26DB4" w:rsidP="008329D1">
            <w:pPr>
              <w:pStyle w:val="Tabletext"/>
            </w:pPr>
            <w:r w:rsidRPr="00445516">
              <w:t>Nutrition</w:t>
            </w:r>
          </w:p>
        </w:tc>
        <w:tc>
          <w:tcPr>
            <w:tcW w:w="1902" w:type="dxa"/>
            <w:tcBorders>
              <w:top w:val="nil"/>
              <w:left w:val="nil"/>
              <w:bottom w:val="nil"/>
              <w:right w:val="nil"/>
            </w:tcBorders>
            <w:shd w:val="clear" w:color="auto" w:fill="auto"/>
            <w:noWrap/>
            <w:vAlign w:val="bottom"/>
          </w:tcPr>
          <w:p w:rsidR="00F26DB4" w:rsidRPr="00445516" w:rsidRDefault="00F26DB4" w:rsidP="008329D1">
            <w:pPr>
              <w:pStyle w:val="Tabletext"/>
            </w:pPr>
            <w:r w:rsidRPr="00445516">
              <w:t>Yes</w:t>
            </w:r>
          </w:p>
        </w:tc>
      </w:tr>
      <w:tr w:rsidR="00F26DB4" w:rsidRPr="00445516" w:rsidTr="00FF33C0">
        <w:trPr>
          <w:trHeight w:val="320"/>
        </w:trPr>
        <w:tc>
          <w:tcPr>
            <w:tcW w:w="1888" w:type="dxa"/>
            <w:vMerge/>
            <w:tcBorders>
              <w:top w:val="nil"/>
              <w:left w:val="nil"/>
              <w:bottom w:val="nil"/>
              <w:right w:val="nil"/>
            </w:tcBorders>
          </w:tcPr>
          <w:p w:rsidR="00F26DB4" w:rsidRPr="00445516" w:rsidRDefault="00F26DB4" w:rsidP="00FF33C0">
            <w:pPr>
              <w:pStyle w:val="Tabletext"/>
              <w:spacing w:before="80"/>
            </w:pPr>
          </w:p>
        </w:tc>
        <w:tc>
          <w:tcPr>
            <w:tcW w:w="556" w:type="dxa"/>
            <w:tcBorders>
              <w:top w:val="nil"/>
              <w:left w:val="nil"/>
              <w:bottom w:val="nil"/>
              <w:right w:val="nil"/>
            </w:tcBorders>
            <w:shd w:val="clear" w:color="auto" w:fill="auto"/>
            <w:vAlign w:val="center"/>
          </w:tcPr>
          <w:p w:rsidR="00F26DB4" w:rsidRPr="00445516" w:rsidRDefault="00F26DB4" w:rsidP="008329D1">
            <w:pPr>
              <w:pStyle w:val="Tabletext"/>
            </w:pPr>
            <w:r w:rsidRPr="00445516">
              <w:t>1</w:t>
            </w:r>
          </w:p>
        </w:tc>
        <w:tc>
          <w:tcPr>
            <w:tcW w:w="4120" w:type="dxa"/>
            <w:tcBorders>
              <w:top w:val="nil"/>
              <w:left w:val="nil"/>
              <w:bottom w:val="nil"/>
              <w:right w:val="nil"/>
            </w:tcBorders>
            <w:shd w:val="clear" w:color="auto" w:fill="auto"/>
            <w:vAlign w:val="center"/>
          </w:tcPr>
          <w:p w:rsidR="00F26DB4" w:rsidRPr="00445516" w:rsidRDefault="00F26DB4" w:rsidP="008329D1">
            <w:pPr>
              <w:pStyle w:val="Tabletext"/>
            </w:pPr>
            <w:r w:rsidRPr="00445516">
              <w:t>Health sciences</w:t>
            </w:r>
          </w:p>
        </w:tc>
        <w:tc>
          <w:tcPr>
            <w:tcW w:w="1902" w:type="dxa"/>
            <w:tcBorders>
              <w:top w:val="nil"/>
              <w:left w:val="nil"/>
              <w:bottom w:val="nil"/>
              <w:right w:val="nil"/>
            </w:tcBorders>
            <w:shd w:val="clear" w:color="auto" w:fill="auto"/>
            <w:noWrap/>
            <w:vAlign w:val="bottom"/>
          </w:tcPr>
          <w:p w:rsidR="00F26DB4" w:rsidRPr="00445516" w:rsidRDefault="00F26DB4" w:rsidP="008329D1">
            <w:pPr>
              <w:pStyle w:val="Tabletext"/>
            </w:pPr>
            <w:r w:rsidRPr="00445516">
              <w:t>Yes</w:t>
            </w:r>
          </w:p>
        </w:tc>
      </w:tr>
      <w:tr w:rsidR="00F26DB4" w:rsidRPr="00445516" w:rsidTr="00FF33C0">
        <w:trPr>
          <w:trHeight w:val="320"/>
        </w:trPr>
        <w:tc>
          <w:tcPr>
            <w:tcW w:w="1888" w:type="dxa"/>
            <w:vMerge/>
            <w:tcBorders>
              <w:top w:val="nil"/>
              <w:left w:val="nil"/>
              <w:bottom w:val="nil"/>
              <w:right w:val="nil"/>
            </w:tcBorders>
          </w:tcPr>
          <w:p w:rsidR="00F26DB4" w:rsidRPr="00445516" w:rsidRDefault="00F26DB4" w:rsidP="00FF33C0">
            <w:pPr>
              <w:pStyle w:val="Tabletext"/>
              <w:spacing w:before="80"/>
            </w:pPr>
          </w:p>
        </w:tc>
        <w:tc>
          <w:tcPr>
            <w:tcW w:w="556" w:type="dxa"/>
            <w:tcBorders>
              <w:top w:val="nil"/>
              <w:left w:val="nil"/>
              <w:bottom w:val="nil"/>
              <w:right w:val="nil"/>
            </w:tcBorders>
            <w:shd w:val="clear" w:color="auto" w:fill="auto"/>
            <w:vAlign w:val="center"/>
          </w:tcPr>
          <w:p w:rsidR="00F26DB4" w:rsidRPr="00445516" w:rsidRDefault="00F26DB4" w:rsidP="008329D1">
            <w:pPr>
              <w:pStyle w:val="Tabletext"/>
            </w:pPr>
            <w:r w:rsidRPr="00445516">
              <w:t>1</w:t>
            </w:r>
          </w:p>
        </w:tc>
        <w:tc>
          <w:tcPr>
            <w:tcW w:w="4120" w:type="dxa"/>
            <w:tcBorders>
              <w:top w:val="nil"/>
              <w:left w:val="nil"/>
              <w:bottom w:val="nil"/>
              <w:right w:val="nil"/>
            </w:tcBorders>
            <w:shd w:val="clear" w:color="auto" w:fill="auto"/>
            <w:vAlign w:val="center"/>
          </w:tcPr>
          <w:p w:rsidR="00F26DB4" w:rsidRPr="00445516" w:rsidRDefault="00F26DB4" w:rsidP="008329D1">
            <w:pPr>
              <w:pStyle w:val="Tabletext"/>
            </w:pPr>
            <w:r w:rsidRPr="00445516">
              <w:t xml:space="preserve">Fitness </w:t>
            </w:r>
          </w:p>
        </w:tc>
        <w:tc>
          <w:tcPr>
            <w:tcW w:w="1902" w:type="dxa"/>
            <w:tcBorders>
              <w:top w:val="nil"/>
              <w:left w:val="nil"/>
              <w:bottom w:val="nil"/>
              <w:right w:val="nil"/>
            </w:tcBorders>
            <w:shd w:val="clear" w:color="auto" w:fill="auto"/>
            <w:noWrap/>
            <w:vAlign w:val="bottom"/>
          </w:tcPr>
          <w:p w:rsidR="00F26DB4" w:rsidRPr="00445516" w:rsidRDefault="00F26DB4" w:rsidP="008329D1">
            <w:pPr>
              <w:pStyle w:val="Tabletext"/>
            </w:pPr>
            <w:r w:rsidRPr="00445516">
              <w:t>Neutral</w:t>
            </w:r>
          </w:p>
        </w:tc>
      </w:tr>
      <w:tr w:rsidR="00F26DB4" w:rsidRPr="00445516" w:rsidTr="00FF33C0">
        <w:trPr>
          <w:trHeight w:val="320"/>
        </w:trPr>
        <w:tc>
          <w:tcPr>
            <w:tcW w:w="1888" w:type="dxa"/>
            <w:vMerge/>
            <w:tcBorders>
              <w:top w:val="nil"/>
              <w:left w:val="nil"/>
              <w:bottom w:val="nil"/>
              <w:right w:val="nil"/>
            </w:tcBorders>
          </w:tcPr>
          <w:p w:rsidR="00F26DB4" w:rsidRPr="00445516" w:rsidRDefault="00F26DB4" w:rsidP="00FF33C0">
            <w:pPr>
              <w:pStyle w:val="Tabletext"/>
              <w:spacing w:before="80"/>
            </w:pPr>
          </w:p>
        </w:tc>
        <w:tc>
          <w:tcPr>
            <w:tcW w:w="556" w:type="dxa"/>
            <w:tcBorders>
              <w:top w:val="nil"/>
              <w:left w:val="nil"/>
              <w:bottom w:val="nil"/>
              <w:right w:val="nil"/>
            </w:tcBorders>
            <w:shd w:val="clear" w:color="auto" w:fill="auto"/>
            <w:vAlign w:val="center"/>
          </w:tcPr>
          <w:p w:rsidR="00F26DB4" w:rsidRPr="00445516" w:rsidRDefault="00F26DB4" w:rsidP="008329D1">
            <w:pPr>
              <w:pStyle w:val="Tabletext"/>
            </w:pPr>
            <w:r w:rsidRPr="00445516">
              <w:t>1</w:t>
            </w:r>
          </w:p>
        </w:tc>
        <w:tc>
          <w:tcPr>
            <w:tcW w:w="4120" w:type="dxa"/>
            <w:tcBorders>
              <w:top w:val="nil"/>
              <w:left w:val="nil"/>
              <w:bottom w:val="nil"/>
              <w:right w:val="nil"/>
            </w:tcBorders>
            <w:shd w:val="clear" w:color="auto" w:fill="auto"/>
            <w:vAlign w:val="center"/>
          </w:tcPr>
          <w:p w:rsidR="00F26DB4" w:rsidRPr="00445516" w:rsidRDefault="00F26DB4" w:rsidP="008329D1">
            <w:pPr>
              <w:pStyle w:val="Tabletext"/>
            </w:pPr>
            <w:r w:rsidRPr="00445516">
              <w:t>Medicine</w:t>
            </w:r>
          </w:p>
        </w:tc>
        <w:tc>
          <w:tcPr>
            <w:tcW w:w="1902" w:type="dxa"/>
            <w:tcBorders>
              <w:top w:val="nil"/>
              <w:left w:val="nil"/>
              <w:bottom w:val="nil"/>
              <w:right w:val="nil"/>
            </w:tcBorders>
            <w:shd w:val="clear" w:color="auto" w:fill="auto"/>
            <w:noWrap/>
            <w:vAlign w:val="bottom"/>
          </w:tcPr>
          <w:p w:rsidR="00F26DB4" w:rsidRPr="00445516" w:rsidRDefault="00F26DB4" w:rsidP="008329D1">
            <w:pPr>
              <w:pStyle w:val="Tabletext"/>
            </w:pPr>
            <w:r w:rsidRPr="00445516">
              <w:t>No</w:t>
            </w:r>
          </w:p>
        </w:tc>
      </w:tr>
      <w:tr w:rsidR="00F26DB4" w:rsidRPr="00445516" w:rsidTr="00FF33C0">
        <w:trPr>
          <w:trHeight w:val="320"/>
        </w:trPr>
        <w:tc>
          <w:tcPr>
            <w:tcW w:w="1888" w:type="dxa"/>
            <w:vMerge/>
            <w:tcBorders>
              <w:top w:val="nil"/>
              <w:left w:val="nil"/>
              <w:bottom w:val="single" w:sz="4" w:space="0" w:color="auto"/>
              <w:right w:val="nil"/>
            </w:tcBorders>
          </w:tcPr>
          <w:p w:rsidR="00F26DB4" w:rsidRPr="00445516" w:rsidRDefault="00F26DB4" w:rsidP="00FF33C0">
            <w:pPr>
              <w:pStyle w:val="Tabletext"/>
              <w:spacing w:before="80"/>
            </w:pPr>
          </w:p>
        </w:tc>
        <w:tc>
          <w:tcPr>
            <w:tcW w:w="556" w:type="dxa"/>
            <w:tcBorders>
              <w:top w:val="nil"/>
              <w:left w:val="nil"/>
              <w:bottom w:val="single" w:sz="4" w:space="0" w:color="auto"/>
              <w:right w:val="nil"/>
            </w:tcBorders>
            <w:shd w:val="clear" w:color="auto" w:fill="auto"/>
            <w:noWrap/>
            <w:vAlign w:val="bottom"/>
          </w:tcPr>
          <w:p w:rsidR="00F26DB4" w:rsidRPr="00445516" w:rsidRDefault="00F26DB4" w:rsidP="008329D1">
            <w:pPr>
              <w:pStyle w:val="Tabletext"/>
            </w:pPr>
            <w:r w:rsidRPr="00445516">
              <w:t>1</w:t>
            </w:r>
          </w:p>
        </w:tc>
        <w:tc>
          <w:tcPr>
            <w:tcW w:w="4120" w:type="dxa"/>
            <w:tcBorders>
              <w:top w:val="nil"/>
              <w:left w:val="nil"/>
              <w:bottom w:val="single" w:sz="4" w:space="0" w:color="auto"/>
              <w:right w:val="nil"/>
            </w:tcBorders>
            <w:shd w:val="clear" w:color="auto" w:fill="auto"/>
            <w:vAlign w:val="center"/>
          </w:tcPr>
          <w:p w:rsidR="00F26DB4" w:rsidRPr="00445516" w:rsidRDefault="00F26DB4" w:rsidP="008329D1">
            <w:pPr>
              <w:pStyle w:val="Tabletext"/>
            </w:pPr>
            <w:r w:rsidRPr="00445516">
              <w:t>Outdoor recreation</w:t>
            </w:r>
          </w:p>
        </w:tc>
        <w:tc>
          <w:tcPr>
            <w:tcW w:w="1902" w:type="dxa"/>
            <w:tcBorders>
              <w:top w:val="nil"/>
              <w:left w:val="nil"/>
              <w:bottom w:val="single" w:sz="4" w:space="0" w:color="auto"/>
              <w:right w:val="nil"/>
            </w:tcBorders>
            <w:shd w:val="clear" w:color="auto" w:fill="auto"/>
            <w:noWrap/>
            <w:vAlign w:val="bottom"/>
          </w:tcPr>
          <w:p w:rsidR="00F26DB4" w:rsidRPr="00445516" w:rsidRDefault="00F26DB4" w:rsidP="008329D1">
            <w:pPr>
              <w:pStyle w:val="Tabletext"/>
            </w:pPr>
            <w:r w:rsidRPr="00445516">
              <w:t>No</w:t>
            </w:r>
          </w:p>
        </w:tc>
      </w:tr>
      <w:tr w:rsidR="00F26DB4" w:rsidRPr="00445516" w:rsidTr="00FF33C0">
        <w:trPr>
          <w:trHeight w:val="320"/>
        </w:trPr>
        <w:tc>
          <w:tcPr>
            <w:tcW w:w="1888" w:type="dxa"/>
            <w:vMerge w:val="restart"/>
            <w:tcBorders>
              <w:top w:val="single" w:sz="4" w:space="0" w:color="auto"/>
              <w:left w:val="nil"/>
              <w:bottom w:val="nil"/>
              <w:right w:val="nil"/>
            </w:tcBorders>
          </w:tcPr>
          <w:p w:rsidR="00F26DB4" w:rsidRPr="00445516" w:rsidRDefault="00F26DB4" w:rsidP="00FF33C0">
            <w:pPr>
              <w:pStyle w:val="Tabletext"/>
              <w:spacing w:before="80"/>
            </w:pPr>
            <w:r w:rsidRPr="00445516">
              <w:t>Teaching</w:t>
            </w:r>
          </w:p>
          <w:p w:rsidR="00F26DB4" w:rsidRPr="00445516" w:rsidRDefault="00F26DB4" w:rsidP="00FF33C0">
            <w:pPr>
              <w:pStyle w:val="Tabletext"/>
              <w:spacing w:before="80"/>
            </w:pPr>
          </w:p>
        </w:tc>
        <w:tc>
          <w:tcPr>
            <w:tcW w:w="556" w:type="dxa"/>
            <w:tcBorders>
              <w:top w:val="single" w:sz="4" w:space="0" w:color="auto"/>
              <w:left w:val="nil"/>
              <w:bottom w:val="nil"/>
              <w:right w:val="nil"/>
            </w:tcBorders>
            <w:shd w:val="clear" w:color="auto" w:fill="auto"/>
            <w:vAlign w:val="center"/>
          </w:tcPr>
          <w:p w:rsidR="00F26DB4" w:rsidRPr="00445516" w:rsidRDefault="00F26DB4" w:rsidP="008329D1">
            <w:pPr>
              <w:pStyle w:val="Tabletext"/>
            </w:pPr>
            <w:r w:rsidRPr="00445516">
              <w:t>1</w:t>
            </w:r>
          </w:p>
        </w:tc>
        <w:tc>
          <w:tcPr>
            <w:tcW w:w="4120" w:type="dxa"/>
            <w:tcBorders>
              <w:top w:val="single" w:sz="4" w:space="0" w:color="auto"/>
              <w:left w:val="nil"/>
              <w:bottom w:val="nil"/>
              <w:right w:val="nil"/>
            </w:tcBorders>
            <w:shd w:val="clear" w:color="auto" w:fill="auto"/>
            <w:vAlign w:val="center"/>
          </w:tcPr>
          <w:p w:rsidR="00F26DB4" w:rsidRPr="00445516" w:rsidRDefault="00F26DB4" w:rsidP="008329D1">
            <w:pPr>
              <w:pStyle w:val="Tabletext"/>
            </w:pPr>
            <w:r w:rsidRPr="00445516">
              <w:t>Primary school teacher</w:t>
            </w:r>
          </w:p>
        </w:tc>
        <w:tc>
          <w:tcPr>
            <w:tcW w:w="1902" w:type="dxa"/>
            <w:tcBorders>
              <w:top w:val="single" w:sz="4" w:space="0" w:color="auto"/>
              <w:left w:val="nil"/>
              <w:bottom w:val="nil"/>
              <w:right w:val="nil"/>
            </w:tcBorders>
            <w:shd w:val="clear" w:color="auto" w:fill="auto"/>
            <w:noWrap/>
            <w:vAlign w:val="bottom"/>
          </w:tcPr>
          <w:p w:rsidR="00F26DB4" w:rsidRPr="00445516" w:rsidRDefault="00F26DB4" w:rsidP="008329D1">
            <w:pPr>
              <w:pStyle w:val="Tabletext"/>
            </w:pPr>
            <w:r w:rsidRPr="00445516">
              <w:t>Yes</w:t>
            </w:r>
          </w:p>
        </w:tc>
      </w:tr>
      <w:tr w:rsidR="00F26DB4" w:rsidRPr="00445516" w:rsidTr="00FF33C0">
        <w:trPr>
          <w:trHeight w:val="320"/>
        </w:trPr>
        <w:tc>
          <w:tcPr>
            <w:tcW w:w="1888" w:type="dxa"/>
            <w:vMerge/>
            <w:tcBorders>
              <w:top w:val="nil"/>
              <w:left w:val="nil"/>
              <w:bottom w:val="nil"/>
              <w:right w:val="nil"/>
            </w:tcBorders>
          </w:tcPr>
          <w:p w:rsidR="00F26DB4" w:rsidRPr="00445516" w:rsidRDefault="00F26DB4" w:rsidP="00FF33C0">
            <w:pPr>
              <w:pStyle w:val="Tabletext"/>
              <w:spacing w:before="80"/>
            </w:pPr>
          </w:p>
        </w:tc>
        <w:tc>
          <w:tcPr>
            <w:tcW w:w="556" w:type="dxa"/>
            <w:tcBorders>
              <w:top w:val="nil"/>
              <w:left w:val="nil"/>
              <w:bottom w:val="nil"/>
              <w:right w:val="nil"/>
            </w:tcBorders>
            <w:shd w:val="clear" w:color="auto" w:fill="auto"/>
            <w:vAlign w:val="center"/>
          </w:tcPr>
          <w:p w:rsidR="00F26DB4" w:rsidRPr="00445516" w:rsidRDefault="00F26DB4" w:rsidP="008329D1">
            <w:pPr>
              <w:pStyle w:val="Tabletext"/>
            </w:pPr>
            <w:r w:rsidRPr="00445516">
              <w:t>1</w:t>
            </w:r>
          </w:p>
        </w:tc>
        <w:tc>
          <w:tcPr>
            <w:tcW w:w="4120" w:type="dxa"/>
            <w:tcBorders>
              <w:top w:val="nil"/>
              <w:left w:val="nil"/>
              <w:bottom w:val="nil"/>
              <w:right w:val="nil"/>
            </w:tcBorders>
            <w:shd w:val="clear" w:color="auto" w:fill="auto"/>
            <w:vAlign w:val="center"/>
          </w:tcPr>
          <w:p w:rsidR="00F26DB4" w:rsidRPr="00445516" w:rsidRDefault="00F26DB4" w:rsidP="008329D1">
            <w:pPr>
              <w:pStyle w:val="Tabletext"/>
            </w:pPr>
            <w:r w:rsidRPr="00445516">
              <w:t>Dance teacher</w:t>
            </w:r>
          </w:p>
        </w:tc>
        <w:tc>
          <w:tcPr>
            <w:tcW w:w="1902" w:type="dxa"/>
            <w:tcBorders>
              <w:top w:val="nil"/>
              <w:left w:val="nil"/>
              <w:bottom w:val="nil"/>
              <w:right w:val="nil"/>
            </w:tcBorders>
            <w:shd w:val="clear" w:color="auto" w:fill="auto"/>
            <w:noWrap/>
            <w:vAlign w:val="bottom"/>
          </w:tcPr>
          <w:p w:rsidR="00F26DB4" w:rsidRPr="00445516" w:rsidRDefault="00F26DB4" w:rsidP="008329D1">
            <w:pPr>
              <w:pStyle w:val="Tabletext"/>
            </w:pPr>
            <w:r w:rsidRPr="00445516">
              <w:t>Yes</w:t>
            </w:r>
          </w:p>
        </w:tc>
      </w:tr>
      <w:tr w:rsidR="00F26DB4" w:rsidRPr="00445516" w:rsidTr="00FF33C0">
        <w:trPr>
          <w:trHeight w:val="320"/>
        </w:trPr>
        <w:tc>
          <w:tcPr>
            <w:tcW w:w="1888" w:type="dxa"/>
            <w:vMerge/>
            <w:tcBorders>
              <w:top w:val="nil"/>
              <w:left w:val="nil"/>
              <w:bottom w:val="single" w:sz="4" w:space="0" w:color="auto"/>
              <w:right w:val="nil"/>
            </w:tcBorders>
          </w:tcPr>
          <w:p w:rsidR="00F26DB4" w:rsidRPr="00445516" w:rsidRDefault="00F26DB4" w:rsidP="00FF33C0">
            <w:pPr>
              <w:pStyle w:val="Tabletext"/>
              <w:spacing w:before="80"/>
            </w:pPr>
          </w:p>
        </w:tc>
        <w:tc>
          <w:tcPr>
            <w:tcW w:w="556" w:type="dxa"/>
            <w:tcBorders>
              <w:top w:val="nil"/>
              <w:left w:val="nil"/>
              <w:bottom w:val="single" w:sz="4" w:space="0" w:color="auto"/>
              <w:right w:val="nil"/>
            </w:tcBorders>
            <w:shd w:val="clear" w:color="auto" w:fill="auto"/>
            <w:vAlign w:val="center"/>
          </w:tcPr>
          <w:p w:rsidR="00F26DB4" w:rsidRPr="00445516" w:rsidRDefault="00F26DB4" w:rsidP="008329D1">
            <w:pPr>
              <w:pStyle w:val="Tabletext"/>
            </w:pPr>
            <w:r w:rsidRPr="00445516">
              <w:t>1</w:t>
            </w:r>
          </w:p>
        </w:tc>
        <w:tc>
          <w:tcPr>
            <w:tcW w:w="4120" w:type="dxa"/>
            <w:tcBorders>
              <w:top w:val="nil"/>
              <w:left w:val="nil"/>
              <w:bottom w:val="single" w:sz="4" w:space="0" w:color="auto"/>
              <w:right w:val="nil"/>
            </w:tcBorders>
            <w:shd w:val="clear" w:color="auto" w:fill="auto"/>
            <w:vAlign w:val="center"/>
          </w:tcPr>
          <w:p w:rsidR="00F26DB4" w:rsidRPr="00445516" w:rsidRDefault="002F50A3" w:rsidP="008329D1">
            <w:pPr>
              <w:pStyle w:val="Tabletext"/>
            </w:pPr>
            <w:r>
              <w:t>PE t</w:t>
            </w:r>
            <w:r w:rsidR="00F26DB4" w:rsidRPr="00445516">
              <w:t>eacher</w:t>
            </w:r>
          </w:p>
        </w:tc>
        <w:tc>
          <w:tcPr>
            <w:tcW w:w="1902" w:type="dxa"/>
            <w:tcBorders>
              <w:top w:val="nil"/>
              <w:left w:val="nil"/>
              <w:bottom w:val="single" w:sz="4" w:space="0" w:color="auto"/>
              <w:right w:val="nil"/>
            </w:tcBorders>
            <w:shd w:val="clear" w:color="auto" w:fill="auto"/>
            <w:noWrap/>
            <w:vAlign w:val="bottom"/>
          </w:tcPr>
          <w:p w:rsidR="00F26DB4" w:rsidRPr="00445516" w:rsidRDefault="00F26DB4" w:rsidP="008329D1">
            <w:pPr>
              <w:pStyle w:val="Tabletext"/>
            </w:pPr>
            <w:r w:rsidRPr="00445516">
              <w:t>Neutral</w:t>
            </w:r>
          </w:p>
        </w:tc>
      </w:tr>
      <w:tr w:rsidR="00F26DB4" w:rsidRPr="00445516" w:rsidTr="00FF33C0">
        <w:trPr>
          <w:trHeight w:val="320"/>
        </w:trPr>
        <w:tc>
          <w:tcPr>
            <w:tcW w:w="1888" w:type="dxa"/>
            <w:vMerge w:val="restart"/>
            <w:tcBorders>
              <w:top w:val="single" w:sz="4" w:space="0" w:color="auto"/>
              <w:left w:val="nil"/>
              <w:bottom w:val="nil"/>
              <w:right w:val="nil"/>
            </w:tcBorders>
          </w:tcPr>
          <w:p w:rsidR="00F26DB4" w:rsidRPr="00445516" w:rsidRDefault="00F26DB4" w:rsidP="00FF33C0">
            <w:pPr>
              <w:pStyle w:val="Tabletext"/>
              <w:spacing w:before="80"/>
            </w:pPr>
            <w:r w:rsidRPr="00445516">
              <w:t>Beauty &amp; fashion (VET)</w:t>
            </w:r>
          </w:p>
          <w:p w:rsidR="00F26DB4" w:rsidRPr="00445516" w:rsidRDefault="00F26DB4" w:rsidP="00FF33C0">
            <w:pPr>
              <w:pStyle w:val="Tabletext"/>
              <w:spacing w:before="80"/>
            </w:pPr>
          </w:p>
        </w:tc>
        <w:tc>
          <w:tcPr>
            <w:tcW w:w="556" w:type="dxa"/>
            <w:tcBorders>
              <w:top w:val="single" w:sz="4" w:space="0" w:color="auto"/>
              <w:left w:val="nil"/>
              <w:bottom w:val="nil"/>
              <w:right w:val="nil"/>
            </w:tcBorders>
            <w:shd w:val="clear" w:color="auto" w:fill="auto"/>
            <w:vAlign w:val="center"/>
          </w:tcPr>
          <w:p w:rsidR="00F26DB4" w:rsidRPr="00445516" w:rsidRDefault="00F26DB4" w:rsidP="008329D1">
            <w:pPr>
              <w:pStyle w:val="Tabletext"/>
            </w:pPr>
            <w:r w:rsidRPr="00445516">
              <w:t>1</w:t>
            </w:r>
          </w:p>
        </w:tc>
        <w:tc>
          <w:tcPr>
            <w:tcW w:w="4120" w:type="dxa"/>
            <w:tcBorders>
              <w:top w:val="single" w:sz="4" w:space="0" w:color="auto"/>
              <w:left w:val="nil"/>
              <w:bottom w:val="nil"/>
              <w:right w:val="nil"/>
            </w:tcBorders>
            <w:shd w:val="clear" w:color="auto" w:fill="auto"/>
            <w:vAlign w:val="center"/>
          </w:tcPr>
          <w:p w:rsidR="00F26DB4" w:rsidRPr="00445516" w:rsidRDefault="00F26DB4" w:rsidP="008329D1">
            <w:pPr>
              <w:pStyle w:val="Tabletext"/>
            </w:pPr>
            <w:r w:rsidRPr="00445516">
              <w:t>Make</w:t>
            </w:r>
            <w:r w:rsidR="00553DB5">
              <w:t>-</w:t>
            </w:r>
            <w:r w:rsidRPr="00445516">
              <w:t>up artist/special effects</w:t>
            </w:r>
          </w:p>
        </w:tc>
        <w:tc>
          <w:tcPr>
            <w:tcW w:w="1902" w:type="dxa"/>
            <w:tcBorders>
              <w:top w:val="single" w:sz="4" w:space="0" w:color="auto"/>
              <w:left w:val="nil"/>
              <w:bottom w:val="nil"/>
              <w:right w:val="nil"/>
            </w:tcBorders>
            <w:shd w:val="clear" w:color="auto" w:fill="auto"/>
            <w:noWrap/>
            <w:vAlign w:val="bottom"/>
          </w:tcPr>
          <w:p w:rsidR="00F26DB4" w:rsidRPr="00445516" w:rsidRDefault="00F26DB4" w:rsidP="008329D1">
            <w:pPr>
              <w:pStyle w:val="Tabletext"/>
            </w:pPr>
            <w:r w:rsidRPr="00445516">
              <w:t>Yes</w:t>
            </w:r>
          </w:p>
        </w:tc>
      </w:tr>
      <w:tr w:rsidR="00F26DB4" w:rsidRPr="00445516" w:rsidTr="00FF33C0">
        <w:trPr>
          <w:trHeight w:val="320"/>
        </w:trPr>
        <w:tc>
          <w:tcPr>
            <w:tcW w:w="1888" w:type="dxa"/>
            <w:vMerge/>
            <w:tcBorders>
              <w:top w:val="nil"/>
              <w:left w:val="nil"/>
              <w:bottom w:val="single" w:sz="4" w:space="0" w:color="auto"/>
              <w:right w:val="nil"/>
            </w:tcBorders>
          </w:tcPr>
          <w:p w:rsidR="00F26DB4" w:rsidRPr="00445516" w:rsidRDefault="00F26DB4" w:rsidP="00FF33C0">
            <w:pPr>
              <w:pStyle w:val="Tabletext"/>
              <w:spacing w:before="80"/>
            </w:pPr>
          </w:p>
        </w:tc>
        <w:tc>
          <w:tcPr>
            <w:tcW w:w="556" w:type="dxa"/>
            <w:tcBorders>
              <w:top w:val="nil"/>
              <w:left w:val="nil"/>
              <w:bottom w:val="single" w:sz="4" w:space="0" w:color="auto"/>
              <w:right w:val="nil"/>
            </w:tcBorders>
            <w:shd w:val="clear" w:color="auto" w:fill="auto"/>
            <w:vAlign w:val="center"/>
          </w:tcPr>
          <w:p w:rsidR="00F26DB4" w:rsidRPr="00445516" w:rsidRDefault="00F26DB4" w:rsidP="008329D1">
            <w:pPr>
              <w:pStyle w:val="Tabletext"/>
            </w:pPr>
            <w:r w:rsidRPr="00445516">
              <w:t>1</w:t>
            </w:r>
          </w:p>
        </w:tc>
        <w:tc>
          <w:tcPr>
            <w:tcW w:w="4120" w:type="dxa"/>
            <w:tcBorders>
              <w:top w:val="nil"/>
              <w:left w:val="nil"/>
              <w:bottom w:val="single" w:sz="4" w:space="0" w:color="auto"/>
              <w:right w:val="nil"/>
            </w:tcBorders>
            <w:shd w:val="clear" w:color="auto" w:fill="auto"/>
            <w:vAlign w:val="center"/>
          </w:tcPr>
          <w:p w:rsidR="00F26DB4" w:rsidRPr="00445516" w:rsidRDefault="00F26DB4" w:rsidP="008329D1">
            <w:pPr>
              <w:pStyle w:val="Tabletext"/>
            </w:pPr>
            <w:r w:rsidRPr="00445516">
              <w:t>Beauty therapy</w:t>
            </w:r>
          </w:p>
        </w:tc>
        <w:tc>
          <w:tcPr>
            <w:tcW w:w="1902" w:type="dxa"/>
            <w:tcBorders>
              <w:top w:val="nil"/>
              <w:left w:val="nil"/>
              <w:bottom w:val="single" w:sz="4" w:space="0" w:color="auto"/>
              <w:right w:val="nil"/>
            </w:tcBorders>
            <w:shd w:val="clear" w:color="auto" w:fill="auto"/>
            <w:noWrap/>
            <w:vAlign w:val="bottom"/>
          </w:tcPr>
          <w:p w:rsidR="00F26DB4" w:rsidRPr="00445516" w:rsidRDefault="00F26DB4" w:rsidP="008329D1">
            <w:pPr>
              <w:pStyle w:val="Tabletext"/>
            </w:pPr>
            <w:r w:rsidRPr="00445516">
              <w:t>Yes</w:t>
            </w:r>
          </w:p>
        </w:tc>
      </w:tr>
      <w:tr w:rsidR="00F26DB4" w:rsidRPr="00445516" w:rsidTr="00FF33C0">
        <w:trPr>
          <w:trHeight w:val="320"/>
        </w:trPr>
        <w:tc>
          <w:tcPr>
            <w:tcW w:w="1888" w:type="dxa"/>
            <w:vMerge w:val="restart"/>
            <w:tcBorders>
              <w:top w:val="single" w:sz="4" w:space="0" w:color="auto"/>
              <w:left w:val="nil"/>
              <w:bottom w:val="nil"/>
              <w:right w:val="nil"/>
            </w:tcBorders>
          </w:tcPr>
          <w:p w:rsidR="00F26DB4" w:rsidRPr="00445516" w:rsidRDefault="00F26DB4" w:rsidP="00FF33C0">
            <w:pPr>
              <w:pStyle w:val="Tabletext"/>
              <w:spacing w:before="80"/>
            </w:pPr>
            <w:r w:rsidRPr="00445516">
              <w:t>Small business</w:t>
            </w:r>
          </w:p>
          <w:p w:rsidR="00F26DB4" w:rsidRPr="00445516" w:rsidRDefault="00F26DB4" w:rsidP="00FF33C0">
            <w:pPr>
              <w:pStyle w:val="Tabletext"/>
              <w:spacing w:before="80"/>
            </w:pPr>
          </w:p>
        </w:tc>
        <w:tc>
          <w:tcPr>
            <w:tcW w:w="556" w:type="dxa"/>
            <w:tcBorders>
              <w:top w:val="single" w:sz="4" w:space="0" w:color="auto"/>
              <w:left w:val="nil"/>
              <w:bottom w:val="nil"/>
              <w:right w:val="nil"/>
            </w:tcBorders>
            <w:shd w:val="clear" w:color="auto" w:fill="auto"/>
            <w:vAlign w:val="center"/>
          </w:tcPr>
          <w:p w:rsidR="00F26DB4" w:rsidRPr="00445516" w:rsidRDefault="00F26DB4" w:rsidP="008329D1">
            <w:pPr>
              <w:pStyle w:val="Tabletext"/>
            </w:pPr>
            <w:r w:rsidRPr="00445516">
              <w:t>1</w:t>
            </w:r>
          </w:p>
        </w:tc>
        <w:tc>
          <w:tcPr>
            <w:tcW w:w="4120" w:type="dxa"/>
            <w:tcBorders>
              <w:top w:val="single" w:sz="4" w:space="0" w:color="auto"/>
              <w:left w:val="nil"/>
              <w:bottom w:val="nil"/>
              <w:right w:val="nil"/>
            </w:tcBorders>
            <w:shd w:val="clear" w:color="auto" w:fill="auto"/>
            <w:vAlign w:val="center"/>
          </w:tcPr>
          <w:p w:rsidR="00F26DB4" w:rsidRPr="00445516" w:rsidRDefault="00F26DB4" w:rsidP="008329D1">
            <w:pPr>
              <w:pStyle w:val="Tabletext"/>
            </w:pPr>
            <w:r w:rsidRPr="00445516">
              <w:t>Dance school</w:t>
            </w:r>
          </w:p>
        </w:tc>
        <w:tc>
          <w:tcPr>
            <w:tcW w:w="1902" w:type="dxa"/>
            <w:tcBorders>
              <w:top w:val="single" w:sz="4" w:space="0" w:color="auto"/>
              <w:left w:val="nil"/>
              <w:bottom w:val="nil"/>
              <w:right w:val="nil"/>
            </w:tcBorders>
            <w:shd w:val="clear" w:color="auto" w:fill="auto"/>
            <w:noWrap/>
            <w:vAlign w:val="bottom"/>
          </w:tcPr>
          <w:p w:rsidR="00F26DB4" w:rsidRPr="00445516" w:rsidRDefault="00F26DB4" w:rsidP="008329D1">
            <w:pPr>
              <w:pStyle w:val="Tabletext"/>
            </w:pPr>
            <w:r w:rsidRPr="00445516">
              <w:t>Yes</w:t>
            </w:r>
          </w:p>
        </w:tc>
      </w:tr>
      <w:tr w:rsidR="00F26DB4" w:rsidRPr="00445516" w:rsidTr="00FF33C0">
        <w:trPr>
          <w:trHeight w:val="320"/>
        </w:trPr>
        <w:tc>
          <w:tcPr>
            <w:tcW w:w="1888" w:type="dxa"/>
            <w:vMerge/>
            <w:tcBorders>
              <w:top w:val="nil"/>
              <w:left w:val="nil"/>
              <w:bottom w:val="single" w:sz="4" w:space="0" w:color="auto"/>
              <w:right w:val="nil"/>
            </w:tcBorders>
          </w:tcPr>
          <w:p w:rsidR="00F26DB4" w:rsidRPr="00445516" w:rsidRDefault="00F26DB4" w:rsidP="00FF33C0">
            <w:pPr>
              <w:pStyle w:val="Tabletext"/>
              <w:spacing w:before="80"/>
            </w:pPr>
          </w:p>
        </w:tc>
        <w:tc>
          <w:tcPr>
            <w:tcW w:w="556" w:type="dxa"/>
            <w:tcBorders>
              <w:top w:val="nil"/>
              <w:left w:val="nil"/>
              <w:bottom w:val="single" w:sz="4" w:space="0" w:color="auto"/>
              <w:right w:val="nil"/>
            </w:tcBorders>
            <w:shd w:val="clear" w:color="auto" w:fill="auto"/>
            <w:noWrap/>
            <w:vAlign w:val="bottom"/>
          </w:tcPr>
          <w:p w:rsidR="00F26DB4" w:rsidRPr="00445516" w:rsidRDefault="00F26DB4" w:rsidP="008329D1">
            <w:pPr>
              <w:pStyle w:val="Tabletext"/>
            </w:pPr>
            <w:r w:rsidRPr="00445516">
              <w:t>1</w:t>
            </w:r>
          </w:p>
        </w:tc>
        <w:tc>
          <w:tcPr>
            <w:tcW w:w="4120" w:type="dxa"/>
            <w:tcBorders>
              <w:top w:val="nil"/>
              <w:left w:val="nil"/>
              <w:bottom w:val="single" w:sz="4" w:space="0" w:color="auto"/>
              <w:right w:val="nil"/>
            </w:tcBorders>
            <w:shd w:val="clear" w:color="auto" w:fill="auto"/>
            <w:vAlign w:val="center"/>
          </w:tcPr>
          <w:p w:rsidR="00F26DB4" w:rsidRPr="00445516" w:rsidRDefault="002F50A3" w:rsidP="008329D1">
            <w:pPr>
              <w:pStyle w:val="Tabletext"/>
            </w:pPr>
            <w:r>
              <w:t>Own business – book</w:t>
            </w:r>
            <w:r w:rsidR="00F26DB4" w:rsidRPr="00445516">
              <w:t>store</w:t>
            </w:r>
          </w:p>
        </w:tc>
        <w:tc>
          <w:tcPr>
            <w:tcW w:w="1902" w:type="dxa"/>
            <w:tcBorders>
              <w:top w:val="nil"/>
              <w:left w:val="nil"/>
              <w:bottom w:val="single" w:sz="4" w:space="0" w:color="auto"/>
              <w:right w:val="nil"/>
            </w:tcBorders>
            <w:shd w:val="clear" w:color="auto" w:fill="auto"/>
            <w:noWrap/>
            <w:vAlign w:val="bottom"/>
          </w:tcPr>
          <w:p w:rsidR="00F26DB4" w:rsidRPr="00445516" w:rsidRDefault="00F26DB4" w:rsidP="008329D1">
            <w:pPr>
              <w:pStyle w:val="Tabletext"/>
            </w:pPr>
            <w:r w:rsidRPr="00445516">
              <w:t>Neutral</w:t>
            </w:r>
          </w:p>
        </w:tc>
      </w:tr>
      <w:tr w:rsidR="00F26DB4" w:rsidRPr="00445516" w:rsidTr="00FF33C0">
        <w:trPr>
          <w:trHeight w:val="320"/>
        </w:trPr>
        <w:tc>
          <w:tcPr>
            <w:tcW w:w="1888" w:type="dxa"/>
            <w:vMerge w:val="restart"/>
            <w:tcBorders>
              <w:left w:val="nil"/>
              <w:bottom w:val="nil"/>
              <w:right w:val="nil"/>
            </w:tcBorders>
          </w:tcPr>
          <w:p w:rsidR="00F26DB4" w:rsidRPr="00445516" w:rsidRDefault="00F26DB4" w:rsidP="00FF33C0">
            <w:pPr>
              <w:pStyle w:val="Tabletext"/>
              <w:spacing w:before="80"/>
            </w:pPr>
            <w:r w:rsidRPr="00445516">
              <w:t>Other</w:t>
            </w:r>
          </w:p>
          <w:p w:rsidR="00F26DB4" w:rsidRPr="00445516" w:rsidRDefault="00F26DB4" w:rsidP="00FF33C0">
            <w:pPr>
              <w:pStyle w:val="Tabletext"/>
              <w:spacing w:before="80"/>
            </w:pPr>
          </w:p>
        </w:tc>
        <w:tc>
          <w:tcPr>
            <w:tcW w:w="556" w:type="dxa"/>
            <w:tcBorders>
              <w:left w:val="nil"/>
              <w:bottom w:val="nil"/>
              <w:right w:val="nil"/>
            </w:tcBorders>
            <w:shd w:val="clear" w:color="auto" w:fill="auto"/>
            <w:noWrap/>
            <w:vAlign w:val="bottom"/>
          </w:tcPr>
          <w:p w:rsidR="00F26DB4" w:rsidRPr="00445516" w:rsidRDefault="00F26DB4" w:rsidP="008329D1">
            <w:pPr>
              <w:pStyle w:val="Tabletext"/>
            </w:pPr>
            <w:r w:rsidRPr="00445516">
              <w:t>2</w:t>
            </w:r>
          </w:p>
        </w:tc>
        <w:tc>
          <w:tcPr>
            <w:tcW w:w="4120" w:type="dxa"/>
            <w:tcBorders>
              <w:left w:val="nil"/>
              <w:bottom w:val="nil"/>
              <w:right w:val="nil"/>
            </w:tcBorders>
            <w:shd w:val="clear" w:color="auto" w:fill="auto"/>
            <w:vAlign w:val="center"/>
          </w:tcPr>
          <w:p w:rsidR="00F26DB4" w:rsidRPr="00445516" w:rsidRDefault="00F26DB4" w:rsidP="008329D1">
            <w:pPr>
              <w:pStyle w:val="Tabletext"/>
            </w:pPr>
            <w:r w:rsidRPr="00445516">
              <w:t>Psychology</w:t>
            </w:r>
          </w:p>
        </w:tc>
        <w:tc>
          <w:tcPr>
            <w:tcW w:w="1902" w:type="dxa"/>
            <w:tcBorders>
              <w:left w:val="nil"/>
              <w:bottom w:val="nil"/>
              <w:right w:val="nil"/>
            </w:tcBorders>
            <w:shd w:val="clear" w:color="auto" w:fill="auto"/>
            <w:noWrap/>
            <w:vAlign w:val="bottom"/>
          </w:tcPr>
          <w:p w:rsidR="00F26DB4" w:rsidRPr="00445516" w:rsidRDefault="00F26DB4" w:rsidP="008329D1">
            <w:pPr>
              <w:pStyle w:val="Tabletext"/>
            </w:pPr>
            <w:r w:rsidRPr="00445516">
              <w:t>Neutral</w:t>
            </w:r>
          </w:p>
        </w:tc>
      </w:tr>
      <w:tr w:rsidR="00F26DB4" w:rsidRPr="00445516" w:rsidTr="00FF33C0">
        <w:trPr>
          <w:trHeight w:val="320"/>
        </w:trPr>
        <w:tc>
          <w:tcPr>
            <w:tcW w:w="1888" w:type="dxa"/>
            <w:vMerge/>
            <w:tcBorders>
              <w:top w:val="nil"/>
              <w:left w:val="nil"/>
              <w:bottom w:val="single" w:sz="4" w:space="0" w:color="auto"/>
              <w:right w:val="nil"/>
            </w:tcBorders>
          </w:tcPr>
          <w:p w:rsidR="00F26DB4" w:rsidRPr="00445516" w:rsidRDefault="00F26DB4" w:rsidP="00FF33C0">
            <w:pPr>
              <w:pStyle w:val="Tabletext"/>
              <w:spacing w:before="80"/>
            </w:pPr>
          </w:p>
        </w:tc>
        <w:tc>
          <w:tcPr>
            <w:tcW w:w="556" w:type="dxa"/>
            <w:tcBorders>
              <w:top w:val="nil"/>
              <w:left w:val="nil"/>
              <w:bottom w:val="single" w:sz="4" w:space="0" w:color="auto"/>
              <w:right w:val="nil"/>
            </w:tcBorders>
            <w:shd w:val="clear" w:color="auto" w:fill="auto"/>
            <w:noWrap/>
            <w:vAlign w:val="bottom"/>
          </w:tcPr>
          <w:p w:rsidR="00F26DB4" w:rsidRPr="00445516" w:rsidRDefault="00F26DB4" w:rsidP="008329D1">
            <w:pPr>
              <w:pStyle w:val="Tabletext"/>
            </w:pPr>
            <w:r w:rsidRPr="00445516">
              <w:t>1</w:t>
            </w:r>
          </w:p>
        </w:tc>
        <w:tc>
          <w:tcPr>
            <w:tcW w:w="4120" w:type="dxa"/>
            <w:tcBorders>
              <w:top w:val="nil"/>
              <w:left w:val="nil"/>
              <w:bottom w:val="single" w:sz="4" w:space="0" w:color="auto"/>
              <w:right w:val="nil"/>
            </w:tcBorders>
            <w:shd w:val="clear" w:color="auto" w:fill="auto"/>
            <w:vAlign w:val="center"/>
          </w:tcPr>
          <w:p w:rsidR="00F26DB4" w:rsidRPr="00445516" w:rsidRDefault="00F26DB4" w:rsidP="008329D1">
            <w:pPr>
              <w:pStyle w:val="Tabletext"/>
            </w:pPr>
            <w:r w:rsidRPr="00445516">
              <w:t>Archaeology</w:t>
            </w:r>
          </w:p>
        </w:tc>
        <w:tc>
          <w:tcPr>
            <w:tcW w:w="1902" w:type="dxa"/>
            <w:tcBorders>
              <w:top w:val="nil"/>
              <w:left w:val="nil"/>
              <w:bottom w:val="single" w:sz="4" w:space="0" w:color="auto"/>
              <w:right w:val="nil"/>
            </w:tcBorders>
            <w:shd w:val="clear" w:color="auto" w:fill="auto"/>
            <w:noWrap/>
            <w:vAlign w:val="bottom"/>
          </w:tcPr>
          <w:p w:rsidR="00F26DB4" w:rsidRPr="00445516" w:rsidRDefault="00F26DB4" w:rsidP="008329D1">
            <w:pPr>
              <w:pStyle w:val="Tabletext"/>
            </w:pPr>
            <w:r w:rsidRPr="00445516">
              <w:t>No</w:t>
            </w:r>
          </w:p>
        </w:tc>
      </w:tr>
      <w:tr w:rsidR="00F26DB4" w:rsidRPr="00445516" w:rsidTr="00FF33C0">
        <w:trPr>
          <w:trHeight w:val="320"/>
        </w:trPr>
        <w:tc>
          <w:tcPr>
            <w:tcW w:w="1888" w:type="dxa"/>
            <w:tcBorders>
              <w:top w:val="single" w:sz="4" w:space="0" w:color="auto"/>
              <w:left w:val="nil"/>
              <w:bottom w:val="single" w:sz="4" w:space="0" w:color="auto"/>
              <w:right w:val="nil"/>
            </w:tcBorders>
          </w:tcPr>
          <w:p w:rsidR="00F26DB4" w:rsidRPr="00445516" w:rsidRDefault="00F26DB4" w:rsidP="00FF33C0">
            <w:pPr>
              <w:pStyle w:val="Tabletext"/>
              <w:spacing w:before="80"/>
            </w:pPr>
            <w:r w:rsidRPr="00445516">
              <w:t>Retail</w:t>
            </w:r>
          </w:p>
        </w:tc>
        <w:tc>
          <w:tcPr>
            <w:tcW w:w="556" w:type="dxa"/>
            <w:tcBorders>
              <w:top w:val="single" w:sz="4" w:space="0" w:color="auto"/>
              <w:left w:val="nil"/>
              <w:bottom w:val="single" w:sz="4" w:space="0" w:color="auto"/>
              <w:right w:val="nil"/>
            </w:tcBorders>
            <w:shd w:val="clear" w:color="auto" w:fill="auto"/>
            <w:vAlign w:val="center"/>
          </w:tcPr>
          <w:p w:rsidR="00F26DB4" w:rsidRPr="00445516" w:rsidRDefault="00F26DB4" w:rsidP="008329D1">
            <w:pPr>
              <w:pStyle w:val="Tabletext"/>
            </w:pPr>
            <w:r w:rsidRPr="00445516">
              <w:t>2</w:t>
            </w:r>
          </w:p>
        </w:tc>
        <w:tc>
          <w:tcPr>
            <w:tcW w:w="4120" w:type="dxa"/>
            <w:tcBorders>
              <w:top w:val="single" w:sz="4" w:space="0" w:color="auto"/>
              <w:left w:val="nil"/>
              <w:bottom w:val="single" w:sz="4" w:space="0" w:color="auto"/>
              <w:right w:val="nil"/>
            </w:tcBorders>
            <w:shd w:val="clear" w:color="auto" w:fill="auto"/>
            <w:vAlign w:val="center"/>
          </w:tcPr>
          <w:p w:rsidR="00F26DB4" w:rsidRPr="00445516" w:rsidRDefault="00F26DB4" w:rsidP="008329D1">
            <w:pPr>
              <w:pStyle w:val="Tabletext"/>
            </w:pPr>
            <w:r w:rsidRPr="00445516">
              <w:t>Retail</w:t>
            </w:r>
          </w:p>
        </w:tc>
        <w:tc>
          <w:tcPr>
            <w:tcW w:w="1902" w:type="dxa"/>
            <w:tcBorders>
              <w:top w:val="single" w:sz="4" w:space="0" w:color="auto"/>
              <w:left w:val="nil"/>
              <w:bottom w:val="single" w:sz="4" w:space="0" w:color="auto"/>
              <w:right w:val="nil"/>
            </w:tcBorders>
            <w:shd w:val="clear" w:color="auto" w:fill="auto"/>
            <w:noWrap/>
            <w:vAlign w:val="bottom"/>
          </w:tcPr>
          <w:p w:rsidR="00F26DB4" w:rsidRPr="00445516" w:rsidRDefault="00F26DB4" w:rsidP="008329D1">
            <w:pPr>
              <w:pStyle w:val="Tabletext"/>
            </w:pPr>
            <w:r w:rsidRPr="00445516">
              <w:t>Yes</w:t>
            </w:r>
          </w:p>
        </w:tc>
      </w:tr>
      <w:tr w:rsidR="00F26DB4" w:rsidRPr="00445516" w:rsidTr="00FF33C0">
        <w:trPr>
          <w:trHeight w:val="320"/>
        </w:trPr>
        <w:tc>
          <w:tcPr>
            <w:tcW w:w="1888" w:type="dxa"/>
            <w:tcBorders>
              <w:left w:val="nil"/>
              <w:right w:val="nil"/>
            </w:tcBorders>
          </w:tcPr>
          <w:p w:rsidR="00F26DB4" w:rsidRPr="00445516" w:rsidRDefault="00F26DB4" w:rsidP="00FF33C0">
            <w:pPr>
              <w:pStyle w:val="Tabletext"/>
              <w:spacing w:before="80"/>
            </w:pPr>
            <w:r w:rsidRPr="00445516">
              <w:t>Management</w:t>
            </w:r>
          </w:p>
        </w:tc>
        <w:tc>
          <w:tcPr>
            <w:tcW w:w="556" w:type="dxa"/>
            <w:tcBorders>
              <w:left w:val="nil"/>
              <w:right w:val="nil"/>
            </w:tcBorders>
            <w:shd w:val="clear" w:color="auto" w:fill="auto"/>
            <w:vAlign w:val="center"/>
          </w:tcPr>
          <w:p w:rsidR="00F26DB4" w:rsidRPr="00445516" w:rsidRDefault="00F26DB4" w:rsidP="008329D1">
            <w:pPr>
              <w:pStyle w:val="Tabletext"/>
            </w:pPr>
            <w:r w:rsidRPr="00445516">
              <w:t>1</w:t>
            </w:r>
          </w:p>
        </w:tc>
        <w:tc>
          <w:tcPr>
            <w:tcW w:w="4120" w:type="dxa"/>
            <w:tcBorders>
              <w:left w:val="nil"/>
              <w:right w:val="nil"/>
            </w:tcBorders>
            <w:shd w:val="clear" w:color="auto" w:fill="auto"/>
            <w:vAlign w:val="center"/>
          </w:tcPr>
          <w:p w:rsidR="00F26DB4" w:rsidRPr="00445516" w:rsidRDefault="00F26DB4" w:rsidP="008329D1">
            <w:pPr>
              <w:pStyle w:val="Tabletext"/>
            </w:pPr>
            <w:r w:rsidRPr="00445516">
              <w:t>Hotel management</w:t>
            </w:r>
          </w:p>
        </w:tc>
        <w:tc>
          <w:tcPr>
            <w:tcW w:w="1902" w:type="dxa"/>
            <w:tcBorders>
              <w:left w:val="nil"/>
              <w:right w:val="nil"/>
            </w:tcBorders>
            <w:shd w:val="clear" w:color="auto" w:fill="auto"/>
            <w:noWrap/>
            <w:vAlign w:val="bottom"/>
          </w:tcPr>
          <w:p w:rsidR="00F26DB4" w:rsidRPr="00445516" w:rsidRDefault="00F26DB4" w:rsidP="008329D1">
            <w:pPr>
              <w:pStyle w:val="Tabletext"/>
            </w:pPr>
            <w:r w:rsidRPr="00445516">
              <w:t>Neutral</w:t>
            </w:r>
          </w:p>
        </w:tc>
      </w:tr>
    </w:tbl>
    <w:p w:rsidR="00F26DB4" w:rsidRDefault="00104F40" w:rsidP="00742534">
      <w:pPr>
        <w:pStyle w:val="Source"/>
      </w:pPr>
      <w:r>
        <w:t>*</w:t>
      </w:r>
      <w:r w:rsidR="00F26DB4">
        <w:t xml:space="preserve">Note: </w:t>
      </w:r>
      <w:r w:rsidR="00F26DB4" w:rsidRPr="00445516">
        <w:t xml:space="preserve">number of mentions of actual or possible careers by </w:t>
      </w:r>
      <w:r w:rsidR="00F26DB4">
        <w:t>female</w:t>
      </w:r>
      <w:r w:rsidR="00F26DB4" w:rsidRPr="00445516">
        <w:t xml:space="preserve"> participants not number of women.</w:t>
      </w:r>
    </w:p>
    <w:p w:rsidR="00104F40" w:rsidRDefault="00104F40">
      <w:pPr>
        <w:spacing w:before="0" w:line="240" w:lineRule="auto"/>
        <w:rPr>
          <w:rFonts w:ascii="Tahoma" w:hAnsi="Tahoma"/>
          <w:b/>
          <w:sz w:val="17"/>
        </w:rPr>
      </w:pPr>
      <w:bookmarkStart w:id="140" w:name="_Toc254034421"/>
      <w:bookmarkStart w:id="141" w:name="_Toc258143231"/>
      <w:bookmarkStart w:id="142" w:name="_Toc409079318"/>
      <w:r>
        <w:br w:type="page"/>
      </w:r>
    </w:p>
    <w:p w:rsidR="002841FC" w:rsidRPr="00445516" w:rsidRDefault="002841FC" w:rsidP="002841FC">
      <w:pPr>
        <w:pStyle w:val="tabletitle"/>
      </w:pPr>
      <w:r w:rsidRPr="00445516">
        <w:lastRenderedPageBreak/>
        <w:t xml:space="preserve">Table </w:t>
      </w:r>
      <w:r w:rsidR="00541888">
        <w:t>A6</w:t>
      </w:r>
      <w:r w:rsidRPr="00445516">
        <w:t xml:space="preserve"> </w:t>
      </w:r>
      <w:r w:rsidR="00104F40">
        <w:tab/>
      </w:r>
      <w:r w:rsidRPr="00445516">
        <w:t>Men's career aspirations and pathways</w:t>
      </w:r>
      <w:bookmarkEnd w:id="140"/>
      <w:bookmarkEnd w:id="141"/>
      <w:bookmarkEnd w:id="142"/>
    </w:p>
    <w:tbl>
      <w:tblPr>
        <w:tblW w:w="84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8"/>
        <w:gridCol w:w="709"/>
        <w:gridCol w:w="3905"/>
        <w:gridCol w:w="1957"/>
      </w:tblGrid>
      <w:tr w:rsidR="002841FC" w:rsidRPr="00445516">
        <w:trPr>
          <w:trHeight w:val="320"/>
        </w:trPr>
        <w:tc>
          <w:tcPr>
            <w:tcW w:w="1858" w:type="dxa"/>
            <w:tcBorders>
              <w:left w:val="nil"/>
              <w:bottom w:val="single" w:sz="4" w:space="0" w:color="auto"/>
              <w:right w:val="nil"/>
            </w:tcBorders>
            <w:vAlign w:val="bottom"/>
          </w:tcPr>
          <w:p w:rsidR="002841FC" w:rsidRPr="00445516" w:rsidRDefault="002841FC" w:rsidP="008329D1">
            <w:pPr>
              <w:pStyle w:val="Tablehead1"/>
            </w:pPr>
            <w:r w:rsidRPr="00445516">
              <w:t>Career category</w:t>
            </w:r>
          </w:p>
        </w:tc>
        <w:tc>
          <w:tcPr>
            <w:tcW w:w="709" w:type="dxa"/>
            <w:tcBorders>
              <w:left w:val="nil"/>
              <w:bottom w:val="single" w:sz="4" w:space="0" w:color="auto"/>
              <w:right w:val="nil"/>
            </w:tcBorders>
            <w:shd w:val="clear" w:color="auto" w:fill="auto"/>
            <w:vAlign w:val="center"/>
          </w:tcPr>
          <w:p w:rsidR="002841FC" w:rsidRPr="00445516" w:rsidRDefault="002841FC" w:rsidP="008329D1">
            <w:pPr>
              <w:pStyle w:val="Tablehead1"/>
            </w:pPr>
            <w:r w:rsidRPr="00445516">
              <w:t>No.*</w:t>
            </w:r>
          </w:p>
        </w:tc>
        <w:tc>
          <w:tcPr>
            <w:tcW w:w="3905" w:type="dxa"/>
            <w:tcBorders>
              <w:left w:val="nil"/>
              <w:bottom w:val="single" w:sz="4" w:space="0" w:color="auto"/>
              <w:right w:val="nil"/>
            </w:tcBorders>
            <w:shd w:val="clear" w:color="auto" w:fill="auto"/>
            <w:vAlign w:val="center"/>
          </w:tcPr>
          <w:p w:rsidR="002841FC" w:rsidRPr="00445516" w:rsidRDefault="002841FC" w:rsidP="008329D1">
            <w:pPr>
              <w:pStyle w:val="Tablehead1"/>
            </w:pPr>
            <w:r w:rsidRPr="00445516">
              <w:t xml:space="preserve">Career </w:t>
            </w:r>
          </w:p>
        </w:tc>
        <w:tc>
          <w:tcPr>
            <w:tcW w:w="1957" w:type="dxa"/>
            <w:tcBorders>
              <w:left w:val="nil"/>
              <w:bottom w:val="single" w:sz="4" w:space="0" w:color="auto"/>
              <w:right w:val="nil"/>
            </w:tcBorders>
            <w:shd w:val="clear" w:color="auto" w:fill="auto"/>
            <w:noWrap/>
            <w:vAlign w:val="bottom"/>
          </w:tcPr>
          <w:p w:rsidR="002841FC" w:rsidRPr="00445516" w:rsidRDefault="002841FC" w:rsidP="008329D1">
            <w:pPr>
              <w:pStyle w:val="Tablehead1"/>
            </w:pPr>
            <w:r w:rsidRPr="00445516">
              <w:t>Gender traditional</w:t>
            </w:r>
          </w:p>
        </w:tc>
      </w:tr>
      <w:tr w:rsidR="002841FC" w:rsidRPr="00445516" w:rsidTr="00FF33C0">
        <w:trPr>
          <w:trHeight w:val="320"/>
        </w:trPr>
        <w:tc>
          <w:tcPr>
            <w:tcW w:w="1858" w:type="dxa"/>
            <w:vMerge w:val="restart"/>
            <w:tcBorders>
              <w:left w:val="nil"/>
              <w:bottom w:val="nil"/>
              <w:right w:val="nil"/>
            </w:tcBorders>
          </w:tcPr>
          <w:p w:rsidR="002841FC" w:rsidRPr="00445516" w:rsidRDefault="002841FC" w:rsidP="00FF33C0">
            <w:pPr>
              <w:pStyle w:val="Tabletext"/>
              <w:spacing w:before="80"/>
            </w:pPr>
            <w:r w:rsidRPr="00445516">
              <w:t>Trade</w:t>
            </w:r>
          </w:p>
          <w:p w:rsidR="002841FC" w:rsidRPr="00445516" w:rsidRDefault="002841FC" w:rsidP="00FF33C0">
            <w:pPr>
              <w:pStyle w:val="Tabletext"/>
            </w:pPr>
          </w:p>
        </w:tc>
        <w:tc>
          <w:tcPr>
            <w:tcW w:w="709" w:type="dxa"/>
            <w:tcBorders>
              <w:left w:val="nil"/>
              <w:bottom w:val="nil"/>
              <w:right w:val="nil"/>
            </w:tcBorders>
            <w:shd w:val="clear" w:color="auto" w:fill="auto"/>
            <w:vAlign w:val="center"/>
          </w:tcPr>
          <w:p w:rsidR="002841FC" w:rsidRPr="00445516" w:rsidRDefault="002841FC" w:rsidP="008329D1">
            <w:pPr>
              <w:pStyle w:val="Tabletext"/>
            </w:pPr>
            <w:r w:rsidRPr="00445516">
              <w:t>1</w:t>
            </w:r>
          </w:p>
        </w:tc>
        <w:tc>
          <w:tcPr>
            <w:tcW w:w="3905" w:type="dxa"/>
            <w:tcBorders>
              <w:left w:val="nil"/>
              <w:bottom w:val="nil"/>
              <w:right w:val="nil"/>
            </w:tcBorders>
            <w:shd w:val="clear" w:color="auto" w:fill="auto"/>
            <w:vAlign w:val="center"/>
          </w:tcPr>
          <w:p w:rsidR="002841FC" w:rsidRPr="00445516" w:rsidRDefault="002841FC" w:rsidP="008329D1">
            <w:pPr>
              <w:pStyle w:val="Tabletext"/>
            </w:pPr>
            <w:r w:rsidRPr="00445516">
              <w:t>Pastry chef</w:t>
            </w:r>
          </w:p>
        </w:tc>
        <w:tc>
          <w:tcPr>
            <w:tcW w:w="1957" w:type="dxa"/>
            <w:tcBorders>
              <w:left w:val="nil"/>
              <w:bottom w:val="nil"/>
              <w:right w:val="nil"/>
            </w:tcBorders>
            <w:shd w:val="clear" w:color="auto" w:fill="auto"/>
            <w:noWrap/>
            <w:vAlign w:val="center"/>
          </w:tcPr>
          <w:p w:rsidR="002841FC" w:rsidRPr="00445516" w:rsidRDefault="002841FC" w:rsidP="008329D1">
            <w:pPr>
              <w:pStyle w:val="Tabletext"/>
            </w:pPr>
            <w:r w:rsidRPr="00445516">
              <w:t>Yes</w:t>
            </w:r>
          </w:p>
        </w:tc>
      </w:tr>
      <w:tr w:rsidR="002841FC" w:rsidRPr="00445516" w:rsidTr="00FF33C0">
        <w:trPr>
          <w:trHeight w:val="320"/>
        </w:trPr>
        <w:tc>
          <w:tcPr>
            <w:tcW w:w="1858" w:type="dxa"/>
            <w:vMerge/>
            <w:tcBorders>
              <w:top w:val="nil"/>
              <w:left w:val="nil"/>
              <w:bottom w:val="nil"/>
              <w:right w:val="nil"/>
            </w:tcBorders>
          </w:tcPr>
          <w:p w:rsidR="002841FC" w:rsidRPr="00445516" w:rsidRDefault="002841FC" w:rsidP="00FF33C0">
            <w:pPr>
              <w:pStyle w:val="Tabletext"/>
            </w:pPr>
          </w:p>
        </w:tc>
        <w:tc>
          <w:tcPr>
            <w:tcW w:w="709" w:type="dxa"/>
            <w:tcBorders>
              <w:top w:val="nil"/>
              <w:left w:val="nil"/>
              <w:bottom w:val="nil"/>
              <w:right w:val="nil"/>
            </w:tcBorders>
            <w:shd w:val="clear" w:color="auto" w:fill="auto"/>
            <w:vAlign w:val="center"/>
          </w:tcPr>
          <w:p w:rsidR="002841FC" w:rsidRPr="00445516" w:rsidRDefault="002841FC" w:rsidP="008329D1">
            <w:pPr>
              <w:pStyle w:val="Tabletext"/>
            </w:pPr>
            <w:r w:rsidRPr="00445516">
              <w:t>1</w:t>
            </w:r>
          </w:p>
        </w:tc>
        <w:tc>
          <w:tcPr>
            <w:tcW w:w="3905" w:type="dxa"/>
            <w:tcBorders>
              <w:top w:val="nil"/>
              <w:left w:val="nil"/>
              <w:bottom w:val="nil"/>
              <w:right w:val="nil"/>
            </w:tcBorders>
            <w:shd w:val="clear" w:color="auto" w:fill="auto"/>
            <w:vAlign w:val="center"/>
          </w:tcPr>
          <w:p w:rsidR="002841FC" w:rsidRPr="00445516" w:rsidRDefault="002841FC" w:rsidP="008329D1">
            <w:pPr>
              <w:pStyle w:val="Tabletext"/>
            </w:pPr>
            <w:r w:rsidRPr="00445516">
              <w:t>Chef</w:t>
            </w:r>
          </w:p>
        </w:tc>
        <w:tc>
          <w:tcPr>
            <w:tcW w:w="1957" w:type="dxa"/>
            <w:tcBorders>
              <w:top w:val="nil"/>
              <w:left w:val="nil"/>
              <w:bottom w:val="nil"/>
              <w:right w:val="nil"/>
            </w:tcBorders>
            <w:shd w:val="clear" w:color="auto" w:fill="auto"/>
            <w:noWrap/>
            <w:vAlign w:val="center"/>
          </w:tcPr>
          <w:p w:rsidR="002841FC" w:rsidRPr="00445516" w:rsidRDefault="002841FC" w:rsidP="008329D1">
            <w:pPr>
              <w:pStyle w:val="Tabletext"/>
            </w:pPr>
            <w:r w:rsidRPr="00445516">
              <w:t>Yes</w:t>
            </w:r>
          </w:p>
        </w:tc>
      </w:tr>
      <w:tr w:rsidR="002841FC" w:rsidRPr="00445516" w:rsidTr="00FF33C0">
        <w:trPr>
          <w:trHeight w:val="300"/>
        </w:trPr>
        <w:tc>
          <w:tcPr>
            <w:tcW w:w="1858" w:type="dxa"/>
            <w:vMerge/>
            <w:tcBorders>
              <w:top w:val="nil"/>
              <w:left w:val="nil"/>
              <w:bottom w:val="nil"/>
              <w:right w:val="nil"/>
            </w:tcBorders>
          </w:tcPr>
          <w:p w:rsidR="002841FC" w:rsidRPr="00445516" w:rsidRDefault="002841FC" w:rsidP="00FF33C0">
            <w:pPr>
              <w:pStyle w:val="Tabletext"/>
            </w:pPr>
          </w:p>
        </w:tc>
        <w:tc>
          <w:tcPr>
            <w:tcW w:w="709" w:type="dxa"/>
            <w:tcBorders>
              <w:top w:val="nil"/>
              <w:left w:val="nil"/>
              <w:bottom w:val="nil"/>
              <w:right w:val="nil"/>
            </w:tcBorders>
            <w:shd w:val="clear" w:color="auto" w:fill="auto"/>
            <w:vAlign w:val="center"/>
          </w:tcPr>
          <w:p w:rsidR="002841FC" w:rsidRPr="00445516" w:rsidRDefault="002841FC" w:rsidP="008329D1">
            <w:pPr>
              <w:pStyle w:val="Tabletext"/>
            </w:pPr>
            <w:r w:rsidRPr="00445516">
              <w:t>1</w:t>
            </w:r>
          </w:p>
        </w:tc>
        <w:tc>
          <w:tcPr>
            <w:tcW w:w="3905" w:type="dxa"/>
            <w:tcBorders>
              <w:top w:val="nil"/>
              <w:left w:val="nil"/>
              <w:bottom w:val="nil"/>
              <w:right w:val="nil"/>
            </w:tcBorders>
            <w:shd w:val="clear" w:color="auto" w:fill="auto"/>
            <w:vAlign w:val="center"/>
          </w:tcPr>
          <w:p w:rsidR="002841FC" w:rsidRPr="00445516" w:rsidRDefault="002841FC" w:rsidP="008329D1">
            <w:pPr>
              <w:pStyle w:val="Tabletext"/>
            </w:pPr>
            <w:r w:rsidRPr="00445516">
              <w:t>Bricklaying</w:t>
            </w:r>
          </w:p>
        </w:tc>
        <w:tc>
          <w:tcPr>
            <w:tcW w:w="1957" w:type="dxa"/>
            <w:tcBorders>
              <w:top w:val="nil"/>
              <w:left w:val="nil"/>
              <w:bottom w:val="nil"/>
              <w:right w:val="nil"/>
            </w:tcBorders>
            <w:shd w:val="clear" w:color="auto" w:fill="auto"/>
            <w:noWrap/>
            <w:vAlign w:val="center"/>
          </w:tcPr>
          <w:p w:rsidR="002841FC" w:rsidRPr="00445516" w:rsidRDefault="002841FC" w:rsidP="008329D1">
            <w:pPr>
              <w:pStyle w:val="Tabletext"/>
            </w:pPr>
            <w:r w:rsidRPr="00445516">
              <w:t>Yes</w:t>
            </w:r>
          </w:p>
        </w:tc>
      </w:tr>
      <w:tr w:rsidR="002841FC" w:rsidRPr="00445516" w:rsidTr="00FF33C0">
        <w:trPr>
          <w:trHeight w:val="300"/>
        </w:trPr>
        <w:tc>
          <w:tcPr>
            <w:tcW w:w="1858" w:type="dxa"/>
            <w:vMerge/>
            <w:tcBorders>
              <w:top w:val="nil"/>
              <w:left w:val="nil"/>
              <w:bottom w:val="nil"/>
              <w:right w:val="nil"/>
            </w:tcBorders>
          </w:tcPr>
          <w:p w:rsidR="002841FC" w:rsidRPr="00445516" w:rsidRDefault="002841FC" w:rsidP="00FF33C0">
            <w:pPr>
              <w:pStyle w:val="Tabletext"/>
            </w:pPr>
          </w:p>
        </w:tc>
        <w:tc>
          <w:tcPr>
            <w:tcW w:w="709" w:type="dxa"/>
            <w:tcBorders>
              <w:top w:val="nil"/>
              <w:left w:val="nil"/>
              <w:bottom w:val="nil"/>
              <w:right w:val="nil"/>
            </w:tcBorders>
            <w:shd w:val="clear" w:color="auto" w:fill="auto"/>
            <w:vAlign w:val="center"/>
          </w:tcPr>
          <w:p w:rsidR="002841FC" w:rsidRPr="00445516" w:rsidRDefault="002841FC" w:rsidP="008329D1">
            <w:pPr>
              <w:pStyle w:val="Tabletext"/>
            </w:pPr>
            <w:r w:rsidRPr="00445516">
              <w:t>2</w:t>
            </w:r>
          </w:p>
        </w:tc>
        <w:tc>
          <w:tcPr>
            <w:tcW w:w="3905" w:type="dxa"/>
            <w:tcBorders>
              <w:top w:val="nil"/>
              <w:left w:val="nil"/>
              <w:bottom w:val="nil"/>
              <w:right w:val="nil"/>
            </w:tcBorders>
            <w:shd w:val="clear" w:color="auto" w:fill="auto"/>
            <w:vAlign w:val="center"/>
          </w:tcPr>
          <w:p w:rsidR="002841FC" w:rsidRPr="00445516" w:rsidRDefault="002841FC" w:rsidP="008329D1">
            <w:pPr>
              <w:pStyle w:val="Tabletext"/>
            </w:pPr>
            <w:r w:rsidRPr="00445516">
              <w:t>Electrician</w:t>
            </w:r>
          </w:p>
        </w:tc>
        <w:tc>
          <w:tcPr>
            <w:tcW w:w="1957" w:type="dxa"/>
            <w:tcBorders>
              <w:top w:val="nil"/>
              <w:left w:val="nil"/>
              <w:bottom w:val="nil"/>
              <w:right w:val="nil"/>
            </w:tcBorders>
            <w:shd w:val="clear" w:color="auto" w:fill="auto"/>
            <w:noWrap/>
            <w:vAlign w:val="center"/>
          </w:tcPr>
          <w:p w:rsidR="002841FC" w:rsidRPr="00445516" w:rsidRDefault="002841FC" w:rsidP="008329D1">
            <w:pPr>
              <w:pStyle w:val="Tabletext"/>
            </w:pPr>
            <w:r w:rsidRPr="00445516">
              <w:t>Yes</w:t>
            </w:r>
          </w:p>
        </w:tc>
      </w:tr>
      <w:tr w:rsidR="002841FC" w:rsidRPr="00445516" w:rsidTr="00FF33C0">
        <w:trPr>
          <w:trHeight w:val="300"/>
        </w:trPr>
        <w:tc>
          <w:tcPr>
            <w:tcW w:w="1858" w:type="dxa"/>
            <w:vMerge/>
            <w:tcBorders>
              <w:top w:val="nil"/>
              <w:left w:val="nil"/>
              <w:bottom w:val="nil"/>
              <w:right w:val="nil"/>
            </w:tcBorders>
          </w:tcPr>
          <w:p w:rsidR="002841FC" w:rsidRPr="00445516" w:rsidRDefault="002841FC" w:rsidP="00FF33C0">
            <w:pPr>
              <w:pStyle w:val="Tabletext"/>
            </w:pPr>
          </w:p>
        </w:tc>
        <w:tc>
          <w:tcPr>
            <w:tcW w:w="709" w:type="dxa"/>
            <w:tcBorders>
              <w:top w:val="nil"/>
              <w:left w:val="nil"/>
              <w:bottom w:val="nil"/>
              <w:right w:val="nil"/>
            </w:tcBorders>
            <w:shd w:val="clear" w:color="auto" w:fill="auto"/>
            <w:vAlign w:val="center"/>
          </w:tcPr>
          <w:p w:rsidR="002841FC" w:rsidRPr="00445516" w:rsidRDefault="002841FC" w:rsidP="008329D1">
            <w:pPr>
              <w:pStyle w:val="Tabletext"/>
            </w:pPr>
            <w:r w:rsidRPr="00445516">
              <w:t>1</w:t>
            </w:r>
          </w:p>
        </w:tc>
        <w:tc>
          <w:tcPr>
            <w:tcW w:w="3905" w:type="dxa"/>
            <w:tcBorders>
              <w:top w:val="nil"/>
              <w:left w:val="nil"/>
              <w:bottom w:val="nil"/>
              <w:right w:val="nil"/>
            </w:tcBorders>
            <w:shd w:val="clear" w:color="auto" w:fill="auto"/>
            <w:vAlign w:val="center"/>
          </w:tcPr>
          <w:p w:rsidR="002841FC" w:rsidRPr="00445516" w:rsidRDefault="002841FC" w:rsidP="008329D1">
            <w:pPr>
              <w:pStyle w:val="Tabletext"/>
            </w:pPr>
            <w:r w:rsidRPr="00445516">
              <w:t>Civil construction (trade)</w:t>
            </w:r>
          </w:p>
        </w:tc>
        <w:tc>
          <w:tcPr>
            <w:tcW w:w="1957" w:type="dxa"/>
            <w:tcBorders>
              <w:top w:val="nil"/>
              <w:left w:val="nil"/>
              <w:bottom w:val="nil"/>
              <w:right w:val="nil"/>
            </w:tcBorders>
            <w:shd w:val="clear" w:color="auto" w:fill="auto"/>
            <w:noWrap/>
            <w:vAlign w:val="center"/>
          </w:tcPr>
          <w:p w:rsidR="002841FC" w:rsidRPr="00445516" w:rsidRDefault="002841FC" w:rsidP="008329D1">
            <w:pPr>
              <w:pStyle w:val="Tabletext"/>
            </w:pPr>
            <w:r w:rsidRPr="00445516">
              <w:t>Yes</w:t>
            </w:r>
          </w:p>
        </w:tc>
      </w:tr>
      <w:tr w:rsidR="002841FC" w:rsidRPr="00445516" w:rsidTr="00FF33C0">
        <w:trPr>
          <w:trHeight w:val="300"/>
        </w:trPr>
        <w:tc>
          <w:tcPr>
            <w:tcW w:w="1858" w:type="dxa"/>
            <w:vMerge/>
            <w:tcBorders>
              <w:top w:val="nil"/>
              <w:left w:val="nil"/>
              <w:bottom w:val="nil"/>
              <w:right w:val="nil"/>
            </w:tcBorders>
          </w:tcPr>
          <w:p w:rsidR="002841FC" w:rsidRPr="00445516" w:rsidRDefault="002841FC" w:rsidP="00FF33C0">
            <w:pPr>
              <w:pStyle w:val="Tabletext"/>
            </w:pPr>
          </w:p>
        </w:tc>
        <w:tc>
          <w:tcPr>
            <w:tcW w:w="709" w:type="dxa"/>
            <w:tcBorders>
              <w:top w:val="nil"/>
              <w:left w:val="nil"/>
              <w:bottom w:val="nil"/>
              <w:right w:val="nil"/>
            </w:tcBorders>
            <w:shd w:val="clear" w:color="auto" w:fill="auto"/>
            <w:vAlign w:val="center"/>
          </w:tcPr>
          <w:p w:rsidR="002841FC" w:rsidRPr="00445516" w:rsidRDefault="002841FC" w:rsidP="008329D1">
            <w:pPr>
              <w:pStyle w:val="Tabletext"/>
            </w:pPr>
            <w:r w:rsidRPr="00445516">
              <w:t>1</w:t>
            </w:r>
          </w:p>
        </w:tc>
        <w:tc>
          <w:tcPr>
            <w:tcW w:w="3905" w:type="dxa"/>
            <w:tcBorders>
              <w:top w:val="nil"/>
              <w:left w:val="nil"/>
              <w:bottom w:val="nil"/>
              <w:right w:val="nil"/>
            </w:tcBorders>
            <w:shd w:val="clear" w:color="auto" w:fill="auto"/>
            <w:vAlign w:val="center"/>
          </w:tcPr>
          <w:p w:rsidR="002841FC" w:rsidRPr="00445516" w:rsidRDefault="002841FC" w:rsidP="008329D1">
            <w:pPr>
              <w:pStyle w:val="Tabletext"/>
            </w:pPr>
            <w:r w:rsidRPr="00445516">
              <w:t>Building or carpentry</w:t>
            </w:r>
          </w:p>
        </w:tc>
        <w:tc>
          <w:tcPr>
            <w:tcW w:w="1957" w:type="dxa"/>
            <w:tcBorders>
              <w:top w:val="nil"/>
              <w:left w:val="nil"/>
              <w:bottom w:val="nil"/>
              <w:right w:val="nil"/>
            </w:tcBorders>
            <w:shd w:val="clear" w:color="auto" w:fill="auto"/>
            <w:noWrap/>
            <w:vAlign w:val="center"/>
          </w:tcPr>
          <w:p w:rsidR="002841FC" w:rsidRPr="00445516" w:rsidRDefault="002841FC" w:rsidP="008329D1">
            <w:pPr>
              <w:pStyle w:val="Tabletext"/>
            </w:pPr>
            <w:r w:rsidRPr="00445516">
              <w:t>Yes</w:t>
            </w:r>
          </w:p>
        </w:tc>
      </w:tr>
      <w:tr w:rsidR="002841FC" w:rsidRPr="00445516" w:rsidTr="00FF33C0">
        <w:trPr>
          <w:trHeight w:val="300"/>
        </w:trPr>
        <w:tc>
          <w:tcPr>
            <w:tcW w:w="1858" w:type="dxa"/>
            <w:vMerge/>
            <w:tcBorders>
              <w:top w:val="nil"/>
              <w:left w:val="nil"/>
              <w:bottom w:val="nil"/>
              <w:right w:val="nil"/>
            </w:tcBorders>
          </w:tcPr>
          <w:p w:rsidR="002841FC" w:rsidRPr="00445516" w:rsidRDefault="002841FC" w:rsidP="00FF33C0">
            <w:pPr>
              <w:pStyle w:val="Tabletext"/>
            </w:pPr>
          </w:p>
        </w:tc>
        <w:tc>
          <w:tcPr>
            <w:tcW w:w="709" w:type="dxa"/>
            <w:tcBorders>
              <w:top w:val="nil"/>
              <w:left w:val="nil"/>
              <w:bottom w:val="nil"/>
              <w:right w:val="nil"/>
            </w:tcBorders>
            <w:shd w:val="clear" w:color="auto" w:fill="auto"/>
            <w:vAlign w:val="center"/>
          </w:tcPr>
          <w:p w:rsidR="002841FC" w:rsidRPr="00445516" w:rsidRDefault="002841FC" w:rsidP="008329D1">
            <w:pPr>
              <w:pStyle w:val="Tabletext"/>
            </w:pPr>
            <w:r w:rsidRPr="00445516">
              <w:t>1</w:t>
            </w:r>
          </w:p>
        </w:tc>
        <w:tc>
          <w:tcPr>
            <w:tcW w:w="3905" w:type="dxa"/>
            <w:tcBorders>
              <w:top w:val="nil"/>
              <w:left w:val="nil"/>
              <w:bottom w:val="nil"/>
              <w:right w:val="nil"/>
            </w:tcBorders>
            <w:shd w:val="clear" w:color="auto" w:fill="auto"/>
            <w:vAlign w:val="center"/>
          </w:tcPr>
          <w:p w:rsidR="002841FC" w:rsidRPr="00445516" w:rsidRDefault="002841FC" w:rsidP="008329D1">
            <w:pPr>
              <w:pStyle w:val="Tabletext"/>
            </w:pPr>
            <w:r w:rsidRPr="00445516">
              <w:t>Fabrication</w:t>
            </w:r>
          </w:p>
        </w:tc>
        <w:tc>
          <w:tcPr>
            <w:tcW w:w="1957" w:type="dxa"/>
            <w:tcBorders>
              <w:top w:val="nil"/>
              <w:left w:val="nil"/>
              <w:bottom w:val="nil"/>
              <w:right w:val="nil"/>
            </w:tcBorders>
            <w:shd w:val="clear" w:color="auto" w:fill="auto"/>
            <w:noWrap/>
            <w:vAlign w:val="center"/>
          </w:tcPr>
          <w:p w:rsidR="002841FC" w:rsidRPr="00445516" w:rsidRDefault="002841FC" w:rsidP="008329D1">
            <w:pPr>
              <w:pStyle w:val="Tabletext"/>
            </w:pPr>
            <w:r w:rsidRPr="00445516">
              <w:t>Yes</w:t>
            </w:r>
          </w:p>
        </w:tc>
      </w:tr>
      <w:tr w:rsidR="002841FC" w:rsidRPr="00445516" w:rsidTr="00FF33C0">
        <w:trPr>
          <w:trHeight w:val="300"/>
        </w:trPr>
        <w:tc>
          <w:tcPr>
            <w:tcW w:w="1858" w:type="dxa"/>
            <w:vMerge/>
            <w:tcBorders>
              <w:top w:val="nil"/>
              <w:left w:val="nil"/>
              <w:bottom w:val="single" w:sz="4" w:space="0" w:color="auto"/>
              <w:right w:val="nil"/>
            </w:tcBorders>
          </w:tcPr>
          <w:p w:rsidR="002841FC" w:rsidRPr="00445516" w:rsidRDefault="002841FC" w:rsidP="00FF33C0">
            <w:pPr>
              <w:pStyle w:val="Tabletext"/>
            </w:pPr>
          </w:p>
        </w:tc>
        <w:tc>
          <w:tcPr>
            <w:tcW w:w="709" w:type="dxa"/>
            <w:tcBorders>
              <w:top w:val="nil"/>
              <w:left w:val="nil"/>
              <w:bottom w:val="single" w:sz="4" w:space="0" w:color="auto"/>
              <w:right w:val="nil"/>
            </w:tcBorders>
            <w:shd w:val="clear" w:color="auto" w:fill="auto"/>
            <w:vAlign w:val="center"/>
          </w:tcPr>
          <w:p w:rsidR="002841FC" w:rsidRPr="00445516" w:rsidRDefault="002841FC" w:rsidP="008329D1">
            <w:pPr>
              <w:pStyle w:val="Tabletext"/>
            </w:pPr>
            <w:r w:rsidRPr="00445516">
              <w:t>1</w:t>
            </w:r>
          </w:p>
        </w:tc>
        <w:tc>
          <w:tcPr>
            <w:tcW w:w="3905" w:type="dxa"/>
            <w:tcBorders>
              <w:top w:val="nil"/>
              <w:left w:val="nil"/>
              <w:bottom w:val="single" w:sz="4" w:space="0" w:color="auto"/>
              <w:right w:val="nil"/>
            </w:tcBorders>
            <w:shd w:val="clear" w:color="auto" w:fill="auto"/>
            <w:vAlign w:val="center"/>
          </w:tcPr>
          <w:p w:rsidR="002841FC" w:rsidRPr="00445516" w:rsidRDefault="002841FC" w:rsidP="008329D1">
            <w:pPr>
              <w:pStyle w:val="Tabletext"/>
            </w:pPr>
            <w:r w:rsidRPr="00445516">
              <w:t>Linesman</w:t>
            </w:r>
          </w:p>
        </w:tc>
        <w:tc>
          <w:tcPr>
            <w:tcW w:w="1957" w:type="dxa"/>
            <w:tcBorders>
              <w:top w:val="nil"/>
              <w:left w:val="nil"/>
              <w:bottom w:val="single" w:sz="4" w:space="0" w:color="auto"/>
              <w:right w:val="nil"/>
            </w:tcBorders>
            <w:shd w:val="clear" w:color="auto" w:fill="auto"/>
            <w:noWrap/>
            <w:vAlign w:val="center"/>
          </w:tcPr>
          <w:p w:rsidR="002841FC" w:rsidRPr="00445516" w:rsidRDefault="002841FC" w:rsidP="008329D1">
            <w:pPr>
              <w:pStyle w:val="Tabletext"/>
            </w:pPr>
            <w:r w:rsidRPr="00445516">
              <w:t>Yes</w:t>
            </w:r>
          </w:p>
        </w:tc>
      </w:tr>
      <w:tr w:rsidR="002841FC" w:rsidRPr="00445516" w:rsidTr="00FF33C0">
        <w:trPr>
          <w:trHeight w:val="320"/>
        </w:trPr>
        <w:tc>
          <w:tcPr>
            <w:tcW w:w="1858" w:type="dxa"/>
            <w:vMerge w:val="restart"/>
            <w:tcBorders>
              <w:left w:val="nil"/>
              <w:bottom w:val="nil"/>
              <w:right w:val="nil"/>
            </w:tcBorders>
          </w:tcPr>
          <w:p w:rsidR="002841FC" w:rsidRPr="00445516" w:rsidRDefault="002841FC" w:rsidP="00FF33C0">
            <w:pPr>
              <w:pStyle w:val="Tabletext"/>
              <w:spacing w:before="80"/>
            </w:pPr>
            <w:r w:rsidRPr="00445516">
              <w:t>Other</w:t>
            </w:r>
          </w:p>
          <w:p w:rsidR="002841FC" w:rsidRPr="00445516" w:rsidRDefault="002841FC" w:rsidP="00FF33C0">
            <w:pPr>
              <w:pStyle w:val="Tabletext"/>
              <w:spacing w:before="80"/>
            </w:pPr>
          </w:p>
        </w:tc>
        <w:tc>
          <w:tcPr>
            <w:tcW w:w="709" w:type="dxa"/>
            <w:tcBorders>
              <w:left w:val="nil"/>
              <w:bottom w:val="nil"/>
              <w:right w:val="nil"/>
            </w:tcBorders>
            <w:shd w:val="clear" w:color="auto" w:fill="auto"/>
            <w:vAlign w:val="center"/>
          </w:tcPr>
          <w:p w:rsidR="002841FC" w:rsidRPr="00445516" w:rsidRDefault="002841FC" w:rsidP="008329D1">
            <w:pPr>
              <w:pStyle w:val="Tabletext"/>
            </w:pPr>
            <w:r w:rsidRPr="00445516">
              <w:t>1</w:t>
            </w:r>
          </w:p>
        </w:tc>
        <w:tc>
          <w:tcPr>
            <w:tcW w:w="3905" w:type="dxa"/>
            <w:tcBorders>
              <w:left w:val="nil"/>
              <w:bottom w:val="nil"/>
              <w:right w:val="nil"/>
            </w:tcBorders>
            <w:shd w:val="clear" w:color="auto" w:fill="auto"/>
            <w:vAlign w:val="center"/>
          </w:tcPr>
          <w:p w:rsidR="002841FC" w:rsidRPr="00445516" w:rsidRDefault="002841FC" w:rsidP="008329D1">
            <w:pPr>
              <w:pStyle w:val="Tabletext"/>
            </w:pPr>
            <w:r w:rsidRPr="00445516">
              <w:t>Commerce</w:t>
            </w:r>
          </w:p>
        </w:tc>
        <w:tc>
          <w:tcPr>
            <w:tcW w:w="1957" w:type="dxa"/>
            <w:tcBorders>
              <w:left w:val="nil"/>
              <w:bottom w:val="nil"/>
              <w:right w:val="nil"/>
            </w:tcBorders>
            <w:shd w:val="clear" w:color="auto" w:fill="auto"/>
            <w:noWrap/>
            <w:vAlign w:val="center"/>
          </w:tcPr>
          <w:p w:rsidR="002841FC" w:rsidRPr="00445516" w:rsidRDefault="002841FC" w:rsidP="008329D1">
            <w:pPr>
              <w:pStyle w:val="Tabletext"/>
            </w:pPr>
            <w:r w:rsidRPr="00445516">
              <w:t>Yes</w:t>
            </w:r>
          </w:p>
        </w:tc>
      </w:tr>
      <w:tr w:rsidR="002841FC" w:rsidRPr="00445516" w:rsidTr="00FF33C0">
        <w:trPr>
          <w:trHeight w:val="320"/>
        </w:trPr>
        <w:tc>
          <w:tcPr>
            <w:tcW w:w="1858" w:type="dxa"/>
            <w:vMerge/>
            <w:tcBorders>
              <w:top w:val="nil"/>
              <w:left w:val="nil"/>
              <w:bottom w:val="nil"/>
              <w:right w:val="nil"/>
            </w:tcBorders>
          </w:tcPr>
          <w:p w:rsidR="002841FC" w:rsidRPr="00445516" w:rsidRDefault="002841FC" w:rsidP="00FF33C0">
            <w:pPr>
              <w:pStyle w:val="Tabletext"/>
              <w:spacing w:before="80"/>
            </w:pPr>
          </w:p>
        </w:tc>
        <w:tc>
          <w:tcPr>
            <w:tcW w:w="709" w:type="dxa"/>
            <w:tcBorders>
              <w:top w:val="nil"/>
              <w:left w:val="nil"/>
              <w:bottom w:val="nil"/>
              <w:right w:val="nil"/>
            </w:tcBorders>
            <w:shd w:val="clear" w:color="auto" w:fill="auto"/>
            <w:vAlign w:val="center"/>
          </w:tcPr>
          <w:p w:rsidR="002841FC" w:rsidRPr="00445516" w:rsidRDefault="002841FC" w:rsidP="008329D1">
            <w:pPr>
              <w:pStyle w:val="Tabletext"/>
            </w:pPr>
            <w:r w:rsidRPr="00445516">
              <w:t>1</w:t>
            </w:r>
          </w:p>
        </w:tc>
        <w:tc>
          <w:tcPr>
            <w:tcW w:w="3905" w:type="dxa"/>
            <w:tcBorders>
              <w:top w:val="nil"/>
              <w:left w:val="nil"/>
              <w:bottom w:val="nil"/>
              <w:right w:val="nil"/>
            </w:tcBorders>
            <w:shd w:val="clear" w:color="auto" w:fill="auto"/>
            <w:vAlign w:val="center"/>
          </w:tcPr>
          <w:p w:rsidR="002841FC" w:rsidRPr="00445516" w:rsidRDefault="002841FC" w:rsidP="008329D1">
            <w:pPr>
              <w:pStyle w:val="Tabletext"/>
            </w:pPr>
            <w:r w:rsidRPr="00445516">
              <w:t>Civil engineering</w:t>
            </w:r>
          </w:p>
        </w:tc>
        <w:tc>
          <w:tcPr>
            <w:tcW w:w="1957" w:type="dxa"/>
            <w:tcBorders>
              <w:top w:val="nil"/>
              <w:left w:val="nil"/>
              <w:bottom w:val="nil"/>
              <w:right w:val="nil"/>
            </w:tcBorders>
            <w:shd w:val="clear" w:color="auto" w:fill="auto"/>
            <w:noWrap/>
            <w:vAlign w:val="center"/>
          </w:tcPr>
          <w:p w:rsidR="002841FC" w:rsidRPr="00445516" w:rsidRDefault="002841FC" w:rsidP="008329D1">
            <w:pPr>
              <w:pStyle w:val="Tabletext"/>
            </w:pPr>
            <w:r w:rsidRPr="00445516">
              <w:t>Yes</w:t>
            </w:r>
          </w:p>
        </w:tc>
      </w:tr>
      <w:tr w:rsidR="002841FC" w:rsidRPr="00445516" w:rsidTr="00FF33C0">
        <w:trPr>
          <w:trHeight w:val="320"/>
        </w:trPr>
        <w:tc>
          <w:tcPr>
            <w:tcW w:w="1858" w:type="dxa"/>
            <w:vMerge/>
            <w:tcBorders>
              <w:top w:val="nil"/>
              <w:left w:val="nil"/>
              <w:bottom w:val="nil"/>
              <w:right w:val="nil"/>
            </w:tcBorders>
          </w:tcPr>
          <w:p w:rsidR="002841FC" w:rsidRPr="00445516" w:rsidRDefault="002841FC" w:rsidP="00FF33C0">
            <w:pPr>
              <w:pStyle w:val="Tabletext"/>
              <w:spacing w:before="80"/>
            </w:pPr>
          </w:p>
        </w:tc>
        <w:tc>
          <w:tcPr>
            <w:tcW w:w="709" w:type="dxa"/>
            <w:tcBorders>
              <w:top w:val="nil"/>
              <w:left w:val="nil"/>
              <w:bottom w:val="nil"/>
              <w:right w:val="nil"/>
            </w:tcBorders>
            <w:shd w:val="clear" w:color="auto" w:fill="auto"/>
            <w:vAlign w:val="center"/>
          </w:tcPr>
          <w:p w:rsidR="002841FC" w:rsidRPr="00445516" w:rsidRDefault="002841FC" w:rsidP="008329D1">
            <w:pPr>
              <w:pStyle w:val="Tabletext"/>
            </w:pPr>
            <w:r w:rsidRPr="00445516">
              <w:t>1</w:t>
            </w:r>
          </w:p>
        </w:tc>
        <w:tc>
          <w:tcPr>
            <w:tcW w:w="3905" w:type="dxa"/>
            <w:tcBorders>
              <w:top w:val="nil"/>
              <w:left w:val="nil"/>
              <w:bottom w:val="nil"/>
              <w:right w:val="nil"/>
            </w:tcBorders>
            <w:shd w:val="clear" w:color="auto" w:fill="auto"/>
            <w:vAlign w:val="center"/>
          </w:tcPr>
          <w:p w:rsidR="002841FC" w:rsidRPr="00445516" w:rsidRDefault="002841FC" w:rsidP="008329D1">
            <w:pPr>
              <w:pStyle w:val="Tabletext"/>
            </w:pPr>
            <w:r w:rsidRPr="00445516">
              <w:t>Stock agent</w:t>
            </w:r>
          </w:p>
        </w:tc>
        <w:tc>
          <w:tcPr>
            <w:tcW w:w="1957" w:type="dxa"/>
            <w:tcBorders>
              <w:top w:val="nil"/>
              <w:left w:val="nil"/>
              <w:bottom w:val="nil"/>
              <w:right w:val="nil"/>
            </w:tcBorders>
            <w:shd w:val="clear" w:color="auto" w:fill="auto"/>
            <w:noWrap/>
            <w:vAlign w:val="center"/>
          </w:tcPr>
          <w:p w:rsidR="002841FC" w:rsidRPr="00445516" w:rsidRDefault="002841FC" w:rsidP="008329D1">
            <w:pPr>
              <w:pStyle w:val="Tabletext"/>
            </w:pPr>
            <w:r w:rsidRPr="00445516">
              <w:t>Yes</w:t>
            </w:r>
          </w:p>
        </w:tc>
      </w:tr>
      <w:tr w:rsidR="002841FC" w:rsidRPr="00445516" w:rsidTr="00FF33C0">
        <w:trPr>
          <w:trHeight w:val="320"/>
        </w:trPr>
        <w:tc>
          <w:tcPr>
            <w:tcW w:w="1858" w:type="dxa"/>
            <w:vMerge/>
            <w:tcBorders>
              <w:top w:val="nil"/>
              <w:left w:val="nil"/>
              <w:bottom w:val="nil"/>
              <w:right w:val="nil"/>
            </w:tcBorders>
          </w:tcPr>
          <w:p w:rsidR="002841FC" w:rsidRPr="00445516" w:rsidRDefault="002841FC" w:rsidP="00FF33C0">
            <w:pPr>
              <w:pStyle w:val="Tabletext"/>
              <w:spacing w:before="80"/>
            </w:pPr>
          </w:p>
        </w:tc>
        <w:tc>
          <w:tcPr>
            <w:tcW w:w="709" w:type="dxa"/>
            <w:tcBorders>
              <w:top w:val="nil"/>
              <w:left w:val="nil"/>
              <w:bottom w:val="nil"/>
              <w:right w:val="nil"/>
            </w:tcBorders>
            <w:shd w:val="clear" w:color="auto" w:fill="auto"/>
            <w:vAlign w:val="center"/>
          </w:tcPr>
          <w:p w:rsidR="002841FC" w:rsidRPr="00445516" w:rsidRDefault="002841FC" w:rsidP="008329D1">
            <w:pPr>
              <w:pStyle w:val="Tabletext"/>
            </w:pPr>
            <w:r w:rsidRPr="00445516">
              <w:t>1</w:t>
            </w:r>
          </w:p>
        </w:tc>
        <w:tc>
          <w:tcPr>
            <w:tcW w:w="3905" w:type="dxa"/>
            <w:tcBorders>
              <w:top w:val="nil"/>
              <w:left w:val="nil"/>
              <w:bottom w:val="nil"/>
              <w:right w:val="nil"/>
            </w:tcBorders>
            <w:shd w:val="clear" w:color="auto" w:fill="auto"/>
            <w:vAlign w:val="center"/>
          </w:tcPr>
          <w:p w:rsidR="002841FC" w:rsidRPr="00445516" w:rsidRDefault="002841FC" w:rsidP="008329D1">
            <w:pPr>
              <w:pStyle w:val="Tabletext"/>
            </w:pPr>
            <w:r w:rsidRPr="00445516">
              <w:t>Dairy farmer</w:t>
            </w:r>
          </w:p>
        </w:tc>
        <w:tc>
          <w:tcPr>
            <w:tcW w:w="1957" w:type="dxa"/>
            <w:tcBorders>
              <w:top w:val="nil"/>
              <w:left w:val="nil"/>
              <w:bottom w:val="nil"/>
              <w:right w:val="nil"/>
            </w:tcBorders>
            <w:shd w:val="clear" w:color="auto" w:fill="auto"/>
            <w:noWrap/>
            <w:vAlign w:val="center"/>
          </w:tcPr>
          <w:p w:rsidR="002841FC" w:rsidRPr="00445516" w:rsidRDefault="002841FC" w:rsidP="008329D1">
            <w:pPr>
              <w:pStyle w:val="Tabletext"/>
            </w:pPr>
            <w:r w:rsidRPr="00445516">
              <w:t>Yes</w:t>
            </w:r>
          </w:p>
        </w:tc>
      </w:tr>
      <w:tr w:rsidR="002841FC" w:rsidRPr="00445516" w:rsidTr="00FF33C0">
        <w:trPr>
          <w:trHeight w:val="320"/>
        </w:trPr>
        <w:tc>
          <w:tcPr>
            <w:tcW w:w="1858" w:type="dxa"/>
            <w:vMerge/>
            <w:tcBorders>
              <w:top w:val="nil"/>
              <w:left w:val="nil"/>
              <w:bottom w:val="single" w:sz="4" w:space="0" w:color="auto"/>
              <w:right w:val="nil"/>
            </w:tcBorders>
          </w:tcPr>
          <w:p w:rsidR="002841FC" w:rsidRPr="00445516" w:rsidRDefault="002841FC" w:rsidP="00FF33C0">
            <w:pPr>
              <w:pStyle w:val="Tabletext"/>
              <w:spacing w:before="80"/>
            </w:pPr>
          </w:p>
        </w:tc>
        <w:tc>
          <w:tcPr>
            <w:tcW w:w="709" w:type="dxa"/>
            <w:tcBorders>
              <w:top w:val="nil"/>
              <w:left w:val="nil"/>
              <w:bottom w:val="single" w:sz="4" w:space="0" w:color="auto"/>
              <w:right w:val="nil"/>
            </w:tcBorders>
            <w:shd w:val="clear" w:color="auto" w:fill="auto"/>
            <w:vAlign w:val="center"/>
          </w:tcPr>
          <w:p w:rsidR="002841FC" w:rsidRPr="00445516" w:rsidRDefault="002841FC" w:rsidP="008329D1">
            <w:pPr>
              <w:pStyle w:val="Tabletext"/>
            </w:pPr>
            <w:r w:rsidRPr="00445516">
              <w:t>1</w:t>
            </w:r>
          </w:p>
        </w:tc>
        <w:tc>
          <w:tcPr>
            <w:tcW w:w="3905" w:type="dxa"/>
            <w:tcBorders>
              <w:top w:val="nil"/>
              <w:left w:val="nil"/>
              <w:bottom w:val="single" w:sz="4" w:space="0" w:color="auto"/>
              <w:right w:val="nil"/>
            </w:tcBorders>
            <w:shd w:val="clear" w:color="auto" w:fill="auto"/>
            <w:vAlign w:val="center"/>
          </w:tcPr>
          <w:p w:rsidR="002841FC" w:rsidRPr="00445516" w:rsidRDefault="002841FC" w:rsidP="008329D1">
            <w:pPr>
              <w:pStyle w:val="Tabletext"/>
            </w:pPr>
            <w:r w:rsidRPr="00445516">
              <w:t>Business</w:t>
            </w:r>
          </w:p>
        </w:tc>
        <w:tc>
          <w:tcPr>
            <w:tcW w:w="1957" w:type="dxa"/>
            <w:tcBorders>
              <w:top w:val="nil"/>
              <w:left w:val="nil"/>
              <w:bottom w:val="single" w:sz="4" w:space="0" w:color="auto"/>
              <w:right w:val="nil"/>
            </w:tcBorders>
            <w:shd w:val="clear" w:color="auto" w:fill="auto"/>
            <w:noWrap/>
            <w:vAlign w:val="center"/>
          </w:tcPr>
          <w:p w:rsidR="002841FC" w:rsidRPr="00445516" w:rsidRDefault="002841FC" w:rsidP="008329D1">
            <w:pPr>
              <w:pStyle w:val="Tabletext"/>
            </w:pPr>
            <w:r w:rsidRPr="00445516">
              <w:t>Yes</w:t>
            </w:r>
          </w:p>
        </w:tc>
      </w:tr>
      <w:tr w:rsidR="002841FC" w:rsidRPr="00445516" w:rsidTr="00FF33C0">
        <w:trPr>
          <w:trHeight w:val="320"/>
        </w:trPr>
        <w:tc>
          <w:tcPr>
            <w:tcW w:w="1858" w:type="dxa"/>
            <w:vMerge w:val="restart"/>
            <w:tcBorders>
              <w:left w:val="nil"/>
              <w:bottom w:val="nil"/>
              <w:right w:val="nil"/>
            </w:tcBorders>
          </w:tcPr>
          <w:p w:rsidR="002841FC" w:rsidRPr="00445516" w:rsidRDefault="002841FC" w:rsidP="00FF33C0">
            <w:pPr>
              <w:pStyle w:val="Tabletext"/>
              <w:spacing w:before="80"/>
            </w:pPr>
            <w:r w:rsidRPr="00445516">
              <w:t>Small business</w:t>
            </w:r>
          </w:p>
          <w:p w:rsidR="002841FC" w:rsidRPr="00445516" w:rsidRDefault="002841FC" w:rsidP="00FF33C0">
            <w:pPr>
              <w:pStyle w:val="Tabletext"/>
              <w:spacing w:before="80"/>
            </w:pPr>
          </w:p>
        </w:tc>
        <w:tc>
          <w:tcPr>
            <w:tcW w:w="709" w:type="dxa"/>
            <w:tcBorders>
              <w:left w:val="nil"/>
              <w:bottom w:val="nil"/>
              <w:right w:val="nil"/>
            </w:tcBorders>
            <w:shd w:val="clear" w:color="auto" w:fill="auto"/>
            <w:vAlign w:val="center"/>
          </w:tcPr>
          <w:p w:rsidR="002841FC" w:rsidRPr="00445516" w:rsidRDefault="002841FC" w:rsidP="008329D1">
            <w:pPr>
              <w:pStyle w:val="Tabletext"/>
            </w:pPr>
            <w:r w:rsidRPr="00445516">
              <w:t>1</w:t>
            </w:r>
          </w:p>
        </w:tc>
        <w:tc>
          <w:tcPr>
            <w:tcW w:w="3905" w:type="dxa"/>
            <w:tcBorders>
              <w:left w:val="nil"/>
              <w:bottom w:val="nil"/>
              <w:right w:val="nil"/>
            </w:tcBorders>
            <w:shd w:val="clear" w:color="auto" w:fill="auto"/>
            <w:vAlign w:val="center"/>
          </w:tcPr>
          <w:p w:rsidR="002841FC" w:rsidRPr="00445516" w:rsidRDefault="002841FC" w:rsidP="008329D1">
            <w:pPr>
              <w:pStyle w:val="Tabletext"/>
            </w:pPr>
            <w:r w:rsidRPr="00445516">
              <w:t>Own business –</w:t>
            </w:r>
            <w:r w:rsidR="0016602D">
              <w:t xml:space="preserve"> g</w:t>
            </w:r>
            <w:r w:rsidRPr="00445516">
              <w:t>ym</w:t>
            </w:r>
          </w:p>
        </w:tc>
        <w:tc>
          <w:tcPr>
            <w:tcW w:w="1957" w:type="dxa"/>
            <w:tcBorders>
              <w:left w:val="nil"/>
              <w:bottom w:val="nil"/>
              <w:right w:val="nil"/>
            </w:tcBorders>
            <w:shd w:val="clear" w:color="auto" w:fill="auto"/>
            <w:noWrap/>
            <w:vAlign w:val="center"/>
          </w:tcPr>
          <w:p w:rsidR="002841FC" w:rsidRPr="00445516" w:rsidRDefault="002841FC" w:rsidP="008329D1">
            <w:pPr>
              <w:pStyle w:val="Tabletext"/>
            </w:pPr>
            <w:r w:rsidRPr="00445516">
              <w:t>Yes</w:t>
            </w:r>
          </w:p>
        </w:tc>
      </w:tr>
      <w:tr w:rsidR="002841FC" w:rsidRPr="00445516" w:rsidTr="00FF33C0">
        <w:trPr>
          <w:trHeight w:val="320"/>
        </w:trPr>
        <w:tc>
          <w:tcPr>
            <w:tcW w:w="1858" w:type="dxa"/>
            <w:vMerge/>
            <w:tcBorders>
              <w:top w:val="nil"/>
              <w:left w:val="nil"/>
              <w:bottom w:val="nil"/>
              <w:right w:val="nil"/>
            </w:tcBorders>
          </w:tcPr>
          <w:p w:rsidR="002841FC" w:rsidRPr="00445516" w:rsidRDefault="002841FC" w:rsidP="00FF33C0">
            <w:pPr>
              <w:pStyle w:val="Tabletext"/>
              <w:spacing w:before="80"/>
            </w:pPr>
          </w:p>
        </w:tc>
        <w:tc>
          <w:tcPr>
            <w:tcW w:w="709" w:type="dxa"/>
            <w:tcBorders>
              <w:top w:val="nil"/>
              <w:left w:val="nil"/>
              <w:bottom w:val="nil"/>
              <w:right w:val="nil"/>
            </w:tcBorders>
            <w:shd w:val="clear" w:color="auto" w:fill="auto"/>
            <w:vAlign w:val="center"/>
          </w:tcPr>
          <w:p w:rsidR="002841FC" w:rsidRPr="00445516" w:rsidRDefault="002841FC" w:rsidP="008329D1">
            <w:pPr>
              <w:pStyle w:val="Tabletext"/>
            </w:pPr>
            <w:r w:rsidRPr="00445516">
              <w:t>1</w:t>
            </w:r>
          </w:p>
        </w:tc>
        <w:tc>
          <w:tcPr>
            <w:tcW w:w="3905" w:type="dxa"/>
            <w:tcBorders>
              <w:top w:val="nil"/>
              <w:left w:val="nil"/>
              <w:bottom w:val="nil"/>
              <w:right w:val="nil"/>
            </w:tcBorders>
            <w:shd w:val="clear" w:color="auto" w:fill="auto"/>
            <w:vAlign w:val="center"/>
          </w:tcPr>
          <w:p w:rsidR="002841FC" w:rsidRPr="00445516" w:rsidRDefault="0016602D" w:rsidP="008329D1">
            <w:pPr>
              <w:pStyle w:val="Tabletext"/>
            </w:pPr>
            <w:r>
              <w:t>Own business – e</w:t>
            </w:r>
            <w:r w:rsidR="002841FC" w:rsidRPr="00445516">
              <w:t>lectrician</w:t>
            </w:r>
          </w:p>
        </w:tc>
        <w:tc>
          <w:tcPr>
            <w:tcW w:w="1957" w:type="dxa"/>
            <w:tcBorders>
              <w:top w:val="nil"/>
              <w:left w:val="nil"/>
              <w:bottom w:val="nil"/>
              <w:right w:val="nil"/>
            </w:tcBorders>
            <w:shd w:val="clear" w:color="auto" w:fill="auto"/>
            <w:noWrap/>
            <w:vAlign w:val="center"/>
          </w:tcPr>
          <w:p w:rsidR="002841FC" w:rsidRPr="00445516" w:rsidRDefault="002841FC" w:rsidP="008329D1">
            <w:pPr>
              <w:pStyle w:val="Tabletext"/>
            </w:pPr>
            <w:r w:rsidRPr="00445516">
              <w:t>Yes</w:t>
            </w:r>
          </w:p>
        </w:tc>
      </w:tr>
      <w:tr w:rsidR="002841FC" w:rsidRPr="00445516" w:rsidTr="00FF33C0">
        <w:trPr>
          <w:trHeight w:val="320"/>
        </w:trPr>
        <w:tc>
          <w:tcPr>
            <w:tcW w:w="1858" w:type="dxa"/>
            <w:vMerge/>
            <w:tcBorders>
              <w:top w:val="nil"/>
              <w:left w:val="nil"/>
              <w:bottom w:val="single" w:sz="4" w:space="0" w:color="auto"/>
              <w:right w:val="nil"/>
            </w:tcBorders>
          </w:tcPr>
          <w:p w:rsidR="002841FC" w:rsidRPr="00445516" w:rsidRDefault="002841FC" w:rsidP="00FF33C0">
            <w:pPr>
              <w:pStyle w:val="Tabletext"/>
              <w:spacing w:before="80"/>
            </w:pPr>
          </w:p>
        </w:tc>
        <w:tc>
          <w:tcPr>
            <w:tcW w:w="709" w:type="dxa"/>
            <w:tcBorders>
              <w:top w:val="nil"/>
              <w:left w:val="nil"/>
              <w:bottom w:val="single" w:sz="4" w:space="0" w:color="auto"/>
              <w:right w:val="nil"/>
            </w:tcBorders>
            <w:shd w:val="clear" w:color="auto" w:fill="auto"/>
            <w:vAlign w:val="center"/>
          </w:tcPr>
          <w:p w:rsidR="002841FC" w:rsidRPr="00445516" w:rsidRDefault="002841FC" w:rsidP="008329D1">
            <w:pPr>
              <w:pStyle w:val="Tabletext"/>
            </w:pPr>
            <w:r w:rsidRPr="00445516">
              <w:t>1</w:t>
            </w:r>
          </w:p>
        </w:tc>
        <w:tc>
          <w:tcPr>
            <w:tcW w:w="3905" w:type="dxa"/>
            <w:tcBorders>
              <w:top w:val="nil"/>
              <w:left w:val="nil"/>
              <w:bottom w:val="single" w:sz="4" w:space="0" w:color="auto"/>
              <w:right w:val="nil"/>
            </w:tcBorders>
            <w:shd w:val="clear" w:color="auto" w:fill="auto"/>
            <w:vAlign w:val="center"/>
          </w:tcPr>
          <w:p w:rsidR="002841FC" w:rsidRPr="00445516" w:rsidRDefault="0016602D" w:rsidP="008329D1">
            <w:pPr>
              <w:pStyle w:val="Tabletext"/>
            </w:pPr>
            <w:r>
              <w:t>Own business – c</w:t>
            </w:r>
            <w:r w:rsidR="002841FC" w:rsidRPr="00445516">
              <w:t>arpet cleaning</w:t>
            </w:r>
          </w:p>
        </w:tc>
        <w:tc>
          <w:tcPr>
            <w:tcW w:w="1957" w:type="dxa"/>
            <w:tcBorders>
              <w:top w:val="nil"/>
              <w:left w:val="nil"/>
              <w:bottom w:val="single" w:sz="4" w:space="0" w:color="auto"/>
              <w:right w:val="nil"/>
            </w:tcBorders>
            <w:shd w:val="clear" w:color="auto" w:fill="auto"/>
            <w:noWrap/>
            <w:vAlign w:val="center"/>
          </w:tcPr>
          <w:p w:rsidR="002841FC" w:rsidRPr="00445516" w:rsidRDefault="002841FC" w:rsidP="008329D1">
            <w:pPr>
              <w:pStyle w:val="Tabletext"/>
            </w:pPr>
            <w:r w:rsidRPr="00445516">
              <w:t>Yes</w:t>
            </w:r>
          </w:p>
        </w:tc>
      </w:tr>
      <w:tr w:rsidR="002841FC" w:rsidRPr="00445516" w:rsidTr="00FF33C0">
        <w:trPr>
          <w:trHeight w:val="320"/>
        </w:trPr>
        <w:tc>
          <w:tcPr>
            <w:tcW w:w="1858" w:type="dxa"/>
            <w:vMerge w:val="restart"/>
            <w:tcBorders>
              <w:left w:val="nil"/>
              <w:bottom w:val="nil"/>
              <w:right w:val="nil"/>
            </w:tcBorders>
          </w:tcPr>
          <w:p w:rsidR="002841FC" w:rsidRPr="00445516" w:rsidRDefault="002841FC" w:rsidP="00FF33C0">
            <w:pPr>
              <w:pStyle w:val="Tabletext"/>
              <w:spacing w:before="80"/>
            </w:pPr>
            <w:r>
              <w:t>Community</w:t>
            </w:r>
            <w:r w:rsidRPr="00445516">
              <w:t xml:space="preserve"> services</w:t>
            </w:r>
          </w:p>
          <w:p w:rsidR="002841FC" w:rsidRPr="00445516" w:rsidRDefault="002841FC" w:rsidP="00FF33C0">
            <w:pPr>
              <w:pStyle w:val="Tabletext"/>
              <w:spacing w:before="80"/>
            </w:pPr>
          </w:p>
        </w:tc>
        <w:tc>
          <w:tcPr>
            <w:tcW w:w="709" w:type="dxa"/>
            <w:tcBorders>
              <w:left w:val="nil"/>
              <w:bottom w:val="nil"/>
              <w:right w:val="nil"/>
            </w:tcBorders>
            <w:shd w:val="clear" w:color="auto" w:fill="auto"/>
            <w:vAlign w:val="center"/>
          </w:tcPr>
          <w:p w:rsidR="002841FC" w:rsidRPr="00445516" w:rsidRDefault="002841FC" w:rsidP="008329D1">
            <w:pPr>
              <w:pStyle w:val="Tabletext"/>
            </w:pPr>
            <w:r w:rsidRPr="00445516">
              <w:t>1</w:t>
            </w:r>
          </w:p>
        </w:tc>
        <w:tc>
          <w:tcPr>
            <w:tcW w:w="3905" w:type="dxa"/>
            <w:tcBorders>
              <w:left w:val="nil"/>
              <w:bottom w:val="nil"/>
              <w:right w:val="nil"/>
            </w:tcBorders>
            <w:shd w:val="clear" w:color="auto" w:fill="auto"/>
            <w:vAlign w:val="center"/>
          </w:tcPr>
          <w:p w:rsidR="002841FC" w:rsidRPr="00445516" w:rsidRDefault="002841FC" w:rsidP="008329D1">
            <w:pPr>
              <w:pStyle w:val="Tabletext"/>
            </w:pPr>
            <w:r w:rsidRPr="00445516">
              <w:t xml:space="preserve">Aged care </w:t>
            </w:r>
          </w:p>
        </w:tc>
        <w:tc>
          <w:tcPr>
            <w:tcW w:w="1957" w:type="dxa"/>
            <w:tcBorders>
              <w:left w:val="nil"/>
              <w:bottom w:val="nil"/>
              <w:right w:val="nil"/>
            </w:tcBorders>
            <w:shd w:val="clear" w:color="auto" w:fill="auto"/>
            <w:noWrap/>
            <w:vAlign w:val="center"/>
          </w:tcPr>
          <w:p w:rsidR="002841FC" w:rsidRPr="00445516" w:rsidRDefault="002841FC" w:rsidP="008329D1">
            <w:pPr>
              <w:pStyle w:val="Tabletext"/>
            </w:pPr>
            <w:r w:rsidRPr="00445516">
              <w:t>No</w:t>
            </w:r>
          </w:p>
        </w:tc>
      </w:tr>
      <w:tr w:rsidR="002841FC" w:rsidRPr="00445516" w:rsidTr="00FF33C0">
        <w:trPr>
          <w:trHeight w:val="320"/>
        </w:trPr>
        <w:tc>
          <w:tcPr>
            <w:tcW w:w="1858" w:type="dxa"/>
            <w:vMerge/>
            <w:tcBorders>
              <w:top w:val="nil"/>
              <w:left w:val="nil"/>
              <w:bottom w:val="single" w:sz="4" w:space="0" w:color="auto"/>
              <w:right w:val="nil"/>
            </w:tcBorders>
          </w:tcPr>
          <w:p w:rsidR="002841FC" w:rsidRPr="00445516" w:rsidRDefault="002841FC" w:rsidP="00FF33C0">
            <w:pPr>
              <w:pStyle w:val="Tabletext"/>
              <w:spacing w:before="80"/>
            </w:pPr>
          </w:p>
        </w:tc>
        <w:tc>
          <w:tcPr>
            <w:tcW w:w="709" w:type="dxa"/>
            <w:tcBorders>
              <w:top w:val="nil"/>
              <w:left w:val="nil"/>
              <w:bottom w:val="single" w:sz="4" w:space="0" w:color="auto"/>
              <w:right w:val="nil"/>
            </w:tcBorders>
            <w:shd w:val="clear" w:color="auto" w:fill="auto"/>
            <w:vAlign w:val="center"/>
          </w:tcPr>
          <w:p w:rsidR="002841FC" w:rsidRPr="00445516" w:rsidRDefault="002841FC" w:rsidP="008329D1">
            <w:pPr>
              <w:pStyle w:val="Tabletext"/>
            </w:pPr>
            <w:r w:rsidRPr="00445516">
              <w:t>1</w:t>
            </w:r>
          </w:p>
        </w:tc>
        <w:tc>
          <w:tcPr>
            <w:tcW w:w="3905" w:type="dxa"/>
            <w:tcBorders>
              <w:top w:val="nil"/>
              <w:left w:val="nil"/>
              <w:bottom w:val="single" w:sz="4" w:space="0" w:color="auto"/>
              <w:right w:val="nil"/>
            </w:tcBorders>
            <w:shd w:val="clear" w:color="auto" w:fill="auto"/>
            <w:vAlign w:val="center"/>
          </w:tcPr>
          <w:p w:rsidR="002841FC" w:rsidRPr="00445516" w:rsidRDefault="002841FC" w:rsidP="008329D1">
            <w:pPr>
              <w:pStyle w:val="Tabletext"/>
            </w:pPr>
            <w:r w:rsidRPr="00445516">
              <w:t>Disability</w:t>
            </w:r>
          </w:p>
        </w:tc>
        <w:tc>
          <w:tcPr>
            <w:tcW w:w="1957" w:type="dxa"/>
            <w:tcBorders>
              <w:top w:val="nil"/>
              <w:left w:val="nil"/>
              <w:bottom w:val="single" w:sz="4" w:space="0" w:color="auto"/>
              <w:right w:val="nil"/>
            </w:tcBorders>
            <w:shd w:val="clear" w:color="auto" w:fill="auto"/>
            <w:noWrap/>
            <w:vAlign w:val="center"/>
          </w:tcPr>
          <w:p w:rsidR="002841FC" w:rsidRPr="00445516" w:rsidRDefault="002841FC" w:rsidP="008329D1">
            <w:pPr>
              <w:pStyle w:val="Tabletext"/>
            </w:pPr>
            <w:r w:rsidRPr="00445516">
              <w:t>No</w:t>
            </w:r>
          </w:p>
        </w:tc>
      </w:tr>
      <w:tr w:rsidR="002841FC" w:rsidRPr="00445516" w:rsidTr="00FF33C0">
        <w:trPr>
          <w:trHeight w:val="320"/>
        </w:trPr>
        <w:tc>
          <w:tcPr>
            <w:tcW w:w="1858" w:type="dxa"/>
            <w:tcBorders>
              <w:left w:val="nil"/>
              <w:right w:val="nil"/>
            </w:tcBorders>
          </w:tcPr>
          <w:p w:rsidR="002841FC" w:rsidRPr="00445516" w:rsidRDefault="002841FC" w:rsidP="00FF33C0">
            <w:pPr>
              <w:pStyle w:val="Tabletext"/>
              <w:spacing w:before="80"/>
            </w:pPr>
            <w:r w:rsidRPr="00445516">
              <w:t>Health</w:t>
            </w:r>
          </w:p>
        </w:tc>
        <w:tc>
          <w:tcPr>
            <w:tcW w:w="709" w:type="dxa"/>
            <w:tcBorders>
              <w:left w:val="nil"/>
              <w:right w:val="nil"/>
            </w:tcBorders>
            <w:shd w:val="clear" w:color="auto" w:fill="auto"/>
            <w:vAlign w:val="center"/>
          </w:tcPr>
          <w:p w:rsidR="002841FC" w:rsidRPr="00445516" w:rsidRDefault="002841FC" w:rsidP="008329D1">
            <w:pPr>
              <w:pStyle w:val="Tabletext"/>
            </w:pPr>
            <w:r w:rsidRPr="00445516">
              <w:t>2</w:t>
            </w:r>
          </w:p>
        </w:tc>
        <w:tc>
          <w:tcPr>
            <w:tcW w:w="3905" w:type="dxa"/>
            <w:tcBorders>
              <w:left w:val="nil"/>
              <w:right w:val="nil"/>
            </w:tcBorders>
            <w:shd w:val="clear" w:color="auto" w:fill="auto"/>
            <w:vAlign w:val="center"/>
          </w:tcPr>
          <w:p w:rsidR="002841FC" w:rsidRPr="00445516" w:rsidRDefault="002841FC" w:rsidP="008329D1">
            <w:pPr>
              <w:pStyle w:val="Tabletext"/>
            </w:pPr>
            <w:r w:rsidRPr="00445516">
              <w:t>Personal trainer</w:t>
            </w:r>
          </w:p>
        </w:tc>
        <w:tc>
          <w:tcPr>
            <w:tcW w:w="1957" w:type="dxa"/>
            <w:tcBorders>
              <w:left w:val="nil"/>
              <w:right w:val="nil"/>
            </w:tcBorders>
            <w:shd w:val="clear" w:color="auto" w:fill="auto"/>
            <w:noWrap/>
            <w:vAlign w:val="center"/>
          </w:tcPr>
          <w:p w:rsidR="002841FC" w:rsidRPr="00445516" w:rsidRDefault="002841FC" w:rsidP="008329D1">
            <w:pPr>
              <w:pStyle w:val="Tabletext"/>
            </w:pPr>
            <w:r w:rsidRPr="00445516">
              <w:t>Neutral</w:t>
            </w:r>
          </w:p>
        </w:tc>
      </w:tr>
      <w:tr w:rsidR="002841FC" w:rsidRPr="00445516" w:rsidTr="00FF33C0">
        <w:trPr>
          <w:trHeight w:val="320"/>
        </w:trPr>
        <w:tc>
          <w:tcPr>
            <w:tcW w:w="1858" w:type="dxa"/>
            <w:tcBorders>
              <w:left w:val="nil"/>
              <w:right w:val="nil"/>
            </w:tcBorders>
          </w:tcPr>
          <w:p w:rsidR="002841FC" w:rsidRPr="00445516" w:rsidRDefault="002841FC" w:rsidP="00FF33C0">
            <w:pPr>
              <w:pStyle w:val="Tabletext"/>
              <w:spacing w:before="80"/>
            </w:pPr>
            <w:r w:rsidRPr="00445516">
              <w:t>Armed Forces</w:t>
            </w:r>
          </w:p>
        </w:tc>
        <w:tc>
          <w:tcPr>
            <w:tcW w:w="709" w:type="dxa"/>
            <w:tcBorders>
              <w:left w:val="nil"/>
              <w:right w:val="nil"/>
            </w:tcBorders>
            <w:shd w:val="clear" w:color="auto" w:fill="auto"/>
            <w:vAlign w:val="center"/>
          </w:tcPr>
          <w:p w:rsidR="002841FC" w:rsidRPr="00445516" w:rsidRDefault="002841FC" w:rsidP="008329D1">
            <w:pPr>
              <w:pStyle w:val="Tabletext"/>
            </w:pPr>
            <w:r w:rsidRPr="00445516">
              <w:t>2</w:t>
            </w:r>
          </w:p>
        </w:tc>
        <w:tc>
          <w:tcPr>
            <w:tcW w:w="3905" w:type="dxa"/>
            <w:tcBorders>
              <w:left w:val="nil"/>
              <w:right w:val="nil"/>
            </w:tcBorders>
            <w:shd w:val="clear" w:color="auto" w:fill="auto"/>
            <w:vAlign w:val="center"/>
          </w:tcPr>
          <w:p w:rsidR="002841FC" w:rsidRPr="00445516" w:rsidRDefault="002841FC" w:rsidP="008329D1">
            <w:pPr>
              <w:pStyle w:val="Tabletext"/>
            </w:pPr>
            <w:r w:rsidRPr="00445516">
              <w:t>Army and Airforce</w:t>
            </w:r>
          </w:p>
        </w:tc>
        <w:tc>
          <w:tcPr>
            <w:tcW w:w="1957" w:type="dxa"/>
            <w:tcBorders>
              <w:left w:val="nil"/>
              <w:right w:val="nil"/>
            </w:tcBorders>
            <w:shd w:val="clear" w:color="auto" w:fill="auto"/>
            <w:noWrap/>
            <w:vAlign w:val="center"/>
          </w:tcPr>
          <w:p w:rsidR="002841FC" w:rsidRPr="00445516" w:rsidRDefault="002841FC" w:rsidP="008329D1">
            <w:pPr>
              <w:pStyle w:val="Tabletext"/>
            </w:pPr>
            <w:r w:rsidRPr="00445516">
              <w:t>Yes</w:t>
            </w:r>
          </w:p>
        </w:tc>
      </w:tr>
      <w:tr w:rsidR="002841FC" w:rsidRPr="00445516" w:rsidTr="00FF33C0">
        <w:trPr>
          <w:trHeight w:val="320"/>
        </w:trPr>
        <w:tc>
          <w:tcPr>
            <w:tcW w:w="1858" w:type="dxa"/>
            <w:tcBorders>
              <w:left w:val="nil"/>
              <w:right w:val="nil"/>
            </w:tcBorders>
          </w:tcPr>
          <w:p w:rsidR="002841FC" w:rsidRPr="00445516" w:rsidRDefault="002841FC" w:rsidP="00FF33C0">
            <w:pPr>
              <w:pStyle w:val="Tabletext"/>
              <w:spacing w:before="80"/>
            </w:pPr>
            <w:r w:rsidRPr="00445516">
              <w:t>Management</w:t>
            </w:r>
          </w:p>
        </w:tc>
        <w:tc>
          <w:tcPr>
            <w:tcW w:w="709" w:type="dxa"/>
            <w:tcBorders>
              <w:left w:val="nil"/>
              <w:right w:val="nil"/>
            </w:tcBorders>
            <w:shd w:val="clear" w:color="auto" w:fill="auto"/>
            <w:vAlign w:val="center"/>
          </w:tcPr>
          <w:p w:rsidR="002841FC" w:rsidRPr="00445516" w:rsidRDefault="002841FC" w:rsidP="008329D1">
            <w:pPr>
              <w:pStyle w:val="Tabletext"/>
            </w:pPr>
            <w:r w:rsidRPr="00445516">
              <w:t>1</w:t>
            </w:r>
          </w:p>
        </w:tc>
        <w:tc>
          <w:tcPr>
            <w:tcW w:w="3905" w:type="dxa"/>
            <w:tcBorders>
              <w:left w:val="nil"/>
              <w:right w:val="nil"/>
            </w:tcBorders>
            <w:shd w:val="clear" w:color="auto" w:fill="auto"/>
            <w:vAlign w:val="center"/>
          </w:tcPr>
          <w:p w:rsidR="002841FC" w:rsidRPr="00445516" w:rsidRDefault="002841FC" w:rsidP="008329D1">
            <w:pPr>
              <w:pStyle w:val="Tabletext"/>
            </w:pPr>
            <w:r w:rsidRPr="00445516">
              <w:t>Local government management</w:t>
            </w:r>
          </w:p>
        </w:tc>
        <w:tc>
          <w:tcPr>
            <w:tcW w:w="1957" w:type="dxa"/>
            <w:tcBorders>
              <w:left w:val="nil"/>
              <w:right w:val="nil"/>
            </w:tcBorders>
            <w:shd w:val="clear" w:color="auto" w:fill="auto"/>
            <w:noWrap/>
            <w:vAlign w:val="center"/>
          </w:tcPr>
          <w:p w:rsidR="002841FC" w:rsidRPr="00445516" w:rsidRDefault="002841FC" w:rsidP="008329D1">
            <w:pPr>
              <w:pStyle w:val="Tabletext"/>
            </w:pPr>
            <w:r w:rsidRPr="00445516">
              <w:t>Neutral</w:t>
            </w:r>
          </w:p>
        </w:tc>
      </w:tr>
      <w:tr w:rsidR="002841FC" w:rsidRPr="00445516" w:rsidTr="00FF33C0">
        <w:trPr>
          <w:trHeight w:val="320"/>
        </w:trPr>
        <w:tc>
          <w:tcPr>
            <w:tcW w:w="1858" w:type="dxa"/>
            <w:tcBorders>
              <w:left w:val="nil"/>
              <w:right w:val="nil"/>
            </w:tcBorders>
          </w:tcPr>
          <w:p w:rsidR="002841FC" w:rsidRPr="00445516" w:rsidRDefault="002841FC" w:rsidP="00FF33C0">
            <w:pPr>
              <w:pStyle w:val="Tabletext"/>
              <w:spacing w:before="80"/>
            </w:pPr>
            <w:r w:rsidRPr="00445516">
              <w:t>Small business</w:t>
            </w:r>
          </w:p>
        </w:tc>
        <w:tc>
          <w:tcPr>
            <w:tcW w:w="709" w:type="dxa"/>
            <w:tcBorders>
              <w:left w:val="nil"/>
              <w:right w:val="nil"/>
            </w:tcBorders>
            <w:shd w:val="clear" w:color="auto" w:fill="auto"/>
            <w:vAlign w:val="center"/>
          </w:tcPr>
          <w:p w:rsidR="002841FC" w:rsidRPr="00445516" w:rsidRDefault="002841FC" w:rsidP="008329D1">
            <w:pPr>
              <w:pStyle w:val="Tabletext"/>
            </w:pPr>
            <w:r w:rsidRPr="00445516">
              <w:t>1</w:t>
            </w:r>
          </w:p>
        </w:tc>
        <w:tc>
          <w:tcPr>
            <w:tcW w:w="3905" w:type="dxa"/>
            <w:tcBorders>
              <w:left w:val="nil"/>
              <w:right w:val="nil"/>
            </w:tcBorders>
            <w:shd w:val="clear" w:color="auto" w:fill="auto"/>
            <w:vAlign w:val="center"/>
          </w:tcPr>
          <w:p w:rsidR="002841FC" w:rsidRPr="00445516" w:rsidRDefault="0016602D" w:rsidP="008329D1">
            <w:pPr>
              <w:pStyle w:val="Tabletext"/>
            </w:pPr>
            <w:r>
              <w:t>Own business – p</w:t>
            </w:r>
            <w:r w:rsidR="002841FC" w:rsidRPr="00445516">
              <w:t>hysiotherapy</w:t>
            </w:r>
          </w:p>
        </w:tc>
        <w:tc>
          <w:tcPr>
            <w:tcW w:w="1957" w:type="dxa"/>
            <w:tcBorders>
              <w:left w:val="nil"/>
              <w:right w:val="nil"/>
            </w:tcBorders>
            <w:shd w:val="clear" w:color="auto" w:fill="auto"/>
            <w:noWrap/>
            <w:vAlign w:val="center"/>
          </w:tcPr>
          <w:p w:rsidR="002841FC" w:rsidRPr="00445516" w:rsidRDefault="002841FC" w:rsidP="008329D1">
            <w:pPr>
              <w:pStyle w:val="Tabletext"/>
            </w:pPr>
            <w:r w:rsidRPr="00445516">
              <w:t>Neutral</w:t>
            </w:r>
          </w:p>
        </w:tc>
      </w:tr>
      <w:tr w:rsidR="002841FC" w:rsidRPr="00445516" w:rsidTr="00FF33C0">
        <w:trPr>
          <w:trHeight w:val="320"/>
        </w:trPr>
        <w:tc>
          <w:tcPr>
            <w:tcW w:w="1858" w:type="dxa"/>
            <w:tcBorders>
              <w:left w:val="nil"/>
              <w:right w:val="nil"/>
            </w:tcBorders>
          </w:tcPr>
          <w:p w:rsidR="002841FC" w:rsidRPr="00445516" w:rsidRDefault="002841FC" w:rsidP="00FF33C0">
            <w:pPr>
              <w:pStyle w:val="Tabletext"/>
              <w:spacing w:before="80"/>
            </w:pPr>
            <w:r w:rsidRPr="00445516">
              <w:t>Teaching</w:t>
            </w:r>
          </w:p>
        </w:tc>
        <w:tc>
          <w:tcPr>
            <w:tcW w:w="709" w:type="dxa"/>
            <w:tcBorders>
              <w:left w:val="nil"/>
              <w:right w:val="nil"/>
            </w:tcBorders>
            <w:shd w:val="clear" w:color="auto" w:fill="auto"/>
            <w:vAlign w:val="center"/>
          </w:tcPr>
          <w:p w:rsidR="002841FC" w:rsidRPr="00445516" w:rsidRDefault="002841FC" w:rsidP="008329D1">
            <w:pPr>
              <w:pStyle w:val="Tabletext"/>
            </w:pPr>
            <w:r w:rsidRPr="00445516">
              <w:t>1</w:t>
            </w:r>
          </w:p>
        </w:tc>
        <w:tc>
          <w:tcPr>
            <w:tcW w:w="3905" w:type="dxa"/>
            <w:tcBorders>
              <w:left w:val="nil"/>
              <w:right w:val="nil"/>
            </w:tcBorders>
            <w:shd w:val="clear" w:color="auto" w:fill="auto"/>
            <w:vAlign w:val="center"/>
          </w:tcPr>
          <w:p w:rsidR="002841FC" w:rsidRPr="00445516" w:rsidRDefault="002841FC" w:rsidP="008329D1">
            <w:pPr>
              <w:pStyle w:val="Tabletext"/>
            </w:pPr>
            <w:r w:rsidRPr="00445516">
              <w:t>Primary school teacher</w:t>
            </w:r>
          </w:p>
        </w:tc>
        <w:tc>
          <w:tcPr>
            <w:tcW w:w="1957" w:type="dxa"/>
            <w:tcBorders>
              <w:left w:val="nil"/>
              <w:right w:val="nil"/>
            </w:tcBorders>
            <w:shd w:val="clear" w:color="auto" w:fill="auto"/>
            <w:noWrap/>
            <w:vAlign w:val="center"/>
          </w:tcPr>
          <w:p w:rsidR="002841FC" w:rsidRPr="00445516" w:rsidRDefault="002841FC" w:rsidP="008329D1">
            <w:pPr>
              <w:pStyle w:val="Tabletext"/>
            </w:pPr>
            <w:r w:rsidRPr="00445516">
              <w:t>No</w:t>
            </w:r>
          </w:p>
        </w:tc>
      </w:tr>
    </w:tbl>
    <w:p w:rsidR="002841FC" w:rsidRDefault="002841FC" w:rsidP="00742534">
      <w:pPr>
        <w:pStyle w:val="Source"/>
      </w:pPr>
      <w:r w:rsidRPr="00445516">
        <w:t>*</w:t>
      </w:r>
      <w:r>
        <w:t>Note:</w:t>
      </w:r>
      <w:r w:rsidRPr="00445516">
        <w:t xml:space="preserve"> number of mentions of actual or possible careers by </w:t>
      </w:r>
      <w:r>
        <w:t>male</w:t>
      </w:r>
      <w:r w:rsidRPr="00445516">
        <w:t xml:space="preserve"> participants not number of </w:t>
      </w:r>
      <w:r>
        <w:t>men</w:t>
      </w:r>
      <w:r w:rsidRPr="00445516">
        <w:t>.</w:t>
      </w:r>
    </w:p>
    <w:p w:rsidR="007B137C" w:rsidRPr="00445516" w:rsidRDefault="007B137C" w:rsidP="007B137C">
      <w:pPr>
        <w:pStyle w:val="tabletitle"/>
      </w:pPr>
      <w:bookmarkStart w:id="143" w:name="_Toc254032016"/>
      <w:bookmarkStart w:id="144" w:name="_Toc254034422"/>
      <w:bookmarkStart w:id="145" w:name="_Toc258143232"/>
      <w:bookmarkStart w:id="146" w:name="_Toc409079319"/>
      <w:r w:rsidRPr="00445516">
        <w:t xml:space="preserve">Table </w:t>
      </w:r>
      <w:r w:rsidR="00541888">
        <w:t>A7</w:t>
      </w:r>
      <w:r w:rsidRPr="00445516">
        <w:t xml:space="preserve"> </w:t>
      </w:r>
      <w:r w:rsidR="00104F40">
        <w:tab/>
      </w:r>
      <w:r w:rsidRPr="00445516">
        <w:t>Men</w:t>
      </w:r>
      <w:r>
        <w:t>’</w:t>
      </w:r>
      <w:r w:rsidRPr="00445516">
        <w:t>s parents</w:t>
      </w:r>
      <w:r>
        <w:t>’</w:t>
      </w:r>
      <w:r w:rsidRPr="00445516">
        <w:t xml:space="preserve"> careers and qualifications</w:t>
      </w:r>
      <w:bookmarkEnd w:id="143"/>
      <w:bookmarkEnd w:id="144"/>
      <w:bookmarkEnd w:id="145"/>
      <w:bookmarkEnd w:id="146"/>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9"/>
        <w:gridCol w:w="1323"/>
        <w:gridCol w:w="1701"/>
        <w:gridCol w:w="1984"/>
        <w:gridCol w:w="2694"/>
      </w:tblGrid>
      <w:tr w:rsidR="007B137C" w:rsidRPr="00445516">
        <w:tc>
          <w:tcPr>
            <w:tcW w:w="1229" w:type="dxa"/>
            <w:tcBorders>
              <w:left w:val="nil"/>
              <w:bottom w:val="single" w:sz="4" w:space="0" w:color="auto"/>
              <w:right w:val="nil"/>
            </w:tcBorders>
          </w:tcPr>
          <w:p w:rsidR="007B137C" w:rsidRPr="00445516" w:rsidRDefault="007B137C" w:rsidP="008329D1">
            <w:pPr>
              <w:pStyle w:val="Tablehead1"/>
            </w:pPr>
            <w:r w:rsidRPr="00445516">
              <w:t>Site</w:t>
            </w:r>
          </w:p>
        </w:tc>
        <w:tc>
          <w:tcPr>
            <w:tcW w:w="1323" w:type="dxa"/>
            <w:tcBorders>
              <w:left w:val="nil"/>
              <w:bottom w:val="single" w:sz="4" w:space="0" w:color="auto"/>
              <w:right w:val="nil"/>
            </w:tcBorders>
            <w:shd w:val="clear" w:color="auto" w:fill="auto"/>
          </w:tcPr>
          <w:p w:rsidR="007B137C" w:rsidRPr="00445516" w:rsidRDefault="007B137C" w:rsidP="008329D1">
            <w:pPr>
              <w:pStyle w:val="Tablehead1"/>
            </w:pPr>
            <w:r w:rsidRPr="00445516">
              <w:t>Case</w:t>
            </w:r>
          </w:p>
          <w:p w:rsidR="007B137C" w:rsidRPr="00445516" w:rsidRDefault="00FF33C0" w:rsidP="008329D1">
            <w:pPr>
              <w:pStyle w:val="Tablehead1"/>
            </w:pPr>
            <w:r>
              <w:t>s</w:t>
            </w:r>
            <w:r w:rsidR="007B137C" w:rsidRPr="00445516">
              <w:t>tudy</w:t>
            </w:r>
          </w:p>
        </w:tc>
        <w:tc>
          <w:tcPr>
            <w:tcW w:w="1701" w:type="dxa"/>
            <w:tcBorders>
              <w:left w:val="nil"/>
              <w:bottom w:val="single" w:sz="4" w:space="0" w:color="auto"/>
              <w:right w:val="nil"/>
            </w:tcBorders>
          </w:tcPr>
          <w:p w:rsidR="007B137C" w:rsidRPr="00445516" w:rsidRDefault="007B137C" w:rsidP="008329D1">
            <w:pPr>
              <w:pStyle w:val="Tablehead1"/>
            </w:pPr>
            <w:r w:rsidRPr="00445516">
              <w:t>Career/aspiration</w:t>
            </w:r>
          </w:p>
        </w:tc>
        <w:tc>
          <w:tcPr>
            <w:tcW w:w="1984" w:type="dxa"/>
            <w:tcBorders>
              <w:left w:val="nil"/>
              <w:bottom w:val="single" w:sz="4" w:space="0" w:color="auto"/>
              <w:right w:val="nil"/>
            </w:tcBorders>
          </w:tcPr>
          <w:p w:rsidR="007B137C" w:rsidRPr="00445516" w:rsidRDefault="007B137C" w:rsidP="008329D1">
            <w:pPr>
              <w:pStyle w:val="Tablehead1"/>
            </w:pPr>
            <w:r w:rsidRPr="00445516">
              <w:t>Mother(s)</w:t>
            </w:r>
          </w:p>
        </w:tc>
        <w:tc>
          <w:tcPr>
            <w:tcW w:w="2694" w:type="dxa"/>
            <w:tcBorders>
              <w:left w:val="nil"/>
              <w:bottom w:val="single" w:sz="4" w:space="0" w:color="auto"/>
              <w:right w:val="nil"/>
            </w:tcBorders>
          </w:tcPr>
          <w:p w:rsidR="007B137C" w:rsidRPr="00445516" w:rsidRDefault="007B137C" w:rsidP="008329D1">
            <w:pPr>
              <w:pStyle w:val="Tablehead1"/>
            </w:pPr>
            <w:r w:rsidRPr="00445516">
              <w:t>Father(s)</w:t>
            </w:r>
          </w:p>
        </w:tc>
      </w:tr>
      <w:tr w:rsidR="007B137C" w:rsidRPr="00445516">
        <w:tc>
          <w:tcPr>
            <w:tcW w:w="1229" w:type="dxa"/>
            <w:vMerge w:val="restart"/>
            <w:tcBorders>
              <w:left w:val="nil"/>
              <w:bottom w:val="nil"/>
              <w:right w:val="nil"/>
            </w:tcBorders>
          </w:tcPr>
          <w:p w:rsidR="007B137C" w:rsidRPr="00445516" w:rsidRDefault="007B137C" w:rsidP="00FF33C0">
            <w:pPr>
              <w:pStyle w:val="Tabletext"/>
              <w:spacing w:before="80"/>
            </w:pPr>
            <w:r>
              <w:t>Eastshire</w:t>
            </w:r>
          </w:p>
          <w:p w:rsidR="007B137C" w:rsidRPr="00445516" w:rsidRDefault="007B137C" w:rsidP="00FF33C0">
            <w:pPr>
              <w:pStyle w:val="Tabletext"/>
              <w:spacing w:before="80"/>
            </w:pPr>
          </w:p>
        </w:tc>
        <w:tc>
          <w:tcPr>
            <w:tcW w:w="1323" w:type="dxa"/>
            <w:tcBorders>
              <w:left w:val="nil"/>
              <w:bottom w:val="nil"/>
              <w:right w:val="nil"/>
            </w:tcBorders>
            <w:shd w:val="clear" w:color="auto" w:fill="auto"/>
          </w:tcPr>
          <w:p w:rsidR="007B137C" w:rsidRPr="00445516" w:rsidRDefault="007B137C" w:rsidP="00FF33C0">
            <w:pPr>
              <w:pStyle w:val="Tabletext"/>
              <w:spacing w:before="80"/>
            </w:pPr>
            <w:r w:rsidRPr="00445516">
              <w:t>Ted</w:t>
            </w:r>
          </w:p>
        </w:tc>
        <w:tc>
          <w:tcPr>
            <w:tcW w:w="1701" w:type="dxa"/>
            <w:tcBorders>
              <w:left w:val="nil"/>
              <w:bottom w:val="nil"/>
              <w:right w:val="nil"/>
            </w:tcBorders>
          </w:tcPr>
          <w:p w:rsidR="007B137C" w:rsidRPr="00445516" w:rsidRDefault="007B137C" w:rsidP="00FF33C0">
            <w:pPr>
              <w:pStyle w:val="Tabletext"/>
              <w:spacing w:before="80"/>
            </w:pPr>
            <w:r w:rsidRPr="00445516">
              <w:t>Stock agent and eventually take over his father</w:t>
            </w:r>
            <w:r>
              <w:t>’</w:t>
            </w:r>
            <w:r w:rsidRPr="00445516">
              <w:t>s dairy farm</w:t>
            </w:r>
          </w:p>
        </w:tc>
        <w:tc>
          <w:tcPr>
            <w:tcW w:w="1984" w:type="dxa"/>
            <w:tcBorders>
              <w:left w:val="nil"/>
              <w:bottom w:val="nil"/>
              <w:right w:val="nil"/>
            </w:tcBorders>
          </w:tcPr>
          <w:p w:rsidR="007B137C" w:rsidRPr="00445516" w:rsidRDefault="007B137C" w:rsidP="00FF33C0">
            <w:pPr>
              <w:pStyle w:val="Tabletext"/>
              <w:spacing w:before="80"/>
            </w:pPr>
            <w:r w:rsidRPr="00445516">
              <w:t>5 generations local. Division 1 Nurse, mi</w:t>
            </w:r>
            <w:r w:rsidR="00553DB5">
              <w:t>dwife and women’s health nurse</w:t>
            </w:r>
          </w:p>
        </w:tc>
        <w:tc>
          <w:tcPr>
            <w:tcW w:w="2694" w:type="dxa"/>
            <w:tcBorders>
              <w:left w:val="nil"/>
              <w:bottom w:val="nil"/>
              <w:right w:val="nil"/>
            </w:tcBorders>
          </w:tcPr>
          <w:p w:rsidR="007B137C" w:rsidRPr="00445516" w:rsidRDefault="007B137C" w:rsidP="00FF33C0">
            <w:pPr>
              <w:pStyle w:val="Tabletext"/>
              <w:spacing w:before="80"/>
            </w:pPr>
            <w:r w:rsidRPr="00445516">
              <w:t xml:space="preserve">Dairy farmer </w:t>
            </w:r>
          </w:p>
        </w:tc>
      </w:tr>
      <w:tr w:rsidR="007B137C" w:rsidRPr="00445516">
        <w:tc>
          <w:tcPr>
            <w:tcW w:w="1229" w:type="dxa"/>
            <w:vMerge/>
            <w:tcBorders>
              <w:top w:val="nil"/>
              <w:left w:val="nil"/>
              <w:bottom w:val="single" w:sz="4" w:space="0" w:color="auto"/>
              <w:right w:val="nil"/>
            </w:tcBorders>
          </w:tcPr>
          <w:p w:rsidR="007B137C" w:rsidRPr="00445516" w:rsidRDefault="007B137C" w:rsidP="008329D1">
            <w:pPr>
              <w:pStyle w:val="Tabletext"/>
            </w:pPr>
          </w:p>
        </w:tc>
        <w:tc>
          <w:tcPr>
            <w:tcW w:w="1323" w:type="dxa"/>
            <w:tcBorders>
              <w:top w:val="nil"/>
              <w:left w:val="nil"/>
              <w:bottom w:val="single" w:sz="4" w:space="0" w:color="auto"/>
              <w:right w:val="nil"/>
            </w:tcBorders>
            <w:shd w:val="clear" w:color="auto" w:fill="auto"/>
          </w:tcPr>
          <w:p w:rsidR="007B137C" w:rsidRPr="00445516" w:rsidRDefault="007B137C" w:rsidP="008329D1">
            <w:pPr>
              <w:pStyle w:val="Tabletext"/>
            </w:pPr>
            <w:r w:rsidRPr="00445516">
              <w:t>Mason</w:t>
            </w:r>
          </w:p>
        </w:tc>
        <w:tc>
          <w:tcPr>
            <w:tcW w:w="1701" w:type="dxa"/>
            <w:tcBorders>
              <w:top w:val="nil"/>
              <w:left w:val="nil"/>
              <w:bottom w:val="single" w:sz="4" w:space="0" w:color="auto"/>
              <w:right w:val="nil"/>
            </w:tcBorders>
          </w:tcPr>
          <w:p w:rsidR="007B137C" w:rsidRPr="00445516" w:rsidRDefault="007B137C" w:rsidP="008329D1">
            <w:pPr>
              <w:pStyle w:val="Tabletext"/>
            </w:pPr>
            <w:r w:rsidRPr="00445516">
              <w:t>Local government</w:t>
            </w:r>
          </w:p>
        </w:tc>
        <w:tc>
          <w:tcPr>
            <w:tcW w:w="1984" w:type="dxa"/>
            <w:tcBorders>
              <w:top w:val="nil"/>
              <w:left w:val="nil"/>
              <w:bottom w:val="single" w:sz="4" w:space="0" w:color="auto"/>
              <w:right w:val="nil"/>
            </w:tcBorders>
          </w:tcPr>
          <w:p w:rsidR="007B137C" w:rsidRPr="00445516" w:rsidRDefault="007B137C" w:rsidP="008329D1">
            <w:pPr>
              <w:pStyle w:val="Tabletext"/>
            </w:pPr>
            <w:r w:rsidRPr="00445516">
              <w:t>Nurse at local hospital</w:t>
            </w:r>
          </w:p>
          <w:p w:rsidR="007B137C" w:rsidRPr="00445516" w:rsidRDefault="007B137C" w:rsidP="008329D1">
            <w:pPr>
              <w:pStyle w:val="Tabletext"/>
            </w:pPr>
          </w:p>
        </w:tc>
        <w:tc>
          <w:tcPr>
            <w:tcW w:w="2694" w:type="dxa"/>
            <w:tcBorders>
              <w:top w:val="nil"/>
              <w:left w:val="nil"/>
              <w:bottom w:val="single" w:sz="4" w:space="0" w:color="auto"/>
              <w:right w:val="nil"/>
            </w:tcBorders>
          </w:tcPr>
          <w:p w:rsidR="007B137C" w:rsidRPr="00445516" w:rsidRDefault="007B137C" w:rsidP="008329D1">
            <w:pPr>
              <w:pStyle w:val="Tabletext"/>
            </w:pPr>
            <w:r w:rsidRPr="00445516">
              <w:t xml:space="preserve">Electrician but works for the </w:t>
            </w:r>
            <w:r>
              <w:t>Uni</w:t>
            </w:r>
            <w:r w:rsidRPr="00445516">
              <w:t xml:space="preserve">on </w:t>
            </w:r>
          </w:p>
        </w:tc>
      </w:tr>
      <w:tr w:rsidR="007B137C" w:rsidRPr="00445516">
        <w:tc>
          <w:tcPr>
            <w:tcW w:w="1229" w:type="dxa"/>
            <w:tcBorders>
              <w:left w:val="nil"/>
              <w:bottom w:val="single" w:sz="4" w:space="0" w:color="auto"/>
              <w:right w:val="nil"/>
            </w:tcBorders>
          </w:tcPr>
          <w:p w:rsidR="007B137C" w:rsidRPr="00445516" w:rsidRDefault="007B137C" w:rsidP="008329D1">
            <w:pPr>
              <w:pStyle w:val="Tabletext"/>
            </w:pPr>
            <w:r>
              <w:t>Westvale</w:t>
            </w:r>
          </w:p>
        </w:tc>
        <w:tc>
          <w:tcPr>
            <w:tcW w:w="1323" w:type="dxa"/>
            <w:tcBorders>
              <w:left w:val="nil"/>
              <w:bottom w:val="single" w:sz="4" w:space="0" w:color="auto"/>
              <w:right w:val="nil"/>
            </w:tcBorders>
            <w:shd w:val="clear" w:color="auto" w:fill="auto"/>
          </w:tcPr>
          <w:p w:rsidR="007B137C" w:rsidRPr="00445516" w:rsidRDefault="007B137C" w:rsidP="008329D1">
            <w:pPr>
              <w:pStyle w:val="Tabletext"/>
            </w:pPr>
            <w:r w:rsidRPr="00445516">
              <w:t>Drew</w:t>
            </w:r>
          </w:p>
        </w:tc>
        <w:tc>
          <w:tcPr>
            <w:tcW w:w="1701" w:type="dxa"/>
            <w:tcBorders>
              <w:left w:val="nil"/>
              <w:bottom w:val="single" w:sz="4" w:space="0" w:color="auto"/>
              <w:right w:val="nil"/>
            </w:tcBorders>
          </w:tcPr>
          <w:p w:rsidR="007B137C" w:rsidRPr="00445516" w:rsidRDefault="007B137C" w:rsidP="008329D1">
            <w:pPr>
              <w:pStyle w:val="Tabletext"/>
            </w:pPr>
            <w:r w:rsidRPr="00445516">
              <w:t>Primary school teacher</w:t>
            </w:r>
          </w:p>
        </w:tc>
        <w:tc>
          <w:tcPr>
            <w:tcW w:w="1984" w:type="dxa"/>
            <w:tcBorders>
              <w:left w:val="nil"/>
              <w:bottom w:val="single" w:sz="4" w:space="0" w:color="auto"/>
              <w:right w:val="nil"/>
            </w:tcBorders>
          </w:tcPr>
          <w:p w:rsidR="007B137C" w:rsidRPr="00445516" w:rsidRDefault="002F50A3" w:rsidP="008329D1">
            <w:pPr>
              <w:pStyle w:val="Tabletext"/>
            </w:pPr>
            <w:r>
              <w:t>Cleaner local hospital; emigrated from Scotland</w:t>
            </w:r>
          </w:p>
        </w:tc>
        <w:tc>
          <w:tcPr>
            <w:tcW w:w="2694" w:type="dxa"/>
            <w:tcBorders>
              <w:left w:val="nil"/>
              <w:bottom w:val="single" w:sz="4" w:space="0" w:color="auto"/>
              <w:right w:val="nil"/>
            </w:tcBorders>
          </w:tcPr>
          <w:p w:rsidR="007B137C" w:rsidRPr="00445516" w:rsidRDefault="002F50A3" w:rsidP="008329D1">
            <w:pPr>
              <w:pStyle w:val="Tabletext"/>
            </w:pPr>
            <w:r>
              <w:t>Maryvale Paper Mill;</w:t>
            </w:r>
            <w:r w:rsidR="007B137C" w:rsidRPr="00445516">
              <w:t xml:space="preserve"> Jack of all trades incl. </w:t>
            </w:r>
            <w:proofErr w:type="spellStart"/>
            <w:r w:rsidR="007B137C" w:rsidRPr="00445516">
              <w:t>boilermaking</w:t>
            </w:r>
            <w:proofErr w:type="spellEnd"/>
            <w:r w:rsidR="007B137C" w:rsidRPr="00445516">
              <w:t xml:space="preserve"> and building</w:t>
            </w:r>
          </w:p>
        </w:tc>
      </w:tr>
      <w:tr w:rsidR="007B137C" w:rsidRPr="00445516">
        <w:tc>
          <w:tcPr>
            <w:tcW w:w="1229" w:type="dxa"/>
            <w:vMerge w:val="restart"/>
            <w:tcBorders>
              <w:left w:val="nil"/>
              <w:bottom w:val="nil"/>
              <w:right w:val="nil"/>
            </w:tcBorders>
          </w:tcPr>
          <w:p w:rsidR="007B137C" w:rsidRPr="00445516" w:rsidRDefault="007B137C" w:rsidP="008329D1">
            <w:pPr>
              <w:pStyle w:val="Tabletext"/>
            </w:pPr>
            <w:r>
              <w:t>Northtown</w:t>
            </w:r>
          </w:p>
        </w:tc>
        <w:tc>
          <w:tcPr>
            <w:tcW w:w="1323" w:type="dxa"/>
            <w:tcBorders>
              <w:left w:val="nil"/>
              <w:bottom w:val="nil"/>
              <w:right w:val="nil"/>
            </w:tcBorders>
            <w:shd w:val="clear" w:color="auto" w:fill="auto"/>
          </w:tcPr>
          <w:p w:rsidR="007B137C" w:rsidRPr="00445516" w:rsidRDefault="007B137C" w:rsidP="008329D1">
            <w:pPr>
              <w:pStyle w:val="Tabletext"/>
            </w:pPr>
            <w:r w:rsidRPr="00445516">
              <w:t>Michael W</w:t>
            </w:r>
          </w:p>
        </w:tc>
        <w:tc>
          <w:tcPr>
            <w:tcW w:w="1701" w:type="dxa"/>
            <w:tcBorders>
              <w:left w:val="nil"/>
              <w:bottom w:val="nil"/>
              <w:right w:val="nil"/>
            </w:tcBorders>
          </w:tcPr>
          <w:p w:rsidR="007B137C" w:rsidRPr="00445516" w:rsidRDefault="007B137C" w:rsidP="008329D1">
            <w:pPr>
              <w:pStyle w:val="Tabletext"/>
            </w:pPr>
            <w:r w:rsidRPr="00445516">
              <w:t>PE teacher</w:t>
            </w:r>
          </w:p>
        </w:tc>
        <w:tc>
          <w:tcPr>
            <w:tcW w:w="1984" w:type="dxa"/>
            <w:tcBorders>
              <w:left w:val="nil"/>
              <w:bottom w:val="nil"/>
              <w:right w:val="nil"/>
            </w:tcBorders>
          </w:tcPr>
          <w:p w:rsidR="007B137C" w:rsidRPr="00445516" w:rsidRDefault="007B137C" w:rsidP="008329D1">
            <w:pPr>
              <w:pStyle w:val="Tabletext"/>
            </w:pPr>
            <w:r w:rsidRPr="00445516">
              <w:t>Gaming manager prior to raising fo</w:t>
            </w:r>
            <w:r w:rsidR="002F50A3">
              <w:t>ur boys</w:t>
            </w:r>
            <w:r w:rsidRPr="00445516">
              <w:t xml:space="preserve"> </w:t>
            </w:r>
          </w:p>
        </w:tc>
        <w:tc>
          <w:tcPr>
            <w:tcW w:w="2694" w:type="dxa"/>
            <w:tcBorders>
              <w:left w:val="nil"/>
              <w:bottom w:val="nil"/>
              <w:right w:val="nil"/>
            </w:tcBorders>
          </w:tcPr>
          <w:p w:rsidR="007B137C" w:rsidRPr="00445516" w:rsidRDefault="007B137C" w:rsidP="008329D1">
            <w:pPr>
              <w:pStyle w:val="Tabletext"/>
            </w:pPr>
            <w:r w:rsidRPr="00445516">
              <w:t>Roller shutter installer</w:t>
            </w:r>
          </w:p>
        </w:tc>
      </w:tr>
      <w:tr w:rsidR="007B137C" w:rsidRPr="00445516">
        <w:tc>
          <w:tcPr>
            <w:tcW w:w="1229" w:type="dxa"/>
            <w:vMerge/>
            <w:tcBorders>
              <w:top w:val="nil"/>
              <w:left w:val="nil"/>
              <w:bottom w:val="nil"/>
              <w:right w:val="nil"/>
            </w:tcBorders>
          </w:tcPr>
          <w:p w:rsidR="007B137C" w:rsidRPr="00445516" w:rsidRDefault="007B137C" w:rsidP="008329D1">
            <w:pPr>
              <w:pStyle w:val="Tabletext"/>
            </w:pPr>
          </w:p>
        </w:tc>
        <w:tc>
          <w:tcPr>
            <w:tcW w:w="1323" w:type="dxa"/>
            <w:tcBorders>
              <w:top w:val="nil"/>
              <w:left w:val="nil"/>
              <w:bottom w:val="nil"/>
              <w:right w:val="nil"/>
            </w:tcBorders>
            <w:shd w:val="clear" w:color="auto" w:fill="auto"/>
          </w:tcPr>
          <w:p w:rsidR="007B137C" w:rsidRPr="00445516" w:rsidRDefault="007B137C" w:rsidP="008329D1">
            <w:pPr>
              <w:pStyle w:val="Tabletext"/>
            </w:pPr>
            <w:r w:rsidRPr="00445516">
              <w:t>James M</w:t>
            </w:r>
          </w:p>
        </w:tc>
        <w:tc>
          <w:tcPr>
            <w:tcW w:w="1701" w:type="dxa"/>
            <w:tcBorders>
              <w:top w:val="nil"/>
              <w:left w:val="nil"/>
              <w:bottom w:val="nil"/>
              <w:right w:val="nil"/>
            </w:tcBorders>
          </w:tcPr>
          <w:p w:rsidR="007B137C" w:rsidRPr="00445516" w:rsidRDefault="007B137C" w:rsidP="008329D1">
            <w:pPr>
              <w:pStyle w:val="Tabletext"/>
            </w:pPr>
            <w:r w:rsidRPr="00445516">
              <w:t>Commerce/</w:t>
            </w:r>
          </w:p>
          <w:p w:rsidR="007B137C" w:rsidRPr="00445516" w:rsidRDefault="007B137C" w:rsidP="008329D1">
            <w:pPr>
              <w:pStyle w:val="Tabletext"/>
            </w:pPr>
            <w:r w:rsidRPr="00445516">
              <w:t xml:space="preserve">finance </w:t>
            </w:r>
          </w:p>
        </w:tc>
        <w:tc>
          <w:tcPr>
            <w:tcW w:w="1984" w:type="dxa"/>
            <w:tcBorders>
              <w:top w:val="nil"/>
              <w:left w:val="nil"/>
              <w:bottom w:val="nil"/>
              <w:right w:val="nil"/>
            </w:tcBorders>
          </w:tcPr>
          <w:p w:rsidR="007B137C" w:rsidRPr="00445516" w:rsidRDefault="007B137C" w:rsidP="008329D1">
            <w:pPr>
              <w:pStyle w:val="Tabletext"/>
            </w:pPr>
            <w:r w:rsidRPr="00445516">
              <w:t xml:space="preserve">Team leader of hospital orderlies </w:t>
            </w:r>
          </w:p>
        </w:tc>
        <w:tc>
          <w:tcPr>
            <w:tcW w:w="2694" w:type="dxa"/>
            <w:tcBorders>
              <w:top w:val="nil"/>
              <w:left w:val="nil"/>
              <w:bottom w:val="nil"/>
              <w:right w:val="nil"/>
            </w:tcBorders>
          </w:tcPr>
          <w:p w:rsidR="007B137C" w:rsidRPr="00445516" w:rsidRDefault="002F50A3" w:rsidP="008329D1">
            <w:pPr>
              <w:pStyle w:val="Tabletext"/>
            </w:pPr>
            <w:r>
              <w:t>Aged care carer (possibly has c</w:t>
            </w:r>
            <w:r w:rsidR="007B137C" w:rsidRPr="00445516">
              <w:t>ert</w:t>
            </w:r>
            <w:r>
              <w:t>.</w:t>
            </w:r>
            <w:r w:rsidR="007B137C" w:rsidRPr="00445516">
              <w:t xml:space="preserve"> quals)</w:t>
            </w:r>
          </w:p>
        </w:tc>
      </w:tr>
      <w:tr w:rsidR="007B137C" w:rsidRPr="00445516">
        <w:tc>
          <w:tcPr>
            <w:tcW w:w="1229" w:type="dxa"/>
            <w:vMerge/>
            <w:tcBorders>
              <w:top w:val="nil"/>
              <w:left w:val="nil"/>
              <w:bottom w:val="single" w:sz="4" w:space="0" w:color="auto"/>
              <w:right w:val="nil"/>
            </w:tcBorders>
          </w:tcPr>
          <w:p w:rsidR="007B137C" w:rsidRPr="00445516" w:rsidRDefault="007B137C" w:rsidP="008329D1">
            <w:pPr>
              <w:pStyle w:val="Tabletext"/>
            </w:pPr>
          </w:p>
        </w:tc>
        <w:tc>
          <w:tcPr>
            <w:tcW w:w="1323" w:type="dxa"/>
            <w:tcBorders>
              <w:top w:val="nil"/>
              <w:left w:val="nil"/>
              <w:bottom w:val="single" w:sz="4" w:space="0" w:color="auto"/>
              <w:right w:val="nil"/>
            </w:tcBorders>
            <w:shd w:val="clear" w:color="auto" w:fill="auto"/>
          </w:tcPr>
          <w:p w:rsidR="007B137C" w:rsidRPr="00445516" w:rsidRDefault="007B137C" w:rsidP="008329D1">
            <w:pPr>
              <w:pStyle w:val="Tabletext"/>
            </w:pPr>
            <w:r w:rsidRPr="00445516">
              <w:t>Jimmy</w:t>
            </w:r>
          </w:p>
        </w:tc>
        <w:tc>
          <w:tcPr>
            <w:tcW w:w="1701" w:type="dxa"/>
            <w:tcBorders>
              <w:top w:val="nil"/>
              <w:left w:val="nil"/>
              <w:bottom w:val="single" w:sz="4" w:space="0" w:color="auto"/>
              <w:right w:val="nil"/>
            </w:tcBorders>
          </w:tcPr>
          <w:p w:rsidR="007B137C" w:rsidRPr="00445516" w:rsidRDefault="007B137C" w:rsidP="008329D1">
            <w:pPr>
              <w:pStyle w:val="Tabletext"/>
            </w:pPr>
            <w:r w:rsidRPr="00445516">
              <w:t>Civil engineering</w:t>
            </w:r>
          </w:p>
        </w:tc>
        <w:tc>
          <w:tcPr>
            <w:tcW w:w="1984" w:type="dxa"/>
            <w:tcBorders>
              <w:top w:val="nil"/>
              <w:left w:val="nil"/>
              <w:bottom w:val="single" w:sz="4" w:space="0" w:color="auto"/>
              <w:right w:val="nil"/>
            </w:tcBorders>
          </w:tcPr>
          <w:p w:rsidR="007B137C" w:rsidRPr="00445516" w:rsidRDefault="007B137C" w:rsidP="008329D1">
            <w:pPr>
              <w:pStyle w:val="Tabletext"/>
            </w:pPr>
            <w:r w:rsidRPr="00445516">
              <w:t xml:space="preserve">Emigrated from England maybe for Telstra ‘on the phones’ </w:t>
            </w:r>
          </w:p>
        </w:tc>
        <w:tc>
          <w:tcPr>
            <w:tcW w:w="2694" w:type="dxa"/>
            <w:tcBorders>
              <w:top w:val="nil"/>
              <w:left w:val="nil"/>
              <w:bottom w:val="single" w:sz="4" w:space="0" w:color="auto"/>
              <w:right w:val="nil"/>
            </w:tcBorders>
          </w:tcPr>
          <w:p w:rsidR="007B137C" w:rsidRPr="00445516" w:rsidRDefault="007B137C" w:rsidP="008329D1">
            <w:pPr>
              <w:pStyle w:val="Tabletext"/>
            </w:pPr>
            <w:r w:rsidRPr="00445516">
              <w:t>Linesman for SA Power but now is ‘more of a teacher there’</w:t>
            </w:r>
          </w:p>
        </w:tc>
      </w:tr>
      <w:tr w:rsidR="007B137C" w:rsidRPr="00445516">
        <w:tc>
          <w:tcPr>
            <w:tcW w:w="1229" w:type="dxa"/>
            <w:tcBorders>
              <w:left w:val="nil"/>
              <w:right w:val="nil"/>
            </w:tcBorders>
          </w:tcPr>
          <w:p w:rsidR="007B137C" w:rsidRPr="00445516" w:rsidRDefault="007B137C" w:rsidP="008329D1">
            <w:pPr>
              <w:pStyle w:val="Tabletext"/>
            </w:pPr>
            <w:r>
              <w:t>Southland</w:t>
            </w:r>
          </w:p>
        </w:tc>
        <w:tc>
          <w:tcPr>
            <w:tcW w:w="1323" w:type="dxa"/>
            <w:tcBorders>
              <w:left w:val="nil"/>
              <w:right w:val="nil"/>
            </w:tcBorders>
            <w:shd w:val="clear" w:color="auto" w:fill="auto"/>
          </w:tcPr>
          <w:p w:rsidR="007B137C" w:rsidRPr="00445516" w:rsidRDefault="007B137C" w:rsidP="008329D1">
            <w:pPr>
              <w:pStyle w:val="Tabletext"/>
            </w:pPr>
            <w:r w:rsidRPr="00445516">
              <w:t>James S</w:t>
            </w:r>
          </w:p>
        </w:tc>
        <w:tc>
          <w:tcPr>
            <w:tcW w:w="1701" w:type="dxa"/>
            <w:tcBorders>
              <w:left w:val="nil"/>
              <w:right w:val="nil"/>
            </w:tcBorders>
          </w:tcPr>
          <w:p w:rsidR="007B137C" w:rsidRPr="00445516" w:rsidRDefault="007B137C" w:rsidP="008329D1">
            <w:pPr>
              <w:pStyle w:val="Tabletext"/>
            </w:pPr>
            <w:r w:rsidRPr="00445516">
              <w:t>Pastry chef</w:t>
            </w:r>
          </w:p>
        </w:tc>
        <w:tc>
          <w:tcPr>
            <w:tcW w:w="1984" w:type="dxa"/>
            <w:tcBorders>
              <w:left w:val="nil"/>
              <w:right w:val="nil"/>
            </w:tcBorders>
          </w:tcPr>
          <w:p w:rsidR="007B137C" w:rsidRPr="00445516" w:rsidRDefault="007B137C" w:rsidP="008329D1">
            <w:pPr>
              <w:pStyle w:val="Tabletext"/>
            </w:pPr>
            <w:r w:rsidRPr="00445516">
              <w:t xml:space="preserve">Youth Centre Manager </w:t>
            </w:r>
          </w:p>
          <w:p w:rsidR="007B137C" w:rsidRPr="00445516" w:rsidRDefault="007B137C" w:rsidP="008329D1">
            <w:pPr>
              <w:pStyle w:val="Tabletext"/>
            </w:pPr>
          </w:p>
        </w:tc>
        <w:tc>
          <w:tcPr>
            <w:tcW w:w="2694" w:type="dxa"/>
            <w:tcBorders>
              <w:left w:val="nil"/>
              <w:right w:val="nil"/>
            </w:tcBorders>
          </w:tcPr>
          <w:p w:rsidR="007B137C" w:rsidRPr="00445516" w:rsidRDefault="007B137C" w:rsidP="008329D1">
            <w:pPr>
              <w:pStyle w:val="Tabletext"/>
            </w:pPr>
            <w:r w:rsidRPr="00445516">
              <w:t>Thinks his biological father wor</w:t>
            </w:r>
            <w:r w:rsidR="002F50A3">
              <w:t>ks in</w:t>
            </w:r>
            <w:r w:rsidR="00553DB5">
              <w:t xml:space="preserve"> admin at a c</w:t>
            </w:r>
            <w:r w:rsidR="002F50A3">
              <w:t>ouncil in Qld;</w:t>
            </w:r>
          </w:p>
          <w:p w:rsidR="007B137C" w:rsidRPr="00445516" w:rsidRDefault="002F50A3" w:rsidP="008329D1">
            <w:pPr>
              <w:pStyle w:val="Tabletext"/>
            </w:pPr>
            <w:r>
              <w:t>s</w:t>
            </w:r>
            <w:r w:rsidR="007B137C" w:rsidRPr="00445516">
              <w:t>tepfather: ‘wine hand’</w:t>
            </w:r>
          </w:p>
        </w:tc>
      </w:tr>
    </w:tbl>
    <w:p w:rsidR="007B137C" w:rsidRDefault="007B137C" w:rsidP="007B137C">
      <w:pPr>
        <w:spacing w:before="0" w:line="240" w:lineRule="auto"/>
        <w:rPr>
          <w:rFonts w:ascii="Tahoma" w:hAnsi="Tahoma"/>
          <w:b/>
          <w:sz w:val="17"/>
        </w:rPr>
      </w:pPr>
    </w:p>
    <w:p w:rsidR="002A5370" w:rsidRDefault="002A5370" w:rsidP="005B328D">
      <w:pPr>
        <w:pStyle w:val="tabletitle"/>
      </w:pPr>
      <w:bookmarkStart w:id="147" w:name="_Toc254034423"/>
      <w:bookmarkStart w:id="148" w:name="_Toc258143233"/>
      <w:bookmarkStart w:id="149" w:name="_Toc409079320"/>
    </w:p>
    <w:p w:rsidR="005B328D" w:rsidRPr="00445516" w:rsidRDefault="005B328D" w:rsidP="005B328D">
      <w:pPr>
        <w:pStyle w:val="tabletitle"/>
      </w:pPr>
      <w:r w:rsidRPr="00445516">
        <w:lastRenderedPageBreak/>
        <w:t xml:space="preserve">Table </w:t>
      </w:r>
      <w:r w:rsidR="00541888">
        <w:t>A8</w:t>
      </w:r>
      <w:r w:rsidRPr="00445516">
        <w:t xml:space="preserve"> </w:t>
      </w:r>
      <w:bookmarkEnd w:id="147"/>
      <w:r w:rsidR="00104F40">
        <w:tab/>
      </w:r>
      <w:r>
        <w:t>Women’s parents’ careers and qualifications</w:t>
      </w:r>
      <w:bookmarkEnd w:id="148"/>
      <w:bookmarkEnd w:id="14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825"/>
        <w:gridCol w:w="1640"/>
        <w:gridCol w:w="2453"/>
        <w:gridCol w:w="2862"/>
      </w:tblGrid>
      <w:tr w:rsidR="005B328D" w:rsidRPr="00445516">
        <w:tc>
          <w:tcPr>
            <w:tcW w:w="1115" w:type="dxa"/>
            <w:tcBorders>
              <w:left w:val="nil"/>
              <w:bottom w:val="single" w:sz="4" w:space="0" w:color="auto"/>
              <w:right w:val="nil"/>
            </w:tcBorders>
          </w:tcPr>
          <w:p w:rsidR="005B328D" w:rsidRPr="00445516" w:rsidRDefault="005B328D" w:rsidP="008329D1">
            <w:pPr>
              <w:pStyle w:val="Tablehead1"/>
            </w:pPr>
            <w:r w:rsidRPr="00445516">
              <w:t>Site</w:t>
            </w:r>
          </w:p>
        </w:tc>
        <w:tc>
          <w:tcPr>
            <w:tcW w:w="0" w:type="auto"/>
            <w:tcBorders>
              <w:left w:val="nil"/>
              <w:bottom w:val="single" w:sz="4" w:space="0" w:color="auto"/>
              <w:right w:val="nil"/>
            </w:tcBorders>
            <w:shd w:val="clear" w:color="auto" w:fill="auto"/>
          </w:tcPr>
          <w:p w:rsidR="005B328D" w:rsidRPr="00445516" w:rsidRDefault="005B328D" w:rsidP="00FF33C0">
            <w:pPr>
              <w:pStyle w:val="Tablehead1"/>
            </w:pPr>
            <w:r w:rsidRPr="00445516">
              <w:t>Case</w:t>
            </w:r>
            <w:r w:rsidR="00FF33C0">
              <w:br/>
              <w:t>S</w:t>
            </w:r>
            <w:r w:rsidRPr="00445516">
              <w:t>tudy</w:t>
            </w:r>
          </w:p>
        </w:tc>
        <w:tc>
          <w:tcPr>
            <w:tcW w:w="0" w:type="auto"/>
            <w:tcBorders>
              <w:left w:val="nil"/>
              <w:bottom w:val="single" w:sz="4" w:space="0" w:color="auto"/>
              <w:right w:val="nil"/>
            </w:tcBorders>
          </w:tcPr>
          <w:p w:rsidR="005B328D" w:rsidRPr="00445516" w:rsidRDefault="005B328D" w:rsidP="00FF33C0">
            <w:pPr>
              <w:pStyle w:val="Tablehead1"/>
            </w:pPr>
            <w:r w:rsidRPr="00445516">
              <w:t>Career/</w:t>
            </w:r>
            <w:r w:rsidR="00FF33C0">
              <w:br/>
            </w:r>
            <w:r w:rsidRPr="00445516">
              <w:t>aspiration</w:t>
            </w:r>
          </w:p>
        </w:tc>
        <w:tc>
          <w:tcPr>
            <w:tcW w:w="0" w:type="auto"/>
            <w:tcBorders>
              <w:left w:val="nil"/>
              <w:bottom w:val="single" w:sz="4" w:space="0" w:color="auto"/>
              <w:right w:val="nil"/>
            </w:tcBorders>
          </w:tcPr>
          <w:p w:rsidR="005B328D" w:rsidRPr="00445516" w:rsidRDefault="005B328D" w:rsidP="008329D1">
            <w:pPr>
              <w:pStyle w:val="Tablehead1"/>
            </w:pPr>
            <w:r w:rsidRPr="00445516">
              <w:t>Mother(s)</w:t>
            </w:r>
          </w:p>
        </w:tc>
        <w:tc>
          <w:tcPr>
            <w:tcW w:w="0" w:type="auto"/>
            <w:tcBorders>
              <w:left w:val="nil"/>
              <w:bottom w:val="single" w:sz="4" w:space="0" w:color="auto"/>
              <w:right w:val="nil"/>
            </w:tcBorders>
          </w:tcPr>
          <w:p w:rsidR="005B328D" w:rsidRPr="00445516" w:rsidRDefault="005B328D" w:rsidP="008329D1">
            <w:pPr>
              <w:pStyle w:val="Tablehead1"/>
            </w:pPr>
            <w:r w:rsidRPr="00445516">
              <w:t>Father(s)</w:t>
            </w:r>
          </w:p>
        </w:tc>
      </w:tr>
      <w:tr w:rsidR="005B328D" w:rsidRPr="00445516">
        <w:tc>
          <w:tcPr>
            <w:tcW w:w="1115" w:type="dxa"/>
            <w:vMerge w:val="restart"/>
            <w:tcBorders>
              <w:left w:val="nil"/>
              <w:bottom w:val="nil"/>
              <w:right w:val="nil"/>
            </w:tcBorders>
          </w:tcPr>
          <w:p w:rsidR="005B328D" w:rsidRPr="00445516" w:rsidRDefault="005B328D" w:rsidP="008329D1">
            <w:pPr>
              <w:pStyle w:val="Tabletext"/>
            </w:pPr>
            <w:r>
              <w:t>Eastshire</w:t>
            </w:r>
          </w:p>
        </w:tc>
        <w:tc>
          <w:tcPr>
            <w:tcW w:w="0" w:type="auto"/>
            <w:tcBorders>
              <w:left w:val="nil"/>
              <w:bottom w:val="nil"/>
              <w:right w:val="nil"/>
            </w:tcBorders>
            <w:shd w:val="clear" w:color="auto" w:fill="auto"/>
          </w:tcPr>
          <w:p w:rsidR="005B328D" w:rsidRPr="00445516" w:rsidRDefault="005B328D" w:rsidP="008329D1">
            <w:pPr>
              <w:pStyle w:val="Tabletext"/>
            </w:pPr>
            <w:r w:rsidRPr="00445516">
              <w:t>Jo</w:t>
            </w:r>
          </w:p>
        </w:tc>
        <w:tc>
          <w:tcPr>
            <w:tcW w:w="0" w:type="auto"/>
            <w:tcBorders>
              <w:left w:val="nil"/>
              <w:bottom w:val="nil"/>
              <w:right w:val="nil"/>
            </w:tcBorders>
          </w:tcPr>
          <w:p w:rsidR="005B328D" w:rsidRPr="00445516" w:rsidRDefault="005B328D" w:rsidP="008329D1">
            <w:pPr>
              <w:pStyle w:val="Tabletext"/>
            </w:pPr>
            <w:r w:rsidRPr="00445516">
              <w:t>Visual arts</w:t>
            </w:r>
          </w:p>
        </w:tc>
        <w:tc>
          <w:tcPr>
            <w:tcW w:w="0" w:type="auto"/>
            <w:tcBorders>
              <w:left w:val="nil"/>
              <w:bottom w:val="nil"/>
              <w:right w:val="nil"/>
            </w:tcBorders>
          </w:tcPr>
          <w:p w:rsidR="005B328D" w:rsidRPr="00445516" w:rsidRDefault="002F50A3" w:rsidP="008329D1">
            <w:pPr>
              <w:pStyle w:val="Tabletext"/>
            </w:pPr>
            <w:r>
              <w:t>Mother: a</w:t>
            </w:r>
            <w:r w:rsidR="005B328D" w:rsidRPr="00445516">
              <w:t>rtist and teacher’s aide</w:t>
            </w:r>
          </w:p>
          <w:p w:rsidR="005B328D" w:rsidRPr="00445516" w:rsidRDefault="005B328D" w:rsidP="008329D1">
            <w:pPr>
              <w:pStyle w:val="Tabletext"/>
            </w:pPr>
            <w:r w:rsidRPr="00445516">
              <w:t>Nurse (long time ago)</w:t>
            </w:r>
          </w:p>
          <w:p w:rsidR="005B328D" w:rsidRPr="00445516" w:rsidRDefault="002F50A3" w:rsidP="008329D1">
            <w:pPr>
              <w:pStyle w:val="Tabletext"/>
            </w:pPr>
            <w:r>
              <w:t>Step</w:t>
            </w:r>
            <w:r w:rsidR="005B328D" w:rsidRPr="00445516">
              <w:t>mother: masseuse and teacher’s aide</w:t>
            </w:r>
          </w:p>
        </w:tc>
        <w:tc>
          <w:tcPr>
            <w:tcW w:w="0" w:type="auto"/>
            <w:tcBorders>
              <w:left w:val="nil"/>
              <w:bottom w:val="nil"/>
              <w:right w:val="nil"/>
            </w:tcBorders>
          </w:tcPr>
          <w:p w:rsidR="005B328D" w:rsidRPr="00445516" w:rsidRDefault="005B328D" w:rsidP="008329D1">
            <w:pPr>
              <w:pStyle w:val="Tabletext"/>
            </w:pPr>
            <w:r>
              <w:t>Lawn mowing and m</w:t>
            </w:r>
            <w:r w:rsidRPr="00445516">
              <w:t xml:space="preserve">echanic </w:t>
            </w:r>
          </w:p>
          <w:p w:rsidR="005B328D" w:rsidRPr="00445516" w:rsidRDefault="005B328D" w:rsidP="008329D1">
            <w:pPr>
              <w:pStyle w:val="Tabletext"/>
            </w:pPr>
            <w:r w:rsidRPr="00445516">
              <w:t xml:space="preserve">Trained as a teacher in </w:t>
            </w:r>
            <w:r w:rsidR="007744F1">
              <w:t>19</w:t>
            </w:r>
            <w:r w:rsidRPr="00445516">
              <w:t xml:space="preserve">30s or </w:t>
            </w:r>
            <w:r w:rsidR="007744F1">
              <w:t>19</w:t>
            </w:r>
            <w:r w:rsidRPr="00445516">
              <w:t>40s and taught at</w:t>
            </w:r>
            <w:r>
              <w:t xml:space="preserve"> </w:t>
            </w:r>
            <w:r w:rsidR="002F50A3">
              <w:t>Orbost HS in the ‘big shed’; m</w:t>
            </w:r>
            <w:r w:rsidRPr="00445516">
              <w:t xml:space="preserve">ines in WA </w:t>
            </w:r>
          </w:p>
        </w:tc>
      </w:tr>
      <w:tr w:rsidR="005B328D" w:rsidRPr="00445516">
        <w:tc>
          <w:tcPr>
            <w:tcW w:w="1115" w:type="dxa"/>
            <w:vMerge/>
            <w:tcBorders>
              <w:top w:val="nil"/>
              <w:left w:val="nil"/>
              <w:bottom w:val="nil"/>
              <w:right w:val="nil"/>
            </w:tcBorders>
          </w:tcPr>
          <w:p w:rsidR="005B328D" w:rsidRPr="00445516" w:rsidRDefault="005B328D" w:rsidP="008329D1">
            <w:pPr>
              <w:pStyle w:val="Tabletext"/>
            </w:pPr>
          </w:p>
        </w:tc>
        <w:tc>
          <w:tcPr>
            <w:tcW w:w="0" w:type="auto"/>
            <w:tcBorders>
              <w:top w:val="nil"/>
              <w:left w:val="nil"/>
              <w:bottom w:val="nil"/>
              <w:right w:val="nil"/>
            </w:tcBorders>
            <w:shd w:val="clear" w:color="auto" w:fill="auto"/>
          </w:tcPr>
          <w:p w:rsidR="005B328D" w:rsidRPr="00445516" w:rsidRDefault="005B328D" w:rsidP="008329D1">
            <w:pPr>
              <w:pStyle w:val="Tabletext"/>
            </w:pPr>
            <w:r w:rsidRPr="00445516">
              <w:t>Ashlee</w:t>
            </w:r>
          </w:p>
        </w:tc>
        <w:tc>
          <w:tcPr>
            <w:tcW w:w="0" w:type="auto"/>
            <w:tcBorders>
              <w:top w:val="nil"/>
              <w:left w:val="nil"/>
              <w:bottom w:val="nil"/>
              <w:right w:val="nil"/>
            </w:tcBorders>
          </w:tcPr>
          <w:p w:rsidR="005B328D" w:rsidRPr="00445516" w:rsidRDefault="002F50A3" w:rsidP="008329D1">
            <w:pPr>
              <w:pStyle w:val="Tabletext"/>
            </w:pPr>
            <w:r>
              <w:t>PE t</w:t>
            </w:r>
            <w:r w:rsidR="005B328D" w:rsidRPr="00445516">
              <w:t>eacher</w:t>
            </w:r>
          </w:p>
        </w:tc>
        <w:tc>
          <w:tcPr>
            <w:tcW w:w="0" w:type="auto"/>
            <w:tcBorders>
              <w:top w:val="nil"/>
              <w:left w:val="nil"/>
              <w:bottom w:val="nil"/>
              <w:right w:val="nil"/>
            </w:tcBorders>
          </w:tcPr>
          <w:p w:rsidR="005B328D" w:rsidRPr="00445516" w:rsidRDefault="005B328D" w:rsidP="008329D1">
            <w:pPr>
              <w:pStyle w:val="Tabletext"/>
            </w:pPr>
            <w:r w:rsidRPr="00445516">
              <w:t>Pharmacist</w:t>
            </w:r>
          </w:p>
          <w:p w:rsidR="005B328D" w:rsidRPr="00445516" w:rsidRDefault="005B328D" w:rsidP="008329D1">
            <w:pPr>
              <w:pStyle w:val="Tabletext"/>
            </w:pPr>
          </w:p>
        </w:tc>
        <w:tc>
          <w:tcPr>
            <w:tcW w:w="0" w:type="auto"/>
            <w:tcBorders>
              <w:top w:val="nil"/>
              <w:left w:val="nil"/>
              <w:bottom w:val="nil"/>
              <w:right w:val="nil"/>
            </w:tcBorders>
          </w:tcPr>
          <w:p w:rsidR="005B328D" w:rsidRPr="00445516" w:rsidRDefault="002F50A3" w:rsidP="008329D1">
            <w:pPr>
              <w:pStyle w:val="Tabletext"/>
            </w:pPr>
            <w:r>
              <w:t>Logging industry with Vic. Forests</w:t>
            </w:r>
            <w:r w:rsidR="005B328D" w:rsidRPr="00445516">
              <w:t xml:space="preserve"> </w:t>
            </w:r>
          </w:p>
        </w:tc>
      </w:tr>
      <w:tr w:rsidR="005B328D" w:rsidRPr="00445516">
        <w:tc>
          <w:tcPr>
            <w:tcW w:w="1115" w:type="dxa"/>
            <w:vMerge/>
            <w:tcBorders>
              <w:top w:val="nil"/>
              <w:left w:val="nil"/>
              <w:bottom w:val="nil"/>
              <w:right w:val="nil"/>
            </w:tcBorders>
          </w:tcPr>
          <w:p w:rsidR="005B328D" w:rsidRPr="00445516" w:rsidRDefault="005B328D" w:rsidP="008329D1">
            <w:pPr>
              <w:pStyle w:val="Tabletext"/>
            </w:pPr>
          </w:p>
        </w:tc>
        <w:tc>
          <w:tcPr>
            <w:tcW w:w="0" w:type="auto"/>
            <w:tcBorders>
              <w:top w:val="nil"/>
              <w:left w:val="nil"/>
              <w:bottom w:val="nil"/>
              <w:right w:val="nil"/>
            </w:tcBorders>
            <w:shd w:val="clear" w:color="auto" w:fill="auto"/>
          </w:tcPr>
          <w:p w:rsidR="005B328D" w:rsidRPr="00445516" w:rsidRDefault="005B328D" w:rsidP="008329D1">
            <w:pPr>
              <w:pStyle w:val="Tabletext"/>
            </w:pPr>
            <w:r w:rsidRPr="00445516">
              <w:t>Kate</w:t>
            </w:r>
          </w:p>
        </w:tc>
        <w:tc>
          <w:tcPr>
            <w:tcW w:w="0" w:type="auto"/>
            <w:tcBorders>
              <w:top w:val="nil"/>
              <w:left w:val="nil"/>
              <w:bottom w:val="nil"/>
              <w:right w:val="nil"/>
            </w:tcBorders>
          </w:tcPr>
          <w:p w:rsidR="005B328D" w:rsidRPr="00445516" w:rsidRDefault="005B328D" w:rsidP="008329D1">
            <w:pPr>
              <w:pStyle w:val="Tabletext"/>
            </w:pPr>
            <w:r w:rsidRPr="00445516">
              <w:t>Dance teacher</w:t>
            </w:r>
          </w:p>
        </w:tc>
        <w:tc>
          <w:tcPr>
            <w:tcW w:w="0" w:type="auto"/>
            <w:tcBorders>
              <w:top w:val="nil"/>
              <w:left w:val="nil"/>
              <w:bottom w:val="nil"/>
              <w:right w:val="nil"/>
            </w:tcBorders>
          </w:tcPr>
          <w:p w:rsidR="005B328D" w:rsidRPr="00445516" w:rsidRDefault="005B328D" w:rsidP="008329D1">
            <w:pPr>
              <w:pStyle w:val="Tabletext"/>
            </w:pPr>
            <w:r w:rsidRPr="00445516">
              <w:t xml:space="preserve">Canteen manager </w:t>
            </w:r>
            <w:r w:rsidR="002F50A3" w:rsidRPr="00445516">
              <w:t>secondary college</w:t>
            </w:r>
          </w:p>
          <w:p w:rsidR="005B328D" w:rsidRPr="00445516" w:rsidRDefault="005B328D" w:rsidP="008329D1">
            <w:pPr>
              <w:pStyle w:val="Tabletext"/>
            </w:pPr>
            <w:r w:rsidRPr="00445516">
              <w:t>Cleaning and retail</w:t>
            </w:r>
          </w:p>
        </w:tc>
        <w:tc>
          <w:tcPr>
            <w:tcW w:w="0" w:type="auto"/>
            <w:tcBorders>
              <w:top w:val="nil"/>
              <w:left w:val="nil"/>
              <w:bottom w:val="nil"/>
              <w:right w:val="nil"/>
            </w:tcBorders>
          </w:tcPr>
          <w:p w:rsidR="005B328D" w:rsidRPr="00445516" w:rsidRDefault="002F50A3" w:rsidP="008329D1">
            <w:pPr>
              <w:pStyle w:val="Tabletext"/>
            </w:pPr>
            <w:r>
              <w:t>Father: p</w:t>
            </w:r>
            <w:r w:rsidR="005B328D" w:rsidRPr="00445516">
              <w:t>lumber and</w:t>
            </w:r>
            <w:r w:rsidR="00D13A1E">
              <w:t xml:space="preserve"> </w:t>
            </w:r>
            <w:r>
              <w:t>‘jack of all trades’</w:t>
            </w:r>
          </w:p>
          <w:p w:rsidR="005B328D" w:rsidRPr="00445516" w:rsidRDefault="005B328D" w:rsidP="008329D1">
            <w:pPr>
              <w:pStyle w:val="Tabletext"/>
            </w:pPr>
            <w:r w:rsidRPr="00445516">
              <w:t>Stepfather: motorbike mechanic</w:t>
            </w:r>
          </w:p>
        </w:tc>
      </w:tr>
      <w:tr w:rsidR="005B328D" w:rsidRPr="00445516">
        <w:tc>
          <w:tcPr>
            <w:tcW w:w="1115" w:type="dxa"/>
            <w:vMerge/>
            <w:tcBorders>
              <w:top w:val="nil"/>
              <w:left w:val="nil"/>
              <w:bottom w:val="single" w:sz="4" w:space="0" w:color="auto"/>
              <w:right w:val="nil"/>
            </w:tcBorders>
          </w:tcPr>
          <w:p w:rsidR="005B328D" w:rsidRPr="00445516" w:rsidRDefault="005B328D" w:rsidP="008329D1">
            <w:pPr>
              <w:pStyle w:val="Tabletext"/>
            </w:pPr>
          </w:p>
        </w:tc>
        <w:tc>
          <w:tcPr>
            <w:tcW w:w="0" w:type="auto"/>
            <w:tcBorders>
              <w:top w:val="nil"/>
              <w:left w:val="nil"/>
              <w:bottom w:val="single" w:sz="4" w:space="0" w:color="auto"/>
              <w:right w:val="nil"/>
            </w:tcBorders>
            <w:shd w:val="clear" w:color="auto" w:fill="auto"/>
          </w:tcPr>
          <w:p w:rsidR="005B328D" w:rsidRPr="00445516" w:rsidRDefault="005B328D" w:rsidP="008329D1">
            <w:pPr>
              <w:pStyle w:val="Tabletext"/>
            </w:pPr>
            <w:r w:rsidRPr="00445516">
              <w:t>Missy</w:t>
            </w:r>
          </w:p>
        </w:tc>
        <w:tc>
          <w:tcPr>
            <w:tcW w:w="0" w:type="auto"/>
            <w:tcBorders>
              <w:top w:val="nil"/>
              <w:left w:val="nil"/>
              <w:bottom w:val="single" w:sz="4" w:space="0" w:color="auto"/>
              <w:right w:val="nil"/>
            </w:tcBorders>
          </w:tcPr>
          <w:p w:rsidR="005B328D" w:rsidRPr="00445516" w:rsidRDefault="005B328D" w:rsidP="008329D1">
            <w:pPr>
              <w:pStyle w:val="Tabletext"/>
            </w:pPr>
            <w:r w:rsidRPr="00445516">
              <w:t>Fitness instructor/trainer</w:t>
            </w:r>
          </w:p>
        </w:tc>
        <w:tc>
          <w:tcPr>
            <w:tcW w:w="0" w:type="auto"/>
            <w:tcBorders>
              <w:top w:val="nil"/>
              <w:left w:val="nil"/>
              <w:bottom w:val="single" w:sz="4" w:space="0" w:color="auto"/>
              <w:right w:val="nil"/>
            </w:tcBorders>
          </w:tcPr>
          <w:p w:rsidR="005B328D" w:rsidRPr="00445516" w:rsidRDefault="005B328D" w:rsidP="008329D1">
            <w:pPr>
              <w:pStyle w:val="Tabletext"/>
            </w:pPr>
            <w:r w:rsidRPr="00445516">
              <w:t>Swimming instructor</w:t>
            </w:r>
          </w:p>
          <w:p w:rsidR="005B328D" w:rsidRPr="00445516" w:rsidRDefault="005B328D" w:rsidP="008329D1">
            <w:pPr>
              <w:pStyle w:val="Tabletext"/>
            </w:pPr>
            <w:r w:rsidRPr="00445516">
              <w:t xml:space="preserve">Diploma in children’s services, Manager </w:t>
            </w:r>
            <w:r w:rsidR="002F50A3" w:rsidRPr="00445516">
              <w:t xml:space="preserve">recreation centre </w:t>
            </w:r>
          </w:p>
        </w:tc>
        <w:tc>
          <w:tcPr>
            <w:tcW w:w="0" w:type="auto"/>
            <w:tcBorders>
              <w:top w:val="nil"/>
              <w:left w:val="nil"/>
              <w:bottom w:val="single" w:sz="4" w:space="0" w:color="auto"/>
              <w:right w:val="nil"/>
            </w:tcBorders>
          </w:tcPr>
          <w:p w:rsidR="005B328D" w:rsidRPr="00445516" w:rsidRDefault="005B328D" w:rsidP="008329D1">
            <w:pPr>
              <w:pStyle w:val="Tabletext"/>
            </w:pPr>
            <w:r w:rsidRPr="00445516">
              <w:t xml:space="preserve">Doesn’t have much to do with her father </w:t>
            </w:r>
          </w:p>
          <w:p w:rsidR="005B328D" w:rsidRPr="00445516" w:rsidRDefault="005B328D" w:rsidP="008329D1">
            <w:pPr>
              <w:pStyle w:val="Tabletext"/>
            </w:pPr>
            <w:r w:rsidRPr="00445516">
              <w:t>Truck owner-driver</w:t>
            </w:r>
          </w:p>
        </w:tc>
      </w:tr>
      <w:tr w:rsidR="005B328D" w:rsidRPr="00445516">
        <w:tc>
          <w:tcPr>
            <w:tcW w:w="1115" w:type="dxa"/>
            <w:tcBorders>
              <w:left w:val="nil"/>
              <w:right w:val="nil"/>
            </w:tcBorders>
          </w:tcPr>
          <w:p w:rsidR="005B328D" w:rsidRPr="00445516" w:rsidRDefault="005B328D" w:rsidP="008329D1">
            <w:pPr>
              <w:pStyle w:val="Tabletext"/>
            </w:pPr>
            <w:r>
              <w:t>Westvale</w:t>
            </w:r>
          </w:p>
        </w:tc>
        <w:tc>
          <w:tcPr>
            <w:tcW w:w="0" w:type="auto"/>
            <w:tcBorders>
              <w:left w:val="nil"/>
              <w:right w:val="nil"/>
            </w:tcBorders>
            <w:shd w:val="clear" w:color="auto" w:fill="auto"/>
          </w:tcPr>
          <w:p w:rsidR="005B328D" w:rsidRPr="00445516" w:rsidRDefault="005B328D" w:rsidP="008329D1">
            <w:pPr>
              <w:pStyle w:val="Tabletext"/>
            </w:pPr>
            <w:r w:rsidRPr="00445516">
              <w:t>Simone</w:t>
            </w:r>
          </w:p>
        </w:tc>
        <w:tc>
          <w:tcPr>
            <w:tcW w:w="0" w:type="auto"/>
            <w:tcBorders>
              <w:left w:val="nil"/>
              <w:right w:val="nil"/>
            </w:tcBorders>
          </w:tcPr>
          <w:p w:rsidR="005B328D" w:rsidRPr="00445516" w:rsidRDefault="005B328D" w:rsidP="008329D1">
            <w:pPr>
              <w:pStyle w:val="Tabletext"/>
            </w:pPr>
            <w:r>
              <w:t xml:space="preserve">Uni </w:t>
            </w:r>
            <w:r w:rsidRPr="00445516">
              <w:t>PE teacher</w:t>
            </w:r>
          </w:p>
        </w:tc>
        <w:tc>
          <w:tcPr>
            <w:tcW w:w="0" w:type="auto"/>
            <w:tcBorders>
              <w:left w:val="nil"/>
              <w:right w:val="nil"/>
            </w:tcBorders>
          </w:tcPr>
          <w:p w:rsidR="005B328D" w:rsidRPr="00445516" w:rsidRDefault="007744F1" w:rsidP="008329D1">
            <w:pPr>
              <w:pStyle w:val="Tabletext"/>
            </w:pPr>
            <w:r>
              <w:t xml:space="preserve">Left school in </w:t>
            </w:r>
            <w:proofErr w:type="spellStart"/>
            <w:r>
              <w:t>Y</w:t>
            </w:r>
            <w:r w:rsidR="005B328D" w:rsidRPr="00445516">
              <w:t>r</w:t>
            </w:r>
            <w:proofErr w:type="spellEnd"/>
            <w:r w:rsidR="005B328D" w:rsidRPr="00445516">
              <w:t xml:space="preserve"> 10 worked at a </w:t>
            </w:r>
            <w:r w:rsidR="002F50A3" w:rsidRPr="00445516">
              <w:t xml:space="preserve">power station </w:t>
            </w:r>
            <w:r w:rsidR="002F50A3">
              <w:t>and RSL for years; c</w:t>
            </w:r>
            <w:r>
              <w:t>urrently in a bank</w:t>
            </w:r>
          </w:p>
        </w:tc>
        <w:tc>
          <w:tcPr>
            <w:tcW w:w="0" w:type="auto"/>
            <w:tcBorders>
              <w:left w:val="nil"/>
              <w:right w:val="nil"/>
            </w:tcBorders>
          </w:tcPr>
          <w:p w:rsidR="005B328D" w:rsidRPr="00445516" w:rsidRDefault="005B328D" w:rsidP="008329D1">
            <w:pPr>
              <w:pStyle w:val="Tabletext"/>
            </w:pPr>
            <w:r w:rsidRPr="00445516">
              <w:t>Head electrician at Australian Paper Mill</w:t>
            </w:r>
            <w:r w:rsidR="007744F1">
              <w:t>; been there for about 20 years</w:t>
            </w:r>
          </w:p>
        </w:tc>
      </w:tr>
      <w:tr w:rsidR="005B328D" w:rsidRPr="00445516">
        <w:tc>
          <w:tcPr>
            <w:tcW w:w="1115" w:type="dxa"/>
            <w:tcBorders>
              <w:left w:val="nil"/>
              <w:bottom w:val="single" w:sz="4" w:space="0" w:color="auto"/>
              <w:right w:val="nil"/>
            </w:tcBorders>
          </w:tcPr>
          <w:p w:rsidR="005B328D" w:rsidRPr="00445516" w:rsidRDefault="005B328D" w:rsidP="008329D1">
            <w:pPr>
              <w:pStyle w:val="Tabletext"/>
            </w:pPr>
            <w:r>
              <w:t>Northtown</w:t>
            </w:r>
          </w:p>
        </w:tc>
        <w:tc>
          <w:tcPr>
            <w:tcW w:w="0" w:type="auto"/>
            <w:tcBorders>
              <w:left w:val="nil"/>
              <w:bottom w:val="single" w:sz="4" w:space="0" w:color="auto"/>
              <w:right w:val="nil"/>
            </w:tcBorders>
            <w:shd w:val="clear" w:color="auto" w:fill="auto"/>
          </w:tcPr>
          <w:p w:rsidR="005B328D" w:rsidRPr="00445516" w:rsidRDefault="005B328D" w:rsidP="008329D1">
            <w:pPr>
              <w:pStyle w:val="Tabletext"/>
            </w:pPr>
            <w:r w:rsidRPr="00445516">
              <w:t>Theresa</w:t>
            </w:r>
          </w:p>
        </w:tc>
        <w:tc>
          <w:tcPr>
            <w:tcW w:w="0" w:type="auto"/>
            <w:tcBorders>
              <w:left w:val="nil"/>
              <w:bottom w:val="single" w:sz="4" w:space="0" w:color="auto"/>
              <w:right w:val="nil"/>
            </w:tcBorders>
          </w:tcPr>
          <w:p w:rsidR="005B328D" w:rsidRPr="00445516" w:rsidRDefault="005B328D" w:rsidP="008329D1">
            <w:pPr>
              <w:pStyle w:val="Tabletext"/>
            </w:pPr>
            <w:r w:rsidRPr="00445516">
              <w:t>Make</w:t>
            </w:r>
            <w:r w:rsidR="002F50A3">
              <w:t>-</w:t>
            </w:r>
            <w:r w:rsidRPr="00445516">
              <w:t>up artist</w:t>
            </w:r>
          </w:p>
        </w:tc>
        <w:tc>
          <w:tcPr>
            <w:tcW w:w="0" w:type="auto"/>
            <w:tcBorders>
              <w:left w:val="nil"/>
              <w:bottom w:val="single" w:sz="4" w:space="0" w:color="auto"/>
              <w:right w:val="nil"/>
            </w:tcBorders>
          </w:tcPr>
          <w:p w:rsidR="005B328D" w:rsidRPr="00445516" w:rsidRDefault="002F50A3" w:rsidP="008329D1">
            <w:pPr>
              <w:pStyle w:val="Tabletext"/>
            </w:pPr>
            <w:r>
              <w:t>Mother: n</w:t>
            </w:r>
            <w:r w:rsidR="005B328D" w:rsidRPr="00445516">
              <w:t>ut factory</w:t>
            </w:r>
          </w:p>
          <w:p w:rsidR="005B328D" w:rsidRPr="00445516" w:rsidRDefault="005B328D" w:rsidP="008329D1">
            <w:pPr>
              <w:pStyle w:val="Tabletext"/>
            </w:pPr>
            <w:r w:rsidRPr="00445516">
              <w:t>School canteen</w:t>
            </w:r>
          </w:p>
          <w:p w:rsidR="005B328D" w:rsidRPr="00445516" w:rsidRDefault="005B328D" w:rsidP="008329D1">
            <w:pPr>
              <w:pStyle w:val="Tabletext"/>
            </w:pPr>
          </w:p>
        </w:tc>
        <w:tc>
          <w:tcPr>
            <w:tcW w:w="0" w:type="auto"/>
            <w:tcBorders>
              <w:left w:val="nil"/>
              <w:bottom w:val="single" w:sz="4" w:space="0" w:color="auto"/>
              <w:right w:val="nil"/>
            </w:tcBorders>
          </w:tcPr>
          <w:p w:rsidR="005B328D" w:rsidRPr="00445516" w:rsidRDefault="005B328D" w:rsidP="008329D1">
            <w:pPr>
              <w:pStyle w:val="Tabletext"/>
            </w:pPr>
            <w:r w:rsidRPr="00445516">
              <w:t xml:space="preserve">She thinks he might have done engineering and or computing at </w:t>
            </w:r>
            <w:proofErr w:type="spellStart"/>
            <w:r w:rsidR="007744F1">
              <w:t>u</w:t>
            </w:r>
            <w:r>
              <w:t>ni</w:t>
            </w:r>
            <w:proofErr w:type="spellEnd"/>
            <w:r>
              <w:t xml:space="preserve"> </w:t>
            </w:r>
            <w:r w:rsidRPr="00445516">
              <w:t>but is now a truck driver</w:t>
            </w:r>
          </w:p>
        </w:tc>
      </w:tr>
      <w:tr w:rsidR="005B328D" w:rsidRPr="00445516">
        <w:tc>
          <w:tcPr>
            <w:tcW w:w="1115" w:type="dxa"/>
            <w:vMerge w:val="restart"/>
            <w:tcBorders>
              <w:left w:val="nil"/>
              <w:bottom w:val="single" w:sz="4" w:space="0" w:color="auto"/>
              <w:right w:val="nil"/>
            </w:tcBorders>
          </w:tcPr>
          <w:p w:rsidR="005B328D" w:rsidRPr="00445516" w:rsidRDefault="005B328D" w:rsidP="008329D1">
            <w:pPr>
              <w:pStyle w:val="Tabletext"/>
            </w:pPr>
            <w:r>
              <w:t>Southland</w:t>
            </w:r>
          </w:p>
        </w:tc>
        <w:tc>
          <w:tcPr>
            <w:tcW w:w="0" w:type="auto"/>
            <w:tcBorders>
              <w:left w:val="nil"/>
              <w:bottom w:val="single" w:sz="4" w:space="0" w:color="auto"/>
              <w:right w:val="nil"/>
            </w:tcBorders>
            <w:shd w:val="clear" w:color="auto" w:fill="auto"/>
          </w:tcPr>
          <w:p w:rsidR="005B328D" w:rsidRPr="00445516" w:rsidRDefault="005B328D" w:rsidP="008329D1">
            <w:pPr>
              <w:pStyle w:val="Tabletext"/>
            </w:pPr>
            <w:r w:rsidRPr="00445516">
              <w:t>Emily</w:t>
            </w:r>
          </w:p>
        </w:tc>
        <w:tc>
          <w:tcPr>
            <w:tcW w:w="0" w:type="auto"/>
            <w:tcBorders>
              <w:left w:val="nil"/>
              <w:bottom w:val="single" w:sz="4" w:space="0" w:color="auto"/>
              <w:right w:val="nil"/>
            </w:tcBorders>
          </w:tcPr>
          <w:p w:rsidR="005B328D" w:rsidRPr="00445516" w:rsidRDefault="005B328D" w:rsidP="008329D1">
            <w:pPr>
              <w:pStyle w:val="Tabletext"/>
            </w:pPr>
            <w:r w:rsidRPr="00445516">
              <w:t>Bookkeeping admin</w:t>
            </w:r>
          </w:p>
        </w:tc>
        <w:tc>
          <w:tcPr>
            <w:tcW w:w="0" w:type="auto"/>
            <w:tcBorders>
              <w:left w:val="nil"/>
              <w:bottom w:val="single" w:sz="4" w:space="0" w:color="auto"/>
              <w:right w:val="nil"/>
            </w:tcBorders>
          </w:tcPr>
          <w:p w:rsidR="005B328D" w:rsidRPr="00445516" w:rsidRDefault="002F50A3" w:rsidP="008329D1">
            <w:pPr>
              <w:pStyle w:val="Tabletext"/>
            </w:pPr>
            <w:r>
              <w:t>Hasn’t seen her for eight years; p</w:t>
            </w:r>
            <w:r w:rsidR="005B328D" w:rsidRPr="00445516">
              <w:t xml:space="preserve">ossibly </w:t>
            </w:r>
            <w:r>
              <w:t>works in a disability care home</w:t>
            </w:r>
          </w:p>
        </w:tc>
        <w:tc>
          <w:tcPr>
            <w:tcW w:w="0" w:type="auto"/>
            <w:tcBorders>
              <w:left w:val="nil"/>
              <w:bottom w:val="single" w:sz="4" w:space="0" w:color="auto"/>
              <w:right w:val="nil"/>
            </w:tcBorders>
          </w:tcPr>
          <w:p w:rsidR="005B328D" w:rsidRPr="00445516" w:rsidRDefault="005B328D" w:rsidP="008329D1">
            <w:pPr>
              <w:pStyle w:val="Tabletext"/>
            </w:pPr>
            <w:r w:rsidRPr="00445516">
              <w:t>Father who raised her was a butcher but then worked as sal</w:t>
            </w:r>
            <w:r w:rsidR="002F50A3">
              <w:t>es rep for a drug company;</w:t>
            </w:r>
            <w:r w:rsidRPr="00445516">
              <w:t xml:space="preserve"> now h</w:t>
            </w:r>
            <w:r w:rsidR="002F50A3">
              <w:t>igh up and keeps winning awards</w:t>
            </w:r>
          </w:p>
        </w:tc>
      </w:tr>
      <w:tr w:rsidR="005B328D" w:rsidRPr="00445516">
        <w:tc>
          <w:tcPr>
            <w:tcW w:w="1115" w:type="dxa"/>
            <w:vMerge/>
            <w:tcBorders>
              <w:top w:val="single" w:sz="4" w:space="0" w:color="auto"/>
              <w:left w:val="nil"/>
              <w:bottom w:val="single" w:sz="4" w:space="0" w:color="auto"/>
              <w:right w:val="nil"/>
            </w:tcBorders>
          </w:tcPr>
          <w:p w:rsidR="005B328D" w:rsidRPr="00445516" w:rsidRDefault="005B328D" w:rsidP="008329D1">
            <w:pPr>
              <w:pStyle w:val="Tabletext"/>
            </w:pPr>
          </w:p>
        </w:tc>
        <w:tc>
          <w:tcPr>
            <w:tcW w:w="0" w:type="auto"/>
            <w:tcBorders>
              <w:top w:val="single" w:sz="4" w:space="0" w:color="auto"/>
              <w:left w:val="nil"/>
              <w:bottom w:val="single" w:sz="4" w:space="0" w:color="auto"/>
              <w:right w:val="nil"/>
            </w:tcBorders>
            <w:shd w:val="clear" w:color="auto" w:fill="auto"/>
          </w:tcPr>
          <w:p w:rsidR="005B328D" w:rsidRPr="00445516" w:rsidRDefault="005B328D" w:rsidP="008329D1">
            <w:pPr>
              <w:pStyle w:val="Tabletext"/>
            </w:pPr>
            <w:r w:rsidRPr="00445516">
              <w:t>Jessica B</w:t>
            </w:r>
          </w:p>
        </w:tc>
        <w:tc>
          <w:tcPr>
            <w:tcW w:w="0" w:type="auto"/>
            <w:tcBorders>
              <w:top w:val="single" w:sz="4" w:space="0" w:color="auto"/>
              <w:left w:val="nil"/>
              <w:bottom w:val="single" w:sz="4" w:space="0" w:color="auto"/>
              <w:right w:val="nil"/>
            </w:tcBorders>
          </w:tcPr>
          <w:p w:rsidR="005B328D" w:rsidRPr="00445516" w:rsidRDefault="005B328D" w:rsidP="008329D1">
            <w:pPr>
              <w:pStyle w:val="Tabletext"/>
            </w:pPr>
            <w:r w:rsidRPr="00445516">
              <w:t>Bachelor of Social Work</w:t>
            </w:r>
          </w:p>
        </w:tc>
        <w:tc>
          <w:tcPr>
            <w:tcW w:w="0" w:type="auto"/>
            <w:tcBorders>
              <w:top w:val="single" w:sz="4" w:space="0" w:color="auto"/>
              <w:left w:val="nil"/>
              <w:bottom w:val="single" w:sz="4" w:space="0" w:color="auto"/>
              <w:right w:val="nil"/>
            </w:tcBorders>
          </w:tcPr>
          <w:p w:rsidR="005B328D" w:rsidRPr="00445516" w:rsidRDefault="005B328D" w:rsidP="008329D1">
            <w:pPr>
              <w:pStyle w:val="Tabletext"/>
            </w:pPr>
            <w:r w:rsidRPr="00445516">
              <w:t xml:space="preserve">Hospitality trained in the equivalent of </w:t>
            </w:r>
            <w:r>
              <w:t>TAFE</w:t>
            </w:r>
            <w:r w:rsidRPr="00445516">
              <w:t xml:space="preserve"> in the Philippines which was</w:t>
            </w:r>
            <w:r>
              <w:t xml:space="preserve"> considered</w:t>
            </w:r>
            <w:r w:rsidRPr="00445516">
              <w:t xml:space="preserve"> like </w:t>
            </w:r>
            <w:r w:rsidR="002F50A3">
              <w:t>u</w:t>
            </w:r>
            <w:r>
              <w:t>niversity</w:t>
            </w:r>
            <w:r w:rsidR="002F50A3">
              <w:t>;</w:t>
            </w:r>
          </w:p>
          <w:p w:rsidR="005B328D" w:rsidRPr="00445516" w:rsidRDefault="002F50A3" w:rsidP="008329D1">
            <w:pPr>
              <w:pStyle w:val="Tabletext"/>
            </w:pPr>
            <w:r>
              <w:t>v</w:t>
            </w:r>
            <w:r w:rsidR="005B328D" w:rsidRPr="00445516">
              <w:t>arious jobs in Aust</w:t>
            </w:r>
            <w:r w:rsidR="007744F1">
              <w:t>ralia</w:t>
            </w:r>
          </w:p>
        </w:tc>
        <w:tc>
          <w:tcPr>
            <w:tcW w:w="0" w:type="auto"/>
            <w:tcBorders>
              <w:top w:val="single" w:sz="4" w:space="0" w:color="auto"/>
              <w:left w:val="nil"/>
              <w:bottom w:val="single" w:sz="4" w:space="0" w:color="auto"/>
              <w:right w:val="nil"/>
            </w:tcBorders>
          </w:tcPr>
          <w:p w:rsidR="005B328D" w:rsidRPr="00445516" w:rsidRDefault="007744F1" w:rsidP="008329D1">
            <w:pPr>
              <w:pStyle w:val="Tabletext"/>
            </w:pPr>
            <w:r>
              <w:t>Retired prison officer</w:t>
            </w:r>
          </w:p>
          <w:p w:rsidR="005B328D" w:rsidRPr="00445516" w:rsidRDefault="005B328D" w:rsidP="008329D1">
            <w:pPr>
              <w:pStyle w:val="Tabletext"/>
            </w:pPr>
            <w:r w:rsidRPr="00445516">
              <w:t>Previously Army</w:t>
            </w:r>
          </w:p>
        </w:tc>
      </w:tr>
      <w:tr w:rsidR="005B328D" w:rsidRPr="00445516">
        <w:tc>
          <w:tcPr>
            <w:tcW w:w="1115" w:type="dxa"/>
            <w:vMerge/>
            <w:tcBorders>
              <w:left w:val="nil"/>
              <w:right w:val="nil"/>
            </w:tcBorders>
          </w:tcPr>
          <w:p w:rsidR="005B328D" w:rsidRPr="00445516" w:rsidRDefault="005B328D" w:rsidP="008329D1">
            <w:pPr>
              <w:pStyle w:val="Tabletext"/>
            </w:pPr>
          </w:p>
        </w:tc>
        <w:tc>
          <w:tcPr>
            <w:tcW w:w="0" w:type="auto"/>
            <w:tcBorders>
              <w:left w:val="nil"/>
              <w:right w:val="nil"/>
            </w:tcBorders>
            <w:shd w:val="clear" w:color="auto" w:fill="auto"/>
          </w:tcPr>
          <w:p w:rsidR="005B328D" w:rsidRPr="00445516" w:rsidRDefault="005B328D" w:rsidP="008329D1">
            <w:pPr>
              <w:pStyle w:val="Tabletext"/>
            </w:pPr>
            <w:r w:rsidRPr="00445516">
              <w:t>Jade</w:t>
            </w:r>
          </w:p>
        </w:tc>
        <w:tc>
          <w:tcPr>
            <w:tcW w:w="0" w:type="auto"/>
            <w:tcBorders>
              <w:left w:val="nil"/>
              <w:right w:val="nil"/>
            </w:tcBorders>
          </w:tcPr>
          <w:p w:rsidR="005B328D" w:rsidRPr="00445516" w:rsidRDefault="005B328D" w:rsidP="008329D1">
            <w:pPr>
              <w:pStyle w:val="Tabletext"/>
            </w:pPr>
            <w:r w:rsidRPr="00445516">
              <w:t>Fashion</w:t>
            </w:r>
          </w:p>
          <w:p w:rsidR="005B328D" w:rsidRPr="00445516" w:rsidRDefault="005B328D" w:rsidP="008329D1">
            <w:pPr>
              <w:pStyle w:val="Tabletext"/>
            </w:pPr>
            <w:r w:rsidRPr="00445516">
              <w:t>(archaeology, outdoor recreation)</w:t>
            </w:r>
          </w:p>
        </w:tc>
        <w:tc>
          <w:tcPr>
            <w:tcW w:w="0" w:type="auto"/>
            <w:tcBorders>
              <w:left w:val="nil"/>
              <w:right w:val="nil"/>
            </w:tcBorders>
          </w:tcPr>
          <w:p w:rsidR="005B328D" w:rsidRPr="00445516" w:rsidRDefault="002F50A3" w:rsidP="008329D1">
            <w:pPr>
              <w:pStyle w:val="Tabletext"/>
            </w:pPr>
            <w:r>
              <w:t>Mother in WA:</w:t>
            </w:r>
            <w:r w:rsidR="005B328D" w:rsidRPr="00445516">
              <w:t xml:space="preserve"> artist </w:t>
            </w:r>
          </w:p>
          <w:p w:rsidR="005B328D" w:rsidRPr="00445516" w:rsidRDefault="005B328D" w:rsidP="008329D1">
            <w:pPr>
              <w:pStyle w:val="Tabletext"/>
            </w:pPr>
            <w:r w:rsidRPr="00445516">
              <w:t>Stepmothe</w:t>
            </w:r>
            <w:r w:rsidR="002F50A3">
              <w:t>r: r</w:t>
            </w:r>
            <w:r w:rsidRPr="00445516">
              <w:t xml:space="preserve">etail fruit and veg store and aged </w:t>
            </w:r>
            <w:r w:rsidR="007744F1">
              <w:t>care possibly with certificates</w:t>
            </w:r>
          </w:p>
        </w:tc>
        <w:tc>
          <w:tcPr>
            <w:tcW w:w="0" w:type="auto"/>
            <w:tcBorders>
              <w:left w:val="nil"/>
              <w:right w:val="nil"/>
            </w:tcBorders>
          </w:tcPr>
          <w:p w:rsidR="005B328D" w:rsidRPr="00445516" w:rsidRDefault="002F50A3" w:rsidP="008329D1">
            <w:pPr>
              <w:pStyle w:val="Tabletext"/>
            </w:pPr>
            <w:r>
              <w:t>Disability a</w:t>
            </w:r>
            <w:r w:rsidR="005B328D" w:rsidRPr="00445516">
              <w:t xml:space="preserve">llowance </w:t>
            </w:r>
          </w:p>
          <w:p w:rsidR="005B328D" w:rsidRPr="00445516" w:rsidRDefault="005B328D" w:rsidP="008329D1">
            <w:pPr>
              <w:pStyle w:val="Tabletext"/>
            </w:pPr>
            <w:r>
              <w:t>L</w:t>
            </w:r>
            <w:r w:rsidRPr="00445516">
              <w:t>eft school at 13. Grape picking</w:t>
            </w:r>
            <w:r>
              <w:t>;</w:t>
            </w:r>
            <w:r w:rsidRPr="00445516">
              <w:t xml:space="preserve"> producing rap music</w:t>
            </w:r>
          </w:p>
        </w:tc>
      </w:tr>
    </w:tbl>
    <w:p w:rsidR="005B328D" w:rsidRDefault="005B328D" w:rsidP="00104F40">
      <w:pPr>
        <w:pStyle w:val="Tabletext"/>
      </w:pPr>
    </w:p>
    <w:p w:rsidR="00A83FF1" w:rsidRPr="00D97DC6" w:rsidRDefault="00541888" w:rsidP="00B96C19">
      <w:pPr>
        <w:pStyle w:val="tabletitle"/>
      </w:pPr>
      <w:bookmarkStart w:id="150" w:name="_Toc409079321"/>
      <w:r>
        <w:t>Table A9</w:t>
      </w:r>
      <w:r w:rsidR="00D97DC6" w:rsidRPr="00D97DC6">
        <w:t xml:space="preserve"> </w:t>
      </w:r>
      <w:r w:rsidR="00104F40">
        <w:tab/>
      </w:r>
      <w:r w:rsidR="00D97DC6" w:rsidRPr="00D97DC6">
        <w:t>Stakeholders and organisations in South Australia and Victoria</w:t>
      </w:r>
      <w:bookmarkEnd w:id="150"/>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2251"/>
        <w:gridCol w:w="2251"/>
        <w:gridCol w:w="2251"/>
        <w:gridCol w:w="2251"/>
      </w:tblGrid>
      <w:tr w:rsidR="00A83FF1" w:rsidTr="00FF33C0">
        <w:tc>
          <w:tcPr>
            <w:tcW w:w="2251" w:type="dxa"/>
            <w:tcBorders>
              <w:top w:val="single" w:sz="4" w:space="0" w:color="auto"/>
              <w:bottom w:val="single" w:sz="4" w:space="0" w:color="auto"/>
            </w:tcBorders>
          </w:tcPr>
          <w:p w:rsidR="00A83FF1" w:rsidRDefault="00A83FF1" w:rsidP="00FF33C0">
            <w:pPr>
              <w:pStyle w:val="Tablehead1"/>
            </w:pPr>
            <w:r>
              <w:t>Stakeholder</w:t>
            </w:r>
          </w:p>
        </w:tc>
        <w:tc>
          <w:tcPr>
            <w:tcW w:w="2251" w:type="dxa"/>
            <w:tcBorders>
              <w:top w:val="single" w:sz="4" w:space="0" w:color="auto"/>
              <w:bottom w:val="single" w:sz="4" w:space="0" w:color="auto"/>
            </w:tcBorders>
          </w:tcPr>
          <w:p w:rsidR="00A83FF1" w:rsidRDefault="00A83FF1" w:rsidP="00FF33C0">
            <w:pPr>
              <w:pStyle w:val="Tablehead1"/>
              <w:jc w:val="center"/>
            </w:pPr>
            <w:r>
              <w:t>South Australia</w:t>
            </w:r>
          </w:p>
        </w:tc>
        <w:tc>
          <w:tcPr>
            <w:tcW w:w="2251" w:type="dxa"/>
            <w:tcBorders>
              <w:top w:val="single" w:sz="4" w:space="0" w:color="auto"/>
              <w:bottom w:val="single" w:sz="4" w:space="0" w:color="auto"/>
            </w:tcBorders>
          </w:tcPr>
          <w:p w:rsidR="00A83FF1" w:rsidRDefault="00A83FF1" w:rsidP="00FF33C0">
            <w:pPr>
              <w:pStyle w:val="Tablehead1"/>
              <w:jc w:val="center"/>
            </w:pPr>
            <w:r>
              <w:t>Victoria</w:t>
            </w:r>
          </w:p>
        </w:tc>
        <w:tc>
          <w:tcPr>
            <w:tcW w:w="2251" w:type="dxa"/>
            <w:tcBorders>
              <w:top w:val="single" w:sz="4" w:space="0" w:color="auto"/>
              <w:bottom w:val="single" w:sz="4" w:space="0" w:color="auto"/>
            </w:tcBorders>
          </w:tcPr>
          <w:p w:rsidR="00A83FF1" w:rsidRDefault="00A83FF1" w:rsidP="00FF33C0">
            <w:pPr>
              <w:pStyle w:val="Tablehead1"/>
              <w:jc w:val="center"/>
            </w:pPr>
            <w:r>
              <w:t>Total</w:t>
            </w:r>
          </w:p>
        </w:tc>
      </w:tr>
      <w:tr w:rsidR="00A83FF1" w:rsidTr="00FF33C0">
        <w:tc>
          <w:tcPr>
            <w:tcW w:w="2251" w:type="dxa"/>
            <w:tcBorders>
              <w:top w:val="single" w:sz="4" w:space="0" w:color="auto"/>
            </w:tcBorders>
          </w:tcPr>
          <w:p w:rsidR="00A83FF1" w:rsidRDefault="00A83FF1" w:rsidP="00FF33C0">
            <w:pPr>
              <w:pStyle w:val="Tabletext"/>
            </w:pPr>
            <w:r>
              <w:t>Schools</w:t>
            </w:r>
          </w:p>
        </w:tc>
        <w:tc>
          <w:tcPr>
            <w:tcW w:w="2251" w:type="dxa"/>
            <w:tcBorders>
              <w:top w:val="single" w:sz="4" w:space="0" w:color="auto"/>
            </w:tcBorders>
          </w:tcPr>
          <w:p w:rsidR="00A83FF1" w:rsidRPr="00E86537" w:rsidRDefault="00A83FF1" w:rsidP="00FF33C0">
            <w:pPr>
              <w:pStyle w:val="Tabletext"/>
              <w:tabs>
                <w:tab w:val="decimal" w:pos="1004"/>
              </w:tabs>
            </w:pPr>
            <w:r w:rsidRPr="00E86537">
              <w:t>7</w:t>
            </w:r>
          </w:p>
        </w:tc>
        <w:tc>
          <w:tcPr>
            <w:tcW w:w="2251" w:type="dxa"/>
            <w:tcBorders>
              <w:top w:val="single" w:sz="4" w:space="0" w:color="auto"/>
            </w:tcBorders>
          </w:tcPr>
          <w:p w:rsidR="00A83FF1" w:rsidRPr="00E86537" w:rsidRDefault="00A83FF1" w:rsidP="00FF33C0">
            <w:pPr>
              <w:pStyle w:val="Tabletext"/>
              <w:tabs>
                <w:tab w:val="decimal" w:pos="1093"/>
              </w:tabs>
            </w:pPr>
            <w:r w:rsidRPr="00E86537">
              <w:t>5</w:t>
            </w:r>
          </w:p>
        </w:tc>
        <w:tc>
          <w:tcPr>
            <w:tcW w:w="2251" w:type="dxa"/>
            <w:tcBorders>
              <w:top w:val="single" w:sz="4" w:space="0" w:color="auto"/>
            </w:tcBorders>
          </w:tcPr>
          <w:p w:rsidR="00A83FF1" w:rsidRPr="00E86537" w:rsidRDefault="00A83FF1" w:rsidP="00FF33C0">
            <w:pPr>
              <w:pStyle w:val="Tabletext"/>
              <w:tabs>
                <w:tab w:val="decimal" w:pos="1077"/>
              </w:tabs>
            </w:pPr>
            <w:r w:rsidRPr="00E86537">
              <w:t>12</w:t>
            </w:r>
            <w:r w:rsidR="00B12E77">
              <w:t>*</w:t>
            </w:r>
          </w:p>
        </w:tc>
      </w:tr>
      <w:tr w:rsidR="00A83FF1" w:rsidTr="00FF33C0">
        <w:tc>
          <w:tcPr>
            <w:tcW w:w="2251" w:type="dxa"/>
          </w:tcPr>
          <w:p w:rsidR="00A83FF1" w:rsidRDefault="00A83FF1" w:rsidP="00FF33C0">
            <w:pPr>
              <w:pStyle w:val="Tabletext"/>
            </w:pPr>
            <w:r>
              <w:t>Tertiary providers</w:t>
            </w:r>
          </w:p>
        </w:tc>
        <w:tc>
          <w:tcPr>
            <w:tcW w:w="2251" w:type="dxa"/>
          </w:tcPr>
          <w:p w:rsidR="00A83FF1" w:rsidRPr="00E86537" w:rsidRDefault="00A83FF1" w:rsidP="00FF33C0">
            <w:pPr>
              <w:pStyle w:val="Tabletext"/>
              <w:tabs>
                <w:tab w:val="decimal" w:pos="1004"/>
              </w:tabs>
            </w:pPr>
            <w:r w:rsidRPr="00E86537">
              <w:t>3</w:t>
            </w:r>
          </w:p>
        </w:tc>
        <w:tc>
          <w:tcPr>
            <w:tcW w:w="2251" w:type="dxa"/>
          </w:tcPr>
          <w:p w:rsidR="00A83FF1" w:rsidRPr="00E86537" w:rsidRDefault="00A83FF1" w:rsidP="00FF33C0">
            <w:pPr>
              <w:pStyle w:val="Tabletext"/>
              <w:tabs>
                <w:tab w:val="decimal" w:pos="1093"/>
              </w:tabs>
            </w:pPr>
            <w:r w:rsidRPr="00E86537">
              <w:t>8</w:t>
            </w:r>
          </w:p>
        </w:tc>
        <w:tc>
          <w:tcPr>
            <w:tcW w:w="2251" w:type="dxa"/>
          </w:tcPr>
          <w:p w:rsidR="00A83FF1" w:rsidRPr="00E86537" w:rsidRDefault="00A83FF1" w:rsidP="00FF33C0">
            <w:pPr>
              <w:pStyle w:val="Tabletext"/>
              <w:tabs>
                <w:tab w:val="decimal" w:pos="1077"/>
              </w:tabs>
            </w:pPr>
            <w:r w:rsidRPr="00E86537">
              <w:t>11</w:t>
            </w:r>
          </w:p>
        </w:tc>
      </w:tr>
      <w:tr w:rsidR="00A83FF1" w:rsidTr="00FF33C0">
        <w:tc>
          <w:tcPr>
            <w:tcW w:w="2251" w:type="dxa"/>
          </w:tcPr>
          <w:p w:rsidR="00A83FF1" w:rsidRDefault="007744F1" w:rsidP="00FF33C0">
            <w:pPr>
              <w:pStyle w:val="Tabletext"/>
            </w:pPr>
            <w:r>
              <w:t>State departments/</w:t>
            </w:r>
            <w:r w:rsidR="00A83FF1">
              <w:t>local government</w:t>
            </w:r>
          </w:p>
        </w:tc>
        <w:tc>
          <w:tcPr>
            <w:tcW w:w="2251" w:type="dxa"/>
          </w:tcPr>
          <w:p w:rsidR="00A83FF1" w:rsidRPr="00E86537" w:rsidRDefault="00A83FF1" w:rsidP="00FF33C0">
            <w:pPr>
              <w:pStyle w:val="Tabletext"/>
              <w:tabs>
                <w:tab w:val="decimal" w:pos="1004"/>
              </w:tabs>
            </w:pPr>
            <w:r w:rsidRPr="00E86537">
              <w:t>5</w:t>
            </w:r>
          </w:p>
        </w:tc>
        <w:tc>
          <w:tcPr>
            <w:tcW w:w="2251" w:type="dxa"/>
          </w:tcPr>
          <w:p w:rsidR="00A83FF1" w:rsidRPr="00E86537" w:rsidRDefault="00A83FF1" w:rsidP="00FF33C0">
            <w:pPr>
              <w:pStyle w:val="Tabletext"/>
              <w:tabs>
                <w:tab w:val="decimal" w:pos="1093"/>
              </w:tabs>
            </w:pPr>
            <w:r w:rsidRPr="00E86537">
              <w:t>4</w:t>
            </w:r>
          </w:p>
        </w:tc>
        <w:tc>
          <w:tcPr>
            <w:tcW w:w="2251" w:type="dxa"/>
          </w:tcPr>
          <w:p w:rsidR="00A83FF1" w:rsidRPr="00E86537" w:rsidRDefault="00A83FF1" w:rsidP="00FF33C0">
            <w:pPr>
              <w:pStyle w:val="Tabletext"/>
              <w:tabs>
                <w:tab w:val="decimal" w:pos="1077"/>
              </w:tabs>
            </w:pPr>
            <w:r w:rsidRPr="00E86537">
              <w:t>9</w:t>
            </w:r>
          </w:p>
        </w:tc>
      </w:tr>
      <w:tr w:rsidR="00A83FF1" w:rsidTr="00FF33C0">
        <w:tc>
          <w:tcPr>
            <w:tcW w:w="2251" w:type="dxa"/>
            <w:tcBorders>
              <w:bottom w:val="single" w:sz="4" w:space="0" w:color="auto"/>
            </w:tcBorders>
          </w:tcPr>
          <w:p w:rsidR="00A83FF1" w:rsidRDefault="00A83FF1" w:rsidP="00FF33C0">
            <w:pPr>
              <w:pStyle w:val="Tabletext"/>
            </w:pPr>
            <w:r>
              <w:t>Employers/learning networks/community organisations</w:t>
            </w:r>
          </w:p>
        </w:tc>
        <w:tc>
          <w:tcPr>
            <w:tcW w:w="2251" w:type="dxa"/>
            <w:tcBorders>
              <w:bottom w:val="single" w:sz="4" w:space="0" w:color="auto"/>
            </w:tcBorders>
          </w:tcPr>
          <w:p w:rsidR="00A83FF1" w:rsidRPr="00E86537" w:rsidRDefault="00A83FF1" w:rsidP="00FF33C0">
            <w:pPr>
              <w:pStyle w:val="Tabletext"/>
              <w:tabs>
                <w:tab w:val="decimal" w:pos="1004"/>
              </w:tabs>
            </w:pPr>
            <w:r w:rsidRPr="00E86537">
              <w:t>20</w:t>
            </w:r>
          </w:p>
        </w:tc>
        <w:tc>
          <w:tcPr>
            <w:tcW w:w="2251" w:type="dxa"/>
            <w:tcBorders>
              <w:bottom w:val="single" w:sz="4" w:space="0" w:color="auto"/>
            </w:tcBorders>
          </w:tcPr>
          <w:p w:rsidR="00A83FF1" w:rsidRPr="00E86537" w:rsidRDefault="00A83FF1" w:rsidP="00FF33C0">
            <w:pPr>
              <w:pStyle w:val="Tabletext"/>
              <w:tabs>
                <w:tab w:val="decimal" w:pos="1093"/>
              </w:tabs>
            </w:pPr>
            <w:r w:rsidRPr="00E86537">
              <w:t>4</w:t>
            </w:r>
          </w:p>
        </w:tc>
        <w:tc>
          <w:tcPr>
            <w:tcW w:w="2251" w:type="dxa"/>
            <w:tcBorders>
              <w:bottom w:val="single" w:sz="4" w:space="0" w:color="auto"/>
            </w:tcBorders>
          </w:tcPr>
          <w:p w:rsidR="00A83FF1" w:rsidRPr="00E86537" w:rsidRDefault="00A83FF1" w:rsidP="00FF33C0">
            <w:pPr>
              <w:pStyle w:val="Tabletext"/>
              <w:tabs>
                <w:tab w:val="decimal" w:pos="1077"/>
              </w:tabs>
            </w:pPr>
            <w:r w:rsidRPr="00E86537">
              <w:t>24</w:t>
            </w:r>
          </w:p>
        </w:tc>
      </w:tr>
      <w:tr w:rsidR="00A83FF1" w:rsidRPr="00FF33C0" w:rsidTr="00FF33C0">
        <w:tc>
          <w:tcPr>
            <w:tcW w:w="2251" w:type="dxa"/>
            <w:tcBorders>
              <w:top w:val="single" w:sz="4" w:space="0" w:color="auto"/>
              <w:bottom w:val="single" w:sz="4" w:space="0" w:color="auto"/>
            </w:tcBorders>
          </w:tcPr>
          <w:p w:rsidR="00A83FF1" w:rsidRPr="00FF33C0" w:rsidRDefault="00FF33C0" w:rsidP="00FF33C0">
            <w:pPr>
              <w:pStyle w:val="Tabletext"/>
              <w:rPr>
                <w:b/>
              </w:rPr>
            </w:pPr>
            <w:r w:rsidRPr="00FF33C0">
              <w:rPr>
                <w:b/>
              </w:rPr>
              <w:t>Total</w:t>
            </w:r>
          </w:p>
        </w:tc>
        <w:tc>
          <w:tcPr>
            <w:tcW w:w="2251" w:type="dxa"/>
            <w:tcBorders>
              <w:top w:val="single" w:sz="4" w:space="0" w:color="auto"/>
              <w:bottom w:val="single" w:sz="4" w:space="0" w:color="auto"/>
            </w:tcBorders>
          </w:tcPr>
          <w:p w:rsidR="00A83FF1" w:rsidRPr="00FF33C0" w:rsidRDefault="00E86537" w:rsidP="00FF33C0">
            <w:pPr>
              <w:pStyle w:val="Tabletext"/>
              <w:tabs>
                <w:tab w:val="decimal" w:pos="1004"/>
              </w:tabs>
              <w:rPr>
                <w:b/>
              </w:rPr>
            </w:pPr>
            <w:r w:rsidRPr="00FF33C0">
              <w:rPr>
                <w:b/>
              </w:rPr>
              <w:t>35</w:t>
            </w:r>
          </w:p>
        </w:tc>
        <w:tc>
          <w:tcPr>
            <w:tcW w:w="2251" w:type="dxa"/>
            <w:tcBorders>
              <w:top w:val="single" w:sz="4" w:space="0" w:color="auto"/>
              <w:bottom w:val="single" w:sz="4" w:space="0" w:color="auto"/>
            </w:tcBorders>
          </w:tcPr>
          <w:p w:rsidR="00A83FF1" w:rsidRPr="00FF33C0" w:rsidRDefault="00E86537" w:rsidP="00FF33C0">
            <w:pPr>
              <w:pStyle w:val="Tabletext"/>
              <w:tabs>
                <w:tab w:val="decimal" w:pos="1093"/>
              </w:tabs>
              <w:rPr>
                <w:b/>
              </w:rPr>
            </w:pPr>
            <w:r w:rsidRPr="00FF33C0">
              <w:rPr>
                <w:b/>
              </w:rPr>
              <w:t>21</w:t>
            </w:r>
          </w:p>
        </w:tc>
        <w:tc>
          <w:tcPr>
            <w:tcW w:w="2251" w:type="dxa"/>
            <w:tcBorders>
              <w:top w:val="single" w:sz="4" w:space="0" w:color="auto"/>
              <w:bottom w:val="single" w:sz="4" w:space="0" w:color="auto"/>
            </w:tcBorders>
          </w:tcPr>
          <w:p w:rsidR="00A83FF1" w:rsidRPr="00FF33C0" w:rsidRDefault="00A83FF1" w:rsidP="00FF33C0">
            <w:pPr>
              <w:pStyle w:val="Tabletext"/>
              <w:tabs>
                <w:tab w:val="decimal" w:pos="1077"/>
              </w:tabs>
              <w:rPr>
                <w:b/>
              </w:rPr>
            </w:pPr>
            <w:r w:rsidRPr="00FF33C0">
              <w:rPr>
                <w:b/>
              </w:rPr>
              <w:t>56</w:t>
            </w:r>
          </w:p>
        </w:tc>
      </w:tr>
    </w:tbl>
    <w:p w:rsidR="00B12E77" w:rsidRPr="00B12E77" w:rsidRDefault="00B12E77" w:rsidP="00B12E77">
      <w:pPr>
        <w:pStyle w:val="Source"/>
      </w:pPr>
      <w:r w:rsidRPr="00445516">
        <w:t>*</w:t>
      </w:r>
      <w:r>
        <w:t>Note:</w:t>
      </w:r>
      <w:r w:rsidRPr="00445516">
        <w:t xml:space="preserve"> </w:t>
      </w:r>
      <w:r w:rsidR="009D3BED">
        <w:t>T</w:t>
      </w:r>
      <w:r>
        <w:t>hese 12 stakeholders included the principals and other key staff from three schools in Victoria and three in South Australia</w:t>
      </w:r>
      <w:r w:rsidRPr="00445516">
        <w:t>.</w:t>
      </w:r>
    </w:p>
    <w:p w:rsidR="007C0A0F" w:rsidRDefault="007C0A0F" w:rsidP="00FF33C0">
      <w:pPr>
        <w:pStyle w:val="tabletitle"/>
        <w:tabs>
          <w:tab w:val="left" w:pos="993"/>
        </w:tabs>
      </w:pPr>
      <w:bookmarkStart w:id="151" w:name="_Toc409079322"/>
      <w:r>
        <w:t xml:space="preserve">Table </w:t>
      </w:r>
      <w:r w:rsidR="00541888">
        <w:t>A10</w:t>
      </w:r>
      <w:r w:rsidR="00FF33C0">
        <w:tab/>
      </w:r>
      <w:r w:rsidR="00FF33C0">
        <w:tab/>
      </w:r>
      <w:r>
        <w:t>Young people’s education and geographical location at point of interview</w:t>
      </w:r>
      <w:bookmarkEnd w:id="151"/>
    </w:p>
    <w:tbl>
      <w:tblPr>
        <w:tblStyle w:val="TableGrid"/>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00"/>
        <w:gridCol w:w="1500"/>
        <w:gridCol w:w="1501"/>
        <w:gridCol w:w="1501"/>
        <w:gridCol w:w="1501"/>
        <w:gridCol w:w="1536"/>
      </w:tblGrid>
      <w:tr w:rsidR="002A5370" w:rsidTr="002A5370">
        <w:tc>
          <w:tcPr>
            <w:tcW w:w="4501" w:type="dxa"/>
            <w:gridSpan w:val="3"/>
            <w:tcBorders>
              <w:top w:val="single" w:sz="4" w:space="0" w:color="auto"/>
            </w:tcBorders>
          </w:tcPr>
          <w:p w:rsidR="002A5370" w:rsidRDefault="002A5370" w:rsidP="00FF33C0">
            <w:pPr>
              <w:pStyle w:val="Tablehead1"/>
              <w:jc w:val="center"/>
            </w:pPr>
            <w:r>
              <w:t>School student group</w:t>
            </w:r>
          </w:p>
        </w:tc>
        <w:tc>
          <w:tcPr>
            <w:tcW w:w="3002" w:type="dxa"/>
            <w:gridSpan w:val="2"/>
            <w:tcBorders>
              <w:top w:val="single" w:sz="4" w:space="0" w:color="auto"/>
            </w:tcBorders>
          </w:tcPr>
          <w:p w:rsidR="002A5370" w:rsidRDefault="002A5370" w:rsidP="00FF33C0">
            <w:pPr>
              <w:pStyle w:val="Tablehead1"/>
              <w:jc w:val="center"/>
            </w:pPr>
            <w:r>
              <w:t>Post-school group</w:t>
            </w:r>
          </w:p>
        </w:tc>
        <w:tc>
          <w:tcPr>
            <w:tcW w:w="1536" w:type="dxa"/>
            <w:tcBorders>
              <w:top w:val="single" w:sz="4" w:space="0" w:color="auto"/>
            </w:tcBorders>
          </w:tcPr>
          <w:p w:rsidR="002A5370" w:rsidRDefault="002A5370" w:rsidP="00FF33C0">
            <w:pPr>
              <w:pStyle w:val="Tablehead1"/>
              <w:jc w:val="center"/>
            </w:pPr>
            <w:r>
              <w:t>Total</w:t>
            </w:r>
          </w:p>
        </w:tc>
      </w:tr>
      <w:tr w:rsidR="002A5370" w:rsidTr="002A5370">
        <w:tc>
          <w:tcPr>
            <w:tcW w:w="1500" w:type="dxa"/>
            <w:tcBorders>
              <w:bottom w:val="single" w:sz="4" w:space="0" w:color="auto"/>
            </w:tcBorders>
          </w:tcPr>
          <w:p w:rsidR="002A5370" w:rsidRDefault="002A5370" w:rsidP="00FF33C0">
            <w:pPr>
              <w:pStyle w:val="Tablehead2"/>
            </w:pPr>
            <w:r>
              <w:t>State</w:t>
            </w:r>
          </w:p>
        </w:tc>
        <w:tc>
          <w:tcPr>
            <w:tcW w:w="1500" w:type="dxa"/>
            <w:tcBorders>
              <w:bottom w:val="single" w:sz="4" w:space="0" w:color="auto"/>
            </w:tcBorders>
          </w:tcPr>
          <w:p w:rsidR="002A5370" w:rsidRDefault="002A5370" w:rsidP="00FF33C0">
            <w:pPr>
              <w:pStyle w:val="Tablehead2"/>
              <w:jc w:val="center"/>
            </w:pPr>
            <w:r>
              <w:t>Male</w:t>
            </w:r>
          </w:p>
        </w:tc>
        <w:tc>
          <w:tcPr>
            <w:tcW w:w="1501" w:type="dxa"/>
            <w:tcBorders>
              <w:bottom w:val="single" w:sz="4" w:space="0" w:color="auto"/>
            </w:tcBorders>
          </w:tcPr>
          <w:p w:rsidR="002A5370" w:rsidRDefault="002A5370" w:rsidP="00FF33C0">
            <w:pPr>
              <w:pStyle w:val="Tablehead2"/>
              <w:jc w:val="center"/>
            </w:pPr>
            <w:r>
              <w:t>Female</w:t>
            </w:r>
          </w:p>
        </w:tc>
        <w:tc>
          <w:tcPr>
            <w:tcW w:w="1501" w:type="dxa"/>
            <w:tcBorders>
              <w:bottom w:val="single" w:sz="4" w:space="0" w:color="auto"/>
            </w:tcBorders>
          </w:tcPr>
          <w:p w:rsidR="002A5370" w:rsidRDefault="002A5370" w:rsidP="00FF33C0">
            <w:pPr>
              <w:pStyle w:val="Tablehead2"/>
              <w:jc w:val="center"/>
            </w:pPr>
            <w:r>
              <w:t>Male</w:t>
            </w:r>
          </w:p>
        </w:tc>
        <w:tc>
          <w:tcPr>
            <w:tcW w:w="1501" w:type="dxa"/>
            <w:tcBorders>
              <w:bottom w:val="single" w:sz="4" w:space="0" w:color="auto"/>
            </w:tcBorders>
          </w:tcPr>
          <w:p w:rsidR="002A5370" w:rsidRDefault="002A5370" w:rsidP="00FF33C0">
            <w:pPr>
              <w:pStyle w:val="Tablehead2"/>
              <w:jc w:val="center"/>
            </w:pPr>
            <w:r>
              <w:t>Female</w:t>
            </w:r>
          </w:p>
        </w:tc>
        <w:tc>
          <w:tcPr>
            <w:tcW w:w="1536" w:type="dxa"/>
            <w:tcBorders>
              <w:bottom w:val="single" w:sz="4" w:space="0" w:color="auto"/>
            </w:tcBorders>
          </w:tcPr>
          <w:p w:rsidR="002A5370" w:rsidRDefault="002A5370" w:rsidP="00FF33C0">
            <w:pPr>
              <w:pStyle w:val="Tablehead2"/>
              <w:jc w:val="center"/>
            </w:pPr>
          </w:p>
        </w:tc>
      </w:tr>
      <w:tr w:rsidR="002A5370" w:rsidTr="002A5370">
        <w:tc>
          <w:tcPr>
            <w:tcW w:w="1500" w:type="dxa"/>
            <w:tcBorders>
              <w:top w:val="single" w:sz="4" w:space="0" w:color="auto"/>
            </w:tcBorders>
          </w:tcPr>
          <w:p w:rsidR="002A5370" w:rsidRDefault="002A5370" w:rsidP="00FF33C0">
            <w:pPr>
              <w:pStyle w:val="Tabletext"/>
            </w:pPr>
            <w:r>
              <w:t>South Australia</w:t>
            </w:r>
          </w:p>
        </w:tc>
        <w:tc>
          <w:tcPr>
            <w:tcW w:w="1500" w:type="dxa"/>
            <w:tcBorders>
              <w:top w:val="single" w:sz="4" w:space="0" w:color="auto"/>
            </w:tcBorders>
          </w:tcPr>
          <w:p w:rsidR="002A5370" w:rsidRPr="00D927F1" w:rsidRDefault="002A5370" w:rsidP="00FF33C0">
            <w:pPr>
              <w:pStyle w:val="Tabletext"/>
              <w:tabs>
                <w:tab w:val="decimal" w:pos="720"/>
              </w:tabs>
            </w:pPr>
            <w:r w:rsidRPr="00D927F1">
              <w:t>7</w:t>
            </w:r>
          </w:p>
        </w:tc>
        <w:tc>
          <w:tcPr>
            <w:tcW w:w="1501" w:type="dxa"/>
            <w:tcBorders>
              <w:top w:val="single" w:sz="4" w:space="0" w:color="auto"/>
            </w:tcBorders>
          </w:tcPr>
          <w:p w:rsidR="002A5370" w:rsidRPr="00D927F1" w:rsidRDefault="002A5370" w:rsidP="00FF33C0">
            <w:pPr>
              <w:pStyle w:val="Tabletext"/>
              <w:tabs>
                <w:tab w:val="decimal" w:pos="686"/>
              </w:tabs>
            </w:pPr>
            <w:r w:rsidRPr="00D927F1">
              <w:t>6</w:t>
            </w:r>
          </w:p>
        </w:tc>
        <w:tc>
          <w:tcPr>
            <w:tcW w:w="1501" w:type="dxa"/>
            <w:tcBorders>
              <w:top w:val="single" w:sz="4" w:space="0" w:color="auto"/>
            </w:tcBorders>
          </w:tcPr>
          <w:p w:rsidR="002A5370" w:rsidRPr="00D927F1" w:rsidRDefault="002A5370" w:rsidP="00FF33C0">
            <w:pPr>
              <w:pStyle w:val="Tabletext"/>
              <w:tabs>
                <w:tab w:val="decimal" w:pos="704"/>
              </w:tabs>
            </w:pPr>
            <w:r w:rsidRPr="00D927F1">
              <w:t>3</w:t>
            </w:r>
          </w:p>
        </w:tc>
        <w:tc>
          <w:tcPr>
            <w:tcW w:w="1501" w:type="dxa"/>
            <w:tcBorders>
              <w:top w:val="single" w:sz="4" w:space="0" w:color="auto"/>
            </w:tcBorders>
          </w:tcPr>
          <w:p w:rsidR="002A5370" w:rsidRPr="00D927F1" w:rsidRDefault="002A5370" w:rsidP="00FF33C0">
            <w:pPr>
              <w:pStyle w:val="Tabletext"/>
              <w:tabs>
                <w:tab w:val="decimal" w:pos="628"/>
              </w:tabs>
            </w:pPr>
            <w:r w:rsidRPr="00D927F1">
              <w:t>12</w:t>
            </w:r>
          </w:p>
        </w:tc>
        <w:tc>
          <w:tcPr>
            <w:tcW w:w="1536" w:type="dxa"/>
            <w:tcBorders>
              <w:top w:val="single" w:sz="4" w:space="0" w:color="auto"/>
            </w:tcBorders>
          </w:tcPr>
          <w:p w:rsidR="002A5370" w:rsidRPr="00D927F1" w:rsidRDefault="002A5370" w:rsidP="002A5370">
            <w:pPr>
              <w:pStyle w:val="Tabletext"/>
              <w:jc w:val="center"/>
            </w:pPr>
            <w:r>
              <w:t>28</w:t>
            </w:r>
          </w:p>
        </w:tc>
      </w:tr>
      <w:tr w:rsidR="002A5370" w:rsidTr="002A5370">
        <w:tc>
          <w:tcPr>
            <w:tcW w:w="1500" w:type="dxa"/>
          </w:tcPr>
          <w:p w:rsidR="002A5370" w:rsidRDefault="002A5370" w:rsidP="00FF33C0">
            <w:pPr>
              <w:pStyle w:val="Tabletext"/>
            </w:pPr>
            <w:r>
              <w:t>Victoria</w:t>
            </w:r>
          </w:p>
        </w:tc>
        <w:tc>
          <w:tcPr>
            <w:tcW w:w="1500" w:type="dxa"/>
          </w:tcPr>
          <w:p w:rsidR="002A5370" w:rsidRPr="00D927F1" w:rsidRDefault="002A5370" w:rsidP="00FF33C0">
            <w:pPr>
              <w:pStyle w:val="Tabletext"/>
              <w:tabs>
                <w:tab w:val="decimal" w:pos="720"/>
              </w:tabs>
            </w:pPr>
            <w:r w:rsidRPr="00D927F1">
              <w:t>7</w:t>
            </w:r>
          </w:p>
        </w:tc>
        <w:tc>
          <w:tcPr>
            <w:tcW w:w="1501" w:type="dxa"/>
          </w:tcPr>
          <w:p w:rsidR="002A5370" w:rsidRPr="00D927F1" w:rsidRDefault="002A5370" w:rsidP="00FF33C0">
            <w:pPr>
              <w:pStyle w:val="Tabletext"/>
              <w:tabs>
                <w:tab w:val="decimal" w:pos="686"/>
              </w:tabs>
            </w:pPr>
            <w:r w:rsidRPr="00D927F1">
              <w:t>4</w:t>
            </w:r>
          </w:p>
        </w:tc>
        <w:tc>
          <w:tcPr>
            <w:tcW w:w="1501" w:type="dxa"/>
          </w:tcPr>
          <w:p w:rsidR="002A5370" w:rsidRPr="00D927F1" w:rsidRDefault="002A5370" w:rsidP="00FF33C0">
            <w:pPr>
              <w:pStyle w:val="Tabletext"/>
              <w:tabs>
                <w:tab w:val="decimal" w:pos="704"/>
              </w:tabs>
            </w:pPr>
            <w:r w:rsidRPr="00D927F1">
              <w:t>7</w:t>
            </w:r>
          </w:p>
        </w:tc>
        <w:tc>
          <w:tcPr>
            <w:tcW w:w="1501" w:type="dxa"/>
          </w:tcPr>
          <w:p w:rsidR="002A5370" w:rsidRPr="00D927F1" w:rsidRDefault="002A5370" w:rsidP="00FF33C0">
            <w:pPr>
              <w:pStyle w:val="Tabletext"/>
              <w:tabs>
                <w:tab w:val="decimal" w:pos="628"/>
              </w:tabs>
            </w:pPr>
            <w:r w:rsidRPr="00D927F1">
              <w:t>6</w:t>
            </w:r>
          </w:p>
        </w:tc>
        <w:tc>
          <w:tcPr>
            <w:tcW w:w="1536" w:type="dxa"/>
          </w:tcPr>
          <w:p w:rsidR="002A5370" w:rsidRPr="00D927F1" w:rsidRDefault="002A5370" w:rsidP="002A5370">
            <w:pPr>
              <w:pStyle w:val="Tabletext"/>
              <w:jc w:val="center"/>
            </w:pPr>
            <w:r>
              <w:t>24</w:t>
            </w:r>
          </w:p>
        </w:tc>
      </w:tr>
      <w:tr w:rsidR="002A5370" w:rsidRPr="00FF33C0" w:rsidTr="002A5370">
        <w:tc>
          <w:tcPr>
            <w:tcW w:w="1500" w:type="dxa"/>
            <w:tcBorders>
              <w:top w:val="single" w:sz="4" w:space="0" w:color="auto"/>
              <w:bottom w:val="single" w:sz="4" w:space="0" w:color="auto"/>
            </w:tcBorders>
          </w:tcPr>
          <w:p w:rsidR="002A5370" w:rsidRPr="00FF33C0" w:rsidRDefault="002A5370" w:rsidP="00FF33C0">
            <w:pPr>
              <w:pStyle w:val="Tabletext"/>
              <w:rPr>
                <w:b/>
              </w:rPr>
            </w:pPr>
            <w:r w:rsidRPr="00FF33C0">
              <w:rPr>
                <w:b/>
              </w:rPr>
              <w:t>Total</w:t>
            </w:r>
          </w:p>
        </w:tc>
        <w:tc>
          <w:tcPr>
            <w:tcW w:w="1500" w:type="dxa"/>
            <w:tcBorders>
              <w:top w:val="single" w:sz="4" w:space="0" w:color="auto"/>
              <w:bottom w:val="single" w:sz="4" w:space="0" w:color="auto"/>
            </w:tcBorders>
          </w:tcPr>
          <w:p w:rsidR="002A5370" w:rsidRPr="00FF33C0" w:rsidRDefault="002A5370" w:rsidP="00FF33C0">
            <w:pPr>
              <w:pStyle w:val="Tabletext"/>
              <w:tabs>
                <w:tab w:val="decimal" w:pos="720"/>
              </w:tabs>
              <w:rPr>
                <w:b/>
              </w:rPr>
            </w:pPr>
            <w:r w:rsidRPr="00FF33C0">
              <w:rPr>
                <w:b/>
              </w:rPr>
              <w:t>14</w:t>
            </w:r>
          </w:p>
        </w:tc>
        <w:tc>
          <w:tcPr>
            <w:tcW w:w="1501" w:type="dxa"/>
            <w:tcBorders>
              <w:top w:val="single" w:sz="4" w:space="0" w:color="auto"/>
              <w:bottom w:val="single" w:sz="4" w:space="0" w:color="auto"/>
            </w:tcBorders>
          </w:tcPr>
          <w:p w:rsidR="002A5370" w:rsidRPr="00FF33C0" w:rsidRDefault="002A5370" w:rsidP="00FF33C0">
            <w:pPr>
              <w:pStyle w:val="Tabletext"/>
              <w:tabs>
                <w:tab w:val="decimal" w:pos="686"/>
              </w:tabs>
              <w:rPr>
                <w:b/>
              </w:rPr>
            </w:pPr>
            <w:r w:rsidRPr="00FF33C0">
              <w:rPr>
                <w:b/>
              </w:rPr>
              <w:t>10</w:t>
            </w:r>
          </w:p>
        </w:tc>
        <w:tc>
          <w:tcPr>
            <w:tcW w:w="1501" w:type="dxa"/>
            <w:tcBorders>
              <w:top w:val="single" w:sz="4" w:space="0" w:color="auto"/>
              <w:bottom w:val="single" w:sz="4" w:space="0" w:color="auto"/>
            </w:tcBorders>
          </w:tcPr>
          <w:p w:rsidR="002A5370" w:rsidRPr="00FF33C0" w:rsidRDefault="002A5370" w:rsidP="00FF33C0">
            <w:pPr>
              <w:pStyle w:val="Tabletext"/>
              <w:tabs>
                <w:tab w:val="decimal" w:pos="704"/>
              </w:tabs>
              <w:rPr>
                <w:b/>
              </w:rPr>
            </w:pPr>
            <w:r w:rsidRPr="00FF33C0">
              <w:rPr>
                <w:b/>
              </w:rPr>
              <w:t>10</w:t>
            </w:r>
          </w:p>
        </w:tc>
        <w:tc>
          <w:tcPr>
            <w:tcW w:w="1501" w:type="dxa"/>
            <w:tcBorders>
              <w:top w:val="single" w:sz="4" w:space="0" w:color="auto"/>
              <w:bottom w:val="single" w:sz="4" w:space="0" w:color="auto"/>
            </w:tcBorders>
          </w:tcPr>
          <w:p w:rsidR="002A5370" w:rsidRPr="00FF33C0" w:rsidRDefault="002A5370" w:rsidP="00FF33C0">
            <w:pPr>
              <w:pStyle w:val="Tabletext"/>
              <w:tabs>
                <w:tab w:val="decimal" w:pos="628"/>
              </w:tabs>
              <w:rPr>
                <w:b/>
              </w:rPr>
            </w:pPr>
            <w:r w:rsidRPr="00FF33C0">
              <w:rPr>
                <w:b/>
              </w:rPr>
              <w:t>18</w:t>
            </w:r>
          </w:p>
        </w:tc>
        <w:tc>
          <w:tcPr>
            <w:tcW w:w="1536" w:type="dxa"/>
            <w:tcBorders>
              <w:top w:val="single" w:sz="4" w:space="0" w:color="auto"/>
              <w:bottom w:val="single" w:sz="4" w:space="0" w:color="auto"/>
            </w:tcBorders>
            <w:shd w:val="clear" w:color="auto" w:fill="auto"/>
          </w:tcPr>
          <w:p w:rsidR="002A5370" w:rsidRPr="00D21B79" w:rsidRDefault="002A5370" w:rsidP="002A5370">
            <w:pPr>
              <w:pStyle w:val="Tabletext"/>
              <w:tabs>
                <w:tab w:val="left" w:pos="522"/>
              </w:tabs>
              <w:jc w:val="center"/>
              <w:rPr>
                <w:b/>
                <w:highlight w:val="yellow"/>
              </w:rPr>
            </w:pPr>
            <w:r w:rsidRPr="002A5370">
              <w:rPr>
                <w:b/>
              </w:rPr>
              <w:t>52</w:t>
            </w:r>
          </w:p>
        </w:tc>
      </w:tr>
    </w:tbl>
    <w:p w:rsidR="0087323D" w:rsidRDefault="0087323D" w:rsidP="003C4BC1">
      <w:pPr>
        <w:pStyle w:val="Text"/>
        <w:rPr>
          <w:b/>
        </w:rPr>
      </w:pPr>
    </w:p>
    <w:p w:rsidR="0087323D" w:rsidRDefault="0087323D">
      <w:pPr>
        <w:spacing w:before="0" w:line="240" w:lineRule="auto"/>
        <w:rPr>
          <w:b/>
        </w:rPr>
      </w:pPr>
      <w:r>
        <w:rPr>
          <w:b/>
        </w:rPr>
        <w:br w:type="page"/>
      </w:r>
    </w:p>
    <w:p w:rsidR="0087323D" w:rsidRDefault="0087323D" w:rsidP="0087323D">
      <w:pPr>
        <w:pStyle w:val="Heading1"/>
      </w:pPr>
      <w:bookmarkStart w:id="152" w:name="_Toc409079390"/>
      <w:r>
        <w:lastRenderedPageBreak/>
        <w:t>NVETR Program funding</w:t>
      </w:r>
      <w:bookmarkEnd w:id="152"/>
      <w:r>
        <w:t xml:space="preserve"> </w:t>
      </w:r>
    </w:p>
    <w:p w:rsidR="0087323D" w:rsidRPr="00157690" w:rsidRDefault="0087323D" w:rsidP="0087323D">
      <w:pPr>
        <w:pStyle w:val="Text"/>
      </w:pPr>
      <w:r w:rsidRPr="00157690">
        <w:t xml:space="preserve">This work has been produced by NCVER under the National Vocational Education and Training Research (NVETR) Program, which is coordinated and managed by NCVER on behalf of the Australian Government and state and territory governments. Funding is provided through the Department of </w:t>
      </w:r>
      <w:r w:rsidR="00FF33C0">
        <w:t>Education and Training.</w:t>
      </w:r>
    </w:p>
    <w:p w:rsidR="0087323D" w:rsidRPr="00157690" w:rsidRDefault="0087323D" w:rsidP="0087323D">
      <w:pPr>
        <w:pStyle w:val="Text"/>
      </w:pPr>
      <w:r w:rsidRPr="00157690">
        <w:t xml:space="preserve">The NVETR Program is based on national research priorities approved by ministers with responsibility for vocational education and training. </w:t>
      </w:r>
    </w:p>
    <w:p w:rsidR="0087323D" w:rsidRPr="00157690" w:rsidRDefault="0087323D" w:rsidP="0087323D">
      <w:pPr>
        <w:pStyle w:val="Text"/>
      </w:pPr>
      <w:r>
        <w:t>Authors/project teams are</w:t>
      </w:r>
      <w:r w:rsidRPr="00157690">
        <w:t xml:space="preserve"> funded to undertake this research via a grant under the NVETR Program. The research grants are awarded to organisations through a competitive process, in which NCVER does not participate. To ensure the quality and relevance of the research</w:t>
      </w:r>
      <w:r>
        <w:t>,</w:t>
      </w:r>
      <w:r w:rsidRPr="00157690">
        <w:t xml:space="preserve"> projects are selected using an independent and transparent process and researc</w:t>
      </w:r>
      <w:r>
        <w:t>h reports are peer-</w:t>
      </w:r>
      <w:r w:rsidRPr="00157690">
        <w:t>reviewed.</w:t>
      </w:r>
    </w:p>
    <w:p w:rsidR="0087323D" w:rsidRPr="00157690" w:rsidRDefault="0087323D" w:rsidP="0087323D">
      <w:pPr>
        <w:pStyle w:val="Text"/>
      </w:pPr>
      <w:r w:rsidRPr="00157690">
        <w:t xml:space="preserve">The NVETR </w:t>
      </w:r>
      <w:r>
        <w:t>P</w:t>
      </w:r>
      <w:r w:rsidRPr="00157690">
        <w:t xml:space="preserve">rogram aims to improve policy and practice in the VET sector. The research effort itself is collaborative </w:t>
      </w:r>
      <w:r>
        <w:t>and</w:t>
      </w:r>
      <w:r w:rsidRPr="00157690">
        <w:t xml:space="preserve"> requires strong relationships with the research community in Australia’s universities and beyond. NCVER may also involve various stakeholders</w:t>
      </w:r>
      <w:r>
        <w:t>,</w:t>
      </w:r>
      <w:r w:rsidRPr="00157690">
        <w:t xml:space="preserve"> including state and territory governments, industry and practitioners</w:t>
      </w:r>
      <w:r>
        <w:t>,</w:t>
      </w:r>
      <w:r w:rsidRPr="00157690">
        <w:t xml:space="preserve"> to inform the commissioned </w:t>
      </w:r>
      <w:proofErr w:type="gramStart"/>
      <w:r w:rsidRPr="00157690">
        <w:t>research,</w:t>
      </w:r>
      <w:proofErr w:type="gramEnd"/>
      <w:r w:rsidRPr="00157690">
        <w:t xml:space="preserve"> </w:t>
      </w:r>
      <w:r>
        <w:t xml:space="preserve">and </w:t>
      </w:r>
      <w:r w:rsidRPr="00157690">
        <w:t xml:space="preserve">using a variety of mechanisms such as project roundtables and forums. </w:t>
      </w:r>
    </w:p>
    <w:p w:rsidR="0087323D" w:rsidRDefault="0087323D" w:rsidP="0087323D">
      <w:pPr>
        <w:pStyle w:val="Text"/>
      </w:pPr>
      <w:proofErr w:type="gramStart"/>
      <w:r w:rsidRPr="00157690">
        <w:t>For further information about the program go to the NCVER website &lt;</w:t>
      </w:r>
      <w:r>
        <w:t>http://</w:t>
      </w:r>
      <w:r w:rsidRPr="00157690">
        <w:t>www.ncver.edu.au&gt;.</w:t>
      </w:r>
      <w:proofErr w:type="gramEnd"/>
    </w:p>
    <w:p w:rsidR="0087323D" w:rsidRDefault="0087323D" w:rsidP="0087323D">
      <w:pPr>
        <w:pStyle w:val="Text"/>
      </w:pPr>
    </w:p>
    <w:p w:rsidR="007B137C" w:rsidRPr="00D97DC6" w:rsidRDefault="007B137C" w:rsidP="003C4BC1">
      <w:pPr>
        <w:pStyle w:val="Text"/>
        <w:rPr>
          <w:b/>
        </w:rPr>
      </w:pPr>
    </w:p>
    <w:sectPr w:rsidR="007B137C" w:rsidRPr="00D97DC6" w:rsidSect="0079657F">
      <w:footerReference w:type="even" r:id="rId23"/>
      <w:footerReference w:type="default" r:id="rId24"/>
      <w:type w:val="continuous"/>
      <w:pgSz w:w="11907" w:h="16840" w:code="9"/>
      <w:pgMar w:top="1276" w:right="1701" w:bottom="993" w:left="1418" w:header="709" w:footer="55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BED" w:rsidRDefault="009D3BED">
      <w:r>
        <w:separator/>
      </w:r>
    </w:p>
  </w:endnote>
  <w:endnote w:type="continuationSeparator" w:id="0">
    <w:p w:rsidR="009D3BED" w:rsidRDefault="009D3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auto"/>
    <w:pitch w:val="variable"/>
    <w:sig w:usb0="00000003" w:usb1="00000000" w:usb2="00000000" w:usb3="00000000" w:csb0="00000001" w:csb1="00000000"/>
  </w:font>
  <w:font w:name="Code 2000">
    <w:altName w:val="Cambria"/>
    <w:panose1 w:val="00000000000000000000"/>
    <w:charset w:val="4D"/>
    <w:family w:val="swiss"/>
    <w:notTrueType/>
    <w:pitch w:val="default"/>
    <w:sig w:usb0="00000003" w:usb1="00000000" w:usb2="00000000" w:usb3="00000000" w:csb0="00000001" w:csb1="00000000"/>
  </w:font>
  <w:font w:name="Avant Garde">
    <w:altName w:val="Century Gothic"/>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Noteworthy Bold">
    <w:charset w:val="00"/>
    <w:family w:val="auto"/>
    <w:pitch w:val="variable"/>
    <w:sig w:usb0="8000006F" w:usb1="08000048" w:usb2="14600000" w:usb3="00000000" w:csb0="00000111" w:csb1="00000000"/>
  </w:font>
  <w:font w:name="AdvTTec369687">
    <w:altName w:val="Cambria"/>
    <w:panose1 w:val="00000000000000000000"/>
    <w:charset w:val="4D"/>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BED" w:rsidRPr="008C0A74" w:rsidRDefault="009D3BED" w:rsidP="00FF5931">
    <w:pPr>
      <w:pStyle w:val="Footer"/>
      <w:tabs>
        <w:tab w:val="clear" w:pos="8505"/>
        <w:tab w:val="right" w:pos="8789"/>
      </w:tabs>
      <w:rPr>
        <w:b/>
      </w:rPr>
    </w:pPr>
    <w:r>
      <w:rPr>
        <w:b/>
        <w:noProof/>
        <w:color w:val="FFFFFF" w:themeColor="background1"/>
        <w:lang w:eastAsia="en-AU"/>
      </w:rPr>
      <mc:AlternateContent>
        <mc:Choice Requires="wps">
          <w:drawing>
            <wp:anchor distT="0" distB="0" distL="114300" distR="114300" simplePos="0" relativeHeight="251667456" behindDoc="1" locked="0" layoutInCell="1" allowOverlap="1" wp14:anchorId="282DD097" wp14:editId="00A800E2">
              <wp:simplePos x="0" y="0"/>
              <wp:positionH relativeFrom="column">
                <wp:posOffset>-1078865</wp:posOffset>
              </wp:positionH>
              <wp:positionV relativeFrom="paragraph">
                <wp:posOffset>-29845</wp:posOffset>
              </wp:positionV>
              <wp:extent cx="1257300" cy="238125"/>
              <wp:effectExtent l="0" t="0" r="0"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38125"/>
                      </a:xfrm>
                      <a:prstGeom prst="rect">
                        <a:avLst/>
                      </a:prstGeom>
                      <a:solidFill>
                        <a:schemeClr val="tx1">
                          <a:lumMod val="100000"/>
                          <a:lumOff val="0"/>
                        </a:schemeClr>
                      </a:solidFill>
                      <a:ln>
                        <a:noFill/>
                      </a:ln>
                      <a:extLst>
                        <a:ext uri="{91240B29-F687-4F45-9708-019B960494DF}">
                          <a14:hiddenLine xmlns:a14="http://schemas.microsoft.com/office/drawing/2010/main" w="9525">
                            <a:solidFill>
                              <a:schemeClr val="bg1">
                                <a:lumMod val="75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4.95pt;margin-top:-2.35pt;width:99pt;height:18.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" fillcolor="black [3213]" stroked="f" strokecolor="#bfbfbf [2412]"/>
          </w:pict>
        </mc:Fallback>
      </mc:AlternateContent>
    </w:r>
    <w:r w:rsidRPr="008C0A74">
      <w:rPr>
        <w:b/>
        <w:color w:val="FFFFFF" w:themeColor="background1"/>
      </w:rPr>
      <w:fldChar w:fldCharType="begin"/>
    </w:r>
    <w:r w:rsidRPr="008C0A74">
      <w:rPr>
        <w:b/>
        <w:color w:val="FFFFFF" w:themeColor="background1"/>
      </w:rPr>
      <w:instrText xml:space="preserve"> PAGE </w:instrText>
    </w:r>
    <w:r w:rsidRPr="008C0A74">
      <w:rPr>
        <w:b/>
        <w:color w:val="FFFFFF" w:themeColor="background1"/>
      </w:rPr>
      <w:fldChar w:fldCharType="separate"/>
    </w:r>
    <w:r w:rsidR="00532395">
      <w:rPr>
        <w:b/>
        <w:noProof/>
        <w:color w:val="FFFFFF" w:themeColor="background1"/>
      </w:rPr>
      <w:t>6</w:t>
    </w:r>
    <w:r w:rsidRPr="008C0A74">
      <w:rPr>
        <w:b/>
        <w:color w:val="FFFFFF" w:themeColor="background1"/>
      </w:rPr>
      <w:fldChar w:fldCharType="end"/>
    </w:r>
    <w:r w:rsidRPr="008C0A74">
      <w:rPr>
        <w:b/>
        <w:color w:val="FFFFFF" w:themeColor="background1"/>
      </w:rPr>
      <w:tab/>
    </w:r>
    <w:r w:rsidR="00522F4D">
      <w:rPr>
        <w:b/>
        <w:color w:val="000000" w:themeColor="text1"/>
      </w:rPr>
      <w:t>G</w:t>
    </w:r>
    <w:r w:rsidRPr="0007324B">
      <w:rPr>
        <w:b/>
        <w:color w:val="000000" w:themeColor="text1"/>
      </w:rPr>
      <w:t xml:space="preserve">eographical </w:t>
    </w:r>
    <w:r>
      <w:rPr>
        <w:b/>
      </w:rPr>
      <w:t>and place dimensions of post-school participation in education and work</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BED" w:rsidRPr="009775C7" w:rsidRDefault="009D3BED" w:rsidP="00482EC5">
    <w:pPr>
      <w:pStyle w:val="Footer"/>
      <w:tabs>
        <w:tab w:val="clear" w:pos="8505"/>
        <w:tab w:val="left" w:pos="3684"/>
        <w:tab w:val="right" w:pos="8789"/>
      </w:tabs>
      <w:rPr>
        <w:color w:val="FFFFFF" w:themeColor="background1"/>
      </w:rPr>
    </w:pPr>
    <w:r>
      <w:rPr>
        <w:b/>
        <w:noProof/>
        <w:lang w:eastAsia="en-AU"/>
      </w:rPr>
      <mc:AlternateContent>
        <mc:Choice Requires="wps">
          <w:drawing>
            <wp:anchor distT="0" distB="0" distL="114300" distR="114300" simplePos="0" relativeHeight="251665408" behindDoc="1" locked="0" layoutInCell="1" allowOverlap="1" wp14:anchorId="2437EE6F" wp14:editId="10C2E714">
              <wp:simplePos x="0" y="0"/>
              <wp:positionH relativeFrom="column">
                <wp:posOffset>5405120</wp:posOffset>
              </wp:positionH>
              <wp:positionV relativeFrom="paragraph">
                <wp:posOffset>-29845</wp:posOffset>
              </wp:positionV>
              <wp:extent cx="1257300" cy="238125"/>
              <wp:effectExtent l="0" t="0" r="0" b="952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38125"/>
                      </a:xfrm>
                      <a:prstGeom prst="rect">
                        <a:avLst/>
                      </a:prstGeom>
                      <a:solidFill>
                        <a:schemeClr val="tx1">
                          <a:lumMod val="100000"/>
                          <a:lumOff val="0"/>
                        </a:schemeClr>
                      </a:solidFill>
                      <a:ln>
                        <a:noFill/>
                      </a:ln>
                      <a:extLst>
                        <a:ext uri="{91240B29-F687-4F45-9708-019B960494DF}">
                          <a14:hiddenLine xmlns:a14="http://schemas.microsoft.com/office/drawing/2010/main" w="9525">
                            <a:solidFill>
                              <a:schemeClr val="bg1">
                                <a:lumMod val="75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425.6pt;margin-top:-2.35pt;width:99pt;height:18.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" fillcolor="black [3213]" stroked="f" strokecolor="#bfbfbf [2412]"/>
          </w:pict>
        </mc:Fallback>
      </mc:AlternateContent>
    </w:r>
    <w:r w:rsidRPr="009775C7">
      <w:rPr>
        <w:b/>
      </w:rPr>
      <w:t>NCVER</w:t>
    </w:r>
    <w:r w:rsidRPr="009775C7">
      <w:tab/>
    </w:r>
    <w:r>
      <w:tab/>
    </w:r>
    <w:r w:rsidRPr="009775C7">
      <w:rPr>
        <w:rStyle w:val="PageNumber"/>
        <w:rFonts w:cs="Tahoma"/>
        <w:b/>
        <w:color w:val="FFFFFF" w:themeColor="background1"/>
        <w:sz w:val="17"/>
      </w:rPr>
      <w:fldChar w:fldCharType="begin"/>
    </w:r>
    <w:r w:rsidRPr="009775C7">
      <w:rPr>
        <w:rStyle w:val="PageNumber"/>
        <w:rFonts w:cs="Tahoma"/>
        <w:b/>
        <w:color w:val="FFFFFF" w:themeColor="background1"/>
        <w:sz w:val="17"/>
      </w:rPr>
      <w:instrText xml:space="preserve"> PAGE </w:instrText>
    </w:r>
    <w:r w:rsidRPr="009775C7">
      <w:rPr>
        <w:rStyle w:val="PageNumber"/>
        <w:rFonts w:cs="Tahoma"/>
        <w:b/>
        <w:color w:val="FFFFFF" w:themeColor="background1"/>
        <w:sz w:val="17"/>
      </w:rPr>
      <w:fldChar w:fldCharType="separate"/>
    </w:r>
    <w:r w:rsidR="00532395">
      <w:rPr>
        <w:rStyle w:val="PageNumber"/>
        <w:rFonts w:cs="Tahoma"/>
        <w:b/>
        <w:noProof/>
        <w:color w:val="FFFFFF" w:themeColor="background1"/>
        <w:sz w:val="17"/>
      </w:rPr>
      <w:t>5</w:t>
    </w:r>
    <w:r w:rsidRPr="009775C7">
      <w:rPr>
        <w:rStyle w:val="PageNumber"/>
        <w:rFonts w:cs="Tahoma"/>
        <w:b/>
        <w:color w:val="FFFFFF" w:themeColor="background1"/>
        <w:sz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BED" w:rsidRDefault="009D3BED">
      <w:r>
        <w:separator/>
      </w:r>
    </w:p>
  </w:footnote>
  <w:footnote w:type="continuationSeparator" w:id="0">
    <w:p w:rsidR="009D3BED" w:rsidRDefault="009D3BED">
      <w:r>
        <w:continuationSeparator/>
      </w:r>
    </w:p>
  </w:footnote>
  <w:footnote w:id="1">
    <w:p w:rsidR="009D3BED" w:rsidRDefault="009D3BED" w:rsidP="004A5B35">
      <w:pPr>
        <w:pStyle w:val="FootnoteText"/>
      </w:pPr>
      <w:r>
        <w:rPr>
          <w:rStyle w:val="FootnoteReference"/>
        </w:rPr>
        <w:footnoteRef/>
      </w:r>
      <w:r>
        <w:t xml:space="preserve"> </w:t>
      </w:r>
      <w:r>
        <w:tab/>
        <w:t>ATAR = Australian Tertiary Admission Rank.</w:t>
      </w:r>
    </w:p>
  </w:footnote>
  <w:footnote w:id="2">
    <w:p w:rsidR="009D3BED" w:rsidRDefault="009D3BED">
      <w:pPr>
        <w:pStyle w:val="FootnoteText"/>
      </w:pPr>
      <w:r>
        <w:rPr>
          <w:rStyle w:val="FootnoteReference"/>
        </w:rPr>
        <w:footnoteRef/>
      </w:r>
      <w:r>
        <w:t xml:space="preserve"> </w:t>
      </w:r>
      <w:r>
        <w:tab/>
        <w:t>Purposive sampling is designed to select a sample of a population with the characteristics that fit the interest of the study and enable the research questions to be answered. The sample is not intended to be representative of the wider population. Combined with opportunity sampling, this selection process draws on the researcher’s knowledge of field sites and their contact with local gatekeepers (such as schools and colleges) where there are young people who fit the population criteria and who might be willing to participate in the research.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44E777C"/>
    <w:lvl w:ilvl="0">
      <w:start w:val="1"/>
      <w:numFmt w:val="bullet"/>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275696E0"/>
    <w:lvl w:ilvl="0">
      <w:start w:val="1"/>
      <w:numFmt w:val="decimal"/>
      <w:lvlText w:val="%1."/>
      <w:lvlJc w:val="left"/>
      <w:pPr>
        <w:tabs>
          <w:tab w:val="num" w:pos="1492"/>
        </w:tabs>
        <w:ind w:left="1492" w:hanging="360"/>
      </w:pPr>
    </w:lvl>
  </w:abstractNum>
  <w:abstractNum w:abstractNumId="2">
    <w:nsid w:val="FFFFFF7D"/>
    <w:multiLevelType w:val="singleLevel"/>
    <w:tmpl w:val="CEEA9DEA"/>
    <w:lvl w:ilvl="0">
      <w:start w:val="1"/>
      <w:numFmt w:val="decimal"/>
      <w:lvlText w:val="%1."/>
      <w:lvlJc w:val="left"/>
      <w:pPr>
        <w:tabs>
          <w:tab w:val="num" w:pos="1209"/>
        </w:tabs>
        <w:ind w:left="1209" w:hanging="360"/>
      </w:pPr>
    </w:lvl>
  </w:abstractNum>
  <w:abstractNum w:abstractNumId="3">
    <w:nsid w:val="FFFFFF7E"/>
    <w:multiLevelType w:val="singleLevel"/>
    <w:tmpl w:val="C64844A4"/>
    <w:lvl w:ilvl="0">
      <w:start w:val="1"/>
      <w:numFmt w:val="decimal"/>
      <w:lvlText w:val="%1."/>
      <w:lvlJc w:val="left"/>
      <w:pPr>
        <w:tabs>
          <w:tab w:val="num" w:pos="926"/>
        </w:tabs>
        <w:ind w:left="926" w:hanging="360"/>
      </w:pPr>
    </w:lvl>
  </w:abstractNum>
  <w:abstractNum w:abstractNumId="4">
    <w:nsid w:val="FFFFFF7F"/>
    <w:multiLevelType w:val="singleLevel"/>
    <w:tmpl w:val="B1EC1A88"/>
    <w:lvl w:ilvl="0">
      <w:start w:val="1"/>
      <w:numFmt w:val="decimal"/>
      <w:lvlText w:val="%1."/>
      <w:lvlJc w:val="left"/>
      <w:pPr>
        <w:tabs>
          <w:tab w:val="num" w:pos="643"/>
        </w:tabs>
        <w:ind w:left="643" w:hanging="360"/>
      </w:pPr>
    </w:lvl>
  </w:abstractNum>
  <w:abstractNum w:abstractNumId="5">
    <w:nsid w:val="FFFFFF80"/>
    <w:multiLevelType w:val="singleLevel"/>
    <w:tmpl w:val="0DA247F0"/>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8D5C793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D7624D3C"/>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A410638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D2361D4E"/>
    <w:lvl w:ilvl="0">
      <w:start w:val="1"/>
      <w:numFmt w:val="decimal"/>
      <w:lvlText w:val="%1."/>
      <w:lvlJc w:val="left"/>
      <w:pPr>
        <w:tabs>
          <w:tab w:val="num" w:pos="360"/>
        </w:tabs>
        <w:ind w:left="360" w:hanging="360"/>
      </w:pPr>
    </w:lvl>
  </w:abstractNum>
  <w:abstractNum w:abstractNumId="10">
    <w:nsid w:val="FFFFFF89"/>
    <w:multiLevelType w:val="singleLevel"/>
    <w:tmpl w:val="F956F98A"/>
    <w:lvl w:ilvl="0">
      <w:start w:val="1"/>
      <w:numFmt w:val="bullet"/>
      <w:lvlText w:val=""/>
      <w:lvlJc w:val="left"/>
      <w:pPr>
        <w:tabs>
          <w:tab w:val="num" w:pos="360"/>
        </w:tabs>
        <w:ind w:left="360" w:hanging="360"/>
      </w:pPr>
      <w:rPr>
        <w:rFonts w:ascii="Symbol" w:hAnsi="Symbol" w:hint="default"/>
      </w:rPr>
    </w:lvl>
  </w:abstractNum>
  <w:abstractNum w:abstractNumId="11">
    <w:nsid w:val="01F410EF"/>
    <w:multiLevelType w:val="hybridMultilevel"/>
    <w:tmpl w:val="B6F0B62E"/>
    <w:lvl w:ilvl="0" w:tplc="98A0994A">
      <w:start w:val="1"/>
      <w:numFmt w:val="decimal"/>
      <w:pStyle w:val="NumberedListContinuing"/>
      <w:lvlText w:val="%1"/>
      <w:lvlJc w:val="left"/>
      <w:pPr>
        <w:tabs>
          <w:tab w:val="num" w:pos="284"/>
        </w:tabs>
        <w:ind w:left="0" w:firstLine="0"/>
      </w:pPr>
      <w:rPr>
        <w:rFonts w:hint="default"/>
      </w:rPr>
    </w:lvl>
    <w:lvl w:ilvl="1" w:tplc="0994B9E0">
      <w:start w:val="1"/>
      <w:numFmt w:val="lowerLetter"/>
      <w:pStyle w:val="NumberedAlphaLevel2"/>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16F204FE"/>
    <w:multiLevelType w:val="hybridMultilevel"/>
    <w:tmpl w:val="7EC60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D269B1"/>
    <w:multiLevelType w:val="hybridMultilevel"/>
    <w:tmpl w:val="FC6A2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25D3983"/>
    <w:multiLevelType w:val="hybridMultilevel"/>
    <w:tmpl w:val="15EA2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2D580B"/>
    <w:multiLevelType w:val="hybridMultilevel"/>
    <w:tmpl w:val="DB5296D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nsid w:val="4E7E7F30"/>
    <w:multiLevelType w:val="hybridMultilevel"/>
    <w:tmpl w:val="4F0AC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0FB398C"/>
    <w:multiLevelType w:val="hybridMultilevel"/>
    <w:tmpl w:val="D1068E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10A02C5"/>
    <w:multiLevelType w:val="hybridMultilevel"/>
    <w:tmpl w:val="054812B6"/>
    <w:lvl w:ilvl="0" w:tplc="42AAF5C0">
      <w:start w:val="1"/>
      <w:numFmt w:val="bullet"/>
      <w:pStyle w:val="Dotpoint2"/>
      <w:lvlText w:val="-"/>
      <w:lvlJc w:val="left"/>
      <w:pPr>
        <w:ind w:left="1070" w:hanging="360"/>
      </w:pPr>
      <w:rPr>
        <w:rFonts w:ascii="Courier New" w:hAnsi="Courier New" w:hint="default"/>
      </w:rPr>
    </w:lvl>
    <w:lvl w:ilvl="1" w:tplc="0C090003">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9">
    <w:nsid w:val="62906CEE"/>
    <w:multiLevelType w:val="hybridMultilevel"/>
    <w:tmpl w:val="5C129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2DF5C51"/>
    <w:multiLevelType w:val="hybridMultilevel"/>
    <w:tmpl w:val="E3DC0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6ED645C"/>
    <w:multiLevelType w:val="hybridMultilevel"/>
    <w:tmpl w:val="98BCEFEE"/>
    <w:lvl w:ilvl="0" w:tplc="287ED28E">
      <w:start w:val="1"/>
      <w:numFmt w:val="bullet"/>
      <w:pStyle w:val="Style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E6568BB"/>
    <w:multiLevelType w:val="hybridMultilevel"/>
    <w:tmpl w:val="C9B8508C"/>
    <w:lvl w:ilvl="0" w:tplc="6074C066">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BA40B5E"/>
    <w:multiLevelType w:val="hybridMultilevel"/>
    <w:tmpl w:val="B0D0A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F3F6527"/>
    <w:multiLevelType w:val="hybridMultilevel"/>
    <w:tmpl w:val="92425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8"/>
  </w:num>
  <w:num w:numId="3">
    <w:abstractNumId w:val="0"/>
  </w:num>
  <w:num w:numId="4">
    <w:abstractNumId w:val="11"/>
  </w:num>
  <w:num w:numId="5">
    <w:abstractNumId w:val="24"/>
  </w:num>
  <w:num w:numId="6">
    <w:abstractNumId w:val="21"/>
  </w:num>
  <w:num w:numId="7">
    <w:abstractNumId w:val="14"/>
  </w:num>
  <w:num w:numId="8">
    <w:abstractNumId w:val="23"/>
  </w:num>
  <w:num w:numId="9">
    <w:abstractNumId w:val="17"/>
  </w:num>
  <w:num w:numId="10">
    <w:abstractNumId w:val="16"/>
  </w:num>
  <w:num w:numId="11">
    <w:abstractNumId w:val="19"/>
  </w:num>
  <w:num w:numId="12">
    <w:abstractNumId w:val="13"/>
  </w:num>
  <w:num w:numId="13">
    <w:abstractNumId w:val="12"/>
  </w:num>
  <w:num w:numId="14">
    <w:abstractNumId w:val="15"/>
  </w:num>
  <w:num w:numId="15">
    <w:abstractNumId w:val="20"/>
  </w:num>
  <w:num w:numId="16">
    <w:abstractNumId w:val="10"/>
  </w:num>
  <w:num w:numId="17">
    <w:abstractNumId w:val="8"/>
  </w:num>
  <w:num w:numId="18">
    <w:abstractNumId w:val="7"/>
  </w:num>
  <w:num w:numId="19">
    <w:abstractNumId w:val="6"/>
  </w:num>
  <w:num w:numId="20">
    <w:abstractNumId w:val="5"/>
  </w:num>
  <w:num w:numId="21">
    <w:abstractNumId w:val="9"/>
  </w:num>
  <w:num w:numId="22">
    <w:abstractNumId w:val="4"/>
  </w:num>
  <w:num w:numId="23">
    <w:abstractNumId w:val="3"/>
  </w:num>
  <w:num w:numId="24">
    <w:abstractNumId w:val="2"/>
  </w:num>
  <w:num w:numId="25">
    <w:abstractNumId w:val="1"/>
  </w:num>
  <w:num w:numId="26">
    <w:abstractNumId w:val="22"/>
  </w:num>
  <w:num w:numId="27">
    <w:abstractNumId w:val="18"/>
  </w:num>
  <w:num w:numId="28">
    <w:abstractNumId w:val="11"/>
  </w:num>
  <w:num w:numId="29">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doNotHyphenateCaps/>
  <w:clickAndTypeStyle w:val="Text"/>
  <w:evenAndOddHeaders/>
  <w:drawingGridHorizontalSpacing w:val="95"/>
  <w:displayHorizontalDrawingGridEvery w:val="0"/>
  <w:displayVerticalDrawingGridEvery w:val="2"/>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D0A"/>
    <w:rsid w:val="00002128"/>
    <w:rsid w:val="0000620B"/>
    <w:rsid w:val="00010510"/>
    <w:rsid w:val="000108B2"/>
    <w:rsid w:val="00012074"/>
    <w:rsid w:val="00012AB5"/>
    <w:rsid w:val="00012B64"/>
    <w:rsid w:val="00013265"/>
    <w:rsid w:val="00013AF5"/>
    <w:rsid w:val="00015F17"/>
    <w:rsid w:val="00022290"/>
    <w:rsid w:val="00023A64"/>
    <w:rsid w:val="00024320"/>
    <w:rsid w:val="00024B03"/>
    <w:rsid w:val="00026CE8"/>
    <w:rsid w:val="000315D7"/>
    <w:rsid w:val="00037146"/>
    <w:rsid w:val="00041BC4"/>
    <w:rsid w:val="000474F4"/>
    <w:rsid w:val="00050DDF"/>
    <w:rsid w:val="000521B1"/>
    <w:rsid w:val="00057CED"/>
    <w:rsid w:val="0006125F"/>
    <w:rsid w:val="0006292B"/>
    <w:rsid w:val="00064DDF"/>
    <w:rsid w:val="0007324B"/>
    <w:rsid w:val="00073D0A"/>
    <w:rsid w:val="000745D7"/>
    <w:rsid w:val="00074BD4"/>
    <w:rsid w:val="000817F3"/>
    <w:rsid w:val="00085C31"/>
    <w:rsid w:val="000869AD"/>
    <w:rsid w:val="00091302"/>
    <w:rsid w:val="000A0745"/>
    <w:rsid w:val="000A1DD8"/>
    <w:rsid w:val="000B4F8E"/>
    <w:rsid w:val="000C267F"/>
    <w:rsid w:val="000C628E"/>
    <w:rsid w:val="000C6DDB"/>
    <w:rsid w:val="000D2C1E"/>
    <w:rsid w:val="000D42D2"/>
    <w:rsid w:val="000E0714"/>
    <w:rsid w:val="000E248E"/>
    <w:rsid w:val="000E2E77"/>
    <w:rsid w:val="000E3148"/>
    <w:rsid w:val="000E4583"/>
    <w:rsid w:val="000E5637"/>
    <w:rsid w:val="000E6751"/>
    <w:rsid w:val="000F35FB"/>
    <w:rsid w:val="000F5602"/>
    <w:rsid w:val="000F641C"/>
    <w:rsid w:val="000F6AC8"/>
    <w:rsid w:val="00100183"/>
    <w:rsid w:val="00104F40"/>
    <w:rsid w:val="00106FCE"/>
    <w:rsid w:val="0010761A"/>
    <w:rsid w:val="00107DD8"/>
    <w:rsid w:val="00111E27"/>
    <w:rsid w:val="00113606"/>
    <w:rsid w:val="00115908"/>
    <w:rsid w:val="001173EA"/>
    <w:rsid w:val="001218E7"/>
    <w:rsid w:val="00122D2D"/>
    <w:rsid w:val="00123B5C"/>
    <w:rsid w:val="001244E8"/>
    <w:rsid w:val="00125926"/>
    <w:rsid w:val="0013056A"/>
    <w:rsid w:val="00132888"/>
    <w:rsid w:val="00135C75"/>
    <w:rsid w:val="00136320"/>
    <w:rsid w:val="00145E77"/>
    <w:rsid w:val="0014650F"/>
    <w:rsid w:val="001501F3"/>
    <w:rsid w:val="00150874"/>
    <w:rsid w:val="001509F3"/>
    <w:rsid w:val="001535A3"/>
    <w:rsid w:val="00155247"/>
    <w:rsid w:val="00155839"/>
    <w:rsid w:val="001559C0"/>
    <w:rsid w:val="00157690"/>
    <w:rsid w:val="0016133C"/>
    <w:rsid w:val="0016602D"/>
    <w:rsid w:val="00166D86"/>
    <w:rsid w:val="00166EF6"/>
    <w:rsid w:val="00167167"/>
    <w:rsid w:val="00170452"/>
    <w:rsid w:val="001743F1"/>
    <w:rsid w:val="00175610"/>
    <w:rsid w:val="00177827"/>
    <w:rsid w:val="00180BCD"/>
    <w:rsid w:val="00184504"/>
    <w:rsid w:val="001853E3"/>
    <w:rsid w:val="00197B76"/>
    <w:rsid w:val="001A3035"/>
    <w:rsid w:val="001A327F"/>
    <w:rsid w:val="001A4421"/>
    <w:rsid w:val="001A7D5B"/>
    <w:rsid w:val="001B43CF"/>
    <w:rsid w:val="001B5DBB"/>
    <w:rsid w:val="001C2976"/>
    <w:rsid w:val="001C2CB5"/>
    <w:rsid w:val="001C5231"/>
    <w:rsid w:val="001D69DA"/>
    <w:rsid w:val="001E0980"/>
    <w:rsid w:val="001E23C4"/>
    <w:rsid w:val="001E32D6"/>
    <w:rsid w:val="001F0EB8"/>
    <w:rsid w:val="001F46AC"/>
    <w:rsid w:val="001F57CE"/>
    <w:rsid w:val="001F76E5"/>
    <w:rsid w:val="001F7D84"/>
    <w:rsid w:val="002003EE"/>
    <w:rsid w:val="00204178"/>
    <w:rsid w:val="002068FD"/>
    <w:rsid w:val="002074BB"/>
    <w:rsid w:val="00210792"/>
    <w:rsid w:val="00210ABC"/>
    <w:rsid w:val="00212803"/>
    <w:rsid w:val="0021491D"/>
    <w:rsid w:val="002276B1"/>
    <w:rsid w:val="002277A9"/>
    <w:rsid w:val="002313D5"/>
    <w:rsid w:val="00233737"/>
    <w:rsid w:val="00233BFA"/>
    <w:rsid w:val="002476C7"/>
    <w:rsid w:val="00250479"/>
    <w:rsid w:val="00254E28"/>
    <w:rsid w:val="00261E4C"/>
    <w:rsid w:val="00262EE7"/>
    <w:rsid w:val="002660EB"/>
    <w:rsid w:val="002674AC"/>
    <w:rsid w:val="002814E3"/>
    <w:rsid w:val="00281F70"/>
    <w:rsid w:val="00284198"/>
    <w:rsid w:val="002841FC"/>
    <w:rsid w:val="00284FCB"/>
    <w:rsid w:val="00286E62"/>
    <w:rsid w:val="00290E19"/>
    <w:rsid w:val="00291879"/>
    <w:rsid w:val="0029248F"/>
    <w:rsid w:val="00297AE9"/>
    <w:rsid w:val="002A1A83"/>
    <w:rsid w:val="002A4F9E"/>
    <w:rsid w:val="002A52A6"/>
    <w:rsid w:val="002A5370"/>
    <w:rsid w:val="002A74F4"/>
    <w:rsid w:val="002B3CA8"/>
    <w:rsid w:val="002C1AA8"/>
    <w:rsid w:val="002D0925"/>
    <w:rsid w:val="002D4D4E"/>
    <w:rsid w:val="002D6FC6"/>
    <w:rsid w:val="002E196B"/>
    <w:rsid w:val="002E54F0"/>
    <w:rsid w:val="002E608A"/>
    <w:rsid w:val="002E7B38"/>
    <w:rsid w:val="002F1825"/>
    <w:rsid w:val="002F387B"/>
    <w:rsid w:val="002F50A3"/>
    <w:rsid w:val="0030276A"/>
    <w:rsid w:val="003030ED"/>
    <w:rsid w:val="0030392A"/>
    <w:rsid w:val="00306826"/>
    <w:rsid w:val="00317496"/>
    <w:rsid w:val="0031787F"/>
    <w:rsid w:val="00321389"/>
    <w:rsid w:val="00323476"/>
    <w:rsid w:val="003241F8"/>
    <w:rsid w:val="00324FF8"/>
    <w:rsid w:val="00325285"/>
    <w:rsid w:val="00326575"/>
    <w:rsid w:val="0033008C"/>
    <w:rsid w:val="0033145C"/>
    <w:rsid w:val="0033252A"/>
    <w:rsid w:val="00334C72"/>
    <w:rsid w:val="00334CE3"/>
    <w:rsid w:val="00340B4D"/>
    <w:rsid w:val="00340CDC"/>
    <w:rsid w:val="00341603"/>
    <w:rsid w:val="00342A9F"/>
    <w:rsid w:val="0034393B"/>
    <w:rsid w:val="0035000B"/>
    <w:rsid w:val="00355C33"/>
    <w:rsid w:val="003573F9"/>
    <w:rsid w:val="0036195B"/>
    <w:rsid w:val="00365445"/>
    <w:rsid w:val="00367CFD"/>
    <w:rsid w:val="0037179B"/>
    <w:rsid w:val="003732D8"/>
    <w:rsid w:val="0038013F"/>
    <w:rsid w:val="00381F2C"/>
    <w:rsid w:val="003870AA"/>
    <w:rsid w:val="0039025D"/>
    <w:rsid w:val="00397C94"/>
    <w:rsid w:val="003A0BF7"/>
    <w:rsid w:val="003A17B7"/>
    <w:rsid w:val="003A39DB"/>
    <w:rsid w:val="003B16DA"/>
    <w:rsid w:val="003B483E"/>
    <w:rsid w:val="003C056B"/>
    <w:rsid w:val="003C1FA3"/>
    <w:rsid w:val="003C35FF"/>
    <w:rsid w:val="003C49EF"/>
    <w:rsid w:val="003C4BC1"/>
    <w:rsid w:val="003C5170"/>
    <w:rsid w:val="003C5A4E"/>
    <w:rsid w:val="003D2346"/>
    <w:rsid w:val="003D5EB0"/>
    <w:rsid w:val="003D6251"/>
    <w:rsid w:val="003D65D9"/>
    <w:rsid w:val="003E3185"/>
    <w:rsid w:val="003E67CB"/>
    <w:rsid w:val="003F084D"/>
    <w:rsid w:val="003F1BEF"/>
    <w:rsid w:val="003F2512"/>
    <w:rsid w:val="003F54BB"/>
    <w:rsid w:val="003F6A47"/>
    <w:rsid w:val="0040109E"/>
    <w:rsid w:val="004044A0"/>
    <w:rsid w:val="00404960"/>
    <w:rsid w:val="0041378D"/>
    <w:rsid w:val="00417B32"/>
    <w:rsid w:val="004202CD"/>
    <w:rsid w:val="00426D09"/>
    <w:rsid w:val="00430FD7"/>
    <w:rsid w:val="0043169E"/>
    <w:rsid w:val="004325F1"/>
    <w:rsid w:val="00434C5B"/>
    <w:rsid w:val="00447C46"/>
    <w:rsid w:val="0046508F"/>
    <w:rsid w:val="00467626"/>
    <w:rsid w:val="0047118F"/>
    <w:rsid w:val="00472AE2"/>
    <w:rsid w:val="0047428C"/>
    <w:rsid w:val="00477D67"/>
    <w:rsid w:val="004809B2"/>
    <w:rsid w:val="00480D71"/>
    <w:rsid w:val="00482EC5"/>
    <w:rsid w:val="0048643A"/>
    <w:rsid w:val="0048663C"/>
    <w:rsid w:val="00487534"/>
    <w:rsid w:val="00491B88"/>
    <w:rsid w:val="004926AC"/>
    <w:rsid w:val="00492AC9"/>
    <w:rsid w:val="0049453B"/>
    <w:rsid w:val="00494E7C"/>
    <w:rsid w:val="004962FE"/>
    <w:rsid w:val="004A0C0F"/>
    <w:rsid w:val="004A1655"/>
    <w:rsid w:val="004A2BA4"/>
    <w:rsid w:val="004A3160"/>
    <w:rsid w:val="004A5B35"/>
    <w:rsid w:val="004B34E5"/>
    <w:rsid w:val="004B355A"/>
    <w:rsid w:val="004B3BB0"/>
    <w:rsid w:val="004B48BA"/>
    <w:rsid w:val="004C0996"/>
    <w:rsid w:val="004C4063"/>
    <w:rsid w:val="004C551B"/>
    <w:rsid w:val="004C7845"/>
    <w:rsid w:val="004D33F4"/>
    <w:rsid w:val="004D4036"/>
    <w:rsid w:val="004D4802"/>
    <w:rsid w:val="004D4BAD"/>
    <w:rsid w:val="004E086C"/>
    <w:rsid w:val="004E43FB"/>
    <w:rsid w:val="004E7227"/>
    <w:rsid w:val="004F6DEE"/>
    <w:rsid w:val="005044DB"/>
    <w:rsid w:val="00506B3F"/>
    <w:rsid w:val="00510E36"/>
    <w:rsid w:val="0051297F"/>
    <w:rsid w:val="00512D9B"/>
    <w:rsid w:val="00513B69"/>
    <w:rsid w:val="005162C4"/>
    <w:rsid w:val="00516BFC"/>
    <w:rsid w:val="00520315"/>
    <w:rsid w:val="0052276C"/>
    <w:rsid w:val="00522F4D"/>
    <w:rsid w:val="00526152"/>
    <w:rsid w:val="005321B3"/>
    <w:rsid w:val="00532395"/>
    <w:rsid w:val="005329E0"/>
    <w:rsid w:val="005341BB"/>
    <w:rsid w:val="00541888"/>
    <w:rsid w:val="00541B94"/>
    <w:rsid w:val="00542313"/>
    <w:rsid w:val="00543AFF"/>
    <w:rsid w:val="005458F4"/>
    <w:rsid w:val="00553DB5"/>
    <w:rsid w:val="00565849"/>
    <w:rsid w:val="00567229"/>
    <w:rsid w:val="00570758"/>
    <w:rsid w:val="00570F51"/>
    <w:rsid w:val="00572952"/>
    <w:rsid w:val="00573F81"/>
    <w:rsid w:val="005765F7"/>
    <w:rsid w:val="00577091"/>
    <w:rsid w:val="005814F5"/>
    <w:rsid w:val="005850DC"/>
    <w:rsid w:val="005879C5"/>
    <w:rsid w:val="005946AC"/>
    <w:rsid w:val="0059594B"/>
    <w:rsid w:val="005A7276"/>
    <w:rsid w:val="005B1C37"/>
    <w:rsid w:val="005B328D"/>
    <w:rsid w:val="005B6FFF"/>
    <w:rsid w:val="005B7B98"/>
    <w:rsid w:val="005C0CC4"/>
    <w:rsid w:val="005C277E"/>
    <w:rsid w:val="005C61F8"/>
    <w:rsid w:val="005D0BCE"/>
    <w:rsid w:val="005D2AA0"/>
    <w:rsid w:val="005E4764"/>
    <w:rsid w:val="005E5359"/>
    <w:rsid w:val="005E715B"/>
    <w:rsid w:val="005F16CF"/>
    <w:rsid w:val="005F2D0A"/>
    <w:rsid w:val="005F31C9"/>
    <w:rsid w:val="00613A60"/>
    <w:rsid w:val="00613C39"/>
    <w:rsid w:val="00615131"/>
    <w:rsid w:val="00615993"/>
    <w:rsid w:val="00616464"/>
    <w:rsid w:val="006172E1"/>
    <w:rsid w:val="00625226"/>
    <w:rsid w:val="00627308"/>
    <w:rsid w:val="00631598"/>
    <w:rsid w:val="00632595"/>
    <w:rsid w:val="00632875"/>
    <w:rsid w:val="006346F3"/>
    <w:rsid w:val="00634A28"/>
    <w:rsid w:val="00635B27"/>
    <w:rsid w:val="00636023"/>
    <w:rsid w:val="00641C0D"/>
    <w:rsid w:val="006506BB"/>
    <w:rsid w:val="00650A37"/>
    <w:rsid w:val="00652973"/>
    <w:rsid w:val="00656182"/>
    <w:rsid w:val="00656679"/>
    <w:rsid w:val="006600E3"/>
    <w:rsid w:val="0066537A"/>
    <w:rsid w:val="00671267"/>
    <w:rsid w:val="00675025"/>
    <w:rsid w:val="00675A65"/>
    <w:rsid w:val="0067712D"/>
    <w:rsid w:val="006779D2"/>
    <w:rsid w:val="00680710"/>
    <w:rsid w:val="00682A97"/>
    <w:rsid w:val="0068387C"/>
    <w:rsid w:val="006840EB"/>
    <w:rsid w:val="00685086"/>
    <w:rsid w:val="006916AA"/>
    <w:rsid w:val="006925E1"/>
    <w:rsid w:val="00696A48"/>
    <w:rsid w:val="006A0315"/>
    <w:rsid w:val="006A1CE4"/>
    <w:rsid w:val="006A2D3F"/>
    <w:rsid w:val="006A37F8"/>
    <w:rsid w:val="006B1502"/>
    <w:rsid w:val="006B2B3D"/>
    <w:rsid w:val="006B7940"/>
    <w:rsid w:val="006C0C87"/>
    <w:rsid w:val="006C2AC8"/>
    <w:rsid w:val="006C5DA9"/>
    <w:rsid w:val="006D500E"/>
    <w:rsid w:val="006E203A"/>
    <w:rsid w:val="006E6CB1"/>
    <w:rsid w:val="006E7939"/>
    <w:rsid w:val="006F6F83"/>
    <w:rsid w:val="006F7A7F"/>
    <w:rsid w:val="00703319"/>
    <w:rsid w:val="007037A4"/>
    <w:rsid w:val="00703D5C"/>
    <w:rsid w:val="00705CA8"/>
    <w:rsid w:val="00707811"/>
    <w:rsid w:val="00711FC4"/>
    <w:rsid w:val="00712D9F"/>
    <w:rsid w:val="007152B0"/>
    <w:rsid w:val="0071544F"/>
    <w:rsid w:val="00720A8C"/>
    <w:rsid w:val="007216F1"/>
    <w:rsid w:val="007217B2"/>
    <w:rsid w:val="00722CE8"/>
    <w:rsid w:val="00726000"/>
    <w:rsid w:val="00731EC8"/>
    <w:rsid w:val="00735219"/>
    <w:rsid w:val="0073651D"/>
    <w:rsid w:val="00737FC1"/>
    <w:rsid w:val="0074249A"/>
    <w:rsid w:val="00742534"/>
    <w:rsid w:val="007448A0"/>
    <w:rsid w:val="00744B8C"/>
    <w:rsid w:val="00745C67"/>
    <w:rsid w:val="00753B01"/>
    <w:rsid w:val="00753CD8"/>
    <w:rsid w:val="0077053B"/>
    <w:rsid w:val="007744EE"/>
    <w:rsid w:val="007744F1"/>
    <w:rsid w:val="00777A1E"/>
    <w:rsid w:val="00783F44"/>
    <w:rsid w:val="00784F4E"/>
    <w:rsid w:val="00786F6B"/>
    <w:rsid w:val="00787494"/>
    <w:rsid w:val="00790D6E"/>
    <w:rsid w:val="00794979"/>
    <w:rsid w:val="00794DC4"/>
    <w:rsid w:val="00794DD6"/>
    <w:rsid w:val="0079657F"/>
    <w:rsid w:val="007A2079"/>
    <w:rsid w:val="007A22AF"/>
    <w:rsid w:val="007A3E8F"/>
    <w:rsid w:val="007A4C39"/>
    <w:rsid w:val="007B0228"/>
    <w:rsid w:val="007B0FBB"/>
    <w:rsid w:val="007B137C"/>
    <w:rsid w:val="007B1EF8"/>
    <w:rsid w:val="007B455C"/>
    <w:rsid w:val="007B6C4A"/>
    <w:rsid w:val="007C0A0F"/>
    <w:rsid w:val="007C3281"/>
    <w:rsid w:val="007C36D0"/>
    <w:rsid w:val="007C3AF4"/>
    <w:rsid w:val="007C50A7"/>
    <w:rsid w:val="007C75D3"/>
    <w:rsid w:val="007D0444"/>
    <w:rsid w:val="007D1FE2"/>
    <w:rsid w:val="007D27EC"/>
    <w:rsid w:val="007D3241"/>
    <w:rsid w:val="007D653F"/>
    <w:rsid w:val="007D720C"/>
    <w:rsid w:val="007E2D8C"/>
    <w:rsid w:val="007F188B"/>
    <w:rsid w:val="007F3ADB"/>
    <w:rsid w:val="007F604D"/>
    <w:rsid w:val="00800A2B"/>
    <w:rsid w:val="008021D8"/>
    <w:rsid w:val="00802C50"/>
    <w:rsid w:val="00802F79"/>
    <w:rsid w:val="008056ED"/>
    <w:rsid w:val="00805C2F"/>
    <w:rsid w:val="00806C1C"/>
    <w:rsid w:val="00810F03"/>
    <w:rsid w:val="00813931"/>
    <w:rsid w:val="00815540"/>
    <w:rsid w:val="00815BDE"/>
    <w:rsid w:val="00817A80"/>
    <w:rsid w:val="00817E3A"/>
    <w:rsid w:val="008246B0"/>
    <w:rsid w:val="00826757"/>
    <w:rsid w:val="00831798"/>
    <w:rsid w:val="008329D1"/>
    <w:rsid w:val="00833984"/>
    <w:rsid w:val="0083433E"/>
    <w:rsid w:val="00840011"/>
    <w:rsid w:val="00842044"/>
    <w:rsid w:val="00843A72"/>
    <w:rsid w:val="00844F53"/>
    <w:rsid w:val="0084604B"/>
    <w:rsid w:val="008461D2"/>
    <w:rsid w:val="00847A9E"/>
    <w:rsid w:val="008515DF"/>
    <w:rsid w:val="00852661"/>
    <w:rsid w:val="00852F44"/>
    <w:rsid w:val="00854DE8"/>
    <w:rsid w:val="00855535"/>
    <w:rsid w:val="00855BBD"/>
    <w:rsid w:val="00856DB5"/>
    <w:rsid w:val="00856DFC"/>
    <w:rsid w:val="008603E9"/>
    <w:rsid w:val="00864FB8"/>
    <w:rsid w:val="008662AD"/>
    <w:rsid w:val="00870DBD"/>
    <w:rsid w:val="0087323D"/>
    <w:rsid w:val="008732FC"/>
    <w:rsid w:val="00874DA5"/>
    <w:rsid w:val="00875235"/>
    <w:rsid w:val="0088321C"/>
    <w:rsid w:val="00886FDE"/>
    <w:rsid w:val="00890BDE"/>
    <w:rsid w:val="0089189A"/>
    <w:rsid w:val="008923B6"/>
    <w:rsid w:val="00892D06"/>
    <w:rsid w:val="00894271"/>
    <w:rsid w:val="008A1E75"/>
    <w:rsid w:val="008A1E99"/>
    <w:rsid w:val="008A474D"/>
    <w:rsid w:val="008A5989"/>
    <w:rsid w:val="008A5A64"/>
    <w:rsid w:val="008B048F"/>
    <w:rsid w:val="008B150C"/>
    <w:rsid w:val="008B1BD0"/>
    <w:rsid w:val="008B22E2"/>
    <w:rsid w:val="008B4B8A"/>
    <w:rsid w:val="008B7412"/>
    <w:rsid w:val="008C0A74"/>
    <w:rsid w:val="008C0D4D"/>
    <w:rsid w:val="008C2283"/>
    <w:rsid w:val="008C229E"/>
    <w:rsid w:val="008C4CFF"/>
    <w:rsid w:val="008C6B35"/>
    <w:rsid w:val="008D4C23"/>
    <w:rsid w:val="008D5A7E"/>
    <w:rsid w:val="008D7066"/>
    <w:rsid w:val="008D7935"/>
    <w:rsid w:val="008E0670"/>
    <w:rsid w:val="008E0A86"/>
    <w:rsid w:val="008E1AD1"/>
    <w:rsid w:val="008E2DF4"/>
    <w:rsid w:val="008E5938"/>
    <w:rsid w:val="008E64B0"/>
    <w:rsid w:val="008F20BA"/>
    <w:rsid w:val="008F5C9B"/>
    <w:rsid w:val="00900B6E"/>
    <w:rsid w:val="009058B5"/>
    <w:rsid w:val="00907074"/>
    <w:rsid w:val="009074CF"/>
    <w:rsid w:val="00907F78"/>
    <w:rsid w:val="00911FA1"/>
    <w:rsid w:val="00912B6B"/>
    <w:rsid w:val="00913C2F"/>
    <w:rsid w:val="00922B06"/>
    <w:rsid w:val="00931177"/>
    <w:rsid w:val="00933317"/>
    <w:rsid w:val="00935D76"/>
    <w:rsid w:val="00941446"/>
    <w:rsid w:val="00941FE9"/>
    <w:rsid w:val="009461ED"/>
    <w:rsid w:val="009538E6"/>
    <w:rsid w:val="00954EE0"/>
    <w:rsid w:val="00967D12"/>
    <w:rsid w:val="009702CC"/>
    <w:rsid w:val="009704E4"/>
    <w:rsid w:val="009706E0"/>
    <w:rsid w:val="00974CA9"/>
    <w:rsid w:val="00977333"/>
    <w:rsid w:val="009775C7"/>
    <w:rsid w:val="0098249E"/>
    <w:rsid w:val="00985B5C"/>
    <w:rsid w:val="009863A6"/>
    <w:rsid w:val="009872FF"/>
    <w:rsid w:val="00987A5C"/>
    <w:rsid w:val="00987E5B"/>
    <w:rsid w:val="009900E8"/>
    <w:rsid w:val="00994936"/>
    <w:rsid w:val="009A3B8E"/>
    <w:rsid w:val="009B0057"/>
    <w:rsid w:val="009B1FE5"/>
    <w:rsid w:val="009B5E1C"/>
    <w:rsid w:val="009C0E21"/>
    <w:rsid w:val="009C22BE"/>
    <w:rsid w:val="009C368F"/>
    <w:rsid w:val="009C3F75"/>
    <w:rsid w:val="009D2A2B"/>
    <w:rsid w:val="009D3BED"/>
    <w:rsid w:val="009D471F"/>
    <w:rsid w:val="009D70DB"/>
    <w:rsid w:val="009E231A"/>
    <w:rsid w:val="009E2F64"/>
    <w:rsid w:val="009F0C28"/>
    <w:rsid w:val="009F64B8"/>
    <w:rsid w:val="009F6546"/>
    <w:rsid w:val="00A0092A"/>
    <w:rsid w:val="00A015A5"/>
    <w:rsid w:val="00A02F0D"/>
    <w:rsid w:val="00A04C67"/>
    <w:rsid w:val="00A06053"/>
    <w:rsid w:val="00A10A6B"/>
    <w:rsid w:val="00A10E2B"/>
    <w:rsid w:val="00A121B1"/>
    <w:rsid w:val="00A1341F"/>
    <w:rsid w:val="00A24768"/>
    <w:rsid w:val="00A30084"/>
    <w:rsid w:val="00A31724"/>
    <w:rsid w:val="00A401DE"/>
    <w:rsid w:val="00A40E21"/>
    <w:rsid w:val="00A45234"/>
    <w:rsid w:val="00A46ECB"/>
    <w:rsid w:val="00A50895"/>
    <w:rsid w:val="00A55584"/>
    <w:rsid w:val="00A5674C"/>
    <w:rsid w:val="00A567A3"/>
    <w:rsid w:val="00A56A4A"/>
    <w:rsid w:val="00A56C1A"/>
    <w:rsid w:val="00A5768C"/>
    <w:rsid w:val="00A61556"/>
    <w:rsid w:val="00A640DF"/>
    <w:rsid w:val="00A66890"/>
    <w:rsid w:val="00A72347"/>
    <w:rsid w:val="00A72860"/>
    <w:rsid w:val="00A73318"/>
    <w:rsid w:val="00A73994"/>
    <w:rsid w:val="00A73C73"/>
    <w:rsid w:val="00A773C1"/>
    <w:rsid w:val="00A7778A"/>
    <w:rsid w:val="00A81ADD"/>
    <w:rsid w:val="00A83FF1"/>
    <w:rsid w:val="00A85A2B"/>
    <w:rsid w:val="00A85AE2"/>
    <w:rsid w:val="00A90926"/>
    <w:rsid w:val="00A932E9"/>
    <w:rsid w:val="00A93402"/>
    <w:rsid w:val="00A93867"/>
    <w:rsid w:val="00A93D93"/>
    <w:rsid w:val="00A94FCF"/>
    <w:rsid w:val="00AA44D4"/>
    <w:rsid w:val="00AA47DE"/>
    <w:rsid w:val="00AA58C9"/>
    <w:rsid w:val="00AB1B88"/>
    <w:rsid w:val="00AB466B"/>
    <w:rsid w:val="00AB5240"/>
    <w:rsid w:val="00AB667E"/>
    <w:rsid w:val="00AB6EA7"/>
    <w:rsid w:val="00AB7C9D"/>
    <w:rsid w:val="00AC037F"/>
    <w:rsid w:val="00AC053D"/>
    <w:rsid w:val="00AC688A"/>
    <w:rsid w:val="00AD1048"/>
    <w:rsid w:val="00AD1F6F"/>
    <w:rsid w:val="00AD3E20"/>
    <w:rsid w:val="00AD408F"/>
    <w:rsid w:val="00AE33C0"/>
    <w:rsid w:val="00AE5760"/>
    <w:rsid w:val="00AE7B10"/>
    <w:rsid w:val="00AF1005"/>
    <w:rsid w:val="00AF2925"/>
    <w:rsid w:val="00AF48BE"/>
    <w:rsid w:val="00AF48F2"/>
    <w:rsid w:val="00AF50CE"/>
    <w:rsid w:val="00B00FC5"/>
    <w:rsid w:val="00B01CB2"/>
    <w:rsid w:val="00B057E6"/>
    <w:rsid w:val="00B05F5C"/>
    <w:rsid w:val="00B11075"/>
    <w:rsid w:val="00B11B39"/>
    <w:rsid w:val="00B12E77"/>
    <w:rsid w:val="00B14CEC"/>
    <w:rsid w:val="00B22C6F"/>
    <w:rsid w:val="00B2367E"/>
    <w:rsid w:val="00B27A83"/>
    <w:rsid w:val="00B27C41"/>
    <w:rsid w:val="00B341DC"/>
    <w:rsid w:val="00B35CA4"/>
    <w:rsid w:val="00B41174"/>
    <w:rsid w:val="00B41272"/>
    <w:rsid w:val="00B4168C"/>
    <w:rsid w:val="00B426FE"/>
    <w:rsid w:val="00B51322"/>
    <w:rsid w:val="00B5166E"/>
    <w:rsid w:val="00B63E06"/>
    <w:rsid w:val="00B63ED1"/>
    <w:rsid w:val="00B64088"/>
    <w:rsid w:val="00B64301"/>
    <w:rsid w:val="00B6663B"/>
    <w:rsid w:val="00B7597A"/>
    <w:rsid w:val="00B77043"/>
    <w:rsid w:val="00B81CF4"/>
    <w:rsid w:val="00B84E3B"/>
    <w:rsid w:val="00B86D06"/>
    <w:rsid w:val="00B956F3"/>
    <w:rsid w:val="00B96C19"/>
    <w:rsid w:val="00B97217"/>
    <w:rsid w:val="00B97A1F"/>
    <w:rsid w:val="00BA1B27"/>
    <w:rsid w:val="00BA1CB4"/>
    <w:rsid w:val="00BA2740"/>
    <w:rsid w:val="00BA2D16"/>
    <w:rsid w:val="00BA5495"/>
    <w:rsid w:val="00BA55BA"/>
    <w:rsid w:val="00BB113D"/>
    <w:rsid w:val="00BB14EE"/>
    <w:rsid w:val="00BB243B"/>
    <w:rsid w:val="00BB2A6C"/>
    <w:rsid w:val="00BC18BA"/>
    <w:rsid w:val="00BC230A"/>
    <w:rsid w:val="00BC3470"/>
    <w:rsid w:val="00BC35D2"/>
    <w:rsid w:val="00BC3A7C"/>
    <w:rsid w:val="00BC3AB6"/>
    <w:rsid w:val="00BC5808"/>
    <w:rsid w:val="00BC5DBC"/>
    <w:rsid w:val="00BC6D6F"/>
    <w:rsid w:val="00BC770A"/>
    <w:rsid w:val="00BC7C47"/>
    <w:rsid w:val="00BD07BC"/>
    <w:rsid w:val="00BE1FB1"/>
    <w:rsid w:val="00BE2174"/>
    <w:rsid w:val="00BE23D6"/>
    <w:rsid w:val="00BE2695"/>
    <w:rsid w:val="00BE4338"/>
    <w:rsid w:val="00BE4665"/>
    <w:rsid w:val="00BF1AAF"/>
    <w:rsid w:val="00BF31F4"/>
    <w:rsid w:val="00BF49AF"/>
    <w:rsid w:val="00BF690E"/>
    <w:rsid w:val="00C053D5"/>
    <w:rsid w:val="00C05875"/>
    <w:rsid w:val="00C07AE7"/>
    <w:rsid w:val="00C11894"/>
    <w:rsid w:val="00C14828"/>
    <w:rsid w:val="00C17699"/>
    <w:rsid w:val="00C20733"/>
    <w:rsid w:val="00C21BA3"/>
    <w:rsid w:val="00C22130"/>
    <w:rsid w:val="00C22199"/>
    <w:rsid w:val="00C235FD"/>
    <w:rsid w:val="00C241C8"/>
    <w:rsid w:val="00C24F18"/>
    <w:rsid w:val="00C33511"/>
    <w:rsid w:val="00C33572"/>
    <w:rsid w:val="00C37003"/>
    <w:rsid w:val="00C450B4"/>
    <w:rsid w:val="00C4709B"/>
    <w:rsid w:val="00C477D1"/>
    <w:rsid w:val="00C524A0"/>
    <w:rsid w:val="00C54125"/>
    <w:rsid w:val="00C559F5"/>
    <w:rsid w:val="00C62B63"/>
    <w:rsid w:val="00C63294"/>
    <w:rsid w:val="00C63A68"/>
    <w:rsid w:val="00C64E83"/>
    <w:rsid w:val="00C6626F"/>
    <w:rsid w:val="00C70BD1"/>
    <w:rsid w:val="00C74818"/>
    <w:rsid w:val="00C74BEA"/>
    <w:rsid w:val="00C77292"/>
    <w:rsid w:val="00C77305"/>
    <w:rsid w:val="00C77652"/>
    <w:rsid w:val="00C77DC6"/>
    <w:rsid w:val="00C801DA"/>
    <w:rsid w:val="00C86A94"/>
    <w:rsid w:val="00C926F0"/>
    <w:rsid w:val="00C9656D"/>
    <w:rsid w:val="00CA1F69"/>
    <w:rsid w:val="00CA4AFC"/>
    <w:rsid w:val="00CA5354"/>
    <w:rsid w:val="00CC140A"/>
    <w:rsid w:val="00CC508D"/>
    <w:rsid w:val="00CC5320"/>
    <w:rsid w:val="00CC6E23"/>
    <w:rsid w:val="00CC79C8"/>
    <w:rsid w:val="00CC7D50"/>
    <w:rsid w:val="00CD0219"/>
    <w:rsid w:val="00CD30D7"/>
    <w:rsid w:val="00CD32B0"/>
    <w:rsid w:val="00CD54E2"/>
    <w:rsid w:val="00CD592E"/>
    <w:rsid w:val="00CD5B44"/>
    <w:rsid w:val="00CD5F32"/>
    <w:rsid w:val="00CD5F9C"/>
    <w:rsid w:val="00CE1B6D"/>
    <w:rsid w:val="00CE3C68"/>
    <w:rsid w:val="00CE3E4E"/>
    <w:rsid w:val="00CF017A"/>
    <w:rsid w:val="00CF3CED"/>
    <w:rsid w:val="00CF6841"/>
    <w:rsid w:val="00CF7C87"/>
    <w:rsid w:val="00D0755D"/>
    <w:rsid w:val="00D078A5"/>
    <w:rsid w:val="00D13A1E"/>
    <w:rsid w:val="00D1610E"/>
    <w:rsid w:val="00D21B79"/>
    <w:rsid w:val="00D221EC"/>
    <w:rsid w:val="00D230DC"/>
    <w:rsid w:val="00D25C1B"/>
    <w:rsid w:val="00D26A9C"/>
    <w:rsid w:val="00D30EEB"/>
    <w:rsid w:val="00D41369"/>
    <w:rsid w:val="00D4236E"/>
    <w:rsid w:val="00D43B5F"/>
    <w:rsid w:val="00D453A5"/>
    <w:rsid w:val="00D63115"/>
    <w:rsid w:val="00D66F6C"/>
    <w:rsid w:val="00D67F85"/>
    <w:rsid w:val="00D70272"/>
    <w:rsid w:val="00D7376D"/>
    <w:rsid w:val="00D743FB"/>
    <w:rsid w:val="00D74AC8"/>
    <w:rsid w:val="00D77968"/>
    <w:rsid w:val="00D802EF"/>
    <w:rsid w:val="00D806B0"/>
    <w:rsid w:val="00D80FF3"/>
    <w:rsid w:val="00D836EA"/>
    <w:rsid w:val="00D84B79"/>
    <w:rsid w:val="00D8614D"/>
    <w:rsid w:val="00D927F1"/>
    <w:rsid w:val="00D92B79"/>
    <w:rsid w:val="00D955E1"/>
    <w:rsid w:val="00D97DC6"/>
    <w:rsid w:val="00DA1740"/>
    <w:rsid w:val="00DB1C51"/>
    <w:rsid w:val="00DB288B"/>
    <w:rsid w:val="00DB599C"/>
    <w:rsid w:val="00DB76D0"/>
    <w:rsid w:val="00DC0F38"/>
    <w:rsid w:val="00DC3904"/>
    <w:rsid w:val="00DC3B78"/>
    <w:rsid w:val="00DC5F5C"/>
    <w:rsid w:val="00DC631E"/>
    <w:rsid w:val="00DC6D36"/>
    <w:rsid w:val="00DC7A8C"/>
    <w:rsid w:val="00DD11E9"/>
    <w:rsid w:val="00DD1CB5"/>
    <w:rsid w:val="00DD4F64"/>
    <w:rsid w:val="00DE1E98"/>
    <w:rsid w:val="00DE2C71"/>
    <w:rsid w:val="00DE7E73"/>
    <w:rsid w:val="00DF22B0"/>
    <w:rsid w:val="00DF2EA9"/>
    <w:rsid w:val="00DF42E4"/>
    <w:rsid w:val="00DF67B0"/>
    <w:rsid w:val="00DF7E9C"/>
    <w:rsid w:val="00E06B95"/>
    <w:rsid w:val="00E0743E"/>
    <w:rsid w:val="00E123CB"/>
    <w:rsid w:val="00E14FA9"/>
    <w:rsid w:val="00E15963"/>
    <w:rsid w:val="00E236D0"/>
    <w:rsid w:val="00E240D2"/>
    <w:rsid w:val="00E25F0B"/>
    <w:rsid w:val="00E30161"/>
    <w:rsid w:val="00E365F8"/>
    <w:rsid w:val="00E41023"/>
    <w:rsid w:val="00E456C9"/>
    <w:rsid w:val="00E45A10"/>
    <w:rsid w:val="00E52313"/>
    <w:rsid w:val="00E56EC1"/>
    <w:rsid w:val="00E572A6"/>
    <w:rsid w:val="00E57478"/>
    <w:rsid w:val="00E60A90"/>
    <w:rsid w:val="00E62723"/>
    <w:rsid w:val="00E639BD"/>
    <w:rsid w:val="00E63CD2"/>
    <w:rsid w:val="00E640E9"/>
    <w:rsid w:val="00E71D26"/>
    <w:rsid w:val="00E72331"/>
    <w:rsid w:val="00E7348E"/>
    <w:rsid w:val="00E81A91"/>
    <w:rsid w:val="00E86537"/>
    <w:rsid w:val="00E90761"/>
    <w:rsid w:val="00E93101"/>
    <w:rsid w:val="00E938C5"/>
    <w:rsid w:val="00E94E69"/>
    <w:rsid w:val="00E95812"/>
    <w:rsid w:val="00E95948"/>
    <w:rsid w:val="00EA1F3D"/>
    <w:rsid w:val="00EA4590"/>
    <w:rsid w:val="00EA464E"/>
    <w:rsid w:val="00EB075E"/>
    <w:rsid w:val="00EB38A1"/>
    <w:rsid w:val="00EB5130"/>
    <w:rsid w:val="00EB7D54"/>
    <w:rsid w:val="00EC0CAE"/>
    <w:rsid w:val="00EC29E3"/>
    <w:rsid w:val="00EC3B91"/>
    <w:rsid w:val="00EC64D8"/>
    <w:rsid w:val="00EC6AD2"/>
    <w:rsid w:val="00EC6C5F"/>
    <w:rsid w:val="00EC776A"/>
    <w:rsid w:val="00EC7B2C"/>
    <w:rsid w:val="00EC7C3B"/>
    <w:rsid w:val="00ED0623"/>
    <w:rsid w:val="00ED24F6"/>
    <w:rsid w:val="00ED4D6D"/>
    <w:rsid w:val="00ED5DD0"/>
    <w:rsid w:val="00EE0187"/>
    <w:rsid w:val="00EE140B"/>
    <w:rsid w:val="00EE42D9"/>
    <w:rsid w:val="00EE4C5B"/>
    <w:rsid w:val="00EE5D27"/>
    <w:rsid w:val="00EE67B3"/>
    <w:rsid w:val="00EE7F05"/>
    <w:rsid w:val="00EF151D"/>
    <w:rsid w:val="00EF6501"/>
    <w:rsid w:val="00F01726"/>
    <w:rsid w:val="00F02010"/>
    <w:rsid w:val="00F0444C"/>
    <w:rsid w:val="00F05899"/>
    <w:rsid w:val="00F07570"/>
    <w:rsid w:val="00F12781"/>
    <w:rsid w:val="00F1376A"/>
    <w:rsid w:val="00F1443D"/>
    <w:rsid w:val="00F156A6"/>
    <w:rsid w:val="00F158EA"/>
    <w:rsid w:val="00F17F6D"/>
    <w:rsid w:val="00F200D0"/>
    <w:rsid w:val="00F20B2A"/>
    <w:rsid w:val="00F216C9"/>
    <w:rsid w:val="00F25962"/>
    <w:rsid w:val="00F2609B"/>
    <w:rsid w:val="00F26DB4"/>
    <w:rsid w:val="00F27DA7"/>
    <w:rsid w:val="00F31DCC"/>
    <w:rsid w:val="00F36E24"/>
    <w:rsid w:val="00F42E14"/>
    <w:rsid w:val="00F444F5"/>
    <w:rsid w:val="00F445C5"/>
    <w:rsid w:val="00F4567E"/>
    <w:rsid w:val="00F46CAB"/>
    <w:rsid w:val="00F60BA5"/>
    <w:rsid w:val="00F64B60"/>
    <w:rsid w:val="00F667F3"/>
    <w:rsid w:val="00F6720D"/>
    <w:rsid w:val="00F6785B"/>
    <w:rsid w:val="00F7196D"/>
    <w:rsid w:val="00F721B6"/>
    <w:rsid w:val="00F73BCA"/>
    <w:rsid w:val="00F744FC"/>
    <w:rsid w:val="00F7614A"/>
    <w:rsid w:val="00F777F7"/>
    <w:rsid w:val="00F82A00"/>
    <w:rsid w:val="00F86FDB"/>
    <w:rsid w:val="00F871B4"/>
    <w:rsid w:val="00F8728D"/>
    <w:rsid w:val="00F8762F"/>
    <w:rsid w:val="00F93048"/>
    <w:rsid w:val="00FA4BD2"/>
    <w:rsid w:val="00FA584E"/>
    <w:rsid w:val="00FA60C3"/>
    <w:rsid w:val="00FA78DB"/>
    <w:rsid w:val="00FA79F7"/>
    <w:rsid w:val="00FB6F6F"/>
    <w:rsid w:val="00FC3255"/>
    <w:rsid w:val="00FC55DF"/>
    <w:rsid w:val="00FC65AC"/>
    <w:rsid w:val="00FD1782"/>
    <w:rsid w:val="00FD5EDC"/>
    <w:rsid w:val="00FD62EC"/>
    <w:rsid w:val="00FE0277"/>
    <w:rsid w:val="00FE2E8D"/>
    <w:rsid w:val="00FE3DFC"/>
    <w:rsid w:val="00FE3F74"/>
    <w:rsid w:val="00FE4960"/>
    <w:rsid w:val="00FE4A2D"/>
    <w:rsid w:val="00FF246B"/>
    <w:rsid w:val="00FF33C0"/>
    <w:rsid w:val="00FF4012"/>
    <w:rsid w:val="00FF41C9"/>
    <w:rsid w:val="00FF4BA0"/>
    <w:rsid w:val="00FF4D93"/>
    <w:rsid w:val="00FF57A6"/>
    <w:rsid w:val="00FF5931"/>
    <w:rsid w:val="00FF5D71"/>
    <w:rsid w:val="00FF7D45"/>
  </w:rsids>
  <m:mathPr>
    <m:mathFont m:val="Cambria Math"/>
    <m:brkBin m:val="before"/>
    <m:brkBinSub m:val="--"/>
    <m:smallFrac/>
    <m:dispDe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toc 1" w:uiPriority="39"/>
    <w:lsdException w:name="toc 2" w:uiPriority="39"/>
    <w:lsdException w:name="header" w:uiPriority="99"/>
    <w:lsdException w:name="table of figures" w:uiPriority="99"/>
    <w:lsdException w:name="Default Paragraph Font" w:uiPriority="1"/>
    <w:lsdException w:name="FollowedHyperlink" w:uiPriority="99"/>
    <w:lsdException w:name="Normal (Web)" w:uiPriority="1"/>
    <w:lsdException w:name="No List" w:uiPriority="99"/>
    <w:lsdException w:name="Balloon Text" w:uiPriority="99"/>
    <w:lsdException w:name="Table Grid" w:uiPriority="59"/>
    <w:lsdException w:name="List Paragraph" w:uiPriority="34" w:qFormat="1"/>
    <w:lsdException w:name="Quote"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1"/>
    <w:qFormat/>
    <w:rsid w:val="00D0755D"/>
    <w:pPr>
      <w:spacing w:before="160" w:line="260" w:lineRule="exact"/>
    </w:pPr>
    <w:rPr>
      <w:rFonts w:ascii="Trebuchet MS" w:hAnsi="Trebuchet MS"/>
      <w:sz w:val="19"/>
      <w:szCs w:val="20"/>
      <w:lang w:val="en-AU"/>
    </w:rPr>
  </w:style>
  <w:style w:type="paragraph" w:styleId="Heading1">
    <w:name w:val="heading 1"/>
    <w:next w:val="Text"/>
    <w:link w:val="Heading1Char"/>
    <w:qFormat/>
    <w:rsid w:val="00D0755D"/>
    <w:pPr>
      <w:keepNext/>
      <w:spacing w:after="360"/>
      <w:outlineLvl w:val="0"/>
    </w:pPr>
    <w:rPr>
      <w:rFonts w:ascii="Tahoma" w:hAnsi="Tahoma" w:cs="Tahoma"/>
      <w:color w:val="000000"/>
      <w:kern w:val="28"/>
      <w:sz w:val="56"/>
      <w:szCs w:val="56"/>
      <w:lang w:val="en-AU"/>
    </w:rPr>
  </w:style>
  <w:style w:type="paragraph" w:styleId="Heading2">
    <w:name w:val="heading 2"/>
    <w:next w:val="Text"/>
    <w:link w:val="Heading2Char"/>
    <w:qFormat/>
    <w:rsid w:val="00D0755D"/>
    <w:pPr>
      <w:keepNext/>
      <w:spacing w:before="360"/>
      <w:ind w:right="-369"/>
      <w:outlineLvl w:val="1"/>
    </w:pPr>
    <w:rPr>
      <w:rFonts w:ascii="Tahoma" w:hAnsi="Tahoma" w:cs="Tahoma"/>
      <w:sz w:val="28"/>
      <w:szCs w:val="20"/>
      <w:lang w:val="en-AU"/>
    </w:rPr>
  </w:style>
  <w:style w:type="paragraph" w:styleId="Heading3">
    <w:name w:val="heading 3"/>
    <w:next w:val="Text"/>
    <w:link w:val="Heading3Char"/>
    <w:qFormat/>
    <w:rsid w:val="00D0755D"/>
    <w:pPr>
      <w:spacing w:before="280" w:line="320" w:lineRule="exact"/>
      <w:outlineLvl w:val="2"/>
    </w:pPr>
    <w:rPr>
      <w:rFonts w:ascii="Tahoma" w:hAnsi="Tahoma" w:cs="Tahoma"/>
      <w:color w:val="000000"/>
      <w:szCs w:val="20"/>
      <w:lang w:val="en-AU"/>
    </w:rPr>
  </w:style>
  <w:style w:type="paragraph" w:styleId="Heading4">
    <w:name w:val="heading 4"/>
    <w:next w:val="Text"/>
    <w:link w:val="Heading4Char"/>
    <w:qFormat/>
    <w:rsid w:val="00D0755D"/>
    <w:pPr>
      <w:spacing w:before="240"/>
      <w:outlineLvl w:val="3"/>
    </w:pPr>
    <w:rPr>
      <w:rFonts w:ascii="Tahoma" w:hAnsi="Tahoma"/>
      <w:i/>
      <w:sz w:val="22"/>
      <w:szCs w:val="20"/>
      <w:lang w:val="en-AU"/>
    </w:rPr>
  </w:style>
  <w:style w:type="paragraph" w:styleId="Heading5">
    <w:name w:val="heading 5"/>
    <w:basedOn w:val="Normal"/>
    <w:next w:val="Normal"/>
    <w:link w:val="Heading5Char"/>
    <w:qFormat/>
    <w:rsid w:val="00D0755D"/>
    <w:pPr>
      <w:keepNext/>
      <w:outlineLvl w:val="4"/>
    </w:pPr>
    <w:rPr>
      <w:rFonts w:ascii="Tahoma" w:hAnsi="Tahoma"/>
      <w:b/>
    </w:rPr>
  </w:style>
  <w:style w:type="paragraph" w:styleId="Heading6">
    <w:name w:val="heading 6"/>
    <w:basedOn w:val="Normal"/>
    <w:next w:val="Normal"/>
    <w:qFormat/>
    <w:rsid w:val="00D0755D"/>
    <w:pPr>
      <w:keepNext/>
      <w:ind w:left="2977"/>
      <w:outlineLvl w:val="5"/>
    </w:pPr>
    <w:rPr>
      <w:rFonts w:ascii="Tahoma" w:hAnsi="Tahoma"/>
      <w:sz w:val="20"/>
    </w:rPr>
  </w:style>
  <w:style w:type="paragraph" w:styleId="Heading7">
    <w:name w:val="heading 7"/>
    <w:basedOn w:val="Normal"/>
    <w:next w:val="Normal"/>
    <w:qFormat/>
    <w:rsid w:val="00D0755D"/>
    <w:pPr>
      <w:keepNext/>
      <w:jc w:val="center"/>
      <w:outlineLvl w:val="6"/>
    </w:pPr>
    <w:rPr>
      <w:rFonts w:ascii="Tahoma" w:hAnsi="Tahoma"/>
      <w:spacing w:val="20"/>
      <w:sz w:val="20"/>
    </w:rPr>
  </w:style>
  <w:style w:type="paragraph" w:styleId="Heading8">
    <w:name w:val="heading 8"/>
    <w:basedOn w:val="Normal"/>
    <w:next w:val="Normal"/>
    <w:qFormat/>
    <w:rsid w:val="00D0755D"/>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D0755D"/>
    <w:pPr>
      <w:spacing w:before="160" w:line="300" w:lineRule="exact"/>
      <w:ind w:right="-1"/>
    </w:pPr>
    <w:rPr>
      <w:rFonts w:ascii="Trebuchet MS" w:hAnsi="Trebuchet MS"/>
      <w:sz w:val="19"/>
      <w:szCs w:val="20"/>
      <w:lang w:val="en-AU"/>
    </w:rPr>
  </w:style>
  <w:style w:type="character" w:customStyle="1" w:styleId="TextChar">
    <w:name w:val="Text Char"/>
    <w:basedOn w:val="DefaultParagraphFont"/>
    <w:link w:val="Text"/>
    <w:rsid w:val="00D0755D"/>
    <w:rPr>
      <w:rFonts w:ascii="Trebuchet MS" w:hAnsi="Trebuchet MS"/>
      <w:sz w:val="19"/>
      <w:szCs w:val="20"/>
      <w:lang w:val="en-AU"/>
    </w:rPr>
  </w:style>
  <w:style w:type="character" w:customStyle="1" w:styleId="Heading1Char">
    <w:name w:val="Heading 1 Char"/>
    <w:link w:val="Heading1"/>
    <w:rsid w:val="00487534"/>
    <w:rPr>
      <w:rFonts w:ascii="Tahoma" w:hAnsi="Tahoma" w:cs="Tahoma"/>
      <w:color w:val="000000"/>
      <w:kern w:val="28"/>
      <w:sz w:val="56"/>
      <w:szCs w:val="56"/>
      <w:lang w:val="en-AU"/>
    </w:rPr>
  </w:style>
  <w:style w:type="character" w:customStyle="1" w:styleId="Heading2Char">
    <w:name w:val="Heading 2 Char"/>
    <w:link w:val="Heading2"/>
    <w:rsid w:val="00487534"/>
    <w:rPr>
      <w:rFonts w:ascii="Tahoma" w:hAnsi="Tahoma" w:cs="Tahoma"/>
      <w:sz w:val="28"/>
      <w:szCs w:val="20"/>
      <w:lang w:val="en-AU"/>
    </w:rPr>
  </w:style>
  <w:style w:type="character" w:customStyle="1" w:styleId="Heading3Char">
    <w:name w:val="Heading 3 Char"/>
    <w:basedOn w:val="DefaultParagraphFont"/>
    <w:link w:val="Heading3"/>
    <w:rsid w:val="00D0755D"/>
    <w:rPr>
      <w:rFonts w:ascii="Tahoma" w:hAnsi="Tahoma" w:cs="Tahoma"/>
      <w:color w:val="000000"/>
      <w:szCs w:val="20"/>
      <w:lang w:val="en-AU"/>
    </w:rPr>
  </w:style>
  <w:style w:type="character" w:customStyle="1" w:styleId="Heading4Char">
    <w:name w:val="Heading 4 Char"/>
    <w:basedOn w:val="DefaultParagraphFont"/>
    <w:link w:val="Heading4"/>
    <w:rsid w:val="00487534"/>
    <w:rPr>
      <w:rFonts w:ascii="Tahoma" w:hAnsi="Tahoma"/>
      <w:i/>
      <w:sz w:val="22"/>
      <w:szCs w:val="20"/>
      <w:lang w:val="en-AU"/>
    </w:rPr>
  </w:style>
  <w:style w:type="character" w:customStyle="1" w:styleId="Heading5Char">
    <w:name w:val="Heading 5 Char"/>
    <w:basedOn w:val="DefaultParagraphFont"/>
    <w:link w:val="Heading5"/>
    <w:rsid w:val="00487534"/>
    <w:rPr>
      <w:rFonts w:ascii="Tahoma" w:hAnsi="Tahoma"/>
      <w:b/>
      <w:sz w:val="19"/>
      <w:szCs w:val="20"/>
      <w:lang w:val="en-AU"/>
    </w:rPr>
  </w:style>
  <w:style w:type="character" w:styleId="PageNumber">
    <w:name w:val="page number"/>
    <w:basedOn w:val="DefaultParagraphFont"/>
    <w:rsid w:val="00D0755D"/>
    <w:rPr>
      <w:rFonts w:ascii="Tahoma" w:hAnsi="Tahoma"/>
      <w:sz w:val="18"/>
    </w:rPr>
  </w:style>
  <w:style w:type="paragraph" w:styleId="Footer">
    <w:name w:val="footer"/>
    <w:basedOn w:val="Normal"/>
    <w:link w:val="FooterChar"/>
    <w:rsid w:val="00D0755D"/>
    <w:pPr>
      <w:tabs>
        <w:tab w:val="right" w:pos="8505"/>
      </w:tabs>
      <w:spacing w:before="0"/>
    </w:pPr>
    <w:rPr>
      <w:rFonts w:ascii="Tahoma" w:hAnsi="Tahoma"/>
      <w:sz w:val="17"/>
      <w:szCs w:val="17"/>
    </w:rPr>
  </w:style>
  <w:style w:type="character" w:customStyle="1" w:styleId="FooterChar">
    <w:name w:val="Footer Char"/>
    <w:basedOn w:val="DefaultParagraphFont"/>
    <w:link w:val="Footer"/>
    <w:rsid w:val="00922B06"/>
    <w:rPr>
      <w:rFonts w:ascii="Tahoma" w:hAnsi="Tahoma"/>
      <w:sz w:val="17"/>
      <w:szCs w:val="17"/>
      <w:lang w:val="en-AU"/>
    </w:rPr>
  </w:style>
  <w:style w:type="paragraph" w:styleId="TOC1">
    <w:name w:val="toc 1"/>
    <w:uiPriority w:val="39"/>
    <w:rsid w:val="00D0755D"/>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D0755D"/>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D0755D"/>
    <w:pPr>
      <w:spacing w:before="360" w:after="80"/>
      <w:ind w:left="851" w:hanging="851"/>
    </w:pPr>
    <w:rPr>
      <w:rFonts w:ascii="Tahoma" w:hAnsi="Tahoma"/>
      <w:b/>
      <w:sz w:val="17"/>
      <w:szCs w:val="20"/>
      <w:lang w:val="en-AU"/>
    </w:rPr>
  </w:style>
  <w:style w:type="paragraph" w:customStyle="1" w:styleId="Tabletext">
    <w:name w:val="Table text"/>
    <w:next w:val="Text"/>
    <w:rsid w:val="00D0755D"/>
    <w:pPr>
      <w:spacing w:before="40" w:after="40"/>
    </w:pPr>
    <w:rPr>
      <w:rFonts w:ascii="Arial" w:hAnsi="Arial"/>
      <w:sz w:val="16"/>
      <w:szCs w:val="20"/>
      <w:lang w:val="en-AU"/>
    </w:rPr>
  </w:style>
  <w:style w:type="paragraph" w:customStyle="1" w:styleId="Tablehead1">
    <w:name w:val="Tablehead1"/>
    <w:rsid w:val="00D0755D"/>
    <w:pPr>
      <w:spacing w:before="80" w:after="80"/>
    </w:pPr>
    <w:rPr>
      <w:rFonts w:ascii="Arial" w:hAnsi="Arial"/>
      <w:b/>
      <w:sz w:val="17"/>
      <w:szCs w:val="20"/>
      <w:lang w:val="en-AU"/>
    </w:rPr>
  </w:style>
  <w:style w:type="paragraph" w:styleId="Quote">
    <w:name w:val="Quote"/>
    <w:basedOn w:val="Text"/>
    <w:link w:val="QuoteChar"/>
    <w:qFormat/>
    <w:rsid w:val="00D0755D"/>
    <w:pPr>
      <w:tabs>
        <w:tab w:val="right" w:pos="7853"/>
      </w:tabs>
      <w:spacing w:before="80"/>
      <w:ind w:left="567" w:right="652"/>
    </w:pPr>
    <w:rPr>
      <w:sz w:val="17"/>
    </w:rPr>
  </w:style>
  <w:style w:type="character" w:customStyle="1" w:styleId="QuoteChar">
    <w:name w:val="Quote Char"/>
    <w:basedOn w:val="DefaultParagraphFont"/>
    <w:link w:val="Quote"/>
    <w:rsid w:val="00487534"/>
    <w:rPr>
      <w:rFonts w:ascii="Trebuchet MS" w:hAnsi="Trebuchet MS"/>
      <w:sz w:val="17"/>
      <w:szCs w:val="20"/>
      <w:lang w:val="en-AU"/>
    </w:rPr>
  </w:style>
  <w:style w:type="paragraph" w:customStyle="1" w:styleId="References">
    <w:name w:val="References"/>
    <w:rsid w:val="00D0755D"/>
    <w:pPr>
      <w:spacing w:before="80"/>
      <w:ind w:left="284" w:right="-369" w:hanging="284"/>
    </w:pPr>
    <w:rPr>
      <w:rFonts w:ascii="Trebuchet MS" w:hAnsi="Trebuchet MS"/>
      <w:sz w:val="18"/>
      <w:szCs w:val="20"/>
      <w:lang w:val="en-AU"/>
    </w:rPr>
  </w:style>
  <w:style w:type="paragraph" w:customStyle="1" w:styleId="Tablehead2">
    <w:name w:val="Tablehead2"/>
    <w:basedOn w:val="Tablehead1"/>
    <w:rsid w:val="00D0755D"/>
    <w:pPr>
      <w:tabs>
        <w:tab w:val="left" w:pos="992"/>
      </w:tabs>
      <w:spacing w:before="20" w:after="20"/>
    </w:pPr>
    <w:rPr>
      <w:b w:val="0"/>
    </w:rPr>
  </w:style>
  <w:style w:type="paragraph" w:customStyle="1" w:styleId="Tablehead3">
    <w:name w:val="Tablehead3"/>
    <w:basedOn w:val="Tablehead2"/>
    <w:rsid w:val="00D0755D"/>
    <w:rPr>
      <w:i/>
    </w:rPr>
  </w:style>
  <w:style w:type="paragraph" w:styleId="TableofFigures">
    <w:name w:val="table of figures"/>
    <w:basedOn w:val="TOC1"/>
    <w:next w:val="Normal"/>
    <w:uiPriority w:val="99"/>
    <w:rsid w:val="00D0755D"/>
    <w:pPr>
      <w:tabs>
        <w:tab w:val="left" w:pos="284"/>
      </w:tabs>
      <w:spacing w:before="80"/>
      <w:ind w:left="425" w:right="1985" w:hanging="425"/>
    </w:pPr>
  </w:style>
  <w:style w:type="paragraph" w:customStyle="1" w:styleId="Imprint">
    <w:name w:val="Imprint"/>
    <w:basedOn w:val="Normal"/>
    <w:rsid w:val="00D0755D"/>
    <w:pPr>
      <w:spacing w:line="260" w:lineRule="atLeast"/>
    </w:pPr>
    <w:rPr>
      <w:sz w:val="16"/>
    </w:rPr>
  </w:style>
  <w:style w:type="paragraph" w:customStyle="1" w:styleId="Figuretitle">
    <w:name w:val="Figuretitle"/>
    <w:basedOn w:val="tabletitle"/>
    <w:rsid w:val="00D0755D"/>
  </w:style>
  <w:style w:type="paragraph" w:customStyle="1" w:styleId="Dotpoint1">
    <w:name w:val="Dotpoint1"/>
    <w:rsid w:val="00D0755D"/>
    <w:pPr>
      <w:numPr>
        <w:numId w:val="26"/>
      </w:numPr>
      <w:tabs>
        <w:tab w:val="left" w:pos="284"/>
      </w:tabs>
      <w:spacing w:before="80" w:line="300" w:lineRule="exact"/>
      <w:ind w:left="284" w:hanging="284"/>
    </w:pPr>
    <w:rPr>
      <w:rFonts w:ascii="Trebuchet MS" w:hAnsi="Trebuchet MS"/>
      <w:color w:val="000000"/>
      <w:sz w:val="19"/>
      <w:szCs w:val="20"/>
      <w:lang w:val="en-AU"/>
    </w:rPr>
  </w:style>
  <w:style w:type="paragraph" w:customStyle="1" w:styleId="Dotpoint2">
    <w:name w:val="Dotpoint2"/>
    <w:basedOn w:val="Dotpoint1"/>
    <w:rsid w:val="00482EC5"/>
    <w:pPr>
      <w:numPr>
        <w:numId w:val="27"/>
      </w:numPr>
      <w:tabs>
        <w:tab w:val="left" w:pos="567"/>
        <w:tab w:val="left" w:pos="851"/>
      </w:tabs>
      <w:ind w:left="568" w:hanging="284"/>
    </w:pPr>
  </w:style>
  <w:style w:type="paragraph" w:customStyle="1" w:styleId="NumberedListContinuing">
    <w:name w:val="NumberedListContinuing"/>
    <w:rsid w:val="00D0755D"/>
    <w:pPr>
      <w:numPr>
        <w:numId w:val="29"/>
      </w:numPr>
      <w:spacing w:before="80" w:line="300" w:lineRule="exact"/>
    </w:pPr>
    <w:rPr>
      <w:rFonts w:ascii="Trebuchet MS" w:hAnsi="Trebuchet MS"/>
      <w:sz w:val="19"/>
      <w:szCs w:val="20"/>
      <w:lang w:val="en-AU" w:eastAsia="en-AU"/>
    </w:rPr>
  </w:style>
  <w:style w:type="paragraph" w:customStyle="1" w:styleId="Source">
    <w:name w:val="Source"/>
    <w:rsid w:val="00D0755D"/>
    <w:pPr>
      <w:spacing w:before="40"/>
      <w:ind w:left="567" w:hanging="567"/>
    </w:pPr>
    <w:rPr>
      <w:rFonts w:ascii="Arial" w:hAnsi="Arial"/>
      <w:sz w:val="15"/>
      <w:szCs w:val="20"/>
      <w:lang w:val="en-AU"/>
    </w:rPr>
  </w:style>
  <w:style w:type="paragraph" w:styleId="FootnoteText">
    <w:name w:val="footnote text"/>
    <w:basedOn w:val="Text"/>
    <w:link w:val="FootnoteTextChar"/>
    <w:rsid w:val="00D0755D"/>
    <w:pPr>
      <w:tabs>
        <w:tab w:val="left" w:pos="170"/>
      </w:tabs>
      <w:spacing w:before="0" w:line="220" w:lineRule="exact"/>
      <w:ind w:left="170" w:right="0" w:hanging="170"/>
    </w:pPr>
    <w:rPr>
      <w:sz w:val="16"/>
    </w:rPr>
  </w:style>
  <w:style w:type="character" w:customStyle="1" w:styleId="FootnoteTextChar">
    <w:name w:val="Footnote Text Char"/>
    <w:basedOn w:val="DefaultParagraphFont"/>
    <w:link w:val="FootnoteText"/>
    <w:rsid w:val="00922B06"/>
    <w:rPr>
      <w:rFonts w:ascii="Trebuchet MS" w:hAnsi="Trebuchet MS"/>
      <w:sz w:val="16"/>
      <w:szCs w:val="20"/>
      <w:lang w:val="en-AU"/>
    </w:rPr>
  </w:style>
  <w:style w:type="paragraph" w:styleId="NormalWeb">
    <w:name w:val="Normal (Web)"/>
    <w:basedOn w:val="Normal"/>
    <w:uiPriority w:val="1"/>
    <w:semiHidden/>
    <w:rsid w:val="00D0755D"/>
    <w:pPr>
      <w:spacing w:before="100" w:beforeAutospacing="1" w:after="240"/>
    </w:pPr>
    <w:rPr>
      <w:sz w:val="18"/>
      <w:szCs w:val="18"/>
    </w:rPr>
  </w:style>
  <w:style w:type="paragraph" w:customStyle="1" w:styleId="PublicationTitle">
    <w:name w:val="Publication Title"/>
    <w:qFormat/>
    <w:rsid w:val="00D0755D"/>
    <w:pPr>
      <w:spacing w:before="3200" w:after="840"/>
      <w:ind w:left="1701"/>
    </w:pPr>
    <w:rPr>
      <w:rFonts w:ascii="Tahoma" w:hAnsi="Tahoma" w:cs="Tahoma"/>
      <w:color w:val="000000"/>
      <w:kern w:val="28"/>
      <w:sz w:val="56"/>
      <w:szCs w:val="56"/>
      <w:lang w:val="en-AU"/>
    </w:rPr>
  </w:style>
  <w:style w:type="paragraph" w:styleId="TOC3">
    <w:name w:val="toc 3"/>
    <w:basedOn w:val="TOC2"/>
    <w:next w:val="Normal"/>
    <w:autoRedefine/>
    <w:uiPriority w:val="39"/>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D0755D"/>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55D"/>
    <w:rPr>
      <w:rFonts w:ascii="Tahoma" w:hAnsi="Tahoma" w:cs="Tahoma"/>
      <w:sz w:val="16"/>
      <w:szCs w:val="16"/>
      <w:lang w:val="en-AU"/>
    </w:rPr>
  </w:style>
  <w:style w:type="table" w:styleId="TableGrid">
    <w:name w:val="Table Grid"/>
    <w:basedOn w:val="TableNormal"/>
    <w:uiPriority w:val="59"/>
    <w:rsid w:val="00D0755D"/>
    <w:rPr>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rsid w:val="00D0755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D0755D"/>
    <w:rPr>
      <w:rFonts w:ascii="Trebuchet MS" w:hAnsi="Trebuchet MS"/>
      <w:sz w:val="19"/>
      <w:szCs w:val="20"/>
      <w:lang w:val="en-AU"/>
    </w:rPr>
  </w:style>
  <w:style w:type="character" w:styleId="Hyperlink">
    <w:name w:val="Hyperlink"/>
    <w:basedOn w:val="DefaultParagraphFont"/>
    <w:unhideWhenUsed/>
    <w:rsid w:val="00D0755D"/>
    <w:rPr>
      <w:rFonts w:ascii="Trebuchet MS" w:hAnsi="Trebuchet MS"/>
      <w:color w:val="auto"/>
      <w:sz w:val="19"/>
      <w:u w:val="none"/>
    </w:rPr>
  </w:style>
  <w:style w:type="paragraph" w:styleId="ListParagraph">
    <w:name w:val="List Paragraph"/>
    <w:basedOn w:val="Normal"/>
    <w:uiPriority w:val="34"/>
    <w:qFormat/>
    <w:rsid w:val="00D0755D"/>
    <w:pPr>
      <w:ind w:left="720"/>
      <w:contextualSpacing/>
    </w:pPr>
  </w:style>
  <w:style w:type="paragraph" w:styleId="BodyText">
    <w:name w:val="Body Text"/>
    <w:basedOn w:val="Normal"/>
    <w:link w:val="BodyTextChar"/>
    <w:rsid w:val="00D0755D"/>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D0755D"/>
    <w:rPr>
      <w:b/>
      <w:sz w:val="20"/>
      <w:szCs w:val="20"/>
      <w:lang w:eastAsia="ko-KR"/>
    </w:rPr>
  </w:style>
  <w:style w:type="paragraph" w:styleId="BodyText2">
    <w:name w:val="Body Text 2"/>
    <w:basedOn w:val="Normal"/>
    <w:link w:val="BodyText2Char"/>
    <w:rsid w:val="00D0755D"/>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D0755D"/>
    <w:rPr>
      <w:sz w:val="22"/>
      <w:szCs w:val="20"/>
      <w:lang w:eastAsia="ko-KR"/>
    </w:rPr>
  </w:style>
  <w:style w:type="paragraph" w:styleId="BodyTextIndent">
    <w:name w:val="Body Text Indent"/>
    <w:basedOn w:val="Normal"/>
    <w:link w:val="BodyTextIndentChar"/>
    <w:rsid w:val="00D0755D"/>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D0755D"/>
    <w:rPr>
      <w:sz w:val="22"/>
      <w:szCs w:val="20"/>
      <w:lang w:val="en-AU" w:eastAsia="en-AU"/>
    </w:rPr>
  </w:style>
  <w:style w:type="paragraph" w:customStyle="1" w:styleId="Authors">
    <w:name w:val="Authors"/>
    <w:qFormat/>
    <w:rsid w:val="00D0755D"/>
    <w:pPr>
      <w:ind w:left="1701" w:right="-1"/>
    </w:pPr>
    <w:rPr>
      <w:rFonts w:ascii="Tahoma" w:hAnsi="Tahoma" w:cs="Tahoma"/>
      <w:sz w:val="28"/>
      <w:szCs w:val="20"/>
      <w:lang w:val="en-AU"/>
    </w:rPr>
  </w:style>
  <w:style w:type="paragraph" w:customStyle="1" w:styleId="Contents">
    <w:name w:val="Contents"/>
    <w:qFormat/>
    <w:rsid w:val="00D0755D"/>
    <w:pPr>
      <w:spacing w:after="360"/>
    </w:pPr>
    <w:rPr>
      <w:rFonts w:ascii="Tahoma" w:hAnsi="Tahoma" w:cs="Tahoma"/>
      <w:color w:val="000000"/>
      <w:kern w:val="28"/>
      <w:sz w:val="56"/>
      <w:szCs w:val="56"/>
      <w:lang w:val="en-AU"/>
    </w:rPr>
  </w:style>
  <w:style w:type="paragraph" w:customStyle="1" w:styleId="Abouttheresearchpubtitle">
    <w:name w:val="About the research pub title"/>
    <w:qFormat/>
    <w:rsid w:val="00D0755D"/>
    <w:pPr>
      <w:spacing w:before="360"/>
    </w:pPr>
    <w:rPr>
      <w:rFonts w:ascii="Tahoma" w:hAnsi="Tahoma" w:cs="Tahoma"/>
      <w:i/>
      <w:sz w:val="28"/>
      <w:szCs w:val="20"/>
      <w:lang w:val="en-AU"/>
    </w:rPr>
  </w:style>
  <w:style w:type="paragraph" w:customStyle="1" w:styleId="Abouttheresearch">
    <w:name w:val="About the research"/>
    <w:uiPriority w:val="1"/>
    <w:qFormat/>
    <w:rsid w:val="00D0755D"/>
    <w:rPr>
      <w:rFonts w:ascii="Tahoma" w:hAnsi="Tahoma" w:cs="Tahoma"/>
      <w:color w:val="000000"/>
      <w:kern w:val="28"/>
      <w:sz w:val="56"/>
      <w:szCs w:val="56"/>
      <w:lang w:val="en-AU"/>
    </w:rPr>
  </w:style>
  <w:style w:type="paragraph" w:customStyle="1" w:styleId="Keymessages">
    <w:name w:val="Key messages"/>
    <w:uiPriority w:val="1"/>
    <w:qFormat/>
    <w:rsid w:val="00D0755D"/>
    <w:pPr>
      <w:spacing w:before="360"/>
    </w:pPr>
    <w:rPr>
      <w:rFonts w:ascii="Tahoma" w:hAnsi="Tahoma" w:cs="Tahoma"/>
      <w:sz w:val="28"/>
      <w:szCs w:val="20"/>
      <w:lang w:val="en-AU"/>
    </w:rPr>
  </w:style>
  <w:style w:type="paragraph" w:customStyle="1" w:styleId="Organisation">
    <w:name w:val="Organisation"/>
    <w:basedOn w:val="Authors"/>
    <w:uiPriority w:val="1"/>
    <w:qFormat/>
    <w:rsid w:val="00D0755D"/>
    <w:pPr>
      <w:spacing w:before="120"/>
      <w:ind w:right="0"/>
    </w:pPr>
    <w:rPr>
      <w:sz w:val="24"/>
    </w:rPr>
  </w:style>
  <w:style w:type="character" w:styleId="FollowedHyperlink">
    <w:name w:val="FollowedHyperlink"/>
    <w:basedOn w:val="DefaultParagraphFont"/>
    <w:uiPriority w:val="99"/>
    <w:semiHidden/>
    <w:rsid w:val="00D0755D"/>
    <w:rPr>
      <w:color w:val="800080" w:themeColor="followedHyperlink"/>
      <w:u w:val="single"/>
    </w:rPr>
  </w:style>
  <w:style w:type="paragraph" w:customStyle="1" w:styleId="NumberedAlphaLevel2">
    <w:name w:val="NumberedAlphaLevel2"/>
    <w:basedOn w:val="NumberedListContinuing"/>
    <w:uiPriority w:val="1"/>
    <w:qFormat/>
    <w:rsid w:val="00D0755D"/>
    <w:pPr>
      <w:numPr>
        <w:ilvl w:val="1"/>
      </w:numPr>
    </w:pPr>
  </w:style>
  <w:style w:type="paragraph" w:customStyle="1" w:styleId="QuoteSue">
    <w:name w:val="Quote Sue"/>
    <w:basedOn w:val="Text"/>
    <w:next w:val="Text"/>
    <w:link w:val="QuoteSueChar"/>
    <w:autoRedefine/>
    <w:qFormat/>
    <w:rsid w:val="00155247"/>
    <w:pPr>
      <w:spacing w:before="80"/>
      <w:ind w:left="567" w:right="652"/>
    </w:pPr>
    <w:rPr>
      <w:color w:val="000000"/>
      <w:szCs w:val="16"/>
    </w:rPr>
  </w:style>
  <w:style w:type="character" w:customStyle="1" w:styleId="QuoteSueChar">
    <w:name w:val="Quote Sue Char"/>
    <w:link w:val="QuoteSue"/>
    <w:rsid w:val="00155247"/>
    <w:rPr>
      <w:rFonts w:ascii="Trebuchet MS" w:hAnsi="Trebuchet MS"/>
      <w:color w:val="000000"/>
      <w:sz w:val="19"/>
      <w:szCs w:val="16"/>
      <w:lang w:val="en-AU"/>
    </w:rPr>
  </w:style>
  <w:style w:type="paragraph" w:customStyle="1" w:styleId="FootnoteSue">
    <w:name w:val="Footnote Sue"/>
    <w:basedOn w:val="FootnoteText"/>
    <w:link w:val="FootnoteSueChar"/>
    <w:qFormat/>
    <w:rsid w:val="00487534"/>
    <w:pPr>
      <w:tabs>
        <w:tab w:val="clear" w:pos="170"/>
      </w:tabs>
      <w:spacing w:line="240" w:lineRule="auto"/>
      <w:ind w:left="0" w:firstLine="0"/>
    </w:pPr>
    <w:rPr>
      <w:rFonts w:ascii="Verdana" w:hAnsi="Verdana"/>
      <w:color w:val="000000"/>
      <w:szCs w:val="16"/>
      <w:lang w:val="en-US" w:eastAsia="en-AU"/>
    </w:rPr>
  </w:style>
  <w:style w:type="character" w:customStyle="1" w:styleId="FootnoteSueChar">
    <w:name w:val="Footnote Sue Char"/>
    <w:link w:val="FootnoteSue"/>
    <w:rsid w:val="00487534"/>
    <w:rPr>
      <w:rFonts w:ascii="Verdana" w:hAnsi="Verdana"/>
      <w:color w:val="000000"/>
      <w:sz w:val="16"/>
      <w:szCs w:val="16"/>
      <w:lang w:eastAsia="en-AU"/>
    </w:rPr>
  </w:style>
  <w:style w:type="paragraph" w:customStyle="1" w:styleId="Header-thesis">
    <w:name w:val="Header - thesis"/>
    <w:link w:val="Header-thesisChar"/>
    <w:qFormat/>
    <w:rsid w:val="00487534"/>
    <w:pPr>
      <w:keepNext/>
      <w:spacing w:after="240" w:line="480" w:lineRule="auto"/>
      <w:jc w:val="center"/>
    </w:pPr>
    <w:rPr>
      <w:rFonts w:ascii="Verdana" w:hAnsi="Verdana"/>
      <w:iCs/>
      <w:color w:val="000000"/>
      <w:sz w:val="16"/>
    </w:rPr>
  </w:style>
  <w:style w:type="character" w:customStyle="1" w:styleId="Header-thesisChar">
    <w:name w:val="Header - thesis Char"/>
    <w:link w:val="Header-thesis"/>
    <w:rsid w:val="00487534"/>
    <w:rPr>
      <w:rFonts w:ascii="Verdana" w:hAnsi="Verdana"/>
      <w:iCs/>
      <w:color w:val="000000"/>
      <w:sz w:val="16"/>
    </w:rPr>
  </w:style>
  <w:style w:type="paragraph" w:styleId="Subtitle">
    <w:name w:val="Subtitle"/>
    <w:basedOn w:val="Normal"/>
    <w:next w:val="Normal"/>
    <w:link w:val="SubtitleChar"/>
    <w:uiPriority w:val="11"/>
    <w:qFormat/>
    <w:rsid w:val="00487534"/>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link w:val="Subtitle"/>
    <w:uiPriority w:val="11"/>
    <w:rsid w:val="00487534"/>
    <w:rPr>
      <w:rFonts w:asciiTheme="majorHAnsi" w:eastAsiaTheme="majorEastAsia" w:hAnsiTheme="majorHAnsi" w:cstheme="majorBidi"/>
      <w:i/>
      <w:iCs/>
      <w:color w:val="4F81BD" w:themeColor="accent1"/>
      <w:spacing w:val="15"/>
      <w:sz w:val="24"/>
      <w:szCs w:val="24"/>
      <w:lang w:val="en-AU"/>
    </w:rPr>
  </w:style>
  <w:style w:type="paragraph" w:customStyle="1" w:styleId="NoteLevel21">
    <w:name w:val="Note Level 21"/>
    <w:basedOn w:val="Normal"/>
    <w:uiPriority w:val="1"/>
    <w:rsid w:val="00487534"/>
    <w:pPr>
      <w:numPr>
        <w:ilvl w:val="1"/>
        <w:numId w:val="3"/>
      </w:numPr>
      <w:contextualSpacing/>
      <w:outlineLvl w:val="1"/>
    </w:pPr>
    <w:rPr>
      <w:rFonts w:eastAsia="MS Gothic"/>
    </w:rPr>
  </w:style>
  <w:style w:type="paragraph" w:styleId="CommentText">
    <w:name w:val="annotation text"/>
    <w:basedOn w:val="Normal"/>
    <w:link w:val="CommentTextChar"/>
    <w:rsid w:val="00A56C1A"/>
    <w:pPr>
      <w:spacing w:line="240" w:lineRule="auto"/>
    </w:pPr>
    <w:rPr>
      <w:sz w:val="24"/>
    </w:rPr>
  </w:style>
  <w:style w:type="character" w:customStyle="1" w:styleId="CommentTextChar">
    <w:name w:val="Comment Text Char"/>
    <w:basedOn w:val="DefaultParagraphFont"/>
    <w:link w:val="CommentText"/>
    <w:rsid w:val="00A56C1A"/>
    <w:rPr>
      <w:rFonts w:ascii="Trebuchet MS" w:hAnsi="Trebuchet MS"/>
      <w:sz w:val="24"/>
      <w:szCs w:val="24"/>
      <w:lang w:val="en-AU"/>
    </w:rPr>
  </w:style>
  <w:style w:type="character" w:styleId="CommentReference">
    <w:name w:val="annotation reference"/>
    <w:basedOn w:val="DefaultParagraphFont"/>
    <w:unhideWhenUsed/>
    <w:rsid w:val="00A56C1A"/>
    <w:rPr>
      <w:sz w:val="16"/>
      <w:szCs w:val="16"/>
    </w:rPr>
  </w:style>
  <w:style w:type="paragraph" w:customStyle="1" w:styleId="ReportTitle">
    <w:name w:val="Report Title"/>
    <w:basedOn w:val="Normal"/>
    <w:next w:val="Normal"/>
    <w:uiPriority w:val="99"/>
    <w:rsid w:val="00922B06"/>
    <w:pPr>
      <w:autoSpaceDE w:val="0"/>
      <w:autoSpaceDN w:val="0"/>
      <w:adjustRightInd w:val="0"/>
      <w:spacing w:before="0" w:line="240" w:lineRule="auto"/>
    </w:pPr>
    <w:rPr>
      <w:rFonts w:ascii="Arial" w:eastAsiaTheme="minorHAnsi" w:hAnsi="Arial" w:cs="Arial"/>
      <w:sz w:val="24"/>
    </w:rPr>
  </w:style>
  <w:style w:type="paragraph" w:customStyle="1" w:styleId="EndNoteBibliography">
    <w:name w:val="EndNote Bibliography"/>
    <w:basedOn w:val="Normal"/>
    <w:rsid w:val="00922B06"/>
    <w:pPr>
      <w:spacing w:before="0" w:line="240" w:lineRule="auto"/>
    </w:pPr>
    <w:rPr>
      <w:rFonts w:ascii="Arial" w:eastAsiaTheme="minorEastAsia" w:hAnsi="Arial" w:cs="Arial"/>
      <w:sz w:val="24"/>
      <w:lang w:val="en-US"/>
    </w:rPr>
  </w:style>
  <w:style w:type="character" w:customStyle="1" w:styleId="CommentSubjectChar">
    <w:name w:val="Comment Subject Char"/>
    <w:basedOn w:val="CommentTextChar"/>
    <w:link w:val="CommentSubject"/>
    <w:uiPriority w:val="99"/>
    <w:semiHidden/>
    <w:rsid w:val="00922B06"/>
    <w:rPr>
      <w:rFonts w:asciiTheme="majorHAnsi" w:eastAsiaTheme="minorEastAsia" w:hAnsiTheme="majorHAnsi" w:cstheme="minorBidi"/>
      <w:b/>
      <w:bCs/>
      <w:sz w:val="24"/>
      <w:szCs w:val="24"/>
      <w:lang w:val="en-AU" w:eastAsia="zh-CN"/>
    </w:rPr>
  </w:style>
  <w:style w:type="paragraph" w:styleId="CommentSubject">
    <w:name w:val="annotation subject"/>
    <w:basedOn w:val="CommentText"/>
    <w:next w:val="CommentText"/>
    <w:link w:val="CommentSubjectChar"/>
    <w:uiPriority w:val="99"/>
    <w:semiHidden/>
    <w:unhideWhenUsed/>
    <w:rsid w:val="00922B06"/>
    <w:pPr>
      <w:spacing w:before="0" w:after="200"/>
    </w:pPr>
    <w:rPr>
      <w:rFonts w:asciiTheme="majorHAnsi" w:eastAsiaTheme="minorEastAsia" w:hAnsiTheme="majorHAnsi" w:cstheme="minorBidi"/>
      <w:b/>
      <w:bCs/>
      <w:sz w:val="20"/>
      <w:lang w:eastAsia="zh-CN"/>
    </w:rPr>
  </w:style>
  <w:style w:type="paragraph" w:styleId="Caption">
    <w:name w:val="caption"/>
    <w:basedOn w:val="Normal"/>
    <w:next w:val="Normal"/>
    <w:uiPriority w:val="35"/>
    <w:qFormat/>
    <w:rsid w:val="00922B06"/>
    <w:pPr>
      <w:spacing w:before="0" w:line="240" w:lineRule="auto"/>
    </w:pPr>
    <w:rPr>
      <w:rFonts w:ascii="Arial" w:eastAsia="MS Mincho" w:hAnsi="Arial"/>
      <w:b/>
      <w:bCs/>
      <w:sz w:val="20"/>
      <w:lang w:val="en-US"/>
    </w:rPr>
  </w:style>
  <w:style w:type="paragraph" w:styleId="NoSpacing">
    <w:name w:val="No Spacing"/>
    <w:basedOn w:val="Normal"/>
    <w:uiPriority w:val="1"/>
    <w:qFormat/>
    <w:rsid w:val="00922B06"/>
    <w:pPr>
      <w:tabs>
        <w:tab w:val="num" w:pos="720"/>
      </w:tabs>
      <w:spacing w:before="0" w:line="240" w:lineRule="auto"/>
      <w:ind w:left="1080" w:hanging="360"/>
      <w:contextualSpacing/>
      <w:outlineLvl w:val="1"/>
    </w:pPr>
    <w:rPr>
      <w:rFonts w:ascii="Arial" w:eastAsia="MS Gothic" w:hAnsi="Arial"/>
      <w:sz w:val="24"/>
      <w:lang w:val="en-US"/>
    </w:rPr>
  </w:style>
  <w:style w:type="character" w:customStyle="1" w:styleId="DocumentMapChar">
    <w:name w:val="Document Map Char"/>
    <w:basedOn w:val="DefaultParagraphFont"/>
    <w:link w:val="DocumentMap"/>
    <w:uiPriority w:val="99"/>
    <w:semiHidden/>
    <w:rsid w:val="00922B06"/>
    <w:rPr>
      <w:rFonts w:ascii="Lucida Grande" w:eastAsiaTheme="minorEastAsia" w:hAnsi="Lucida Grande" w:cs="Lucida Grande"/>
      <w:sz w:val="24"/>
      <w:szCs w:val="24"/>
      <w:lang w:val="en-AU" w:eastAsia="zh-CN"/>
    </w:rPr>
  </w:style>
  <w:style w:type="paragraph" w:styleId="DocumentMap">
    <w:name w:val="Document Map"/>
    <w:basedOn w:val="Normal"/>
    <w:link w:val="DocumentMapChar"/>
    <w:uiPriority w:val="99"/>
    <w:semiHidden/>
    <w:unhideWhenUsed/>
    <w:rsid w:val="00922B06"/>
    <w:pPr>
      <w:spacing w:before="0" w:line="240" w:lineRule="auto"/>
    </w:pPr>
    <w:rPr>
      <w:rFonts w:ascii="Lucida Grande" w:eastAsiaTheme="minorEastAsia" w:hAnsi="Lucida Grande" w:cs="Lucida Grande"/>
      <w:sz w:val="24"/>
      <w:lang w:eastAsia="zh-CN"/>
    </w:rPr>
  </w:style>
  <w:style w:type="paragraph" w:customStyle="1" w:styleId="Style1">
    <w:name w:val="Style1"/>
    <w:basedOn w:val="Text"/>
    <w:uiPriority w:val="1"/>
    <w:qFormat/>
    <w:rsid w:val="00B22C6F"/>
    <w:pPr>
      <w:numPr>
        <w:numId w:val="6"/>
      </w:numPr>
      <w:ind w:left="357" w:right="0" w:hanging="357"/>
    </w:pPr>
  </w:style>
  <w:style w:type="character" w:styleId="FootnoteReference">
    <w:name w:val="footnote reference"/>
    <w:basedOn w:val="DefaultParagraphFont"/>
    <w:uiPriority w:val="99"/>
    <w:semiHidden/>
    <w:rsid w:val="0068387C"/>
    <w:rPr>
      <w:vertAlign w:val="superscript"/>
    </w:rPr>
  </w:style>
  <w:style w:type="character" w:customStyle="1" w:styleId="apple-converted-space">
    <w:name w:val="apple-converted-space"/>
    <w:basedOn w:val="DefaultParagraphFont"/>
    <w:rsid w:val="00477D67"/>
  </w:style>
  <w:style w:type="paragraph" w:customStyle="1" w:styleId="Default">
    <w:name w:val="Default"/>
    <w:rsid w:val="001A7D5B"/>
    <w:pPr>
      <w:widowControl w:val="0"/>
      <w:autoSpaceDE w:val="0"/>
      <w:autoSpaceDN w:val="0"/>
      <w:adjustRightInd w:val="0"/>
    </w:pPr>
    <w:rPr>
      <w:rFonts w:ascii="Code 2000" w:hAnsi="Code 2000" w:cs="Code 2000"/>
      <w:color w:val="000000"/>
    </w:rPr>
  </w:style>
  <w:style w:type="paragraph" w:customStyle="1" w:styleId="Text-box">
    <w:name w:val="Text - box"/>
    <w:basedOn w:val="Text"/>
    <w:uiPriority w:val="1"/>
    <w:qFormat/>
    <w:rsid w:val="00BA2740"/>
    <w:pPr>
      <w:spacing w:before="120" w:line="280" w:lineRule="exact"/>
      <w:ind w:right="0"/>
    </w:pPr>
    <w:rPr>
      <w:sz w:val="18"/>
      <w:szCs w:val="18"/>
    </w:rPr>
  </w:style>
  <w:style w:type="paragraph" w:styleId="Revision">
    <w:name w:val="Revision"/>
    <w:hidden/>
    <w:rsid w:val="00994936"/>
    <w:rPr>
      <w:rFonts w:ascii="Trebuchet MS" w:hAnsi="Trebuchet MS"/>
      <w:sz w:val="19"/>
      <w:szCs w:val="20"/>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toc 1" w:uiPriority="39"/>
    <w:lsdException w:name="toc 2" w:uiPriority="39"/>
    <w:lsdException w:name="header" w:uiPriority="99"/>
    <w:lsdException w:name="table of figures" w:uiPriority="99"/>
    <w:lsdException w:name="Default Paragraph Font" w:uiPriority="1"/>
    <w:lsdException w:name="FollowedHyperlink" w:uiPriority="99"/>
    <w:lsdException w:name="Normal (Web)" w:uiPriority="1"/>
    <w:lsdException w:name="No List" w:uiPriority="99"/>
    <w:lsdException w:name="Balloon Text" w:uiPriority="99"/>
    <w:lsdException w:name="Table Grid" w:uiPriority="59"/>
    <w:lsdException w:name="List Paragraph" w:uiPriority="34" w:qFormat="1"/>
    <w:lsdException w:name="Quote"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1"/>
    <w:qFormat/>
    <w:rsid w:val="00D0755D"/>
    <w:pPr>
      <w:spacing w:before="160" w:line="260" w:lineRule="exact"/>
    </w:pPr>
    <w:rPr>
      <w:rFonts w:ascii="Trebuchet MS" w:hAnsi="Trebuchet MS"/>
      <w:sz w:val="19"/>
      <w:szCs w:val="20"/>
      <w:lang w:val="en-AU"/>
    </w:rPr>
  </w:style>
  <w:style w:type="paragraph" w:styleId="Heading1">
    <w:name w:val="heading 1"/>
    <w:next w:val="Text"/>
    <w:link w:val="Heading1Char"/>
    <w:qFormat/>
    <w:rsid w:val="00D0755D"/>
    <w:pPr>
      <w:keepNext/>
      <w:spacing w:after="360"/>
      <w:outlineLvl w:val="0"/>
    </w:pPr>
    <w:rPr>
      <w:rFonts w:ascii="Tahoma" w:hAnsi="Tahoma" w:cs="Tahoma"/>
      <w:color w:val="000000"/>
      <w:kern w:val="28"/>
      <w:sz w:val="56"/>
      <w:szCs w:val="56"/>
      <w:lang w:val="en-AU"/>
    </w:rPr>
  </w:style>
  <w:style w:type="paragraph" w:styleId="Heading2">
    <w:name w:val="heading 2"/>
    <w:next w:val="Text"/>
    <w:link w:val="Heading2Char"/>
    <w:qFormat/>
    <w:rsid w:val="00D0755D"/>
    <w:pPr>
      <w:keepNext/>
      <w:spacing w:before="360"/>
      <w:ind w:right="-369"/>
      <w:outlineLvl w:val="1"/>
    </w:pPr>
    <w:rPr>
      <w:rFonts w:ascii="Tahoma" w:hAnsi="Tahoma" w:cs="Tahoma"/>
      <w:sz w:val="28"/>
      <w:szCs w:val="20"/>
      <w:lang w:val="en-AU"/>
    </w:rPr>
  </w:style>
  <w:style w:type="paragraph" w:styleId="Heading3">
    <w:name w:val="heading 3"/>
    <w:next w:val="Text"/>
    <w:link w:val="Heading3Char"/>
    <w:qFormat/>
    <w:rsid w:val="00D0755D"/>
    <w:pPr>
      <w:spacing w:before="280" w:line="320" w:lineRule="exact"/>
      <w:outlineLvl w:val="2"/>
    </w:pPr>
    <w:rPr>
      <w:rFonts w:ascii="Tahoma" w:hAnsi="Tahoma" w:cs="Tahoma"/>
      <w:color w:val="000000"/>
      <w:szCs w:val="20"/>
      <w:lang w:val="en-AU"/>
    </w:rPr>
  </w:style>
  <w:style w:type="paragraph" w:styleId="Heading4">
    <w:name w:val="heading 4"/>
    <w:next w:val="Text"/>
    <w:link w:val="Heading4Char"/>
    <w:qFormat/>
    <w:rsid w:val="00D0755D"/>
    <w:pPr>
      <w:spacing w:before="240"/>
      <w:outlineLvl w:val="3"/>
    </w:pPr>
    <w:rPr>
      <w:rFonts w:ascii="Tahoma" w:hAnsi="Tahoma"/>
      <w:i/>
      <w:sz w:val="22"/>
      <w:szCs w:val="20"/>
      <w:lang w:val="en-AU"/>
    </w:rPr>
  </w:style>
  <w:style w:type="paragraph" w:styleId="Heading5">
    <w:name w:val="heading 5"/>
    <w:basedOn w:val="Normal"/>
    <w:next w:val="Normal"/>
    <w:link w:val="Heading5Char"/>
    <w:qFormat/>
    <w:rsid w:val="00D0755D"/>
    <w:pPr>
      <w:keepNext/>
      <w:outlineLvl w:val="4"/>
    </w:pPr>
    <w:rPr>
      <w:rFonts w:ascii="Tahoma" w:hAnsi="Tahoma"/>
      <w:b/>
    </w:rPr>
  </w:style>
  <w:style w:type="paragraph" w:styleId="Heading6">
    <w:name w:val="heading 6"/>
    <w:basedOn w:val="Normal"/>
    <w:next w:val="Normal"/>
    <w:qFormat/>
    <w:rsid w:val="00D0755D"/>
    <w:pPr>
      <w:keepNext/>
      <w:ind w:left="2977"/>
      <w:outlineLvl w:val="5"/>
    </w:pPr>
    <w:rPr>
      <w:rFonts w:ascii="Tahoma" w:hAnsi="Tahoma"/>
      <w:sz w:val="20"/>
    </w:rPr>
  </w:style>
  <w:style w:type="paragraph" w:styleId="Heading7">
    <w:name w:val="heading 7"/>
    <w:basedOn w:val="Normal"/>
    <w:next w:val="Normal"/>
    <w:qFormat/>
    <w:rsid w:val="00D0755D"/>
    <w:pPr>
      <w:keepNext/>
      <w:jc w:val="center"/>
      <w:outlineLvl w:val="6"/>
    </w:pPr>
    <w:rPr>
      <w:rFonts w:ascii="Tahoma" w:hAnsi="Tahoma"/>
      <w:spacing w:val="20"/>
      <w:sz w:val="20"/>
    </w:rPr>
  </w:style>
  <w:style w:type="paragraph" w:styleId="Heading8">
    <w:name w:val="heading 8"/>
    <w:basedOn w:val="Normal"/>
    <w:next w:val="Normal"/>
    <w:qFormat/>
    <w:rsid w:val="00D0755D"/>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D0755D"/>
    <w:pPr>
      <w:spacing w:before="160" w:line="300" w:lineRule="exact"/>
      <w:ind w:right="-1"/>
    </w:pPr>
    <w:rPr>
      <w:rFonts w:ascii="Trebuchet MS" w:hAnsi="Trebuchet MS"/>
      <w:sz w:val="19"/>
      <w:szCs w:val="20"/>
      <w:lang w:val="en-AU"/>
    </w:rPr>
  </w:style>
  <w:style w:type="character" w:customStyle="1" w:styleId="TextChar">
    <w:name w:val="Text Char"/>
    <w:basedOn w:val="DefaultParagraphFont"/>
    <w:link w:val="Text"/>
    <w:rsid w:val="00D0755D"/>
    <w:rPr>
      <w:rFonts w:ascii="Trebuchet MS" w:hAnsi="Trebuchet MS"/>
      <w:sz w:val="19"/>
      <w:szCs w:val="20"/>
      <w:lang w:val="en-AU"/>
    </w:rPr>
  </w:style>
  <w:style w:type="character" w:customStyle="1" w:styleId="Heading1Char">
    <w:name w:val="Heading 1 Char"/>
    <w:link w:val="Heading1"/>
    <w:rsid w:val="00487534"/>
    <w:rPr>
      <w:rFonts w:ascii="Tahoma" w:hAnsi="Tahoma" w:cs="Tahoma"/>
      <w:color w:val="000000"/>
      <w:kern w:val="28"/>
      <w:sz w:val="56"/>
      <w:szCs w:val="56"/>
      <w:lang w:val="en-AU"/>
    </w:rPr>
  </w:style>
  <w:style w:type="character" w:customStyle="1" w:styleId="Heading2Char">
    <w:name w:val="Heading 2 Char"/>
    <w:link w:val="Heading2"/>
    <w:rsid w:val="00487534"/>
    <w:rPr>
      <w:rFonts w:ascii="Tahoma" w:hAnsi="Tahoma" w:cs="Tahoma"/>
      <w:sz w:val="28"/>
      <w:szCs w:val="20"/>
      <w:lang w:val="en-AU"/>
    </w:rPr>
  </w:style>
  <w:style w:type="character" w:customStyle="1" w:styleId="Heading3Char">
    <w:name w:val="Heading 3 Char"/>
    <w:basedOn w:val="DefaultParagraphFont"/>
    <w:link w:val="Heading3"/>
    <w:rsid w:val="00D0755D"/>
    <w:rPr>
      <w:rFonts w:ascii="Tahoma" w:hAnsi="Tahoma" w:cs="Tahoma"/>
      <w:color w:val="000000"/>
      <w:szCs w:val="20"/>
      <w:lang w:val="en-AU"/>
    </w:rPr>
  </w:style>
  <w:style w:type="character" w:customStyle="1" w:styleId="Heading4Char">
    <w:name w:val="Heading 4 Char"/>
    <w:basedOn w:val="DefaultParagraphFont"/>
    <w:link w:val="Heading4"/>
    <w:rsid w:val="00487534"/>
    <w:rPr>
      <w:rFonts w:ascii="Tahoma" w:hAnsi="Tahoma"/>
      <w:i/>
      <w:sz w:val="22"/>
      <w:szCs w:val="20"/>
      <w:lang w:val="en-AU"/>
    </w:rPr>
  </w:style>
  <w:style w:type="character" w:customStyle="1" w:styleId="Heading5Char">
    <w:name w:val="Heading 5 Char"/>
    <w:basedOn w:val="DefaultParagraphFont"/>
    <w:link w:val="Heading5"/>
    <w:rsid w:val="00487534"/>
    <w:rPr>
      <w:rFonts w:ascii="Tahoma" w:hAnsi="Tahoma"/>
      <w:b/>
      <w:sz w:val="19"/>
      <w:szCs w:val="20"/>
      <w:lang w:val="en-AU"/>
    </w:rPr>
  </w:style>
  <w:style w:type="character" w:styleId="PageNumber">
    <w:name w:val="page number"/>
    <w:basedOn w:val="DefaultParagraphFont"/>
    <w:rsid w:val="00D0755D"/>
    <w:rPr>
      <w:rFonts w:ascii="Tahoma" w:hAnsi="Tahoma"/>
      <w:sz w:val="18"/>
    </w:rPr>
  </w:style>
  <w:style w:type="paragraph" w:styleId="Footer">
    <w:name w:val="footer"/>
    <w:basedOn w:val="Normal"/>
    <w:link w:val="FooterChar"/>
    <w:rsid w:val="00D0755D"/>
    <w:pPr>
      <w:tabs>
        <w:tab w:val="right" w:pos="8505"/>
      </w:tabs>
      <w:spacing w:before="0"/>
    </w:pPr>
    <w:rPr>
      <w:rFonts w:ascii="Tahoma" w:hAnsi="Tahoma"/>
      <w:sz w:val="17"/>
      <w:szCs w:val="17"/>
    </w:rPr>
  </w:style>
  <w:style w:type="character" w:customStyle="1" w:styleId="FooterChar">
    <w:name w:val="Footer Char"/>
    <w:basedOn w:val="DefaultParagraphFont"/>
    <w:link w:val="Footer"/>
    <w:rsid w:val="00922B06"/>
    <w:rPr>
      <w:rFonts w:ascii="Tahoma" w:hAnsi="Tahoma"/>
      <w:sz w:val="17"/>
      <w:szCs w:val="17"/>
      <w:lang w:val="en-AU"/>
    </w:rPr>
  </w:style>
  <w:style w:type="paragraph" w:styleId="TOC1">
    <w:name w:val="toc 1"/>
    <w:uiPriority w:val="39"/>
    <w:rsid w:val="00D0755D"/>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D0755D"/>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D0755D"/>
    <w:pPr>
      <w:spacing w:before="360" w:after="80"/>
      <w:ind w:left="851" w:hanging="851"/>
    </w:pPr>
    <w:rPr>
      <w:rFonts w:ascii="Tahoma" w:hAnsi="Tahoma"/>
      <w:b/>
      <w:sz w:val="17"/>
      <w:szCs w:val="20"/>
      <w:lang w:val="en-AU"/>
    </w:rPr>
  </w:style>
  <w:style w:type="paragraph" w:customStyle="1" w:styleId="Tabletext">
    <w:name w:val="Table text"/>
    <w:next w:val="Text"/>
    <w:rsid w:val="00D0755D"/>
    <w:pPr>
      <w:spacing w:before="40" w:after="40"/>
    </w:pPr>
    <w:rPr>
      <w:rFonts w:ascii="Arial" w:hAnsi="Arial"/>
      <w:sz w:val="16"/>
      <w:szCs w:val="20"/>
      <w:lang w:val="en-AU"/>
    </w:rPr>
  </w:style>
  <w:style w:type="paragraph" w:customStyle="1" w:styleId="Tablehead1">
    <w:name w:val="Tablehead1"/>
    <w:rsid w:val="00D0755D"/>
    <w:pPr>
      <w:spacing w:before="80" w:after="80"/>
    </w:pPr>
    <w:rPr>
      <w:rFonts w:ascii="Arial" w:hAnsi="Arial"/>
      <w:b/>
      <w:sz w:val="17"/>
      <w:szCs w:val="20"/>
      <w:lang w:val="en-AU"/>
    </w:rPr>
  </w:style>
  <w:style w:type="paragraph" w:styleId="Quote">
    <w:name w:val="Quote"/>
    <w:basedOn w:val="Text"/>
    <w:link w:val="QuoteChar"/>
    <w:qFormat/>
    <w:rsid w:val="00D0755D"/>
    <w:pPr>
      <w:tabs>
        <w:tab w:val="right" w:pos="7853"/>
      </w:tabs>
      <w:spacing w:before="80"/>
      <w:ind w:left="567" w:right="652"/>
    </w:pPr>
    <w:rPr>
      <w:sz w:val="17"/>
    </w:rPr>
  </w:style>
  <w:style w:type="character" w:customStyle="1" w:styleId="QuoteChar">
    <w:name w:val="Quote Char"/>
    <w:basedOn w:val="DefaultParagraphFont"/>
    <w:link w:val="Quote"/>
    <w:rsid w:val="00487534"/>
    <w:rPr>
      <w:rFonts w:ascii="Trebuchet MS" w:hAnsi="Trebuchet MS"/>
      <w:sz w:val="17"/>
      <w:szCs w:val="20"/>
      <w:lang w:val="en-AU"/>
    </w:rPr>
  </w:style>
  <w:style w:type="paragraph" w:customStyle="1" w:styleId="References">
    <w:name w:val="References"/>
    <w:rsid w:val="00D0755D"/>
    <w:pPr>
      <w:spacing w:before="80"/>
      <w:ind w:left="284" w:right="-369" w:hanging="284"/>
    </w:pPr>
    <w:rPr>
      <w:rFonts w:ascii="Trebuchet MS" w:hAnsi="Trebuchet MS"/>
      <w:sz w:val="18"/>
      <w:szCs w:val="20"/>
      <w:lang w:val="en-AU"/>
    </w:rPr>
  </w:style>
  <w:style w:type="paragraph" w:customStyle="1" w:styleId="Tablehead2">
    <w:name w:val="Tablehead2"/>
    <w:basedOn w:val="Tablehead1"/>
    <w:rsid w:val="00D0755D"/>
    <w:pPr>
      <w:tabs>
        <w:tab w:val="left" w:pos="992"/>
      </w:tabs>
      <w:spacing w:before="20" w:after="20"/>
    </w:pPr>
    <w:rPr>
      <w:b w:val="0"/>
    </w:rPr>
  </w:style>
  <w:style w:type="paragraph" w:customStyle="1" w:styleId="Tablehead3">
    <w:name w:val="Tablehead3"/>
    <w:basedOn w:val="Tablehead2"/>
    <w:rsid w:val="00D0755D"/>
    <w:rPr>
      <w:i/>
    </w:rPr>
  </w:style>
  <w:style w:type="paragraph" w:styleId="TableofFigures">
    <w:name w:val="table of figures"/>
    <w:basedOn w:val="TOC1"/>
    <w:next w:val="Normal"/>
    <w:uiPriority w:val="99"/>
    <w:rsid w:val="00D0755D"/>
    <w:pPr>
      <w:tabs>
        <w:tab w:val="left" w:pos="284"/>
      </w:tabs>
      <w:spacing w:before="80"/>
      <w:ind w:left="425" w:right="1985" w:hanging="425"/>
    </w:pPr>
  </w:style>
  <w:style w:type="paragraph" w:customStyle="1" w:styleId="Imprint">
    <w:name w:val="Imprint"/>
    <w:basedOn w:val="Normal"/>
    <w:rsid w:val="00D0755D"/>
    <w:pPr>
      <w:spacing w:line="260" w:lineRule="atLeast"/>
    </w:pPr>
    <w:rPr>
      <w:sz w:val="16"/>
    </w:rPr>
  </w:style>
  <w:style w:type="paragraph" w:customStyle="1" w:styleId="Figuretitle">
    <w:name w:val="Figuretitle"/>
    <w:basedOn w:val="tabletitle"/>
    <w:rsid w:val="00D0755D"/>
  </w:style>
  <w:style w:type="paragraph" w:customStyle="1" w:styleId="Dotpoint1">
    <w:name w:val="Dotpoint1"/>
    <w:rsid w:val="00D0755D"/>
    <w:pPr>
      <w:numPr>
        <w:numId w:val="26"/>
      </w:numPr>
      <w:tabs>
        <w:tab w:val="left" w:pos="284"/>
      </w:tabs>
      <w:spacing w:before="80" w:line="300" w:lineRule="exact"/>
      <w:ind w:left="284" w:hanging="284"/>
    </w:pPr>
    <w:rPr>
      <w:rFonts w:ascii="Trebuchet MS" w:hAnsi="Trebuchet MS"/>
      <w:color w:val="000000"/>
      <w:sz w:val="19"/>
      <w:szCs w:val="20"/>
      <w:lang w:val="en-AU"/>
    </w:rPr>
  </w:style>
  <w:style w:type="paragraph" w:customStyle="1" w:styleId="Dotpoint2">
    <w:name w:val="Dotpoint2"/>
    <w:basedOn w:val="Dotpoint1"/>
    <w:rsid w:val="00482EC5"/>
    <w:pPr>
      <w:numPr>
        <w:numId w:val="27"/>
      </w:numPr>
      <w:tabs>
        <w:tab w:val="left" w:pos="567"/>
        <w:tab w:val="left" w:pos="851"/>
      </w:tabs>
      <w:ind w:left="568" w:hanging="284"/>
    </w:pPr>
  </w:style>
  <w:style w:type="paragraph" w:customStyle="1" w:styleId="NumberedListContinuing">
    <w:name w:val="NumberedListContinuing"/>
    <w:rsid w:val="00D0755D"/>
    <w:pPr>
      <w:numPr>
        <w:numId w:val="29"/>
      </w:numPr>
      <w:spacing w:before="80" w:line="300" w:lineRule="exact"/>
    </w:pPr>
    <w:rPr>
      <w:rFonts w:ascii="Trebuchet MS" w:hAnsi="Trebuchet MS"/>
      <w:sz w:val="19"/>
      <w:szCs w:val="20"/>
      <w:lang w:val="en-AU" w:eastAsia="en-AU"/>
    </w:rPr>
  </w:style>
  <w:style w:type="paragraph" w:customStyle="1" w:styleId="Source">
    <w:name w:val="Source"/>
    <w:rsid w:val="00D0755D"/>
    <w:pPr>
      <w:spacing w:before="40"/>
      <w:ind w:left="567" w:hanging="567"/>
    </w:pPr>
    <w:rPr>
      <w:rFonts w:ascii="Arial" w:hAnsi="Arial"/>
      <w:sz w:val="15"/>
      <w:szCs w:val="20"/>
      <w:lang w:val="en-AU"/>
    </w:rPr>
  </w:style>
  <w:style w:type="paragraph" w:styleId="FootnoteText">
    <w:name w:val="footnote text"/>
    <w:basedOn w:val="Text"/>
    <w:link w:val="FootnoteTextChar"/>
    <w:rsid w:val="00D0755D"/>
    <w:pPr>
      <w:tabs>
        <w:tab w:val="left" w:pos="170"/>
      </w:tabs>
      <w:spacing w:before="0" w:line="220" w:lineRule="exact"/>
      <w:ind w:left="170" w:right="0" w:hanging="170"/>
    </w:pPr>
    <w:rPr>
      <w:sz w:val="16"/>
    </w:rPr>
  </w:style>
  <w:style w:type="character" w:customStyle="1" w:styleId="FootnoteTextChar">
    <w:name w:val="Footnote Text Char"/>
    <w:basedOn w:val="DefaultParagraphFont"/>
    <w:link w:val="FootnoteText"/>
    <w:rsid w:val="00922B06"/>
    <w:rPr>
      <w:rFonts w:ascii="Trebuchet MS" w:hAnsi="Trebuchet MS"/>
      <w:sz w:val="16"/>
      <w:szCs w:val="20"/>
      <w:lang w:val="en-AU"/>
    </w:rPr>
  </w:style>
  <w:style w:type="paragraph" w:styleId="NormalWeb">
    <w:name w:val="Normal (Web)"/>
    <w:basedOn w:val="Normal"/>
    <w:uiPriority w:val="1"/>
    <w:semiHidden/>
    <w:rsid w:val="00D0755D"/>
    <w:pPr>
      <w:spacing w:before="100" w:beforeAutospacing="1" w:after="240"/>
    </w:pPr>
    <w:rPr>
      <w:sz w:val="18"/>
      <w:szCs w:val="18"/>
    </w:rPr>
  </w:style>
  <w:style w:type="paragraph" w:customStyle="1" w:styleId="PublicationTitle">
    <w:name w:val="Publication Title"/>
    <w:qFormat/>
    <w:rsid w:val="00D0755D"/>
    <w:pPr>
      <w:spacing w:before="3200" w:after="840"/>
      <w:ind w:left="1701"/>
    </w:pPr>
    <w:rPr>
      <w:rFonts w:ascii="Tahoma" w:hAnsi="Tahoma" w:cs="Tahoma"/>
      <w:color w:val="000000"/>
      <w:kern w:val="28"/>
      <w:sz w:val="56"/>
      <w:szCs w:val="56"/>
      <w:lang w:val="en-AU"/>
    </w:rPr>
  </w:style>
  <w:style w:type="paragraph" w:styleId="TOC3">
    <w:name w:val="toc 3"/>
    <w:basedOn w:val="TOC2"/>
    <w:next w:val="Normal"/>
    <w:autoRedefine/>
    <w:uiPriority w:val="39"/>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D0755D"/>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55D"/>
    <w:rPr>
      <w:rFonts w:ascii="Tahoma" w:hAnsi="Tahoma" w:cs="Tahoma"/>
      <w:sz w:val="16"/>
      <w:szCs w:val="16"/>
      <w:lang w:val="en-AU"/>
    </w:rPr>
  </w:style>
  <w:style w:type="table" w:styleId="TableGrid">
    <w:name w:val="Table Grid"/>
    <w:basedOn w:val="TableNormal"/>
    <w:uiPriority w:val="59"/>
    <w:rsid w:val="00D0755D"/>
    <w:rPr>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rsid w:val="00D0755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D0755D"/>
    <w:rPr>
      <w:rFonts w:ascii="Trebuchet MS" w:hAnsi="Trebuchet MS"/>
      <w:sz w:val="19"/>
      <w:szCs w:val="20"/>
      <w:lang w:val="en-AU"/>
    </w:rPr>
  </w:style>
  <w:style w:type="character" w:styleId="Hyperlink">
    <w:name w:val="Hyperlink"/>
    <w:basedOn w:val="DefaultParagraphFont"/>
    <w:unhideWhenUsed/>
    <w:rsid w:val="00D0755D"/>
    <w:rPr>
      <w:rFonts w:ascii="Trebuchet MS" w:hAnsi="Trebuchet MS"/>
      <w:color w:val="auto"/>
      <w:sz w:val="19"/>
      <w:u w:val="none"/>
    </w:rPr>
  </w:style>
  <w:style w:type="paragraph" w:styleId="ListParagraph">
    <w:name w:val="List Paragraph"/>
    <w:basedOn w:val="Normal"/>
    <w:uiPriority w:val="34"/>
    <w:qFormat/>
    <w:rsid w:val="00D0755D"/>
    <w:pPr>
      <w:ind w:left="720"/>
      <w:contextualSpacing/>
    </w:pPr>
  </w:style>
  <w:style w:type="paragraph" w:styleId="BodyText">
    <w:name w:val="Body Text"/>
    <w:basedOn w:val="Normal"/>
    <w:link w:val="BodyTextChar"/>
    <w:rsid w:val="00D0755D"/>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D0755D"/>
    <w:rPr>
      <w:b/>
      <w:sz w:val="20"/>
      <w:szCs w:val="20"/>
      <w:lang w:eastAsia="ko-KR"/>
    </w:rPr>
  </w:style>
  <w:style w:type="paragraph" w:styleId="BodyText2">
    <w:name w:val="Body Text 2"/>
    <w:basedOn w:val="Normal"/>
    <w:link w:val="BodyText2Char"/>
    <w:rsid w:val="00D0755D"/>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D0755D"/>
    <w:rPr>
      <w:sz w:val="22"/>
      <w:szCs w:val="20"/>
      <w:lang w:eastAsia="ko-KR"/>
    </w:rPr>
  </w:style>
  <w:style w:type="paragraph" w:styleId="BodyTextIndent">
    <w:name w:val="Body Text Indent"/>
    <w:basedOn w:val="Normal"/>
    <w:link w:val="BodyTextIndentChar"/>
    <w:rsid w:val="00D0755D"/>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D0755D"/>
    <w:rPr>
      <w:sz w:val="22"/>
      <w:szCs w:val="20"/>
      <w:lang w:val="en-AU" w:eastAsia="en-AU"/>
    </w:rPr>
  </w:style>
  <w:style w:type="paragraph" w:customStyle="1" w:styleId="Authors">
    <w:name w:val="Authors"/>
    <w:qFormat/>
    <w:rsid w:val="00D0755D"/>
    <w:pPr>
      <w:ind w:left="1701" w:right="-1"/>
    </w:pPr>
    <w:rPr>
      <w:rFonts w:ascii="Tahoma" w:hAnsi="Tahoma" w:cs="Tahoma"/>
      <w:sz w:val="28"/>
      <w:szCs w:val="20"/>
      <w:lang w:val="en-AU"/>
    </w:rPr>
  </w:style>
  <w:style w:type="paragraph" w:customStyle="1" w:styleId="Contents">
    <w:name w:val="Contents"/>
    <w:qFormat/>
    <w:rsid w:val="00D0755D"/>
    <w:pPr>
      <w:spacing w:after="360"/>
    </w:pPr>
    <w:rPr>
      <w:rFonts w:ascii="Tahoma" w:hAnsi="Tahoma" w:cs="Tahoma"/>
      <w:color w:val="000000"/>
      <w:kern w:val="28"/>
      <w:sz w:val="56"/>
      <w:szCs w:val="56"/>
      <w:lang w:val="en-AU"/>
    </w:rPr>
  </w:style>
  <w:style w:type="paragraph" w:customStyle="1" w:styleId="Abouttheresearchpubtitle">
    <w:name w:val="About the research pub title"/>
    <w:qFormat/>
    <w:rsid w:val="00D0755D"/>
    <w:pPr>
      <w:spacing w:before="360"/>
    </w:pPr>
    <w:rPr>
      <w:rFonts w:ascii="Tahoma" w:hAnsi="Tahoma" w:cs="Tahoma"/>
      <w:i/>
      <w:sz w:val="28"/>
      <w:szCs w:val="20"/>
      <w:lang w:val="en-AU"/>
    </w:rPr>
  </w:style>
  <w:style w:type="paragraph" w:customStyle="1" w:styleId="Abouttheresearch">
    <w:name w:val="About the research"/>
    <w:uiPriority w:val="1"/>
    <w:qFormat/>
    <w:rsid w:val="00D0755D"/>
    <w:rPr>
      <w:rFonts w:ascii="Tahoma" w:hAnsi="Tahoma" w:cs="Tahoma"/>
      <w:color w:val="000000"/>
      <w:kern w:val="28"/>
      <w:sz w:val="56"/>
      <w:szCs w:val="56"/>
      <w:lang w:val="en-AU"/>
    </w:rPr>
  </w:style>
  <w:style w:type="paragraph" w:customStyle="1" w:styleId="Keymessages">
    <w:name w:val="Key messages"/>
    <w:uiPriority w:val="1"/>
    <w:qFormat/>
    <w:rsid w:val="00D0755D"/>
    <w:pPr>
      <w:spacing w:before="360"/>
    </w:pPr>
    <w:rPr>
      <w:rFonts w:ascii="Tahoma" w:hAnsi="Tahoma" w:cs="Tahoma"/>
      <w:sz w:val="28"/>
      <w:szCs w:val="20"/>
      <w:lang w:val="en-AU"/>
    </w:rPr>
  </w:style>
  <w:style w:type="paragraph" w:customStyle="1" w:styleId="Organisation">
    <w:name w:val="Organisation"/>
    <w:basedOn w:val="Authors"/>
    <w:uiPriority w:val="1"/>
    <w:qFormat/>
    <w:rsid w:val="00D0755D"/>
    <w:pPr>
      <w:spacing w:before="120"/>
      <w:ind w:right="0"/>
    </w:pPr>
    <w:rPr>
      <w:sz w:val="24"/>
    </w:rPr>
  </w:style>
  <w:style w:type="character" w:styleId="FollowedHyperlink">
    <w:name w:val="FollowedHyperlink"/>
    <w:basedOn w:val="DefaultParagraphFont"/>
    <w:uiPriority w:val="99"/>
    <w:semiHidden/>
    <w:rsid w:val="00D0755D"/>
    <w:rPr>
      <w:color w:val="800080" w:themeColor="followedHyperlink"/>
      <w:u w:val="single"/>
    </w:rPr>
  </w:style>
  <w:style w:type="paragraph" w:customStyle="1" w:styleId="NumberedAlphaLevel2">
    <w:name w:val="NumberedAlphaLevel2"/>
    <w:basedOn w:val="NumberedListContinuing"/>
    <w:uiPriority w:val="1"/>
    <w:qFormat/>
    <w:rsid w:val="00D0755D"/>
    <w:pPr>
      <w:numPr>
        <w:ilvl w:val="1"/>
      </w:numPr>
    </w:pPr>
  </w:style>
  <w:style w:type="paragraph" w:customStyle="1" w:styleId="QuoteSue">
    <w:name w:val="Quote Sue"/>
    <w:basedOn w:val="Text"/>
    <w:next w:val="Text"/>
    <w:link w:val="QuoteSueChar"/>
    <w:autoRedefine/>
    <w:qFormat/>
    <w:rsid w:val="00155247"/>
    <w:pPr>
      <w:spacing w:before="80"/>
      <w:ind w:left="567" w:right="652"/>
    </w:pPr>
    <w:rPr>
      <w:color w:val="000000"/>
      <w:szCs w:val="16"/>
    </w:rPr>
  </w:style>
  <w:style w:type="character" w:customStyle="1" w:styleId="QuoteSueChar">
    <w:name w:val="Quote Sue Char"/>
    <w:link w:val="QuoteSue"/>
    <w:rsid w:val="00155247"/>
    <w:rPr>
      <w:rFonts w:ascii="Trebuchet MS" w:hAnsi="Trebuchet MS"/>
      <w:color w:val="000000"/>
      <w:sz w:val="19"/>
      <w:szCs w:val="16"/>
      <w:lang w:val="en-AU"/>
    </w:rPr>
  </w:style>
  <w:style w:type="paragraph" w:customStyle="1" w:styleId="FootnoteSue">
    <w:name w:val="Footnote Sue"/>
    <w:basedOn w:val="FootnoteText"/>
    <w:link w:val="FootnoteSueChar"/>
    <w:qFormat/>
    <w:rsid w:val="00487534"/>
    <w:pPr>
      <w:tabs>
        <w:tab w:val="clear" w:pos="170"/>
      </w:tabs>
      <w:spacing w:line="240" w:lineRule="auto"/>
      <w:ind w:left="0" w:firstLine="0"/>
    </w:pPr>
    <w:rPr>
      <w:rFonts w:ascii="Verdana" w:hAnsi="Verdana"/>
      <w:color w:val="000000"/>
      <w:szCs w:val="16"/>
      <w:lang w:val="en-US" w:eastAsia="en-AU"/>
    </w:rPr>
  </w:style>
  <w:style w:type="character" w:customStyle="1" w:styleId="FootnoteSueChar">
    <w:name w:val="Footnote Sue Char"/>
    <w:link w:val="FootnoteSue"/>
    <w:rsid w:val="00487534"/>
    <w:rPr>
      <w:rFonts w:ascii="Verdana" w:hAnsi="Verdana"/>
      <w:color w:val="000000"/>
      <w:sz w:val="16"/>
      <w:szCs w:val="16"/>
      <w:lang w:eastAsia="en-AU"/>
    </w:rPr>
  </w:style>
  <w:style w:type="paragraph" w:customStyle="1" w:styleId="Header-thesis">
    <w:name w:val="Header - thesis"/>
    <w:link w:val="Header-thesisChar"/>
    <w:qFormat/>
    <w:rsid w:val="00487534"/>
    <w:pPr>
      <w:keepNext/>
      <w:spacing w:after="240" w:line="480" w:lineRule="auto"/>
      <w:jc w:val="center"/>
    </w:pPr>
    <w:rPr>
      <w:rFonts w:ascii="Verdana" w:hAnsi="Verdana"/>
      <w:iCs/>
      <w:color w:val="000000"/>
      <w:sz w:val="16"/>
    </w:rPr>
  </w:style>
  <w:style w:type="character" w:customStyle="1" w:styleId="Header-thesisChar">
    <w:name w:val="Header - thesis Char"/>
    <w:link w:val="Header-thesis"/>
    <w:rsid w:val="00487534"/>
    <w:rPr>
      <w:rFonts w:ascii="Verdana" w:hAnsi="Verdana"/>
      <w:iCs/>
      <w:color w:val="000000"/>
      <w:sz w:val="16"/>
    </w:rPr>
  </w:style>
  <w:style w:type="paragraph" w:styleId="Subtitle">
    <w:name w:val="Subtitle"/>
    <w:basedOn w:val="Normal"/>
    <w:next w:val="Normal"/>
    <w:link w:val="SubtitleChar"/>
    <w:uiPriority w:val="11"/>
    <w:qFormat/>
    <w:rsid w:val="00487534"/>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link w:val="Subtitle"/>
    <w:uiPriority w:val="11"/>
    <w:rsid w:val="00487534"/>
    <w:rPr>
      <w:rFonts w:asciiTheme="majorHAnsi" w:eastAsiaTheme="majorEastAsia" w:hAnsiTheme="majorHAnsi" w:cstheme="majorBidi"/>
      <w:i/>
      <w:iCs/>
      <w:color w:val="4F81BD" w:themeColor="accent1"/>
      <w:spacing w:val="15"/>
      <w:sz w:val="24"/>
      <w:szCs w:val="24"/>
      <w:lang w:val="en-AU"/>
    </w:rPr>
  </w:style>
  <w:style w:type="paragraph" w:customStyle="1" w:styleId="NoteLevel21">
    <w:name w:val="Note Level 21"/>
    <w:basedOn w:val="Normal"/>
    <w:uiPriority w:val="1"/>
    <w:rsid w:val="00487534"/>
    <w:pPr>
      <w:numPr>
        <w:ilvl w:val="1"/>
        <w:numId w:val="3"/>
      </w:numPr>
      <w:contextualSpacing/>
      <w:outlineLvl w:val="1"/>
    </w:pPr>
    <w:rPr>
      <w:rFonts w:eastAsia="MS Gothic"/>
    </w:rPr>
  </w:style>
  <w:style w:type="paragraph" w:styleId="CommentText">
    <w:name w:val="annotation text"/>
    <w:basedOn w:val="Normal"/>
    <w:link w:val="CommentTextChar"/>
    <w:rsid w:val="00A56C1A"/>
    <w:pPr>
      <w:spacing w:line="240" w:lineRule="auto"/>
    </w:pPr>
    <w:rPr>
      <w:sz w:val="24"/>
    </w:rPr>
  </w:style>
  <w:style w:type="character" w:customStyle="1" w:styleId="CommentTextChar">
    <w:name w:val="Comment Text Char"/>
    <w:basedOn w:val="DefaultParagraphFont"/>
    <w:link w:val="CommentText"/>
    <w:rsid w:val="00A56C1A"/>
    <w:rPr>
      <w:rFonts w:ascii="Trebuchet MS" w:hAnsi="Trebuchet MS"/>
      <w:sz w:val="24"/>
      <w:szCs w:val="24"/>
      <w:lang w:val="en-AU"/>
    </w:rPr>
  </w:style>
  <w:style w:type="character" w:styleId="CommentReference">
    <w:name w:val="annotation reference"/>
    <w:basedOn w:val="DefaultParagraphFont"/>
    <w:unhideWhenUsed/>
    <w:rsid w:val="00A56C1A"/>
    <w:rPr>
      <w:sz w:val="16"/>
      <w:szCs w:val="16"/>
    </w:rPr>
  </w:style>
  <w:style w:type="paragraph" w:customStyle="1" w:styleId="ReportTitle">
    <w:name w:val="Report Title"/>
    <w:basedOn w:val="Normal"/>
    <w:next w:val="Normal"/>
    <w:uiPriority w:val="99"/>
    <w:rsid w:val="00922B06"/>
    <w:pPr>
      <w:autoSpaceDE w:val="0"/>
      <w:autoSpaceDN w:val="0"/>
      <w:adjustRightInd w:val="0"/>
      <w:spacing w:before="0" w:line="240" w:lineRule="auto"/>
    </w:pPr>
    <w:rPr>
      <w:rFonts w:ascii="Arial" w:eastAsiaTheme="minorHAnsi" w:hAnsi="Arial" w:cs="Arial"/>
      <w:sz w:val="24"/>
    </w:rPr>
  </w:style>
  <w:style w:type="paragraph" w:customStyle="1" w:styleId="EndNoteBibliography">
    <w:name w:val="EndNote Bibliography"/>
    <w:basedOn w:val="Normal"/>
    <w:rsid w:val="00922B06"/>
    <w:pPr>
      <w:spacing w:before="0" w:line="240" w:lineRule="auto"/>
    </w:pPr>
    <w:rPr>
      <w:rFonts w:ascii="Arial" w:eastAsiaTheme="minorEastAsia" w:hAnsi="Arial" w:cs="Arial"/>
      <w:sz w:val="24"/>
      <w:lang w:val="en-US"/>
    </w:rPr>
  </w:style>
  <w:style w:type="character" w:customStyle="1" w:styleId="CommentSubjectChar">
    <w:name w:val="Comment Subject Char"/>
    <w:basedOn w:val="CommentTextChar"/>
    <w:link w:val="CommentSubject"/>
    <w:uiPriority w:val="99"/>
    <w:semiHidden/>
    <w:rsid w:val="00922B06"/>
    <w:rPr>
      <w:rFonts w:asciiTheme="majorHAnsi" w:eastAsiaTheme="minorEastAsia" w:hAnsiTheme="majorHAnsi" w:cstheme="minorBidi"/>
      <w:b/>
      <w:bCs/>
      <w:sz w:val="24"/>
      <w:szCs w:val="24"/>
      <w:lang w:val="en-AU" w:eastAsia="zh-CN"/>
    </w:rPr>
  </w:style>
  <w:style w:type="paragraph" w:styleId="CommentSubject">
    <w:name w:val="annotation subject"/>
    <w:basedOn w:val="CommentText"/>
    <w:next w:val="CommentText"/>
    <w:link w:val="CommentSubjectChar"/>
    <w:uiPriority w:val="99"/>
    <w:semiHidden/>
    <w:unhideWhenUsed/>
    <w:rsid w:val="00922B06"/>
    <w:pPr>
      <w:spacing w:before="0" w:after="200"/>
    </w:pPr>
    <w:rPr>
      <w:rFonts w:asciiTheme="majorHAnsi" w:eastAsiaTheme="minorEastAsia" w:hAnsiTheme="majorHAnsi" w:cstheme="minorBidi"/>
      <w:b/>
      <w:bCs/>
      <w:sz w:val="20"/>
      <w:lang w:eastAsia="zh-CN"/>
    </w:rPr>
  </w:style>
  <w:style w:type="paragraph" w:styleId="Caption">
    <w:name w:val="caption"/>
    <w:basedOn w:val="Normal"/>
    <w:next w:val="Normal"/>
    <w:uiPriority w:val="35"/>
    <w:qFormat/>
    <w:rsid w:val="00922B06"/>
    <w:pPr>
      <w:spacing w:before="0" w:line="240" w:lineRule="auto"/>
    </w:pPr>
    <w:rPr>
      <w:rFonts w:ascii="Arial" w:eastAsia="MS Mincho" w:hAnsi="Arial"/>
      <w:b/>
      <w:bCs/>
      <w:sz w:val="20"/>
      <w:lang w:val="en-US"/>
    </w:rPr>
  </w:style>
  <w:style w:type="paragraph" w:styleId="NoSpacing">
    <w:name w:val="No Spacing"/>
    <w:basedOn w:val="Normal"/>
    <w:uiPriority w:val="1"/>
    <w:qFormat/>
    <w:rsid w:val="00922B06"/>
    <w:pPr>
      <w:tabs>
        <w:tab w:val="num" w:pos="720"/>
      </w:tabs>
      <w:spacing w:before="0" w:line="240" w:lineRule="auto"/>
      <w:ind w:left="1080" w:hanging="360"/>
      <w:contextualSpacing/>
      <w:outlineLvl w:val="1"/>
    </w:pPr>
    <w:rPr>
      <w:rFonts w:ascii="Arial" w:eastAsia="MS Gothic" w:hAnsi="Arial"/>
      <w:sz w:val="24"/>
      <w:lang w:val="en-US"/>
    </w:rPr>
  </w:style>
  <w:style w:type="character" w:customStyle="1" w:styleId="DocumentMapChar">
    <w:name w:val="Document Map Char"/>
    <w:basedOn w:val="DefaultParagraphFont"/>
    <w:link w:val="DocumentMap"/>
    <w:uiPriority w:val="99"/>
    <w:semiHidden/>
    <w:rsid w:val="00922B06"/>
    <w:rPr>
      <w:rFonts w:ascii="Lucida Grande" w:eastAsiaTheme="minorEastAsia" w:hAnsi="Lucida Grande" w:cs="Lucida Grande"/>
      <w:sz w:val="24"/>
      <w:szCs w:val="24"/>
      <w:lang w:val="en-AU" w:eastAsia="zh-CN"/>
    </w:rPr>
  </w:style>
  <w:style w:type="paragraph" w:styleId="DocumentMap">
    <w:name w:val="Document Map"/>
    <w:basedOn w:val="Normal"/>
    <w:link w:val="DocumentMapChar"/>
    <w:uiPriority w:val="99"/>
    <w:semiHidden/>
    <w:unhideWhenUsed/>
    <w:rsid w:val="00922B06"/>
    <w:pPr>
      <w:spacing w:before="0" w:line="240" w:lineRule="auto"/>
    </w:pPr>
    <w:rPr>
      <w:rFonts w:ascii="Lucida Grande" w:eastAsiaTheme="minorEastAsia" w:hAnsi="Lucida Grande" w:cs="Lucida Grande"/>
      <w:sz w:val="24"/>
      <w:lang w:eastAsia="zh-CN"/>
    </w:rPr>
  </w:style>
  <w:style w:type="paragraph" w:customStyle="1" w:styleId="Style1">
    <w:name w:val="Style1"/>
    <w:basedOn w:val="Text"/>
    <w:uiPriority w:val="1"/>
    <w:qFormat/>
    <w:rsid w:val="00B22C6F"/>
    <w:pPr>
      <w:numPr>
        <w:numId w:val="6"/>
      </w:numPr>
      <w:ind w:left="357" w:right="0" w:hanging="357"/>
    </w:pPr>
  </w:style>
  <w:style w:type="character" w:styleId="FootnoteReference">
    <w:name w:val="footnote reference"/>
    <w:basedOn w:val="DefaultParagraphFont"/>
    <w:uiPriority w:val="99"/>
    <w:semiHidden/>
    <w:rsid w:val="0068387C"/>
    <w:rPr>
      <w:vertAlign w:val="superscript"/>
    </w:rPr>
  </w:style>
  <w:style w:type="character" w:customStyle="1" w:styleId="apple-converted-space">
    <w:name w:val="apple-converted-space"/>
    <w:basedOn w:val="DefaultParagraphFont"/>
    <w:rsid w:val="00477D67"/>
  </w:style>
  <w:style w:type="paragraph" w:customStyle="1" w:styleId="Default">
    <w:name w:val="Default"/>
    <w:rsid w:val="001A7D5B"/>
    <w:pPr>
      <w:widowControl w:val="0"/>
      <w:autoSpaceDE w:val="0"/>
      <w:autoSpaceDN w:val="0"/>
      <w:adjustRightInd w:val="0"/>
    </w:pPr>
    <w:rPr>
      <w:rFonts w:ascii="Code 2000" w:hAnsi="Code 2000" w:cs="Code 2000"/>
      <w:color w:val="000000"/>
    </w:rPr>
  </w:style>
  <w:style w:type="paragraph" w:customStyle="1" w:styleId="Text-box">
    <w:name w:val="Text - box"/>
    <w:basedOn w:val="Text"/>
    <w:uiPriority w:val="1"/>
    <w:qFormat/>
    <w:rsid w:val="00BA2740"/>
    <w:pPr>
      <w:spacing w:before="120" w:line="280" w:lineRule="exact"/>
      <w:ind w:right="0"/>
    </w:pPr>
    <w:rPr>
      <w:sz w:val="18"/>
      <w:szCs w:val="18"/>
    </w:rPr>
  </w:style>
  <w:style w:type="paragraph" w:styleId="Revision">
    <w:name w:val="Revision"/>
    <w:hidden/>
    <w:rsid w:val="00994936"/>
    <w:rPr>
      <w:rFonts w:ascii="Trebuchet MS" w:hAnsi="Trebuchet MS"/>
      <w:sz w:val="19"/>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116434">
      <w:bodyDiv w:val="1"/>
      <w:marLeft w:val="0"/>
      <w:marRight w:val="0"/>
      <w:marTop w:val="0"/>
      <w:marBottom w:val="0"/>
      <w:divBdr>
        <w:top w:val="none" w:sz="0" w:space="0" w:color="auto"/>
        <w:left w:val="none" w:sz="0" w:space="0" w:color="auto"/>
        <w:bottom w:val="none" w:sz="0" w:space="0" w:color="auto"/>
        <w:right w:val="none" w:sz="0" w:space="0" w:color="auto"/>
      </w:divBdr>
    </w:div>
    <w:div w:id="2009484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hyperlink" Target="http://twitter.com/ncve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deewr.gov.au/he_review_finalreport" TargetMode="Externa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image" Target="media/image40.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0.wmf"/><Relationship Id="rId20" Type="http://schemas.openxmlformats.org/officeDocument/2006/relationships/hyperlink" Target="http://www.theguardian.com/education/2005/nov/29/accesstouniversity.primaryeducatio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oced.edu.au/"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image" Target="media/image50.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twitter.com/ncver" TargetMode="External"/><Relationship Id="rId22" Type="http://schemas.openxmlformats.org/officeDocument/2006/relationships/hyperlink" Target="http://www.education.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72ADB-A78C-4F07-B52F-7C5D649A8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573</TotalTime>
  <Pages>63</Pages>
  <Words>29676</Words>
  <Characters>169159</Characters>
  <Application>Microsoft Office Word</Application>
  <DocSecurity>0</DocSecurity>
  <Lines>1409</Lines>
  <Paragraphs>396</Paragraphs>
  <ScaleCrop>false</ScaleCrop>
  <HeadingPairs>
    <vt:vector size="2" baseType="variant">
      <vt:variant>
        <vt:lpstr>Title</vt:lpstr>
      </vt:variant>
      <vt:variant>
        <vt:i4>1</vt:i4>
      </vt:variant>
    </vt:vector>
  </HeadingPairs>
  <TitlesOfParts>
    <vt:vector size="1" baseType="lpstr">
      <vt:lpstr/>
    </vt:vector>
  </TitlesOfParts>
  <Company>UQ</Company>
  <LinksUpToDate>false</LinksUpToDate>
  <CharactersWithSpaces>198439</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Geographical and place dimensions</dc:title>
  <dc:creator>Webb et al.</dc:creator>
  <cp:lastModifiedBy>Katrina Matheos</cp:lastModifiedBy>
  <cp:revision>29</cp:revision>
  <cp:lastPrinted>2015-01-19T22:48:00Z</cp:lastPrinted>
  <dcterms:created xsi:type="dcterms:W3CDTF">2015-01-13T00:01:00Z</dcterms:created>
  <dcterms:modified xsi:type="dcterms:W3CDTF">2015-02-11T04:11:00Z</dcterms:modified>
</cp:coreProperties>
</file>