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D5" w:rsidRDefault="007527F2" w:rsidP="008332D5">
      <w:pPr>
        <w:pStyle w:val="PublicationTitle"/>
        <w:spacing w:before="0"/>
      </w:pPr>
      <w:bookmarkStart w:id="0" w:name="_Toc296423677"/>
      <w:bookmarkStart w:id="1" w:name="_Toc296497508"/>
      <w:bookmarkStart w:id="2" w:name="_GoBack"/>
      <w:bookmarkEnd w:id="2"/>
      <w:r>
        <w:rPr>
          <w:noProof/>
          <w:lang w:eastAsia="en-AU"/>
        </w:rPr>
        <w:drawing>
          <wp:anchor distT="0" distB="0" distL="114300" distR="114300" simplePos="0" relativeHeight="251669504" behindDoc="0" locked="0" layoutInCell="1" allowOverlap="1" wp14:anchorId="7DE75950" wp14:editId="2F5A4DEC">
            <wp:simplePos x="0" y="0"/>
            <wp:positionH relativeFrom="column">
              <wp:posOffset>-252730</wp:posOffset>
            </wp:positionH>
            <wp:positionV relativeFrom="paragraph">
              <wp:posOffset>294640</wp:posOffset>
            </wp:positionV>
            <wp:extent cx="2200275" cy="1552575"/>
            <wp:effectExtent l="0" t="0" r="0" b="0"/>
            <wp:wrapSquare wrapText="bothSides"/>
            <wp:docPr id="11" name="Picture 6"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_prod\PublicationComponents\logos\LSAY\LSAY logo B&amp;W.eps"/>
                    <pic:cNvPicPr>
                      <a:picLocks noChangeAspect="1" noChangeArrowheads="1"/>
                    </pic:cNvPicPr>
                  </pic:nvPicPr>
                  <pic:blipFill>
                    <a:blip r:embed="rId9" cstate="print"/>
                    <a:srcRect/>
                    <a:stretch>
                      <a:fillRect/>
                    </a:stretch>
                  </pic:blipFill>
                  <pic:spPr bwMode="auto">
                    <a:xfrm>
                      <a:off x="0" y="0"/>
                      <a:ext cx="2200275" cy="155257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7456" behindDoc="0" locked="0" layoutInCell="1" allowOverlap="1" wp14:anchorId="1D8D6736" wp14:editId="54BD515E">
            <wp:simplePos x="0" y="0"/>
            <wp:positionH relativeFrom="column">
              <wp:posOffset>-33655</wp:posOffset>
            </wp:positionH>
            <wp:positionV relativeFrom="paragraph">
              <wp:posOffset>104140</wp:posOffset>
            </wp:positionV>
            <wp:extent cx="1847850" cy="395605"/>
            <wp:effectExtent l="0" t="0" r="0" b="4445"/>
            <wp:wrapSquare wrapText="bothSides"/>
            <wp:docPr id="10" name="Picture 4"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ublicationComponents\logos\NCVER LOGOS\WMF - word\No lines\NCVER_Floating_Mono.wmf"/>
                    <pic:cNvPicPr>
                      <a:picLocks noChangeAspect="1" noChangeArrowheads="1"/>
                    </pic:cNvPicPr>
                  </pic:nvPicPr>
                  <pic:blipFill>
                    <a:blip r:embed="rId10" cstate="print"/>
                    <a:srcRect/>
                    <a:stretch>
                      <a:fillRect/>
                    </a:stretch>
                  </pic:blipFill>
                  <pic:spPr bwMode="auto">
                    <a:xfrm>
                      <a:off x="0" y="0"/>
                      <a:ext cx="1847850" cy="395605"/>
                    </a:xfrm>
                    <a:prstGeom prst="rect">
                      <a:avLst/>
                    </a:prstGeom>
                    <a:noFill/>
                    <a:ln w="9525">
                      <a:noFill/>
                      <a:miter lim="800000"/>
                      <a:headEnd/>
                      <a:tailEnd/>
                    </a:ln>
                  </pic:spPr>
                </pic:pic>
              </a:graphicData>
            </a:graphic>
          </wp:anchor>
        </w:drawing>
      </w:r>
    </w:p>
    <w:p w:rsidR="008332D5" w:rsidRDefault="008332D5" w:rsidP="008332D5">
      <w:pPr>
        <w:pStyle w:val="PublicationTitle"/>
        <w:spacing w:before="0" w:after="0"/>
      </w:pPr>
    </w:p>
    <w:p w:rsidR="008332D5" w:rsidRDefault="008332D5" w:rsidP="008332D5">
      <w:pPr>
        <w:pStyle w:val="PublicationTitle"/>
        <w:spacing w:before="0" w:after="0"/>
        <w:rPr>
          <w:noProof/>
          <w:lang w:eastAsia="en-AU"/>
        </w:rPr>
      </w:pPr>
    </w:p>
    <w:p w:rsidR="007527F2" w:rsidRDefault="007527F2" w:rsidP="008332D5">
      <w:pPr>
        <w:pStyle w:val="PublicationTitle"/>
        <w:spacing w:before="0"/>
      </w:pPr>
    </w:p>
    <w:p w:rsidR="008332D5" w:rsidRPr="005C2FCF" w:rsidRDefault="00A7765C" w:rsidP="008332D5">
      <w:pPr>
        <w:pStyle w:val="PublicationTitle"/>
        <w:spacing w:before="0"/>
      </w:pPr>
      <w:r>
        <w:t xml:space="preserve">Does </w:t>
      </w:r>
      <w:r w:rsidR="008332D5">
        <w:t xml:space="preserve">financial stress </w:t>
      </w:r>
      <w:r w:rsidR="006D456D">
        <w:br/>
      </w:r>
      <w:r>
        <w:t xml:space="preserve">impact </w:t>
      </w:r>
      <w:r w:rsidR="008332D5">
        <w:t xml:space="preserve">on young people </w:t>
      </w:r>
      <w:bookmarkEnd w:id="0"/>
      <w:bookmarkEnd w:id="1"/>
      <w:r w:rsidR="008332D5">
        <w:t>in</w:t>
      </w:r>
      <w:r w:rsidR="00043B17">
        <w:t> </w:t>
      </w:r>
      <w:r w:rsidR="008332D5">
        <w:t>tertiary study</w:t>
      </w:r>
      <w:r>
        <w:t>?</w:t>
      </w:r>
    </w:p>
    <w:p w:rsidR="00043B17" w:rsidRDefault="00B1425C" w:rsidP="008332D5">
      <w:pPr>
        <w:pStyle w:val="Authors"/>
      </w:pPr>
      <w:bookmarkStart w:id="3" w:name="_Toc296423678"/>
      <w:bookmarkStart w:id="4" w:name="_Toc296497509"/>
      <w:r>
        <w:t xml:space="preserve">Sian </w:t>
      </w:r>
      <w:proofErr w:type="spellStart"/>
      <w:r>
        <w:t>Halliday-</w:t>
      </w:r>
      <w:r w:rsidR="008332D5">
        <w:t>Wynes</w:t>
      </w:r>
      <w:proofErr w:type="spellEnd"/>
    </w:p>
    <w:p w:rsidR="008332D5" w:rsidRDefault="00043B17" w:rsidP="008332D5">
      <w:pPr>
        <w:pStyle w:val="Authors"/>
      </w:pPr>
      <w:proofErr w:type="spellStart"/>
      <w:r>
        <w:t>Nhi</w:t>
      </w:r>
      <w:proofErr w:type="spellEnd"/>
      <w:r>
        <w:t xml:space="preserve"> Nguyen</w:t>
      </w:r>
    </w:p>
    <w:bookmarkEnd w:id="3"/>
    <w:bookmarkEnd w:id="4"/>
    <w:p w:rsidR="008332D5" w:rsidRDefault="008332D5" w:rsidP="008332D5">
      <w:pPr>
        <w:pStyle w:val="Organisation"/>
      </w:pPr>
      <w:r>
        <w:t>NCVER</w:t>
      </w:r>
    </w:p>
    <w:p w:rsidR="008332D5" w:rsidRDefault="00D03292" w:rsidP="008332D5">
      <w:pPr>
        <w:pStyle w:val="Heading3"/>
        <w:ind w:right="-1"/>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4" w:rsidRPr="00144D37" w:rsidRDefault="003A4DD4" w:rsidP="007527F2">
                            <w:pPr>
                              <w:pStyle w:val="Heading3"/>
                              <w:rPr>
                                <w:rFonts w:ascii="Trebuchet MS" w:hAnsi="Trebuchet MS"/>
                                <w:szCs w:val="24"/>
                              </w:rPr>
                            </w:pPr>
                            <w:r w:rsidRPr="00144D37">
                              <w:rPr>
                                <w:rFonts w:ascii="Trebuchet MS" w:hAnsi="Trebuchet MS"/>
                                <w:szCs w:val="24"/>
                              </w:rPr>
                              <w:t xml:space="preserve">LONGITUDINAL SURVEYS </w:t>
                            </w:r>
                            <w:r>
                              <w:rPr>
                                <w:rFonts w:ascii="Trebuchet MS" w:hAnsi="Trebuchet MS"/>
                                <w:szCs w:val="24"/>
                              </w:rPr>
                              <w:br/>
                            </w:r>
                            <w:r w:rsidRPr="00144D37">
                              <w:rPr>
                                <w:rFonts w:ascii="Trebuchet MS" w:hAnsi="Trebuchet MS"/>
                                <w:szCs w:val="24"/>
                              </w:rPr>
                              <w:t>OF AUSTRALIAN YOUTH</w:t>
                            </w:r>
                          </w:p>
                          <w:p w:rsidR="003A4DD4" w:rsidRPr="00144D37" w:rsidRDefault="003A4DD4" w:rsidP="007527F2">
                            <w:pPr>
                              <w:pStyle w:val="Heading3"/>
                              <w:spacing w:before="80"/>
                              <w:rPr>
                                <w:rFonts w:ascii="Trebuchet MS" w:hAnsi="Trebuchet MS"/>
                                <w:szCs w:val="24"/>
                              </w:rPr>
                            </w:pPr>
                            <w:r w:rsidRPr="00144D37">
                              <w:rPr>
                                <w:rFonts w:ascii="Trebuchet MS" w:hAnsi="Trebuchet MS"/>
                                <w:b/>
                                <w:szCs w:val="24"/>
                              </w:rPr>
                              <w:t>RESEARCH REPORT</w:t>
                            </w:r>
                            <w:r>
                              <w:rPr>
                                <w:rFonts w:ascii="Trebuchet MS" w:hAnsi="Trebuchet MS"/>
                                <w:b/>
                                <w:szCs w:val="24"/>
                              </w:rPr>
                              <w:t xml:space="preserve"> 68</w:t>
                            </w:r>
                          </w:p>
                          <w:p w:rsidR="003A4DD4" w:rsidRDefault="003A4DD4" w:rsidP="008332D5">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9.95pt;margin-top:555.35pt;width:264.8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sMftQ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" filled="f" stroked="f">
                <v:textbox>
                  <w:txbxContent>
                    <w:p w:rsidR="003A4DD4" w:rsidRPr="00144D37" w:rsidRDefault="003A4DD4" w:rsidP="007527F2">
                      <w:pPr>
                        <w:pStyle w:val="Heading3"/>
                        <w:rPr>
                          <w:rFonts w:ascii="Trebuchet MS" w:hAnsi="Trebuchet MS"/>
                          <w:szCs w:val="24"/>
                        </w:rPr>
                      </w:pPr>
                      <w:r w:rsidRPr="00144D37">
                        <w:rPr>
                          <w:rFonts w:ascii="Trebuchet MS" w:hAnsi="Trebuchet MS"/>
                          <w:szCs w:val="24"/>
                        </w:rPr>
                        <w:t xml:space="preserve">LONGITUDINAL SURVEYS </w:t>
                      </w:r>
                      <w:r>
                        <w:rPr>
                          <w:rFonts w:ascii="Trebuchet MS" w:hAnsi="Trebuchet MS"/>
                          <w:szCs w:val="24"/>
                        </w:rPr>
                        <w:br/>
                      </w:r>
                      <w:r w:rsidRPr="00144D37">
                        <w:rPr>
                          <w:rFonts w:ascii="Trebuchet MS" w:hAnsi="Trebuchet MS"/>
                          <w:szCs w:val="24"/>
                        </w:rPr>
                        <w:t>OF AUSTRALIAN YOUTH</w:t>
                      </w:r>
                    </w:p>
                    <w:p w:rsidR="003A4DD4" w:rsidRPr="00144D37" w:rsidRDefault="003A4DD4" w:rsidP="007527F2">
                      <w:pPr>
                        <w:pStyle w:val="Heading3"/>
                        <w:spacing w:before="80"/>
                        <w:rPr>
                          <w:rFonts w:ascii="Trebuchet MS" w:hAnsi="Trebuchet MS"/>
                          <w:szCs w:val="24"/>
                        </w:rPr>
                      </w:pPr>
                      <w:r w:rsidRPr="00144D37">
                        <w:rPr>
                          <w:rFonts w:ascii="Trebuchet MS" w:hAnsi="Trebuchet MS"/>
                          <w:b/>
                          <w:szCs w:val="24"/>
                        </w:rPr>
                        <w:t>RESEARCH REPORT</w:t>
                      </w:r>
                      <w:r>
                        <w:rPr>
                          <w:rFonts w:ascii="Trebuchet MS" w:hAnsi="Trebuchet MS"/>
                          <w:b/>
                          <w:szCs w:val="24"/>
                        </w:rPr>
                        <w:t xml:space="preserve"> 68</w:t>
                      </w:r>
                    </w:p>
                    <w:p w:rsidR="003A4DD4" w:rsidRDefault="003A4DD4" w:rsidP="008332D5">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4" w:rsidRPr="00861CE5" w:rsidRDefault="003A4DD4" w:rsidP="008332D5">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t>
                            </w:r>
                            <w:r>
                              <w:rPr>
                                <w:color w:val="000000"/>
                              </w:rPr>
                              <w:t xml:space="preserve">ws of the Australian Government </w:t>
                            </w:r>
                            <w:r>
                              <w:rPr>
                                <w:color w:val="000000"/>
                              </w:rPr>
                              <w:br/>
                              <w:t>or</w:t>
                            </w:r>
                            <w:r w:rsidRPr="005C2FCF">
                              <w:rPr>
                                <w:color w:val="000000"/>
                              </w:rPr>
                              <w:t xml:space="preserve"> state and territory governments.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3.1pt;margin-top:659.7pt;width:357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Wg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G5EFoLcC&#10;AADBBQAADgAAAAAAAAAAAAAAAAAuAgAAZHJzL2Uyb0RvYy54bWxQSwECLQAUAAYACAAAACEAOx0t&#10;POAAAAANAQAADwAAAAAAAAAAAAAAAAARBQAAZHJzL2Rvd25yZXYueG1sUEsFBgAAAAAEAAQA8wAA&#10;AB4GAAAAAA==&#10;" filled="f" stroked="f">
                <v:textbox>
                  <w:txbxContent>
                    <w:p w:rsidR="003A4DD4" w:rsidRPr="00861CE5" w:rsidRDefault="003A4DD4" w:rsidP="008332D5">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t>
                      </w:r>
                      <w:r>
                        <w:rPr>
                          <w:color w:val="000000"/>
                        </w:rPr>
                        <w:t xml:space="preserve">ws of the Australian Government </w:t>
                      </w:r>
                      <w:r>
                        <w:rPr>
                          <w:color w:val="000000"/>
                        </w:rPr>
                        <w:br/>
                        <w:t>or</w:t>
                      </w:r>
                      <w:r w:rsidRPr="005C2FCF">
                        <w:rPr>
                          <w:color w:val="000000"/>
                        </w:rPr>
                        <w:t xml:space="preserve"> state and territory governments.</w:t>
                      </w:r>
                    </w:p>
                  </w:txbxContent>
                </v:textbox>
                <w10:wrap anchory="margin"/>
              </v:shape>
            </w:pict>
          </mc:Fallback>
        </mc:AlternateContent>
      </w:r>
    </w:p>
    <w:p w:rsidR="008332D5" w:rsidRDefault="008332D5" w:rsidP="008332D5">
      <w:pPr>
        <w:pStyle w:val="Heading3"/>
        <w:ind w:right="-1"/>
      </w:pPr>
      <w:r w:rsidRPr="005C2FCF">
        <w:br w:type="page"/>
      </w:r>
    </w:p>
    <w:p w:rsidR="008332D5" w:rsidRPr="005C2FCF" w:rsidRDefault="008332D5" w:rsidP="008332D5">
      <w:pPr>
        <w:pStyle w:val="Heading3"/>
        <w:ind w:right="-1"/>
      </w:pPr>
      <w:r w:rsidRPr="005C2FCF">
        <w:lastRenderedPageBreak/>
        <w:t>Publisher’s note</w:t>
      </w:r>
    </w:p>
    <w:p w:rsidR="008332D5" w:rsidRDefault="008332D5" w:rsidP="00043B17">
      <w:pPr>
        <w:pStyle w:val="Imprint"/>
        <w:ind w:right="1133"/>
      </w:pPr>
      <w:r>
        <w:t xml:space="preserve">To find other material of interest, search </w:t>
      </w:r>
      <w:proofErr w:type="spellStart"/>
      <w:r>
        <w:t>VOCEDplus</w:t>
      </w:r>
      <w:proofErr w:type="spellEnd"/>
      <w:r>
        <w:t xml:space="preserve"> (the UNESCO/NCVER international database &lt;</w:t>
      </w:r>
      <w:hyperlink r:id="rId11" w:history="1">
        <w:r>
          <w:t>http://www.voced.edu.au</w:t>
        </w:r>
      </w:hyperlink>
      <w:r>
        <w:t>&gt;) using the following keywords</w:t>
      </w:r>
      <w:r w:rsidRPr="003A4DD4">
        <w:t xml:space="preserve">: </w:t>
      </w:r>
      <w:r w:rsidR="003A4DD4">
        <w:t>employment; family; finance; living conditions; longitudinal data; outcomes; participation; students; tertiary education.</w:t>
      </w:r>
    </w:p>
    <w:p w:rsidR="008332D5" w:rsidRDefault="008332D5" w:rsidP="008332D5">
      <w:pPr>
        <w:pStyle w:val="Imprint"/>
        <w:rPr>
          <w:sz w:val="19"/>
          <w:szCs w:val="19"/>
        </w:rPr>
      </w:pPr>
    </w:p>
    <w:p w:rsidR="008332D5" w:rsidRPr="00C77DC6" w:rsidRDefault="00D03292" w:rsidP="008332D5">
      <w:pPr>
        <w:pStyle w:val="Abouttheresearch"/>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2117090</wp:posOffset>
                </wp:positionV>
                <wp:extent cx="4848225" cy="579120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4" w:rsidRPr="00144D37" w:rsidRDefault="003A4DD4" w:rsidP="007527F2">
                            <w:pPr>
                              <w:pStyle w:val="Imprint"/>
                              <w:rPr>
                                <w:b/>
                              </w:rPr>
                            </w:pPr>
                            <w:r w:rsidRPr="00144D37">
                              <w:rPr>
                                <w:b/>
                              </w:rPr>
                              <w:t>© Commonwealth of Australia, 2014</w:t>
                            </w:r>
                          </w:p>
                          <w:p w:rsidR="003A4DD4" w:rsidRDefault="003A4DD4" w:rsidP="007527F2">
                            <w:pPr>
                              <w:pStyle w:val="Imprint"/>
                              <w:rPr>
                                <w:sz w:val="20"/>
                              </w:rPr>
                            </w:pPr>
                            <w:r w:rsidRPr="00E80270">
                              <w:rPr>
                                <w:noProof/>
                                <w:sz w:val="20"/>
                                <w:lang w:eastAsia="en-AU"/>
                              </w:rPr>
                              <w:drawing>
                                <wp:inline distT="0" distB="0" distL="0" distR="0" wp14:anchorId="6F93E8FC" wp14:editId="185DF7E5">
                                  <wp:extent cx="850265" cy="302895"/>
                                  <wp:effectExtent l="19050" t="0" r="6985" b="0"/>
                                  <wp:docPr id="1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3A4DD4" w:rsidRPr="00986030" w:rsidRDefault="003A4DD4" w:rsidP="007527F2">
                            <w:pPr>
                              <w:pStyle w:val="Imprint"/>
                            </w:pPr>
                            <w:r w:rsidRPr="00986030">
                              <w:t>With the exception of the Commonwealth Coat of Arms, the Department</w:t>
                            </w:r>
                            <w:r>
                              <w:t>’</w:t>
                            </w:r>
                            <w:r w:rsidRPr="00986030">
                              <w:t xml:space="preserve">s logo, any material protected by a trade mark and where otherwise noted all material presented in this document is provided under a Creative Commons Attribution 3.0 Australia &lt;http://creativecommons.org/licenses/by/3.0/au&gt; licence. </w:t>
                            </w:r>
                          </w:p>
                          <w:p w:rsidR="003A4DD4" w:rsidRPr="00986030" w:rsidRDefault="003A4DD4" w:rsidP="007527F2">
                            <w:pPr>
                              <w:pStyle w:val="Imprint"/>
                              <w:spacing w:before="80"/>
                            </w:pPr>
                            <w:r w:rsidRPr="00986030">
                              <w:t>The details of the relevant licence conditions are available on the Creative Commons website (accessible</w:t>
                            </w:r>
                            <w:r>
                              <w:t> </w:t>
                            </w:r>
                            <w:r w:rsidRPr="00986030">
                              <w:t>using the links provided) as is the full legal code for the CC BY 3.0 AU licence &lt;http://creativecommons.org/licenses/by/3.0/legalcode&gt;.</w:t>
                            </w:r>
                          </w:p>
                          <w:p w:rsidR="003A4DD4" w:rsidRPr="00986030" w:rsidRDefault="003A4DD4" w:rsidP="007527F2">
                            <w:pPr>
                              <w:pStyle w:val="Imprint"/>
                              <w:spacing w:before="80"/>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3A4DD4" w:rsidRPr="00986030" w:rsidRDefault="003A4DD4" w:rsidP="007527F2">
                            <w:pPr>
                              <w:pStyle w:val="Imprint"/>
                            </w:pPr>
                            <w:r w:rsidRPr="00986030">
                              <w:t xml:space="preserve">This document should be attributed as </w:t>
                            </w:r>
                            <w:proofErr w:type="spellStart"/>
                            <w:r>
                              <w:t>Halliday-Wynes</w:t>
                            </w:r>
                            <w:proofErr w:type="spellEnd"/>
                            <w:r>
                              <w:t>, S &amp; Nguyen, N 2014, Does</w:t>
                            </w:r>
                            <w:r w:rsidRPr="007527F2">
                              <w:rPr>
                                <w:i/>
                              </w:rPr>
                              <w:t xml:space="preserve"> financial stress </w:t>
                            </w:r>
                            <w:r>
                              <w:rPr>
                                <w:i/>
                              </w:rPr>
                              <w:t xml:space="preserve">impact </w:t>
                            </w:r>
                            <w:r w:rsidRPr="007527F2">
                              <w:rPr>
                                <w:i/>
                              </w:rPr>
                              <w:t>on young people in tertiary stud</w:t>
                            </w:r>
                            <w:r>
                              <w:t>y?</w:t>
                            </w:r>
                            <w:r w:rsidRPr="00986030">
                              <w:t>, NCVER, Adelaide.</w:t>
                            </w:r>
                          </w:p>
                          <w:p w:rsidR="003A4DD4" w:rsidRDefault="003A4DD4" w:rsidP="007527F2">
                            <w:pPr>
                              <w:pStyle w:val="Imprint"/>
                              <w:spacing w:before="80"/>
                            </w:pPr>
                            <w:r w:rsidRPr="00986030">
                              <w:t>This work has been produced by NCVER through the Longitudinal Surveys of Australian Youth (LSAY) Program, on behalf of the Australian Government and state and territory governments, with funding provided through the Aus</w:t>
                            </w:r>
                            <w:r>
                              <w:t>tralian Department of Education.</w:t>
                            </w:r>
                          </w:p>
                          <w:p w:rsidR="003A4DD4" w:rsidRPr="005C2FCF" w:rsidRDefault="003A4DD4" w:rsidP="007527F2">
                            <w:pPr>
                              <w:pStyle w:val="Imprint"/>
                              <w:rPr>
                                <w:color w:val="000000"/>
                              </w:rPr>
                            </w:pPr>
                            <w:r>
                              <w:rPr>
                                <w:color w:val="000000"/>
                              </w:rPr>
                              <w:t>ISBN</w:t>
                            </w:r>
                            <w:r>
                              <w:rPr>
                                <w:color w:val="000000"/>
                              </w:rPr>
                              <w:tab/>
                            </w:r>
                            <w:r w:rsidRPr="007527F2">
                              <w:rPr>
                                <w:color w:val="000000"/>
                              </w:rPr>
                              <w:t>978 1 922056 98 6</w:t>
                            </w:r>
                            <w:r>
                              <w:rPr>
                                <w:color w:val="000000"/>
                              </w:rPr>
                              <w:br/>
                            </w:r>
                            <w:r w:rsidRPr="005C2FCF">
                              <w:rPr>
                                <w:color w:val="000000"/>
                              </w:rPr>
                              <w:t>TD/TNC</w:t>
                            </w:r>
                            <w:r w:rsidRPr="005C2FCF">
                              <w:rPr>
                                <w:color w:val="000000"/>
                              </w:rPr>
                              <w:tab/>
                            </w:r>
                            <w:r w:rsidRPr="007527F2">
                              <w:rPr>
                                <w:color w:val="000000"/>
                              </w:rPr>
                              <w:t>116.11</w:t>
                            </w:r>
                          </w:p>
                          <w:p w:rsidR="003A4DD4" w:rsidRPr="005C2FCF" w:rsidRDefault="003A4DD4" w:rsidP="007527F2">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3A4DD4" w:rsidRPr="005C2FCF" w:rsidRDefault="003A4DD4" w:rsidP="007527F2">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3A4DD4" w:rsidRDefault="003A4DD4" w:rsidP="007527F2">
                            <w:pPr>
                              <w:pStyle w:val="Imprint"/>
                              <w:tabs>
                                <w:tab w:val="left" w:pos="3402"/>
                              </w:tabs>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3A4DD4" w:rsidRPr="00043B17" w:rsidRDefault="003A4DD4" w:rsidP="007527F2">
                            <w:pPr>
                              <w:pStyle w:val="Imprint"/>
                              <w:spacing w:before="0"/>
                              <w:rPr>
                                <w:szCs w:val="16"/>
                              </w:rPr>
                            </w:pPr>
                            <w:r w:rsidRPr="00043B17">
                              <w:rPr>
                                <w:b/>
                                <w:szCs w:val="16"/>
                              </w:rPr>
                              <w:t>Email</w:t>
                            </w:r>
                            <w:r w:rsidRPr="00043B17">
                              <w:rPr>
                                <w:szCs w:val="16"/>
                              </w:rPr>
                              <w:t xml:space="preserve"> </w:t>
                            </w:r>
                            <w:hyperlink r:id="rId13" w:history="1">
                              <w:r w:rsidRPr="00043B17">
                                <w:rPr>
                                  <w:rStyle w:val="Hyperlink"/>
                                  <w:sz w:val="16"/>
                                  <w:szCs w:val="16"/>
                                </w:rPr>
                                <w:t>ncver@ncver.edu.au</w:t>
                              </w:r>
                            </w:hyperlink>
                            <w:r w:rsidRPr="00043B17">
                              <w:rPr>
                                <w:szCs w:val="16"/>
                              </w:rPr>
                              <w:t xml:space="preserve">     </w:t>
                            </w:r>
                            <w:r w:rsidRPr="00043B17">
                              <w:rPr>
                                <w:b/>
                                <w:szCs w:val="16"/>
                              </w:rPr>
                              <w:t>Web</w:t>
                            </w:r>
                            <w:r w:rsidRPr="00043B17">
                              <w:rPr>
                                <w:szCs w:val="16"/>
                              </w:rPr>
                              <w:t xml:space="preserve"> &lt;http://www.ncver.edu.au</w:t>
                            </w:r>
                            <w:proofErr w:type="gramStart"/>
                            <w:r w:rsidRPr="00043B17">
                              <w:rPr>
                                <w:szCs w:val="16"/>
                              </w:rPr>
                              <w:t>&gt;  &lt;</w:t>
                            </w:r>
                            <w:proofErr w:type="gramEnd"/>
                            <w:hyperlink r:id="rId14" w:history="1">
                              <w:r w:rsidRPr="00043B17">
                                <w:rPr>
                                  <w:rStyle w:val="Hyperlink"/>
                                  <w:sz w:val="16"/>
                                  <w:szCs w:val="16"/>
                                </w:rPr>
                                <w:t>http://www.lsay.edu.au</w:t>
                              </w:r>
                            </w:hyperlink>
                            <w:r w:rsidRPr="00043B17">
                              <w:rPr>
                                <w:szCs w:val="16"/>
                              </w:rPr>
                              <w:t>&gt;</w:t>
                            </w:r>
                          </w:p>
                          <w:p w:rsidR="003A4DD4" w:rsidRPr="00541B94" w:rsidRDefault="003A4DD4" w:rsidP="00043B17">
                            <w:pPr>
                              <w:pStyle w:val="Imprint"/>
                              <w:tabs>
                                <w:tab w:val="left" w:pos="993"/>
                                <w:tab w:val="left" w:pos="3686"/>
                              </w:tabs>
                              <w:spacing w:before="0"/>
                              <w:rPr>
                                <w:color w:val="000000"/>
                              </w:rPr>
                            </w:pPr>
                            <w:r w:rsidRPr="00043B17">
                              <w:rPr>
                                <w:b/>
                                <w:szCs w:val="16"/>
                              </w:rPr>
                              <w:t>Follow us:</w:t>
                            </w:r>
                            <w:r w:rsidRPr="00043B17">
                              <w:rPr>
                                <w:szCs w:val="16"/>
                              </w:rPr>
                              <w:t xml:space="preserve"> </w:t>
                            </w:r>
                            <w:r w:rsidRPr="00043B17">
                              <w:rPr>
                                <w:szCs w:val="16"/>
                              </w:rPr>
                              <w:tab/>
                            </w:r>
                            <w:r w:rsidRPr="00043B17">
                              <w:rPr>
                                <w:noProof/>
                                <w:szCs w:val="16"/>
                                <w:lang w:eastAsia="en-AU"/>
                              </w:rPr>
                              <w:drawing>
                                <wp:inline distT="0" distB="0" distL="0" distR="0" wp14:anchorId="51663F2C" wp14:editId="5A926741">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43B17">
                              <w:rPr>
                                <w:szCs w:val="16"/>
                              </w:rPr>
                              <w:t xml:space="preserve">  &lt;http://twitter.com/ncver&gt;</w:t>
                            </w:r>
                            <w:r w:rsidRPr="00043B17">
                              <w:rPr>
                                <w:szCs w:val="16"/>
                              </w:rPr>
                              <w:tab/>
                            </w:r>
                            <w:r w:rsidRPr="00043B17">
                              <w:rPr>
                                <w:noProof/>
                                <w:szCs w:val="16"/>
                                <w:lang w:eastAsia="en-AU"/>
                              </w:rPr>
                              <w:drawing>
                                <wp:inline distT="0" distB="0" distL="0" distR="0" wp14:anchorId="3D901483" wp14:editId="5B6FAEA5">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043B17">
                              <w:rPr>
                                <w:szCs w:val="16"/>
                              </w:rPr>
                              <w:t xml:space="preserve">  </w:t>
                            </w:r>
                            <w:r>
                              <w:rPr>
                                <w:szCs w:val="16"/>
                              </w:rPr>
                              <w:t>&lt;</w:t>
                            </w:r>
                            <w:hyperlink r:id="rId17" w:history="1">
                              <w:r w:rsidRPr="007A689D">
                                <w:rPr>
                                  <w:rStyle w:val="Hyperlink"/>
                                  <w:sz w:val="16"/>
                                  <w:szCs w:val="16"/>
                                </w:rPr>
                                <w:t>http://www.linkedin.com/company/ncver</w:t>
                              </w:r>
                            </w:hyperlink>
                            <w:r>
                              <w:rPr>
                                <w:szCs w:val="16"/>
                              </w:rPr>
                              <w:t>&gt;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pt;margin-top:166.7pt;width:381.75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BMtQ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" filled="f" stroked="f">
                <v:textbox inset="0,,0">
                  <w:txbxContent>
                    <w:p w:rsidR="003A4DD4" w:rsidRPr="00144D37" w:rsidRDefault="003A4DD4" w:rsidP="007527F2">
                      <w:pPr>
                        <w:pStyle w:val="Imprint"/>
                        <w:rPr>
                          <w:b/>
                        </w:rPr>
                      </w:pPr>
                      <w:r w:rsidRPr="00144D37">
                        <w:rPr>
                          <w:b/>
                        </w:rPr>
                        <w:t>© Commonwealth of Australia, 2014</w:t>
                      </w:r>
                    </w:p>
                    <w:p w:rsidR="003A4DD4" w:rsidRDefault="003A4DD4" w:rsidP="007527F2">
                      <w:pPr>
                        <w:pStyle w:val="Imprint"/>
                        <w:rPr>
                          <w:sz w:val="20"/>
                        </w:rPr>
                      </w:pPr>
                      <w:r w:rsidRPr="00E80270">
                        <w:rPr>
                          <w:noProof/>
                          <w:sz w:val="20"/>
                          <w:lang w:eastAsia="en-AU"/>
                        </w:rPr>
                        <w:drawing>
                          <wp:inline distT="0" distB="0" distL="0" distR="0" wp14:anchorId="6F93E8FC" wp14:editId="185DF7E5">
                            <wp:extent cx="850265" cy="302895"/>
                            <wp:effectExtent l="19050" t="0" r="6985" b="0"/>
                            <wp:docPr id="1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3A4DD4" w:rsidRPr="00986030" w:rsidRDefault="003A4DD4" w:rsidP="007527F2">
                      <w:pPr>
                        <w:pStyle w:val="Imprint"/>
                      </w:pPr>
                      <w:r w:rsidRPr="00986030">
                        <w:t>With the exception of the Commonwealth Coat of Arms, the Department</w:t>
                      </w:r>
                      <w:r>
                        <w:t>’</w:t>
                      </w:r>
                      <w:r w:rsidRPr="00986030">
                        <w:t xml:space="preserve">s logo, any material protected by a trade mark and where otherwise noted all material presented in this document is provided under a Creative Commons Attribution 3.0 Australia &lt;http://creativecommons.org/licenses/by/3.0/au&gt; licence. </w:t>
                      </w:r>
                    </w:p>
                    <w:p w:rsidR="003A4DD4" w:rsidRPr="00986030" w:rsidRDefault="003A4DD4" w:rsidP="007527F2">
                      <w:pPr>
                        <w:pStyle w:val="Imprint"/>
                        <w:spacing w:before="80"/>
                      </w:pPr>
                      <w:r w:rsidRPr="00986030">
                        <w:t>The details of the relevant licence conditions are available on the Creative Commons website (accessible</w:t>
                      </w:r>
                      <w:r>
                        <w:t> </w:t>
                      </w:r>
                      <w:r w:rsidRPr="00986030">
                        <w:t>using the links provided) as is the full legal code for the CC BY 3.0 AU licence &lt;http://creativecommons.org/licenses/by/3.0/legalcode&gt;.</w:t>
                      </w:r>
                    </w:p>
                    <w:p w:rsidR="003A4DD4" w:rsidRPr="00986030" w:rsidRDefault="003A4DD4" w:rsidP="007527F2">
                      <w:pPr>
                        <w:pStyle w:val="Imprint"/>
                        <w:spacing w:before="80"/>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3A4DD4" w:rsidRPr="00986030" w:rsidRDefault="003A4DD4" w:rsidP="007527F2">
                      <w:pPr>
                        <w:pStyle w:val="Imprint"/>
                      </w:pPr>
                      <w:r w:rsidRPr="00986030">
                        <w:t xml:space="preserve">This document should be attributed as </w:t>
                      </w:r>
                      <w:proofErr w:type="spellStart"/>
                      <w:r>
                        <w:t>Halliday-Wynes</w:t>
                      </w:r>
                      <w:proofErr w:type="spellEnd"/>
                      <w:r>
                        <w:t>, S &amp; Nguyen, N 2014, Does</w:t>
                      </w:r>
                      <w:r w:rsidRPr="007527F2">
                        <w:rPr>
                          <w:i/>
                        </w:rPr>
                        <w:t xml:space="preserve"> financial stress </w:t>
                      </w:r>
                      <w:r>
                        <w:rPr>
                          <w:i/>
                        </w:rPr>
                        <w:t xml:space="preserve">impact </w:t>
                      </w:r>
                      <w:r w:rsidRPr="007527F2">
                        <w:rPr>
                          <w:i/>
                        </w:rPr>
                        <w:t>on young people in tertiary stud</w:t>
                      </w:r>
                      <w:r>
                        <w:t>y?</w:t>
                      </w:r>
                      <w:r w:rsidRPr="00986030">
                        <w:t>, NCVER, Adelaide.</w:t>
                      </w:r>
                    </w:p>
                    <w:p w:rsidR="003A4DD4" w:rsidRDefault="003A4DD4" w:rsidP="007527F2">
                      <w:pPr>
                        <w:pStyle w:val="Imprint"/>
                        <w:spacing w:before="80"/>
                      </w:pPr>
                      <w:r w:rsidRPr="00986030">
                        <w:t>This work has been produced by NCVER through the Longitudinal Surveys of Australian Youth (LSAY) Program, on behalf of the Australian Government and state and territory governments, with funding provided through the Aus</w:t>
                      </w:r>
                      <w:r>
                        <w:t>tralian Department of Education.</w:t>
                      </w:r>
                    </w:p>
                    <w:p w:rsidR="003A4DD4" w:rsidRPr="005C2FCF" w:rsidRDefault="003A4DD4" w:rsidP="007527F2">
                      <w:pPr>
                        <w:pStyle w:val="Imprint"/>
                        <w:rPr>
                          <w:color w:val="000000"/>
                        </w:rPr>
                      </w:pPr>
                      <w:r>
                        <w:rPr>
                          <w:color w:val="000000"/>
                        </w:rPr>
                        <w:t>ISBN</w:t>
                      </w:r>
                      <w:r>
                        <w:rPr>
                          <w:color w:val="000000"/>
                        </w:rPr>
                        <w:tab/>
                      </w:r>
                      <w:r w:rsidRPr="007527F2">
                        <w:rPr>
                          <w:color w:val="000000"/>
                        </w:rPr>
                        <w:t>978 1 922056 98 6</w:t>
                      </w:r>
                      <w:r>
                        <w:rPr>
                          <w:color w:val="000000"/>
                        </w:rPr>
                        <w:br/>
                      </w:r>
                      <w:r w:rsidRPr="005C2FCF">
                        <w:rPr>
                          <w:color w:val="000000"/>
                        </w:rPr>
                        <w:t>TD/TNC</w:t>
                      </w:r>
                      <w:r w:rsidRPr="005C2FCF">
                        <w:rPr>
                          <w:color w:val="000000"/>
                        </w:rPr>
                        <w:tab/>
                      </w:r>
                      <w:r w:rsidRPr="007527F2">
                        <w:rPr>
                          <w:color w:val="000000"/>
                        </w:rPr>
                        <w:t>116.11</w:t>
                      </w:r>
                    </w:p>
                    <w:p w:rsidR="003A4DD4" w:rsidRPr="005C2FCF" w:rsidRDefault="003A4DD4" w:rsidP="007527F2">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3A4DD4" w:rsidRPr="005C2FCF" w:rsidRDefault="003A4DD4" w:rsidP="007527F2">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3A4DD4" w:rsidRDefault="003A4DD4" w:rsidP="007527F2">
                      <w:pPr>
                        <w:pStyle w:val="Imprint"/>
                        <w:tabs>
                          <w:tab w:val="left" w:pos="3402"/>
                        </w:tabs>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3A4DD4" w:rsidRPr="00043B17" w:rsidRDefault="003A4DD4" w:rsidP="007527F2">
                      <w:pPr>
                        <w:pStyle w:val="Imprint"/>
                        <w:spacing w:before="0"/>
                        <w:rPr>
                          <w:szCs w:val="16"/>
                        </w:rPr>
                      </w:pPr>
                      <w:r w:rsidRPr="00043B17">
                        <w:rPr>
                          <w:b/>
                          <w:szCs w:val="16"/>
                        </w:rPr>
                        <w:t>Email</w:t>
                      </w:r>
                      <w:r w:rsidRPr="00043B17">
                        <w:rPr>
                          <w:szCs w:val="16"/>
                        </w:rPr>
                        <w:t xml:space="preserve"> </w:t>
                      </w:r>
                      <w:hyperlink r:id="rId19" w:history="1">
                        <w:r w:rsidRPr="00043B17">
                          <w:rPr>
                            <w:rStyle w:val="Hyperlink"/>
                            <w:sz w:val="16"/>
                            <w:szCs w:val="16"/>
                          </w:rPr>
                          <w:t>ncver@ncver.edu.au</w:t>
                        </w:r>
                      </w:hyperlink>
                      <w:r w:rsidRPr="00043B17">
                        <w:rPr>
                          <w:szCs w:val="16"/>
                        </w:rPr>
                        <w:t xml:space="preserve">     </w:t>
                      </w:r>
                      <w:r w:rsidRPr="00043B17">
                        <w:rPr>
                          <w:b/>
                          <w:szCs w:val="16"/>
                        </w:rPr>
                        <w:t>Web</w:t>
                      </w:r>
                      <w:r w:rsidRPr="00043B17">
                        <w:rPr>
                          <w:szCs w:val="16"/>
                        </w:rPr>
                        <w:t xml:space="preserve"> &lt;http://www.ncver.edu.au</w:t>
                      </w:r>
                      <w:proofErr w:type="gramStart"/>
                      <w:r w:rsidRPr="00043B17">
                        <w:rPr>
                          <w:szCs w:val="16"/>
                        </w:rPr>
                        <w:t>&gt;  &lt;</w:t>
                      </w:r>
                      <w:proofErr w:type="gramEnd"/>
                      <w:hyperlink r:id="rId20" w:history="1">
                        <w:r w:rsidRPr="00043B17">
                          <w:rPr>
                            <w:rStyle w:val="Hyperlink"/>
                            <w:sz w:val="16"/>
                            <w:szCs w:val="16"/>
                          </w:rPr>
                          <w:t>http://www.lsay.edu.au</w:t>
                        </w:r>
                      </w:hyperlink>
                      <w:r w:rsidRPr="00043B17">
                        <w:rPr>
                          <w:szCs w:val="16"/>
                        </w:rPr>
                        <w:t>&gt;</w:t>
                      </w:r>
                    </w:p>
                    <w:p w:rsidR="003A4DD4" w:rsidRPr="00541B94" w:rsidRDefault="003A4DD4" w:rsidP="00043B17">
                      <w:pPr>
                        <w:pStyle w:val="Imprint"/>
                        <w:tabs>
                          <w:tab w:val="left" w:pos="993"/>
                          <w:tab w:val="left" w:pos="3686"/>
                        </w:tabs>
                        <w:spacing w:before="0"/>
                        <w:rPr>
                          <w:color w:val="000000"/>
                        </w:rPr>
                      </w:pPr>
                      <w:r w:rsidRPr="00043B17">
                        <w:rPr>
                          <w:b/>
                          <w:szCs w:val="16"/>
                        </w:rPr>
                        <w:t>Follow us:</w:t>
                      </w:r>
                      <w:r w:rsidRPr="00043B17">
                        <w:rPr>
                          <w:szCs w:val="16"/>
                        </w:rPr>
                        <w:t xml:space="preserve"> </w:t>
                      </w:r>
                      <w:r w:rsidRPr="00043B17">
                        <w:rPr>
                          <w:szCs w:val="16"/>
                        </w:rPr>
                        <w:tab/>
                      </w:r>
                      <w:r w:rsidRPr="00043B17">
                        <w:rPr>
                          <w:noProof/>
                          <w:szCs w:val="16"/>
                          <w:lang w:eastAsia="en-AU"/>
                        </w:rPr>
                        <w:drawing>
                          <wp:inline distT="0" distB="0" distL="0" distR="0" wp14:anchorId="51663F2C" wp14:editId="5A926741">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43B17">
                        <w:rPr>
                          <w:szCs w:val="16"/>
                        </w:rPr>
                        <w:t xml:space="preserve">  &lt;http://twitter.com/ncver&gt;</w:t>
                      </w:r>
                      <w:r w:rsidRPr="00043B17">
                        <w:rPr>
                          <w:szCs w:val="16"/>
                        </w:rPr>
                        <w:tab/>
                      </w:r>
                      <w:r w:rsidRPr="00043B17">
                        <w:rPr>
                          <w:noProof/>
                          <w:szCs w:val="16"/>
                          <w:lang w:eastAsia="en-AU"/>
                        </w:rPr>
                        <w:drawing>
                          <wp:inline distT="0" distB="0" distL="0" distR="0" wp14:anchorId="3D901483" wp14:editId="5B6FAEA5">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043B17">
                        <w:rPr>
                          <w:szCs w:val="16"/>
                        </w:rPr>
                        <w:t xml:space="preserve">  </w:t>
                      </w:r>
                      <w:r>
                        <w:rPr>
                          <w:szCs w:val="16"/>
                        </w:rPr>
                        <w:t>&lt;</w:t>
                      </w:r>
                      <w:hyperlink r:id="rId23" w:history="1">
                        <w:r w:rsidRPr="007A689D">
                          <w:rPr>
                            <w:rStyle w:val="Hyperlink"/>
                            <w:sz w:val="16"/>
                            <w:szCs w:val="16"/>
                          </w:rPr>
                          <w:t>http://www.linkedin.com/company/ncver</w:t>
                        </w:r>
                      </w:hyperlink>
                      <w:r>
                        <w:rPr>
                          <w:szCs w:val="16"/>
                        </w:rPr>
                        <w:t>&gt;</w:t>
                      </w:r>
                    </w:p>
                  </w:txbxContent>
                </v:textbox>
              </v:shape>
            </w:pict>
          </mc:Fallback>
        </mc:AlternateContent>
      </w:r>
      <w:r w:rsidR="008332D5"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r w:rsidR="008332D5"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8332D5" w:rsidRPr="00FD3E26" w:rsidRDefault="00A7765C" w:rsidP="008332D5">
      <w:pPr>
        <w:pStyle w:val="Abouttheresearchpubtitle"/>
      </w:pPr>
      <w:bookmarkStart w:id="18" w:name="_Toc296423680"/>
      <w:bookmarkStart w:id="19" w:name="_Toc296497511"/>
      <w:bookmarkStart w:id="20" w:name="_Toc98394877"/>
      <w:r>
        <w:t xml:space="preserve">Does </w:t>
      </w:r>
      <w:r w:rsidR="00165C08" w:rsidRPr="00165C08">
        <w:t xml:space="preserve">financial stress </w:t>
      </w:r>
      <w:r>
        <w:t xml:space="preserve">impact </w:t>
      </w:r>
      <w:r w:rsidR="00165C08" w:rsidRPr="00165C08">
        <w:t>on young people in tertiary study</w:t>
      </w:r>
      <w:r>
        <w:t>?</w:t>
      </w:r>
    </w:p>
    <w:p w:rsidR="008332D5" w:rsidRPr="00FD3E26" w:rsidRDefault="00B1425C" w:rsidP="008332D5">
      <w:pPr>
        <w:pStyle w:val="Heading3"/>
      </w:pPr>
      <w:bookmarkStart w:id="21" w:name="_Toc296423681"/>
      <w:bookmarkStart w:id="22" w:name="_Toc296497512"/>
      <w:bookmarkEnd w:id="18"/>
      <w:bookmarkEnd w:id="19"/>
      <w:r>
        <w:t xml:space="preserve">Sian </w:t>
      </w:r>
      <w:proofErr w:type="spellStart"/>
      <w:r>
        <w:t>Halliday-</w:t>
      </w:r>
      <w:r w:rsidR="009D63C0" w:rsidRPr="009D63C0">
        <w:t>Wynes</w:t>
      </w:r>
      <w:proofErr w:type="spellEnd"/>
      <w:r w:rsidR="009D63C0" w:rsidRPr="009D63C0">
        <w:t xml:space="preserve"> </w:t>
      </w:r>
      <w:r w:rsidR="00D7608E">
        <w:t>and</w:t>
      </w:r>
      <w:r w:rsidR="009D63C0" w:rsidRPr="009D63C0">
        <w:t xml:space="preserve"> </w:t>
      </w:r>
      <w:proofErr w:type="spellStart"/>
      <w:proofErr w:type="gramStart"/>
      <w:r w:rsidR="009D63C0" w:rsidRPr="009D63C0">
        <w:t>Nhi</w:t>
      </w:r>
      <w:proofErr w:type="spellEnd"/>
      <w:proofErr w:type="gramEnd"/>
      <w:r w:rsidR="009D63C0" w:rsidRPr="009D63C0">
        <w:t xml:space="preserve"> Nguyen</w:t>
      </w:r>
      <w:r w:rsidR="00043B17">
        <w:t>,</w:t>
      </w:r>
      <w:r w:rsidR="009D63C0" w:rsidRPr="009D63C0">
        <w:t xml:space="preserve"> </w:t>
      </w:r>
      <w:r w:rsidR="008332D5" w:rsidRPr="00FD3E26">
        <w:t>NCVER</w:t>
      </w:r>
    </w:p>
    <w:bookmarkEnd w:id="20"/>
    <w:bookmarkEnd w:id="21"/>
    <w:bookmarkEnd w:id="22"/>
    <w:p w:rsidR="00D51EF6" w:rsidRPr="00D51EF6" w:rsidRDefault="00D51EF6" w:rsidP="00BC4A17">
      <w:pPr>
        <w:pStyle w:val="Text"/>
        <w:spacing w:before="360"/>
        <w:ind w:right="0"/>
        <w:rPr>
          <w:lang w:val="en-GB"/>
        </w:rPr>
      </w:pPr>
      <w:r w:rsidRPr="00D51EF6">
        <w:rPr>
          <w:lang w:val="en-GB"/>
        </w:rPr>
        <w:t xml:space="preserve">The focus of this paper is </w:t>
      </w:r>
      <w:r w:rsidR="00D7608E">
        <w:rPr>
          <w:lang w:val="en-GB"/>
        </w:rPr>
        <w:t>a consideration of</w:t>
      </w:r>
      <w:r w:rsidRPr="00D51EF6">
        <w:rPr>
          <w:lang w:val="en-GB"/>
        </w:rPr>
        <w:t xml:space="preserve"> the role that financial stress plays </w:t>
      </w:r>
      <w:r w:rsidR="00653A73">
        <w:rPr>
          <w:lang w:val="en-GB"/>
        </w:rPr>
        <w:t>in</w:t>
      </w:r>
      <w:r w:rsidR="00D7608E">
        <w:rPr>
          <w:lang w:val="en-GB"/>
        </w:rPr>
        <w:t xml:space="preserve"> a student’s study outcomes, i</w:t>
      </w:r>
      <w:r w:rsidRPr="00D51EF6">
        <w:rPr>
          <w:lang w:val="en-GB"/>
        </w:rPr>
        <w:t xml:space="preserve">n particular, whether individual circumstances influence this relationship; for example, </w:t>
      </w:r>
      <w:r w:rsidR="00901F38">
        <w:rPr>
          <w:lang w:val="en-GB"/>
        </w:rPr>
        <w:t xml:space="preserve">the extent to which </w:t>
      </w:r>
      <w:r w:rsidRPr="00D51EF6">
        <w:rPr>
          <w:lang w:val="en-GB"/>
        </w:rPr>
        <w:t xml:space="preserve">the combination of work and study or living status (living independently compared </w:t>
      </w:r>
      <w:r w:rsidR="00D7608E">
        <w:rPr>
          <w:lang w:val="en-GB"/>
        </w:rPr>
        <w:t>with</w:t>
      </w:r>
      <w:r w:rsidRPr="00D51EF6">
        <w:rPr>
          <w:lang w:val="en-GB"/>
        </w:rPr>
        <w:t xml:space="preserve"> living with parents) contributes to financial stress. Financial stress has other obvious </w:t>
      </w:r>
      <w:r w:rsidR="00653A73">
        <w:rPr>
          <w:lang w:val="en-GB"/>
        </w:rPr>
        <w:t>e</w:t>
      </w:r>
      <w:r w:rsidRPr="00D51EF6">
        <w:rPr>
          <w:lang w:val="en-GB"/>
        </w:rPr>
        <w:t xml:space="preserve">ffects on overall wellbeing, but we are interested in </w:t>
      </w:r>
      <w:r w:rsidR="00F576CE">
        <w:rPr>
          <w:lang w:val="en-GB"/>
        </w:rPr>
        <w:t>its</w:t>
      </w:r>
      <w:r w:rsidRPr="00D51EF6">
        <w:rPr>
          <w:lang w:val="en-GB"/>
        </w:rPr>
        <w:t xml:space="preserve"> </w:t>
      </w:r>
      <w:r w:rsidR="00653A73">
        <w:rPr>
          <w:lang w:val="en-GB"/>
        </w:rPr>
        <w:t>e</w:t>
      </w:r>
      <w:r w:rsidRPr="00D51EF6">
        <w:rPr>
          <w:lang w:val="en-GB"/>
        </w:rPr>
        <w:t xml:space="preserve">ffects on education outcomes. </w:t>
      </w:r>
    </w:p>
    <w:p w:rsidR="00D51EF6" w:rsidRPr="00D51EF6" w:rsidRDefault="00D51EF6" w:rsidP="008332D5">
      <w:pPr>
        <w:pStyle w:val="Text"/>
        <w:rPr>
          <w:lang w:val="en-GB"/>
        </w:rPr>
      </w:pPr>
      <w:r w:rsidRPr="00D51EF6">
        <w:rPr>
          <w:lang w:val="en-GB"/>
        </w:rPr>
        <w:t>This paper explores the financial wellbeing of tertiary students participating in the Longitudinal Surveys of Australian Youth (LSAY). The finance topic in LSAY includes questions on government payments, income, credit c</w:t>
      </w:r>
      <w:r w:rsidR="00BA1A60">
        <w:rPr>
          <w:lang w:val="en-GB"/>
        </w:rPr>
        <w:t>ard activity, shortage of money and</w:t>
      </w:r>
      <w:r w:rsidRPr="00D51EF6">
        <w:rPr>
          <w:lang w:val="en-GB"/>
        </w:rPr>
        <w:t xml:space="preserve"> saving, and how respondents are g</w:t>
      </w:r>
      <w:r>
        <w:rPr>
          <w:lang w:val="en-GB"/>
        </w:rPr>
        <w:t xml:space="preserve">enerally managing financially. </w:t>
      </w:r>
      <w:r w:rsidRPr="00D51EF6">
        <w:rPr>
          <w:lang w:val="en-GB"/>
        </w:rPr>
        <w:t xml:space="preserve">We are also interested in the effect that financial stress has had on </w:t>
      </w:r>
      <w:r w:rsidR="00D7608E">
        <w:rPr>
          <w:lang w:val="en-GB"/>
        </w:rPr>
        <w:t xml:space="preserve">a </w:t>
      </w:r>
      <w:r w:rsidRPr="00D51EF6">
        <w:rPr>
          <w:lang w:val="en-GB"/>
        </w:rPr>
        <w:t>student’s learning</w:t>
      </w:r>
      <w:r w:rsidR="00EE0F7E">
        <w:rPr>
          <w:lang w:val="en-GB"/>
        </w:rPr>
        <w:t>,</w:t>
      </w:r>
      <w:r w:rsidRPr="00D51EF6">
        <w:rPr>
          <w:lang w:val="en-GB"/>
        </w:rPr>
        <w:t xml:space="preserve"> which </w:t>
      </w:r>
      <w:r w:rsidR="00D7608E">
        <w:rPr>
          <w:lang w:val="en-GB"/>
        </w:rPr>
        <w:t>while not</w:t>
      </w:r>
      <w:r w:rsidRPr="00D51EF6">
        <w:rPr>
          <w:lang w:val="en-GB"/>
        </w:rPr>
        <w:t xml:space="preserve"> specifically explored in LSAY </w:t>
      </w:r>
      <w:r w:rsidR="00930755">
        <w:rPr>
          <w:lang w:val="en-GB"/>
        </w:rPr>
        <w:t>is</w:t>
      </w:r>
      <w:r w:rsidRPr="00D51EF6">
        <w:rPr>
          <w:lang w:val="en-GB"/>
        </w:rPr>
        <w:t xml:space="preserve"> a theme </w:t>
      </w:r>
      <w:r w:rsidR="00D7608E">
        <w:rPr>
          <w:lang w:val="en-GB"/>
        </w:rPr>
        <w:t>investigated</w:t>
      </w:r>
      <w:r w:rsidRPr="00D51EF6">
        <w:rPr>
          <w:lang w:val="en-GB"/>
        </w:rPr>
        <w:t xml:space="preserve"> in </w:t>
      </w:r>
      <w:r w:rsidR="00653A73">
        <w:rPr>
          <w:lang w:val="en-GB"/>
        </w:rPr>
        <w:t>an additional survey</w:t>
      </w:r>
      <w:r w:rsidR="00930755">
        <w:rPr>
          <w:lang w:val="en-GB"/>
        </w:rPr>
        <w:t xml:space="preserve"> of </w:t>
      </w:r>
      <w:r w:rsidR="00EE0F7E">
        <w:rPr>
          <w:lang w:val="en-GB"/>
        </w:rPr>
        <w:t xml:space="preserve">a small number of financially stressed </w:t>
      </w:r>
      <w:r w:rsidR="00930755">
        <w:rPr>
          <w:lang w:val="en-GB"/>
        </w:rPr>
        <w:t>LSAY participants</w:t>
      </w:r>
      <w:r w:rsidR="00C649C2">
        <w:rPr>
          <w:lang w:val="en-GB"/>
        </w:rPr>
        <w:t xml:space="preserve">. </w:t>
      </w:r>
    </w:p>
    <w:p w:rsidR="008332D5" w:rsidRPr="005C2FCF" w:rsidRDefault="008332D5" w:rsidP="008332D5">
      <w:pPr>
        <w:pStyle w:val="Keymessages"/>
      </w:pPr>
      <w:bookmarkStart w:id="23" w:name="_Toc98394878"/>
      <w:bookmarkStart w:id="24" w:name="_Toc296423682"/>
      <w:bookmarkStart w:id="25" w:name="_Toc296497513"/>
      <w:r w:rsidRPr="005C2FCF">
        <w:t>Key messages</w:t>
      </w:r>
      <w:bookmarkEnd w:id="23"/>
      <w:bookmarkEnd w:id="24"/>
      <w:bookmarkEnd w:id="25"/>
    </w:p>
    <w:p w:rsidR="00D03292" w:rsidRDefault="008E77FA" w:rsidP="00D03292">
      <w:pPr>
        <w:pStyle w:val="Dotpoint1"/>
      </w:pPr>
      <w:r>
        <w:t xml:space="preserve">Tertiary education remains a key feature </w:t>
      </w:r>
      <w:r w:rsidR="00BA1A60">
        <w:t>for</w:t>
      </w:r>
      <w:r>
        <w:t xml:space="preserve"> improving productivity and the employability of </w:t>
      </w:r>
      <w:r w:rsidR="00D03292">
        <w:t>young Australians</w:t>
      </w:r>
      <w:r>
        <w:t>.</w:t>
      </w:r>
      <w:r w:rsidR="00D03292">
        <w:t xml:space="preserve"> </w:t>
      </w:r>
    </w:p>
    <w:p w:rsidR="008E77FA" w:rsidRDefault="00D03292" w:rsidP="00D03292">
      <w:pPr>
        <w:pStyle w:val="Dotpoint1"/>
      </w:pPr>
      <w:r>
        <w:t>Being</w:t>
      </w:r>
      <w:r w:rsidR="008E77FA">
        <w:t xml:space="preserve"> a tertiary student </w:t>
      </w:r>
      <w:r w:rsidR="00BA1A60">
        <w:t>can be</w:t>
      </w:r>
      <w:r w:rsidR="008E77FA">
        <w:t xml:space="preserve"> associated with experiencing financial stress.</w:t>
      </w:r>
    </w:p>
    <w:p w:rsidR="001A75D9" w:rsidRDefault="00D03292" w:rsidP="00D03292">
      <w:pPr>
        <w:pStyle w:val="Dotpoint1"/>
      </w:pPr>
      <w:r>
        <w:t>The LSAY data indicate that</w:t>
      </w:r>
      <w:r w:rsidR="00164E26">
        <w:t xml:space="preserve"> </w:t>
      </w:r>
      <w:r w:rsidR="00F4451F">
        <w:t>around a quarter</w:t>
      </w:r>
      <w:r w:rsidR="006118CA">
        <w:t xml:space="preserve"> of LSAY participants </w:t>
      </w:r>
      <w:r w:rsidR="00994C56">
        <w:t xml:space="preserve">reported </w:t>
      </w:r>
      <w:r w:rsidR="00F4451F">
        <w:t>moderate to high levels of financial stress</w:t>
      </w:r>
      <w:r w:rsidR="00430C28">
        <w:t xml:space="preserve"> at age 20</w:t>
      </w:r>
      <w:r w:rsidR="004222FA">
        <w:t xml:space="preserve"> years</w:t>
      </w:r>
      <w:r w:rsidR="00F23AB8">
        <w:t>; however</w:t>
      </w:r>
      <w:r>
        <w:t>, financial</w:t>
      </w:r>
      <w:r w:rsidR="001A75D9">
        <w:t xml:space="preserve"> </w:t>
      </w:r>
      <w:r w:rsidR="00EE0F7E">
        <w:t>stress is not th</w:t>
      </w:r>
      <w:r w:rsidR="001A75D9">
        <w:t xml:space="preserve">e main factor </w:t>
      </w:r>
      <w:r w:rsidR="00EE0F7E">
        <w:t>affecting</w:t>
      </w:r>
      <w:r w:rsidR="001A75D9">
        <w:t xml:space="preserve"> </w:t>
      </w:r>
      <w:r w:rsidR="00BA1A60">
        <w:t xml:space="preserve">the </w:t>
      </w:r>
      <w:r w:rsidR="001A75D9">
        <w:t xml:space="preserve">study </w:t>
      </w:r>
      <w:r w:rsidR="00B047E6">
        <w:t xml:space="preserve">outcomes </w:t>
      </w:r>
      <w:r w:rsidR="00BA1A60">
        <w:t>of</w:t>
      </w:r>
      <w:r w:rsidR="00B047E6">
        <w:t xml:space="preserve"> tertiary graduates.</w:t>
      </w:r>
    </w:p>
    <w:p w:rsidR="008332D5" w:rsidRDefault="00994C56" w:rsidP="00D03292">
      <w:pPr>
        <w:pStyle w:val="Dotpoint1"/>
      </w:pPr>
      <w:r>
        <w:t>Th</w:t>
      </w:r>
      <w:r w:rsidR="00F23AB8">
        <w:t>e</w:t>
      </w:r>
      <w:r w:rsidR="00D03292" w:rsidRPr="00D03292">
        <w:t xml:space="preserve"> small-scale study indicates that</w:t>
      </w:r>
      <w:r w:rsidR="00F576CE">
        <w:t>,</w:t>
      </w:r>
      <w:r w:rsidR="00D03292" w:rsidRPr="00D03292">
        <w:t xml:space="preserve"> </w:t>
      </w:r>
      <w:r w:rsidR="00F576CE">
        <w:t>although</w:t>
      </w:r>
      <w:r w:rsidR="00EE0F7E">
        <w:t xml:space="preserve"> </w:t>
      </w:r>
      <w:r w:rsidR="00F4451F">
        <w:t>some of the</w:t>
      </w:r>
      <w:r w:rsidR="00B8668F">
        <w:t xml:space="preserve"> students </w:t>
      </w:r>
      <w:r w:rsidR="008E77FA">
        <w:t>reported</w:t>
      </w:r>
      <w:r w:rsidR="00666EB0">
        <w:t xml:space="preserve"> </w:t>
      </w:r>
      <w:r w:rsidR="00B8668F">
        <w:t xml:space="preserve">that working while studying had </w:t>
      </w:r>
      <w:r w:rsidR="0009145D">
        <w:t>an</w:t>
      </w:r>
      <w:r w:rsidR="00B8668F">
        <w:t xml:space="preserve"> effect on their studies</w:t>
      </w:r>
      <w:r w:rsidR="0009145D">
        <w:t xml:space="preserve">, </w:t>
      </w:r>
      <w:r w:rsidR="00EE0F7E">
        <w:t>there was no strong link between the student’s financial position and their study outcomes</w:t>
      </w:r>
      <w:r w:rsidR="0009145D">
        <w:t>.</w:t>
      </w:r>
    </w:p>
    <w:p w:rsidR="00B8668F" w:rsidRDefault="008E77FA" w:rsidP="008332D5">
      <w:pPr>
        <w:pStyle w:val="Dotpoint1"/>
      </w:pPr>
      <w:r>
        <w:t>In terms of completions, t</w:t>
      </w:r>
      <w:r w:rsidR="00EE0F7E">
        <w:t>he majority of s</w:t>
      </w:r>
      <w:r w:rsidR="00B8668F">
        <w:t xml:space="preserve">tudents who had </w:t>
      </w:r>
      <w:r w:rsidR="004222FA">
        <w:t>considered</w:t>
      </w:r>
      <w:r w:rsidR="00B8668F">
        <w:t xml:space="preserve"> withdrawing from study did not </w:t>
      </w:r>
      <w:r w:rsidR="004222FA">
        <w:t>attribute this to</w:t>
      </w:r>
      <w:r w:rsidR="00EE0F7E">
        <w:t xml:space="preserve"> financial stress. Instead, they cited </w:t>
      </w:r>
      <w:r w:rsidR="00D03292">
        <w:t xml:space="preserve">a variety of </w:t>
      </w:r>
      <w:r w:rsidR="00EE0F7E">
        <w:t>reasons such as a lack of interest</w:t>
      </w:r>
      <w:r w:rsidR="00666064">
        <w:t>, work pressures and</w:t>
      </w:r>
      <w:r w:rsidR="00EE0F7E">
        <w:t xml:space="preserve"> other personal matters</w:t>
      </w:r>
      <w:r w:rsidR="00B8668F">
        <w:t xml:space="preserve">. </w:t>
      </w:r>
    </w:p>
    <w:p w:rsidR="008332D5" w:rsidRPr="005C2FCF" w:rsidRDefault="008332D5" w:rsidP="008332D5">
      <w:pPr>
        <w:pStyle w:val="Text"/>
      </w:pPr>
    </w:p>
    <w:p w:rsidR="008332D5" w:rsidRPr="005C2FCF" w:rsidRDefault="00B05DDE" w:rsidP="008332D5">
      <w:pPr>
        <w:pStyle w:val="Text"/>
      </w:pPr>
      <w:r>
        <w:t>Rod Camm</w:t>
      </w:r>
      <w:r w:rsidR="008332D5" w:rsidRPr="005C2FCF">
        <w:br/>
        <w:t>Managing Director, NCVER</w:t>
      </w:r>
    </w:p>
    <w:p w:rsidR="008332D5" w:rsidRDefault="008332D5" w:rsidP="008332D5">
      <w:pPr>
        <w:spacing w:before="0" w:line="240" w:lineRule="auto"/>
      </w:pPr>
      <w:r>
        <w:br w:type="page"/>
      </w:r>
    </w:p>
    <w:p w:rsidR="008332D5" w:rsidRDefault="008332D5" w:rsidP="008332D5">
      <w:pPr>
        <w:pStyle w:val="Contents"/>
      </w:pPr>
    </w:p>
    <w:p w:rsidR="008332D5" w:rsidRDefault="008332D5" w:rsidP="008332D5">
      <w:pPr>
        <w:pStyle w:val="Contents"/>
        <w:sectPr w:rsidR="008332D5" w:rsidSect="00BC4A17">
          <w:headerReference w:type="even" r:id="rId24"/>
          <w:headerReference w:type="default" r:id="rId25"/>
          <w:footerReference w:type="even" r:id="rId26"/>
          <w:footerReference w:type="default" r:id="rId27"/>
          <w:headerReference w:type="first" r:id="rId28"/>
          <w:footerReference w:type="first" r:id="rId29"/>
          <w:pgSz w:w="11907" w:h="16840" w:code="9"/>
          <w:pgMar w:top="1276" w:right="1701" w:bottom="1276" w:left="1418" w:header="709" w:footer="556" w:gutter="0"/>
          <w:cols w:space="708"/>
          <w:docGrid w:linePitch="360"/>
        </w:sectPr>
      </w:pPr>
    </w:p>
    <w:p w:rsidR="008332D5" w:rsidRPr="00DC5F5C" w:rsidRDefault="008332D5" w:rsidP="008332D5">
      <w:pPr>
        <w:pStyle w:val="Contents"/>
      </w:pPr>
      <w:bookmarkStart w:id="26" w:name="_Toc98394880"/>
      <w:bookmarkStart w:id="27" w:name="_Toc296423683"/>
      <w:bookmarkStart w:id="28" w:name="_Toc296497514"/>
      <w:r w:rsidRPr="00DC5F5C">
        <w:t>Contents</w:t>
      </w:r>
      <w:bookmarkEnd w:id="26"/>
      <w:bookmarkEnd w:id="27"/>
      <w:bookmarkEnd w:id="28"/>
    </w:p>
    <w:p w:rsidR="004F0A74" w:rsidRDefault="00632517">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8332D5" w:rsidRPr="009775C7">
        <w:rPr>
          <w:rFonts w:ascii="Avant Garde" w:hAnsi="Avant Garde"/>
        </w:rPr>
        <w:instrText xml:space="preserve"> TOC \o "1-2" </w:instrText>
      </w:r>
      <w:r w:rsidRPr="009775C7">
        <w:rPr>
          <w:rFonts w:ascii="Avant Garde" w:hAnsi="Avant Garde"/>
        </w:rPr>
        <w:fldChar w:fldCharType="separate"/>
      </w:r>
      <w:r w:rsidR="004F0A74">
        <w:t>Tables</w:t>
      </w:r>
      <w:r w:rsidR="004F0A74">
        <w:tab/>
      </w:r>
      <w:r w:rsidR="004F0A74">
        <w:fldChar w:fldCharType="begin"/>
      </w:r>
      <w:r w:rsidR="004F0A74">
        <w:instrText xml:space="preserve"> PAGEREF _Toc388884880 \h </w:instrText>
      </w:r>
      <w:r w:rsidR="004F0A74">
        <w:fldChar w:fldCharType="separate"/>
      </w:r>
      <w:r w:rsidR="00BA2AA6">
        <w:t>6</w:t>
      </w:r>
      <w:r w:rsidR="004F0A74">
        <w:fldChar w:fldCharType="end"/>
      </w:r>
    </w:p>
    <w:p w:rsidR="004F0A74" w:rsidRDefault="004F0A74">
      <w:pPr>
        <w:pStyle w:val="TOC1"/>
        <w:rPr>
          <w:rFonts w:asciiTheme="minorHAnsi" w:eastAsiaTheme="minorEastAsia" w:hAnsiTheme="minorHAnsi" w:cstheme="minorBidi"/>
          <w:color w:val="auto"/>
          <w:sz w:val="22"/>
          <w:szCs w:val="22"/>
          <w:lang w:eastAsia="en-AU"/>
        </w:rPr>
      </w:pPr>
      <w:r>
        <w:t>Executive summary</w:t>
      </w:r>
      <w:r>
        <w:tab/>
      </w:r>
      <w:r>
        <w:fldChar w:fldCharType="begin"/>
      </w:r>
      <w:r>
        <w:instrText xml:space="preserve"> PAGEREF _Toc388884881 \h </w:instrText>
      </w:r>
      <w:r>
        <w:fldChar w:fldCharType="separate"/>
      </w:r>
      <w:r w:rsidR="00BA2AA6">
        <w:t>7</w:t>
      </w:r>
      <w:r>
        <w:fldChar w:fldCharType="end"/>
      </w:r>
    </w:p>
    <w:p w:rsidR="004F0A74" w:rsidRDefault="004F0A74">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_Toc388884884 \h </w:instrText>
      </w:r>
      <w:r>
        <w:fldChar w:fldCharType="separate"/>
      </w:r>
      <w:r w:rsidR="00BA2AA6">
        <w:t>9</w:t>
      </w:r>
      <w:r>
        <w:fldChar w:fldCharType="end"/>
      </w:r>
    </w:p>
    <w:p w:rsidR="004F0A74" w:rsidRDefault="004F0A74">
      <w:pPr>
        <w:pStyle w:val="TOC2"/>
        <w:rPr>
          <w:rFonts w:asciiTheme="minorHAnsi" w:eastAsiaTheme="minorEastAsia" w:hAnsiTheme="minorHAnsi" w:cstheme="minorBidi"/>
          <w:color w:val="auto"/>
          <w:sz w:val="22"/>
          <w:szCs w:val="22"/>
          <w:lang w:eastAsia="en-AU"/>
        </w:rPr>
      </w:pPr>
      <w:r w:rsidRPr="00E4522A">
        <w:rPr>
          <w:lang w:val="en-GB"/>
        </w:rPr>
        <w:t>What does the literature say?</w:t>
      </w:r>
      <w:r>
        <w:tab/>
      </w:r>
      <w:r>
        <w:fldChar w:fldCharType="begin"/>
      </w:r>
      <w:r>
        <w:instrText xml:space="preserve"> PAGEREF _Toc388884885 \h </w:instrText>
      </w:r>
      <w:r>
        <w:fldChar w:fldCharType="separate"/>
      </w:r>
      <w:r w:rsidR="00BA2AA6">
        <w:t>9</w:t>
      </w:r>
      <w:r>
        <w:fldChar w:fldCharType="end"/>
      </w:r>
    </w:p>
    <w:p w:rsidR="004F0A74" w:rsidRDefault="004F0A74">
      <w:pPr>
        <w:pStyle w:val="TOC2"/>
        <w:rPr>
          <w:rFonts w:asciiTheme="minorHAnsi" w:eastAsiaTheme="minorEastAsia" w:hAnsiTheme="minorHAnsi" w:cstheme="minorBidi"/>
          <w:color w:val="auto"/>
          <w:sz w:val="22"/>
          <w:szCs w:val="22"/>
          <w:lang w:eastAsia="en-AU"/>
        </w:rPr>
      </w:pPr>
      <w:r w:rsidRPr="00E4522A">
        <w:rPr>
          <w:lang w:val="en-GB"/>
        </w:rPr>
        <w:t>Our approach</w:t>
      </w:r>
      <w:r>
        <w:tab/>
      </w:r>
      <w:r>
        <w:fldChar w:fldCharType="begin"/>
      </w:r>
      <w:r>
        <w:instrText xml:space="preserve"> PAGEREF _Toc388884886 \h </w:instrText>
      </w:r>
      <w:r>
        <w:fldChar w:fldCharType="separate"/>
      </w:r>
      <w:r w:rsidR="00BA2AA6">
        <w:t>11</w:t>
      </w:r>
      <w:r>
        <w:fldChar w:fldCharType="end"/>
      </w:r>
    </w:p>
    <w:p w:rsidR="004F0A74" w:rsidRDefault="004F0A74">
      <w:pPr>
        <w:pStyle w:val="TOC1"/>
        <w:rPr>
          <w:rFonts w:asciiTheme="minorHAnsi" w:eastAsiaTheme="minorEastAsia" w:hAnsiTheme="minorHAnsi" w:cstheme="minorBidi"/>
          <w:color w:val="auto"/>
          <w:sz w:val="22"/>
          <w:szCs w:val="22"/>
          <w:lang w:eastAsia="en-AU"/>
        </w:rPr>
      </w:pPr>
      <w:r w:rsidRPr="00E4522A">
        <w:rPr>
          <w:lang w:val="en-GB"/>
        </w:rPr>
        <w:t>How well are young people managing financially?</w:t>
      </w:r>
      <w:r>
        <w:tab/>
      </w:r>
      <w:r>
        <w:fldChar w:fldCharType="begin"/>
      </w:r>
      <w:r>
        <w:instrText xml:space="preserve"> PAGEREF _Toc388884887 \h </w:instrText>
      </w:r>
      <w:r>
        <w:fldChar w:fldCharType="separate"/>
      </w:r>
      <w:r w:rsidR="00BA2AA6">
        <w:t>13</w:t>
      </w:r>
      <w:r>
        <w:fldChar w:fldCharType="end"/>
      </w:r>
    </w:p>
    <w:p w:rsidR="004F0A74" w:rsidRDefault="004F0A74">
      <w:pPr>
        <w:pStyle w:val="TOC1"/>
        <w:rPr>
          <w:rFonts w:asciiTheme="minorHAnsi" w:eastAsiaTheme="minorEastAsia" w:hAnsiTheme="minorHAnsi" w:cstheme="minorBidi"/>
          <w:color w:val="auto"/>
          <w:sz w:val="22"/>
          <w:szCs w:val="22"/>
          <w:lang w:eastAsia="en-AU"/>
        </w:rPr>
      </w:pPr>
      <w:r w:rsidRPr="00E4522A">
        <w:rPr>
          <w:lang w:val="en-GB"/>
        </w:rPr>
        <w:t>Financial stress and study outcomes</w:t>
      </w:r>
      <w:r>
        <w:tab/>
      </w:r>
      <w:r>
        <w:fldChar w:fldCharType="begin"/>
      </w:r>
      <w:r>
        <w:instrText xml:space="preserve"> PAGEREF _Toc388884888 \h </w:instrText>
      </w:r>
      <w:r>
        <w:fldChar w:fldCharType="separate"/>
      </w:r>
      <w:r w:rsidR="00BA2AA6">
        <w:t>17</w:t>
      </w:r>
      <w:r>
        <w:fldChar w:fldCharType="end"/>
      </w:r>
    </w:p>
    <w:p w:rsidR="004F0A74" w:rsidRDefault="004F0A74">
      <w:pPr>
        <w:pStyle w:val="TOC2"/>
        <w:rPr>
          <w:rFonts w:asciiTheme="minorHAnsi" w:eastAsiaTheme="minorEastAsia" w:hAnsiTheme="minorHAnsi" w:cstheme="minorBidi"/>
          <w:color w:val="auto"/>
          <w:sz w:val="22"/>
          <w:szCs w:val="22"/>
          <w:lang w:eastAsia="en-AU"/>
        </w:rPr>
      </w:pPr>
      <w:r w:rsidRPr="00E4522A">
        <w:rPr>
          <w:lang w:val="en-GB"/>
        </w:rPr>
        <w:t>How are young people managing their finances and study?</w:t>
      </w:r>
      <w:r>
        <w:tab/>
      </w:r>
      <w:r>
        <w:fldChar w:fldCharType="begin"/>
      </w:r>
      <w:r>
        <w:instrText xml:space="preserve"> PAGEREF _Toc388884889 \h </w:instrText>
      </w:r>
      <w:r>
        <w:fldChar w:fldCharType="separate"/>
      </w:r>
      <w:r w:rsidR="00BA2AA6">
        <w:t>18</w:t>
      </w:r>
      <w:r>
        <w:fldChar w:fldCharType="end"/>
      </w:r>
    </w:p>
    <w:p w:rsidR="004F0A74" w:rsidRDefault="004F0A74">
      <w:pPr>
        <w:pStyle w:val="TOC2"/>
        <w:rPr>
          <w:rFonts w:asciiTheme="minorHAnsi" w:eastAsiaTheme="minorEastAsia" w:hAnsiTheme="minorHAnsi" w:cstheme="minorBidi"/>
          <w:color w:val="auto"/>
          <w:sz w:val="22"/>
          <w:szCs w:val="22"/>
          <w:lang w:eastAsia="en-AU"/>
        </w:rPr>
      </w:pPr>
      <w:r>
        <w:t>Different types of financial support</w:t>
      </w:r>
      <w:r>
        <w:tab/>
      </w:r>
      <w:r>
        <w:fldChar w:fldCharType="begin"/>
      </w:r>
      <w:r>
        <w:instrText xml:space="preserve"> PAGEREF _Toc388884890 \h </w:instrText>
      </w:r>
      <w:r>
        <w:fldChar w:fldCharType="separate"/>
      </w:r>
      <w:r w:rsidR="00BA2AA6">
        <w:t>23</w:t>
      </w:r>
      <w:r>
        <w:fldChar w:fldCharType="end"/>
      </w:r>
    </w:p>
    <w:p w:rsidR="004F0A74" w:rsidRDefault="004F0A74">
      <w:pPr>
        <w:pStyle w:val="TOC1"/>
        <w:rPr>
          <w:rFonts w:asciiTheme="minorHAnsi" w:eastAsiaTheme="minorEastAsia" w:hAnsiTheme="minorHAnsi" w:cstheme="minorBidi"/>
          <w:color w:val="auto"/>
          <w:sz w:val="22"/>
          <w:szCs w:val="22"/>
          <w:lang w:eastAsia="en-AU"/>
        </w:rPr>
      </w:pPr>
      <w:r>
        <w:t>Conclusions</w:t>
      </w:r>
      <w:r>
        <w:tab/>
      </w:r>
      <w:r>
        <w:fldChar w:fldCharType="begin"/>
      </w:r>
      <w:r>
        <w:instrText xml:space="preserve"> PAGEREF _Toc388884891 \h </w:instrText>
      </w:r>
      <w:r>
        <w:fldChar w:fldCharType="separate"/>
      </w:r>
      <w:r w:rsidR="00BA2AA6">
        <w:t>27</w:t>
      </w:r>
      <w:r>
        <w:fldChar w:fldCharType="end"/>
      </w:r>
    </w:p>
    <w:p w:rsidR="004F0A74" w:rsidRDefault="004F0A74">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_Toc388884892 \h </w:instrText>
      </w:r>
      <w:r>
        <w:fldChar w:fldCharType="separate"/>
      </w:r>
      <w:r w:rsidR="00BA2AA6">
        <w:t>28</w:t>
      </w:r>
      <w:r>
        <w:fldChar w:fldCharType="end"/>
      </w:r>
    </w:p>
    <w:p w:rsidR="004F0A74" w:rsidRDefault="004F0A74">
      <w:pPr>
        <w:pStyle w:val="TOC1"/>
        <w:rPr>
          <w:rFonts w:asciiTheme="minorHAnsi" w:eastAsiaTheme="minorEastAsia" w:hAnsiTheme="minorHAnsi" w:cstheme="minorBidi"/>
          <w:color w:val="auto"/>
          <w:sz w:val="22"/>
          <w:szCs w:val="22"/>
          <w:lang w:eastAsia="en-AU"/>
        </w:rPr>
      </w:pPr>
      <w:r>
        <w:t>Appendix A: Interview Discussion Guide</w:t>
      </w:r>
      <w:r>
        <w:tab/>
      </w:r>
      <w:r>
        <w:fldChar w:fldCharType="begin"/>
      </w:r>
      <w:r>
        <w:instrText xml:space="preserve"> PAGEREF _Toc388884893 \h </w:instrText>
      </w:r>
      <w:r>
        <w:fldChar w:fldCharType="separate"/>
      </w:r>
      <w:r w:rsidR="00BA2AA6">
        <w:t>29</w:t>
      </w:r>
      <w:r>
        <w:fldChar w:fldCharType="end"/>
      </w:r>
    </w:p>
    <w:p w:rsidR="008332D5" w:rsidRPr="00A93867" w:rsidRDefault="00632517" w:rsidP="008332D5">
      <w:pPr>
        <w:pStyle w:val="Text"/>
        <w:rPr>
          <w:b/>
        </w:rPr>
      </w:pPr>
      <w:r w:rsidRPr="009775C7">
        <w:fldChar w:fldCharType="end"/>
      </w:r>
    </w:p>
    <w:p w:rsidR="008332D5" w:rsidRDefault="008332D5" w:rsidP="008332D5">
      <w:pPr>
        <w:pStyle w:val="Text"/>
        <w:rPr>
          <w:rFonts w:ascii="Tahoma" w:hAnsi="Tahoma" w:cs="Tahoma"/>
          <w:color w:val="000000"/>
          <w:kern w:val="28"/>
          <w:sz w:val="56"/>
          <w:szCs w:val="56"/>
        </w:rPr>
      </w:pPr>
      <w:r>
        <w:br w:type="page"/>
      </w:r>
    </w:p>
    <w:p w:rsidR="008332D5" w:rsidRDefault="008332D5" w:rsidP="008332D5">
      <w:pPr>
        <w:pStyle w:val="Heading1"/>
      </w:pPr>
      <w:bookmarkStart w:id="29" w:name="_Toc388884880"/>
      <w:r>
        <w:t>Tables</w:t>
      </w:r>
      <w:bookmarkEnd w:id="29"/>
    </w:p>
    <w:p w:rsidR="004F0A74" w:rsidRDefault="00632517">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8332D5">
        <w:instrText xml:space="preserve"> TOC \f F \t "tabletitle" \c </w:instrText>
      </w:r>
      <w:r>
        <w:fldChar w:fldCharType="separate"/>
      </w:r>
      <w:r w:rsidR="004F0A74" w:rsidRPr="00806D6A">
        <w:rPr>
          <w:lang w:val="en-GB"/>
        </w:rPr>
        <w:t>1</w:t>
      </w:r>
      <w:r w:rsidR="004F0A74">
        <w:rPr>
          <w:rFonts w:asciiTheme="minorHAnsi" w:eastAsiaTheme="minorEastAsia" w:hAnsiTheme="minorHAnsi" w:cstheme="minorBidi"/>
          <w:color w:val="auto"/>
          <w:sz w:val="22"/>
          <w:szCs w:val="22"/>
          <w:lang w:eastAsia="en-AU"/>
        </w:rPr>
        <w:tab/>
      </w:r>
      <w:r w:rsidR="004F0A74" w:rsidRPr="00806D6A">
        <w:rPr>
          <w:lang w:val="en-GB"/>
        </w:rPr>
        <w:t>Managing financially at age 20</w:t>
      </w:r>
      <w:r w:rsidR="00F576CE">
        <w:rPr>
          <w:lang w:val="en-GB"/>
        </w:rPr>
        <w:t xml:space="preserve"> years</w:t>
      </w:r>
      <w:r w:rsidR="004F0A74" w:rsidRPr="00806D6A">
        <w:rPr>
          <w:lang w:val="en-GB"/>
        </w:rPr>
        <w:t>, 2003 and 2010</w:t>
      </w:r>
      <w:r w:rsidR="004F0A74">
        <w:tab/>
      </w:r>
      <w:r w:rsidR="004F0A74">
        <w:fldChar w:fldCharType="begin"/>
      </w:r>
      <w:r w:rsidR="004F0A74">
        <w:instrText xml:space="preserve"> PAGEREF _Toc388884915 \h </w:instrText>
      </w:r>
      <w:r w:rsidR="004F0A74">
        <w:fldChar w:fldCharType="separate"/>
      </w:r>
      <w:r w:rsidR="00BA2AA6">
        <w:t>13</w:t>
      </w:r>
      <w:r w:rsidR="004F0A74">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2</w:t>
      </w:r>
      <w:r>
        <w:rPr>
          <w:rFonts w:asciiTheme="minorHAnsi" w:eastAsiaTheme="minorEastAsia" w:hAnsiTheme="minorHAnsi" w:cstheme="minorBidi"/>
          <w:color w:val="auto"/>
          <w:sz w:val="22"/>
          <w:szCs w:val="22"/>
          <w:lang w:eastAsia="en-AU"/>
        </w:rPr>
        <w:tab/>
      </w:r>
      <w:r w:rsidRPr="00806D6A">
        <w:rPr>
          <w:lang w:val="en-GB"/>
        </w:rPr>
        <w:t>Managing financially at ages 20—23 years, 2008</w:t>
      </w:r>
      <w:r>
        <w:rPr>
          <w:lang w:val="en-GB"/>
        </w:rPr>
        <w:t>—</w:t>
      </w:r>
      <w:r w:rsidRPr="00806D6A">
        <w:rPr>
          <w:lang w:val="en-GB"/>
        </w:rPr>
        <w:t>10</w:t>
      </w:r>
      <w:r>
        <w:tab/>
      </w:r>
      <w:r>
        <w:fldChar w:fldCharType="begin"/>
      </w:r>
      <w:r>
        <w:instrText xml:space="preserve"> PAGEREF _Toc388884916 \h </w:instrText>
      </w:r>
      <w:r>
        <w:fldChar w:fldCharType="separate"/>
      </w:r>
      <w:r w:rsidR="00BA2AA6">
        <w:t>13</w:t>
      </w:r>
      <w:r>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3</w:t>
      </w:r>
      <w:r>
        <w:rPr>
          <w:rFonts w:asciiTheme="minorHAnsi" w:eastAsiaTheme="minorEastAsia" w:hAnsiTheme="minorHAnsi" w:cstheme="minorBidi"/>
          <w:color w:val="auto"/>
          <w:sz w:val="22"/>
          <w:szCs w:val="22"/>
          <w:lang w:eastAsia="en-AU"/>
        </w:rPr>
        <w:tab/>
      </w:r>
      <w:r w:rsidRPr="00806D6A">
        <w:rPr>
          <w:lang w:val="en-GB"/>
        </w:rPr>
        <w:t>Indicators of financial stress of LSAY respondents at age 20</w:t>
      </w:r>
      <w:r w:rsidR="00F576CE">
        <w:rPr>
          <w:lang w:val="en-GB"/>
        </w:rPr>
        <w:t xml:space="preserve"> years</w:t>
      </w:r>
      <w:r w:rsidRPr="00806D6A">
        <w:rPr>
          <w:lang w:val="en-GB"/>
        </w:rPr>
        <w:t xml:space="preserve">, </w:t>
      </w:r>
      <w:r>
        <w:rPr>
          <w:lang w:val="en-GB"/>
        </w:rPr>
        <w:br/>
      </w:r>
      <w:r w:rsidRPr="00806D6A">
        <w:rPr>
          <w:lang w:val="en-GB"/>
        </w:rPr>
        <w:t>2003 and 2010</w:t>
      </w:r>
      <w:r>
        <w:tab/>
      </w:r>
      <w:r>
        <w:fldChar w:fldCharType="begin"/>
      </w:r>
      <w:r>
        <w:instrText xml:space="preserve"> PAGEREF _Toc388884917 \h </w:instrText>
      </w:r>
      <w:r>
        <w:fldChar w:fldCharType="separate"/>
      </w:r>
      <w:r w:rsidR="00BA2AA6">
        <w:t>14</w:t>
      </w:r>
      <w:r>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4</w:t>
      </w:r>
      <w:r>
        <w:rPr>
          <w:rFonts w:asciiTheme="minorHAnsi" w:eastAsiaTheme="minorEastAsia" w:hAnsiTheme="minorHAnsi" w:cstheme="minorBidi"/>
          <w:color w:val="auto"/>
          <w:sz w:val="22"/>
          <w:szCs w:val="22"/>
          <w:lang w:eastAsia="en-AU"/>
        </w:rPr>
        <w:tab/>
      </w:r>
      <w:r w:rsidRPr="00806D6A">
        <w:rPr>
          <w:lang w:val="en-GB"/>
        </w:rPr>
        <w:t>Levels of financial stress of LSAY respondents at age 20</w:t>
      </w:r>
      <w:r w:rsidR="00F576CE">
        <w:rPr>
          <w:lang w:val="en-GB"/>
        </w:rPr>
        <w:t xml:space="preserve"> years</w:t>
      </w:r>
      <w:r w:rsidRPr="00806D6A">
        <w:rPr>
          <w:lang w:val="en-GB"/>
        </w:rPr>
        <w:t xml:space="preserve">, </w:t>
      </w:r>
      <w:r>
        <w:rPr>
          <w:lang w:val="en-GB"/>
        </w:rPr>
        <w:br/>
      </w:r>
      <w:r w:rsidRPr="00806D6A">
        <w:rPr>
          <w:lang w:val="en-GB"/>
        </w:rPr>
        <w:t>2003 and 2010</w:t>
      </w:r>
      <w:r>
        <w:tab/>
      </w:r>
      <w:r>
        <w:fldChar w:fldCharType="begin"/>
      </w:r>
      <w:r>
        <w:instrText xml:space="preserve"> PAGEREF _Toc388884918 \h </w:instrText>
      </w:r>
      <w:r>
        <w:fldChar w:fldCharType="separate"/>
      </w:r>
      <w:r w:rsidR="00BA2AA6">
        <w:t>15</w:t>
      </w:r>
      <w:r>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5</w:t>
      </w:r>
      <w:r>
        <w:rPr>
          <w:rFonts w:asciiTheme="minorHAnsi" w:eastAsiaTheme="minorEastAsia" w:hAnsiTheme="minorHAnsi" w:cstheme="minorBidi"/>
          <w:color w:val="auto"/>
          <w:sz w:val="22"/>
          <w:szCs w:val="22"/>
          <w:lang w:eastAsia="en-AU"/>
        </w:rPr>
        <w:tab/>
      </w:r>
      <w:r w:rsidRPr="00806D6A">
        <w:rPr>
          <w:lang w:val="en-GB"/>
        </w:rPr>
        <w:t>Saving and credit card habits of LSAY respondents at age 20</w:t>
      </w:r>
      <w:r w:rsidR="00F576CE">
        <w:rPr>
          <w:lang w:val="en-GB"/>
        </w:rPr>
        <w:t xml:space="preserve"> years</w:t>
      </w:r>
      <w:r w:rsidRPr="00806D6A">
        <w:rPr>
          <w:lang w:val="en-GB"/>
        </w:rPr>
        <w:t xml:space="preserve">, </w:t>
      </w:r>
      <w:r>
        <w:rPr>
          <w:lang w:val="en-GB"/>
        </w:rPr>
        <w:br/>
      </w:r>
      <w:r w:rsidRPr="00806D6A">
        <w:rPr>
          <w:lang w:val="en-GB"/>
        </w:rPr>
        <w:t>2003 and 2010</w:t>
      </w:r>
      <w:r>
        <w:tab/>
      </w:r>
      <w:r>
        <w:fldChar w:fldCharType="begin"/>
      </w:r>
      <w:r>
        <w:instrText xml:space="preserve"> PAGEREF _Toc388884919 \h </w:instrText>
      </w:r>
      <w:r>
        <w:fldChar w:fldCharType="separate"/>
      </w:r>
      <w:r w:rsidR="00BA2AA6">
        <w:t>16</w:t>
      </w:r>
      <w:r>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6</w:t>
      </w:r>
      <w:r>
        <w:rPr>
          <w:rFonts w:asciiTheme="minorHAnsi" w:eastAsiaTheme="minorEastAsia" w:hAnsiTheme="minorHAnsi" w:cstheme="minorBidi"/>
          <w:color w:val="auto"/>
          <w:sz w:val="22"/>
          <w:szCs w:val="22"/>
          <w:lang w:eastAsia="en-AU"/>
        </w:rPr>
        <w:tab/>
      </w:r>
      <w:r w:rsidRPr="00806D6A">
        <w:rPr>
          <w:lang w:val="en-GB"/>
        </w:rPr>
        <w:t>Respondent demographics</w:t>
      </w:r>
      <w:r>
        <w:tab/>
      </w:r>
      <w:r>
        <w:fldChar w:fldCharType="begin"/>
      </w:r>
      <w:r>
        <w:instrText xml:space="preserve"> PAGEREF _Toc388884920 \h </w:instrText>
      </w:r>
      <w:r>
        <w:fldChar w:fldCharType="separate"/>
      </w:r>
      <w:r w:rsidR="00BA2AA6">
        <w:t>18</w:t>
      </w:r>
      <w:r>
        <w:fldChar w:fldCharType="end"/>
      </w:r>
    </w:p>
    <w:p w:rsidR="008332D5" w:rsidRPr="00A93867" w:rsidRDefault="00632517" w:rsidP="004F0A74">
      <w:pPr>
        <w:pStyle w:val="Heading2"/>
        <w:rPr>
          <w:b/>
        </w:rPr>
      </w:pPr>
      <w:r>
        <w:fldChar w:fldCharType="end"/>
      </w:r>
    </w:p>
    <w:p w:rsidR="008332D5" w:rsidRPr="00A93867" w:rsidRDefault="008332D5" w:rsidP="008332D5">
      <w:pPr>
        <w:spacing w:before="0" w:line="240" w:lineRule="auto"/>
        <w:rPr>
          <w:rFonts w:ascii="Tahoma" w:hAnsi="Tahoma" w:cs="Tahoma"/>
          <w:b/>
          <w:color w:val="000000"/>
          <w:kern w:val="28"/>
          <w:sz w:val="56"/>
          <w:szCs w:val="56"/>
        </w:rPr>
      </w:pPr>
      <w:r w:rsidRPr="00A93867">
        <w:rPr>
          <w:b/>
        </w:rPr>
        <w:br w:type="page"/>
      </w:r>
    </w:p>
    <w:p w:rsidR="00EF1272" w:rsidRDefault="008332D5" w:rsidP="008332D5">
      <w:pPr>
        <w:pStyle w:val="Heading1"/>
      </w:pPr>
      <w:bookmarkStart w:id="30" w:name="_Toc388884881"/>
      <w:r w:rsidRPr="00B86D06">
        <w:t>Executive summary</w:t>
      </w:r>
      <w:bookmarkEnd w:id="30"/>
      <w:r>
        <w:t xml:space="preserve"> </w:t>
      </w:r>
    </w:p>
    <w:p w:rsidR="00EF1272" w:rsidRDefault="00EF1272" w:rsidP="00EF1272">
      <w:pPr>
        <w:pStyle w:val="Text"/>
      </w:pPr>
      <w:r>
        <w:t>Previous research suggests</w:t>
      </w:r>
      <w:r w:rsidRPr="00EF1272">
        <w:t xml:space="preserve"> that a young person’s financial position can affect their engagement in learning, which in turn affects their current learning outcomes and future study decisions</w:t>
      </w:r>
      <w:r>
        <w:t xml:space="preserve">. </w:t>
      </w:r>
      <w:r w:rsidRPr="00EF1272">
        <w:t xml:space="preserve">The focus of this paper is </w:t>
      </w:r>
      <w:r w:rsidR="004222FA">
        <w:t>a consideration of</w:t>
      </w:r>
      <w:r w:rsidRPr="00EF1272">
        <w:t xml:space="preserve"> the role that financial stress plays in a student’s </w:t>
      </w:r>
      <w:r w:rsidR="008764D8">
        <w:t xml:space="preserve">tertiary </w:t>
      </w:r>
      <w:r w:rsidRPr="00EF1272">
        <w:t>study outcomes</w:t>
      </w:r>
      <w:r w:rsidR="003B5EB6">
        <w:t xml:space="preserve"> and their study decisions</w:t>
      </w:r>
      <w:r w:rsidRPr="00EF1272">
        <w:t xml:space="preserve">. </w:t>
      </w:r>
    </w:p>
    <w:p w:rsidR="00B104E7" w:rsidRDefault="00EF1272" w:rsidP="00EF1272">
      <w:pPr>
        <w:pStyle w:val="Text"/>
        <w:rPr>
          <w:lang w:val="en-GB"/>
        </w:rPr>
      </w:pPr>
      <w:r>
        <w:t xml:space="preserve">The impact of financial stress on tertiary learning outcomes is examined </w:t>
      </w:r>
      <w:r w:rsidR="0084440C">
        <w:t xml:space="preserve">in the </w:t>
      </w:r>
      <w:r w:rsidR="004222FA">
        <w:t xml:space="preserve">first </w:t>
      </w:r>
      <w:r w:rsidR="0084440C">
        <w:t>instance</w:t>
      </w:r>
      <w:r w:rsidR="004222FA">
        <w:t xml:space="preserve"> </w:t>
      </w:r>
      <w:r>
        <w:t xml:space="preserve">via a quantitative analysis of data from the 1998, 2003 and 2006 cohorts of the Longitudinal Surveys of Australian Youth (LSAY). </w:t>
      </w:r>
      <w:r w:rsidR="00054722">
        <w:t>The purpose of the quantitative analysis is to identify</w:t>
      </w:r>
      <w:r w:rsidR="0084440C">
        <w:t>,</w:t>
      </w:r>
      <w:r w:rsidR="00054722">
        <w:t xml:space="preserve"> </w:t>
      </w:r>
      <w:r w:rsidR="0084440C">
        <w:t xml:space="preserve">based on financial data already collected in LSAY, </w:t>
      </w:r>
      <w:r w:rsidR="00054722">
        <w:t>whether young people ar</w:t>
      </w:r>
      <w:r w:rsidR="0084440C">
        <w:t>e experiencing financial stress</w:t>
      </w:r>
      <w:r w:rsidR="00054722">
        <w:t xml:space="preserve">. </w:t>
      </w:r>
      <w:r w:rsidR="00B104E7">
        <w:rPr>
          <w:lang w:val="en-GB"/>
        </w:rPr>
        <w:t>This includes information on how well participants are managing financially</w:t>
      </w:r>
      <w:r w:rsidR="00234705">
        <w:rPr>
          <w:lang w:val="en-GB"/>
        </w:rPr>
        <w:t xml:space="preserve">, </w:t>
      </w:r>
      <w:r w:rsidR="004222FA">
        <w:rPr>
          <w:lang w:val="en-GB"/>
        </w:rPr>
        <w:t xml:space="preserve">their </w:t>
      </w:r>
      <w:r w:rsidR="00234705">
        <w:rPr>
          <w:lang w:val="en-GB"/>
        </w:rPr>
        <w:t xml:space="preserve">experiences of </w:t>
      </w:r>
      <w:r w:rsidR="00B32E0B">
        <w:rPr>
          <w:lang w:val="en-GB"/>
        </w:rPr>
        <w:t xml:space="preserve">financial </w:t>
      </w:r>
      <w:r w:rsidR="00234705">
        <w:rPr>
          <w:lang w:val="en-GB"/>
        </w:rPr>
        <w:t>hardships</w:t>
      </w:r>
      <w:r w:rsidR="00B32E0B">
        <w:rPr>
          <w:lang w:val="en-GB"/>
        </w:rPr>
        <w:t>,</w:t>
      </w:r>
      <w:r w:rsidR="00B104E7">
        <w:rPr>
          <w:lang w:val="en-GB"/>
        </w:rPr>
        <w:t xml:space="preserve"> and </w:t>
      </w:r>
      <w:r w:rsidR="004222FA">
        <w:rPr>
          <w:lang w:val="en-GB"/>
        </w:rPr>
        <w:t xml:space="preserve">their </w:t>
      </w:r>
      <w:r w:rsidR="00B104E7">
        <w:rPr>
          <w:lang w:val="en-GB"/>
        </w:rPr>
        <w:t>savings and credit card habits.</w:t>
      </w:r>
    </w:p>
    <w:p w:rsidR="008332D5" w:rsidRDefault="00EF1272" w:rsidP="00EF1272">
      <w:pPr>
        <w:pStyle w:val="Text"/>
      </w:pPr>
      <w:r>
        <w:t xml:space="preserve">The second </w:t>
      </w:r>
      <w:r w:rsidR="00B104E7">
        <w:t>component of the study is an analysis of qualitative data collected via a small-scale study</w:t>
      </w:r>
      <w:r>
        <w:t xml:space="preserve"> </w:t>
      </w:r>
      <w:r w:rsidR="00B104E7">
        <w:t xml:space="preserve">of 51 </w:t>
      </w:r>
      <w:r>
        <w:t xml:space="preserve">LSAY participants who agreed to </w:t>
      </w:r>
      <w:r w:rsidR="0084440C">
        <w:t>take part</w:t>
      </w:r>
      <w:r>
        <w:t xml:space="preserve"> in a</w:t>
      </w:r>
      <w:r w:rsidR="00E25528">
        <w:t>n</w:t>
      </w:r>
      <w:r w:rsidR="00054722">
        <w:t xml:space="preserve"> in-depth</w:t>
      </w:r>
      <w:r w:rsidR="00E25528">
        <w:t xml:space="preserve"> interview</w:t>
      </w:r>
      <w:r w:rsidR="00145B56">
        <w:t xml:space="preserve"> or an online survey</w:t>
      </w:r>
      <w:r w:rsidR="00E25528">
        <w:t>.</w:t>
      </w:r>
      <w:r w:rsidR="00054722">
        <w:t xml:space="preserve"> Participation in the qualitative study was restricted to LSAY respondents</w:t>
      </w:r>
      <w:r w:rsidR="008671CD">
        <w:t xml:space="preserve"> from the 2006 cohort</w:t>
      </w:r>
      <w:r w:rsidR="00054722">
        <w:t xml:space="preserve"> who</w:t>
      </w:r>
      <w:r w:rsidR="00495FD2">
        <w:t xml:space="preserve"> claimed to</w:t>
      </w:r>
      <w:r w:rsidR="00054722">
        <w:t xml:space="preserve"> </w:t>
      </w:r>
      <w:r w:rsidR="00495FD2">
        <w:t>be</w:t>
      </w:r>
      <w:r w:rsidR="00054722">
        <w:t xml:space="preserve"> finding it </w:t>
      </w:r>
      <w:r w:rsidR="00B32E0B">
        <w:t>‘</w:t>
      </w:r>
      <w:r w:rsidR="003A4552" w:rsidRPr="00857511">
        <w:t>fairly difficult’ or ‘very difficult’ to manage financially</w:t>
      </w:r>
      <w:r w:rsidR="003A4552">
        <w:t xml:space="preserve">. </w:t>
      </w:r>
      <w:r w:rsidR="00054722">
        <w:t xml:space="preserve">The purpose of the qualitative study is to investigate the effect </w:t>
      </w:r>
      <w:r w:rsidR="004222FA">
        <w:t xml:space="preserve">that </w:t>
      </w:r>
      <w:r w:rsidR="00054722">
        <w:t>financial stress has on learning</w:t>
      </w:r>
      <w:r w:rsidR="008764D8">
        <w:t xml:space="preserve"> outcomes</w:t>
      </w:r>
      <w:r w:rsidR="003B5EB6">
        <w:t>. This information is not available</w:t>
      </w:r>
      <w:r w:rsidR="00054722">
        <w:t xml:space="preserve"> from LSAY.</w:t>
      </w:r>
    </w:p>
    <w:p w:rsidR="003A4552" w:rsidRDefault="003A4552" w:rsidP="003A4552">
      <w:pPr>
        <w:pStyle w:val="Heading2"/>
      </w:pPr>
      <w:bookmarkStart w:id="31" w:name="_Toc388884882"/>
      <w:r>
        <w:t>The extent of financial stress amongst young Australians</w:t>
      </w:r>
      <w:bookmarkEnd w:id="31"/>
    </w:p>
    <w:p w:rsidR="003A4552" w:rsidRDefault="003A4552" w:rsidP="003A4552">
      <w:pPr>
        <w:pStyle w:val="Text"/>
        <w:rPr>
          <w:lang w:val="en-GB"/>
        </w:rPr>
      </w:pPr>
      <w:r>
        <w:t xml:space="preserve">The quantitative analysis </w:t>
      </w:r>
      <w:r w:rsidRPr="008F47C0">
        <w:t xml:space="preserve">suggests that a </w:t>
      </w:r>
      <w:r w:rsidR="00495FD2">
        <w:t>pro</w:t>
      </w:r>
      <w:r w:rsidRPr="008F47C0">
        <w:t xml:space="preserve">portion of young Australians </w:t>
      </w:r>
      <w:r w:rsidR="00B32E0B">
        <w:rPr>
          <w:lang w:val="en-GB"/>
        </w:rPr>
        <w:t xml:space="preserve">aged </w:t>
      </w:r>
      <w:r w:rsidRPr="008F47C0">
        <w:rPr>
          <w:lang w:val="en-GB"/>
        </w:rPr>
        <w:t>20</w:t>
      </w:r>
      <w:r w:rsidR="00B32E0B">
        <w:rPr>
          <w:lang w:val="en-GB"/>
        </w:rPr>
        <w:t xml:space="preserve"> to </w:t>
      </w:r>
      <w:r w:rsidRPr="008F47C0">
        <w:rPr>
          <w:lang w:val="en-GB"/>
        </w:rPr>
        <w:t xml:space="preserve">25 </w:t>
      </w:r>
      <w:r w:rsidR="00B32E0B">
        <w:rPr>
          <w:lang w:val="en-GB"/>
        </w:rPr>
        <w:t xml:space="preserve">years </w:t>
      </w:r>
      <w:r w:rsidRPr="008F47C0">
        <w:rPr>
          <w:lang w:val="en-GB"/>
        </w:rPr>
        <w:t>experience certain aspects of financial stress.</w:t>
      </w:r>
      <w:r>
        <w:rPr>
          <w:lang w:val="en-GB"/>
        </w:rPr>
        <w:t xml:space="preserve"> When asked broadly how well they are managing financially, about 15% of LSAY respondents</w:t>
      </w:r>
      <w:r w:rsidR="00EC20D7">
        <w:rPr>
          <w:lang w:val="en-GB"/>
        </w:rPr>
        <w:t xml:space="preserve"> at age </w:t>
      </w:r>
      <w:r w:rsidR="00586C1C">
        <w:rPr>
          <w:lang w:val="en-GB"/>
        </w:rPr>
        <w:t>20</w:t>
      </w:r>
      <w:r w:rsidR="00EC20D7">
        <w:rPr>
          <w:lang w:val="en-GB"/>
        </w:rPr>
        <w:t xml:space="preserve"> </w:t>
      </w:r>
      <w:r w:rsidR="004222FA">
        <w:rPr>
          <w:lang w:val="en-GB"/>
        </w:rPr>
        <w:t xml:space="preserve">years </w:t>
      </w:r>
      <w:r>
        <w:rPr>
          <w:lang w:val="en-GB"/>
        </w:rPr>
        <w:t xml:space="preserve">indicate they have difficulty managing financially. This proportion </w:t>
      </w:r>
      <w:r w:rsidR="008764D8">
        <w:rPr>
          <w:lang w:val="en-GB"/>
        </w:rPr>
        <w:t>remains relatively</w:t>
      </w:r>
      <w:r>
        <w:rPr>
          <w:lang w:val="en-GB"/>
        </w:rPr>
        <w:t xml:space="preserve"> steady as the cohort ages.</w:t>
      </w:r>
      <w:r w:rsidR="0030064B" w:rsidRPr="0030064B">
        <w:rPr>
          <w:lang w:val="en-GB"/>
        </w:rPr>
        <w:t xml:space="preserve"> </w:t>
      </w:r>
      <w:r w:rsidR="0030064B">
        <w:rPr>
          <w:lang w:val="en-GB"/>
        </w:rPr>
        <w:t>About a quarter of</w:t>
      </w:r>
      <w:r w:rsidR="008764D8">
        <w:rPr>
          <w:lang w:val="en-GB"/>
        </w:rPr>
        <w:t xml:space="preserve"> LSAY</w:t>
      </w:r>
      <w:r w:rsidR="0030064B">
        <w:rPr>
          <w:lang w:val="en-GB"/>
        </w:rPr>
        <w:t xml:space="preserve"> respondents </w:t>
      </w:r>
      <w:r w:rsidR="00EC20D7">
        <w:rPr>
          <w:lang w:val="en-GB"/>
        </w:rPr>
        <w:t>can be categorised as experiencing</w:t>
      </w:r>
      <w:r w:rsidR="0030064B">
        <w:rPr>
          <w:lang w:val="en-GB"/>
        </w:rPr>
        <w:t xml:space="preserve"> moderate to high financial stress at age </w:t>
      </w:r>
      <w:r w:rsidR="00586C1C">
        <w:rPr>
          <w:lang w:val="en-GB"/>
        </w:rPr>
        <w:t>20</w:t>
      </w:r>
      <w:r w:rsidR="004222FA">
        <w:rPr>
          <w:lang w:val="en-GB"/>
        </w:rPr>
        <w:t xml:space="preserve"> years</w:t>
      </w:r>
      <w:r w:rsidR="00495FD2">
        <w:rPr>
          <w:lang w:val="en-GB"/>
        </w:rPr>
        <w:t>.</w:t>
      </w:r>
      <w:r w:rsidR="0030064B">
        <w:rPr>
          <w:lang w:val="en-GB"/>
        </w:rPr>
        <w:t xml:space="preserve"> </w:t>
      </w:r>
      <w:r w:rsidR="00495FD2">
        <w:rPr>
          <w:lang w:val="en-GB"/>
        </w:rPr>
        <w:t>Here</w:t>
      </w:r>
      <w:r w:rsidR="0030064B">
        <w:rPr>
          <w:lang w:val="en-GB"/>
        </w:rPr>
        <w:t xml:space="preserve"> </w:t>
      </w:r>
      <w:r w:rsidR="00495FD2">
        <w:rPr>
          <w:lang w:val="en-GB"/>
        </w:rPr>
        <w:t>‘</w:t>
      </w:r>
      <w:r w:rsidR="0030064B">
        <w:rPr>
          <w:lang w:val="en-GB"/>
        </w:rPr>
        <w:t>financial stress</w:t>
      </w:r>
      <w:r w:rsidR="00495FD2">
        <w:rPr>
          <w:lang w:val="en-GB"/>
        </w:rPr>
        <w:t>’</w:t>
      </w:r>
      <w:r w:rsidR="0030064B">
        <w:rPr>
          <w:lang w:val="en-GB"/>
        </w:rPr>
        <w:t xml:space="preserve"> </w:t>
      </w:r>
      <w:r w:rsidR="00EC20D7">
        <w:rPr>
          <w:lang w:val="en-GB"/>
        </w:rPr>
        <w:t>is</w:t>
      </w:r>
      <w:r w:rsidR="0030064B">
        <w:rPr>
          <w:lang w:val="en-GB"/>
        </w:rPr>
        <w:t xml:space="preserve"> identified </w:t>
      </w:r>
      <w:r w:rsidR="004222FA">
        <w:rPr>
          <w:lang w:val="en-GB"/>
        </w:rPr>
        <w:t>according to</w:t>
      </w:r>
      <w:r w:rsidR="0030064B">
        <w:rPr>
          <w:lang w:val="en-GB"/>
        </w:rPr>
        <w:t xml:space="preserve"> the number of instances of </w:t>
      </w:r>
      <w:r w:rsidR="00495FD2">
        <w:rPr>
          <w:lang w:val="en-GB"/>
        </w:rPr>
        <w:t xml:space="preserve">specific types of </w:t>
      </w:r>
      <w:r w:rsidR="0030064B">
        <w:rPr>
          <w:lang w:val="en-GB"/>
        </w:rPr>
        <w:t>financial stress</w:t>
      </w:r>
      <w:r w:rsidR="004222FA">
        <w:rPr>
          <w:lang w:val="en-GB"/>
        </w:rPr>
        <w:t>.</w:t>
      </w:r>
      <w:r w:rsidR="00EC20D7">
        <w:rPr>
          <w:rStyle w:val="FootnoteReference"/>
          <w:lang w:val="en-GB"/>
        </w:rPr>
        <w:footnoteReference w:id="2"/>
      </w:r>
      <w:r w:rsidR="0030064B">
        <w:rPr>
          <w:lang w:val="en-GB"/>
        </w:rPr>
        <w:t xml:space="preserve"> Again, this </w:t>
      </w:r>
      <w:r w:rsidR="008C5A30">
        <w:rPr>
          <w:lang w:val="en-GB"/>
        </w:rPr>
        <w:t>has remained relatively unchanged across the cohorts.</w:t>
      </w:r>
    </w:p>
    <w:p w:rsidR="008671CD" w:rsidRDefault="00167551" w:rsidP="00EF1272">
      <w:pPr>
        <w:pStyle w:val="Text"/>
        <w:rPr>
          <w:lang w:val="en-GB"/>
        </w:rPr>
      </w:pPr>
      <w:r>
        <w:rPr>
          <w:lang w:val="en-GB"/>
        </w:rPr>
        <w:t>LSAY also</w:t>
      </w:r>
      <w:r w:rsidR="00F90C19">
        <w:rPr>
          <w:lang w:val="en-GB"/>
        </w:rPr>
        <w:t xml:space="preserve"> asks young people a series of questions relating to shortage of money. These questions are based on the ABS indicators of financial stress from the Household Expenditure Survey and largely focus on items relating to cash</w:t>
      </w:r>
      <w:r w:rsidR="00B5763F">
        <w:rPr>
          <w:lang w:val="en-GB"/>
        </w:rPr>
        <w:t xml:space="preserve"> </w:t>
      </w:r>
      <w:r w:rsidR="00F90C19">
        <w:rPr>
          <w:lang w:val="en-GB"/>
        </w:rPr>
        <w:t>flow problems and hardship</w:t>
      </w:r>
      <w:r>
        <w:rPr>
          <w:lang w:val="en-GB"/>
        </w:rPr>
        <w:t>.</w:t>
      </w:r>
      <w:r w:rsidR="00F90C19">
        <w:rPr>
          <w:lang w:val="en-GB"/>
        </w:rPr>
        <w:t xml:space="preserve"> </w:t>
      </w:r>
      <w:r w:rsidR="00495FD2">
        <w:rPr>
          <w:lang w:val="en-GB"/>
        </w:rPr>
        <w:t xml:space="preserve">The </w:t>
      </w:r>
      <w:r w:rsidR="00234705">
        <w:rPr>
          <w:lang w:val="en-GB"/>
        </w:rPr>
        <w:t>LSA</w:t>
      </w:r>
      <w:r w:rsidR="00C649C2">
        <w:rPr>
          <w:lang w:val="en-GB"/>
        </w:rPr>
        <w:t xml:space="preserve">Y data </w:t>
      </w:r>
      <w:r>
        <w:rPr>
          <w:lang w:val="en-GB"/>
        </w:rPr>
        <w:t xml:space="preserve">from these questions </w:t>
      </w:r>
      <w:r w:rsidR="004222FA">
        <w:rPr>
          <w:lang w:val="en-GB"/>
        </w:rPr>
        <w:t>similarly suggest</w:t>
      </w:r>
      <w:r w:rsidR="00234705">
        <w:rPr>
          <w:lang w:val="en-GB"/>
        </w:rPr>
        <w:t xml:space="preserve"> that a substantial proportion of young people are experiencing financial stress </w:t>
      </w:r>
      <w:r w:rsidR="00C64332">
        <w:rPr>
          <w:lang w:val="en-GB"/>
        </w:rPr>
        <w:t>across</w:t>
      </w:r>
      <w:r w:rsidR="00234705">
        <w:rPr>
          <w:lang w:val="en-GB"/>
        </w:rPr>
        <w:t xml:space="preserve"> a number of indicators. The most common financial stress </w:t>
      </w:r>
      <w:r w:rsidR="00EC20D7">
        <w:rPr>
          <w:lang w:val="en-GB"/>
        </w:rPr>
        <w:t xml:space="preserve">indicator reported by respondents </w:t>
      </w:r>
      <w:r w:rsidR="00234705">
        <w:rPr>
          <w:lang w:val="en-GB"/>
        </w:rPr>
        <w:t xml:space="preserve">was </w:t>
      </w:r>
      <w:r w:rsidR="004222FA">
        <w:rPr>
          <w:lang w:val="en-GB"/>
        </w:rPr>
        <w:t xml:space="preserve">the need to </w:t>
      </w:r>
      <w:r w:rsidR="00234705">
        <w:rPr>
          <w:lang w:val="en-GB"/>
        </w:rPr>
        <w:t xml:space="preserve">ask family or friends for money. </w:t>
      </w:r>
      <w:r w:rsidR="00F953ED">
        <w:t>The findings</w:t>
      </w:r>
      <w:r w:rsidR="0030064B">
        <w:t xml:space="preserve"> also </w:t>
      </w:r>
      <w:r w:rsidR="00F953ED">
        <w:t xml:space="preserve">suggest that </w:t>
      </w:r>
      <w:r w:rsidR="00F576CE">
        <w:t xml:space="preserve">amongst young people </w:t>
      </w:r>
      <w:r w:rsidR="00F953ED">
        <w:t xml:space="preserve">informal debt, such as debt incurred through loans from parents or relatives, appears to be more </w:t>
      </w:r>
      <w:r w:rsidR="00F3622E">
        <w:t>usual</w:t>
      </w:r>
      <w:r w:rsidR="00F953ED">
        <w:t xml:space="preserve"> than formal debt</w:t>
      </w:r>
      <w:r w:rsidR="008671CD">
        <w:t xml:space="preserve">. </w:t>
      </w:r>
      <w:r w:rsidR="00EC20D7">
        <w:t>Around 10%</w:t>
      </w:r>
      <w:r w:rsidR="008671CD">
        <w:rPr>
          <w:lang w:val="en-GB"/>
        </w:rPr>
        <w:t xml:space="preserve"> of </w:t>
      </w:r>
      <w:r w:rsidR="003B5EB6">
        <w:rPr>
          <w:lang w:val="en-GB"/>
        </w:rPr>
        <w:t>20</w:t>
      </w:r>
      <w:r w:rsidR="004222FA">
        <w:rPr>
          <w:lang w:val="en-GB"/>
        </w:rPr>
        <w:t>-year-</w:t>
      </w:r>
      <w:r w:rsidR="008671CD">
        <w:rPr>
          <w:lang w:val="en-GB"/>
        </w:rPr>
        <w:t>olds in 2010 reported the use of a credit card (formal debt)</w:t>
      </w:r>
      <w:r w:rsidR="00F86CDF">
        <w:rPr>
          <w:lang w:val="en-GB"/>
        </w:rPr>
        <w:t>,</w:t>
      </w:r>
      <w:r w:rsidR="008671CD">
        <w:rPr>
          <w:lang w:val="en-GB"/>
        </w:rPr>
        <w:t xml:space="preserve"> while </w:t>
      </w:r>
      <w:r w:rsidR="00EC20D7">
        <w:rPr>
          <w:lang w:val="en-GB"/>
        </w:rPr>
        <w:t>a third</w:t>
      </w:r>
      <w:r w:rsidR="008671CD">
        <w:rPr>
          <w:lang w:val="en-GB"/>
        </w:rPr>
        <w:t xml:space="preserve"> of the cohort asked family or friends for money.</w:t>
      </w:r>
    </w:p>
    <w:p w:rsidR="008671CD" w:rsidRDefault="008671CD" w:rsidP="008671CD">
      <w:pPr>
        <w:pStyle w:val="Heading2"/>
      </w:pPr>
      <w:bookmarkStart w:id="32" w:name="_Toc388884883"/>
      <w:r>
        <w:t xml:space="preserve">The impact of financial stress on </w:t>
      </w:r>
      <w:r w:rsidR="00AC49AC">
        <w:t>study</w:t>
      </w:r>
      <w:r>
        <w:t xml:space="preserve"> outcomes</w:t>
      </w:r>
      <w:bookmarkEnd w:id="32"/>
    </w:p>
    <w:p w:rsidR="00EC20D7" w:rsidRDefault="008671CD" w:rsidP="008671CD">
      <w:pPr>
        <w:pStyle w:val="Text"/>
      </w:pPr>
      <w:r>
        <w:t xml:space="preserve">The </w:t>
      </w:r>
      <w:r w:rsidR="00630321">
        <w:t>second aspect of the study — the qualitative component —</w:t>
      </w:r>
      <w:r>
        <w:t xml:space="preserve"> aimed to identify how financial stress affects young people’s study and learning outcomes</w:t>
      </w:r>
      <w:r w:rsidR="00C8564E">
        <w:t xml:space="preserve"> </w:t>
      </w:r>
      <w:r w:rsidR="00630321">
        <w:t>in the context of</w:t>
      </w:r>
      <w:r w:rsidR="00C8564E">
        <w:t xml:space="preserve"> current</w:t>
      </w:r>
      <w:r w:rsidR="008764D8">
        <w:t xml:space="preserve"> </w:t>
      </w:r>
      <w:r w:rsidR="006379AD">
        <w:t>vocational education and training (</w:t>
      </w:r>
      <w:r w:rsidR="008764D8">
        <w:t>VET</w:t>
      </w:r>
      <w:r w:rsidR="006379AD">
        <w:t xml:space="preserve">; </w:t>
      </w:r>
      <w:r w:rsidR="004428D4">
        <w:t>at certificate III or above)</w:t>
      </w:r>
      <w:r w:rsidR="008764D8">
        <w:t xml:space="preserve"> or university study. </w:t>
      </w:r>
      <w:r w:rsidR="00C8564E" w:rsidRPr="00E2011C">
        <w:rPr>
          <w:lang w:val="en-GB"/>
        </w:rPr>
        <w:t xml:space="preserve">In particular, the </w:t>
      </w:r>
      <w:r w:rsidR="00C8564E">
        <w:rPr>
          <w:lang w:val="en-GB"/>
        </w:rPr>
        <w:t>qu</w:t>
      </w:r>
      <w:r w:rsidR="006379AD">
        <w:rPr>
          <w:lang w:val="en-GB"/>
        </w:rPr>
        <w:t>alitative data were</w:t>
      </w:r>
      <w:r w:rsidR="00C8564E">
        <w:rPr>
          <w:lang w:val="en-GB"/>
        </w:rPr>
        <w:t xml:space="preserve"> used to explore</w:t>
      </w:r>
      <w:r w:rsidR="00C8564E" w:rsidRPr="00E2011C">
        <w:rPr>
          <w:lang w:val="en-GB"/>
        </w:rPr>
        <w:t xml:space="preserve"> whether individual circumstances influence this relationship; for example,</w:t>
      </w:r>
      <w:r w:rsidR="00C8564E">
        <w:rPr>
          <w:lang w:val="en-GB"/>
        </w:rPr>
        <w:t xml:space="preserve"> whether</w:t>
      </w:r>
      <w:r w:rsidR="00C8564E" w:rsidRPr="00E2011C">
        <w:rPr>
          <w:lang w:val="en-GB"/>
        </w:rPr>
        <w:t xml:space="preserve"> the combination of work and study or living status (living independently compared </w:t>
      </w:r>
      <w:r w:rsidR="006379AD">
        <w:rPr>
          <w:lang w:val="en-GB"/>
        </w:rPr>
        <w:t>with</w:t>
      </w:r>
      <w:r w:rsidR="00C8564E" w:rsidRPr="00E2011C">
        <w:rPr>
          <w:lang w:val="en-GB"/>
        </w:rPr>
        <w:t xml:space="preserve"> living with parents) contributes to financial stress.</w:t>
      </w:r>
    </w:p>
    <w:p w:rsidR="00F86CDF" w:rsidRPr="00D832F6" w:rsidRDefault="00F86CDF" w:rsidP="00DE3303">
      <w:pPr>
        <w:pStyle w:val="Text"/>
        <w:ind w:right="283"/>
        <w:rPr>
          <w:lang w:val="en-GB"/>
        </w:rPr>
      </w:pPr>
      <w:r>
        <w:t xml:space="preserve">There is </w:t>
      </w:r>
      <w:r w:rsidR="006379AD">
        <w:t>a perception that working while</w:t>
      </w:r>
      <w:r>
        <w:t xml:space="preserve"> studying can have a detrimental affect on tertiary study. Around half of the </w:t>
      </w:r>
      <w:r>
        <w:rPr>
          <w:lang w:val="en-GB"/>
        </w:rPr>
        <w:t xml:space="preserve">respondents in the qualitative study </w:t>
      </w:r>
      <w:r w:rsidR="000450AA">
        <w:t>were working while studying,</w:t>
      </w:r>
      <w:r>
        <w:t xml:space="preserve"> </w:t>
      </w:r>
      <w:r w:rsidR="000450AA">
        <w:rPr>
          <w:lang w:val="en-GB"/>
        </w:rPr>
        <w:t>s</w:t>
      </w:r>
      <w:r>
        <w:rPr>
          <w:lang w:val="en-GB"/>
        </w:rPr>
        <w:t xml:space="preserve">ome of </w:t>
      </w:r>
      <w:r w:rsidR="000450AA">
        <w:rPr>
          <w:lang w:val="en-GB"/>
        </w:rPr>
        <w:t>whom</w:t>
      </w:r>
      <w:r w:rsidRPr="008E4B01">
        <w:rPr>
          <w:lang w:val="en-GB"/>
        </w:rPr>
        <w:t xml:space="preserve"> </w:t>
      </w:r>
      <w:r>
        <w:rPr>
          <w:lang w:val="en-GB"/>
        </w:rPr>
        <w:t>mentioned</w:t>
      </w:r>
      <w:r w:rsidRPr="008E4B01">
        <w:rPr>
          <w:lang w:val="en-GB"/>
        </w:rPr>
        <w:t xml:space="preserve"> </w:t>
      </w:r>
      <w:r>
        <w:rPr>
          <w:lang w:val="en-GB"/>
        </w:rPr>
        <w:t>that working impacts negatively</w:t>
      </w:r>
      <w:r w:rsidRPr="008E4B01">
        <w:rPr>
          <w:lang w:val="en-GB"/>
        </w:rPr>
        <w:t xml:space="preserve"> on t</w:t>
      </w:r>
      <w:r>
        <w:rPr>
          <w:lang w:val="en-GB"/>
        </w:rPr>
        <w:t>heir studies because there is less time to spend on learning</w:t>
      </w:r>
      <w:r w:rsidRPr="008E4B01">
        <w:rPr>
          <w:lang w:val="en-GB"/>
        </w:rPr>
        <w:t xml:space="preserve">. </w:t>
      </w:r>
    </w:p>
    <w:p w:rsidR="008671CD" w:rsidRDefault="008671CD" w:rsidP="008671CD">
      <w:pPr>
        <w:pStyle w:val="Text"/>
        <w:rPr>
          <w:lang w:val="en-GB"/>
        </w:rPr>
      </w:pPr>
      <w:r>
        <w:rPr>
          <w:lang w:val="en-GB"/>
        </w:rPr>
        <w:t xml:space="preserve">Just under half of the </w:t>
      </w:r>
      <w:r w:rsidR="004428D4">
        <w:rPr>
          <w:lang w:val="en-GB"/>
        </w:rPr>
        <w:t xml:space="preserve">51 </w:t>
      </w:r>
      <w:r>
        <w:rPr>
          <w:lang w:val="en-GB"/>
        </w:rPr>
        <w:t>respondents lived with their</w:t>
      </w:r>
      <w:r w:rsidR="00EC20D7">
        <w:rPr>
          <w:lang w:val="en-GB"/>
        </w:rPr>
        <w:t xml:space="preserve"> parents</w:t>
      </w:r>
      <w:r w:rsidR="008764D8">
        <w:rPr>
          <w:lang w:val="en-GB"/>
        </w:rPr>
        <w:t xml:space="preserve">. These students </w:t>
      </w:r>
      <w:r w:rsidR="004428D4">
        <w:rPr>
          <w:lang w:val="en-GB"/>
        </w:rPr>
        <w:t>cited</w:t>
      </w:r>
      <w:r w:rsidR="008764D8">
        <w:rPr>
          <w:lang w:val="en-GB"/>
        </w:rPr>
        <w:t xml:space="preserve"> </w:t>
      </w:r>
      <w:r>
        <w:rPr>
          <w:lang w:val="en-GB"/>
        </w:rPr>
        <w:t xml:space="preserve">financial </w:t>
      </w:r>
      <w:r w:rsidR="008764D8">
        <w:rPr>
          <w:lang w:val="en-GB"/>
        </w:rPr>
        <w:t>support as well as</w:t>
      </w:r>
      <w:r w:rsidR="004428D4">
        <w:rPr>
          <w:lang w:val="en-GB"/>
        </w:rPr>
        <w:t xml:space="preserve"> many</w:t>
      </w:r>
      <w:r>
        <w:rPr>
          <w:lang w:val="en-GB"/>
        </w:rPr>
        <w:t xml:space="preserve"> other factors </w:t>
      </w:r>
      <w:r w:rsidR="008764D8">
        <w:rPr>
          <w:lang w:val="en-GB"/>
        </w:rPr>
        <w:t xml:space="preserve">as reasons </w:t>
      </w:r>
      <w:r>
        <w:rPr>
          <w:lang w:val="en-GB"/>
        </w:rPr>
        <w:t xml:space="preserve">for continuing to live with their parents. The financial support </w:t>
      </w:r>
      <w:r w:rsidR="001F09D2">
        <w:rPr>
          <w:lang w:val="en-GB"/>
        </w:rPr>
        <w:t>included</w:t>
      </w:r>
      <w:r>
        <w:rPr>
          <w:lang w:val="en-GB"/>
        </w:rPr>
        <w:t xml:space="preserve"> </w:t>
      </w:r>
      <w:r w:rsidR="004428D4">
        <w:rPr>
          <w:lang w:val="en-GB"/>
        </w:rPr>
        <w:t xml:space="preserve">paying </w:t>
      </w:r>
      <w:r w:rsidR="001F09D2">
        <w:rPr>
          <w:lang w:val="en-GB"/>
        </w:rPr>
        <w:t xml:space="preserve">utility bills, rent, </w:t>
      </w:r>
      <w:r>
        <w:rPr>
          <w:lang w:val="en-GB"/>
        </w:rPr>
        <w:t>‘high ticket</w:t>
      </w:r>
      <w:r w:rsidR="001F09D2">
        <w:rPr>
          <w:lang w:val="en-GB"/>
        </w:rPr>
        <w:t xml:space="preserve"> items’ like car registrations, and assistance towards </w:t>
      </w:r>
      <w:r>
        <w:rPr>
          <w:lang w:val="en-GB"/>
        </w:rPr>
        <w:t>social</w:t>
      </w:r>
      <w:r w:rsidR="000450AA">
        <w:rPr>
          <w:lang w:val="en-GB"/>
        </w:rPr>
        <w:t xml:space="preserve"> activities</w:t>
      </w:r>
      <w:r>
        <w:rPr>
          <w:lang w:val="en-GB"/>
        </w:rPr>
        <w:t>. Those respondents who had left home did not directly mention the financial costs of not living at home. Some of those students who had moved out had done so to improve their chances of getting paid employment</w:t>
      </w:r>
      <w:r w:rsidR="00C649C2">
        <w:rPr>
          <w:lang w:val="en-GB"/>
        </w:rPr>
        <w:t xml:space="preserve">. </w:t>
      </w:r>
      <w:r>
        <w:rPr>
          <w:lang w:val="en-GB"/>
        </w:rPr>
        <w:t xml:space="preserve"> </w:t>
      </w:r>
    </w:p>
    <w:p w:rsidR="008671CD" w:rsidRDefault="008671CD" w:rsidP="008671CD">
      <w:pPr>
        <w:pStyle w:val="Text"/>
        <w:rPr>
          <w:lang w:val="en-GB"/>
        </w:rPr>
      </w:pPr>
      <w:r>
        <w:rPr>
          <w:lang w:val="en-GB"/>
        </w:rPr>
        <w:t xml:space="preserve">Over 40% of </w:t>
      </w:r>
      <w:r w:rsidR="003B5EB6">
        <w:rPr>
          <w:lang w:val="en-GB"/>
        </w:rPr>
        <w:t xml:space="preserve">the </w:t>
      </w:r>
      <w:r>
        <w:rPr>
          <w:lang w:val="en-GB"/>
        </w:rPr>
        <w:t xml:space="preserve">students had considered changing their mode of study, and a few mentioned that this </w:t>
      </w:r>
      <w:r w:rsidR="000450AA">
        <w:rPr>
          <w:lang w:val="en-GB"/>
        </w:rPr>
        <w:t>potential change</w:t>
      </w:r>
      <w:r>
        <w:rPr>
          <w:lang w:val="en-GB"/>
        </w:rPr>
        <w:t xml:space="preserve"> was based on financial necessity. However, the majority of students who stated that they had considered changing their mode of study </w:t>
      </w:r>
      <w:r w:rsidR="000450AA">
        <w:rPr>
          <w:lang w:val="en-GB"/>
        </w:rPr>
        <w:t>indicated</w:t>
      </w:r>
      <w:r>
        <w:rPr>
          <w:lang w:val="en-GB"/>
        </w:rPr>
        <w:t xml:space="preserve"> that their decision </w:t>
      </w:r>
      <w:r w:rsidR="004428D4">
        <w:rPr>
          <w:lang w:val="en-GB"/>
        </w:rPr>
        <w:t>was</w:t>
      </w:r>
      <w:r>
        <w:rPr>
          <w:lang w:val="en-GB"/>
        </w:rPr>
        <w:t xml:space="preserve"> unrela</w:t>
      </w:r>
      <w:r w:rsidR="00630321">
        <w:rPr>
          <w:lang w:val="en-GB"/>
        </w:rPr>
        <w:t>ted to their financial position.</w:t>
      </w:r>
      <w:r w:rsidR="000450AA">
        <w:rPr>
          <w:lang w:val="en-GB"/>
        </w:rPr>
        <w:t xml:space="preserve"> </w:t>
      </w:r>
      <w:r w:rsidR="00630321">
        <w:rPr>
          <w:lang w:val="en-GB"/>
        </w:rPr>
        <w:t>Their</w:t>
      </w:r>
      <w:r>
        <w:rPr>
          <w:lang w:val="en-GB"/>
        </w:rPr>
        <w:t xml:space="preserve"> decision was more likely to have been due to </w:t>
      </w:r>
      <w:r w:rsidR="00630321">
        <w:rPr>
          <w:lang w:val="en-GB"/>
        </w:rPr>
        <w:t>diminished</w:t>
      </w:r>
      <w:r>
        <w:rPr>
          <w:lang w:val="en-GB"/>
        </w:rPr>
        <w:t xml:space="preserve"> interest i</w:t>
      </w:r>
      <w:r w:rsidR="00F86CDF">
        <w:rPr>
          <w:lang w:val="en-GB"/>
        </w:rPr>
        <w:t xml:space="preserve">n the course, </w:t>
      </w:r>
      <w:r w:rsidR="00630321">
        <w:rPr>
          <w:lang w:val="en-GB"/>
        </w:rPr>
        <w:t xml:space="preserve">the </w:t>
      </w:r>
      <w:r w:rsidR="00F86CDF">
        <w:rPr>
          <w:lang w:val="en-GB"/>
        </w:rPr>
        <w:t xml:space="preserve">pressures of work, </w:t>
      </w:r>
      <w:r>
        <w:rPr>
          <w:lang w:val="en-GB"/>
        </w:rPr>
        <w:t xml:space="preserve">and </w:t>
      </w:r>
      <w:r w:rsidR="00630321">
        <w:rPr>
          <w:lang w:val="en-GB"/>
        </w:rPr>
        <w:t>efforts towards achieving</w:t>
      </w:r>
      <w:r w:rsidR="000450AA">
        <w:rPr>
          <w:lang w:val="en-GB"/>
        </w:rPr>
        <w:t xml:space="preserve"> a more favourable life—study—</w:t>
      </w:r>
      <w:r>
        <w:rPr>
          <w:lang w:val="en-GB"/>
        </w:rPr>
        <w:t>work balance. Likewise, those students who had considered withdrawing from study altogether di</w:t>
      </w:r>
      <w:r w:rsidR="000450AA">
        <w:rPr>
          <w:lang w:val="en-GB"/>
        </w:rPr>
        <w:t>d not blame financial stress,</w:t>
      </w:r>
      <w:r>
        <w:rPr>
          <w:lang w:val="en-GB"/>
        </w:rPr>
        <w:t xml:space="preserve"> </w:t>
      </w:r>
      <w:r w:rsidR="000450AA">
        <w:rPr>
          <w:lang w:val="en-GB"/>
        </w:rPr>
        <w:t>citing a variety</w:t>
      </w:r>
      <w:r>
        <w:rPr>
          <w:lang w:val="en-GB"/>
        </w:rPr>
        <w:t xml:space="preserve"> of other reasons.</w:t>
      </w:r>
    </w:p>
    <w:p w:rsidR="008671CD" w:rsidRPr="008E4B01" w:rsidRDefault="008671CD" w:rsidP="008671CD">
      <w:pPr>
        <w:pStyle w:val="Text"/>
        <w:rPr>
          <w:lang w:val="en-GB"/>
        </w:rPr>
      </w:pPr>
      <w:r w:rsidRPr="008F47C0">
        <w:rPr>
          <w:lang w:val="en-GB"/>
        </w:rPr>
        <w:t xml:space="preserve">Overall, </w:t>
      </w:r>
      <w:r w:rsidR="00056F22">
        <w:rPr>
          <w:lang w:val="en-GB"/>
        </w:rPr>
        <w:t>the</w:t>
      </w:r>
      <w:r w:rsidRPr="008F47C0">
        <w:rPr>
          <w:lang w:val="en-GB"/>
        </w:rPr>
        <w:t xml:space="preserve"> </w:t>
      </w:r>
      <w:r w:rsidR="008764D8">
        <w:rPr>
          <w:lang w:val="en-GB"/>
        </w:rPr>
        <w:t>qualitative</w:t>
      </w:r>
      <w:r w:rsidRPr="008F47C0">
        <w:rPr>
          <w:lang w:val="en-GB"/>
        </w:rPr>
        <w:t xml:space="preserve"> </w:t>
      </w:r>
      <w:r w:rsidR="00630321">
        <w:rPr>
          <w:lang w:val="en-GB"/>
        </w:rPr>
        <w:t xml:space="preserve">component of the </w:t>
      </w:r>
      <w:r w:rsidRPr="008F47C0">
        <w:rPr>
          <w:lang w:val="en-GB"/>
        </w:rPr>
        <w:t>study suggests</w:t>
      </w:r>
      <w:r>
        <w:rPr>
          <w:lang w:val="en-GB"/>
        </w:rPr>
        <w:t xml:space="preserve"> that</w:t>
      </w:r>
      <w:r w:rsidR="000450AA">
        <w:rPr>
          <w:lang w:val="en-GB"/>
        </w:rPr>
        <w:t>,</w:t>
      </w:r>
      <w:r>
        <w:rPr>
          <w:lang w:val="en-GB"/>
        </w:rPr>
        <w:t xml:space="preserve"> while financial needs are a common concern for tertiary students, they do not appear to be the main driver </w:t>
      </w:r>
      <w:r w:rsidR="000450AA">
        <w:rPr>
          <w:lang w:val="en-GB"/>
        </w:rPr>
        <w:t>affecting</w:t>
      </w:r>
      <w:r>
        <w:rPr>
          <w:lang w:val="en-GB"/>
        </w:rPr>
        <w:t xml:space="preserve"> completion rates and/or study </w:t>
      </w:r>
      <w:r w:rsidR="00C649C2">
        <w:rPr>
          <w:lang w:val="en-GB"/>
        </w:rPr>
        <w:t xml:space="preserve">decisions. </w:t>
      </w:r>
      <w:r>
        <w:rPr>
          <w:lang w:val="en-GB"/>
        </w:rPr>
        <w:t>It was not the burden of financial hardship that was identified as being the primary motivator for students withdraw</w:t>
      </w:r>
      <w:r w:rsidR="00F576CE">
        <w:rPr>
          <w:lang w:val="en-GB"/>
        </w:rPr>
        <w:t>ing</w:t>
      </w:r>
      <w:r>
        <w:rPr>
          <w:lang w:val="en-GB"/>
        </w:rPr>
        <w:t xml:space="preserve"> from their studies</w:t>
      </w:r>
      <w:r w:rsidR="007533B1">
        <w:rPr>
          <w:lang w:val="en-GB"/>
        </w:rPr>
        <w:t>,</w:t>
      </w:r>
      <w:r>
        <w:rPr>
          <w:lang w:val="en-GB"/>
        </w:rPr>
        <w:t xml:space="preserve"> but a lack of interest in the course</w:t>
      </w:r>
      <w:r w:rsidR="00F576CE">
        <w:rPr>
          <w:lang w:val="en-GB"/>
        </w:rPr>
        <w:t>,</w:t>
      </w:r>
      <w:r>
        <w:rPr>
          <w:lang w:val="en-GB"/>
        </w:rPr>
        <w:t xml:space="preserve"> or personal matt</w:t>
      </w:r>
      <w:r w:rsidR="00C649C2">
        <w:rPr>
          <w:lang w:val="en-GB"/>
        </w:rPr>
        <w:t>ers</w:t>
      </w:r>
      <w:r>
        <w:rPr>
          <w:lang w:val="en-GB"/>
        </w:rPr>
        <w:t xml:space="preserve">. </w:t>
      </w:r>
    </w:p>
    <w:p w:rsidR="00054722" w:rsidRDefault="00054722" w:rsidP="008671CD">
      <w:pPr>
        <w:pStyle w:val="Text"/>
        <w:rPr>
          <w:color w:val="000000"/>
          <w:kern w:val="28"/>
          <w:sz w:val="56"/>
          <w:szCs w:val="56"/>
        </w:rPr>
      </w:pPr>
      <w:r>
        <w:br w:type="page"/>
      </w:r>
    </w:p>
    <w:p w:rsidR="008332D5" w:rsidRPr="005C2FCF" w:rsidRDefault="008332D5" w:rsidP="008332D5">
      <w:pPr>
        <w:pStyle w:val="Heading1"/>
      </w:pPr>
      <w:bookmarkStart w:id="33" w:name="_Toc388884884"/>
      <w:r>
        <w:t>Introduction</w:t>
      </w:r>
      <w:bookmarkEnd w:id="33"/>
    </w:p>
    <w:p w:rsidR="00653A73" w:rsidRDefault="000A58C1" w:rsidP="00DD4EB6">
      <w:pPr>
        <w:pStyle w:val="Text"/>
      </w:pPr>
      <w:r>
        <w:t>There are no precise definitions</w:t>
      </w:r>
      <w:r w:rsidR="00DD4EB6">
        <w:t xml:space="preserve"> of financial stress that can be </w:t>
      </w:r>
      <w:r w:rsidR="007533B1">
        <w:t>applied</w:t>
      </w:r>
      <w:r w:rsidR="00DD4EB6">
        <w:t xml:space="preserve"> to measure levels of financial disadvantage. Bray (2001) defines financial stress as the difficulty that an individual or household may have in meeting </w:t>
      </w:r>
      <w:r w:rsidR="00667EB4">
        <w:t xml:space="preserve">their </w:t>
      </w:r>
      <w:r w:rsidR="00DD4EB6">
        <w:t>basic financial commitments due to a shortage of money.</w:t>
      </w:r>
      <w:r w:rsidR="00DD4EB6">
        <w:rPr>
          <w:i/>
          <w:iCs/>
        </w:rPr>
        <w:t xml:space="preserve"> </w:t>
      </w:r>
      <w:r w:rsidR="00DD4EB6">
        <w:t xml:space="preserve">The ABS defines an individual or household as </w:t>
      </w:r>
      <w:r>
        <w:t xml:space="preserve">being </w:t>
      </w:r>
      <w:r w:rsidR="00DD4EB6">
        <w:t xml:space="preserve">in financial stress if they experience two or more incidences of cash flow problems across nine separate indicators. </w:t>
      </w:r>
    </w:p>
    <w:p w:rsidR="00D814A1" w:rsidRDefault="00DD4EB6" w:rsidP="00DD4EB6">
      <w:pPr>
        <w:pStyle w:val="Text"/>
        <w:rPr>
          <w:lang w:val="en-GB"/>
        </w:rPr>
      </w:pPr>
      <w:r>
        <w:rPr>
          <w:lang w:val="en-GB"/>
        </w:rPr>
        <w:t>Although financial reasons do not appear to be the main driver for non-completion of tertiary study, there is evidence that a young person’s financial position can affect their engagement in learning, which in turn affects their current learning outcomes and future study decisions (</w:t>
      </w:r>
      <w:r w:rsidR="00667EB4">
        <w:rPr>
          <w:lang w:val="en-GB"/>
        </w:rPr>
        <w:t xml:space="preserve">Australian Vice-Chancellors’ Committee 2007; Devlin, James &amp; </w:t>
      </w:r>
      <w:proofErr w:type="spellStart"/>
      <w:r w:rsidR="00667EB4">
        <w:rPr>
          <w:lang w:val="en-GB"/>
        </w:rPr>
        <w:t>Grigg</w:t>
      </w:r>
      <w:proofErr w:type="spellEnd"/>
      <w:r w:rsidR="00667EB4">
        <w:rPr>
          <w:lang w:val="en-GB"/>
        </w:rPr>
        <w:t xml:space="preserve"> 2008; Anlezark &amp; Lim</w:t>
      </w:r>
      <w:r>
        <w:rPr>
          <w:lang w:val="en-GB"/>
        </w:rPr>
        <w:t xml:space="preserve"> 2011). The Australian Universities Survey (</w:t>
      </w:r>
      <w:r w:rsidR="00F576CE">
        <w:rPr>
          <w:lang w:val="en-GB"/>
        </w:rPr>
        <w:t>James</w:t>
      </w:r>
      <w:r w:rsidR="00994C56">
        <w:rPr>
          <w:lang w:val="en-GB"/>
        </w:rPr>
        <w:t xml:space="preserve"> </w:t>
      </w:r>
      <w:r w:rsidR="00F576CE">
        <w:rPr>
          <w:lang w:val="en-GB"/>
        </w:rPr>
        <w:t>et al.</w:t>
      </w:r>
      <w:r w:rsidR="00994C56">
        <w:rPr>
          <w:lang w:val="en-GB"/>
        </w:rPr>
        <w:t xml:space="preserve"> 2007</w:t>
      </w:r>
      <w:r>
        <w:rPr>
          <w:lang w:val="en-GB"/>
        </w:rPr>
        <w:t>) on university student finances</w:t>
      </w:r>
      <w:r w:rsidR="007A6790">
        <w:rPr>
          <w:lang w:val="en-GB"/>
        </w:rPr>
        <w:t>,</w:t>
      </w:r>
      <w:r>
        <w:rPr>
          <w:lang w:val="en-GB"/>
        </w:rPr>
        <w:t xml:space="preserve"> undertaken in 2006</w:t>
      </w:r>
      <w:r w:rsidR="007A6790">
        <w:rPr>
          <w:lang w:val="en-GB"/>
        </w:rPr>
        <w:t>,</w:t>
      </w:r>
      <w:r>
        <w:rPr>
          <w:lang w:val="en-GB"/>
        </w:rPr>
        <w:t xml:space="preserve"> </w:t>
      </w:r>
      <w:r w:rsidR="007A6790">
        <w:rPr>
          <w:lang w:val="en-GB"/>
        </w:rPr>
        <w:t>indicated that</w:t>
      </w:r>
      <w:r w:rsidR="0009145D">
        <w:rPr>
          <w:lang w:val="en-GB"/>
        </w:rPr>
        <w:t xml:space="preserve"> </w:t>
      </w:r>
      <w:r>
        <w:rPr>
          <w:lang w:val="en-GB"/>
        </w:rPr>
        <w:t>substantial proportions of students were financially stressed. For example, almost half of the respondents in that survey stated that their financial situation was often a worry for them.</w:t>
      </w:r>
    </w:p>
    <w:p w:rsidR="00D814A1" w:rsidRPr="00E2011C" w:rsidRDefault="00D814A1" w:rsidP="00DE3303">
      <w:pPr>
        <w:pStyle w:val="Text"/>
        <w:ind w:right="-284"/>
        <w:rPr>
          <w:lang w:val="en-GB"/>
        </w:rPr>
      </w:pPr>
      <w:r w:rsidRPr="00E2011C">
        <w:rPr>
          <w:lang w:val="en-GB"/>
        </w:rPr>
        <w:t xml:space="preserve">The focus of this paper is </w:t>
      </w:r>
      <w:r w:rsidR="007A6790">
        <w:rPr>
          <w:lang w:val="en-GB"/>
        </w:rPr>
        <w:t>to investigate</w:t>
      </w:r>
      <w:r w:rsidRPr="00E2011C">
        <w:rPr>
          <w:lang w:val="en-GB"/>
        </w:rPr>
        <w:t xml:space="preserve"> the role that financial stress p</w:t>
      </w:r>
      <w:r w:rsidR="00C649C2">
        <w:rPr>
          <w:lang w:val="en-GB"/>
        </w:rPr>
        <w:t>lays i</w:t>
      </w:r>
      <w:r w:rsidRPr="00E2011C">
        <w:rPr>
          <w:lang w:val="en-GB"/>
        </w:rPr>
        <w:t>n a student’s study outcomes and their study decisions. In particular, the paper explores whether individual circumstances influence this relationship; for example,</w:t>
      </w:r>
      <w:r w:rsidR="0009145D">
        <w:rPr>
          <w:lang w:val="en-GB"/>
        </w:rPr>
        <w:t xml:space="preserve"> whether</w:t>
      </w:r>
      <w:r w:rsidRPr="00E2011C">
        <w:rPr>
          <w:lang w:val="en-GB"/>
        </w:rPr>
        <w:t xml:space="preserve"> the combination of work and study or living status (living independently compared </w:t>
      </w:r>
      <w:r w:rsidR="007A6790">
        <w:rPr>
          <w:lang w:val="en-GB"/>
        </w:rPr>
        <w:t>with</w:t>
      </w:r>
      <w:r w:rsidRPr="00E2011C">
        <w:rPr>
          <w:lang w:val="en-GB"/>
        </w:rPr>
        <w:t xml:space="preserve"> living with parents) contributes to financial stress. Financial stress has other obvious effects on overall wellbeing, but we are interested in the effects on education outcomes.</w:t>
      </w:r>
    </w:p>
    <w:p w:rsidR="003A4552" w:rsidRDefault="003A4552" w:rsidP="003A4552">
      <w:pPr>
        <w:pStyle w:val="Heading2"/>
        <w:rPr>
          <w:lang w:val="en-GB"/>
        </w:rPr>
      </w:pPr>
      <w:bookmarkStart w:id="34" w:name="_Toc388884885"/>
      <w:r>
        <w:rPr>
          <w:lang w:val="en-GB"/>
        </w:rPr>
        <w:t>What does the literature say?</w:t>
      </w:r>
      <w:bookmarkEnd w:id="34"/>
    </w:p>
    <w:p w:rsidR="003A4552" w:rsidRDefault="003A4552" w:rsidP="003A4552">
      <w:pPr>
        <w:pStyle w:val="Text"/>
        <w:rPr>
          <w:lang w:val="en-GB"/>
        </w:rPr>
      </w:pPr>
      <w:r>
        <w:rPr>
          <w:lang w:val="en-GB"/>
        </w:rPr>
        <w:t xml:space="preserve">Being a tertiary student is associated with experiencing some financial stress, </w:t>
      </w:r>
      <w:r>
        <w:t>with students less likely to believe they are managing well financially</w:t>
      </w:r>
      <w:r w:rsidR="007A6790">
        <w:rPr>
          <w:lang w:val="en-GB"/>
        </w:rPr>
        <w:t xml:space="preserve"> (Ryan</w:t>
      </w:r>
      <w:r>
        <w:rPr>
          <w:lang w:val="en-GB"/>
        </w:rPr>
        <w:t xml:space="preserve"> 2013). </w:t>
      </w:r>
      <w:r>
        <w:t xml:space="preserve">Students are also more likely to borrow money from their </w:t>
      </w:r>
      <w:r w:rsidRPr="005E564F">
        <w:t>families</w:t>
      </w:r>
      <w:r>
        <w:t xml:space="preserve"> and go without educational books,</w:t>
      </w:r>
      <w:r>
        <w:rPr>
          <w:lang w:val="en-GB"/>
        </w:rPr>
        <w:t xml:space="preserve"> but does financial hardship directly impact on study outcomes?</w:t>
      </w:r>
    </w:p>
    <w:p w:rsidR="003A4552" w:rsidRDefault="003A4552" w:rsidP="003A4552">
      <w:pPr>
        <w:pStyle w:val="Text"/>
        <w:rPr>
          <w:lang w:val="en-GB"/>
        </w:rPr>
      </w:pPr>
      <w:r>
        <w:rPr>
          <w:lang w:val="en-GB"/>
        </w:rPr>
        <w:t xml:space="preserve">Based on descriptive statistics from responses of the </w:t>
      </w:r>
      <w:r w:rsidR="00C649C2">
        <w:rPr>
          <w:lang w:val="en-GB"/>
        </w:rPr>
        <w:t>2003</w:t>
      </w:r>
      <w:r>
        <w:rPr>
          <w:lang w:val="en-GB"/>
        </w:rPr>
        <w:t xml:space="preserve"> </w:t>
      </w:r>
      <w:r w:rsidR="0010704B">
        <w:rPr>
          <w:lang w:val="en-GB"/>
        </w:rPr>
        <w:t xml:space="preserve">(Y03) </w:t>
      </w:r>
      <w:r>
        <w:rPr>
          <w:lang w:val="en-GB"/>
        </w:rPr>
        <w:t>cohort</w:t>
      </w:r>
      <w:r w:rsidR="00C649C2">
        <w:rPr>
          <w:lang w:val="en-GB"/>
        </w:rPr>
        <w:t xml:space="preserve"> of LSAY</w:t>
      </w:r>
      <w:r>
        <w:rPr>
          <w:lang w:val="en-GB"/>
        </w:rPr>
        <w:t>, financial reasons do not appear to be the main drivers of the decision to withdraw or defer study. Very few LSAY respondents defer</w:t>
      </w:r>
      <w:r w:rsidR="00C649C2">
        <w:rPr>
          <w:lang w:val="en-GB"/>
        </w:rPr>
        <w:t>red</w:t>
      </w:r>
      <w:r>
        <w:rPr>
          <w:lang w:val="en-GB"/>
        </w:rPr>
        <w:t xml:space="preserve"> or withdr</w:t>
      </w:r>
      <w:r w:rsidR="00C649C2">
        <w:rPr>
          <w:lang w:val="en-GB"/>
        </w:rPr>
        <w:t>ew</w:t>
      </w:r>
      <w:r>
        <w:rPr>
          <w:lang w:val="en-GB"/>
        </w:rPr>
        <w:t xml:space="preserve"> from their studies (255), but of those </w:t>
      </w:r>
      <w:r w:rsidR="007A6790">
        <w:rPr>
          <w:lang w:val="en-GB"/>
        </w:rPr>
        <w:t>who</w:t>
      </w:r>
      <w:r w:rsidR="00C649C2">
        <w:rPr>
          <w:lang w:val="en-GB"/>
        </w:rPr>
        <w:t xml:space="preserve"> did</w:t>
      </w:r>
      <w:r>
        <w:rPr>
          <w:lang w:val="en-GB"/>
        </w:rPr>
        <w:t xml:space="preserve">, only 6% indicated that they did so because they could not afford to continue. Interestingly, 13% deferred/withdrew from study because of problems </w:t>
      </w:r>
      <w:r w:rsidR="007A6790">
        <w:rPr>
          <w:lang w:val="en-GB"/>
        </w:rPr>
        <w:t xml:space="preserve">associated with </w:t>
      </w:r>
      <w:r>
        <w:rPr>
          <w:lang w:val="en-GB"/>
        </w:rPr>
        <w:t>juggling work and study commitments.</w:t>
      </w:r>
      <w:r>
        <w:rPr>
          <w:rStyle w:val="FootnoteReference"/>
          <w:lang w:val="en-GB"/>
        </w:rPr>
        <w:footnoteReference w:id="3"/>
      </w:r>
      <w:r>
        <w:rPr>
          <w:lang w:val="en-GB"/>
        </w:rPr>
        <w:t xml:space="preserve"> But the main reasons were due to personal or health reasons (17%), and losing interest </w:t>
      </w:r>
      <w:r w:rsidR="0010704B">
        <w:rPr>
          <w:lang w:val="en-GB"/>
        </w:rPr>
        <w:t>in</w:t>
      </w:r>
      <w:r>
        <w:rPr>
          <w:lang w:val="en-GB"/>
        </w:rPr>
        <w:t xml:space="preserve"> the course (16%). </w:t>
      </w:r>
    </w:p>
    <w:p w:rsidR="003A4552" w:rsidRDefault="003A4552" w:rsidP="003A4552">
      <w:pPr>
        <w:pStyle w:val="Text"/>
        <w:rPr>
          <w:lang w:val="en-GB"/>
        </w:rPr>
      </w:pPr>
      <w:r>
        <w:rPr>
          <w:lang w:val="en-GB"/>
        </w:rPr>
        <w:t>Findings from the Australian University Student Survey of Engagement (AUSSE)</w:t>
      </w:r>
      <w:r>
        <w:rPr>
          <w:rStyle w:val="FootnoteReference"/>
          <w:lang w:val="en-GB"/>
        </w:rPr>
        <w:footnoteReference w:id="4"/>
      </w:r>
      <w:r>
        <w:rPr>
          <w:lang w:val="en-GB"/>
        </w:rPr>
        <w:t xml:space="preserve"> show similar results, with only 8% of undergraduate students citing financial needs as the main reason they would consider withdrawing or deferring their studies. This proportion was higher amongst international students and for</w:t>
      </w:r>
      <w:r w:rsidR="007A6790">
        <w:rPr>
          <w:lang w:val="en-GB"/>
        </w:rPr>
        <w:t xml:space="preserve"> students from regional areas. The r</w:t>
      </w:r>
      <w:r>
        <w:rPr>
          <w:lang w:val="en-GB"/>
        </w:rPr>
        <w:t xml:space="preserve">esults suggest that interests, personal factors and social factors are more prominent than financial reasons for course </w:t>
      </w:r>
      <w:r w:rsidR="007A6790">
        <w:rPr>
          <w:lang w:val="en-GB"/>
        </w:rPr>
        <w:t>non-completion (Coates &amp; Ransom 2011; McMillan</w:t>
      </w:r>
      <w:r>
        <w:rPr>
          <w:lang w:val="en-GB"/>
        </w:rPr>
        <w:t xml:space="preserve"> 2011). </w:t>
      </w:r>
    </w:p>
    <w:p w:rsidR="003A4552" w:rsidRPr="005E564F" w:rsidRDefault="003A4552" w:rsidP="003A4552">
      <w:pPr>
        <w:pStyle w:val="Text"/>
      </w:pPr>
      <w:r w:rsidRPr="005E564F">
        <w:t xml:space="preserve">Ryan’s (2013) analysis of Y95 and Y98 </w:t>
      </w:r>
      <w:r w:rsidR="007A6790">
        <w:t xml:space="preserve">LSAY </w:t>
      </w:r>
      <w:r w:rsidRPr="005E564F">
        <w:t>respondents sheds some light on the relationship between income support, financial stress and course completion. He finds that</w:t>
      </w:r>
      <w:r w:rsidR="007A6790">
        <w:t>,</w:t>
      </w:r>
      <w:r w:rsidRPr="005E564F">
        <w:t xml:space="preserve"> although full-time students in receipt of Youth Allowance were more likely to report incidences of financial stress </w:t>
      </w:r>
      <w:r w:rsidR="007A6790">
        <w:t xml:space="preserve">by </w:t>
      </w:r>
      <w:r w:rsidRPr="005E564F">
        <w:t xml:space="preserve">comparison </w:t>
      </w:r>
      <w:r w:rsidR="007A6790">
        <w:t>with</w:t>
      </w:r>
      <w:r w:rsidRPr="005E564F">
        <w:t xml:space="preserve"> other students, Youth Allowance is positively associated with completion of both university and full-time VET courses. </w:t>
      </w:r>
      <w:r w:rsidR="005C1E43">
        <w:t>In addition</w:t>
      </w:r>
      <w:r w:rsidRPr="005E564F">
        <w:t>, while full-time students in receipt of Youth Allowance were less likely to view themselves as managing financially, t</w:t>
      </w:r>
      <w:r w:rsidR="005C1E43">
        <w:t>his does not translate into their</w:t>
      </w:r>
      <w:r w:rsidRPr="005E564F">
        <w:t xml:space="preserve"> having lower satisfaction with life as a whole. Those students who supplement their Youth Allowance </w:t>
      </w:r>
      <w:r>
        <w:t xml:space="preserve">with </w:t>
      </w:r>
      <w:r w:rsidRPr="005E564F">
        <w:t xml:space="preserve">part-time work reported more incidence of financial stress, but this did not translate into lower levels of satisfaction. </w:t>
      </w:r>
      <w:r w:rsidR="005C1E43">
        <w:t>By</w:t>
      </w:r>
      <w:r w:rsidRPr="005E564F">
        <w:t xml:space="preserve"> comparison, measures of financial stress are associated with lower levels of life satisfaction for young people in receipt of other forms of government income support. </w:t>
      </w:r>
    </w:p>
    <w:p w:rsidR="00742097" w:rsidRDefault="003A4552" w:rsidP="003A4552">
      <w:pPr>
        <w:pStyle w:val="Text"/>
      </w:pPr>
      <w:r w:rsidRPr="005E564F">
        <w:t>These results suggest that most students persevere to complete their courses</w:t>
      </w:r>
      <w:r w:rsidR="0010704B">
        <w:t>,</w:t>
      </w:r>
      <w:r w:rsidRPr="005E564F">
        <w:t xml:space="preserve"> despite </w:t>
      </w:r>
      <w:r>
        <w:t>experiencing financial hardship.</w:t>
      </w:r>
      <w:r w:rsidR="00742097">
        <w:t xml:space="preserve"> </w:t>
      </w:r>
      <w:r w:rsidR="00742097" w:rsidRPr="00742097">
        <w:t>However, for some study outcomes, the impacts cannot be determined from the data; for example the quality of study or engagement with their course</w:t>
      </w:r>
      <w:r w:rsidRPr="005E564F">
        <w:t xml:space="preserve"> </w:t>
      </w:r>
    </w:p>
    <w:p w:rsidR="003A4552" w:rsidRDefault="003A4552" w:rsidP="003A4552">
      <w:pPr>
        <w:pStyle w:val="Text"/>
        <w:rPr>
          <w:color w:val="000000"/>
          <w:sz w:val="20"/>
        </w:rPr>
      </w:pPr>
      <w:r w:rsidRPr="005E564F">
        <w:t>Responses from the Studen</w:t>
      </w:r>
      <w:r w:rsidR="005C1E43">
        <w:t xml:space="preserve">t Finances Survey (Devlin, James &amp; </w:t>
      </w:r>
      <w:proofErr w:type="spellStart"/>
      <w:r w:rsidR="005C1E43">
        <w:t>Grigg</w:t>
      </w:r>
      <w:proofErr w:type="spellEnd"/>
      <w:r w:rsidRPr="005E564F">
        <w:t xml:space="preserve"> 2008) indicate that students experiencing financial stress are more likely to report less time spent on </w:t>
      </w:r>
      <w:r w:rsidR="005C1E43">
        <w:t>study commitments (Devlin</w:t>
      </w:r>
      <w:r w:rsidR="00191417">
        <w:t>,</w:t>
      </w:r>
      <w:r w:rsidR="005C1E43">
        <w:t xml:space="preserve"> </w:t>
      </w:r>
      <w:r w:rsidR="00191417">
        <w:t xml:space="preserve">James &amp; </w:t>
      </w:r>
      <w:proofErr w:type="spellStart"/>
      <w:r w:rsidR="00191417">
        <w:t>Grigg</w:t>
      </w:r>
      <w:proofErr w:type="spellEnd"/>
      <w:r w:rsidR="00191417" w:rsidRPr="005E564F">
        <w:t xml:space="preserve"> </w:t>
      </w:r>
      <w:r w:rsidRPr="005E564F">
        <w:t xml:space="preserve">2008), which can have a negative impact on </w:t>
      </w:r>
      <w:r w:rsidR="00191417">
        <w:t>their</w:t>
      </w:r>
      <w:r w:rsidRPr="005E564F">
        <w:t xml:space="preserve"> engagement with learning and </w:t>
      </w:r>
      <w:r w:rsidR="00F576CE">
        <w:t xml:space="preserve">thus </w:t>
      </w:r>
      <w:r w:rsidRPr="005E564F">
        <w:t>influence</w:t>
      </w:r>
      <w:r w:rsidR="005C1E43">
        <w:t>s</w:t>
      </w:r>
      <w:r>
        <w:t xml:space="preserve"> their study decisions. This was more </w:t>
      </w:r>
      <w:r w:rsidRPr="005E564F">
        <w:t>concentrated</w:t>
      </w:r>
      <w:r>
        <w:t xml:space="preserve"> for those who were juggling work and study commitments.</w:t>
      </w:r>
      <w:r w:rsidRPr="00DD4706">
        <w:rPr>
          <w:color w:val="000000"/>
          <w:sz w:val="20"/>
        </w:rPr>
        <w:t xml:space="preserve"> </w:t>
      </w:r>
      <w:r>
        <w:rPr>
          <w:color w:val="000000"/>
          <w:sz w:val="20"/>
        </w:rPr>
        <w:t>Two in three of Australia’s university students are living below the poverty line as student debt soars.</w:t>
      </w:r>
    </w:p>
    <w:p w:rsidR="003A4552" w:rsidRPr="00D64569" w:rsidRDefault="003A4552" w:rsidP="003A4552">
      <w:pPr>
        <w:pStyle w:val="Text"/>
        <w:rPr>
          <w:color w:val="000000"/>
          <w:sz w:val="20"/>
        </w:rPr>
      </w:pPr>
      <w:r w:rsidRPr="00EA7E08">
        <w:t>A report from Universities Australia’s longitudinal s</w:t>
      </w:r>
      <w:r w:rsidR="005C1E43">
        <w:t xml:space="preserve">tudy of student finances (2013) </w:t>
      </w:r>
      <w:r w:rsidR="00F576CE">
        <w:t>indicates</w:t>
      </w:r>
      <w:r w:rsidR="005C1E43">
        <w:t xml:space="preserve"> that more than two-</w:t>
      </w:r>
      <w:r w:rsidRPr="00EA7E08">
        <w:t xml:space="preserve">thirds of students worry about their finances. This is an increase from 2006, when about half of </w:t>
      </w:r>
      <w:r w:rsidR="00191417">
        <w:t xml:space="preserve">the </w:t>
      </w:r>
      <w:r w:rsidRPr="00EA7E08">
        <w:t>students reported being in a state of financial stress. The increase in student expenditure was in part due to the reported rise in the cost of housing, food and utility costs</w:t>
      </w:r>
      <w:r>
        <w:rPr>
          <w:color w:val="000000"/>
          <w:sz w:val="20"/>
        </w:rPr>
        <w:t>.</w:t>
      </w:r>
    </w:p>
    <w:p w:rsidR="003A4552" w:rsidRDefault="003A4552" w:rsidP="003A4552">
      <w:pPr>
        <w:pStyle w:val="Text"/>
        <w:rPr>
          <w:lang w:val="en-GB"/>
        </w:rPr>
      </w:pPr>
      <w:r>
        <w:rPr>
          <w:lang w:val="en-GB"/>
        </w:rPr>
        <w:t xml:space="preserve">On the whole, young people are increasingly relying on family support and </w:t>
      </w:r>
      <w:r w:rsidR="00191417">
        <w:rPr>
          <w:lang w:val="en-GB"/>
        </w:rPr>
        <w:t xml:space="preserve">are </w:t>
      </w:r>
      <w:r>
        <w:rPr>
          <w:lang w:val="en-GB"/>
        </w:rPr>
        <w:t>living at home longer with parents to support them, particularly during post-s</w:t>
      </w:r>
      <w:r w:rsidR="005C1E43">
        <w:rPr>
          <w:lang w:val="en-GB"/>
        </w:rPr>
        <w:t xml:space="preserve">chool study (Cobb-Clark &amp; </w:t>
      </w:r>
      <w:proofErr w:type="spellStart"/>
      <w:r w:rsidR="005C1E43">
        <w:rPr>
          <w:lang w:val="en-GB"/>
        </w:rPr>
        <w:t>Ribar</w:t>
      </w:r>
      <w:proofErr w:type="spellEnd"/>
      <w:r>
        <w:rPr>
          <w:lang w:val="en-GB"/>
        </w:rPr>
        <w:t xml:space="preserve"> 2009). This is due in part to the lengthening of young people’s transitions, including the trend towards staying in e</w:t>
      </w:r>
      <w:r w:rsidR="005C1E43">
        <w:rPr>
          <w:lang w:val="en-GB"/>
        </w:rPr>
        <w:t>ducation longer. In LSAY, three-quarters of 19 to 20-year-</w:t>
      </w:r>
      <w:r>
        <w:rPr>
          <w:lang w:val="en-GB"/>
        </w:rPr>
        <w:t xml:space="preserve">olds are still living at home (LSAY Y06 cohort, 2010). This increase </w:t>
      </w:r>
      <w:r w:rsidR="00FC3A32">
        <w:rPr>
          <w:lang w:val="en-GB"/>
        </w:rPr>
        <w:t xml:space="preserve">occurred </w:t>
      </w:r>
      <w:r>
        <w:rPr>
          <w:lang w:val="en-GB"/>
        </w:rPr>
        <w:t xml:space="preserve">between the Y98 and Y06 cohorts (in 2000 and 2010 respectively). Other than home ownership, Cobb-Clark and </w:t>
      </w:r>
      <w:proofErr w:type="spellStart"/>
      <w:r>
        <w:rPr>
          <w:lang w:val="en-GB"/>
        </w:rPr>
        <w:t>Ribar</w:t>
      </w:r>
      <w:proofErr w:type="spellEnd"/>
      <w:r>
        <w:rPr>
          <w:lang w:val="en-GB"/>
        </w:rPr>
        <w:t xml:space="preserve"> (2009) did not find young people’s residential decisions to be linked to the economic resources of their parents in their analysis of </w:t>
      </w:r>
      <w:r w:rsidR="00191417">
        <w:rPr>
          <w:lang w:val="en-GB"/>
        </w:rPr>
        <w:t xml:space="preserve">data from the </w:t>
      </w:r>
      <w:r w:rsidR="005C1E43">
        <w:rPr>
          <w:lang w:val="en-GB"/>
        </w:rPr>
        <w:t>Household</w:t>
      </w:r>
      <w:r w:rsidR="004B2147">
        <w:rPr>
          <w:lang w:val="en-GB"/>
        </w:rPr>
        <w:t>,</w:t>
      </w:r>
      <w:r w:rsidR="005C1E43">
        <w:rPr>
          <w:lang w:val="en-GB"/>
        </w:rPr>
        <w:t xml:space="preserve"> Income</w:t>
      </w:r>
      <w:r w:rsidR="004B2147">
        <w:rPr>
          <w:lang w:val="en-GB"/>
        </w:rPr>
        <w:t xml:space="preserve"> and Labour Dynamics in Australia</w:t>
      </w:r>
      <w:r w:rsidR="005C1E43">
        <w:rPr>
          <w:lang w:val="en-GB"/>
        </w:rPr>
        <w:t xml:space="preserve"> </w:t>
      </w:r>
      <w:r w:rsidR="004B2147">
        <w:rPr>
          <w:lang w:val="en-GB"/>
        </w:rPr>
        <w:t>(</w:t>
      </w:r>
      <w:r>
        <w:rPr>
          <w:lang w:val="en-GB"/>
        </w:rPr>
        <w:t>HILDA</w:t>
      </w:r>
      <w:r w:rsidR="004B2147">
        <w:rPr>
          <w:lang w:val="en-GB"/>
        </w:rPr>
        <w:t>) Survey</w:t>
      </w:r>
      <w:r>
        <w:rPr>
          <w:lang w:val="en-GB"/>
        </w:rPr>
        <w:t>. Instead, young people’s decision</w:t>
      </w:r>
      <w:r w:rsidR="004B2147">
        <w:rPr>
          <w:lang w:val="en-GB"/>
        </w:rPr>
        <w:t>s</w:t>
      </w:r>
      <w:r>
        <w:rPr>
          <w:lang w:val="en-GB"/>
        </w:rPr>
        <w:t xml:space="preserve"> to leave the parental home may be constrained by their own financial resources. According to the ABS Family Characteristics and Transitions Survey, the most common reason given for remaining in the </w:t>
      </w:r>
      <w:r w:rsidR="004B2147">
        <w:rPr>
          <w:lang w:val="en-GB"/>
        </w:rPr>
        <w:t>parental home for those aged 18—</w:t>
      </w:r>
      <w:r>
        <w:rPr>
          <w:lang w:val="en-GB"/>
        </w:rPr>
        <w:t>24 years was financial (</w:t>
      </w:r>
      <w:r w:rsidR="001674D1">
        <w:rPr>
          <w:lang w:val="en-GB"/>
        </w:rPr>
        <w:t>33</w:t>
      </w:r>
      <w:r>
        <w:rPr>
          <w:lang w:val="en-GB"/>
        </w:rPr>
        <w:t xml:space="preserve">%), followed by convenience or </w:t>
      </w:r>
      <w:r w:rsidR="00191417">
        <w:rPr>
          <w:lang w:val="en-GB"/>
        </w:rPr>
        <w:t xml:space="preserve">the enjoyment </w:t>
      </w:r>
      <w:r w:rsidR="004B2147">
        <w:rPr>
          <w:lang w:val="en-GB"/>
        </w:rPr>
        <w:t xml:space="preserve">derived from </w:t>
      </w:r>
      <w:r>
        <w:rPr>
          <w:lang w:val="en-GB"/>
        </w:rPr>
        <w:t>living at home (</w:t>
      </w:r>
      <w:r w:rsidR="001674D1">
        <w:rPr>
          <w:lang w:val="en-GB"/>
        </w:rPr>
        <w:t>29</w:t>
      </w:r>
      <w:r>
        <w:rPr>
          <w:lang w:val="en-GB"/>
        </w:rPr>
        <w:t>%, ABS 200</w:t>
      </w:r>
      <w:r w:rsidR="00F23AB8">
        <w:rPr>
          <w:lang w:val="en-GB"/>
        </w:rPr>
        <w:t>8</w:t>
      </w:r>
      <w:r w:rsidR="004B2147">
        <w:rPr>
          <w:lang w:val="en-GB"/>
        </w:rPr>
        <w:t xml:space="preserve">; Australian Institute of Health and Welfare </w:t>
      </w:r>
      <w:r>
        <w:rPr>
          <w:lang w:val="en-GB"/>
        </w:rPr>
        <w:t>2011). Conversely, the main reason for leaving home was independence and study</w:t>
      </w:r>
      <w:r w:rsidR="004B2147">
        <w:rPr>
          <w:lang w:val="en-GB"/>
        </w:rPr>
        <w:t xml:space="preserve"> (28% and 23% respectively; ABS </w:t>
      </w:r>
      <w:r w:rsidR="00764BB8">
        <w:rPr>
          <w:lang w:val="en-GB"/>
        </w:rPr>
        <w:t>2008</w:t>
      </w:r>
      <w:r w:rsidR="004B2147">
        <w:rPr>
          <w:lang w:val="en-GB"/>
        </w:rPr>
        <w:t xml:space="preserve">; </w:t>
      </w:r>
      <w:r w:rsidR="001D367D">
        <w:rPr>
          <w:lang w:val="en-GB"/>
        </w:rPr>
        <w:t>Australian Institute of Health and Welfare</w:t>
      </w:r>
      <w:r>
        <w:rPr>
          <w:lang w:val="en-GB"/>
        </w:rPr>
        <w:t xml:space="preserve"> 2011). </w:t>
      </w:r>
    </w:p>
    <w:p w:rsidR="003A4552" w:rsidRDefault="003A4552" w:rsidP="003A4552">
      <w:pPr>
        <w:pStyle w:val="Text"/>
        <w:rPr>
          <w:lang w:val="en-GB"/>
        </w:rPr>
      </w:pPr>
      <w:r>
        <w:rPr>
          <w:lang w:val="en-GB"/>
        </w:rPr>
        <w:t xml:space="preserve">These findings are </w:t>
      </w:r>
      <w:r w:rsidR="004B2147">
        <w:rPr>
          <w:lang w:val="en-GB"/>
        </w:rPr>
        <w:t>consistent with the views of 21-year-</w:t>
      </w:r>
      <w:r>
        <w:rPr>
          <w:lang w:val="en-GB"/>
        </w:rPr>
        <w:t>old participants in the Life Chances Study initiated by the Brotherhood of St Lau</w:t>
      </w:r>
      <w:r w:rsidR="004B2147">
        <w:rPr>
          <w:lang w:val="en-GB"/>
        </w:rPr>
        <w:t xml:space="preserve">rence in Victoria (Taylor, </w:t>
      </w:r>
      <w:proofErr w:type="spellStart"/>
      <w:r w:rsidR="004B2147">
        <w:rPr>
          <w:lang w:val="en-GB"/>
        </w:rPr>
        <w:t>Borlagden</w:t>
      </w:r>
      <w:proofErr w:type="spellEnd"/>
      <w:r w:rsidR="004B2147">
        <w:rPr>
          <w:lang w:val="en-GB"/>
        </w:rPr>
        <w:t xml:space="preserve"> &amp; Allan </w:t>
      </w:r>
      <w:r>
        <w:rPr>
          <w:lang w:val="en-GB"/>
        </w:rPr>
        <w:t>2012).</w:t>
      </w:r>
      <w:r>
        <w:rPr>
          <w:rStyle w:val="FootnoteReference"/>
          <w:lang w:val="en-GB"/>
        </w:rPr>
        <w:footnoteReference w:id="5"/>
      </w:r>
      <w:r w:rsidR="001D367D">
        <w:rPr>
          <w:lang w:val="en-GB"/>
        </w:rPr>
        <w:t xml:space="preserve"> T</w:t>
      </w:r>
      <w:r>
        <w:rPr>
          <w:lang w:val="en-GB"/>
        </w:rPr>
        <w:t>he majority</w:t>
      </w:r>
      <w:r w:rsidR="00191417">
        <w:rPr>
          <w:lang w:val="en-GB"/>
        </w:rPr>
        <w:t xml:space="preserve"> of </w:t>
      </w:r>
      <w:r w:rsidR="001D367D">
        <w:rPr>
          <w:lang w:val="en-GB"/>
        </w:rPr>
        <w:t>these young people we</w:t>
      </w:r>
      <w:r>
        <w:rPr>
          <w:lang w:val="en-GB"/>
        </w:rPr>
        <w:t xml:space="preserve">re university or TAFE </w:t>
      </w:r>
      <w:r w:rsidR="001D367D">
        <w:rPr>
          <w:lang w:val="en-GB"/>
        </w:rPr>
        <w:t>(technical and further education) students</w:t>
      </w:r>
      <w:r w:rsidR="00191417">
        <w:rPr>
          <w:lang w:val="en-GB"/>
        </w:rPr>
        <w:t>.</w:t>
      </w:r>
      <w:r w:rsidR="001D367D">
        <w:rPr>
          <w:lang w:val="en-GB"/>
        </w:rPr>
        <w:t xml:space="preserve"> </w:t>
      </w:r>
      <w:r w:rsidR="00191417">
        <w:rPr>
          <w:lang w:val="en-GB"/>
        </w:rPr>
        <w:t>Seventy-two per cent</w:t>
      </w:r>
      <w:r>
        <w:rPr>
          <w:lang w:val="en-GB"/>
        </w:rPr>
        <w:t xml:space="preserve"> were living with their parents and did so mainly because of </w:t>
      </w:r>
      <w:r w:rsidR="00191417">
        <w:rPr>
          <w:lang w:val="en-GB"/>
        </w:rPr>
        <w:t xml:space="preserve">the </w:t>
      </w:r>
      <w:r>
        <w:rPr>
          <w:lang w:val="en-GB"/>
        </w:rPr>
        <w:t>convenience, comfort and security, and for financi</w:t>
      </w:r>
      <w:r w:rsidR="001D367D">
        <w:rPr>
          <w:lang w:val="en-GB"/>
        </w:rPr>
        <w:t>al reasons. Although two-</w:t>
      </w:r>
      <w:r>
        <w:rPr>
          <w:lang w:val="en-GB"/>
        </w:rPr>
        <w:t xml:space="preserve">thirds of </w:t>
      </w:r>
      <w:r w:rsidR="001D367D">
        <w:rPr>
          <w:lang w:val="en-GB"/>
        </w:rPr>
        <w:t xml:space="preserve">the </w:t>
      </w:r>
      <w:r>
        <w:rPr>
          <w:lang w:val="en-GB"/>
        </w:rPr>
        <w:t>respondents indicated having enough money for their needs, close to 60% reported receiving financial help from their parents. These students were more lik</w:t>
      </w:r>
      <w:r w:rsidR="001D367D">
        <w:rPr>
          <w:lang w:val="en-GB"/>
        </w:rPr>
        <w:t>ely to come from medium- to high-</w:t>
      </w:r>
      <w:r>
        <w:rPr>
          <w:lang w:val="en-GB"/>
        </w:rPr>
        <w:t xml:space="preserve">income households. </w:t>
      </w:r>
    </w:p>
    <w:p w:rsidR="003A4552" w:rsidRPr="00EA7E08" w:rsidRDefault="00191417" w:rsidP="003A4552">
      <w:pPr>
        <w:pStyle w:val="Text"/>
      </w:pPr>
      <w:r>
        <w:t>T</w:t>
      </w:r>
      <w:r w:rsidR="003A4552" w:rsidRPr="00EA7E08">
        <w:t>hose students wh</w:t>
      </w:r>
      <w:r>
        <w:t>o need to meet their living and/</w:t>
      </w:r>
      <w:r w:rsidR="003A4552" w:rsidRPr="00EA7E08">
        <w:t>or study expenses by working may have a decreased capacity to study</w:t>
      </w:r>
      <w:r w:rsidR="001D367D">
        <w:t>, with</w:t>
      </w:r>
      <w:r w:rsidR="003A4552" w:rsidRPr="00EA7E08">
        <w:t xml:space="preserve"> </w:t>
      </w:r>
      <w:r w:rsidR="001D367D">
        <w:t>insufficient time for assignments and</w:t>
      </w:r>
      <w:r w:rsidR="003A4552" w:rsidRPr="00EA7E08">
        <w:t xml:space="preserve"> </w:t>
      </w:r>
      <w:r w:rsidR="00B865AC">
        <w:t xml:space="preserve">having to </w:t>
      </w:r>
      <w:r w:rsidR="003A4552" w:rsidRPr="00EA7E08">
        <w:t>miss lectures/classes, which may in turn affect thei</w:t>
      </w:r>
      <w:r w:rsidR="001D367D">
        <w:t xml:space="preserve">r academic results (Devlin, James &amp; </w:t>
      </w:r>
      <w:proofErr w:type="spellStart"/>
      <w:r w:rsidR="001D367D">
        <w:t>Grigg</w:t>
      </w:r>
      <w:proofErr w:type="spellEnd"/>
      <w:r w:rsidR="003A4552" w:rsidRPr="00EA7E08">
        <w:t xml:space="preserve"> 2008). A student’s experience with study may also be diminished because of their inability to engage </w:t>
      </w:r>
      <w:r w:rsidR="00210CCE">
        <w:t xml:space="preserve">with their course </w:t>
      </w:r>
      <w:r w:rsidR="00B865AC">
        <w:t>due to</w:t>
      </w:r>
      <w:r w:rsidR="003A4552" w:rsidRPr="00EA7E08">
        <w:t xml:space="preserve"> personal circumsta</w:t>
      </w:r>
      <w:r w:rsidR="003A4552">
        <w:t>nce</w:t>
      </w:r>
      <w:r w:rsidR="001D367D">
        <w:t>s,</w:t>
      </w:r>
      <w:r w:rsidR="003A4552">
        <w:t xml:space="preserve"> including financial stress.</w:t>
      </w:r>
    </w:p>
    <w:p w:rsidR="003A4552" w:rsidRDefault="003A4552" w:rsidP="003A4552">
      <w:pPr>
        <w:pStyle w:val="Text"/>
        <w:rPr>
          <w:lang w:val="en-GB"/>
        </w:rPr>
      </w:pPr>
      <w:r>
        <w:rPr>
          <w:lang w:val="en-GB"/>
        </w:rPr>
        <w:t xml:space="preserve">Similar to the ABS Family Characteristics and Transitions Survey, independence was cited by Life Chances Study </w:t>
      </w:r>
      <w:r w:rsidR="008E02C7">
        <w:rPr>
          <w:lang w:val="en-GB"/>
        </w:rPr>
        <w:t xml:space="preserve">(Taylor, </w:t>
      </w:r>
      <w:proofErr w:type="spellStart"/>
      <w:r w:rsidR="008E02C7">
        <w:rPr>
          <w:lang w:val="en-GB"/>
        </w:rPr>
        <w:t>Borlagden</w:t>
      </w:r>
      <w:proofErr w:type="spellEnd"/>
      <w:r w:rsidR="008E02C7">
        <w:rPr>
          <w:lang w:val="en-GB"/>
        </w:rPr>
        <w:t xml:space="preserve"> &amp; Allan 2012) </w:t>
      </w:r>
      <w:r>
        <w:rPr>
          <w:lang w:val="en-GB"/>
        </w:rPr>
        <w:t>respondents as the main reason for living away from pa</w:t>
      </w:r>
      <w:r w:rsidR="001D367D">
        <w:rPr>
          <w:lang w:val="en-GB"/>
        </w:rPr>
        <w:t>rents. The main expenses for 21-year-olds in this study were</w:t>
      </w:r>
      <w:r>
        <w:rPr>
          <w:lang w:val="en-GB"/>
        </w:rPr>
        <w:t xml:space="preserve"> food, transport and rental costs. M</w:t>
      </w:r>
      <w:r w:rsidRPr="0009171F">
        <w:rPr>
          <w:lang w:val="en-GB"/>
        </w:rPr>
        <w:t xml:space="preserve">any students </w:t>
      </w:r>
      <w:r>
        <w:rPr>
          <w:lang w:val="en-GB"/>
        </w:rPr>
        <w:t>in the Student Finance Survey (</w:t>
      </w:r>
      <w:r w:rsidR="00E84621">
        <w:t xml:space="preserve">Devlin, James &amp; </w:t>
      </w:r>
      <w:proofErr w:type="spellStart"/>
      <w:r w:rsidR="00E84621">
        <w:t>Grigg</w:t>
      </w:r>
      <w:proofErr w:type="spellEnd"/>
      <w:r w:rsidR="00E84621" w:rsidRPr="00EA7E08">
        <w:t xml:space="preserve"> 2008</w:t>
      </w:r>
      <w:r>
        <w:rPr>
          <w:lang w:val="en-GB"/>
        </w:rPr>
        <w:t xml:space="preserve">) </w:t>
      </w:r>
      <w:r w:rsidRPr="0009171F">
        <w:rPr>
          <w:lang w:val="en-GB"/>
        </w:rPr>
        <w:t xml:space="preserve">reported working while studying just to afford basic necessities, </w:t>
      </w:r>
      <w:r w:rsidR="008E02C7">
        <w:rPr>
          <w:lang w:val="en-GB"/>
        </w:rPr>
        <w:t>claiming</w:t>
      </w:r>
      <w:r w:rsidRPr="0009171F">
        <w:rPr>
          <w:lang w:val="en-GB"/>
        </w:rPr>
        <w:t xml:space="preserve"> that this had a detri</w:t>
      </w:r>
      <w:r w:rsidR="008E02C7">
        <w:rPr>
          <w:lang w:val="en-GB"/>
        </w:rPr>
        <w:t xml:space="preserve">mental effect on their studies. </w:t>
      </w:r>
      <w:r w:rsidRPr="008F47C0">
        <w:rPr>
          <w:lang w:val="en-GB"/>
        </w:rPr>
        <w:t>Hence employment, because of its necessity to finance a student</w:t>
      </w:r>
      <w:r w:rsidR="00B224E0">
        <w:rPr>
          <w:lang w:val="en-GB"/>
        </w:rPr>
        <w:t>’s</w:t>
      </w:r>
      <w:r w:rsidRPr="008F47C0">
        <w:rPr>
          <w:lang w:val="en-GB"/>
        </w:rPr>
        <w:t xml:space="preserve"> learning, can displace time spent on learning and may lead to poorer learning outcomes.</w:t>
      </w:r>
    </w:p>
    <w:p w:rsidR="003A4552" w:rsidRDefault="008E02C7" w:rsidP="003A4552">
      <w:pPr>
        <w:pStyle w:val="Text"/>
      </w:pPr>
      <w:r>
        <w:rPr>
          <w:lang w:val="en-GB"/>
        </w:rPr>
        <w:t>Generally, combining study</w:t>
      </w:r>
      <w:r w:rsidR="003A4552" w:rsidRPr="004434EA">
        <w:rPr>
          <w:lang w:val="en-GB"/>
        </w:rPr>
        <w:t xml:space="preserve"> and work has been found to have a negative impact on school and post-school outcomes if the average working</w:t>
      </w:r>
      <w:r w:rsidR="00B224E0">
        <w:rPr>
          <w:lang w:val="en-GB"/>
        </w:rPr>
        <w:t xml:space="preserve"> hours are long (Anlezark &amp; Lim</w:t>
      </w:r>
      <w:r w:rsidR="003A4552" w:rsidRPr="004434EA">
        <w:rPr>
          <w:lang w:val="en-GB"/>
        </w:rPr>
        <w:t xml:space="preserve"> 2011</w:t>
      </w:r>
      <w:r w:rsidR="00B224E0">
        <w:rPr>
          <w:lang w:val="en-GB"/>
        </w:rPr>
        <w:t xml:space="preserve">; Vickers, Lamb &amp; </w:t>
      </w:r>
      <w:proofErr w:type="spellStart"/>
      <w:r w:rsidR="00B224E0">
        <w:rPr>
          <w:lang w:val="en-GB"/>
        </w:rPr>
        <w:t>Hinkley</w:t>
      </w:r>
      <w:proofErr w:type="spellEnd"/>
      <w:r w:rsidR="00B224E0">
        <w:rPr>
          <w:lang w:val="en-GB"/>
        </w:rPr>
        <w:t xml:space="preserve"> 2003; </w:t>
      </w:r>
      <w:proofErr w:type="spellStart"/>
      <w:r w:rsidR="00B224E0">
        <w:rPr>
          <w:lang w:val="en-GB"/>
        </w:rPr>
        <w:t>Polidano</w:t>
      </w:r>
      <w:proofErr w:type="spellEnd"/>
      <w:r w:rsidR="00B224E0">
        <w:rPr>
          <w:lang w:val="en-GB"/>
        </w:rPr>
        <w:t xml:space="preserve"> &amp; </w:t>
      </w:r>
      <w:proofErr w:type="spellStart"/>
      <w:r w:rsidR="00B224E0">
        <w:rPr>
          <w:lang w:val="en-GB"/>
        </w:rPr>
        <w:t>Zakirova</w:t>
      </w:r>
      <w:proofErr w:type="spellEnd"/>
      <w:r w:rsidR="003A4552" w:rsidRPr="004434EA">
        <w:rPr>
          <w:lang w:val="en-GB"/>
        </w:rPr>
        <w:t xml:space="preserve"> 2011). For school st</w:t>
      </w:r>
      <w:r w:rsidR="00B224E0">
        <w:rPr>
          <w:lang w:val="en-GB"/>
        </w:rPr>
        <w:t>udents, working in excess of 15—</w:t>
      </w:r>
      <w:r w:rsidR="003A4552" w:rsidRPr="004434EA">
        <w:rPr>
          <w:lang w:val="en-GB"/>
        </w:rPr>
        <w:t xml:space="preserve">20 hours </w:t>
      </w:r>
      <w:r w:rsidR="00D46C1E">
        <w:rPr>
          <w:lang w:val="en-GB"/>
        </w:rPr>
        <w:t xml:space="preserve">per week </w:t>
      </w:r>
      <w:r w:rsidR="003A4552" w:rsidRPr="004434EA">
        <w:rPr>
          <w:lang w:val="en-GB"/>
        </w:rPr>
        <w:t xml:space="preserve">has a modest negative impact on </w:t>
      </w:r>
      <w:r w:rsidR="00B224E0">
        <w:rPr>
          <w:lang w:val="en-GB"/>
        </w:rPr>
        <w:t>tertiary entrance rank</w:t>
      </w:r>
      <w:r w:rsidR="003A4552" w:rsidRPr="004434EA">
        <w:rPr>
          <w:lang w:val="en-GB"/>
        </w:rPr>
        <w:t xml:space="preserve"> scores (now known as ATAR </w:t>
      </w:r>
      <w:r w:rsidR="00B224E0">
        <w:rPr>
          <w:lang w:val="en-GB"/>
        </w:rPr>
        <w:t xml:space="preserve">[Australian </w:t>
      </w:r>
      <w:r w:rsidR="00D46C1E">
        <w:rPr>
          <w:lang w:val="en-GB"/>
        </w:rPr>
        <w:t>tertiary admission ran</w:t>
      </w:r>
      <w:r w:rsidR="00B224E0">
        <w:rPr>
          <w:lang w:val="en-GB"/>
        </w:rPr>
        <w:t xml:space="preserve">k] </w:t>
      </w:r>
      <w:r w:rsidR="003A4552" w:rsidRPr="004434EA">
        <w:rPr>
          <w:lang w:val="en-GB"/>
        </w:rPr>
        <w:t xml:space="preserve">scores) and completion of Year 12 (Anlezark </w:t>
      </w:r>
      <w:r w:rsidR="00B224E0">
        <w:rPr>
          <w:lang w:val="en-GB"/>
        </w:rPr>
        <w:t>&amp; Lim</w:t>
      </w:r>
      <w:r w:rsidR="003A4552" w:rsidRPr="004434EA">
        <w:rPr>
          <w:lang w:val="en-GB"/>
        </w:rPr>
        <w:t xml:space="preserve"> 2011). For tertiary students, working more than </w:t>
      </w:r>
      <w:r w:rsidR="00B224E0">
        <w:rPr>
          <w:lang w:val="en-GB"/>
        </w:rPr>
        <w:t>eight</w:t>
      </w:r>
      <w:r w:rsidR="003A4552" w:rsidRPr="004434EA">
        <w:rPr>
          <w:lang w:val="en-GB"/>
        </w:rPr>
        <w:t xml:space="preserve"> hours per week adversely affects study </w:t>
      </w:r>
      <w:r w:rsidR="00B224E0">
        <w:rPr>
          <w:lang w:val="en-GB"/>
        </w:rPr>
        <w:t>completion (</w:t>
      </w:r>
      <w:proofErr w:type="spellStart"/>
      <w:r w:rsidR="00B224E0">
        <w:rPr>
          <w:lang w:val="en-GB"/>
        </w:rPr>
        <w:t>Polidano</w:t>
      </w:r>
      <w:proofErr w:type="spellEnd"/>
      <w:r w:rsidR="00B224E0">
        <w:rPr>
          <w:lang w:val="en-GB"/>
        </w:rPr>
        <w:t xml:space="preserve"> &amp; </w:t>
      </w:r>
      <w:proofErr w:type="spellStart"/>
      <w:r w:rsidR="00B224E0">
        <w:rPr>
          <w:lang w:val="en-GB"/>
        </w:rPr>
        <w:t>Zakirova</w:t>
      </w:r>
      <w:proofErr w:type="spellEnd"/>
      <w:r w:rsidR="003A4552" w:rsidRPr="004434EA">
        <w:rPr>
          <w:lang w:val="en-GB"/>
        </w:rPr>
        <w:t xml:space="preserve"> 2011). However, </w:t>
      </w:r>
      <w:proofErr w:type="spellStart"/>
      <w:r w:rsidR="003A4552" w:rsidRPr="004434EA">
        <w:rPr>
          <w:lang w:val="en-GB"/>
        </w:rPr>
        <w:t>Polidano</w:t>
      </w:r>
      <w:proofErr w:type="spellEnd"/>
      <w:r w:rsidR="003A4552" w:rsidRPr="004434EA">
        <w:rPr>
          <w:lang w:val="en-GB"/>
        </w:rPr>
        <w:t xml:space="preserve"> and </w:t>
      </w:r>
      <w:proofErr w:type="spellStart"/>
      <w:r w:rsidR="003A4552" w:rsidRPr="004434EA">
        <w:rPr>
          <w:lang w:val="en-GB"/>
        </w:rPr>
        <w:t>Zakirova</w:t>
      </w:r>
      <w:proofErr w:type="spellEnd"/>
      <w:r w:rsidR="003A4552" w:rsidRPr="004434EA">
        <w:rPr>
          <w:lang w:val="en-GB"/>
        </w:rPr>
        <w:t xml:space="preserve"> (2011) </w:t>
      </w:r>
      <w:r w:rsidR="00D46C1E">
        <w:rPr>
          <w:lang w:val="en-GB"/>
        </w:rPr>
        <w:t xml:space="preserve">also </w:t>
      </w:r>
      <w:r w:rsidR="003A4552" w:rsidRPr="004434EA">
        <w:rPr>
          <w:lang w:val="en-GB"/>
        </w:rPr>
        <w:t>concluded that tertiary stu</w:t>
      </w:r>
      <w:r w:rsidR="00B224E0">
        <w:rPr>
          <w:lang w:val="en-GB"/>
        </w:rPr>
        <w:t>dents are not for the most part</w:t>
      </w:r>
      <w:r w:rsidR="003A4552" w:rsidRPr="004434EA">
        <w:rPr>
          <w:lang w:val="en-GB"/>
        </w:rPr>
        <w:t xml:space="preserve"> motivated by financial needs to combine work and study. In their analysis of LSAY respondents first interviewed in 1995 and 1998, the</w:t>
      </w:r>
      <w:r w:rsidR="00B865AC">
        <w:rPr>
          <w:lang w:val="en-GB"/>
        </w:rPr>
        <w:t>se</w:t>
      </w:r>
      <w:r w:rsidR="003A4552" w:rsidRPr="004434EA">
        <w:rPr>
          <w:lang w:val="en-GB"/>
        </w:rPr>
        <w:t xml:space="preserve"> researchers found</w:t>
      </w:r>
      <w:r w:rsidR="00B224E0">
        <w:rPr>
          <w:lang w:val="en-GB"/>
        </w:rPr>
        <w:t xml:space="preserve"> that receipt of Youth Allowance</w:t>
      </w:r>
      <w:r w:rsidR="003A4552" w:rsidRPr="004434EA">
        <w:rPr>
          <w:lang w:val="en-GB"/>
        </w:rPr>
        <w:t xml:space="preserve"> and </w:t>
      </w:r>
      <w:r w:rsidR="00D46C1E">
        <w:rPr>
          <w:lang w:val="en-GB"/>
        </w:rPr>
        <w:t xml:space="preserve">the young person’s </w:t>
      </w:r>
      <w:r w:rsidR="003A4552" w:rsidRPr="004434EA">
        <w:rPr>
          <w:lang w:val="en-GB"/>
        </w:rPr>
        <w:t xml:space="preserve">culture </w:t>
      </w:r>
      <w:r w:rsidR="00D46C1E">
        <w:rPr>
          <w:lang w:val="en-GB"/>
        </w:rPr>
        <w:t>were</w:t>
      </w:r>
      <w:r w:rsidR="00F90C19">
        <w:rPr>
          <w:lang w:val="en-GB"/>
        </w:rPr>
        <w:t xml:space="preserve"> important factors i</w:t>
      </w:r>
      <w:r w:rsidR="003A4552" w:rsidRPr="004434EA">
        <w:rPr>
          <w:lang w:val="en-GB"/>
        </w:rPr>
        <w:t xml:space="preserve">n </w:t>
      </w:r>
      <w:r w:rsidR="00D46C1E">
        <w:rPr>
          <w:lang w:val="en-GB"/>
        </w:rPr>
        <w:t>their</w:t>
      </w:r>
      <w:r w:rsidR="003A4552" w:rsidRPr="004434EA">
        <w:rPr>
          <w:lang w:val="en-GB"/>
        </w:rPr>
        <w:t xml:space="preserve"> decision to combine work and study. Young people born overseas were less likely to combine work and study than Australian-born youths, as were those receiving Youth Allowance, particularly if they live with their parents. </w:t>
      </w:r>
      <w:r w:rsidR="003A4552" w:rsidRPr="004434EA">
        <w:t xml:space="preserve">Other students admitted to </w:t>
      </w:r>
      <w:r w:rsidR="00B224E0">
        <w:t>skipping tutorials or lectures —</w:t>
      </w:r>
      <w:r w:rsidR="003A4552" w:rsidRPr="004434EA">
        <w:t xml:space="preserve"> usually at the beginning of each semester when the study load is lighter</w:t>
      </w:r>
      <w:r w:rsidR="00B224E0">
        <w:t>,</w:t>
      </w:r>
      <w:r w:rsidR="003A4552" w:rsidRPr="004434EA">
        <w:t xml:space="preserve"> which meant that respondents could take up additional shifts at work.</w:t>
      </w:r>
    </w:p>
    <w:p w:rsidR="00D814A1" w:rsidRPr="00857511" w:rsidRDefault="003A4552" w:rsidP="003A4552">
      <w:pPr>
        <w:pStyle w:val="Heading2"/>
        <w:rPr>
          <w:lang w:val="en-GB"/>
        </w:rPr>
      </w:pPr>
      <w:bookmarkStart w:id="35" w:name="_Toc388884886"/>
      <w:r>
        <w:rPr>
          <w:lang w:val="en-GB"/>
        </w:rPr>
        <w:t>Our approach</w:t>
      </w:r>
      <w:bookmarkEnd w:id="35"/>
    </w:p>
    <w:p w:rsidR="003A4552" w:rsidRDefault="00F86CDF" w:rsidP="003A4552">
      <w:pPr>
        <w:pStyle w:val="Text"/>
        <w:rPr>
          <w:lang w:val="en-GB"/>
        </w:rPr>
      </w:pPr>
      <w:r w:rsidRPr="00E2011C">
        <w:rPr>
          <w:lang w:val="en-GB"/>
        </w:rPr>
        <w:t xml:space="preserve">The remainder of this paper consists of two major </w:t>
      </w:r>
      <w:r>
        <w:rPr>
          <w:lang w:val="en-GB"/>
        </w:rPr>
        <w:t xml:space="preserve">components. </w:t>
      </w:r>
      <w:r w:rsidR="003A4552" w:rsidRPr="00E2011C">
        <w:rPr>
          <w:lang w:val="en-GB"/>
        </w:rPr>
        <w:t>The first part is quantitative in nature and</w:t>
      </w:r>
      <w:r w:rsidR="00B865AC">
        <w:rPr>
          <w:lang w:val="en-GB"/>
        </w:rPr>
        <w:t xml:space="preserve">, </w:t>
      </w:r>
      <w:r w:rsidR="00B865AC" w:rsidRPr="00E2011C">
        <w:rPr>
          <w:lang w:val="en-GB"/>
        </w:rPr>
        <w:t xml:space="preserve">using data on student finances from </w:t>
      </w:r>
      <w:r w:rsidR="00B865AC">
        <w:rPr>
          <w:lang w:val="en-GB"/>
        </w:rPr>
        <w:t>LSAY,</w:t>
      </w:r>
      <w:r w:rsidR="003A4552" w:rsidRPr="00E2011C">
        <w:rPr>
          <w:lang w:val="en-GB"/>
        </w:rPr>
        <w:t xml:space="preserve"> examines the financial position of young people. </w:t>
      </w:r>
      <w:r w:rsidR="00145B56" w:rsidRPr="00857511">
        <w:rPr>
          <w:lang w:val="en-GB"/>
        </w:rPr>
        <w:t xml:space="preserve">The second part of the analysis is based on qualitative </w:t>
      </w:r>
      <w:r w:rsidR="00145B56">
        <w:rPr>
          <w:lang w:val="en-GB"/>
        </w:rPr>
        <w:t>data from a separate study.</w:t>
      </w:r>
      <w:r>
        <w:rPr>
          <w:lang w:val="en-GB"/>
        </w:rPr>
        <w:t xml:space="preserve"> </w:t>
      </w:r>
    </w:p>
    <w:p w:rsidR="00D814A1" w:rsidRPr="00857511" w:rsidRDefault="00D814A1" w:rsidP="003A4552">
      <w:pPr>
        <w:pStyle w:val="Heading3"/>
        <w:rPr>
          <w:lang w:val="en-GB"/>
        </w:rPr>
      </w:pPr>
      <w:r w:rsidRPr="00857511">
        <w:rPr>
          <w:lang w:val="en-GB"/>
        </w:rPr>
        <w:t>LSAY data</w:t>
      </w:r>
    </w:p>
    <w:p w:rsidR="00D814A1" w:rsidRPr="00857511" w:rsidRDefault="002E3DBC" w:rsidP="00DE3303">
      <w:pPr>
        <w:pStyle w:val="Textlessbefore"/>
      </w:pPr>
      <w:r>
        <w:t>D</w:t>
      </w:r>
      <w:r w:rsidR="00D814A1" w:rsidRPr="00857511">
        <w:t xml:space="preserve">ata from the 1998, 2003 and 2006 cohorts of </w:t>
      </w:r>
      <w:r w:rsidR="00F86CDF">
        <w:t>LSAY</w:t>
      </w:r>
      <w:r w:rsidR="00D814A1" w:rsidRPr="00857511">
        <w:t xml:space="preserve"> </w:t>
      </w:r>
      <w:r>
        <w:t xml:space="preserve">were used </w:t>
      </w:r>
      <w:r w:rsidR="00D814A1" w:rsidRPr="00857511">
        <w:t xml:space="preserve">for the first part of the analysis. LSAY tracks a nationally representative sample of 15-year-olds over a period of ten years to capture young people’s transition from school to tertiary education and work. </w:t>
      </w:r>
      <w:r w:rsidR="00D814A1" w:rsidRPr="00857511">
        <w:rPr>
          <w:lang w:val="en-GB"/>
        </w:rPr>
        <w:t xml:space="preserve">The finance topic in LSAY includes questions on government payments, income, credit card activity, shortage of money, saving, and how respondents are generally managing financially. </w:t>
      </w:r>
      <w:r w:rsidR="00B224E0">
        <w:t>The i</w:t>
      </w:r>
      <w:r w:rsidR="00D814A1" w:rsidRPr="00857511">
        <w:t>nitial sample sizes for each LSAY cohort range between about 10 000 and 14 000 respondents</w:t>
      </w:r>
      <w:r w:rsidR="00B224E0">
        <w:t>.</w:t>
      </w:r>
      <w:r w:rsidR="009B03C4" w:rsidRPr="00857511">
        <w:rPr>
          <w:rStyle w:val="FootnoteReference"/>
        </w:rPr>
        <w:footnoteReference w:id="6"/>
      </w:r>
    </w:p>
    <w:p w:rsidR="00D814A1" w:rsidRPr="00B224E0" w:rsidRDefault="00D814A1" w:rsidP="00B224E0">
      <w:pPr>
        <w:pStyle w:val="Heading3"/>
      </w:pPr>
      <w:r w:rsidRPr="00857511">
        <w:t>Interview data</w:t>
      </w:r>
    </w:p>
    <w:p w:rsidR="00D814A1" w:rsidRDefault="00D814A1" w:rsidP="00B865AC">
      <w:pPr>
        <w:pStyle w:val="Textlessbefore"/>
        <w:ind w:right="141"/>
        <w:rPr>
          <w:lang w:val="en-GB"/>
        </w:rPr>
      </w:pPr>
      <w:r w:rsidRPr="00857511">
        <w:rPr>
          <w:lang w:val="en-GB"/>
        </w:rPr>
        <w:t>The second part of the analysis is based on qualitative responses from a small-scale survey of 51 LSAY respondents who were first interviewed in 2006 at age 15</w:t>
      </w:r>
      <w:r w:rsidR="00F90C19">
        <w:rPr>
          <w:lang w:val="en-GB"/>
        </w:rPr>
        <w:t xml:space="preserve"> years</w:t>
      </w:r>
      <w:r w:rsidRPr="00857511">
        <w:rPr>
          <w:lang w:val="en-GB"/>
        </w:rPr>
        <w:t xml:space="preserve">. </w:t>
      </w:r>
      <w:r w:rsidR="00FF5B26">
        <w:rPr>
          <w:lang w:val="en-GB"/>
        </w:rPr>
        <w:t xml:space="preserve">In order to recruit </w:t>
      </w:r>
      <w:r w:rsidRPr="00857511">
        <w:rPr>
          <w:lang w:val="en-GB"/>
        </w:rPr>
        <w:t>respondents</w:t>
      </w:r>
      <w:r w:rsidR="00FF5B26">
        <w:rPr>
          <w:lang w:val="en-GB"/>
        </w:rPr>
        <w:t xml:space="preserve"> who</w:t>
      </w:r>
      <w:r w:rsidRPr="00857511">
        <w:rPr>
          <w:lang w:val="en-GB"/>
        </w:rPr>
        <w:t xml:space="preserve"> </w:t>
      </w:r>
      <w:r w:rsidR="00FF5B26">
        <w:rPr>
          <w:lang w:val="en-GB"/>
        </w:rPr>
        <w:t xml:space="preserve">would be eligible for the supplementary study, </w:t>
      </w:r>
      <w:r w:rsidR="00B224E0">
        <w:rPr>
          <w:lang w:val="en-GB"/>
        </w:rPr>
        <w:t xml:space="preserve">the </w:t>
      </w:r>
      <w:r w:rsidR="00FF5B26">
        <w:rPr>
          <w:lang w:val="en-GB"/>
        </w:rPr>
        <w:t>responses to a few key questions were exami</w:t>
      </w:r>
      <w:r w:rsidR="00145B56">
        <w:rPr>
          <w:lang w:val="en-GB"/>
        </w:rPr>
        <w:t xml:space="preserve">ned from the 2012 LSAY survey. </w:t>
      </w:r>
      <w:r w:rsidRPr="00857511">
        <w:t>If a respondent reported that they were</w:t>
      </w:r>
      <w:r w:rsidR="00FF5B26">
        <w:t xml:space="preserve"> a current student and</w:t>
      </w:r>
      <w:r w:rsidR="00B865AC">
        <w:t xml:space="preserve"> were</w:t>
      </w:r>
      <w:r w:rsidR="00FF5B26">
        <w:t xml:space="preserve"> </w:t>
      </w:r>
      <w:r w:rsidRPr="00857511">
        <w:t xml:space="preserve">finding it ‘fairly difficult’ or ‘very difficult’ to manage financially, they were asked if they would be willing to participate in a further in-depth interview. </w:t>
      </w:r>
      <w:r w:rsidRPr="00857511">
        <w:rPr>
          <w:lang w:val="en-GB"/>
        </w:rPr>
        <w:t>The respondents were then interviewed either by telephone o</w:t>
      </w:r>
      <w:r w:rsidR="00B94882">
        <w:rPr>
          <w:lang w:val="en-GB"/>
        </w:rPr>
        <w:t>r responded to an online survey</w:t>
      </w:r>
      <w:r w:rsidRPr="00857511">
        <w:rPr>
          <w:lang w:val="en-GB"/>
        </w:rPr>
        <w:t xml:space="preserve"> about how the</w:t>
      </w:r>
      <w:r w:rsidR="00B94882">
        <w:rPr>
          <w:lang w:val="en-GB"/>
        </w:rPr>
        <w:t>y manage their financial stress</w:t>
      </w:r>
      <w:r w:rsidRPr="00857511">
        <w:rPr>
          <w:lang w:val="en-GB"/>
        </w:rPr>
        <w:t xml:space="preserve"> and whether this affects the quality of their tertiary studies. </w:t>
      </w:r>
      <w:r w:rsidR="00620C4E">
        <w:rPr>
          <w:lang w:val="en-GB"/>
        </w:rPr>
        <w:t xml:space="preserve">This </w:t>
      </w:r>
      <w:r w:rsidR="00B865AC">
        <w:rPr>
          <w:lang w:val="en-GB"/>
        </w:rPr>
        <w:t xml:space="preserve">component of the </w:t>
      </w:r>
      <w:r w:rsidR="00620C4E">
        <w:rPr>
          <w:lang w:val="en-GB"/>
        </w:rPr>
        <w:t xml:space="preserve">study </w:t>
      </w:r>
      <w:r w:rsidR="00FF5B26">
        <w:rPr>
          <w:lang w:val="en-GB"/>
        </w:rPr>
        <w:t>investigates</w:t>
      </w:r>
      <w:r w:rsidRPr="00857511">
        <w:rPr>
          <w:lang w:val="en-GB"/>
        </w:rPr>
        <w:t xml:space="preserve"> the effect that financial stres</w:t>
      </w:r>
      <w:r w:rsidR="00B94882">
        <w:rPr>
          <w:lang w:val="en-GB"/>
        </w:rPr>
        <w:t>s has had on student’s learning, an area</w:t>
      </w:r>
      <w:r w:rsidRPr="00857511">
        <w:rPr>
          <w:lang w:val="en-GB"/>
        </w:rPr>
        <w:t xml:space="preserve"> which is not specifically explored in LSAY</w:t>
      </w:r>
      <w:r w:rsidR="00FF5B26">
        <w:rPr>
          <w:lang w:val="en-GB"/>
        </w:rPr>
        <w:t xml:space="preserve">. </w:t>
      </w:r>
    </w:p>
    <w:p w:rsidR="008332D5" w:rsidRDefault="008332D5" w:rsidP="008332D5">
      <w:pPr>
        <w:pStyle w:val="Text"/>
        <w:rPr>
          <w:lang w:val="en-GB"/>
        </w:rPr>
      </w:pPr>
    </w:p>
    <w:p w:rsidR="008332D5" w:rsidRDefault="008332D5" w:rsidP="008332D5">
      <w:pPr>
        <w:spacing w:before="0" w:line="240" w:lineRule="auto"/>
        <w:rPr>
          <w:rFonts w:ascii="Tahoma" w:hAnsi="Tahoma" w:cs="Tahoma"/>
          <w:sz w:val="28"/>
          <w:lang w:val="en-GB"/>
        </w:rPr>
      </w:pPr>
      <w:r>
        <w:rPr>
          <w:lang w:val="en-GB"/>
        </w:rPr>
        <w:br w:type="page"/>
      </w:r>
    </w:p>
    <w:p w:rsidR="008332D5" w:rsidRDefault="008332D5" w:rsidP="008332D5">
      <w:pPr>
        <w:pStyle w:val="Heading1"/>
        <w:rPr>
          <w:lang w:val="en-GB"/>
        </w:rPr>
      </w:pPr>
      <w:bookmarkStart w:id="36" w:name="_Toc388884887"/>
      <w:r>
        <w:rPr>
          <w:lang w:val="en-GB"/>
        </w:rPr>
        <w:t>How well are young people managing financially?</w:t>
      </w:r>
      <w:bookmarkEnd w:id="36"/>
      <w:r>
        <w:rPr>
          <w:lang w:val="en-GB"/>
        </w:rPr>
        <w:t xml:space="preserve"> </w:t>
      </w:r>
    </w:p>
    <w:p w:rsidR="008332D5" w:rsidRDefault="009B03C4" w:rsidP="008332D5">
      <w:pPr>
        <w:pStyle w:val="Text"/>
        <w:rPr>
          <w:lang w:val="en-GB"/>
        </w:rPr>
      </w:pPr>
      <w:r w:rsidRPr="008F47C0">
        <w:rPr>
          <w:lang w:val="en-GB"/>
        </w:rPr>
        <w:t>This first part of the report presents a quantitative examination of young people’s financial position using LSAY data.</w:t>
      </w:r>
      <w:r w:rsidRPr="00440445">
        <w:rPr>
          <w:lang w:val="en-GB"/>
        </w:rPr>
        <w:t xml:space="preserve"> </w:t>
      </w:r>
      <w:r w:rsidR="008332D5">
        <w:rPr>
          <w:lang w:val="en-GB"/>
        </w:rPr>
        <w:t>Between the ages of 20</w:t>
      </w:r>
      <w:r w:rsidR="003B5EB6">
        <w:rPr>
          <w:lang w:val="en-GB"/>
        </w:rPr>
        <w:t xml:space="preserve"> and </w:t>
      </w:r>
      <w:r w:rsidR="008332D5">
        <w:rPr>
          <w:lang w:val="en-GB"/>
        </w:rPr>
        <w:t>25</w:t>
      </w:r>
      <w:r w:rsidR="003B5EB6">
        <w:rPr>
          <w:lang w:val="en-GB"/>
        </w:rPr>
        <w:t xml:space="preserve"> years</w:t>
      </w:r>
      <w:r w:rsidR="008332D5">
        <w:rPr>
          <w:lang w:val="en-GB"/>
        </w:rPr>
        <w:t xml:space="preserve">, which is </w:t>
      </w:r>
      <w:r w:rsidR="00F90C19">
        <w:rPr>
          <w:lang w:val="en-GB"/>
        </w:rPr>
        <w:t>the</w:t>
      </w:r>
      <w:r w:rsidR="008332D5">
        <w:rPr>
          <w:lang w:val="en-GB"/>
        </w:rPr>
        <w:t xml:space="preserve"> period of time </w:t>
      </w:r>
      <w:r w:rsidR="00F90C19">
        <w:rPr>
          <w:lang w:val="en-GB"/>
        </w:rPr>
        <w:t>during which</w:t>
      </w:r>
      <w:r w:rsidR="008332D5">
        <w:rPr>
          <w:lang w:val="en-GB"/>
        </w:rPr>
        <w:t xml:space="preserve"> most respondents are transitioning from post-school study into work, LSAY asks respondents broadly about how well they are managing financially. About 15% of respondents indicate that they have difficulty managing financially (table 1). This proportion appears quite steady as the cohort ages (table 2) and has not changed much in the last decade. </w:t>
      </w:r>
    </w:p>
    <w:p w:rsidR="008332D5" w:rsidRDefault="002B66FB" w:rsidP="008332D5">
      <w:pPr>
        <w:pStyle w:val="tabletitle"/>
        <w:rPr>
          <w:lang w:val="en-GB"/>
        </w:rPr>
      </w:pPr>
      <w:bookmarkStart w:id="37" w:name="_Toc388884915"/>
      <w:r>
        <w:rPr>
          <w:lang w:val="en-GB"/>
        </w:rPr>
        <w:t>Table 1</w:t>
      </w:r>
      <w:r>
        <w:rPr>
          <w:lang w:val="en-GB"/>
        </w:rPr>
        <w:tab/>
      </w:r>
      <w:r w:rsidR="008332D5">
        <w:rPr>
          <w:lang w:val="en-GB"/>
        </w:rPr>
        <w:t>Managing financially at age 20</w:t>
      </w:r>
      <w:r w:rsidR="00B865AC">
        <w:rPr>
          <w:lang w:val="en-GB"/>
        </w:rPr>
        <w:t xml:space="preserve"> years</w:t>
      </w:r>
      <w:r w:rsidR="008332D5">
        <w:rPr>
          <w:lang w:val="en-GB"/>
        </w:rPr>
        <w:t xml:space="preserve">, 2003 </w:t>
      </w:r>
      <w:r>
        <w:rPr>
          <w:lang w:val="en-GB"/>
        </w:rPr>
        <w:t>and</w:t>
      </w:r>
      <w:r w:rsidR="008332D5">
        <w:rPr>
          <w:lang w:val="en-GB"/>
        </w:rPr>
        <w:t xml:space="preserve"> 2010</w:t>
      </w:r>
      <w:bookmarkEnd w:id="37"/>
    </w:p>
    <w:tbl>
      <w:tblPr>
        <w:tblW w:w="8789" w:type="dxa"/>
        <w:tblInd w:w="93" w:type="dxa"/>
        <w:tblLayout w:type="fixed"/>
        <w:tblLook w:val="04A0" w:firstRow="1" w:lastRow="0" w:firstColumn="1" w:lastColumn="0" w:noHBand="0" w:noVBand="1"/>
      </w:tblPr>
      <w:tblGrid>
        <w:gridCol w:w="2709"/>
        <w:gridCol w:w="1520"/>
        <w:gridCol w:w="1520"/>
        <w:gridCol w:w="1520"/>
        <w:gridCol w:w="1520"/>
      </w:tblGrid>
      <w:tr w:rsidR="002B66FB" w:rsidRPr="00E93908" w:rsidTr="00E93908">
        <w:tc>
          <w:tcPr>
            <w:tcW w:w="2709" w:type="dxa"/>
            <w:tcBorders>
              <w:top w:val="single" w:sz="4" w:space="0" w:color="auto"/>
            </w:tcBorders>
            <w:shd w:val="clear" w:color="auto" w:fill="auto"/>
          </w:tcPr>
          <w:p w:rsidR="002B66FB" w:rsidRPr="00E93908" w:rsidRDefault="002B66FB" w:rsidP="00E93908">
            <w:pPr>
              <w:pStyle w:val="Tablehead1"/>
            </w:pPr>
          </w:p>
        </w:tc>
        <w:tc>
          <w:tcPr>
            <w:tcW w:w="3040" w:type="dxa"/>
            <w:gridSpan w:val="2"/>
            <w:tcBorders>
              <w:top w:val="single" w:sz="4" w:space="0" w:color="auto"/>
            </w:tcBorders>
            <w:shd w:val="clear" w:color="auto" w:fill="auto"/>
          </w:tcPr>
          <w:p w:rsidR="002B66FB" w:rsidRPr="00E93908" w:rsidRDefault="002B66FB" w:rsidP="00E93908">
            <w:pPr>
              <w:pStyle w:val="Tablehead1"/>
              <w:jc w:val="center"/>
            </w:pPr>
            <w:r w:rsidRPr="00E93908">
              <w:t>2003</w:t>
            </w:r>
          </w:p>
        </w:tc>
        <w:tc>
          <w:tcPr>
            <w:tcW w:w="3040" w:type="dxa"/>
            <w:gridSpan w:val="2"/>
            <w:tcBorders>
              <w:top w:val="single" w:sz="4" w:space="0" w:color="auto"/>
            </w:tcBorders>
            <w:shd w:val="clear" w:color="auto" w:fill="auto"/>
          </w:tcPr>
          <w:p w:rsidR="002B66FB" w:rsidRPr="00E93908" w:rsidRDefault="002B66FB" w:rsidP="00E93908">
            <w:pPr>
              <w:pStyle w:val="Tablehead1"/>
              <w:jc w:val="center"/>
            </w:pPr>
            <w:r w:rsidRPr="00E93908">
              <w:t>2010</w:t>
            </w:r>
          </w:p>
        </w:tc>
      </w:tr>
      <w:tr w:rsidR="008332D5" w:rsidRPr="00FB4518" w:rsidTr="00E93908">
        <w:tc>
          <w:tcPr>
            <w:tcW w:w="2709" w:type="dxa"/>
            <w:tcBorders>
              <w:bottom w:val="single" w:sz="4" w:space="0" w:color="auto"/>
            </w:tcBorders>
            <w:shd w:val="clear" w:color="auto" w:fill="auto"/>
            <w:hideMark/>
          </w:tcPr>
          <w:p w:rsidR="008332D5" w:rsidRPr="00FB4518" w:rsidRDefault="008332D5" w:rsidP="00A7791F">
            <w:pPr>
              <w:pStyle w:val="Tablehead2"/>
              <w:jc w:val="center"/>
              <w:rPr>
                <w:lang w:eastAsia="en-AU"/>
              </w:rPr>
            </w:pPr>
          </w:p>
        </w:tc>
        <w:tc>
          <w:tcPr>
            <w:tcW w:w="1520" w:type="dxa"/>
            <w:tcBorders>
              <w:bottom w:val="single" w:sz="4" w:space="0" w:color="auto"/>
            </w:tcBorders>
            <w:shd w:val="clear" w:color="auto" w:fill="auto"/>
            <w:hideMark/>
          </w:tcPr>
          <w:p w:rsidR="008332D5" w:rsidRPr="00FB4518" w:rsidRDefault="00145B56" w:rsidP="00A7791F">
            <w:pPr>
              <w:pStyle w:val="Tablehead2"/>
              <w:jc w:val="center"/>
              <w:rPr>
                <w:lang w:eastAsia="en-AU"/>
              </w:rPr>
            </w:pPr>
            <w:r>
              <w:rPr>
                <w:lang w:eastAsia="en-AU"/>
              </w:rPr>
              <w:t>N</w:t>
            </w:r>
          </w:p>
        </w:tc>
        <w:tc>
          <w:tcPr>
            <w:tcW w:w="1520" w:type="dxa"/>
            <w:tcBorders>
              <w:bottom w:val="single" w:sz="4" w:space="0" w:color="auto"/>
            </w:tcBorders>
            <w:shd w:val="clear" w:color="auto" w:fill="auto"/>
            <w:hideMark/>
          </w:tcPr>
          <w:p w:rsidR="008332D5" w:rsidRPr="00FB4518" w:rsidRDefault="008332D5" w:rsidP="00A7791F">
            <w:pPr>
              <w:pStyle w:val="Tablehead2"/>
              <w:jc w:val="center"/>
              <w:rPr>
                <w:lang w:eastAsia="en-AU"/>
              </w:rPr>
            </w:pPr>
            <w:r w:rsidRPr="00FB4518">
              <w:rPr>
                <w:lang w:eastAsia="en-AU"/>
              </w:rPr>
              <w:t>%</w:t>
            </w:r>
            <w:r w:rsidR="00145B56">
              <w:rPr>
                <w:lang w:eastAsia="en-AU"/>
              </w:rPr>
              <w:t xml:space="preserve"> of cohort</w:t>
            </w:r>
          </w:p>
        </w:tc>
        <w:tc>
          <w:tcPr>
            <w:tcW w:w="1520" w:type="dxa"/>
            <w:tcBorders>
              <w:bottom w:val="single" w:sz="4" w:space="0" w:color="auto"/>
            </w:tcBorders>
            <w:shd w:val="clear" w:color="auto" w:fill="auto"/>
            <w:hideMark/>
          </w:tcPr>
          <w:p w:rsidR="008332D5" w:rsidRPr="00FB4518" w:rsidRDefault="00145B56" w:rsidP="00A7791F">
            <w:pPr>
              <w:pStyle w:val="Tablehead2"/>
              <w:jc w:val="center"/>
              <w:rPr>
                <w:lang w:eastAsia="en-AU"/>
              </w:rPr>
            </w:pPr>
            <w:r>
              <w:rPr>
                <w:lang w:eastAsia="en-AU"/>
              </w:rPr>
              <w:t>N</w:t>
            </w:r>
          </w:p>
        </w:tc>
        <w:tc>
          <w:tcPr>
            <w:tcW w:w="1520" w:type="dxa"/>
            <w:tcBorders>
              <w:bottom w:val="single" w:sz="4" w:space="0" w:color="auto"/>
            </w:tcBorders>
            <w:shd w:val="clear" w:color="auto" w:fill="auto"/>
            <w:hideMark/>
          </w:tcPr>
          <w:p w:rsidR="008332D5" w:rsidRPr="00FB4518" w:rsidRDefault="008332D5" w:rsidP="00A7791F">
            <w:pPr>
              <w:pStyle w:val="Tablehead2"/>
              <w:jc w:val="center"/>
              <w:rPr>
                <w:lang w:eastAsia="en-AU"/>
              </w:rPr>
            </w:pPr>
            <w:r w:rsidRPr="00FB4518">
              <w:rPr>
                <w:lang w:eastAsia="en-AU"/>
              </w:rPr>
              <w:t>%</w:t>
            </w:r>
            <w:r w:rsidR="00145B56">
              <w:rPr>
                <w:lang w:eastAsia="en-AU"/>
              </w:rPr>
              <w:t xml:space="preserve"> of cohort</w:t>
            </w:r>
          </w:p>
        </w:tc>
      </w:tr>
      <w:tr w:rsidR="00A7791F" w:rsidRPr="00FB4518" w:rsidTr="00A7791F">
        <w:tc>
          <w:tcPr>
            <w:tcW w:w="2709" w:type="dxa"/>
            <w:shd w:val="clear" w:color="auto" w:fill="auto"/>
          </w:tcPr>
          <w:p w:rsidR="00A7791F" w:rsidRPr="00FB4518" w:rsidRDefault="00A7791F" w:rsidP="00A7791F">
            <w:pPr>
              <w:pStyle w:val="Tablehead2"/>
              <w:spacing w:before="80" w:after="80"/>
              <w:rPr>
                <w:rFonts w:cs="Arial"/>
                <w:iCs/>
                <w:color w:val="000000"/>
                <w:szCs w:val="17"/>
                <w:lang w:eastAsia="en-AU"/>
              </w:rPr>
            </w:pPr>
            <w:r>
              <w:rPr>
                <w:lang w:val="en-GB"/>
              </w:rPr>
              <w:t>Average age of cohort (years)</w:t>
            </w:r>
          </w:p>
        </w:tc>
        <w:tc>
          <w:tcPr>
            <w:tcW w:w="3040" w:type="dxa"/>
            <w:gridSpan w:val="2"/>
            <w:shd w:val="clear" w:color="auto" w:fill="auto"/>
          </w:tcPr>
          <w:p w:rsidR="00A7791F" w:rsidRPr="00FB4518" w:rsidRDefault="00A7791F" w:rsidP="00A7791F">
            <w:pPr>
              <w:pStyle w:val="Tablehead2"/>
              <w:spacing w:before="80" w:after="80"/>
              <w:jc w:val="center"/>
              <w:rPr>
                <w:lang w:eastAsia="en-AU"/>
              </w:rPr>
            </w:pPr>
            <w:r>
              <w:rPr>
                <w:lang w:eastAsia="en-AU"/>
              </w:rPr>
              <w:t>19.5</w:t>
            </w:r>
            <w:r w:rsidRPr="00FB4518">
              <w:rPr>
                <w:lang w:eastAsia="en-AU"/>
              </w:rPr>
              <w:t xml:space="preserve"> (Y98)</w:t>
            </w:r>
          </w:p>
        </w:tc>
        <w:tc>
          <w:tcPr>
            <w:tcW w:w="3040" w:type="dxa"/>
            <w:gridSpan w:val="2"/>
            <w:shd w:val="clear" w:color="auto" w:fill="auto"/>
          </w:tcPr>
          <w:p w:rsidR="00A7791F" w:rsidRPr="00FB4518" w:rsidRDefault="00A7791F" w:rsidP="00A7791F">
            <w:pPr>
              <w:pStyle w:val="Tablehead2"/>
              <w:spacing w:before="80" w:after="80"/>
              <w:jc w:val="center"/>
              <w:rPr>
                <w:rFonts w:cs="Arial"/>
                <w:iCs/>
                <w:color w:val="000000"/>
                <w:szCs w:val="17"/>
                <w:lang w:eastAsia="en-AU"/>
              </w:rPr>
            </w:pPr>
            <w:r w:rsidRPr="00FB4518">
              <w:rPr>
                <w:lang w:eastAsia="en-AU"/>
              </w:rPr>
              <w:t>19.7 (Y06)</w:t>
            </w:r>
          </w:p>
        </w:tc>
      </w:tr>
      <w:tr w:rsidR="008332D5" w:rsidRPr="00FB4518" w:rsidTr="00A7791F">
        <w:tc>
          <w:tcPr>
            <w:tcW w:w="2709" w:type="dxa"/>
            <w:shd w:val="clear" w:color="auto" w:fill="auto"/>
            <w:hideMark/>
          </w:tcPr>
          <w:p w:rsidR="008332D5" w:rsidRPr="00133AC8" w:rsidRDefault="008332D5" w:rsidP="00133AC8">
            <w:pPr>
              <w:pStyle w:val="Tabletext"/>
            </w:pPr>
            <w:r w:rsidRPr="00133AC8">
              <w:t>Very difficult</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eastAsia="en-AU"/>
              </w:rPr>
              <w:t>188</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eastAsia="en-AU"/>
              </w:rPr>
              <w:t>2.7</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val="en-GB" w:eastAsia="en-AU"/>
              </w:rPr>
              <w:t>157</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2.5</w:t>
            </w:r>
          </w:p>
        </w:tc>
      </w:tr>
      <w:tr w:rsidR="008332D5" w:rsidRPr="00FB4518" w:rsidTr="00E93908">
        <w:tc>
          <w:tcPr>
            <w:tcW w:w="2709" w:type="dxa"/>
            <w:shd w:val="clear" w:color="auto" w:fill="auto"/>
            <w:hideMark/>
          </w:tcPr>
          <w:p w:rsidR="008332D5" w:rsidRPr="00133AC8" w:rsidRDefault="008332D5" w:rsidP="00133AC8">
            <w:pPr>
              <w:pStyle w:val="Tabletext"/>
            </w:pPr>
            <w:r w:rsidRPr="00133AC8">
              <w:t>Difficult</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eastAsia="en-AU"/>
              </w:rPr>
              <w:t>923</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eastAsia="en-AU"/>
              </w:rPr>
              <w:t>13.4</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val="en-GB" w:eastAsia="en-AU"/>
              </w:rPr>
              <w:t>811</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12.8</w:t>
            </w:r>
          </w:p>
        </w:tc>
      </w:tr>
      <w:tr w:rsidR="008332D5" w:rsidRPr="00FB4518" w:rsidTr="00E93908">
        <w:tc>
          <w:tcPr>
            <w:tcW w:w="2709" w:type="dxa"/>
            <w:shd w:val="clear" w:color="auto" w:fill="auto"/>
            <w:hideMark/>
          </w:tcPr>
          <w:p w:rsidR="008332D5" w:rsidRPr="00133AC8" w:rsidRDefault="008332D5" w:rsidP="00133AC8">
            <w:pPr>
              <w:pStyle w:val="Tabletext"/>
            </w:pPr>
            <w:r w:rsidRPr="00133AC8">
              <w:t>Neither difficult nor easy</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eastAsia="en-AU"/>
              </w:rPr>
              <w:t>777</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eastAsia="en-AU"/>
              </w:rPr>
              <w:t>11.3</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val="en-GB" w:eastAsia="en-AU"/>
              </w:rPr>
              <w:t>661</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10.5</w:t>
            </w:r>
          </w:p>
        </w:tc>
      </w:tr>
      <w:tr w:rsidR="008332D5" w:rsidRPr="00FB4518" w:rsidTr="00E93908">
        <w:tc>
          <w:tcPr>
            <w:tcW w:w="2709" w:type="dxa"/>
            <w:shd w:val="clear" w:color="auto" w:fill="auto"/>
            <w:hideMark/>
          </w:tcPr>
          <w:p w:rsidR="008332D5" w:rsidRPr="00133AC8" w:rsidRDefault="008332D5" w:rsidP="00133AC8">
            <w:pPr>
              <w:pStyle w:val="Tabletext"/>
            </w:pPr>
            <w:r w:rsidRPr="00133AC8">
              <w:t>Fairly easy</w:t>
            </w:r>
          </w:p>
        </w:tc>
        <w:tc>
          <w:tcPr>
            <w:tcW w:w="1520" w:type="dxa"/>
            <w:shd w:val="clear" w:color="auto" w:fill="auto"/>
            <w:hideMark/>
          </w:tcPr>
          <w:p w:rsidR="008332D5" w:rsidRPr="00FB4518" w:rsidRDefault="008332D5" w:rsidP="00133AC8">
            <w:pPr>
              <w:pStyle w:val="Tabletext"/>
              <w:ind w:right="539"/>
              <w:jc w:val="right"/>
              <w:rPr>
                <w:lang w:eastAsia="en-AU"/>
              </w:rPr>
            </w:pPr>
            <w:r w:rsidRPr="00E80180">
              <w:rPr>
                <w:lang w:eastAsia="en-AU"/>
              </w:rPr>
              <w:t>3</w:t>
            </w:r>
            <w:r w:rsidR="00E93908" w:rsidRPr="00E80180">
              <w:rPr>
                <w:lang w:eastAsia="en-AU"/>
              </w:rPr>
              <w:t xml:space="preserve"> </w:t>
            </w:r>
            <w:r w:rsidRPr="00E80180">
              <w:rPr>
                <w:lang w:eastAsia="en-AU"/>
              </w:rPr>
              <w:t>837</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eastAsia="en-AU"/>
              </w:rPr>
              <w:t>55.6</w:t>
            </w:r>
          </w:p>
        </w:tc>
        <w:tc>
          <w:tcPr>
            <w:tcW w:w="1520" w:type="dxa"/>
            <w:shd w:val="clear" w:color="auto" w:fill="auto"/>
            <w:hideMark/>
          </w:tcPr>
          <w:p w:rsidR="008332D5" w:rsidRPr="00FB4518" w:rsidRDefault="008332D5" w:rsidP="00133AC8">
            <w:pPr>
              <w:pStyle w:val="Tabletext"/>
              <w:ind w:right="539"/>
              <w:jc w:val="right"/>
              <w:rPr>
                <w:lang w:eastAsia="en-AU"/>
              </w:rPr>
            </w:pPr>
            <w:r w:rsidRPr="00E80180">
              <w:rPr>
                <w:lang w:val="en-GB" w:eastAsia="en-AU"/>
              </w:rPr>
              <w:t>3</w:t>
            </w:r>
            <w:r w:rsidR="00E93908" w:rsidRPr="00E80180">
              <w:rPr>
                <w:lang w:val="en-GB" w:eastAsia="en-AU"/>
              </w:rPr>
              <w:t xml:space="preserve"> </w:t>
            </w:r>
            <w:r w:rsidRPr="00E80180">
              <w:rPr>
                <w:lang w:val="en-GB" w:eastAsia="en-AU"/>
              </w:rPr>
              <w:t>316</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52.5</w:t>
            </w:r>
          </w:p>
        </w:tc>
      </w:tr>
      <w:tr w:rsidR="008332D5" w:rsidRPr="00FB4518" w:rsidTr="00E93908">
        <w:tc>
          <w:tcPr>
            <w:tcW w:w="2709" w:type="dxa"/>
            <w:tcBorders>
              <w:bottom w:val="single" w:sz="4" w:space="0" w:color="auto"/>
            </w:tcBorders>
            <w:shd w:val="clear" w:color="auto" w:fill="auto"/>
            <w:hideMark/>
          </w:tcPr>
          <w:p w:rsidR="008332D5" w:rsidRPr="00133AC8" w:rsidRDefault="008332D5" w:rsidP="00133AC8">
            <w:pPr>
              <w:pStyle w:val="Tabletext"/>
            </w:pPr>
            <w:r w:rsidRPr="00133AC8">
              <w:t>Very easy</w:t>
            </w:r>
          </w:p>
        </w:tc>
        <w:tc>
          <w:tcPr>
            <w:tcW w:w="1520" w:type="dxa"/>
            <w:tcBorders>
              <w:bottom w:val="single" w:sz="4" w:space="0" w:color="auto"/>
            </w:tcBorders>
            <w:shd w:val="clear" w:color="auto" w:fill="auto"/>
            <w:hideMark/>
          </w:tcPr>
          <w:p w:rsidR="008332D5" w:rsidRPr="00FB4518" w:rsidRDefault="008332D5" w:rsidP="00133AC8">
            <w:pPr>
              <w:pStyle w:val="Tabletext"/>
              <w:ind w:right="539"/>
              <w:jc w:val="right"/>
              <w:rPr>
                <w:lang w:eastAsia="en-AU"/>
              </w:rPr>
            </w:pPr>
            <w:r w:rsidRPr="00E80180">
              <w:rPr>
                <w:lang w:eastAsia="en-AU"/>
              </w:rPr>
              <w:t>1</w:t>
            </w:r>
            <w:r w:rsidR="00E93908" w:rsidRPr="00E80180">
              <w:rPr>
                <w:lang w:eastAsia="en-AU"/>
              </w:rPr>
              <w:t xml:space="preserve"> </w:t>
            </w:r>
            <w:r w:rsidRPr="00E80180">
              <w:rPr>
                <w:lang w:eastAsia="en-AU"/>
              </w:rPr>
              <w:t>180</w:t>
            </w:r>
          </w:p>
        </w:tc>
        <w:tc>
          <w:tcPr>
            <w:tcW w:w="1520" w:type="dxa"/>
            <w:tcBorders>
              <w:bottom w:val="single" w:sz="4" w:space="0" w:color="auto"/>
            </w:tcBorders>
            <w:shd w:val="clear" w:color="auto" w:fill="auto"/>
            <w:hideMark/>
          </w:tcPr>
          <w:p w:rsidR="008332D5" w:rsidRPr="00FB4518" w:rsidRDefault="008332D5" w:rsidP="00133AC8">
            <w:pPr>
              <w:pStyle w:val="Tabletext"/>
              <w:tabs>
                <w:tab w:val="decimal" w:pos="624"/>
              </w:tabs>
              <w:rPr>
                <w:lang w:eastAsia="en-AU"/>
              </w:rPr>
            </w:pPr>
            <w:r w:rsidRPr="00FB4518">
              <w:rPr>
                <w:lang w:eastAsia="en-AU"/>
              </w:rPr>
              <w:t>17.1</w:t>
            </w:r>
          </w:p>
        </w:tc>
        <w:tc>
          <w:tcPr>
            <w:tcW w:w="1520" w:type="dxa"/>
            <w:tcBorders>
              <w:bottom w:val="single" w:sz="4" w:space="0" w:color="auto"/>
            </w:tcBorders>
            <w:shd w:val="clear" w:color="auto" w:fill="auto"/>
            <w:hideMark/>
          </w:tcPr>
          <w:p w:rsidR="008332D5" w:rsidRPr="00FB4518" w:rsidRDefault="008332D5" w:rsidP="00133AC8">
            <w:pPr>
              <w:pStyle w:val="Tabletext"/>
              <w:ind w:right="539"/>
              <w:jc w:val="right"/>
              <w:rPr>
                <w:lang w:eastAsia="en-AU"/>
              </w:rPr>
            </w:pPr>
            <w:r w:rsidRPr="00E80180">
              <w:rPr>
                <w:lang w:val="en-GB" w:eastAsia="en-AU"/>
              </w:rPr>
              <w:t>1</w:t>
            </w:r>
            <w:r w:rsidR="00E93908" w:rsidRPr="00E80180">
              <w:rPr>
                <w:lang w:val="en-GB" w:eastAsia="en-AU"/>
              </w:rPr>
              <w:t xml:space="preserve"> </w:t>
            </w:r>
            <w:r w:rsidRPr="00E80180">
              <w:rPr>
                <w:lang w:val="en-GB" w:eastAsia="en-AU"/>
              </w:rPr>
              <w:t>371</w:t>
            </w:r>
          </w:p>
        </w:tc>
        <w:tc>
          <w:tcPr>
            <w:tcW w:w="1520" w:type="dxa"/>
            <w:tcBorders>
              <w:bottom w:val="single" w:sz="4" w:space="0" w:color="auto"/>
            </w:tcBorders>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21.7</w:t>
            </w:r>
          </w:p>
        </w:tc>
      </w:tr>
    </w:tbl>
    <w:p w:rsidR="008332D5" w:rsidRDefault="008332D5" w:rsidP="008332D5">
      <w:pPr>
        <w:pStyle w:val="Source"/>
        <w:rPr>
          <w:lang w:val="en-GB"/>
        </w:rPr>
      </w:pPr>
      <w:r>
        <w:rPr>
          <w:lang w:val="en-GB"/>
        </w:rPr>
        <w:t>Source:</w:t>
      </w:r>
      <w:r w:rsidR="00DE3303">
        <w:rPr>
          <w:lang w:val="en-GB"/>
        </w:rPr>
        <w:tab/>
      </w:r>
      <w:r>
        <w:rPr>
          <w:lang w:val="en-GB"/>
        </w:rPr>
        <w:t>LSAY Y98 (</w:t>
      </w:r>
      <w:r w:rsidR="002B66FB">
        <w:rPr>
          <w:lang w:val="en-GB"/>
        </w:rPr>
        <w:t xml:space="preserve">in </w:t>
      </w:r>
      <w:r>
        <w:rPr>
          <w:lang w:val="en-GB"/>
        </w:rPr>
        <w:t>2003) and Y06 (</w:t>
      </w:r>
      <w:r w:rsidR="002B66FB">
        <w:rPr>
          <w:lang w:val="en-GB"/>
        </w:rPr>
        <w:t xml:space="preserve">in </w:t>
      </w:r>
      <w:r>
        <w:rPr>
          <w:lang w:val="en-GB"/>
        </w:rPr>
        <w:t>2010) cohorts</w:t>
      </w:r>
      <w:r w:rsidR="00145B56">
        <w:rPr>
          <w:lang w:val="en-GB"/>
        </w:rPr>
        <w:t>.</w:t>
      </w:r>
      <w:r>
        <w:rPr>
          <w:lang w:val="en-GB"/>
        </w:rPr>
        <w:t xml:space="preserve"> </w:t>
      </w:r>
    </w:p>
    <w:p w:rsidR="008332D5" w:rsidRDefault="002B66FB" w:rsidP="008332D5">
      <w:pPr>
        <w:pStyle w:val="tabletitle"/>
        <w:rPr>
          <w:lang w:val="en-GB"/>
        </w:rPr>
      </w:pPr>
      <w:bookmarkStart w:id="38" w:name="_Toc388884916"/>
      <w:r>
        <w:rPr>
          <w:lang w:val="en-GB"/>
        </w:rPr>
        <w:t>Table 2</w:t>
      </w:r>
      <w:r>
        <w:rPr>
          <w:lang w:val="en-GB"/>
        </w:rPr>
        <w:tab/>
      </w:r>
      <w:r w:rsidR="008332D5">
        <w:rPr>
          <w:lang w:val="en-GB"/>
        </w:rPr>
        <w:t>Managing financially</w:t>
      </w:r>
      <w:r w:rsidR="00586C1C">
        <w:rPr>
          <w:lang w:val="en-GB"/>
        </w:rPr>
        <w:t xml:space="preserve"> at </w:t>
      </w:r>
      <w:r w:rsidR="008332D5">
        <w:rPr>
          <w:lang w:val="en-GB"/>
        </w:rPr>
        <w:t>ages 20</w:t>
      </w:r>
      <w:r w:rsidR="00B94882">
        <w:rPr>
          <w:lang w:val="en-GB"/>
        </w:rPr>
        <w:t>—</w:t>
      </w:r>
      <w:r w:rsidR="008332D5">
        <w:rPr>
          <w:lang w:val="en-GB"/>
        </w:rPr>
        <w:t>2</w:t>
      </w:r>
      <w:r w:rsidR="00586C1C">
        <w:rPr>
          <w:lang w:val="en-GB"/>
        </w:rPr>
        <w:t>3 years</w:t>
      </w:r>
      <w:r w:rsidR="00C55075">
        <w:rPr>
          <w:lang w:val="en-GB"/>
        </w:rPr>
        <w:t>, 2008</w:t>
      </w:r>
      <w:r w:rsidR="009C32F6">
        <w:rPr>
          <w:lang w:val="en-GB"/>
        </w:rPr>
        <w:t>–</w:t>
      </w:r>
      <w:r w:rsidR="00C55075">
        <w:rPr>
          <w:lang w:val="en-GB"/>
        </w:rPr>
        <w:t>10</w:t>
      </w:r>
      <w:bookmarkEnd w:id="38"/>
    </w:p>
    <w:tbl>
      <w:tblPr>
        <w:tblW w:w="8789" w:type="dxa"/>
        <w:tblInd w:w="108" w:type="dxa"/>
        <w:tblLayout w:type="fixed"/>
        <w:tblLook w:val="04A0" w:firstRow="1" w:lastRow="0" w:firstColumn="1" w:lastColumn="0" w:noHBand="0" w:noVBand="1"/>
      </w:tblPr>
      <w:tblGrid>
        <w:gridCol w:w="2694"/>
        <w:gridCol w:w="1015"/>
        <w:gridCol w:w="1016"/>
        <w:gridCol w:w="1016"/>
        <w:gridCol w:w="1016"/>
        <w:gridCol w:w="1016"/>
        <w:gridCol w:w="1016"/>
      </w:tblGrid>
      <w:tr w:rsidR="008332D5" w:rsidRPr="00E93908" w:rsidTr="00E93908">
        <w:tc>
          <w:tcPr>
            <w:tcW w:w="2694" w:type="dxa"/>
            <w:tcBorders>
              <w:top w:val="single" w:sz="4" w:space="0" w:color="auto"/>
            </w:tcBorders>
            <w:shd w:val="clear" w:color="auto" w:fill="auto"/>
            <w:noWrap/>
            <w:hideMark/>
          </w:tcPr>
          <w:p w:rsidR="008332D5" w:rsidRPr="00E93908" w:rsidRDefault="008332D5" w:rsidP="00E93908">
            <w:pPr>
              <w:pStyle w:val="Tablehead1"/>
            </w:pPr>
            <w:r w:rsidRPr="00E93908">
              <w:t> </w:t>
            </w:r>
          </w:p>
        </w:tc>
        <w:tc>
          <w:tcPr>
            <w:tcW w:w="2031" w:type="dxa"/>
            <w:gridSpan w:val="2"/>
            <w:tcBorders>
              <w:top w:val="single" w:sz="4" w:space="0" w:color="auto"/>
            </w:tcBorders>
            <w:shd w:val="clear" w:color="auto" w:fill="auto"/>
            <w:noWrap/>
            <w:hideMark/>
          </w:tcPr>
          <w:p w:rsidR="008332D5" w:rsidRPr="00E93908" w:rsidRDefault="008332D5" w:rsidP="00E93908">
            <w:pPr>
              <w:pStyle w:val="Tablehead1"/>
              <w:jc w:val="center"/>
            </w:pPr>
            <w:r w:rsidRPr="00E93908">
              <w:t>2008</w:t>
            </w:r>
          </w:p>
        </w:tc>
        <w:tc>
          <w:tcPr>
            <w:tcW w:w="2032" w:type="dxa"/>
            <w:gridSpan w:val="2"/>
            <w:tcBorders>
              <w:top w:val="single" w:sz="4" w:space="0" w:color="auto"/>
            </w:tcBorders>
            <w:shd w:val="clear" w:color="auto" w:fill="auto"/>
            <w:noWrap/>
            <w:hideMark/>
          </w:tcPr>
          <w:p w:rsidR="008332D5" w:rsidRPr="00E93908" w:rsidRDefault="008332D5" w:rsidP="00E93908">
            <w:pPr>
              <w:pStyle w:val="Tablehead1"/>
              <w:jc w:val="center"/>
            </w:pPr>
            <w:r w:rsidRPr="00E93908">
              <w:t>2009</w:t>
            </w:r>
          </w:p>
        </w:tc>
        <w:tc>
          <w:tcPr>
            <w:tcW w:w="2032" w:type="dxa"/>
            <w:gridSpan w:val="2"/>
            <w:tcBorders>
              <w:top w:val="single" w:sz="4" w:space="0" w:color="auto"/>
            </w:tcBorders>
            <w:shd w:val="clear" w:color="auto" w:fill="auto"/>
            <w:noWrap/>
            <w:hideMark/>
          </w:tcPr>
          <w:p w:rsidR="008332D5" w:rsidRPr="00E93908" w:rsidRDefault="008332D5" w:rsidP="00E93908">
            <w:pPr>
              <w:pStyle w:val="Tablehead1"/>
              <w:jc w:val="center"/>
            </w:pPr>
            <w:r w:rsidRPr="00E93908">
              <w:t>2010</w:t>
            </w:r>
          </w:p>
        </w:tc>
      </w:tr>
      <w:tr w:rsidR="008332D5" w:rsidRPr="00E93908" w:rsidTr="00E93908">
        <w:tc>
          <w:tcPr>
            <w:tcW w:w="2694" w:type="dxa"/>
            <w:tcBorders>
              <w:bottom w:val="single" w:sz="4" w:space="0" w:color="auto"/>
            </w:tcBorders>
            <w:shd w:val="clear" w:color="auto" w:fill="auto"/>
            <w:noWrap/>
            <w:hideMark/>
          </w:tcPr>
          <w:p w:rsidR="008332D5" w:rsidRPr="00E93908" w:rsidRDefault="008332D5" w:rsidP="00A7791F">
            <w:pPr>
              <w:pStyle w:val="Tablehead2"/>
              <w:jc w:val="center"/>
            </w:pPr>
          </w:p>
        </w:tc>
        <w:tc>
          <w:tcPr>
            <w:tcW w:w="1015" w:type="dxa"/>
            <w:tcBorders>
              <w:bottom w:val="single" w:sz="4" w:space="0" w:color="auto"/>
            </w:tcBorders>
            <w:shd w:val="clear" w:color="auto" w:fill="auto"/>
            <w:noWrap/>
            <w:hideMark/>
          </w:tcPr>
          <w:p w:rsidR="008332D5" w:rsidRPr="00E93908" w:rsidRDefault="00145B56" w:rsidP="00A7791F">
            <w:pPr>
              <w:pStyle w:val="Tablehead2"/>
              <w:jc w:val="center"/>
            </w:pPr>
            <w:r w:rsidRPr="00E93908">
              <w:t>N</w:t>
            </w:r>
          </w:p>
        </w:tc>
        <w:tc>
          <w:tcPr>
            <w:tcW w:w="1016" w:type="dxa"/>
            <w:tcBorders>
              <w:bottom w:val="single" w:sz="4" w:space="0" w:color="auto"/>
            </w:tcBorders>
            <w:shd w:val="clear" w:color="auto" w:fill="auto"/>
            <w:noWrap/>
            <w:hideMark/>
          </w:tcPr>
          <w:p w:rsidR="008332D5" w:rsidRPr="00E93908" w:rsidRDefault="008332D5" w:rsidP="00A7791F">
            <w:pPr>
              <w:pStyle w:val="Tablehead2"/>
              <w:jc w:val="center"/>
            </w:pPr>
            <w:r w:rsidRPr="00E93908">
              <w:t>%</w:t>
            </w:r>
            <w:r w:rsidR="00145B56" w:rsidRPr="00E93908">
              <w:t xml:space="preserve"> of cohort</w:t>
            </w:r>
          </w:p>
        </w:tc>
        <w:tc>
          <w:tcPr>
            <w:tcW w:w="1016" w:type="dxa"/>
            <w:tcBorders>
              <w:bottom w:val="single" w:sz="4" w:space="0" w:color="auto"/>
            </w:tcBorders>
            <w:shd w:val="clear" w:color="auto" w:fill="auto"/>
            <w:noWrap/>
            <w:hideMark/>
          </w:tcPr>
          <w:p w:rsidR="008332D5" w:rsidRPr="00E93908" w:rsidRDefault="00145B56" w:rsidP="00A7791F">
            <w:pPr>
              <w:pStyle w:val="Tablehead2"/>
              <w:jc w:val="center"/>
            </w:pPr>
            <w:r w:rsidRPr="00E93908">
              <w:t>N</w:t>
            </w:r>
          </w:p>
        </w:tc>
        <w:tc>
          <w:tcPr>
            <w:tcW w:w="1016" w:type="dxa"/>
            <w:tcBorders>
              <w:bottom w:val="single" w:sz="4" w:space="0" w:color="auto"/>
            </w:tcBorders>
            <w:shd w:val="clear" w:color="auto" w:fill="auto"/>
            <w:noWrap/>
            <w:hideMark/>
          </w:tcPr>
          <w:p w:rsidR="008332D5" w:rsidRPr="00E93908" w:rsidRDefault="008332D5" w:rsidP="00A7791F">
            <w:pPr>
              <w:pStyle w:val="Tablehead2"/>
              <w:jc w:val="center"/>
            </w:pPr>
            <w:r w:rsidRPr="00E93908">
              <w:t>%</w:t>
            </w:r>
            <w:r w:rsidR="00145B56" w:rsidRPr="00E93908">
              <w:t xml:space="preserve"> of cohort</w:t>
            </w:r>
          </w:p>
        </w:tc>
        <w:tc>
          <w:tcPr>
            <w:tcW w:w="1016" w:type="dxa"/>
            <w:tcBorders>
              <w:bottom w:val="single" w:sz="4" w:space="0" w:color="auto"/>
            </w:tcBorders>
            <w:shd w:val="clear" w:color="auto" w:fill="auto"/>
            <w:noWrap/>
            <w:hideMark/>
          </w:tcPr>
          <w:p w:rsidR="008332D5" w:rsidRPr="00E93908" w:rsidRDefault="00145B56" w:rsidP="00A7791F">
            <w:pPr>
              <w:pStyle w:val="Tablehead2"/>
              <w:jc w:val="center"/>
            </w:pPr>
            <w:r w:rsidRPr="00E93908">
              <w:t>N</w:t>
            </w:r>
          </w:p>
        </w:tc>
        <w:tc>
          <w:tcPr>
            <w:tcW w:w="1016" w:type="dxa"/>
            <w:tcBorders>
              <w:bottom w:val="single" w:sz="4" w:space="0" w:color="auto"/>
            </w:tcBorders>
            <w:shd w:val="clear" w:color="auto" w:fill="auto"/>
            <w:noWrap/>
            <w:hideMark/>
          </w:tcPr>
          <w:p w:rsidR="008332D5" w:rsidRPr="00E93908" w:rsidRDefault="008332D5" w:rsidP="00A7791F">
            <w:pPr>
              <w:pStyle w:val="Tablehead2"/>
              <w:jc w:val="center"/>
            </w:pPr>
            <w:r w:rsidRPr="00E93908">
              <w:t>%</w:t>
            </w:r>
            <w:r w:rsidR="00145B56" w:rsidRPr="00E93908">
              <w:t xml:space="preserve"> of cohort</w:t>
            </w:r>
          </w:p>
        </w:tc>
      </w:tr>
      <w:tr w:rsidR="00A7791F" w:rsidRPr="008F5796" w:rsidTr="00A7791F">
        <w:tc>
          <w:tcPr>
            <w:tcW w:w="2694" w:type="dxa"/>
            <w:shd w:val="clear" w:color="auto" w:fill="auto"/>
            <w:noWrap/>
            <w:hideMark/>
          </w:tcPr>
          <w:p w:rsidR="00A7791F" w:rsidRPr="008F5796" w:rsidRDefault="00A7791F" w:rsidP="00A7791F">
            <w:pPr>
              <w:pStyle w:val="Tablehead2"/>
              <w:spacing w:before="80" w:after="80"/>
              <w:rPr>
                <w:lang w:eastAsia="en-AU"/>
              </w:rPr>
            </w:pPr>
            <w:r>
              <w:rPr>
                <w:lang w:val="en-GB"/>
              </w:rPr>
              <w:t>Average age of cohort (years)</w:t>
            </w:r>
          </w:p>
        </w:tc>
        <w:tc>
          <w:tcPr>
            <w:tcW w:w="2031" w:type="dxa"/>
            <w:gridSpan w:val="2"/>
            <w:shd w:val="clear" w:color="auto" w:fill="auto"/>
            <w:noWrap/>
            <w:hideMark/>
          </w:tcPr>
          <w:p w:rsidR="00A7791F" w:rsidRPr="008F5796" w:rsidRDefault="00A7791F" w:rsidP="00A7791F">
            <w:pPr>
              <w:pStyle w:val="Tablehead2"/>
              <w:spacing w:before="80" w:after="80"/>
              <w:jc w:val="center"/>
              <w:rPr>
                <w:lang w:eastAsia="en-AU"/>
              </w:rPr>
            </w:pPr>
            <w:r w:rsidRPr="008F5796">
              <w:rPr>
                <w:lang w:eastAsia="en-AU"/>
              </w:rPr>
              <w:t>20.7</w:t>
            </w:r>
          </w:p>
        </w:tc>
        <w:tc>
          <w:tcPr>
            <w:tcW w:w="2032" w:type="dxa"/>
            <w:gridSpan w:val="2"/>
            <w:shd w:val="clear" w:color="auto" w:fill="auto"/>
            <w:noWrap/>
            <w:hideMark/>
          </w:tcPr>
          <w:p w:rsidR="00A7791F" w:rsidRPr="008F5796" w:rsidRDefault="00A7791F" w:rsidP="00A7791F">
            <w:pPr>
              <w:pStyle w:val="Tablehead2"/>
              <w:spacing w:before="80" w:after="80"/>
              <w:jc w:val="center"/>
              <w:rPr>
                <w:lang w:eastAsia="en-AU"/>
              </w:rPr>
            </w:pPr>
            <w:r w:rsidRPr="008F5796">
              <w:rPr>
                <w:lang w:eastAsia="en-AU"/>
              </w:rPr>
              <w:t>21.7</w:t>
            </w:r>
          </w:p>
        </w:tc>
        <w:tc>
          <w:tcPr>
            <w:tcW w:w="2032" w:type="dxa"/>
            <w:gridSpan w:val="2"/>
            <w:shd w:val="clear" w:color="auto" w:fill="auto"/>
            <w:noWrap/>
            <w:hideMark/>
          </w:tcPr>
          <w:p w:rsidR="00A7791F" w:rsidRPr="008F5796" w:rsidRDefault="00A7791F" w:rsidP="00A7791F">
            <w:pPr>
              <w:pStyle w:val="Tablehead2"/>
              <w:spacing w:before="80" w:after="80"/>
              <w:jc w:val="center"/>
              <w:rPr>
                <w:lang w:eastAsia="en-AU"/>
              </w:rPr>
            </w:pPr>
            <w:r w:rsidRPr="008F5796">
              <w:rPr>
                <w:lang w:eastAsia="en-AU"/>
              </w:rPr>
              <w:t>22.7</w:t>
            </w:r>
          </w:p>
        </w:tc>
      </w:tr>
      <w:tr w:rsidR="008332D5" w:rsidRPr="00E93908" w:rsidTr="00A7791F">
        <w:tc>
          <w:tcPr>
            <w:tcW w:w="2694" w:type="dxa"/>
            <w:shd w:val="clear" w:color="auto" w:fill="auto"/>
            <w:noWrap/>
            <w:hideMark/>
          </w:tcPr>
          <w:p w:rsidR="008332D5" w:rsidRPr="00E93908" w:rsidRDefault="008332D5" w:rsidP="00133AC8">
            <w:pPr>
              <w:pStyle w:val="Tabletext"/>
            </w:pPr>
            <w:r w:rsidRPr="00E93908">
              <w:t>Very difficult</w:t>
            </w:r>
          </w:p>
        </w:tc>
        <w:tc>
          <w:tcPr>
            <w:tcW w:w="1015" w:type="dxa"/>
            <w:shd w:val="clear" w:color="auto" w:fill="auto"/>
            <w:noWrap/>
            <w:hideMark/>
          </w:tcPr>
          <w:p w:rsidR="008332D5" w:rsidRPr="00E93908" w:rsidRDefault="008332D5" w:rsidP="00133AC8">
            <w:pPr>
              <w:pStyle w:val="Tabletext"/>
              <w:ind w:right="170"/>
              <w:jc w:val="right"/>
            </w:pPr>
            <w:r w:rsidRPr="00E93908">
              <w:t>150.5</w:t>
            </w:r>
          </w:p>
        </w:tc>
        <w:tc>
          <w:tcPr>
            <w:tcW w:w="1016" w:type="dxa"/>
            <w:shd w:val="clear" w:color="auto" w:fill="auto"/>
            <w:noWrap/>
            <w:hideMark/>
          </w:tcPr>
          <w:p w:rsidR="008332D5" w:rsidRPr="00E93908" w:rsidRDefault="008332D5" w:rsidP="00133AC8">
            <w:pPr>
              <w:pStyle w:val="Tabletext"/>
              <w:tabs>
                <w:tab w:val="decimal" w:pos="397"/>
              </w:tabs>
            </w:pPr>
            <w:r w:rsidRPr="00E93908">
              <w:t>2.5</w:t>
            </w:r>
          </w:p>
        </w:tc>
        <w:tc>
          <w:tcPr>
            <w:tcW w:w="1016" w:type="dxa"/>
            <w:shd w:val="clear" w:color="auto" w:fill="auto"/>
            <w:noWrap/>
            <w:hideMark/>
          </w:tcPr>
          <w:p w:rsidR="008332D5" w:rsidRPr="00E93908" w:rsidRDefault="008332D5" w:rsidP="00133AC8">
            <w:pPr>
              <w:pStyle w:val="Tabletext"/>
              <w:ind w:right="170"/>
              <w:jc w:val="right"/>
            </w:pPr>
            <w:r w:rsidRPr="00E93908">
              <w:t>154.5</w:t>
            </w:r>
          </w:p>
        </w:tc>
        <w:tc>
          <w:tcPr>
            <w:tcW w:w="1016" w:type="dxa"/>
            <w:shd w:val="clear" w:color="auto" w:fill="auto"/>
            <w:noWrap/>
            <w:hideMark/>
          </w:tcPr>
          <w:p w:rsidR="008332D5" w:rsidRPr="00E93908" w:rsidRDefault="008332D5" w:rsidP="00133AC8">
            <w:pPr>
              <w:pStyle w:val="Tabletext"/>
              <w:tabs>
                <w:tab w:val="decimal" w:pos="397"/>
              </w:tabs>
            </w:pPr>
            <w:r w:rsidRPr="00E93908">
              <w:t>2.8</w:t>
            </w:r>
          </w:p>
        </w:tc>
        <w:tc>
          <w:tcPr>
            <w:tcW w:w="1016" w:type="dxa"/>
            <w:shd w:val="clear" w:color="auto" w:fill="auto"/>
            <w:noWrap/>
            <w:hideMark/>
          </w:tcPr>
          <w:p w:rsidR="008332D5" w:rsidRPr="00E93908" w:rsidRDefault="008332D5" w:rsidP="00133AC8">
            <w:pPr>
              <w:pStyle w:val="Tabletext"/>
              <w:ind w:right="170"/>
              <w:jc w:val="right"/>
            </w:pPr>
            <w:r w:rsidRPr="00E93908">
              <w:t>124.2</w:t>
            </w:r>
          </w:p>
        </w:tc>
        <w:tc>
          <w:tcPr>
            <w:tcW w:w="1016" w:type="dxa"/>
            <w:shd w:val="clear" w:color="auto" w:fill="auto"/>
            <w:noWrap/>
            <w:hideMark/>
          </w:tcPr>
          <w:p w:rsidR="008332D5" w:rsidRPr="00E93908" w:rsidRDefault="008332D5" w:rsidP="00133AC8">
            <w:pPr>
              <w:pStyle w:val="Tabletext"/>
              <w:tabs>
                <w:tab w:val="decimal" w:pos="397"/>
              </w:tabs>
            </w:pPr>
            <w:r w:rsidRPr="00E93908">
              <w:t>2.5</w:t>
            </w:r>
          </w:p>
        </w:tc>
      </w:tr>
      <w:tr w:rsidR="008332D5" w:rsidRPr="00E93908" w:rsidTr="00E93908">
        <w:tc>
          <w:tcPr>
            <w:tcW w:w="2694" w:type="dxa"/>
            <w:shd w:val="clear" w:color="auto" w:fill="auto"/>
            <w:noWrap/>
            <w:hideMark/>
          </w:tcPr>
          <w:p w:rsidR="008332D5" w:rsidRPr="00E93908" w:rsidRDefault="008332D5" w:rsidP="00133AC8">
            <w:pPr>
              <w:pStyle w:val="Tabletext"/>
            </w:pPr>
            <w:r w:rsidRPr="00E93908">
              <w:t>Fairly difficult</w:t>
            </w:r>
          </w:p>
        </w:tc>
        <w:tc>
          <w:tcPr>
            <w:tcW w:w="1015" w:type="dxa"/>
            <w:shd w:val="clear" w:color="auto" w:fill="auto"/>
            <w:noWrap/>
            <w:hideMark/>
          </w:tcPr>
          <w:p w:rsidR="008332D5" w:rsidRPr="00E93908" w:rsidRDefault="008332D5" w:rsidP="00133AC8">
            <w:pPr>
              <w:pStyle w:val="Tabletext"/>
              <w:ind w:right="170"/>
              <w:jc w:val="right"/>
            </w:pPr>
            <w:r w:rsidRPr="00E93908">
              <w:t>775.4</w:t>
            </w:r>
          </w:p>
        </w:tc>
        <w:tc>
          <w:tcPr>
            <w:tcW w:w="1016" w:type="dxa"/>
            <w:shd w:val="clear" w:color="auto" w:fill="auto"/>
            <w:noWrap/>
            <w:hideMark/>
          </w:tcPr>
          <w:p w:rsidR="008332D5" w:rsidRPr="00E93908" w:rsidRDefault="008332D5" w:rsidP="00133AC8">
            <w:pPr>
              <w:pStyle w:val="Tabletext"/>
              <w:tabs>
                <w:tab w:val="decimal" w:pos="397"/>
              </w:tabs>
            </w:pPr>
            <w:r w:rsidRPr="00E93908">
              <w:t>12.8</w:t>
            </w:r>
          </w:p>
        </w:tc>
        <w:tc>
          <w:tcPr>
            <w:tcW w:w="1016" w:type="dxa"/>
            <w:shd w:val="clear" w:color="auto" w:fill="auto"/>
            <w:noWrap/>
            <w:hideMark/>
          </w:tcPr>
          <w:p w:rsidR="008332D5" w:rsidRPr="00E93908" w:rsidRDefault="008332D5" w:rsidP="00133AC8">
            <w:pPr>
              <w:pStyle w:val="Tabletext"/>
              <w:ind w:right="170"/>
              <w:jc w:val="right"/>
            </w:pPr>
            <w:r w:rsidRPr="00E93908">
              <w:t>827.4</w:t>
            </w:r>
          </w:p>
        </w:tc>
        <w:tc>
          <w:tcPr>
            <w:tcW w:w="1016" w:type="dxa"/>
            <w:shd w:val="clear" w:color="auto" w:fill="auto"/>
            <w:noWrap/>
            <w:hideMark/>
          </w:tcPr>
          <w:p w:rsidR="008332D5" w:rsidRPr="00E93908" w:rsidRDefault="008332D5" w:rsidP="00133AC8">
            <w:pPr>
              <w:pStyle w:val="Tabletext"/>
              <w:tabs>
                <w:tab w:val="decimal" w:pos="397"/>
              </w:tabs>
            </w:pPr>
            <w:r w:rsidRPr="00E93908">
              <w:t>15.1</w:t>
            </w:r>
          </w:p>
        </w:tc>
        <w:tc>
          <w:tcPr>
            <w:tcW w:w="1016" w:type="dxa"/>
            <w:shd w:val="clear" w:color="auto" w:fill="auto"/>
            <w:noWrap/>
            <w:hideMark/>
          </w:tcPr>
          <w:p w:rsidR="008332D5" w:rsidRPr="00E93908" w:rsidRDefault="008332D5" w:rsidP="00133AC8">
            <w:pPr>
              <w:pStyle w:val="Tabletext"/>
              <w:ind w:right="170"/>
              <w:jc w:val="right"/>
            </w:pPr>
            <w:r w:rsidRPr="00E93908">
              <w:t>658.1</w:t>
            </w:r>
          </w:p>
        </w:tc>
        <w:tc>
          <w:tcPr>
            <w:tcW w:w="1016" w:type="dxa"/>
            <w:shd w:val="clear" w:color="auto" w:fill="auto"/>
            <w:noWrap/>
            <w:hideMark/>
          </w:tcPr>
          <w:p w:rsidR="008332D5" w:rsidRPr="00E93908" w:rsidRDefault="008332D5" w:rsidP="00133AC8">
            <w:pPr>
              <w:pStyle w:val="Tabletext"/>
              <w:tabs>
                <w:tab w:val="decimal" w:pos="397"/>
              </w:tabs>
            </w:pPr>
            <w:r w:rsidRPr="00E93908">
              <w:t>13.4</w:t>
            </w:r>
          </w:p>
        </w:tc>
      </w:tr>
      <w:tr w:rsidR="008332D5" w:rsidRPr="00E93908" w:rsidTr="00E93908">
        <w:tc>
          <w:tcPr>
            <w:tcW w:w="2694" w:type="dxa"/>
            <w:shd w:val="clear" w:color="auto" w:fill="auto"/>
            <w:noWrap/>
            <w:hideMark/>
          </w:tcPr>
          <w:p w:rsidR="008332D5" w:rsidRPr="00E93908" w:rsidRDefault="008332D5" w:rsidP="00133AC8">
            <w:pPr>
              <w:pStyle w:val="Tabletext"/>
            </w:pPr>
            <w:r w:rsidRPr="00E93908">
              <w:t>Neither difficult nor easy</w:t>
            </w:r>
          </w:p>
        </w:tc>
        <w:tc>
          <w:tcPr>
            <w:tcW w:w="1015" w:type="dxa"/>
            <w:shd w:val="clear" w:color="auto" w:fill="auto"/>
            <w:noWrap/>
            <w:hideMark/>
          </w:tcPr>
          <w:p w:rsidR="008332D5" w:rsidRPr="00E93908" w:rsidRDefault="008332D5" w:rsidP="00133AC8">
            <w:pPr>
              <w:pStyle w:val="Tabletext"/>
              <w:ind w:right="170"/>
              <w:jc w:val="right"/>
            </w:pPr>
            <w:r w:rsidRPr="00E93908">
              <w:t>786.1</w:t>
            </w:r>
          </w:p>
        </w:tc>
        <w:tc>
          <w:tcPr>
            <w:tcW w:w="1016" w:type="dxa"/>
            <w:shd w:val="clear" w:color="auto" w:fill="auto"/>
            <w:noWrap/>
            <w:hideMark/>
          </w:tcPr>
          <w:p w:rsidR="008332D5" w:rsidRPr="00E93908" w:rsidRDefault="008332D5" w:rsidP="00133AC8">
            <w:pPr>
              <w:pStyle w:val="Tabletext"/>
              <w:tabs>
                <w:tab w:val="decimal" w:pos="397"/>
              </w:tabs>
            </w:pPr>
            <w:r w:rsidRPr="00E93908">
              <w:t>12.9</w:t>
            </w:r>
          </w:p>
        </w:tc>
        <w:tc>
          <w:tcPr>
            <w:tcW w:w="1016" w:type="dxa"/>
            <w:shd w:val="clear" w:color="auto" w:fill="auto"/>
            <w:noWrap/>
            <w:hideMark/>
          </w:tcPr>
          <w:p w:rsidR="008332D5" w:rsidRPr="00E93908" w:rsidRDefault="008332D5" w:rsidP="00133AC8">
            <w:pPr>
              <w:pStyle w:val="Tabletext"/>
              <w:ind w:right="170"/>
              <w:jc w:val="right"/>
            </w:pPr>
            <w:r w:rsidRPr="00E93908">
              <w:t>576.7</w:t>
            </w:r>
          </w:p>
        </w:tc>
        <w:tc>
          <w:tcPr>
            <w:tcW w:w="1016" w:type="dxa"/>
            <w:shd w:val="clear" w:color="auto" w:fill="auto"/>
            <w:noWrap/>
            <w:hideMark/>
          </w:tcPr>
          <w:p w:rsidR="008332D5" w:rsidRPr="00E93908" w:rsidRDefault="008332D5" w:rsidP="00133AC8">
            <w:pPr>
              <w:pStyle w:val="Tabletext"/>
              <w:tabs>
                <w:tab w:val="decimal" w:pos="397"/>
              </w:tabs>
            </w:pPr>
            <w:r w:rsidRPr="00E93908">
              <w:t>10.5</w:t>
            </w:r>
          </w:p>
        </w:tc>
        <w:tc>
          <w:tcPr>
            <w:tcW w:w="1016" w:type="dxa"/>
            <w:shd w:val="clear" w:color="auto" w:fill="auto"/>
            <w:noWrap/>
            <w:hideMark/>
          </w:tcPr>
          <w:p w:rsidR="008332D5" w:rsidRPr="00E93908" w:rsidRDefault="008332D5" w:rsidP="00133AC8">
            <w:pPr>
              <w:pStyle w:val="Tabletext"/>
              <w:ind w:right="170"/>
              <w:jc w:val="right"/>
            </w:pPr>
            <w:r w:rsidRPr="00E93908">
              <w:t>582.9</w:t>
            </w:r>
          </w:p>
        </w:tc>
        <w:tc>
          <w:tcPr>
            <w:tcW w:w="1016" w:type="dxa"/>
            <w:shd w:val="clear" w:color="auto" w:fill="auto"/>
            <w:noWrap/>
            <w:hideMark/>
          </w:tcPr>
          <w:p w:rsidR="008332D5" w:rsidRPr="00E93908" w:rsidRDefault="008332D5" w:rsidP="00133AC8">
            <w:pPr>
              <w:pStyle w:val="Tabletext"/>
              <w:tabs>
                <w:tab w:val="decimal" w:pos="397"/>
              </w:tabs>
            </w:pPr>
            <w:r w:rsidRPr="00E93908">
              <w:t>11.9</w:t>
            </w:r>
          </w:p>
        </w:tc>
      </w:tr>
      <w:tr w:rsidR="008332D5" w:rsidRPr="00E93908" w:rsidTr="00E93908">
        <w:tc>
          <w:tcPr>
            <w:tcW w:w="2694" w:type="dxa"/>
            <w:shd w:val="clear" w:color="auto" w:fill="auto"/>
            <w:noWrap/>
            <w:hideMark/>
          </w:tcPr>
          <w:p w:rsidR="008332D5" w:rsidRPr="00E93908" w:rsidRDefault="008332D5" w:rsidP="00133AC8">
            <w:pPr>
              <w:pStyle w:val="Tabletext"/>
            </w:pPr>
            <w:r w:rsidRPr="00E93908">
              <w:t>Fairly easy</w:t>
            </w:r>
          </w:p>
        </w:tc>
        <w:tc>
          <w:tcPr>
            <w:tcW w:w="1015" w:type="dxa"/>
            <w:shd w:val="clear" w:color="auto" w:fill="auto"/>
            <w:noWrap/>
            <w:hideMark/>
          </w:tcPr>
          <w:p w:rsidR="008332D5" w:rsidRPr="00E80180" w:rsidRDefault="008332D5" w:rsidP="00133AC8">
            <w:pPr>
              <w:pStyle w:val="Tabletext"/>
              <w:ind w:right="170"/>
              <w:jc w:val="right"/>
            </w:pPr>
            <w:r w:rsidRPr="00E80180">
              <w:t>3</w:t>
            </w:r>
            <w:r w:rsidR="00E93908" w:rsidRPr="00E80180">
              <w:t xml:space="preserve"> </w:t>
            </w:r>
            <w:r w:rsidRPr="00E80180">
              <w:t>194.4</w:t>
            </w:r>
          </w:p>
        </w:tc>
        <w:tc>
          <w:tcPr>
            <w:tcW w:w="1016" w:type="dxa"/>
            <w:shd w:val="clear" w:color="auto" w:fill="auto"/>
            <w:noWrap/>
            <w:hideMark/>
          </w:tcPr>
          <w:p w:rsidR="008332D5" w:rsidRPr="00E93908" w:rsidRDefault="008332D5" w:rsidP="00133AC8">
            <w:pPr>
              <w:pStyle w:val="Tabletext"/>
              <w:tabs>
                <w:tab w:val="decimal" w:pos="397"/>
              </w:tabs>
            </w:pPr>
            <w:r w:rsidRPr="00E93908">
              <w:t>52.6</w:t>
            </w:r>
          </w:p>
        </w:tc>
        <w:tc>
          <w:tcPr>
            <w:tcW w:w="1016" w:type="dxa"/>
            <w:shd w:val="clear" w:color="auto" w:fill="auto"/>
            <w:noWrap/>
            <w:hideMark/>
          </w:tcPr>
          <w:p w:rsidR="008332D5" w:rsidRPr="00E80180" w:rsidRDefault="008332D5" w:rsidP="00133AC8">
            <w:pPr>
              <w:pStyle w:val="Tabletext"/>
              <w:ind w:right="170"/>
              <w:jc w:val="right"/>
            </w:pPr>
            <w:r w:rsidRPr="00E80180">
              <w:t>2</w:t>
            </w:r>
            <w:r w:rsidR="00E93908" w:rsidRPr="00E80180">
              <w:t xml:space="preserve"> </w:t>
            </w:r>
            <w:r w:rsidRPr="00E80180">
              <w:t>868.8</w:t>
            </w:r>
          </w:p>
        </w:tc>
        <w:tc>
          <w:tcPr>
            <w:tcW w:w="1016" w:type="dxa"/>
            <w:shd w:val="clear" w:color="auto" w:fill="auto"/>
            <w:noWrap/>
            <w:hideMark/>
          </w:tcPr>
          <w:p w:rsidR="008332D5" w:rsidRPr="00E93908" w:rsidRDefault="008332D5" w:rsidP="00133AC8">
            <w:pPr>
              <w:pStyle w:val="Tabletext"/>
              <w:tabs>
                <w:tab w:val="decimal" w:pos="397"/>
              </w:tabs>
            </w:pPr>
            <w:r w:rsidRPr="00E93908">
              <w:t>52.4</w:t>
            </w:r>
          </w:p>
        </w:tc>
        <w:tc>
          <w:tcPr>
            <w:tcW w:w="1016" w:type="dxa"/>
            <w:shd w:val="clear" w:color="auto" w:fill="auto"/>
            <w:noWrap/>
            <w:hideMark/>
          </w:tcPr>
          <w:p w:rsidR="008332D5" w:rsidRPr="00E80180" w:rsidRDefault="008332D5" w:rsidP="00133AC8">
            <w:pPr>
              <w:pStyle w:val="Tabletext"/>
              <w:ind w:right="170"/>
              <w:jc w:val="right"/>
            </w:pPr>
            <w:r w:rsidRPr="00E80180">
              <w:t>2</w:t>
            </w:r>
            <w:r w:rsidR="00E93908" w:rsidRPr="00E80180">
              <w:t xml:space="preserve"> </w:t>
            </w:r>
            <w:r w:rsidRPr="00E80180">
              <w:t>498.2</w:t>
            </w:r>
          </w:p>
        </w:tc>
        <w:tc>
          <w:tcPr>
            <w:tcW w:w="1016" w:type="dxa"/>
            <w:shd w:val="clear" w:color="auto" w:fill="auto"/>
            <w:noWrap/>
            <w:hideMark/>
          </w:tcPr>
          <w:p w:rsidR="008332D5" w:rsidRPr="00E93908" w:rsidRDefault="008332D5" w:rsidP="00133AC8">
            <w:pPr>
              <w:pStyle w:val="Tabletext"/>
              <w:tabs>
                <w:tab w:val="decimal" w:pos="397"/>
              </w:tabs>
            </w:pPr>
            <w:r w:rsidRPr="00E93908">
              <w:t>51.0</w:t>
            </w:r>
          </w:p>
        </w:tc>
      </w:tr>
      <w:tr w:rsidR="008332D5" w:rsidRPr="00E93908" w:rsidTr="00E93908">
        <w:tc>
          <w:tcPr>
            <w:tcW w:w="2694" w:type="dxa"/>
            <w:tcBorders>
              <w:bottom w:val="single" w:sz="4" w:space="0" w:color="auto"/>
            </w:tcBorders>
            <w:shd w:val="clear" w:color="auto" w:fill="auto"/>
            <w:noWrap/>
            <w:hideMark/>
          </w:tcPr>
          <w:p w:rsidR="008332D5" w:rsidRPr="00E93908" w:rsidRDefault="008332D5" w:rsidP="00133AC8">
            <w:pPr>
              <w:pStyle w:val="Tabletext"/>
            </w:pPr>
            <w:r w:rsidRPr="00E93908">
              <w:t>Very easy</w:t>
            </w:r>
          </w:p>
        </w:tc>
        <w:tc>
          <w:tcPr>
            <w:tcW w:w="1015" w:type="dxa"/>
            <w:tcBorders>
              <w:bottom w:val="single" w:sz="4" w:space="0" w:color="auto"/>
            </w:tcBorders>
            <w:shd w:val="clear" w:color="auto" w:fill="auto"/>
            <w:noWrap/>
            <w:hideMark/>
          </w:tcPr>
          <w:p w:rsidR="008332D5" w:rsidRPr="00E80180" w:rsidRDefault="008332D5" w:rsidP="00133AC8">
            <w:pPr>
              <w:pStyle w:val="Tabletext"/>
              <w:ind w:right="170"/>
              <w:jc w:val="right"/>
            </w:pPr>
            <w:r w:rsidRPr="00E80180">
              <w:t>1</w:t>
            </w:r>
            <w:r w:rsidR="00E93908" w:rsidRPr="00E80180">
              <w:t xml:space="preserve"> </w:t>
            </w:r>
            <w:r w:rsidRPr="00E80180">
              <w:t>167.6</w:t>
            </w:r>
          </w:p>
        </w:tc>
        <w:tc>
          <w:tcPr>
            <w:tcW w:w="1016" w:type="dxa"/>
            <w:tcBorders>
              <w:bottom w:val="single" w:sz="4" w:space="0" w:color="auto"/>
            </w:tcBorders>
            <w:shd w:val="clear" w:color="auto" w:fill="auto"/>
            <w:noWrap/>
            <w:hideMark/>
          </w:tcPr>
          <w:p w:rsidR="008332D5" w:rsidRPr="00E93908" w:rsidRDefault="008332D5" w:rsidP="00133AC8">
            <w:pPr>
              <w:pStyle w:val="Tabletext"/>
              <w:tabs>
                <w:tab w:val="decimal" w:pos="397"/>
              </w:tabs>
            </w:pPr>
            <w:r w:rsidRPr="00E93908">
              <w:t>19.2</w:t>
            </w:r>
          </w:p>
        </w:tc>
        <w:tc>
          <w:tcPr>
            <w:tcW w:w="1016" w:type="dxa"/>
            <w:tcBorders>
              <w:bottom w:val="single" w:sz="4" w:space="0" w:color="auto"/>
            </w:tcBorders>
            <w:shd w:val="clear" w:color="auto" w:fill="auto"/>
            <w:noWrap/>
            <w:hideMark/>
          </w:tcPr>
          <w:p w:rsidR="008332D5" w:rsidRPr="00E80180" w:rsidRDefault="008332D5" w:rsidP="00133AC8">
            <w:pPr>
              <w:pStyle w:val="Tabletext"/>
              <w:ind w:right="170"/>
              <w:jc w:val="right"/>
            </w:pPr>
            <w:r w:rsidRPr="00E80180">
              <w:t>1</w:t>
            </w:r>
            <w:r w:rsidR="00E93908" w:rsidRPr="00E80180">
              <w:t xml:space="preserve"> </w:t>
            </w:r>
            <w:r w:rsidRPr="00E80180">
              <w:t>047.5</w:t>
            </w:r>
          </w:p>
        </w:tc>
        <w:tc>
          <w:tcPr>
            <w:tcW w:w="1016" w:type="dxa"/>
            <w:tcBorders>
              <w:bottom w:val="single" w:sz="4" w:space="0" w:color="auto"/>
            </w:tcBorders>
            <w:shd w:val="clear" w:color="auto" w:fill="auto"/>
            <w:noWrap/>
            <w:hideMark/>
          </w:tcPr>
          <w:p w:rsidR="008332D5" w:rsidRPr="00E93908" w:rsidRDefault="008332D5" w:rsidP="00133AC8">
            <w:pPr>
              <w:pStyle w:val="Tabletext"/>
              <w:tabs>
                <w:tab w:val="decimal" w:pos="397"/>
              </w:tabs>
            </w:pPr>
            <w:r w:rsidRPr="00E93908">
              <w:t>19.1</w:t>
            </w:r>
          </w:p>
        </w:tc>
        <w:tc>
          <w:tcPr>
            <w:tcW w:w="1016" w:type="dxa"/>
            <w:tcBorders>
              <w:bottom w:val="single" w:sz="4" w:space="0" w:color="auto"/>
            </w:tcBorders>
            <w:shd w:val="clear" w:color="auto" w:fill="auto"/>
            <w:noWrap/>
            <w:hideMark/>
          </w:tcPr>
          <w:p w:rsidR="008332D5" w:rsidRPr="00E80180" w:rsidRDefault="008332D5" w:rsidP="00133AC8">
            <w:pPr>
              <w:pStyle w:val="Tabletext"/>
              <w:ind w:right="170"/>
              <w:jc w:val="right"/>
            </w:pPr>
            <w:r w:rsidRPr="00E80180">
              <w:t>1</w:t>
            </w:r>
            <w:r w:rsidR="00E93908" w:rsidRPr="00E80180">
              <w:t xml:space="preserve"> </w:t>
            </w:r>
            <w:r w:rsidRPr="00E80180">
              <w:t>039.6</w:t>
            </w:r>
          </w:p>
        </w:tc>
        <w:tc>
          <w:tcPr>
            <w:tcW w:w="1016" w:type="dxa"/>
            <w:tcBorders>
              <w:bottom w:val="single" w:sz="4" w:space="0" w:color="auto"/>
            </w:tcBorders>
            <w:shd w:val="clear" w:color="auto" w:fill="auto"/>
            <w:noWrap/>
            <w:hideMark/>
          </w:tcPr>
          <w:p w:rsidR="008332D5" w:rsidRPr="00E93908" w:rsidRDefault="008332D5" w:rsidP="00133AC8">
            <w:pPr>
              <w:pStyle w:val="Tabletext"/>
              <w:tabs>
                <w:tab w:val="decimal" w:pos="397"/>
              </w:tabs>
            </w:pPr>
            <w:r w:rsidRPr="00E93908">
              <w:t>21.2</w:t>
            </w:r>
          </w:p>
        </w:tc>
      </w:tr>
    </w:tbl>
    <w:p w:rsidR="008332D5" w:rsidRDefault="008332D5" w:rsidP="008332D5">
      <w:pPr>
        <w:pStyle w:val="Source"/>
        <w:rPr>
          <w:lang w:val="en-GB"/>
        </w:rPr>
      </w:pPr>
      <w:r>
        <w:rPr>
          <w:lang w:val="en-GB"/>
        </w:rPr>
        <w:t>Source:</w:t>
      </w:r>
      <w:r w:rsidR="00DE3303">
        <w:rPr>
          <w:lang w:val="en-GB"/>
        </w:rPr>
        <w:tab/>
      </w:r>
      <w:r>
        <w:rPr>
          <w:lang w:val="en-GB"/>
        </w:rPr>
        <w:t>LSAY Y03 cohort</w:t>
      </w:r>
      <w:r w:rsidR="009C32F6">
        <w:rPr>
          <w:lang w:val="en-GB"/>
        </w:rPr>
        <w:t>,</w:t>
      </w:r>
      <w:r>
        <w:rPr>
          <w:lang w:val="en-GB"/>
        </w:rPr>
        <w:t xml:space="preserve"> 2008-2010 (weighted counts)</w:t>
      </w:r>
      <w:r w:rsidR="00B94882">
        <w:rPr>
          <w:lang w:val="en-GB"/>
        </w:rPr>
        <w:t>.</w:t>
      </w:r>
    </w:p>
    <w:p w:rsidR="008332D5" w:rsidRDefault="008332D5" w:rsidP="00DE3303">
      <w:pPr>
        <w:pStyle w:val="Textmorebefore"/>
      </w:pPr>
      <w:r>
        <w:t xml:space="preserve">During the same </w:t>
      </w:r>
      <w:r w:rsidR="007207F8">
        <w:t xml:space="preserve">survey </w:t>
      </w:r>
      <w:r>
        <w:t>period, the survey asks young people a series of questions relating to shortage of money. Th</w:t>
      </w:r>
      <w:r w:rsidR="00B94882">
        <w:t xml:space="preserve">ese questions are based on the </w:t>
      </w:r>
      <w:r>
        <w:t>ABS</w:t>
      </w:r>
      <w:r>
        <w:rPr>
          <w:rStyle w:val="FootnoteReference"/>
        </w:rPr>
        <w:footnoteReference w:id="7"/>
      </w:r>
      <w:r>
        <w:t xml:space="preserve"> indicators of financial stress from the Household Expenditure Survey (HES) and largely </w:t>
      </w:r>
      <w:r w:rsidR="007207F8">
        <w:t xml:space="preserve">focus on items relating to cash </w:t>
      </w:r>
      <w:r w:rsidR="00B94882">
        <w:t>flow problems and hardship (ABS 2002; Bray</w:t>
      </w:r>
      <w:r>
        <w:t xml:space="preserve"> 2001).</w:t>
      </w:r>
    </w:p>
    <w:p w:rsidR="00A7791F" w:rsidRDefault="00A7791F">
      <w:pPr>
        <w:spacing w:before="0" w:after="200" w:line="276" w:lineRule="auto"/>
        <w:rPr>
          <w:lang w:val="en-GB"/>
        </w:rPr>
      </w:pPr>
      <w:r>
        <w:rPr>
          <w:lang w:val="en-GB"/>
        </w:rPr>
        <w:br w:type="page"/>
      </w:r>
    </w:p>
    <w:p w:rsidR="00C566AD" w:rsidRPr="0030064B" w:rsidRDefault="008332D5" w:rsidP="008332D5">
      <w:pPr>
        <w:pStyle w:val="Text"/>
      </w:pPr>
      <w:r>
        <w:rPr>
          <w:lang w:val="en-GB"/>
        </w:rPr>
        <w:t>Table 3 shows that</w:t>
      </w:r>
      <w:r w:rsidR="007207F8">
        <w:rPr>
          <w:lang w:val="en-GB"/>
        </w:rPr>
        <w:t>,</w:t>
      </w:r>
      <w:r>
        <w:rPr>
          <w:lang w:val="en-GB"/>
        </w:rPr>
        <w:t xml:space="preserve"> by about 20 years of age (when the majority of the cohort has left school and are either in work or post-school study), a substantial proporti</w:t>
      </w:r>
      <w:r w:rsidR="007207F8">
        <w:rPr>
          <w:lang w:val="en-GB"/>
        </w:rPr>
        <w:t xml:space="preserve">on of LSAY respondents are </w:t>
      </w:r>
      <w:r>
        <w:rPr>
          <w:lang w:val="en-GB"/>
        </w:rPr>
        <w:t>experiencing financial stres</w:t>
      </w:r>
      <w:r w:rsidR="007207F8">
        <w:rPr>
          <w:lang w:val="en-GB"/>
        </w:rPr>
        <w:t>s across a number of indicators. T</w:t>
      </w:r>
      <w:r>
        <w:rPr>
          <w:lang w:val="en-GB"/>
        </w:rPr>
        <w:t xml:space="preserve">he most common </w:t>
      </w:r>
      <w:r w:rsidR="004D1886">
        <w:rPr>
          <w:lang w:val="en-GB"/>
        </w:rPr>
        <w:t>stress indicator was having to</w:t>
      </w:r>
      <w:r>
        <w:rPr>
          <w:lang w:val="en-GB"/>
        </w:rPr>
        <w:t xml:space="preserve"> ask family o</w:t>
      </w:r>
      <w:r w:rsidR="002778FE">
        <w:rPr>
          <w:lang w:val="en-GB"/>
        </w:rPr>
        <w:t>r friends for money (around one-</w:t>
      </w:r>
      <w:r>
        <w:rPr>
          <w:lang w:val="en-GB"/>
        </w:rPr>
        <w:t>third</w:t>
      </w:r>
      <w:r w:rsidR="002778FE">
        <w:rPr>
          <w:lang w:val="en-GB"/>
        </w:rPr>
        <w:t>);</w:t>
      </w:r>
      <w:r w:rsidR="009C1878">
        <w:rPr>
          <w:lang w:val="en-GB"/>
        </w:rPr>
        <w:t xml:space="preserve"> less common was not being able to afford to heat their home</w:t>
      </w:r>
      <w:r w:rsidR="0030064B">
        <w:rPr>
          <w:lang w:val="en-GB"/>
        </w:rPr>
        <w:t xml:space="preserve"> (around 5%).</w:t>
      </w:r>
    </w:p>
    <w:p w:rsidR="008332D5" w:rsidRDefault="008332D5" w:rsidP="008332D5">
      <w:pPr>
        <w:pStyle w:val="Text"/>
        <w:rPr>
          <w:lang w:val="en-GB"/>
        </w:rPr>
      </w:pPr>
      <w:r>
        <w:rPr>
          <w:lang w:val="en-GB"/>
        </w:rPr>
        <w:t>These proportions remain relatively similar across cohorts.</w:t>
      </w:r>
      <w:r w:rsidR="00493CBD" w:rsidRPr="00493CBD">
        <w:t xml:space="preserve"> </w:t>
      </w:r>
      <w:r w:rsidR="002778FE">
        <w:t>Between the Y98 cohort in 2003 and the Y06 cohort in 2010 t</w:t>
      </w:r>
      <w:r w:rsidR="00493CBD" w:rsidRPr="00493CBD">
        <w:t>here is a reduction in the proportion</w:t>
      </w:r>
      <w:r w:rsidR="002B66FB">
        <w:t>s</w:t>
      </w:r>
      <w:r w:rsidR="00493CBD" w:rsidRPr="00493CBD">
        <w:t xml:space="preserve"> </w:t>
      </w:r>
      <w:r w:rsidR="00493CBD">
        <w:t xml:space="preserve">of respondents </w:t>
      </w:r>
      <w:r w:rsidR="00493CBD" w:rsidRPr="00493CBD">
        <w:t>who asked family or friends for money</w:t>
      </w:r>
      <w:r w:rsidR="002B66FB">
        <w:t xml:space="preserve"> </w:t>
      </w:r>
      <w:r w:rsidR="00C566AD">
        <w:t xml:space="preserve">and who can afford to </w:t>
      </w:r>
      <w:r w:rsidR="00145B56">
        <w:t xml:space="preserve">pay </w:t>
      </w:r>
      <w:r w:rsidR="00145B56">
        <w:rPr>
          <w:lang w:val="en-GB"/>
        </w:rPr>
        <w:t xml:space="preserve">household </w:t>
      </w:r>
      <w:r w:rsidR="00C566AD">
        <w:t xml:space="preserve">bills </w:t>
      </w:r>
      <w:r w:rsidR="00145B56">
        <w:t>on</w:t>
      </w:r>
      <w:r w:rsidR="002778FE">
        <w:t xml:space="preserve"> time.</w:t>
      </w:r>
      <w:r w:rsidR="00C566AD">
        <w:t xml:space="preserve"> </w:t>
      </w:r>
      <w:r w:rsidR="00493CBD">
        <w:t xml:space="preserve">The </w:t>
      </w:r>
      <w:r w:rsidR="002A3D69">
        <w:t>reasons for th</w:t>
      </w:r>
      <w:r w:rsidR="00D3033E">
        <w:t xml:space="preserve">ese </w:t>
      </w:r>
      <w:r w:rsidR="002A3D69">
        <w:t>decline</w:t>
      </w:r>
      <w:r w:rsidR="00D3033E">
        <w:t>s</w:t>
      </w:r>
      <w:r w:rsidR="002A3D69">
        <w:t xml:space="preserve"> are</w:t>
      </w:r>
      <w:r w:rsidR="00493CBD">
        <w:t xml:space="preserve"> unknown</w:t>
      </w:r>
      <w:r w:rsidR="002B66FB">
        <w:t xml:space="preserve"> and could be related to the different survey design between these cohorts</w:t>
      </w:r>
      <w:r w:rsidR="002A3D69">
        <w:t>.</w:t>
      </w:r>
      <w:r w:rsidR="00AC49AC">
        <w:rPr>
          <w:rStyle w:val="FootnoteReference"/>
        </w:rPr>
        <w:footnoteReference w:id="8"/>
      </w:r>
      <w:r w:rsidR="002A3D69">
        <w:t xml:space="preserve"> I</w:t>
      </w:r>
      <w:r w:rsidR="00493CBD">
        <w:t xml:space="preserve">t is </w:t>
      </w:r>
      <w:r w:rsidR="002A3D69">
        <w:t xml:space="preserve">also </w:t>
      </w:r>
      <w:r w:rsidR="00493CBD">
        <w:t>interesting</w:t>
      </w:r>
      <w:r w:rsidR="00493CBD" w:rsidRPr="00493CBD">
        <w:t xml:space="preserve"> that the G</w:t>
      </w:r>
      <w:r w:rsidR="00493CBD">
        <w:t xml:space="preserve">lobal </w:t>
      </w:r>
      <w:r w:rsidR="00493CBD" w:rsidRPr="00493CBD">
        <w:t>F</w:t>
      </w:r>
      <w:r w:rsidR="00493CBD">
        <w:t xml:space="preserve">inancial </w:t>
      </w:r>
      <w:r w:rsidR="00493CBD" w:rsidRPr="00493CBD">
        <w:t>C</w:t>
      </w:r>
      <w:r w:rsidR="00493CBD">
        <w:t>risis</w:t>
      </w:r>
      <w:r w:rsidR="00493CBD" w:rsidRPr="00493CBD">
        <w:t xml:space="preserve"> does not appear to have had much of an impact on financ</w:t>
      </w:r>
      <w:r w:rsidR="002A3D69">
        <w:t xml:space="preserve">ial stress in the later cohort, </w:t>
      </w:r>
      <w:r w:rsidR="00493CBD" w:rsidRPr="00493CBD">
        <w:t>although the increase in the proportion of young people living at</w:t>
      </w:r>
      <w:r w:rsidR="002A3D69">
        <w:t xml:space="preserve"> home may also be a factor here</w:t>
      </w:r>
      <w:r w:rsidR="00493CBD" w:rsidRPr="00493CBD">
        <w:t>.</w:t>
      </w:r>
      <w:r>
        <w:rPr>
          <w:lang w:val="en-GB"/>
        </w:rPr>
        <w:t xml:space="preserve"> </w:t>
      </w:r>
    </w:p>
    <w:p w:rsidR="008332D5" w:rsidRDefault="00C55075" w:rsidP="008332D5">
      <w:pPr>
        <w:pStyle w:val="tabletitle"/>
        <w:rPr>
          <w:lang w:val="en-GB"/>
        </w:rPr>
      </w:pPr>
      <w:bookmarkStart w:id="39" w:name="_Toc388884917"/>
      <w:r>
        <w:rPr>
          <w:lang w:val="en-GB"/>
        </w:rPr>
        <w:t>Table 3</w:t>
      </w:r>
      <w:r>
        <w:rPr>
          <w:lang w:val="en-GB"/>
        </w:rPr>
        <w:tab/>
      </w:r>
      <w:r w:rsidR="008332D5">
        <w:rPr>
          <w:lang w:val="en-GB"/>
        </w:rPr>
        <w:t xml:space="preserve">Indicators of financial stress </w:t>
      </w:r>
      <w:r w:rsidR="00586C1C">
        <w:rPr>
          <w:lang w:val="en-GB"/>
        </w:rPr>
        <w:t>of LSAY respondents at age 20</w:t>
      </w:r>
      <w:r w:rsidR="00B865AC">
        <w:rPr>
          <w:lang w:val="en-GB"/>
        </w:rPr>
        <w:t xml:space="preserve"> years</w:t>
      </w:r>
      <w:r>
        <w:rPr>
          <w:lang w:val="en-GB"/>
        </w:rPr>
        <w:t xml:space="preserve">, </w:t>
      </w:r>
      <w:r w:rsidR="009C32F6">
        <w:rPr>
          <w:lang w:val="en-GB"/>
        </w:rPr>
        <w:t>2003 and 20</w:t>
      </w:r>
      <w:r>
        <w:rPr>
          <w:lang w:val="en-GB"/>
        </w:rPr>
        <w:t>10</w:t>
      </w:r>
      <w:bookmarkEnd w:id="39"/>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063"/>
        <w:gridCol w:w="1063"/>
        <w:gridCol w:w="1063"/>
        <w:gridCol w:w="1064"/>
      </w:tblGrid>
      <w:tr w:rsidR="008332D5" w:rsidRPr="00133AC8" w:rsidTr="00A7791F">
        <w:tc>
          <w:tcPr>
            <w:tcW w:w="4536" w:type="dxa"/>
            <w:tcBorders>
              <w:top w:val="single" w:sz="4" w:space="0" w:color="auto"/>
            </w:tcBorders>
          </w:tcPr>
          <w:p w:rsidR="008332D5" w:rsidRPr="00133AC8" w:rsidRDefault="008332D5" w:rsidP="00133AC8">
            <w:pPr>
              <w:pStyle w:val="Tablehead1"/>
            </w:pPr>
            <w:r w:rsidRPr="00133AC8">
              <w:t>Indicators of financial stress</w:t>
            </w:r>
          </w:p>
        </w:tc>
        <w:tc>
          <w:tcPr>
            <w:tcW w:w="2126" w:type="dxa"/>
            <w:gridSpan w:val="2"/>
            <w:tcBorders>
              <w:top w:val="single" w:sz="4" w:space="0" w:color="auto"/>
            </w:tcBorders>
          </w:tcPr>
          <w:p w:rsidR="008332D5" w:rsidRPr="00133AC8" w:rsidRDefault="008332D5" w:rsidP="00133AC8">
            <w:pPr>
              <w:pStyle w:val="Tablehead1"/>
              <w:jc w:val="center"/>
            </w:pPr>
            <w:r w:rsidRPr="00133AC8">
              <w:t>2003</w:t>
            </w:r>
          </w:p>
        </w:tc>
        <w:tc>
          <w:tcPr>
            <w:tcW w:w="2127" w:type="dxa"/>
            <w:gridSpan w:val="2"/>
            <w:tcBorders>
              <w:top w:val="single" w:sz="4" w:space="0" w:color="auto"/>
            </w:tcBorders>
          </w:tcPr>
          <w:p w:rsidR="008332D5" w:rsidRPr="00133AC8" w:rsidRDefault="008332D5" w:rsidP="00133AC8">
            <w:pPr>
              <w:pStyle w:val="Tablehead1"/>
              <w:jc w:val="center"/>
            </w:pPr>
            <w:r w:rsidRPr="00133AC8">
              <w:t>2010</w:t>
            </w:r>
          </w:p>
        </w:tc>
      </w:tr>
      <w:tr w:rsidR="008332D5" w:rsidRPr="00133AC8" w:rsidTr="00A7791F">
        <w:tc>
          <w:tcPr>
            <w:tcW w:w="4536" w:type="dxa"/>
            <w:tcBorders>
              <w:bottom w:val="single" w:sz="4" w:space="0" w:color="auto"/>
            </w:tcBorders>
          </w:tcPr>
          <w:p w:rsidR="008332D5" w:rsidRPr="00133AC8" w:rsidRDefault="008332D5" w:rsidP="00A7791F">
            <w:pPr>
              <w:pStyle w:val="Tablehead2"/>
              <w:jc w:val="center"/>
            </w:pPr>
          </w:p>
        </w:tc>
        <w:tc>
          <w:tcPr>
            <w:tcW w:w="1063" w:type="dxa"/>
            <w:tcBorders>
              <w:bottom w:val="single" w:sz="4" w:space="0" w:color="auto"/>
            </w:tcBorders>
          </w:tcPr>
          <w:p w:rsidR="008332D5" w:rsidRPr="00133AC8" w:rsidRDefault="009C32F6" w:rsidP="00A7791F">
            <w:pPr>
              <w:pStyle w:val="Tablehead2"/>
              <w:jc w:val="center"/>
            </w:pPr>
            <w:r w:rsidRPr="00133AC8">
              <w:t>N</w:t>
            </w:r>
          </w:p>
        </w:tc>
        <w:tc>
          <w:tcPr>
            <w:tcW w:w="1063" w:type="dxa"/>
            <w:tcBorders>
              <w:bottom w:val="single" w:sz="4" w:space="0" w:color="auto"/>
            </w:tcBorders>
          </w:tcPr>
          <w:p w:rsidR="008332D5" w:rsidRPr="00133AC8" w:rsidRDefault="008332D5" w:rsidP="00A7791F">
            <w:pPr>
              <w:pStyle w:val="Tablehead2"/>
              <w:jc w:val="center"/>
            </w:pPr>
            <w:r w:rsidRPr="00133AC8">
              <w:t>% of cohort</w:t>
            </w:r>
          </w:p>
        </w:tc>
        <w:tc>
          <w:tcPr>
            <w:tcW w:w="1063" w:type="dxa"/>
            <w:tcBorders>
              <w:bottom w:val="single" w:sz="4" w:space="0" w:color="auto"/>
            </w:tcBorders>
          </w:tcPr>
          <w:p w:rsidR="008332D5" w:rsidRPr="00133AC8" w:rsidRDefault="009C32F6" w:rsidP="00A7791F">
            <w:pPr>
              <w:pStyle w:val="Tablehead2"/>
              <w:jc w:val="center"/>
            </w:pPr>
            <w:r w:rsidRPr="00133AC8">
              <w:t>N</w:t>
            </w:r>
          </w:p>
        </w:tc>
        <w:tc>
          <w:tcPr>
            <w:tcW w:w="1064" w:type="dxa"/>
            <w:tcBorders>
              <w:bottom w:val="single" w:sz="4" w:space="0" w:color="auto"/>
            </w:tcBorders>
          </w:tcPr>
          <w:p w:rsidR="008332D5" w:rsidRPr="00133AC8" w:rsidRDefault="008332D5" w:rsidP="00A7791F">
            <w:pPr>
              <w:pStyle w:val="Tablehead2"/>
              <w:jc w:val="center"/>
            </w:pPr>
            <w:r w:rsidRPr="00133AC8">
              <w:t>% of cohort</w:t>
            </w:r>
          </w:p>
        </w:tc>
      </w:tr>
      <w:tr w:rsidR="00A7791F" w:rsidTr="00A7791F">
        <w:tc>
          <w:tcPr>
            <w:tcW w:w="4536" w:type="dxa"/>
            <w:tcBorders>
              <w:top w:val="single" w:sz="4" w:space="0" w:color="auto"/>
            </w:tcBorders>
          </w:tcPr>
          <w:p w:rsidR="00A7791F" w:rsidRDefault="00A7791F" w:rsidP="00A7791F">
            <w:pPr>
              <w:pStyle w:val="Tablehead2"/>
              <w:spacing w:before="80" w:after="80"/>
              <w:rPr>
                <w:lang w:val="en-GB"/>
              </w:rPr>
            </w:pPr>
            <w:r>
              <w:rPr>
                <w:lang w:val="en-GB"/>
              </w:rPr>
              <w:t>Average age of cohort (years)</w:t>
            </w:r>
          </w:p>
        </w:tc>
        <w:tc>
          <w:tcPr>
            <w:tcW w:w="2126" w:type="dxa"/>
            <w:gridSpan w:val="2"/>
            <w:tcBorders>
              <w:top w:val="single" w:sz="4" w:space="0" w:color="auto"/>
            </w:tcBorders>
          </w:tcPr>
          <w:p w:rsidR="00A7791F" w:rsidRDefault="00A7791F" w:rsidP="00A7791F">
            <w:pPr>
              <w:pStyle w:val="Tablehead2"/>
              <w:spacing w:before="80" w:after="80"/>
              <w:jc w:val="center"/>
              <w:rPr>
                <w:lang w:val="en-GB"/>
              </w:rPr>
            </w:pPr>
            <w:r>
              <w:rPr>
                <w:lang w:val="en-GB"/>
              </w:rPr>
              <w:t>19.5 (Y98)</w:t>
            </w:r>
            <w:r w:rsidRPr="00B865AC">
              <w:rPr>
                <w:vertAlign w:val="superscript"/>
                <w:lang w:val="en-GB"/>
              </w:rPr>
              <w:t>1</w:t>
            </w:r>
          </w:p>
        </w:tc>
        <w:tc>
          <w:tcPr>
            <w:tcW w:w="2127" w:type="dxa"/>
            <w:gridSpan w:val="2"/>
            <w:tcBorders>
              <w:top w:val="single" w:sz="4" w:space="0" w:color="auto"/>
            </w:tcBorders>
          </w:tcPr>
          <w:p w:rsidR="00A7791F" w:rsidRDefault="00A7791F" w:rsidP="00A7791F">
            <w:pPr>
              <w:pStyle w:val="Tablehead2"/>
              <w:spacing w:before="80" w:after="80"/>
              <w:jc w:val="center"/>
              <w:rPr>
                <w:lang w:val="en-GB"/>
              </w:rPr>
            </w:pPr>
            <w:r>
              <w:rPr>
                <w:lang w:val="en-GB"/>
              </w:rPr>
              <w:t>19.7 (Y06)</w:t>
            </w:r>
            <w:r w:rsidRPr="00B865AC">
              <w:rPr>
                <w:vertAlign w:val="superscript"/>
                <w:lang w:val="en-GB"/>
              </w:rPr>
              <w:t>1</w:t>
            </w:r>
          </w:p>
        </w:tc>
      </w:tr>
      <w:tr w:rsidR="008332D5" w:rsidTr="00A7791F">
        <w:tc>
          <w:tcPr>
            <w:tcW w:w="4536" w:type="dxa"/>
          </w:tcPr>
          <w:p w:rsidR="008332D5" w:rsidRDefault="008332D5" w:rsidP="00133AC8">
            <w:pPr>
              <w:pStyle w:val="Tabletext"/>
              <w:rPr>
                <w:lang w:val="en-GB"/>
              </w:rPr>
            </w:pPr>
            <w:r>
              <w:rPr>
                <w:lang w:val="en-GB"/>
              </w:rPr>
              <w:t>You sold something because you needed money</w:t>
            </w:r>
          </w:p>
        </w:tc>
        <w:tc>
          <w:tcPr>
            <w:tcW w:w="1063" w:type="dxa"/>
          </w:tcPr>
          <w:p w:rsidR="008332D5" w:rsidRDefault="008332D5" w:rsidP="00133AC8">
            <w:pPr>
              <w:pStyle w:val="Tabletext"/>
              <w:ind w:right="284"/>
              <w:jc w:val="right"/>
              <w:rPr>
                <w:lang w:val="en-GB"/>
              </w:rPr>
            </w:pPr>
            <w:r>
              <w:rPr>
                <w:lang w:val="en-GB"/>
              </w:rPr>
              <w:t>515</w:t>
            </w:r>
          </w:p>
        </w:tc>
        <w:tc>
          <w:tcPr>
            <w:tcW w:w="1063" w:type="dxa"/>
          </w:tcPr>
          <w:p w:rsidR="008332D5" w:rsidRDefault="008332D5" w:rsidP="00133AC8">
            <w:pPr>
              <w:pStyle w:val="Tabletext"/>
              <w:tabs>
                <w:tab w:val="decimal" w:pos="397"/>
              </w:tabs>
              <w:rPr>
                <w:lang w:val="en-GB"/>
              </w:rPr>
            </w:pPr>
            <w:r>
              <w:rPr>
                <w:lang w:val="en-GB"/>
              </w:rPr>
              <w:t>7.5</w:t>
            </w:r>
          </w:p>
        </w:tc>
        <w:tc>
          <w:tcPr>
            <w:tcW w:w="1063" w:type="dxa"/>
          </w:tcPr>
          <w:p w:rsidR="008332D5" w:rsidRDefault="008332D5" w:rsidP="00133AC8">
            <w:pPr>
              <w:pStyle w:val="Tabletext"/>
              <w:ind w:right="284"/>
              <w:jc w:val="right"/>
              <w:rPr>
                <w:lang w:val="en-GB"/>
              </w:rPr>
            </w:pPr>
            <w:r>
              <w:rPr>
                <w:lang w:val="en-GB"/>
              </w:rPr>
              <w:t>556</w:t>
            </w:r>
          </w:p>
        </w:tc>
        <w:tc>
          <w:tcPr>
            <w:tcW w:w="1064" w:type="dxa"/>
          </w:tcPr>
          <w:p w:rsidR="008332D5" w:rsidRDefault="008332D5" w:rsidP="00133AC8">
            <w:pPr>
              <w:pStyle w:val="Tabletext"/>
              <w:tabs>
                <w:tab w:val="decimal" w:pos="397"/>
              </w:tabs>
              <w:rPr>
                <w:lang w:val="en-GB"/>
              </w:rPr>
            </w:pPr>
            <w:r>
              <w:rPr>
                <w:lang w:val="en-GB"/>
              </w:rPr>
              <w:t>8.8</w:t>
            </w:r>
          </w:p>
        </w:tc>
      </w:tr>
      <w:tr w:rsidR="008332D5" w:rsidTr="00133AC8">
        <w:tc>
          <w:tcPr>
            <w:tcW w:w="4536" w:type="dxa"/>
          </w:tcPr>
          <w:p w:rsidR="008332D5" w:rsidRDefault="008332D5" w:rsidP="00133AC8">
            <w:pPr>
              <w:pStyle w:val="Tabletext"/>
              <w:rPr>
                <w:lang w:val="en-GB"/>
              </w:rPr>
            </w:pPr>
            <w:r>
              <w:rPr>
                <w:lang w:val="en-GB"/>
              </w:rPr>
              <w:t>You went without meals</w:t>
            </w:r>
          </w:p>
        </w:tc>
        <w:tc>
          <w:tcPr>
            <w:tcW w:w="1063" w:type="dxa"/>
          </w:tcPr>
          <w:p w:rsidR="008332D5" w:rsidRDefault="008332D5" w:rsidP="00133AC8">
            <w:pPr>
              <w:pStyle w:val="Tabletext"/>
              <w:ind w:right="284"/>
              <w:jc w:val="right"/>
              <w:rPr>
                <w:lang w:val="en-GB"/>
              </w:rPr>
            </w:pPr>
            <w:r>
              <w:rPr>
                <w:lang w:val="en-GB"/>
              </w:rPr>
              <w:t>438</w:t>
            </w:r>
          </w:p>
        </w:tc>
        <w:tc>
          <w:tcPr>
            <w:tcW w:w="1063" w:type="dxa"/>
          </w:tcPr>
          <w:p w:rsidR="008332D5" w:rsidRDefault="008332D5" w:rsidP="00133AC8">
            <w:pPr>
              <w:pStyle w:val="Tabletext"/>
              <w:tabs>
                <w:tab w:val="decimal" w:pos="397"/>
              </w:tabs>
              <w:rPr>
                <w:lang w:val="en-GB"/>
              </w:rPr>
            </w:pPr>
            <w:r>
              <w:rPr>
                <w:lang w:val="en-GB"/>
              </w:rPr>
              <w:t>6.3</w:t>
            </w:r>
          </w:p>
        </w:tc>
        <w:tc>
          <w:tcPr>
            <w:tcW w:w="1063" w:type="dxa"/>
          </w:tcPr>
          <w:p w:rsidR="008332D5" w:rsidRDefault="008332D5" w:rsidP="00133AC8">
            <w:pPr>
              <w:pStyle w:val="Tabletext"/>
              <w:ind w:right="284"/>
              <w:jc w:val="right"/>
              <w:rPr>
                <w:lang w:val="en-GB"/>
              </w:rPr>
            </w:pPr>
            <w:r>
              <w:rPr>
                <w:lang w:val="en-GB"/>
              </w:rPr>
              <w:t>428</w:t>
            </w:r>
          </w:p>
        </w:tc>
        <w:tc>
          <w:tcPr>
            <w:tcW w:w="1064" w:type="dxa"/>
          </w:tcPr>
          <w:p w:rsidR="008332D5" w:rsidRDefault="008332D5" w:rsidP="00133AC8">
            <w:pPr>
              <w:pStyle w:val="Tabletext"/>
              <w:tabs>
                <w:tab w:val="decimal" w:pos="397"/>
              </w:tabs>
              <w:rPr>
                <w:lang w:val="en-GB"/>
              </w:rPr>
            </w:pPr>
            <w:r>
              <w:rPr>
                <w:lang w:val="en-GB"/>
              </w:rPr>
              <w:t>6.8</w:t>
            </w:r>
          </w:p>
        </w:tc>
      </w:tr>
      <w:tr w:rsidR="008332D5" w:rsidTr="00133AC8">
        <w:tc>
          <w:tcPr>
            <w:tcW w:w="4536" w:type="dxa"/>
          </w:tcPr>
          <w:p w:rsidR="008332D5" w:rsidRDefault="008332D5" w:rsidP="00133AC8">
            <w:pPr>
              <w:pStyle w:val="Tabletext"/>
              <w:rPr>
                <w:lang w:val="en-GB"/>
              </w:rPr>
            </w:pPr>
            <w:r>
              <w:rPr>
                <w:lang w:val="en-GB"/>
              </w:rPr>
              <w:t>You had to ask family or friends for money</w:t>
            </w:r>
          </w:p>
        </w:tc>
        <w:tc>
          <w:tcPr>
            <w:tcW w:w="1063" w:type="dxa"/>
          </w:tcPr>
          <w:p w:rsidR="008332D5" w:rsidRPr="00E80180" w:rsidRDefault="008332D5" w:rsidP="00133AC8">
            <w:pPr>
              <w:pStyle w:val="Tabletext"/>
              <w:ind w:right="284"/>
              <w:jc w:val="right"/>
              <w:rPr>
                <w:lang w:val="en-GB"/>
              </w:rPr>
            </w:pPr>
            <w:r w:rsidRPr="00E80180">
              <w:rPr>
                <w:lang w:val="en-GB"/>
              </w:rPr>
              <w:t>2</w:t>
            </w:r>
            <w:r w:rsidR="00E93908" w:rsidRPr="00E80180">
              <w:rPr>
                <w:lang w:val="en-GB"/>
              </w:rPr>
              <w:t xml:space="preserve"> </w:t>
            </w:r>
            <w:r w:rsidRPr="00E80180">
              <w:rPr>
                <w:lang w:val="en-GB"/>
              </w:rPr>
              <w:t>682</w:t>
            </w:r>
          </w:p>
        </w:tc>
        <w:tc>
          <w:tcPr>
            <w:tcW w:w="1063" w:type="dxa"/>
          </w:tcPr>
          <w:p w:rsidR="008332D5" w:rsidRPr="00E80180" w:rsidRDefault="008332D5" w:rsidP="00133AC8">
            <w:pPr>
              <w:pStyle w:val="Tabletext"/>
              <w:tabs>
                <w:tab w:val="decimal" w:pos="397"/>
              </w:tabs>
              <w:rPr>
                <w:lang w:val="en-GB"/>
              </w:rPr>
            </w:pPr>
            <w:r w:rsidRPr="00E80180">
              <w:rPr>
                <w:lang w:val="en-GB"/>
              </w:rPr>
              <w:t>38.8</w:t>
            </w:r>
          </w:p>
        </w:tc>
        <w:tc>
          <w:tcPr>
            <w:tcW w:w="1063" w:type="dxa"/>
          </w:tcPr>
          <w:p w:rsidR="008332D5" w:rsidRPr="00E80180" w:rsidRDefault="008332D5" w:rsidP="00133AC8">
            <w:pPr>
              <w:pStyle w:val="Tabletext"/>
              <w:ind w:right="284"/>
              <w:jc w:val="right"/>
              <w:rPr>
                <w:lang w:val="en-GB"/>
              </w:rPr>
            </w:pPr>
            <w:r w:rsidRPr="00E80180">
              <w:rPr>
                <w:lang w:val="en-GB"/>
              </w:rPr>
              <w:t>2</w:t>
            </w:r>
            <w:r w:rsidR="00E93908" w:rsidRPr="00E80180">
              <w:rPr>
                <w:lang w:val="en-GB"/>
              </w:rPr>
              <w:t xml:space="preserve"> </w:t>
            </w:r>
            <w:r w:rsidRPr="00E80180">
              <w:rPr>
                <w:lang w:val="en-GB"/>
              </w:rPr>
              <w:t>093</w:t>
            </w:r>
          </w:p>
        </w:tc>
        <w:tc>
          <w:tcPr>
            <w:tcW w:w="1064" w:type="dxa"/>
          </w:tcPr>
          <w:p w:rsidR="008332D5" w:rsidRDefault="008332D5" w:rsidP="00133AC8">
            <w:pPr>
              <w:pStyle w:val="Tabletext"/>
              <w:tabs>
                <w:tab w:val="decimal" w:pos="397"/>
              </w:tabs>
              <w:rPr>
                <w:lang w:val="en-GB"/>
              </w:rPr>
            </w:pPr>
            <w:r>
              <w:rPr>
                <w:lang w:val="en-GB"/>
              </w:rPr>
              <w:t>33.1</w:t>
            </w:r>
          </w:p>
        </w:tc>
      </w:tr>
      <w:tr w:rsidR="008332D5" w:rsidTr="00133AC8">
        <w:tc>
          <w:tcPr>
            <w:tcW w:w="4536" w:type="dxa"/>
          </w:tcPr>
          <w:p w:rsidR="008332D5" w:rsidRDefault="008332D5" w:rsidP="00133AC8">
            <w:pPr>
              <w:pStyle w:val="Tabletext"/>
              <w:rPr>
                <w:lang w:val="en-GB"/>
              </w:rPr>
            </w:pPr>
            <w:r>
              <w:rPr>
                <w:lang w:val="en-GB"/>
              </w:rPr>
              <w:t>You had to borrow money just to live on</w:t>
            </w:r>
          </w:p>
        </w:tc>
        <w:tc>
          <w:tcPr>
            <w:tcW w:w="1063" w:type="dxa"/>
          </w:tcPr>
          <w:p w:rsidR="008332D5" w:rsidRDefault="008332D5" w:rsidP="00133AC8">
            <w:pPr>
              <w:pStyle w:val="Tabletext"/>
              <w:ind w:right="284"/>
              <w:jc w:val="right"/>
              <w:rPr>
                <w:lang w:val="en-GB"/>
              </w:rPr>
            </w:pPr>
            <w:r>
              <w:rPr>
                <w:lang w:val="en-GB"/>
              </w:rPr>
              <w:t>942</w:t>
            </w:r>
          </w:p>
        </w:tc>
        <w:tc>
          <w:tcPr>
            <w:tcW w:w="1063" w:type="dxa"/>
          </w:tcPr>
          <w:p w:rsidR="008332D5" w:rsidRDefault="008332D5" w:rsidP="00133AC8">
            <w:pPr>
              <w:pStyle w:val="Tabletext"/>
              <w:tabs>
                <w:tab w:val="decimal" w:pos="397"/>
              </w:tabs>
              <w:rPr>
                <w:lang w:val="en-GB"/>
              </w:rPr>
            </w:pPr>
            <w:r>
              <w:rPr>
                <w:lang w:val="en-GB"/>
              </w:rPr>
              <w:t>13.6</w:t>
            </w:r>
          </w:p>
        </w:tc>
        <w:tc>
          <w:tcPr>
            <w:tcW w:w="1063" w:type="dxa"/>
          </w:tcPr>
          <w:p w:rsidR="008332D5" w:rsidRDefault="008332D5" w:rsidP="00133AC8">
            <w:pPr>
              <w:pStyle w:val="Tabletext"/>
              <w:ind w:right="284"/>
              <w:jc w:val="right"/>
              <w:rPr>
                <w:lang w:val="en-GB"/>
              </w:rPr>
            </w:pPr>
            <w:r>
              <w:rPr>
                <w:lang w:val="en-GB"/>
              </w:rPr>
              <w:t>819</w:t>
            </w:r>
          </w:p>
        </w:tc>
        <w:tc>
          <w:tcPr>
            <w:tcW w:w="1064" w:type="dxa"/>
          </w:tcPr>
          <w:p w:rsidR="008332D5" w:rsidRDefault="008332D5" w:rsidP="00133AC8">
            <w:pPr>
              <w:pStyle w:val="Tabletext"/>
              <w:tabs>
                <w:tab w:val="decimal" w:pos="397"/>
              </w:tabs>
              <w:rPr>
                <w:lang w:val="en-GB"/>
              </w:rPr>
            </w:pPr>
            <w:r>
              <w:rPr>
                <w:lang w:val="en-GB"/>
              </w:rPr>
              <w:t>13.0</w:t>
            </w:r>
          </w:p>
        </w:tc>
      </w:tr>
      <w:tr w:rsidR="008332D5" w:rsidTr="00133AC8">
        <w:tc>
          <w:tcPr>
            <w:tcW w:w="4536" w:type="dxa"/>
          </w:tcPr>
          <w:p w:rsidR="008332D5" w:rsidRDefault="008332D5" w:rsidP="00133AC8">
            <w:pPr>
              <w:pStyle w:val="Tabletext"/>
              <w:rPr>
                <w:lang w:val="en-GB"/>
              </w:rPr>
            </w:pPr>
            <w:r>
              <w:rPr>
                <w:lang w:val="en-GB"/>
              </w:rPr>
              <w:t>You couldn’t buy other things you needed</w:t>
            </w:r>
          </w:p>
        </w:tc>
        <w:tc>
          <w:tcPr>
            <w:tcW w:w="1063" w:type="dxa"/>
          </w:tcPr>
          <w:p w:rsidR="008332D5" w:rsidRDefault="008332D5" w:rsidP="00133AC8">
            <w:pPr>
              <w:pStyle w:val="Tabletext"/>
              <w:ind w:right="284"/>
              <w:jc w:val="right"/>
              <w:rPr>
                <w:lang w:val="en-GB"/>
              </w:rPr>
            </w:pPr>
            <w:r>
              <w:rPr>
                <w:lang w:val="en-GB"/>
              </w:rPr>
              <w:t>999</w:t>
            </w:r>
          </w:p>
        </w:tc>
        <w:tc>
          <w:tcPr>
            <w:tcW w:w="1063" w:type="dxa"/>
          </w:tcPr>
          <w:p w:rsidR="008332D5" w:rsidRDefault="008332D5" w:rsidP="00133AC8">
            <w:pPr>
              <w:pStyle w:val="Tabletext"/>
              <w:tabs>
                <w:tab w:val="decimal" w:pos="397"/>
              </w:tabs>
              <w:rPr>
                <w:lang w:val="en-GB"/>
              </w:rPr>
            </w:pPr>
            <w:r>
              <w:rPr>
                <w:lang w:val="en-GB"/>
              </w:rPr>
              <w:t>14.5</w:t>
            </w:r>
          </w:p>
        </w:tc>
        <w:tc>
          <w:tcPr>
            <w:tcW w:w="1063" w:type="dxa"/>
          </w:tcPr>
          <w:p w:rsidR="008332D5" w:rsidRDefault="008332D5" w:rsidP="00133AC8">
            <w:pPr>
              <w:pStyle w:val="Tabletext"/>
              <w:ind w:right="284"/>
              <w:jc w:val="right"/>
              <w:rPr>
                <w:lang w:val="en-GB"/>
              </w:rPr>
            </w:pPr>
            <w:r>
              <w:rPr>
                <w:lang w:val="en-GB"/>
              </w:rPr>
              <w:t>937</w:t>
            </w:r>
          </w:p>
        </w:tc>
        <w:tc>
          <w:tcPr>
            <w:tcW w:w="1064" w:type="dxa"/>
          </w:tcPr>
          <w:p w:rsidR="008332D5" w:rsidRDefault="008332D5" w:rsidP="00133AC8">
            <w:pPr>
              <w:pStyle w:val="Tabletext"/>
              <w:tabs>
                <w:tab w:val="decimal" w:pos="397"/>
              </w:tabs>
              <w:rPr>
                <w:lang w:val="en-GB"/>
              </w:rPr>
            </w:pPr>
            <w:r>
              <w:rPr>
                <w:lang w:val="en-GB"/>
              </w:rPr>
              <w:t>14.8</w:t>
            </w:r>
          </w:p>
        </w:tc>
      </w:tr>
      <w:tr w:rsidR="008332D5" w:rsidTr="00133AC8">
        <w:tc>
          <w:tcPr>
            <w:tcW w:w="4536" w:type="dxa"/>
          </w:tcPr>
          <w:p w:rsidR="008332D5" w:rsidRDefault="008332D5" w:rsidP="00133AC8">
            <w:pPr>
              <w:pStyle w:val="Tabletext"/>
              <w:rPr>
                <w:lang w:val="en-GB"/>
              </w:rPr>
            </w:pPr>
            <w:r>
              <w:rPr>
                <w:lang w:val="en-GB"/>
              </w:rPr>
              <w:t>You couldn’t pay electricity, gas or telephone bills on time</w:t>
            </w:r>
            <w:r w:rsidR="00C55075">
              <w:rPr>
                <w:vertAlign w:val="superscript"/>
                <w:lang w:val="en-GB"/>
              </w:rPr>
              <w:t>2</w:t>
            </w:r>
          </w:p>
        </w:tc>
        <w:tc>
          <w:tcPr>
            <w:tcW w:w="1063" w:type="dxa"/>
          </w:tcPr>
          <w:p w:rsidR="008332D5" w:rsidRDefault="008332D5" w:rsidP="00133AC8">
            <w:pPr>
              <w:pStyle w:val="Tabletext"/>
              <w:ind w:right="284"/>
              <w:jc w:val="right"/>
              <w:rPr>
                <w:lang w:val="en-GB"/>
              </w:rPr>
            </w:pPr>
            <w:r>
              <w:rPr>
                <w:lang w:val="en-GB"/>
              </w:rPr>
              <w:t>392</w:t>
            </w:r>
          </w:p>
        </w:tc>
        <w:tc>
          <w:tcPr>
            <w:tcW w:w="1063" w:type="dxa"/>
          </w:tcPr>
          <w:p w:rsidR="008332D5" w:rsidRDefault="004912BA" w:rsidP="00133AC8">
            <w:pPr>
              <w:pStyle w:val="Tabletext"/>
              <w:tabs>
                <w:tab w:val="decimal" w:pos="397"/>
              </w:tabs>
              <w:rPr>
                <w:lang w:val="en-GB"/>
              </w:rPr>
            </w:pPr>
            <w:r>
              <w:rPr>
                <w:lang w:val="en-GB"/>
              </w:rPr>
              <w:t>19.9</w:t>
            </w:r>
          </w:p>
        </w:tc>
        <w:tc>
          <w:tcPr>
            <w:tcW w:w="1063" w:type="dxa"/>
          </w:tcPr>
          <w:p w:rsidR="008332D5" w:rsidRDefault="008332D5" w:rsidP="00133AC8">
            <w:pPr>
              <w:pStyle w:val="Tabletext"/>
              <w:ind w:right="284"/>
              <w:jc w:val="right"/>
              <w:rPr>
                <w:lang w:val="en-GB"/>
              </w:rPr>
            </w:pPr>
            <w:r>
              <w:rPr>
                <w:lang w:val="en-GB"/>
              </w:rPr>
              <w:t>216</w:t>
            </w:r>
          </w:p>
        </w:tc>
        <w:tc>
          <w:tcPr>
            <w:tcW w:w="1064" w:type="dxa"/>
          </w:tcPr>
          <w:p w:rsidR="008332D5" w:rsidRDefault="004912BA" w:rsidP="00133AC8">
            <w:pPr>
              <w:pStyle w:val="Tabletext"/>
              <w:tabs>
                <w:tab w:val="decimal" w:pos="397"/>
              </w:tabs>
              <w:rPr>
                <w:lang w:val="en-GB"/>
              </w:rPr>
            </w:pPr>
            <w:r>
              <w:rPr>
                <w:lang w:val="en-GB"/>
              </w:rPr>
              <w:t>12.8</w:t>
            </w:r>
          </w:p>
        </w:tc>
      </w:tr>
      <w:tr w:rsidR="008332D5" w:rsidTr="00133AC8">
        <w:tc>
          <w:tcPr>
            <w:tcW w:w="4536" w:type="dxa"/>
          </w:tcPr>
          <w:p w:rsidR="008332D5" w:rsidRDefault="008332D5" w:rsidP="00133AC8">
            <w:pPr>
              <w:pStyle w:val="Tabletext"/>
              <w:rPr>
                <w:lang w:val="en-GB"/>
              </w:rPr>
            </w:pPr>
            <w:r>
              <w:rPr>
                <w:lang w:val="en-GB"/>
              </w:rPr>
              <w:t>You couldn’t pay mortgage/rent on time</w:t>
            </w:r>
            <w:r w:rsidR="00C55075">
              <w:rPr>
                <w:vertAlign w:val="superscript"/>
                <w:lang w:val="en-GB"/>
              </w:rPr>
              <w:t>2</w:t>
            </w:r>
          </w:p>
        </w:tc>
        <w:tc>
          <w:tcPr>
            <w:tcW w:w="1063" w:type="dxa"/>
          </w:tcPr>
          <w:p w:rsidR="008332D5" w:rsidRDefault="008332D5" w:rsidP="00133AC8">
            <w:pPr>
              <w:pStyle w:val="Tabletext"/>
              <w:ind w:right="284"/>
              <w:jc w:val="right"/>
              <w:rPr>
                <w:lang w:val="en-GB"/>
              </w:rPr>
            </w:pPr>
            <w:r>
              <w:rPr>
                <w:lang w:val="en-GB"/>
              </w:rPr>
              <w:t>194</w:t>
            </w:r>
          </w:p>
        </w:tc>
        <w:tc>
          <w:tcPr>
            <w:tcW w:w="1063" w:type="dxa"/>
          </w:tcPr>
          <w:p w:rsidR="008332D5" w:rsidRDefault="004912BA" w:rsidP="00133AC8">
            <w:pPr>
              <w:pStyle w:val="Tabletext"/>
              <w:tabs>
                <w:tab w:val="decimal" w:pos="397"/>
              </w:tabs>
              <w:rPr>
                <w:lang w:val="en-GB"/>
              </w:rPr>
            </w:pPr>
            <w:r>
              <w:rPr>
                <w:lang w:val="en-GB"/>
              </w:rPr>
              <w:t>9.8</w:t>
            </w:r>
          </w:p>
        </w:tc>
        <w:tc>
          <w:tcPr>
            <w:tcW w:w="1063" w:type="dxa"/>
          </w:tcPr>
          <w:p w:rsidR="008332D5" w:rsidRDefault="008332D5" w:rsidP="00133AC8">
            <w:pPr>
              <w:pStyle w:val="Tabletext"/>
              <w:ind w:right="284"/>
              <w:jc w:val="right"/>
              <w:rPr>
                <w:lang w:val="en-GB"/>
              </w:rPr>
            </w:pPr>
            <w:r>
              <w:rPr>
                <w:lang w:val="en-GB"/>
              </w:rPr>
              <w:t>138</w:t>
            </w:r>
          </w:p>
        </w:tc>
        <w:tc>
          <w:tcPr>
            <w:tcW w:w="1064" w:type="dxa"/>
          </w:tcPr>
          <w:p w:rsidR="008332D5" w:rsidRDefault="00284861" w:rsidP="00133AC8">
            <w:pPr>
              <w:pStyle w:val="Tabletext"/>
              <w:tabs>
                <w:tab w:val="decimal" w:pos="397"/>
              </w:tabs>
              <w:rPr>
                <w:lang w:val="en-GB"/>
              </w:rPr>
            </w:pPr>
            <w:r>
              <w:rPr>
                <w:lang w:val="en-GB"/>
              </w:rPr>
              <w:t>8</w:t>
            </w:r>
            <w:r w:rsidR="008332D5">
              <w:rPr>
                <w:lang w:val="en-GB"/>
              </w:rPr>
              <w:t>.2</w:t>
            </w:r>
          </w:p>
        </w:tc>
      </w:tr>
      <w:tr w:rsidR="008332D5" w:rsidTr="00133AC8">
        <w:tc>
          <w:tcPr>
            <w:tcW w:w="4536" w:type="dxa"/>
          </w:tcPr>
          <w:p w:rsidR="008332D5" w:rsidRDefault="008332D5" w:rsidP="00133AC8">
            <w:pPr>
              <w:pStyle w:val="Tabletext"/>
              <w:rPr>
                <w:lang w:val="en-GB"/>
              </w:rPr>
            </w:pPr>
            <w:r>
              <w:rPr>
                <w:lang w:val="en-GB"/>
              </w:rPr>
              <w:t>You couldn’t afford to heat your home</w:t>
            </w:r>
            <w:r w:rsidR="00C55075">
              <w:rPr>
                <w:vertAlign w:val="superscript"/>
                <w:lang w:val="en-GB"/>
              </w:rPr>
              <w:t>2</w:t>
            </w:r>
          </w:p>
        </w:tc>
        <w:tc>
          <w:tcPr>
            <w:tcW w:w="1063" w:type="dxa"/>
          </w:tcPr>
          <w:p w:rsidR="008332D5" w:rsidRDefault="008332D5" w:rsidP="00133AC8">
            <w:pPr>
              <w:pStyle w:val="Tabletext"/>
              <w:ind w:right="284"/>
              <w:jc w:val="right"/>
              <w:rPr>
                <w:lang w:val="en-GB"/>
              </w:rPr>
            </w:pPr>
            <w:r>
              <w:rPr>
                <w:lang w:val="en-GB"/>
              </w:rPr>
              <w:t>74</w:t>
            </w:r>
          </w:p>
        </w:tc>
        <w:tc>
          <w:tcPr>
            <w:tcW w:w="1063" w:type="dxa"/>
          </w:tcPr>
          <w:p w:rsidR="008332D5" w:rsidRDefault="00284861" w:rsidP="00133AC8">
            <w:pPr>
              <w:pStyle w:val="Tabletext"/>
              <w:tabs>
                <w:tab w:val="decimal" w:pos="397"/>
              </w:tabs>
              <w:rPr>
                <w:lang w:val="en-GB"/>
              </w:rPr>
            </w:pPr>
            <w:r>
              <w:rPr>
                <w:lang w:val="en-GB"/>
              </w:rPr>
              <w:t>3</w:t>
            </w:r>
            <w:r w:rsidR="008332D5">
              <w:rPr>
                <w:lang w:val="en-GB"/>
              </w:rPr>
              <w:t>.</w:t>
            </w:r>
            <w:r>
              <w:rPr>
                <w:lang w:val="en-GB"/>
              </w:rPr>
              <w:t>7</w:t>
            </w:r>
          </w:p>
        </w:tc>
        <w:tc>
          <w:tcPr>
            <w:tcW w:w="1063" w:type="dxa"/>
          </w:tcPr>
          <w:p w:rsidR="008332D5" w:rsidRDefault="008332D5" w:rsidP="00133AC8">
            <w:pPr>
              <w:pStyle w:val="Tabletext"/>
              <w:ind w:right="284"/>
              <w:jc w:val="right"/>
              <w:rPr>
                <w:lang w:val="en-GB"/>
              </w:rPr>
            </w:pPr>
            <w:r>
              <w:rPr>
                <w:lang w:val="en-GB"/>
              </w:rPr>
              <w:t>86</w:t>
            </w:r>
          </w:p>
        </w:tc>
        <w:tc>
          <w:tcPr>
            <w:tcW w:w="1064" w:type="dxa"/>
          </w:tcPr>
          <w:p w:rsidR="008332D5" w:rsidRDefault="00284861" w:rsidP="00133AC8">
            <w:pPr>
              <w:pStyle w:val="Tabletext"/>
              <w:tabs>
                <w:tab w:val="decimal" w:pos="397"/>
              </w:tabs>
              <w:rPr>
                <w:lang w:val="en-GB"/>
              </w:rPr>
            </w:pPr>
            <w:r>
              <w:rPr>
                <w:lang w:val="en-GB"/>
              </w:rPr>
              <w:t>5.1</w:t>
            </w:r>
          </w:p>
        </w:tc>
      </w:tr>
      <w:tr w:rsidR="008332D5" w:rsidTr="00133AC8">
        <w:tc>
          <w:tcPr>
            <w:tcW w:w="4536" w:type="dxa"/>
          </w:tcPr>
          <w:p w:rsidR="008332D5" w:rsidRDefault="008332D5" w:rsidP="00133AC8">
            <w:pPr>
              <w:pStyle w:val="Tabletext"/>
              <w:rPr>
                <w:lang w:val="en-GB"/>
              </w:rPr>
            </w:pPr>
            <w:r>
              <w:rPr>
                <w:lang w:val="en-GB"/>
              </w:rPr>
              <w:t>Didn’t get medicines or go to a doctor</w:t>
            </w:r>
          </w:p>
        </w:tc>
        <w:tc>
          <w:tcPr>
            <w:tcW w:w="1063" w:type="dxa"/>
          </w:tcPr>
          <w:p w:rsidR="008332D5" w:rsidRDefault="008332D5" w:rsidP="00133AC8">
            <w:pPr>
              <w:pStyle w:val="Tabletext"/>
              <w:ind w:right="284"/>
              <w:jc w:val="right"/>
              <w:rPr>
                <w:lang w:val="en-GB"/>
              </w:rPr>
            </w:pPr>
            <w:r>
              <w:rPr>
                <w:lang w:val="en-GB"/>
              </w:rPr>
              <w:t>511</w:t>
            </w:r>
          </w:p>
        </w:tc>
        <w:tc>
          <w:tcPr>
            <w:tcW w:w="1063" w:type="dxa"/>
          </w:tcPr>
          <w:p w:rsidR="008332D5" w:rsidRDefault="008332D5" w:rsidP="00133AC8">
            <w:pPr>
              <w:pStyle w:val="Tabletext"/>
              <w:tabs>
                <w:tab w:val="decimal" w:pos="397"/>
              </w:tabs>
              <w:rPr>
                <w:lang w:val="en-GB"/>
              </w:rPr>
            </w:pPr>
            <w:r>
              <w:rPr>
                <w:lang w:val="en-GB"/>
              </w:rPr>
              <w:t>7.4</w:t>
            </w:r>
          </w:p>
        </w:tc>
        <w:tc>
          <w:tcPr>
            <w:tcW w:w="1063" w:type="dxa"/>
          </w:tcPr>
          <w:p w:rsidR="008332D5" w:rsidRDefault="008332D5" w:rsidP="00133AC8">
            <w:pPr>
              <w:pStyle w:val="Tabletext"/>
              <w:ind w:right="284"/>
              <w:jc w:val="right"/>
              <w:rPr>
                <w:lang w:val="en-GB"/>
              </w:rPr>
            </w:pPr>
            <w:r>
              <w:rPr>
                <w:lang w:val="en-GB"/>
              </w:rPr>
              <w:t>454</w:t>
            </w:r>
          </w:p>
        </w:tc>
        <w:tc>
          <w:tcPr>
            <w:tcW w:w="1064" w:type="dxa"/>
          </w:tcPr>
          <w:p w:rsidR="008332D5" w:rsidRDefault="008332D5" w:rsidP="00133AC8">
            <w:pPr>
              <w:pStyle w:val="Tabletext"/>
              <w:tabs>
                <w:tab w:val="decimal" w:pos="397"/>
              </w:tabs>
              <w:rPr>
                <w:lang w:val="en-GB"/>
              </w:rPr>
            </w:pPr>
            <w:r>
              <w:rPr>
                <w:lang w:val="en-GB"/>
              </w:rPr>
              <w:t>7.2</w:t>
            </w:r>
          </w:p>
        </w:tc>
      </w:tr>
      <w:tr w:rsidR="008332D5" w:rsidTr="00133AC8">
        <w:tc>
          <w:tcPr>
            <w:tcW w:w="4536" w:type="dxa"/>
            <w:tcBorders>
              <w:bottom w:val="single" w:sz="4" w:space="0" w:color="auto"/>
            </w:tcBorders>
          </w:tcPr>
          <w:p w:rsidR="008332D5" w:rsidRDefault="008332D5" w:rsidP="00133AC8">
            <w:pPr>
              <w:pStyle w:val="Tabletext"/>
              <w:rPr>
                <w:lang w:val="en-GB"/>
              </w:rPr>
            </w:pPr>
            <w:r>
              <w:rPr>
                <w:lang w:val="en-GB"/>
              </w:rPr>
              <w:t>You couldn’t buy text books or other study materials</w:t>
            </w:r>
          </w:p>
        </w:tc>
        <w:tc>
          <w:tcPr>
            <w:tcW w:w="1063" w:type="dxa"/>
            <w:tcBorders>
              <w:bottom w:val="single" w:sz="4" w:space="0" w:color="auto"/>
            </w:tcBorders>
          </w:tcPr>
          <w:p w:rsidR="008332D5" w:rsidRDefault="008332D5" w:rsidP="00133AC8">
            <w:pPr>
              <w:pStyle w:val="Tabletext"/>
              <w:ind w:right="284"/>
              <w:jc w:val="right"/>
              <w:rPr>
                <w:lang w:val="en-GB"/>
              </w:rPr>
            </w:pPr>
            <w:r>
              <w:rPr>
                <w:lang w:val="en-GB"/>
              </w:rPr>
              <w:t>609</w:t>
            </w:r>
          </w:p>
        </w:tc>
        <w:tc>
          <w:tcPr>
            <w:tcW w:w="1063" w:type="dxa"/>
            <w:tcBorders>
              <w:bottom w:val="single" w:sz="4" w:space="0" w:color="auto"/>
            </w:tcBorders>
          </w:tcPr>
          <w:p w:rsidR="008332D5" w:rsidRDefault="008332D5" w:rsidP="00133AC8">
            <w:pPr>
              <w:pStyle w:val="Tabletext"/>
              <w:tabs>
                <w:tab w:val="decimal" w:pos="397"/>
              </w:tabs>
              <w:rPr>
                <w:lang w:val="en-GB"/>
              </w:rPr>
            </w:pPr>
            <w:r>
              <w:rPr>
                <w:lang w:val="en-GB"/>
              </w:rPr>
              <w:t>8.8</w:t>
            </w:r>
          </w:p>
        </w:tc>
        <w:tc>
          <w:tcPr>
            <w:tcW w:w="1063" w:type="dxa"/>
            <w:tcBorders>
              <w:bottom w:val="single" w:sz="4" w:space="0" w:color="auto"/>
            </w:tcBorders>
          </w:tcPr>
          <w:p w:rsidR="008332D5" w:rsidRDefault="008332D5" w:rsidP="00133AC8">
            <w:pPr>
              <w:pStyle w:val="Tabletext"/>
              <w:ind w:right="284"/>
              <w:jc w:val="right"/>
              <w:rPr>
                <w:lang w:val="en-GB"/>
              </w:rPr>
            </w:pPr>
            <w:r>
              <w:rPr>
                <w:lang w:val="en-GB"/>
              </w:rPr>
              <w:t>522</w:t>
            </w:r>
          </w:p>
        </w:tc>
        <w:tc>
          <w:tcPr>
            <w:tcW w:w="1064" w:type="dxa"/>
            <w:tcBorders>
              <w:bottom w:val="single" w:sz="4" w:space="0" w:color="auto"/>
            </w:tcBorders>
          </w:tcPr>
          <w:p w:rsidR="008332D5" w:rsidRDefault="008332D5" w:rsidP="00133AC8">
            <w:pPr>
              <w:pStyle w:val="Tabletext"/>
              <w:tabs>
                <w:tab w:val="decimal" w:pos="397"/>
              </w:tabs>
              <w:rPr>
                <w:lang w:val="en-GB"/>
              </w:rPr>
            </w:pPr>
            <w:r>
              <w:rPr>
                <w:lang w:val="en-GB"/>
              </w:rPr>
              <w:t>8.3</w:t>
            </w:r>
          </w:p>
        </w:tc>
      </w:tr>
    </w:tbl>
    <w:p w:rsidR="00C55075" w:rsidRDefault="00284861" w:rsidP="00C55075">
      <w:pPr>
        <w:pStyle w:val="Source"/>
        <w:rPr>
          <w:lang w:val="en-GB"/>
        </w:rPr>
      </w:pPr>
      <w:r>
        <w:rPr>
          <w:lang w:val="en-GB"/>
        </w:rPr>
        <w:t>Note:</w:t>
      </w:r>
      <w:r>
        <w:rPr>
          <w:lang w:val="en-GB"/>
        </w:rPr>
        <w:tab/>
      </w:r>
      <w:r w:rsidR="009C32F6">
        <w:rPr>
          <w:lang w:val="en-GB"/>
        </w:rPr>
        <w:t>1</w:t>
      </w:r>
      <w:r w:rsidR="00DE3303">
        <w:rPr>
          <w:lang w:val="en-GB"/>
        </w:rPr>
        <w:tab/>
      </w:r>
      <w:r w:rsidR="009C32F6">
        <w:rPr>
          <w:lang w:val="en-GB"/>
        </w:rPr>
        <w:t xml:space="preserve">The </w:t>
      </w:r>
      <w:r w:rsidR="00C55075">
        <w:rPr>
          <w:lang w:val="en-GB"/>
        </w:rPr>
        <w:t xml:space="preserve">Y98 and Y06 </w:t>
      </w:r>
      <w:r w:rsidR="009C32F6">
        <w:rPr>
          <w:lang w:val="en-GB"/>
        </w:rPr>
        <w:t xml:space="preserve">cohorts </w:t>
      </w:r>
      <w:r w:rsidR="00C55075">
        <w:rPr>
          <w:lang w:val="en-GB"/>
        </w:rPr>
        <w:t xml:space="preserve">are different groups of young people and are sampled differently. </w:t>
      </w:r>
    </w:p>
    <w:p w:rsidR="00284861" w:rsidRDefault="00C55075" w:rsidP="00C55075">
      <w:pPr>
        <w:pStyle w:val="Source"/>
        <w:ind w:firstLine="0"/>
        <w:rPr>
          <w:lang w:val="en-GB"/>
        </w:rPr>
      </w:pPr>
      <w:r>
        <w:rPr>
          <w:lang w:val="en-GB"/>
        </w:rPr>
        <w:t>2</w:t>
      </w:r>
      <w:r w:rsidR="00DE3303">
        <w:rPr>
          <w:lang w:val="en-GB"/>
        </w:rPr>
        <w:tab/>
      </w:r>
      <w:r w:rsidR="00CD47C6">
        <w:rPr>
          <w:lang w:val="en-GB"/>
        </w:rPr>
        <w:t>Percentages for these variables were</w:t>
      </w:r>
      <w:r w:rsidR="00284861">
        <w:rPr>
          <w:lang w:val="en-GB"/>
        </w:rPr>
        <w:t xml:space="preserve"> calculated based on those who were not living with their parents.</w:t>
      </w:r>
    </w:p>
    <w:p w:rsidR="00284861" w:rsidRDefault="00284861" w:rsidP="00284861">
      <w:pPr>
        <w:pStyle w:val="Source"/>
        <w:rPr>
          <w:lang w:val="en-GB"/>
        </w:rPr>
      </w:pPr>
      <w:r>
        <w:rPr>
          <w:lang w:val="en-GB"/>
        </w:rPr>
        <w:t>Source:</w:t>
      </w:r>
      <w:r w:rsidR="00DE3303">
        <w:rPr>
          <w:lang w:val="en-GB"/>
        </w:rPr>
        <w:tab/>
      </w:r>
      <w:r>
        <w:rPr>
          <w:lang w:val="en-GB"/>
        </w:rPr>
        <w:t>LSAY Y98 (</w:t>
      </w:r>
      <w:r w:rsidR="009C32F6">
        <w:rPr>
          <w:lang w:val="en-GB"/>
        </w:rPr>
        <w:t xml:space="preserve">in </w:t>
      </w:r>
      <w:r>
        <w:rPr>
          <w:lang w:val="en-GB"/>
        </w:rPr>
        <w:t>2003) and Y06 (</w:t>
      </w:r>
      <w:r w:rsidR="009C32F6">
        <w:rPr>
          <w:lang w:val="en-GB"/>
        </w:rPr>
        <w:t xml:space="preserve">in </w:t>
      </w:r>
      <w:r>
        <w:rPr>
          <w:lang w:val="en-GB"/>
        </w:rPr>
        <w:t xml:space="preserve">2010) cohorts. </w:t>
      </w:r>
    </w:p>
    <w:p w:rsidR="008332D5" w:rsidRDefault="008332D5" w:rsidP="00DE3303">
      <w:pPr>
        <w:pStyle w:val="Textmorebefore"/>
      </w:pPr>
      <w:r>
        <w:t>Needing to budget and prioritise expenses is common amongst Australi</w:t>
      </w:r>
      <w:r w:rsidR="002778FE">
        <w:t>an households</w:t>
      </w:r>
      <w:r w:rsidR="004D1886">
        <w:t xml:space="preserve"> and </w:t>
      </w:r>
      <w:r>
        <w:t>experiencing one indicator of financial stress does not constitute be</w:t>
      </w:r>
      <w:r w:rsidR="002778FE">
        <w:t>ing in ‘financial stress’ (Bray</w:t>
      </w:r>
      <w:r>
        <w:t xml:space="preserve"> 2001; ABS 2002). Based on the ABS Household Expenditure Survey, experiencing two to four instances is categorised as moderate financial stress, while experiencing five or more instances is high financial stress. </w:t>
      </w:r>
    </w:p>
    <w:p w:rsidR="008332D5" w:rsidRDefault="008332D5" w:rsidP="008332D5">
      <w:pPr>
        <w:pStyle w:val="Text"/>
        <w:rPr>
          <w:lang w:val="en-GB"/>
        </w:rPr>
      </w:pPr>
      <w:r>
        <w:rPr>
          <w:lang w:val="en-GB"/>
        </w:rPr>
        <w:t xml:space="preserve">Table 4 shows the levels of financial stress for </w:t>
      </w:r>
      <w:r w:rsidR="004D1886">
        <w:rPr>
          <w:lang w:val="en-GB"/>
        </w:rPr>
        <w:t xml:space="preserve">LSAY </w:t>
      </w:r>
      <w:r>
        <w:rPr>
          <w:lang w:val="en-GB"/>
        </w:rPr>
        <w:t xml:space="preserve">respondents aged approximately </w:t>
      </w:r>
      <w:r w:rsidR="00586C1C">
        <w:rPr>
          <w:lang w:val="en-GB"/>
        </w:rPr>
        <w:t>20</w:t>
      </w:r>
      <w:r>
        <w:rPr>
          <w:lang w:val="en-GB"/>
        </w:rPr>
        <w:t xml:space="preserve"> years in 2003 and 2010.</w:t>
      </w:r>
      <w:r w:rsidRPr="002C7DCA">
        <w:rPr>
          <w:lang w:val="en-GB"/>
        </w:rPr>
        <w:t xml:space="preserve"> </w:t>
      </w:r>
      <w:r>
        <w:rPr>
          <w:lang w:val="en-GB"/>
        </w:rPr>
        <w:t>Using the</w:t>
      </w:r>
      <w:r w:rsidR="004D1886">
        <w:rPr>
          <w:lang w:val="en-GB"/>
        </w:rPr>
        <w:t xml:space="preserve"> ABS</w:t>
      </w:r>
      <w:r>
        <w:rPr>
          <w:lang w:val="en-GB"/>
        </w:rPr>
        <w:t xml:space="preserve"> categories, we see that the majority of </w:t>
      </w:r>
      <w:r w:rsidRPr="001F5A5F">
        <w:rPr>
          <w:lang w:val="en-GB"/>
        </w:rPr>
        <w:t>LSAY respondents</w:t>
      </w:r>
      <w:r>
        <w:rPr>
          <w:lang w:val="en-GB"/>
        </w:rPr>
        <w:t xml:space="preserve"> are not technically in financial stress.</w:t>
      </w:r>
    </w:p>
    <w:p w:rsidR="00A7791F" w:rsidRDefault="00A7791F">
      <w:pPr>
        <w:spacing w:before="0" w:after="200" w:line="276" w:lineRule="auto"/>
        <w:rPr>
          <w:rFonts w:ascii="Tahoma" w:hAnsi="Tahoma"/>
          <w:b/>
          <w:sz w:val="17"/>
          <w:lang w:val="en-GB"/>
        </w:rPr>
      </w:pPr>
      <w:r>
        <w:rPr>
          <w:lang w:val="en-GB"/>
        </w:rPr>
        <w:br w:type="page"/>
      </w:r>
    </w:p>
    <w:p w:rsidR="008332D5" w:rsidRDefault="00C55075" w:rsidP="008332D5">
      <w:pPr>
        <w:pStyle w:val="tabletitle"/>
        <w:rPr>
          <w:lang w:val="en-GB"/>
        </w:rPr>
      </w:pPr>
      <w:bookmarkStart w:id="40" w:name="_Toc388884918"/>
      <w:r>
        <w:rPr>
          <w:lang w:val="en-GB"/>
        </w:rPr>
        <w:t>Table 4</w:t>
      </w:r>
      <w:r>
        <w:rPr>
          <w:lang w:val="en-GB"/>
        </w:rPr>
        <w:tab/>
      </w:r>
      <w:r w:rsidR="008332D5">
        <w:rPr>
          <w:lang w:val="en-GB"/>
        </w:rPr>
        <w:t>Levels of financial stress</w:t>
      </w:r>
      <w:r w:rsidR="009C32F6">
        <w:rPr>
          <w:lang w:val="en-GB"/>
        </w:rPr>
        <w:t xml:space="preserve"> </w:t>
      </w:r>
      <w:r w:rsidR="00586C1C">
        <w:rPr>
          <w:lang w:val="en-GB"/>
        </w:rPr>
        <w:t>of LSAY respondents at age 20</w:t>
      </w:r>
      <w:r w:rsidR="00B865AC">
        <w:rPr>
          <w:lang w:val="en-GB"/>
        </w:rPr>
        <w:t xml:space="preserve"> years</w:t>
      </w:r>
      <w:r w:rsidR="009C32F6">
        <w:rPr>
          <w:lang w:val="en-GB"/>
        </w:rPr>
        <w:t>,</w:t>
      </w:r>
      <w:r>
        <w:rPr>
          <w:lang w:val="en-GB"/>
        </w:rPr>
        <w:t xml:space="preserve"> 2003 </w:t>
      </w:r>
      <w:r w:rsidR="009C32F6">
        <w:rPr>
          <w:lang w:val="en-GB"/>
        </w:rPr>
        <w:t xml:space="preserve">and </w:t>
      </w:r>
      <w:r>
        <w:rPr>
          <w:lang w:val="en-GB"/>
        </w:rPr>
        <w:t>2010</w:t>
      </w:r>
      <w:bookmarkEnd w:id="40"/>
    </w:p>
    <w:tbl>
      <w:tblPr>
        <w:tblStyle w:val="TableGrid"/>
        <w:tblW w:w="8789"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063"/>
        <w:gridCol w:w="1063"/>
        <w:gridCol w:w="1063"/>
        <w:gridCol w:w="1064"/>
      </w:tblGrid>
      <w:tr w:rsidR="008332D5" w:rsidRPr="0008445B" w:rsidTr="00A7791F">
        <w:tc>
          <w:tcPr>
            <w:tcW w:w="4536" w:type="dxa"/>
            <w:tcBorders>
              <w:bottom w:val="nil"/>
            </w:tcBorders>
          </w:tcPr>
          <w:p w:rsidR="008332D5" w:rsidRPr="0008445B" w:rsidRDefault="008332D5" w:rsidP="0008445B">
            <w:pPr>
              <w:pStyle w:val="Tablehead1"/>
            </w:pPr>
            <w:r w:rsidRPr="0008445B">
              <w:t>Level of financial stress</w:t>
            </w:r>
          </w:p>
        </w:tc>
        <w:tc>
          <w:tcPr>
            <w:tcW w:w="2126" w:type="dxa"/>
            <w:gridSpan w:val="2"/>
            <w:tcBorders>
              <w:bottom w:val="nil"/>
            </w:tcBorders>
          </w:tcPr>
          <w:p w:rsidR="008332D5" w:rsidRPr="0008445B" w:rsidRDefault="008332D5" w:rsidP="0008445B">
            <w:pPr>
              <w:pStyle w:val="Tablehead1"/>
              <w:jc w:val="center"/>
            </w:pPr>
            <w:r w:rsidRPr="0008445B">
              <w:t>2003</w:t>
            </w:r>
          </w:p>
        </w:tc>
        <w:tc>
          <w:tcPr>
            <w:tcW w:w="2127" w:type="dxa"/>
            <w:gridSpan w:val="2"/>
            <w:tcBorders>
              <w:bottom w:val="nil"/>
            </w:tcBorders>
          </w:tcPr>
          <w:p w:rsidR="008332D5" w:rsidRPr="0008445B" w:rsidRDefault="008332D5" w:rsidP="0008445B">
            <w:pPr>
              <w:pStyle w:val="Tablehead1"/>
              <w:jc w:val="center"/>
            </w:pPr>
            <w:r w:rsidRPr="0008445B">
              <w:t>2010</w:t>
            </w:r>
          </w:p>
        </w:tc>
      </w:tr>
      <w:tr w:rsidR="008332D5" w:rsidTr="00A7791F">
        <w:tc>
          <w:tcPr>
            <w:tcW w:w="4536" w:type="dxa"/>
            <w:tcBorders>
              <w:top w:val="nil"/>
              <w:bottom w:val="single" w:sz="4" w:space="0" w:color="auto"/>
            </w:tcBorders>
          </w:tcPr>
          <w:p w:rsidR="008332D5" w:rsidRDefault="008332D5" w:rsidP="00A7791F">
            <w:pPr>
              <w:pStyle w:val="Tablehead2"/>
              <w:jc w:val="center"/>
              <w:rPr>
                <w:lang w:val="en-GB"/>
              </w:rPr>
            </w:pPr>
          </w:p>
        </w:tc>
        <w:tc>
          <w:tcPr>
            <w:tcW w:w="1063" w:type="dxa"/>
            <w:tcBorders>
              <w:top w:val="nil"/>
              <w:bottom w:val="single" w:sz="4" w:space="0" w:color="auto"/>
            </w:tcBorders>
          </w:tcPr>
          <w:p w:rsidR="008332D5" w:rsidRDefault="009C32F6" w:rsidP="00A7791F">
            <w:pPr>
              <w:pStyle w:val="Tablehead2"/>
              <w:jc w:val="center"/>
              <w:rPr>
                <w:lang w:val="en-GB"/>
              </w:rPr>
            </w:pPr>
            <w:r>
              <w:rPr>
                <w:lang w:val="en-GB"/>
              </w:rPr>
              <w:t>N</w:t>
            </w:r>
          </w:p>
        </w:tc>
        <w:tc>
          <w:tcPr>
            <w:tcW w:w="1063" w:type="dxa"/>
            <w:tcBorders>
              <w:top w:val="nil"/>
              <w:bottom w:val="single" w:sz="4" w:space="0" w:color="auto"/>
            </w:tcBorders>
          </w:tcPr>
          <w:p w:rsidR="008332D5" w:rsidRDefault="008332D5" w:rsidP="00A7791F">
            <w:pPr>
              <w:pStyle w:val="Tablehead2"/>
              <w:jc w:val="center"/>
              <w:rPr>
                <w:lang w:val="en-GB"/>
              </w:rPr>
            </w:pPr>
            <w:r>
              <w:rPr>
                <w:lang w:val="en-GB"/>
              </w:rPr>
              <w:t>%</w:t>
            </w:r>
          </w:p>
        </w:tc>
        <w:tc>
          <w:tcPr>
            <w:tcW w:w="1063" w:type="dxa"/>
            <w:tcBorders>
              <w:top w:val="nil"/>
              <w:bottom w:val="single" w:sz="4" w:space="0" w:color="auto"/>
            </w:tcBorders>
          </w:tcPr>
          <w:p w:rsidR="008332D5" w:rsidRDefault="009C32F6" w:rsidP="00A7791F">
            <w:pPr>
              <w:pStyle w:val="Tablehead2"/>
              <w:jc w:val="center"/>
              <w:rPr>
                <w:lang w:val="en-GB"/>
              </w:rPr>
            </w:pPr>
            <w:r>
              <w:rPr>
                <w:lang w:val="en-GB"/>
              </w:rPr>
              <w:t>N</w:t>
            </w:r>
          </w:p>
        </w:tc>
        <w:tc>
          <w:tcPr>
            <w:tcW w:w="1064" w:type="dxa"/>
            <w:tcBorders>
              <w:top w:val="nil"/>
              <w:bottom w:val="single" w:sz="4" w:space="0" w:color="auto"/>
            </w:tcBorders>
          </w:tcPr>
          <w:p w:rsidR="008332D5" w:rsidRDefault="008332D5" w:rsidP="00A7791F">
            <w:pPr>
              <w:pStyle w:val="Tablehead2"/>
              <w:jc w:val="center"/>
              <w:rPr>
                <w:lang w:val="en-GB"/>
              </w:rPr>
            </w:pPr>
            <w:r>
              <w:rPr>
                <w:lang w:val="en-GB"/>
              </w:rPr>
              <w:t>%</w:t>
            </w:r>
          </w:p>
        </w:tc>
      </w:tr>
      <w:tr w:rsidR="00A7791F" w:rsidTr="00A7791F">
        <w:tc>
          <w:tcPr>
            <w:tcW w:w="4536" w:type="dxa"/>
            <w:tcBorders>
              <w:top w:val="single" w:sz="4" w:space="0" w:color="auto"/>
              <w:bottom w:val="nil"/>
            </w:tcBorders>
          </w:tcPr>
          <w:p w:rsidR="00A7791F" w:rsidRDefault="00A7791F" w:rsidP="00A7791F">
            <w:pPr>
              <w:pStyle w:val="Tablehead2"/>
              <w:spacing w:before="80" w:after="80"/>
              <w:rPr>
                <w:lang w:val="en-GB"/>
              </w:rPr>
            </w:pPr>
            <w:r>
              <w:rPr>
                <w:lang w:val="en-GB"/>
              </w:rPr>
              <w:t>Average age of cohort (years)</w:t>
            </w:r>
          </w:p>
        </w:tc>
        <w:tc>
          <w:tcPr>
            <w:tcW w:w="2126" w:type="dxa"/>
            <w:gridSpan w:val="2"/>
            <w:tcBorders>
              <w:top w:val="single" w:sz="4" w:space="0" w:color="auto"/>
              <w:bottom w:val="nil"/>
            </w:tcBorders>
          </w:tcPr>
          <w:p w:rsidR="00A7791F" w:rsidRDefault="00A7791F" w:rsidP="00A7791F">
            <w:pPr>
              <w:pStyle w:val="Tablehead2"/>
              <w:spacing w:before="80" w:after="80"/>
              <w:jc w:val="center"/>
              <w:rPr>
                <w:lang w:val="en-GB"/>
              </w:rPr>
            </w:pPr>
            <w:r>
              <w:rPr>
                <w:lang w:val="en-GB"/>
              </w:rPr>
              <w:t>19.5 (Y98)</w:t>
            </w:r>
            <w:r w:rsidRPr="00C55075">
              <w:rPr>
                <w:vertAlign w:val="superscript"/>
                <w:lang w:val="en-GB"/>
              </w:rPr>
              <w:t xml:space="preserve"> 1</w:t>
            </w:r>
          </w:p>
        </w:tc>
        <w:tc>
          <w:tcPr>
            <w:tcW w:w="2127" w:type="dxa"/>
            <w:gridSpan w:val="2"/>
            <w:tcBorders>
              <w:top w:val="single" w:sz="4" w:space="0" w:color="auto"/>
              <w:bottom w:val="nil"/>
            </w:tcBorders>
          </w:tcPr>
          <w:p w:rsidR="00A7791F" w:rsidRDefault="00A7791F" w:rsidP="00A7791F">
            <w:pPr>
              <w:pStyle w:val="Tablehead2"/>
              <w:spacing w:before="80" w:after="80"/>
              <w:jc w:val="center"/>
              <w:rPr>
                <w:lang w:val="en-GB"/>
              </w:rPr>
            </w:pPr>
            <w:r>
              <w:rPr>
                <w:lang w:val="en-GB"/>
              </w:rPr>
              <w:t>19.7 (Y06)</w:t>
            </w:r>
            <w:r w:rsidRPr="00C55075">
              <w:rPr>
                <w:vertAlign w:val="superscript"/>
                <w:lang w:val="en-GB"/>
              </w:rPr>
              <w:t xml:space="preserve"> 1</w:t>
            </w:r>
          </w:p>
        </w:tc>
      </w:tr>
      <w:tr w:rsidR="008332D5" w:rsidTr="00A7791F">
        <w:tc>
          <w:tcPr>
            <w:tcW w:w="4536" w:type="dxa"/>
            <w:tcBorders>
              <w:top w:val="nil"/>
            </w:tcBorders>
          </w:tcPr>
          <w:p w:rsidR="008332D5" w:rsidRDefault="00666EB0" w:rsidP="0008445B">
            <w:pPr>
              <w:pStyle w:val="Tabletext"/>
              <w:rPr>
                <w:lang w:val="en-GB"/>
              </w:rPr>
            </w:pPr>
            <w:r>
              <w:rPr>
                <w:lang w:val="en-GB"/>
              </w:rPr>
              <w:t xml:space="preserve">Low </w:t>
            </w:r>
            <w:r w:rsidR="008332D5">
              <w:rPr>
                <w:lang w:val="en-GB"/>
              </w:rPr>
              <w:t xml:space="preserve">(one or </w:t>
            </w:r>
            <w:r>
              <w:rPr>
                <w:lang w:val="en-GB"/>
              </w:rPr>
              <w:t>low</w:t>
            </w:r>
            <w:r w:rsidR="003903AA">
              <w:rPr>
                <w:lang w:val="en-GB"/>
              </w:rPr>
              <w:t xml:space="preserve"> </w:t>
            </w:r>
            <w:r w:rsidR="008332D5">
              <w:rPr>
                <w:lang w:val="en-GB"/>
              </w:rPr>
              <w:t>instance</w:t>
            </w:r>
            <w:r>
              <w:rPr>
                <w:lang w:val="en-GB"/>
              </w:rPr>
              <w:t>s</w:t>
            </w:r>
            <w:r w:rsidR="008332D5">
              <w:rPr>
                <w:lang w:val="en-GB"/>
              </w:rPr>
              <w:t xml:space="preserve"> of financial stress)</w:t>
            </w:r>
          </w:p>
        </w:tc>
        <w:tc>
          <w:tcPr>
            <w:tcW w:w="1063" w:type="dxa"/>
            <w:tcBorders>
              <w:top w:val="nil"/>
            </w:tcBorders>
          </w:tcPr>
          <w:p w:rsidR="008332D5" w:rsidRPr="00E80180" w:rsidRDefault="008332D5" w:rsidP="0008445B">
            <w:pPr>
              <w:pStyle w:val="Tabletext"/>
              <w:ind w:right="198"/>
              <w:jc w:val="right"/>
              <w:rPr>
                <w:lang w:val="en-GB"/>
              </w:rPr>
            </w:pPr>
            <w:r w:rsidRPr="00E80180">
              <w:rPr>
                <w:lang w:val="en-GB"/>
              </w:rPr>
              <w:t>5</w:t>
            </w:r>
            <w:r w:rsidR="0008445B" w:rsidRPr="00E80180">
              <w:rPr>
                <w:lang w:val="en-GB"/>
              </w:rPr>
              <w:t xml:space="preserve"> </w:t>
            </w:r>
            <w:r w:rsidRPr="00E80180">
              <w:rPr>
                <w:lang w:val="en-GB"/>
              </w:rPr>
              <w:t>137</w:t>
            </w:r>
          </w:p>
        </w:tc>
        <w:tc>
          <w:tcPr>
            <w:tcW w:w="1063" w:type="dxa"/>
            <w:tcBorders>
              <w:top w:val="nil"/>
            </w:tcBorders>
          </w:tcPr>
          <w:p w:rsidR="008332D5" w:rsidRPr="00E80180" w:rsidRDefault="008332D5" w:rsidP="0008445B">
            <w:pPr>
              <w:pStyle w:val="Tabletext"/>
              <w:tabs>
                <w:tab w:val="decimal" w:pos="425"/>
              </w:tabs>
              <w:rPr>
                <w:lang w:val="en-GB"/>
              </w:rPr>
            </w:pPr>
            <w:r w:rsidRPr="00E80180">
              <w:rPr>
                <w:lang w:val="en-GB"/>
              </w:rPr>
              <w:t>74.4</w:t>
            </w:r>
          </w:p>
        </w:tc>
        <w:tc>
          <w:tcPr>
            <w:tcW w:w="1063" w:type="dxa"/>
            <w:tcBorders>
              <w:top w:val="nil"/>
            </w:tcBorders>
          </w:tcPr>
          <w:p w:rsidR="008332D5" w:rsidRPr="00E80180" w:rsidRDefault="008332D5" w:rsidP="0008445B">
            <w:pPr>
              <w:pStyle w:val="Tabletext"/>
              <w:ind w:right="198"/>
              <w:jc w:val="right"/>
              <w:rPr>
                <w:lang w:val="en-GB"/>
              </w:rPr>
            </w:pPr>
            <w:r w:rsidRPr="00E80180">
              <w:rPr>
                <w:lang w:val="en-GB"/>
              </w:rPr>
              <w:t>4</w:t>
            </w:r>
            <w:r w:rsidR="0008445B" w:rsidRPr="00E80180">
              <w:rPr>
                <w:lang w:val="en-GB"/>
              </w:rPr>
              <w:t xml:space="preserve"> </w:t>
            </w:r>
            <w:r w:rsidRPr="00E80180">
              <w:rPr>
                <w:lang w:val="en-GB"/>
              </w:rPr>
              <w:t>795</w:t>
            </w:r>
          </w:p>
        </w:tc>
        <w:tc>
          <w:tcPr>
            <w:tcW w:w="1064" w:type="dxa"/>
            <w:tcBorders>
              <w:top w:val="nil"/>
            </w:tcBorders>
          </w:tcPr>
          <w:p w:rsidR="008332D5" w:rsidRDefault="008332D5" w:rsidP="0008445B">
            <w:pPr>
              <w:pStyle w:val="Tabletext"/>
              <w:tabs>
                <w:tab w:val="decimal" w:pos="425"/>
              </w:tabs>
              <w:rPr>
                <w:lang w:val="en-GB"/>
              </w:rPr>
            </w:pPr>
            <w:r>
              <w:rPr>
                <w:lang w:val="en-GB"/>
              </w:rPr>
              <w:t>75.9</w:t>
            </w:r>
          </w:p>
        </w:tc>
      </w:tr>
      <w:tr w:rsidR="008332D5" w:rsidTr="0008445B">
        <w:tc>
          <w:tcPr>
            <w:tcW w:w="4536" w:type="dxa"/>
            <w:tcBorders>
              <w:bottom w:val="nil"/>
            </w:tcBorders>
          </w:tcPr>
          <w:p w:rsidR="008332D5" w:rsidRDefault="008332D5" w:rsidP="0008445B">
            <w:pPr>
              <w:pStyle w:val="Tabletext"/>
              <w:rPr>
                <w:lang w:val="en-GB"/>
              </w:rPr>
            </w:pPr>
            <w:r>
              <w:rPr>
                <w:lang w:val="en-GB"/>
              </w:rPr>
              <w:t>Moderate (two to four instances of financial stress)</w:t>
            </w:r>
          </w:p>
        </w:tc>
        <w:tc>
          <w:tcPr>
            <w:tcW w:w="1063" w:type="dxa"/>
            <w:tcBorders>
              <w:bottom w:val="nil"/>
            </w:tcBorders>
          </w:tcPr>
          <w:p w:rsidR="008332D5" w:rsidRPr="00E80180" w:rsidRDefault="008332D5" w:rsidP="0008445B">
            <w:pPr>
              <w:pStyle w:val="Tabletext"/>
              <w:ind w:right="198"/>
              <w:jc w:val="right"/>
              <w:rPr>
                <w:lang w:val="en-GB"/>
              </w:rPr>
            </w:pPr>
            <w:r w:rsidRPr="00E80180">
              <w:rPr>
                <w:lang w:val="en-GB"/>
              </w:rPr>
              <w:t>1</w:t>
            </w:r>
            <w:r w:rsidR="0008445B" w:rsidRPr="00E80180">
              <w:rPr>
                <w:lang w:val="en-GB"/>
              </w:rPr>
              <w:t xml:space="preserve"> </w:t>
            </w:r>
            <w:r w:rsidRPr="00E80180">
              <w:rPr>
                <w:lang w:val="en-GB"/>
              </w:rPr>
              <w:t>378</w:t>
            </w:r>
          </w:p>
        </w:tc>
        <w:tc>
          <w:tcPr>
            <w:tcW w:w="1063" w:type="dxa"/>
            <w:tcBorders>
              <w:bottom w:val="nil"/>
            </w:tcBorders>
          </w:tcPr>
          <w:p w:rsidR="008332D5" w:rsidRPr="00E80180" w:rsidRDefault="008332D5" w:rsidP="0008445B">
            <w:pPr>
              <w:pStyle w:val="Tabletext"/>
              <w:tabs>
                <w:tab w:val="decimal" w:pos="425"/>
              </w:tabs>
              <w:rPr>
                <w:lang w:val="en-GB"/>
              </w:rPr>
            </w:pPr>
            <w:r w:rsidRPr="00E80180">
              <w:rPr>
                <w:lang w:val="en-GB"/>
              </w:rPr>
              <w:t>20.0</w:t>
            </w:r>
          </w:p>
        </w:tc>
        <w:tc>
          <w:tcPr>
            <w:tcW w:w="1063" w:type="dxa"/>
            <w:tcBorders>
              <w:bottom w:val="nil"/>
            </w:tcBorders>
          </w:tcPr>
          <w:p w:rsidR="008332D5" w:rsidRPr="00E80180" w:rsidRDefault="008332D5" w:rsidP="0008445B">
            <w:pPr>
              <w:pStyle w:val="Tabletext"/>
              <w:ind w:right="198"/>
              <w:jc w:val="right"/>
              <w:rPr>
                <w:lang w:val="en-GB"/>
              </w:rPr>
            </w:pPr>
            <w:r w:rsidRPr="00E80180">
              <w:rPr>
                <w:lang w:val="en-GB"/>
              </w:rPr>
              <w:t>1</w:t>
            </w:r>
            <w:r w:rsidR="0008445B" w:rsidRPr="00E80180">
              <w:rPr>
                <w:lang w:val="en-GB"/>
              </w:rPr>
              <w:t xml:space="preserve"> </w:t>
            </w:r>
            <w:r w:rsidRPr="00E80180">
              <w:rPr>
                <w:lang w:val="en-GB"/>
              </w:rPr>
              <w:t>202</w:t>
            </w:r>
          </w:p>
        </w:tc>
        <w:tc>
          <w:tcPr>
            <w:tcW w:w="1064" w:type="dxa"/>
            <w:tcBorders>
              <w:bottom w:val="nil"/>
            </w:tcBorders>
          </w:tcPr>
          <w:p w:rsidR="008332D5" w:rsidRDefault="008332D5" w:rsidP="0008445B">
            <w:pPr>
              <w:pStyle w:val="Tabletext"/>
              <w:tabs>
                <w:tab w:val="decimal" w:pos="425"/>
              </w:tabs>
              <w:rPr>
                <w:lang w:val="en-GB"/>
              </w:rPr>
            </w:pPr>
            <w:r>
              <w:rPr>
                <w:lang w:val="en-GB"/>
              </w:rPr>
              <w:t>19.0</w:t>
            </w:r>
          </w:p>
        </w:tc>
      </w:tr>
      <w:tr w:rsidR="008332D5" w:rsidTr="0008445B">
        <w:tc>
          <w:tcPr>
            <w:tcW w:w="4536" w:type="dxa"/>
            <w:tcBorders>
              <w:top w:val="nil"/>
              <w:bottom w:val="single" w:sz="4" w:space="0" w:color="auto"/>
            </w:tcBorders>
          </w:tcPr>
          <w:p w:rsidR="008332D5" w:rsidRDefault="008332D5" w:rsidP="0008445B">
            <w:pPr>
              <w:pStyle w:val="Tabletext"/>
              <w:rPr>
                <w:lang w:val="en-GB"/>
              </w:rPr>
            </w:pPr>
            <w:r>
              <w:rPr>
                <w:lang w:val="en-GB"/>
              </w:rPr>
              <w:t xml:space="preserve">High (five or more instances of financial stress) </w:t>
            </w:r>
          </w:p>
        </w:tc>
        <w:tc>
          <w:tcPr>
            <w:tcW w:w="1063" w:type="dxa"/>
            <w:tcBorders>
              <w:top w:val="nil"/>
              <w:bottom w:val="single" w:sz="4" w:space="0" w:color="auto"/>
            </w:tcBorders>
          </w:tcPr>
          <w:p w:rsidR="008332D5" w:rsidRDefault="008332D5" w:rsidP="0008445B">
            <w:pPr>
              <w:pStyle w:val="Tabletext"/>
              <w:ind w:right="198"/>
              <w:jc w:val="right"/>
              <w:rPr>
                <w:lang w:val="en-GB"/>
              </w:rPr>
            </w:pPr>
            <w:r>
              <w:rPr>
                <w:lang w:val="en-GB"/>
              </w:rPr>
              <w:t>390</w:t>
            </w:r>
          </w:p>
        </w:tc>
        <w:tc>
          <w:tcPr>
            <w:tcW w:w="1063" w:type="dxa"/>
            <w:tcBorders>
              <w:top w:val="nil"/>
              <w:bottom w:val="single" w:sz="4" w:space="0" w:color="auto"/>
            </w:tcBorders>
          </w:tcPr>
          <w:p w:rsidR="008332D5" w:rsidRDefault="008332D5" w:rsidP="0008445B">
            <w:pPr>
              <w:pStyle w:val="Tabletext"/>
              <w:tabs>
                <w:tab w:val="decimal" w:pos="425"/>
              </w:tabs>
              <w:rPr>
                <w:lang w:val="en-GB"/>
              </w:rPr>
            </w:pPr>
            <w:r>
              <w:rPr>
                <w:lang w:val="en-GB"/>
              </w:rPr>
              <w:t>5.6</w:t>
            </w:r>
          </w:p>
        </w:tc>
        <w:tc>
          <w:tcPr>
            <w:tcW w:w="1063" w:type="dxa"/>
            <w:tcBorders>
              <w:top w:val="nil"/>
              <w:bottom w:val="single" w:sz="4" w:space="0" w:color="auto"/>
            </w:tcBorders>
          </w:tcPr>
          <w:p w:rsidR="008332D5" w:rsidRDefault="008332D5" w:rsidP="0008445B">
            <w:pPr>
              <w:pStyle w:val="Tabletext"/>
              <w:ind w:right="198"/>
              <w:jc w:val="right"/>
              <w:rPr>
                <w:lang w:val="en-GB"/>
              </w:rPr>
            </w:pPr>
            <w:r>
              <w:rPr>
                <w:lang w:val="en-GB"/>
              </w:rPr>
              <w:t>319</w:t>
            </w:r>
          </w:p>
        </w:tc>
        <w:tc>
          <w:tcPr>
            <w:tcW w:w="1064" w:type="dxa"/>
            <w:tcBorders>
              <w:top w:val="nil"/>
              <w:bottom w:val="single" w:sz="4" w:space="0" w:color="auto"/>
            </w:tcBorders>
          </w:tcPr>
          <w:p w:rsidR="008332D5" w:rsidRDefault="008332D5" w:rsidP="0008445B">
            <w:pPr>
              <w:pStyle w:val="Tabletext"/>
              <w:tabs>
                <w:tab w:val="decimal" w:pos="425"/>
              </w:tabs>
              <w:rPr>
                <w:lang w:val="en-GB"/>
              </w:rPr>
            </w:pPr>
            <w:r>
              <w:rPr>
                <w:lang w:val="en-GB"/>
              </w:rPr>
              <w:t>5.1</w:t>
            </w:r>
          </w:p>
        </w:tc>
      </w:tr>
    </w:tbl>
    <w:p w:rsidR="008332D5" w:rsidRDefault="008332D5" w:rsidP="008332D5">
      <w:pPr>
        <w:pStyle w:val="Source"/>
        <w:rPr>
          <w:lang w:val="en-GB"/>
        </w:rPr>
      </w:pPr>
      <w:r>
        <w:rPr>
          <w:lang w:val="en-GB"/>
        </w:rPr>
        <w:t xml:space="preserve">Note: </w:t>
      </w:r>
      <w:r w:rsidR="00C55075">
        <w:rPr>
          <w:lang w:val="en-GB"/>
        </w:rPr>
        <w:tab/>
        <w:t xml:space="preserve">1. </w:t>
      </w:r>
      <w:r>
        <w:rPr>
          <w:lang w:val="en-GB"/>
        </w:rPr>
        <w:t xml:space="preserve">Y98 and Y06 are different groups of young people and are sampled differently. </w:t>
      </w:r>
    </w:p>
    <w:p w:rsidR="009C32F6" w:rsidRDefault="009C32F6" w:rsidP="009C32F6">
      <w:pPr>
        <w:pStyle w:val="Source"/>
        <w:rPr>
          <w:lang w:val="en-GB"/>
        </w:rPr>
      </w:pPr>
      <w:r>
        <w:rPr>
          <w:lang w:val="en-GB"/>
        </w:rPr>
        <w:t>Source:</w:t>
      </w:r>
      <w:r w:rsidR="00DE3303">
        <w:rPr>
          <w:lang w:val="en-GB"/>
        </w:rPr>
        <w:tab/>
      </w:r>
      <w:r>
        <w:rPr>
          <w:lang w:val="en-GB"/>
        </w:rPr>
        <w:t xml:space="preserve">LSAY Y98 (in 2003) and Y06 (in 2010) cohorts. </w:t>
      </w:r>
    </w:p>
    <w:p w:rsidR="00980605" w:rsidRPr="00980605" w:rsidRDefault="00980605" w:rsidP="00980605">
      <w:pPr>
        <w:rPr>
          <w:lang w:val="en-GB"/>
        </w:rPr>
      </w:pPr>
      <w:r w:rsidRPr="00980605">
        <w:rPr>
          <w:lang w:val="en-GB"/>
        </w:rPr>
        <w:t>However, about a quarter of respondents report moderate to high financial stress at age 20 years</w:t>
      </w:r>
      <w:r w:rsidR="00B865AC">
        <w:rPr>
          <w:lang w:val="en-GB"/>
        </w:rPr>
        <w:t>,</w:t>
      </w:r>
      <w:r w:rsidRPr="00980605">
        <w:rPr>
          <w:lang w:val="en-GB"/>
        </w:rPr>
        <w:t xml:space="preserve"> a proportion which has remained relatively unchanged across cohorts. Table 4 indicates </w:t>
      </w:r>
      <w:r w:rsidR="00B865AC">
        <w:rPr>
          <w:lang w:val="en-GB"/>
        </w:rPr>
        <w:t xml:space="preserve">that </w:t>
      </w:r>
      <w:r w:rsidRPr="00980605">
        <w:rPr>
          <w:lang w:val="en-GB"/>
        </w:rPr>
        <w:t>a higher proportion of young people are experiencing moderate or high levels of financial stress compared with those reporting they have difficulty managing financially (15%, see table 1).</w:t>
      </w:r>
      <w:r>
        <w:rPr>
          <w:rStyle w:val="FootnoteReference"/>
          <w:lang w:val="en-GB"/>
        </w:rPr>
        <w:footnoteReference w:id="9"/>
      </w:r>
      <w:r>
        <w:rPr>
          <w:vertAlign w:val="superscript"/>
          <w:lang w:val="en-GB"/>
        </w:rPr>
        <w:t xml:space="preserve"> </w:t>
      </w:r>
      <w:r w:rsidRPr="00980605">
        <w:rPr>
          <w:lang w:val="en-GB"/>
        </w:rPr>
        <w:t>So, the proportion varies depending upon how financial stress is measured and defined.</w:t>
      </w:r>
    </w:p>
    <w:p w:rsidR="008332D5" w:rsidRDefault="008332D5" w:rsidP="008332D5">
      <w:pPr>
        <w:pStyle w:val="Text"/>
        <w:rPr>
          <w:lang w:val="en-GB"/>
        </w:rPr>
      </w:pPr>
      <w:r>
        <w:rPr>
          <w:lang w:val="en-GB"/>
        </w:rPr>
        <w:t>Another indicator of financial stress captured in LSAY is the saving habits and credit card usage of respondents. Overall, the saving habits and cr</w:t>
      </w:r>
      <w:r w:rsidR="00FF50FF">
        <w:rPr>
          <w:lang w:val="en-GB"/>
        </w:rPr>
        <w:t xml:space="preserve">edit card usage of </w:t>
      </w:r>
      <w:r w:rsidR="00586C1C">
        <w:rPr>
          <w:lang w:val="en-GB"/>
        </w:rPr>
        <w:t>20</w:t>
      </w:r>
      <w:r w:rsidR="002778FE">
        <w:rPr>
          <w:lang w:val="en-GB"/>
        </w:rPr>
        <w:t>-year-</w:t>
      </w:r>
      <w:r>
        <w:rPr>
          <w:lang w:val="en-GB"/>
        </w:rPr>
        <w:t>olds has improved between cohorts. Most young people are able to save money and this proportion has increase</w:t>
      </w:r>
      <w:r w:rsidR="002778FE">
        <w:rPr>
          <w:lang w:val="en-GB"/>
        </w:rPr>
        <w:t>d over time</w:t>
      </w:r>
      <w:r w:rsidR="00797402">
        <w:rPr>
          <w:lang w:val="en-GB"/>
        </w:rPr>
        <w:t>,</w:t>
      </w:r>
      <w:r w:rsidR="002778FE">
        <w:rPr>
          <w:lang w:val="en-GB"/>
        </w:rPr>
        <w:t xml:space="preserve"> with over 80% of 19-</w:t>
      </w:r>
      <w:r>
        <w:rPr>
          <w:lang w:val="en-GB"/>
        </w:rPr>
        <w:t>yea</w:t>
      </w:r>
      <w:r w:rsidR="002778FE">
        <w:rPr>
          <w:lang w:val="en-GB"/>
        </w:rPr>
        <w:t>r-</w:t>
      </w:r>
      <w:r>
        <w:rPr>
          <w:lang w:val="en-GB"/>
        </w:rPr>
        <w:t xml:space="preserve">olds reporting that they are able to save. </w:t>
      </w:r>
    </w:p>
    <w:p w:rsidR="008332D5" w:rsidRDefault="008332D5" w:rsidP="008332D5">
      <w:pPr>
        <w:pStyle w:val="Text"/>
        <w:rPr>
          <w:lang w:val="en-GB"/>
        </w:rPr>
      </w:pPr>
      <w:r>
        <w:rPr>
          <w:lang w:val="en-GB"/>
        </w:rPr>
        <w:t>Informal debt</w:t>
      </w:r>
      <w:r>
        <w:rPr>
          <w:rStyle w:val="FootnoteReference"/>
          <w:lang w:val="en-GB"/>
        </w:rPr>
        <w:footnoteReference w:id="10"/>
      </w:r>
      <w:r>
        <w:rPr>
          <w:lang w:val="en-GB"/>
        </w:rPr>
        <w:t xml:space="preserve"> appears to be more common than formal debt</w:t>
      </w:r>
      <w:r>
        <w:rPr>
          <w:rStyle w:val="FootnoteReference"/>
          <w:lang w:val="en-GB"/>
        </w:rPr>
        <w:footnoteReference w:id="11"/>
      </w:r>
      <w:r>
        <w:rPr>
          <w:lang w:val="en-GB"/>
        </w:rPr>
        <w:t xml:space="preserve"> amongst young people at age 20</w:t>
      </w:r>
      <w:r w:rsidR="002778FE">
        <w:rPr>
          <w:lang w:val="en-GB"/>
        </w:rPr>
        <w:t xml:space="preserve"> years</w:t>
      </w:r>
      <w:r>
        <w:rPr>
          <w:lang w:val="en-GB"/>
        </w:rPr>
        <w:t xml:space="preserve">, with only 11% of </w:t>
      </w:r>
      <w:r w:rsidR="00586C1C">
        <w:rPr>
          <w:lang w:val="en-GB"/>
        </w:rPr>
        <w:t>20</w:t>
      </w:r>
      <w:r w:rsidR="002778FE">
        <w:rPr>
          <w:lang w:val="en-GB"/>
        </w:rPr>
        <w:t>-year-</w:t>
      </w:r>
      <w:r>
        <w:rPr>
          <w:lang w:val="en-GB"/>
        </w:rPr>
        <w:t xml:space="preserve">olds in 2010 reporting the use of a credit card (formal debt). This compares </w:t>
      </w:r>
      <w:r w:rsidR="002778FE">
        <w:rPr>
          <w:lang w:val="en-GB"/>
        </w:rPr>
        <w:t>with</w:t>
      </w:r>
      <w:r>
        <w:rPr>
          <w:lang w:val="en-GB"/>
        </w:rPr>
        <w:t xml:space="preserve"> 33% of the cohort who asked family or friends for money. Ryan (2013) noted in his analysis of the Y95 and Y98 LSAY cohorts that </w:t>
      </w:r>
      <w:r w:rsidRPr="00BF3FB0">
        <w:rPr>
          <w:lang w:val="en-GB"/>
        </w:rPr>
        <w:t>t</w:t>
      </w:r>
      <w:r w:rsidRPr="00BF3FB0">
        <w:t>he practice of borrowing money from family or from others to live on is quite widespread among young people, especially among those studying who also receive Youth Allowance.</w:t>
      </w:r>
      <w:r w:rsidRPr="00BF3FB0">
        <w:rPr>
          <w:rStyle w:val="FootnoteReference"/>
        </w:rPr>
        <w:footnoteReference w:id="12"/>
      </w:r>
    </w:p>
    <w:p w:rsidR="008332D5" w:rsidRDefault="008332D5" w:rsidP="008332D5">
      <w:pPr>
        <w:pStyle w:val="Text"/>
        <w:rPr>
          <w:lang w:val="en-GB"/>
        </w:rPr>
      </w:pPr>
      <w:r>
        <w:rPr>
          <w:lang w:val="en-GB"/>
        </w:rPr>
        <w:t xml:space="preserve">In relation to more formal debt, the proportion of young people using credit cards decreased between 2003 and 2010 (table 5) and the proportion not able to clear debt on their card regularly also decreased (from 27% in 2003 to 20% in 2010). We can only speculate that </w:t>
      </w:r>
      <w:r w:rsidRPr="009F3369">
        <w:rPr>
          <w:lang w:val="en-GB"/>
        </w:rPr>
        <w:t>the relatively low usage of credit cards c</w:t>
      </w:r>
      <w:r w:rsidR="002778FE">
        <w:rPr>
          <w:lang w:val="en-GB"/>
        </w:rPr>
        <w:t xml:space="preserve">ould be a reflection of the age </w:t>
      </w:r>
      <w:r w:rsidRPr="009F3369">
        <w:rPr>
          <w:lang w:val="en-GB"/>
        </w:rPr>
        <w:t>group, as credit card usage becomes more common as the cohort gets older.</w:t>
      </w:r>
    </w:p>
    <w:p w:rsidR="00980605" w:rsidRDefault="00980605">
      <w:pPr>
        <w:spacing w:before="0" w:after="200" w:line="276" w:lineRule="auto"/>
        <w:rPr>
          <w:lang w:val="en-GB"/>
        </w:rPr>
      </w:pPr>
    </w:p>
    <w:p w:rsidR="00A7791F" w:rsidRDefault="00A7791F">
      <w:pPr>
        <w:spacing w:before="0" w:after="200" w:line="276" w:lineRule="auto"/>
        <w:rPr>
          <w:rFonts w:ascii="Tahoma" w:hAnsi="Tahoma"/>
          <w:b/>
          <w:sz w:val="17"/>
          <w:lang w:val="en-GB"/>
        </w:rPr>
      </w:pPr>
      <w:r>
        <w:rPr>
          <w:lang w:val="en-GB"/>
        </w:rPr>
        <w:br w:type="page"/>
      </w:r>
    </w:p>
    <w:p w:rsidR="008332D5" w:rsidRDefault="00C55075" w:rsidP="008332D5">
      <w:pPr>
        <w:pStyle w:val="tabletitle"/>
        <w:rPr>
          <w:lang w:val="en-GB"/>
        </w:rPr>
      </w:pPr>
      <w:bookmarkStart w:id="41" w:name="_Toc388884919"/>
      <w:r>
        <w:rPr>
          <w:lang w:val="en-GB"/>
        </w:rPr>
        <w:t>Table 5</w:t>
      </w:r>
      <w:r>
        <w:rPr>
          <w:lang w:val="en-GB"/>
        </w:rPr>
        <w:tab/>
      </w:r>
      <w:r w:rsidR="008332D5">
        <w:rPr>
          <w:lang w:val="en-GB"/>
        </w:rPr>
        <w:t>Saving and credit card habits of LSAY respondents</w:t>
      </w:r>
      <w:r w:rsidR="00586C1C">
        <w:rPr>
          <w:lang w:val="en-GB"/>
        </w:rPr>
        <w:t xml:space="preserve"> at age 20</w:t>
      </w:r>
      <w:r w:rsidR="00B865AC">
        <w:rPr>
          <w:lang w:val="en-GB"/>
        </w:rPr>
        <w:t xml:space="preserve"> years</w:t>
      </w:r>
      <w:r>
        <w:rPr>
          <w:lang w:val="en-GB"/>
        </w:rPr>
        <w:t xml:space="preserve">, 2003 </w:t>
      </w:r>
      <w:r w:rsidR="009C32F6">
        <w:rPr>
          <w:lang w:val="en-GB"/>
        </w:rPr>
        <w:t xml:space="preserve">and </w:t>
      </w:r>
      <w:r>
        <w:rPr>
          <w:lang w:val="en-GB"/>
        </w:rPr>
        <w:t>2010</w:t>
      </w:r>
      <w:bookmarkEnd w:id="41"/>
    </w:p>
    <w:tbl>
      <w:tblPr>
        <w:tblStyle w:val="TableGrid"/>
        <w:tblW w:w="8789"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098"/>
        <w:gridCol w:w="1099"/>
        <w:gridCol w:w="1098"/>
        <w:gridCol w:w="1099"/>
      </w:tblGrid>
      <w:tr w:rsidR="008332D5" w:rsidRPr="00F229EF" w:rsidTr="00D50887">
        <w:tc>
          <w:tcPr>
            <w:tcW w:w="4395" w:type="dxa"/>
            <w:tcBorders>
              <w:top w:val="single" w:sz="4" w:space="0" w:color="auto"/>
              <w:bottom w:val="nil"/>
            </w:tcBorders>
          </w:tcPr>
          <w:p w:rsidR="008332D5" w:rsidRPr="00F229EF" w:rsidRDefault="008332D5" w:rsidP="00F229EF">
            <w:pPr>
              <w:pStyle w:val="Tablehead1"/>
            </w:pPr>
            <w:r w:rsidRPr="00F229EF">
              <w:t>Questions relating to saving and credit card habits</w:t>
            </w:r>
          </w:p>
        </w:tc>
        <w:tc>
          <w:tcPr>
            <w:tcW w:w="2197" w:type="dxa"/>
            <w:gridSpan w:val="2"/>
            <w:tcBorders>
              <w:top w:val="single" w:sz="4" w:space="0" w:color="auto"/>
              <w:bottom w:val="nil"/>
            </w:tcBorders>
          </w:tcPr>
          <w:p w:rsidR="008332D5" w:rsidRPr="00F229EF" w:rsidRDefault="008332D5" w:rsidP="00F229EF">
            <w:pPr>
              <w:pStyle w:val="Tablehead1"/>
              <w:jc w:val="center"/>
            </w:pPr>
            <w:r w:rsidRPr="00F229EF">
              <w:t>2003</w:t>
            </w:r>
          </w:p>
        </w:tc>
        <w:tc>
          <w:tcPr>
            <w:tcW w:w="2197" w:type="dxa"/>
            <w:gridSpan w:val="2"/>
            <w:tcBorders>
              <w:top w:val="single" w:sz="4" w:space="0" w:color="auto"/>
              <w:bottom w:val="nil"/>
            </w:tcBorders>
          </w:tcPr>
          <w:p w:rsidR="008332D5" w:rsidRPr="00F229EF" w:rsidRDefault="008332D5" w:rsidP="00F229EF">
            <w:pPr>
              <w:pStyle w:val="Tablehead1"/>
              <w:jc w:val="center"/>
            </w:pPr>
            <w:r w:rsidRPr="00F229EF">
              <w:t>2010</w:t>
            </w:r>
          </w:p>
        </w:tc>
      </w:tr>
      <w:tr w:rsidR="008332D5" w:rsidRPr="00F229EF" w:rsidTr="00D50887">
        <w:tc>
          <w:tcPr>
            <w:tcW w:w="4395" w:type="dxa"/>
            <w:tcBorders>
              <w:top w:val="nil"/>
              <w:bottom w:val="single" w:sz="4" w:space="0" w:color="auto"/>
            </w:tcBorders>
          </w:tcPr>
          <w:p w:rsidR="008332D5" w:rsidRPr="00F229EF" w:rsidRDefault="008332D5" w:rsidP="00D50887">
            <w:pPr>
              <w:pStyle w:val="Tablehead2"/>
              <w:jc w:val="center"/>
            </w:pPr>
          </w:p>
        </w:tc>
        <w:tc>
          <w:tcPr>
            <w:tcW w:w="1098" w:type="dxa"/>
            <w:tcBorders>
              <w:top w:val="nil"/>
              <w:bottom w:val="single" w:sz="4" w:space="0" w:color="auto"/>
            </w:tcBorders>
          </w:tcPr>
          <w:p w:rsidR="008332D5" w:rsidRPr="00F229EF" w:rsidRDefault="008332D5" w:rsidP="00D50887">
            <w:pPr>
              <w:pStyle w:val="Tablehead2"/>
              <w:jc w:val="center"/>
            </w:pPr>
            <w:r w:rsidRPr="00F229EF">
              <w:t>N</w:t>
            </w:r>
          </w:p>
        </w:tc>
        <w:tc>
          <w:tcPr>
            <w:tcW w:w="1099" w:type="dxa"/>
            <w:tcBorders>
              <w:top w:val="nil"/>
              <w:bottom w:val="single" w:sz="4" w:space="0" w:color="auto"/>
            </w:tcBorders>
          </w:tcPr>
          <w:p w:rsidR="008332D5" w:rsidRPr="00F229EF" w:rsidRDefault="008332D5" w:rsidP="00D50887">
            <w:pPr>
              <w:pStyle w:val="Tablehead2"/>
              <w:jc w:val="center"/>
            </w:pPr>
            <w:r w:rsidRPr="00F229EF">
              <w:t>%</w:t>
            </w:r>
          </w:p>
        </w:tc>
        <w:tc>
          <w:tcPr>
            <w:tcW w:w="1098" w:type="dxa"/>
            <w:tcBorders>
              <w:top w:val="nil"/>
              <w:bottom w:val="single" w:sz="4" w:space="0" w:color="auto"/>
            </w:tcBorders>
          </w:tcPr>
          <w:p w:rsidR="008332D5" w:rsidRPr="00F229EF" w:rsidRDefault="008332D5" w:rsidP="00D50887">
            <w:pPr>
              <w:pStyle w:val="Tablehead2"/>
              <w:jc w:val="center"/>
            </w:pPr>
            <w:r w:rsidRPr="00F229EF">
              <w:t>N</w:t>
            </w:r>
          </w:p>
        </w:tc>
        <w:tc>
          <w:tcPr>
            <w:tcW w:w="1099" w:type="dxa"/>
            <w:tcBorders>
              <w:top w:val="nil"/>
              <w:bottom w:val="single" w:sz="4" w:space="0" w:color="auto"/>
            </w:tcBorders>
          </w:tcPr>
          <w:p w:rsidR="008332D5" w:rsidRPr="00F229EF" w:rsidRDefault="008332D5" w:rsidP="00D50887">
            <w:pPr>
              <w:pStyle w:val="Tablehead2"/>
              <w:jc w:val="center"/>
            </w:pPr>
            <w:r w:rsidRPr="00F229EF">
              <w:t>%</w:t>
            </w:r>
          </w:p>
        </w:tc>
      </w:tr>
      <w:tr w:rsidR="00D50887" w:rsidTr="00D50887">
        <w:tc>
          <w:tcPr>
            <w:tcW w:w="4395" w:type="dxa"/>
            <w:tcBorders>
              <w:top w:val="single" w:sz="4" w:space="0" w:color="auto"/>
              <w:bottom w:val="nil"/>
            </w:tcBorders>
          </w:tcPr>
          <w:p w:rsidR="00D50887" w:rsidRDefault="00D50887" w:rsidP="00A7791F">
            <w:pPr>
              <w:pStyle w:val="Tablehead2"/>
              <w:spacing w:before="80" w:after="80"/>
              <w:rPr>
                <w:lang w:val="en-GB"/>
              </w:rPr>
            </w:pPr>
            <w:r>
              <w:rPr>
                <w:lang w:val="en-GB"/>
              </w:rPr>
              <w:t>Average age of cohort (years)</w:t>
            </w:r>
          </w:p>
        </w:tc>
        <w:tc>
          <w:tcPr>
            <w:tcW w:w="2197" w:type="dxa"/>
            <w:gridSpan w:val="2"/>
            <w:tcBorders>
              <w:top w:val="single" w:sz="4" w:space="0" w:color="auto"/>
              <w:bottom w:val="nil"/>
            </w:tcBorders>
          </w:tcPr>
          <w:p w:rsidR="00D50887" w:rsidRDefault="00D50887" w:rsidP="00A7791F">
            <w:pPr>
              <w:pStyle w:val="Tablehead2"/>
              <w:spacing w:before="80" w:after="80"/>
              <w:jc w:val="center"/>
              <w:rPr>
                <w:lang w:val="en-GB"/>
              </w:rPr>
            </w:pPr>
            <w:r>
              <w:rPr>
                <w:lang w:val="en-GB"/>
              </w:rPr>
              <w:t>19.5 (Y98)</w:t>
            </w:r>
          </w:p>
        </w:tc>
        <w:tc>
          <w:tcPr>
            <w:tcW w:w="2197" w:type="dxa"/>
            <w:gridSpan w:val="2"/>
            <w:tcBorders>
              <w:top w:val="single" w:sz="4" w:space="0" w:color="auto"/>
              <w:bottom w:val="nil"/>
            </w:tcBorders>
          </w:tcPr>
          <w:p w:rsidR="00D50887" w:rsidRDefault="00D50887" w:rsidP="00A7791F">
            <w:pPr>
              <w:pStyle w:val="Tablehead2"/>
              <w:spacing w:before="80" w:after="80"/>
              <w:jc w:val="center"/>
              <w:rPr>
                <w:lang w:val="en-GB"/>
              </w:rPr>
            </w:pPr>
            <w:r>
              <w:rPr>
                <w:lang w:val="en-GB"/>
              </w:rPr>
              <w:t>19.7 (Y06)</w:t>
            </w:r>
          </w:p>
        </w:tc>
      </w:tr>
      <w:tr w:rsidR="008332D5" w:rsidTr="00D50887">
        <w:tc>
          <w:tcPr>
            <w:tcW w:w="4395" w:type="dxa"/>
            <w:tcBorders>
              <w:top w:val="nil"/>
            </w:tcBorders>
          </w:tcPr>
          <w:p w:rsidR="008332D5" w:rsidRPr="00494A07" w:rsidRDefault="008332D5" w:rsidP="00F229EF">
            <w:pPr>
              <w:pStyle w:val="Tabletext"/>
              <w:rPr>
                <w:i/>
                <w:lang w:val="en-GB"/>
              </w:rPr>
            </w:pPr>
            <w:r w:rsidRPr="00494A07">
              <w:rPr>
                <w:i/>
                <w:lang w:val="en-GB"/>
              </w:rPr>
              <w:t xml:space="preserve">Able to save money </w:t>
            </w:r>
          </w:p>
        </w:tc>
        <w:tc>
          <w:tcPr>
            <w:tcW w:w="1098" w:type="dxa"/>
            <w:tcBorders>
              <w:top w:val="nil"/>
            </w:tcBorders>
          </w:tcPr>
          <w:p w:rsidR="008332D5" w:rsidRDefault="008332D5" w:rsidP="00F229EF">
            <w:pPr>
              <w:pStyle w:val="Tabletext"/>
              <w:rPr>
                <w:lang w:val="en-GB"/>
              </w:rPr>
            </w:pPr>
          </w:p>
        </w:tc>
        <w:tc>
          <w:tcPr>
            <w:tcW w:w="1099" w:type="dxa"/>
            <w:tcBorders>
              <w:top w:val="nil"/>
            </w:tcBorders>
          </w:tcPr>
          <w:p w:rsidR="008332D5" w:rsidRDefault="008332D5" w:rsidP="00F229EF">
            <w:pPr>
              <w:pStyle w:val="Tabletext"/>
              <w:rPr>
                <w:lang w:val="en-GB"/>
              </w:rPr>
            </w:pPr>
          </w:p>
        </w:tc>
        <w:tc>
          <w:tcPr>
            <w:tcW w:w="1098" w:type="dxa"/>
            <w:tcBorders>
              <w:top w:val="nil"/>
            </w:tcBorders>
          </w:tcPr>
          <w:p w:rsidR="008332D5" w:rsidRDefault="008332D5" w:rsidP="00F229EF">
            <w:pPr>
              <w:pStyle w:val="Tabletext"/>
              <w:rPr>
                <w:lang w:val="en-GB"/>
              </w:rPr>
            </w:pPr>
          </w:p>
        </w:tc>
        <w:tc>
          <w:tcPr>
            <w:tcW w:w="1099" w:type="dxa"/>
            <w:tcBorders>
              <w:top w:val="nil"/>
            </w:tcBorders>
          </w:tcPr>
          <w:p w:rsidR="008332D5" w:rsidRDefault="008332D5" w:rsidP="00F229EF">
            <w:pPr>
              <w:pStyle w:val="Tabletext"/>
              <w:rPr>
                <w:lang w:val="en-GB"/>
              </w:rPr>
            </w:pPr>
          </w:p>
        </w:tc>
      </w:tr>
      <w:tr w:rsidR="008332D5" w:rsidTr="00F229EF">
        <w:tc>
          <w:tcPr>
            <w:tcW w:w="4395" w:type="dxa"/>
          </w:tcPr>
          <w:p w:rsidR="008332D5" w:rsidRDefault="008332D5" w:rsidP="00D50887">
            <w:pPr>
              <w:pStyle w:val="Tabletext"/>
              <w:ind w:left="170"/>
              <w:rPr>
                <w:lang w:val="en-GB"/>
              </w:rPr>
            </w:pPr>
            <w:r>
              <w:rPr>
                <w:lang w:val="en-GB"/>
              </w:rPr>
              <w:t xml:space="preserve"> Yes</w:t>
            </w:r>
          </w:p>
        </w:tc>
        <w:tc>
          <w:tcPr>
            <w:tcW w:w="1098" w:type="dxa"/>
          </w:tcPr>
          <w:p w:rsidR="008332D5" w:rsidRPr="00FE2DF0" w:rsidRDefault="008332D5" w:rsidP="00D50887">
            <w:pPr>
              <w:pStyle w:val="Tabletext"/>
              <w:ind w:right="227"/>
              <w:jc w:val="right"/>
              <w:rPr>
                <w:lang w:val="en-GB"/>
              </w:rPr>
            </w:pPr>
            <w:r w:rsidRPr="00FE2DF0">
              <w:rPr>
                <w:lang w:val="en-GB"/>
              </w:rPr>
              <w:t>5</w:t>
            </w:r>
            <w:r w:rsidR="00D50887" w:rsidRPr="00FE2DF0">
              <w:rPr>
                <w:lang w:val="en-GB"/>
              </w:rPr>
              <w:t xml:space="preserve"> </w:t>
            </w:r>
            <w:r w:rsidRPr="00FE2DF0">
              <w:rPr>
                <w:lang w:val="en-GB"/>
              </w:rPr>
              <w:t>311</w:t>
            </w:r>
          </w:p>
        </w:tc>
        <w:tc>
          <w:tcPr>
            <w:tcW w:w="1099" w:type="dxa"/>
          </w:tcPr>
          <w:p w:rsidR="008332D5" w:rsidRPr="00FE2DF0" w:rsidRDefault="008332D5" w:rsidP="00D50887">
            <w:pPr>
              <w:pStyle w:val="Tabletext"/>
              <w:tabs>
                <w:tab w:val="decimal" w:pos="454"/>
              </w:tabs>
              <w:rPr>
                <w:lang w:val="en-GB"/>
              </w:rPr>
            </w:pPr>
            <w:r w:rsidRPr="00FE2DF0">
              <w:rPr>
                <w:lang w:val="en-GB"/>
              </w:rPr>
              <w:t>76.9</w:t>
            </w:r>
          </w:p>
        </w:tc>
        <w:tc>
          <w:tcPr>
            <w:tcW w:w="1098" w:type="dxa"/>
          </w:tcPr>
          <w:p w:rsidR="008332D5" w:rsidRPr="00FE2DF0" w:rsidRDefault="008332D5" w:rsidP="00D50887">
            <w:pPr>
              <w:pStyle w:val="Tabletext"/>
              <w:ind w:right="227"/>
              <w:jc w:val="right"/>
            </w:pPr>
            <w:r w:rsidRPr="00FE2DF0">
              <w:t>5</w:t>
            </w:r>
            <w:r w:rsidR="00D50887" w:rsidRPr="00FE2DF0">
              <w:t xml:space="preserve"> </w:t>
            </w:r>
            <w:r w:rsidRPr="00FE2DF0">
              <w:t>308</w:t>
            </w:r>
          </w:p>
        </w:tc>
        <w:tc>
          <w:tcPr>
            <w:tcW w:w="1099" w:type="dxa"/>
          </w:tcPr>
          <w:p w:rsidR="008332D5" w:rsidRDefault="008332D5" w:rsidP="00D50887">
            <w:pPr>
              <w:pStyle w:val="Tabletext"/>
              <w:tabs>
                <w:tab w:val="decimal" w:pos="454"/>
              </w:tabs>
            </w:pPr>
            <w:r>
              <w:t>84.0</w:t>
            </w:r>
          </w:p>
        </w:tc>
      </w:tr>
      <w:tr w:rsidR="008332D5" w:rsidTr="00F229EF">
        <w:tc>
          <w:tcPr>
            <w:tcW w:w="4395" w:type="dxa"/>
          </w:tcPr>
          <w:p w:rsidR="008332D5" w:rsidRDefault="008332D5" w:rsidP="00D50887">
            <w:pPr>
              <w:pStyle w:val="Tabletext"/>
              <w:ind w:left="170"/>
              <w:rPr>
                <w:lang w:val="en-GB"/>
              </w:rPr>
            </w:pPr>
            <w:r>
              <w:rPr>
                <w:lang w:val="en-GB"/>
              </w:rPr>
              <w:t xml:space="preserve"> No</w:t>
            </w:r>
          </w:p>
        </w:tc>
        <w:tc>
          <w:tcPr>
            <w:tcW w:w="1098" w:type="dxa"/>
          </w:tcPr>
          <w:p w:rsidR="008332D5" w:rsidRPr="00FE2DF0" w:rsidRDefault="008332D5" w:rsidP="00D50887">
            <w:pPr>
              <w:pStyle w:val="Tabletext"/>
              <w:ind w:right="227"/>
              <w:jc w:val="right"/>
              <w:rPr>
                <w:lang w:val="en-GB"/>
              </w:rPr>
            </w:pPr>
            <w:r w:rsidRPr="00FE2DF0">
              <w:rPr>
                <w:lang w:val="en-GB"/>
              </w:rPr>
              <w:t>1</w:t>
            </w:r>
            <w:r w:rsidR="00D50887" w:rsidRPr="00FE2DF0">
              <w:rPr>
                <w:lang w:val="en-GB"/>
              </w:rPr>
              <w:t xml:space="preserve"> </w:t>
            </w:r>
            <w:r w:rsidRPr="00FE2DF0">
              <w:rPr>
                <w:lang w:val="en-GB"/>
              </w:rPr>
              <w:t>594</w:t>
            </w:r>
          </w:p>
        </w:tc>
        <w:tc>
          <w:tcPr>
            <w:tcW w:w="1099" w:type="dxa"/>
          </w:tcPr>
          <w:p w:rsidR="008332D5" w:rsidRPr="00FE2DF0" w:rsidRDefault="008332D5" w:rsidP="00D50887">
            <w:pPr>
              <w:pStyle w:val="Tabletext"/>
              <w:tabs>
                <w:tab w:val="decimal" w:pos="454"/>
              </w:tabs>
              <w:rPr>
                <w:lang w:val="en-GB"/>
              </w:rPr>
            </w:pPr>
            <w:r w:rsidRPr="00FE2DF0">
              <w:rPr>
                <w:lang w:val="en-GB"/>
              </w:rPr>
              <w:t>23.1</w:t>
            </w:r>
          </w:p>
        </w:tc>
        <w:tc>
          <w:tcPr>
            <w:tcW w:w="1098" w:type="dxa"/>
          </w:tcPr>
          <w:p w:rsidR="008332D5" w:rsidRPr="00FE2DF0" w:rsidRDefault="008332D5" w:rsidP="00D50887">
            <w:pPr>
              <w:pStyle w:val="Tabletext"/>
              <w:ind w:right="227"/>
              <w:jc w:val="right"/>
            </w:pPr>
            <w:r w:rsidRPr="00FE2DF0">
              <w:t>1</w:t>
            </w:r>
            <w:r w:rsidR="00D50887" w:rsidRPr="00FE2DF0">
              <w:t xml:space="preserve"> </w:t>
            </w:r>
            <w:r w:rsidRPr="00FE2DF0">
              <w:t>008</w:t>
            </w:r>
          </w:p>
        </w:tc>
        <w:tc>
          <w:tcPr>
            <w:tcW w:w="1099" w:type="dxa"/>
          </w:tcPr>
          <w:p w:rsidR="008332D5" w:rsidRDefault="008332D5" w:rsidP="00D50887">
            <w:pPr>
              <w:pStyle w:val="Tabletext"/>
              <w:tabs>
                <w:tab w:val="decimal" w:pos="454"/>
              </w:tabs>
            </w:pPr>
            <w:r>
              <w:t>16.0</w:t>
            </w:r>
          </w:p>
        </w:tc>
      </w:tr>
      <w:tr w:rsidR="008332D5" w:rsidTr="00F229EF">
        <w:tc>
          <w:tcPr>
            <w:tcW w:w="4395" w:type="dxa"/>
          </w:tcPr>
          <w:p w:rsidR="008332D5" w:rsidRDefault="008332D5" w:rsidP="00D50887">
            <w:pPr>
              <w:pStyle w:val="Tabletext"/>
              <w:rPr>
                <w:lang w:val="en-GB"/>
              </w:rPr>
            </w:pPr>
            <w:r w:rsidRPr="00494A07">
              <w:rPr>
                <w:i/>
                <w:lang w:val="en-GB"/>
              </w:rPr>
              <w:t>Personally have any credit cards or store cards</w:t>
            </w:r>
            <w:r w:rsidR="00CD47C6" w:rsidRPr="00CD47C6">
              <w:rPr>
                <w:vertAlign w:val="superscript"/>
                <w:lang w:val="en-GB"/>
              </w:rPr>
              <w:t>1</w:t>
            </w:r>
          </w:p>
        </w:tc>
        <w:tc>
          <w:tcPr>
            <w:tcW w:w="1098" w:type="dxa"/>
          </w:tcPr>
          <w:p w:rsidR="008332D5" w:rsidRPr="00FE2DF0" w:rsidRDefault="008332D5" w:rsidP="00D50887">
            <w:pPr>
              <w:pStyle w:val="Tabletext"/>
              <w:ind w:right="227"/>
              <w:jc w:val="right"/>
              <w:rPr>
                <w:lang w:val="en-GB"/>
              </w:rPr>
            </w:pPr>
          </w:p>
        </w:tc>
        <w:tc>
          <w:tcPr>
            <w:tcW w:w="1099" w:type="dxa"/>
          </w:tcPr>
          <w:p w:rsidR="008332D5" w:rsidRPr="00FE2DF0" w:rsidRDefault="008332D5" w:rsidP="00D50887">
            <w:pPr>
              <w:pStyle w:val="Tabletext"/>
              <w:tabs>
                <w:tab w:val="decimal" w:pos="454"/>
              </w:tabs>
              <w:rPr>
                <w:lang w:val="en-GB"/>
              </w:rPr>
            </w:pPr>
          </w:p>
        </w:tc>
        <w:tc>
          <w:tcPr>
            <w:tcW w:w="1098" w:type="dxa"/>
          </w:tcPr>
          <w:p w:rsidR="008332D5" w:rsidRPr="00FE2DF0" w:rsidRDefault="008332D5" w:rsidP="00D50887">
            <w:pPr>
              <w:pStyle w:val="Tabletext"/>
              <w:ind w:right="227"/>
              <w:jc w:val="right"/>
            </w:pPr>
          </w:p>
        </w:tc>
        <w:tc>
          <w:tcPr>
            <w:tcW w:w="1099" w:type="dxa"/>
          </w:tcPr>
          <w:p w:rsidR="008332D5" w:rsidRDefault="008332D5" w:rsidP="00D50887">
            <w:pPr>
              <w:pStyle w:val="Tabletext"/>
              <w:tabs>
                <w:tab w:val="decimal" w:pos="454"/>
              </w:tabs>
            </w:pPr>
          </w:p>
        </w:tc>
      </w:tr>
      <w:tr w:rsidR="008332D5" w:rsidTr="00F229EF">
        <w:tc>
          <w:tcPr>
            <w:tcW w:w="4395" w:type="dxa"/>
          </w:tcPr>
          <w:p w:rsidR="008332D5" w:rsidRDefault="008332D5" w:rsidP="00D50887">
            <w:pPr>
              <w:pStyle w:val="Tabletext"/>
              <w:ind w:left="170"/>
              <w:rPr>
                <w:lang w:val="en-GB"/>
              </w:rPr>
            </w:pPr>
            <w:r>
              <w:rPr>
                <w:lang w:val="en-GB"/>
              </w:rPr>
              <w:t xml:space="preserve"> Yes</w:t>
            </w:r>
          </w:p>
        </w:tc>
        <w:tc>
          <w:tcPr>
            <w:tcW w:w="1098" w:type="dxa"/>
          </w:tcPr>
          <w:p w:rsidR="008332D5" w:rsidRPr="00FE2DF0" w:rsidRDefault="008332D5" w:rsidP="00D50887">
            <w:pPr>
              <w:pStyle w:val="Tabletext"/>
              <w:ind w:right="227"/>
              <w:jc w:val="right"/>
              <w:rPr>
                <w:lang w:val="en-GB"/>
              </w:rPr>
            </w:pPr>
            <w:r w:rsidRPr="00FE2DF0">
              <w:rPr>
                <w:lang w:val="en-GB"/>
              </w:rPr>
              <w:t>1</w:t>
            </w:r>
            <w:r w:rsidR="00D50887" w:rsidRPr="00FE2DF0">
              <w:rPr>
                <w:lang w:val="en-GB"/>
              </w:rPr>
              <w:t xml:space="preserve"> </w:t>
            </w:r>
            <w:r w:rsidRPr="00FE2DF0">
              <w:rPr>
                <w:lang w:val="en-GB"/>
              </w:rPr>
              <w:t>067</w:t>
            </w:r>
          </w:p>
        </w:tc>
        <w:tc>
          <w:tcPr>
            <w:tcW w:w="1099" w:type="dxa"/>
          </w:tcPr>
          <w:p w:rsidR="008332D5" w:rsidRPr="00FE2DF0" w:rsidRDefault="008332D5" w:rsidP="00D50887">
            <w:pPr>
              <w:pStyle w:val="Tabletext"/>
              <w:tabs>
                <w:tab w:val="decimal" w:pos="454"/>
              </w:tabs>
              <w:rPr>
                <w:lang w:val="en-GB"/>
              </w:rPr>
            </w:pPr>
            <w:r w:rsidRPr="00FE2DF0">
              <w:rPr>
                <w:lang w:val="en-GB"/>
              </w:rPr>
              <w:t>15.5</w:t>
            </w:r>
          </w:p>
        </w:tc>
        <w:tc>
          <w:tcPr>
            <w:tcW w:w="1098" w:type="dxa"/>
          </w:tcPr>
          <w:p w:rsidR="008332D5" w:rsidRPr="00FE2DF0" w:rsidRDefault="008332D5" w:rsidP="00D50887">
            <w:pPr>
              <w:pStyle w:val="Tabletext"/>
              <w:ind w:right="227"/>
              <w:jc w:val="right"/>
            </w:pPr>
            <w:r w:rsidRPr="00FE2DF0">
              <w:t>695</w:t>
            </w:r>
          </w:p>
        </w:tc>
        <w:tc>
          <w:tcPr>
            <w:tcW w:w="1099" w:type="dxa"/>
          </w:tcPr>
          <w:p w:rsidR="008332D5" w:rsidRDefault="008332D5" w:rsidP="00D50887">
            <w:pPr>
              <w:pStyle w:val="Tabletext"/>
              <w:tabs>
                <w:tab w:val="decimal" w:pos="454"/>
              </w:tabs>
            </w:pPr>
            <w:r>
              <w:t>11.0</w:t>
            </w:r>
          </w:p>
        </w:tc>
      </w:tr>
      <w:tr w:rsidR="008332D5" w:rsidTr="00F229EF">
        <w:tc>
          <w:tcPr>
            <w:tcW w:w="4395" w:type="dxa"/>
          </w:tcPr>
          <w:p w:rsidR="008332D5" w:rsidRDefault="008332D5" w:rsidP="00D50887">
            <w:pPr>
              <w:pStyle w:val="Tabletext"/>
              <w:ind w:left="170"/>
              <w:rPr>
                <w:lang w:val="en-GB"/>
              </w:rPr>
            </w:pPr>
            <w:r>
              <w:rPr>
                <w:lang w:val="en-GB"/>
              </w:rPr>
              <w:t xml:space="preserve"> No</w:t>
            </w:r>
          </w:p>
        </w:tc>
        <w:tc>
          <w:tcPr>
            <w:tcW w:w="1098" w:type="dxa"/>
          </w:tcPr>
          <w:p w:rsidR="008332D5" w:rsidRPr="00FE2DF0" w:rsidRDefault="008332D5" w:rsidP="00D50887">
            <w:pPr>
              <w:pStyle w:val="Tabletext"/>
              <w:ind w:right="227"/>
              <w:jc w:val="right"/>
              <w:rPr>
                <w:lang w:val="en-GB"/>
              </w:rPr>
            </w:pPr>
            <w:r w:rsidRPr="00FE2DF0">
              <w:rPr>
                <w:lang w:val="en-GB"/>
              </w:rPr>
              <w:t>5</w:t>
            </w:r>
            <w:r w:rsidR="00D50887" w:rsidRPr="00FE2DF0">
              <w:rPr>
                <w:lang w:val="en-GB"/>
              </w:rPr>
              <w:t xml:space="preserve"> </w:t>
            </w:r>
            <w:r w:rsidRPr="00FE2DF0">
              <w:rPr>
                <w:lang w:val="en-GB"/>
              </w:rPr>
              <w:t>838</w:t>
            </w:r>
          </w:p>
        </w:tc>
        <w:tc>
          <w:tcPr>
            <w:tcW w:w="1099" w:type="dxa"/>
          </w:tcPr>
          <w:p w:rsidR="008332D5" w:rsidRPr="00FE2DF0" w:rsidRDefault="008332D5" w:rsidP="00D50887">
            <w:pPr>
              <w:pStyle w:val="Tabletext"/>
              <w:tabs>
                <w:tab w:val="decimal" w:pos="454"/>
              </w:tabs>
              <w:rPr>
                <w:lang w:val="en-GB"/>
              </w:rPr>
            </w:pPr>
            <w:r w:rsidRPr="00FE2DF0">
              <w:rPr>
                <w:lang w:val="en-GB"/>
              </w:rPr>
              <w:t>84.5</w:t>
            </w:r>
          </w:p>
        </w:tc>
        <w:tc>
          <w:tcPr>
            <w:tcW w:w="1098" w:type="dxa"/>
          </w:tcPr>
          <w:p w:rsidR="008332D5" w:rsidRPr="00FE2DF0" w:rsidRDefault="008332D5" w:rsidP="00D50887">
            <w:pPr>
              <w:pStyle w:val="Tabletext"/>
              <w:ind w:right="227"/>
              <w:jc w:val="right"/>
            </w:pPr>
            <w:r w:rsidRPr="00FE2DF0">
              <w:t>5</w:t>
            </w:r>
            <w:r w:rsidR="00D50887" w:rsidRPr="00FE2DF0">
              <w:t xml:space="preserve"> </w:t>
            </w:r>
            <w:r w:rsidRPr="00FE2DF0">
              <w:t>621</w:t>
            </w:r>
          </w:p>
        </w:tc>
        <w:tc>
          <w:tcPr>
            <w:tcW w:w="1099" w:type="dxa"/>
          </w:tcPr>
          <w:p w:rsidR="008332D5" w:rsidRDefault="008332D5" w:rsidP="00D50887">
            <w:pPr>
              <w:pStyle w:val="Tabletext"/>
              <w:tabs>
                <w:tab w:val="decimal" w:pos="454"/>
              </w:tabs>
            </w:pPr>
            <w:r>
              <w:t>89.0</w:t>
            </w:r>
          </w:p>
        </w:tc>
      </w:tr>
      <w:tr w:rsidR="008332D5" w:rsidRPr="0068558E" w:rsidTr="00F229EF">
        <w:tc>
          <w:tcPr>
            <w:tcW w:w="4395" w:type="dxa"/>
          </w:tcPr>
          <w:p w:rsidR="008332D5" w:rsidRPr="00494A07" w:rsidRDefault="008332D5" w:rsidP="00F229EF">
            <w:pPr>
              <w:pStyle w:val="Tabletext"/>
              <w:rPr>
                <w:i/>
                <w:lang w:val="en-GB"/>
              </w:rPr>
            </w:pPr>
            <w:r w:rsidRPr="00494A07">
              <w:rPr>
                <w:i/>
                <w:lang w:val="en-GB"/>
              </w:rPr>
              <w:t>Frequency of clearing  debt on credit card</w:t>
            </w:r>
            <w:r w:rsidR="00D50887" w:rsidRPr="00494A07">
              <w:rPr>
                <w:i/>
                <w:lang w:val="en-GB"/>
              </w:rPr>
              <w:t xml:space="preserve"> </w:t>
            </w:r>
            <w:r w:rsidR="00D50887" w:rsidRPr="00494A07">
              <w:rPr>
                <w:i/>
                <w:lang w:val="en-GB"/>
              </w:rPr>
              <w:br/>
              <w:t>(% of those indicating ‘yes’)</w:t>
            </w:r>
          </w:p>
        </w:tc>
        <w:tc>
          <w:tcPr>
            <w:tcW w:w="1098" w:type="dxa"/>
          </w:tcPr>
          <w:p w:rsidR="008332D5" w:rsidRPr="0068558E" w:rsidRDefault="008332D5" w:rsidP="00D50887">
            <w:pPr>
              <w:pStyle w:val="Tabletext"/>
              <w:ind w:right="227"/>
              <w:jc w:val="right"/>
              <w:rPr>
                <w:lang w:val="en-GB"/>
              </w:rPr>
            </w:pPr>
          </w:p>
        </w:tc>
        <w:tc>
          <w:tcPr>
            <w:tcW w:w="1099" w:type="dxa"/>
          </w:tcPr>
          <w:p w:rsidR="008332D5" w:rsidRPr="0068558E" w:rsidRDefault="008332D5" w:rsidP="00D50887">
            <w:pPr>
              <w:pStyle w:val="Tabletext"/>
              <w:tabs>
                <w:tab w:val="decimal" w:pos="454"/>
              </w:tabs>
              <w:rPr>
                <w:lang w:val="en-GB"/>
              </w:rPr>
            </w:pPr>
          </w:p>
        </w:tc>
        <w:tc>
          <w:tcPr>
            <w:tcW w:w="1098" w:type="dxa"/>
          </w:tcPr>
          <w:p w:rsidR="008332D5" w:rsidRPr="0068558E" w:rsidRDefault="008332D5" w:rsidP="00D50887">
            <w:pPr>
              <w:pStyle w:val="Tabletext"/>
              <w:ind w:right="227"/>
              <w:jc w:val="right"/>
              <w:rPr>
                <w:lang w:val="en-GB"/>
              </w:rPr>
            </w:pPr>
          </w:p>
        </w:tc>
        <w:tc>
          <w:tcPr>
            <w:tcW w:w="1099" w:type="dxa"/>
          </w:tcPr>
          <w:p w:rsidR="008332D5" w:rsidRPr="0068558E" w:rsidRDefault="008332D5" w:rsidP="00D50887">
            <w:pPr>
              <w:pStyle w:val="Tabletext"/>
              <w:tabs>
                <w:tab w:val="decimal" w:pos="454"/>
              </w:tabs>
              <w:rPr>
                <w:lang w:val="en-GB"/>
              </w:rPr>
            </w:pPr>
          </w:p>
        </w:tc>
      </w:tr>
      <w:tr w:rsidR="008332D5" w:rsidTr="00F229EF">
        <w:tc>
          <w:tcPr>
            <w:tcW w:w="4395" w:type="dxa"/>
          </w:tcPr>
          <w:p w:rsidR="008332D5" w:rsidRDefault="008332D5" w:rsidP="00D50887">
            <w:pPr>
              <w:pStyle w:val="Tabletext"/>
              <w:ind w:left="170"/>
              <w:rPr>
                <w:lang w:val="en-GB"/>
              </w:rPr>
            </w:pPr>
            <w:r>
              <w:rPr>
                <w:lang w:val="en-GB"/>
              </w:rPr>
              <w:t xml:space="preserve"> Hardly ever or never</w:t>
            </w:r>
          </w:p>
        </w:tc>
        <w:tc>
          <w:tcPr>
            <w:tcW w:w="1098" w:type="dxa"/>
          </w:tcPr>
          <w:p w:rsidR="008332D5" w:rsidRDefault="008332D5" w:rsidP="00D50887">
            <w:pPr>
              <w:pStyle w:val="Tabletext"/>
              <w:ind w:right="227"/>
              <w:jc w:val="right"/>
            </w:pPr>
            <w:r>
              <w:t>283</w:t>
            </w:r>
          </w:p>
        </w:tc>
        <w:tc>
          <w:tcPr>
            <w:tcW w:w="1099" w:type="dxa"/>
          </w:tcPr>
          <w:p w:rsidR="008332D5" w:rsidRDefault="008332D5" w:rsidP="00D50887">
            <w:pPr>
              <w:pStyle w:val="Tabletext"/>
              <w:tabs>
                <w:tab w:val="decimal" w:pos="454"/>
              </w:tabs>
            </w:pPr>
            <w:r>
              <w:t>26.5</w:t>
            </w:r>
          </w:p>
        </w:tc>
        <w:tc>
          <w:tcPr>
            <w:tcW w:w="1098" w:type="dxa"/>
          </w:tcPr>
          <w:p w:rsidR="008332D5" w:rsidRDefault="008332D5" w:rsidP="00D50887">
            <w:pPr>
              <w:pStyle w:val="Tabletext"/>
              <w:ind w:right="227"/>
              <w:jc w:val="right"/>
            </w:pPr>
            <w:r>
              <w:t>137</w:t>
            </w:r>
          </w:p>
        </w:tc>
        <w:tc>
          <w:tcPr>
            <w:tcW w:w="1099" w:type="dxa"/>
          </w:tcPr>
          <w:p w:rsidR="008332D5" w:rsidRDefault="008332D5" w:rsidP="00D50887">
            <w:pPr>
              <w:pStyle w:val="Tabletext"/>
              <w:tabs>
                <w:tab w:val="decimal" w:pos="454"/>
              </w:tabs>
            </w:pPr>
            <w:r>
              <w:t>19.7</w:t>
            </w:r>
          </w:p>
        </w:tc>
      </w:tr>
      <w:tr w:rsidR="008332D5" w:rsidTr="00F229EF">
        <w:tc>
          <w:tcPr>
            <w:tcW w:w="4395" w:type="dxa"/>
          </w:tcPr>
          <w:p w:rsidR="008332D5" w:rsidRDefault="008332D5" w:rsidP="00D50887">
            <w:pPr>
              <w:pStyle w:val="Tabletext"/>
              <w:ind w:left="170"/>
              <w:rPr>
                <w:lang w:val="en-GB"/>
              </w:rPr>
            </w:pPr>
            <w:r>
              <w:rPr>
                <w:lang w:val="en-GB"/>
              </w:rPr>
              <w:t xml:space="preserve"> Not very often</w:t>
            </w:r>
          </w:p>
        </w:tc>
        <w:tc>
          <w:tcPr>
            <w:tcW w:w="1098" w:type="dxa"/>
          </w:tcPr>
          <w:p w:rsidR="008332D5" w:rsidRDefault="008332D5" w:rsidP="00D50887">
            <w:pPr>
              <w:pStyle w:val="Tabletext"/>
              <w:ind w:right="227"/>
              <w:jc w:val="right"/>
            </w:pPr>
            <w:r>
              <w:t>51</w:t>
            </w:r>
          </w:p>
        </w:tc>
        <w:tc>
          <w:tcPr>
            <w:tcW w:w="1099" w:type="dxa"/>
          </w:tcPr>
          <w:p w:rsidR="008332D5" w:rsidRDefault="008332D5" w:rsidP="00D50887">
            <w:pPr>
              <w:pStyle w:val="Tabletext"/>
              <w:tabs>
                <w:tab w:val="decimal" w:pos="454"/>
              </w:tabs>
            </w:pPr>
            <w:r>
              <w:t>4.8</w:t>
            </w:r>
          </w:p>
        </w:tc>
        <w:tc>
          <w:tcPr>
            <w:tcW w:w="1098" w:type="dxa"/>
          </w:tcPr>
          <w:p w:rsidR="008332D5" w:rsidRDefault="008332D5" w:rsidP="00D50887">
            <w:pPr>
              <w:pStyle w:val="Tabletext"/>
              <w:ind w:right="227"/>
              <w:jc w:val="right"/>
            </w:pPr>
            <w:r>
              <w:t>43</w:t>
            </w:r>
          </w:p>
        </w:tc>
        <w:tc>
          <w:tcPr>
            <w:tcW w:w="1099" w:type="dxa"/>
          </w:tcPr>
          <w:p w:rsidR="008332D5" w:rsidRDefault="008332D5" w:rsidP="00D50887">
            <w:pPr>
              <w:pStyle w:val="Tabletext"/>
              <w:tabs>
                <w:tab w:val="decimal" w:pos="454"/>
              </w:tabs>
            </w:pPr>
            <w:r>
              <w:t>6.2</w:t>
            </w:r>
          </w:p>
        </w:tc>
      </w:tr>
      <w:tr w:rsidR="008332D5" w:rsidTr="00F229EF">
        <w:tc>
          <w:tcPr>
            <w:tcW w:w="4395" w:type="dxa"/>
          </w:tcPr>
          <w:p w:rsidR="008332D5" w:rsidRDefault="008332D5" w:rsidP="00D50887">
            <w:pPr>
              <w:pStyle w:val="Tabletext"/>
              <w:ind w:left="170"/>
              <w:rPr>
                <w:lang w:val="en-GB"/>
              </w:rPr>
            </w:pPr>
            <w:r>
              <w:rPr>
                <w:lang w:val="en-GB"/>
              </w:rPr>
              <w:t xml:space="preserve"> About half the time</w:t>
            </w:r>
          </w:p>
        </w:tc>
        <w:tc>
          <w:tcPr>
            <w:tcW w:w="1098" w:type="dxa"/>
          </w:tcPr>
          <w:p w:rsidR="008332D5" w:rsidRDefault="008332D5" w:rsidP="00D50887">
            <w:pPr>
              <w:pStyle w:val="Tabletext"/>
              <w:ind w:right="227"/>
              <w:jc w:val="right"/>
            </w:pPr>
            <w:r>
              <w:t>75</w:t>
            </w:r>
          </w:p>
        </w:tc>
        <w:tc>
          <w:tcPr>
            <w:tcW w:w="1099" w:type="dxa"/>
          </w:tcPr>
          <w:p w:rsidR="008332D5" w:rsidRDefault="008332D5" w:rsidP="00D50887">
            <w:pPr>
              <w:pStyle w:val="Tabletext"/>
              <w:tabs>
                <w:tab w:val="decimal" w:pos="454"/>
              </w:tabs>
            </w:pPr>
            <w:r>
              <w:t>7.0</w:t>
            </w:r>
          </w:p>
        </w:tc>
        <w:tc>
          <w:tcPr>
            <w:tcW w:w="1098" w:type="dxa"/>
          </w:tcPr>
          <w:p w:rsidR="008332D5" w:rsidRDefault="008332D5" w:rsidP="00D50887">
            <w:pPr>
              <w:pStyle w:val="Tabletext"/>
              <w:ind w:right="227"/>
              <w:jc w:val="right"/>
            </w:pPr>
            <w:r>
              <w:t>48</w:t>
            </w:r>
          </w:p>
        </w:tc>
        <w:tc>
          <w:tcPr>
            <w:tcW w:w="1099" w:type="dxa"/>
          </w:tcPr>
          <w:p w:rsidR="008332D5" w:rsidRDefault="008332D5" w:rsidP="00D50887">
            <w:pPr>
              <w:pStyle w:val="Tabletext"/>
              <w:tabs>
                <w:tab w:val="decimal" w:pos="454"/>
              </w:tabs>
            </w:pPr>
            <w:r>
              <w:t>6.9</w:t>
            </w:r>
          </w:p>
        </w:tc>
      </w:tr>
      <w:tr w:rsidR="008332D5" w:rsidTr="00F229EF">
        <w:tc>
          <w:tcPr>
            <w:tcW w:w="4395" w:type="dxa"/>
            <w:tcBorders>
              <w:bottom w:val="nil"/>
            </w:tcBorders>
          </w:tcPr>
          <w:p w:rsidR="008332D5" w:rsidRDefault="008332D5" w:rsidP="00D50887">
            <w:pPr>
              <w:pStyle w:val="Tabletext"/>
              <w:ind w:left="170"/>
              <w:rPr>
                <w:lang w:val="en-GB"/>
              </w:rPr>
            </w:pPr>
            <w:r>
              <w:rPr>
                <w:lang w:val="en-GB"/>
              </w:rPr>
              <w:t xml:space="preserve"> Most months</w:t>
            </w:r>
          </w:p>
        </w:tc>
        <w:tc>
          <w:tcPr>
            <w:tcW w:w="1098" w:type="dxa"/>
            <w:tcBorders>
              <w:bottom w:val="nil"/>
            </w:tcBorders>
          </w:tcPr>
          <w:p w:rsidR="008332D5" w:rsidRDefault="008332D5" w:rsidP="00D50887">
            <w:pPr>
              <w:pStyle w:val="Tabletext"/>
              <w:ind w:right="227"/>
              <w:jc w:val="right"/>
            </w:pPr>
            <w:r>
              <w:t>117</w:t>
            </w:r>
          </w:p>
        </w:tc>
        <w:tc>
          <w:tcPr>
            <w:tcW w:w="1099" w:type="dxa"/>
            <w:tcBorders>
              <w:bottom w:val="nil"/>
            </w:tcBorders>
          </w:tcPr>
          <w:p w:rsidR="008332D5" w:rsidRDefault="008332D5" w:rsidP="00D50887">
            <w:pPr>
              <w:pStyle w:val="Tabletext"/>
              <w:tabs>
                <w:tab w:val="decimal" w:pos="454"/>
              </w:tabs>
            </w:pPr>
            <w:r>
              <w:t>11.0</w:t>
            </w:r>
          </w:p>
        </w:tc>
        <w:tc>
          <w:tcPr>
            <w:tcW w:w="1098" w:type="dxa"/>
            <w:tcBorders>
              <w:bottom w:val="nil"/>
            </w:tcBorders>
          </w:tcPr>
          <w:p w:rsidR="008332D5" w:rsidRDefault="008332D5" w:rsidP="00D50887">
            <w:pPr>
              <w:pStyle w:val="Tabletext"/>
              <w:ind w:right="227"/>
              <w:jc w:val="right"/>
            </w:pPr>
            <w:r>
              <w:t>65</w:t>
            </w:r>
          </w:p>
        </w:tc>
        <w:tc>
          <w:tcPr>
            <w:tcW w:w="1099" w:type="dxa"/>
            <w:tcBorders>
              <w:bottom w:val="nil"/>
            </w:tcBorders>
          </w:tcPr>
          <w:p w:rsidR="008332D5" w:rsidRDefault="008332D5" w:rsidP="00D50887">
            <w:pPr>
              <w:pStyle w:val="Tabletext"/>
              <w:tabs>
                <w:tab w:val="decimal" w:pos="454"/>
              </w:tabs>
            </w:pPr>
            <w:r>
              <w:t>9.4</w:t>
            </w:r>
          </w:p>
        </w:tc>
      </w:tr>
      <w:tr w:rsidR="008332D5" w:rsidTr="00F229EF">
        <w:tc>
          <w:tcPr>
            <w:tcW w:w="4395" w:type="dxa"/>
            <w:tcBorders>
              <w:top w:val="nil"/>
              <w:bottom w:val="single" w:sz="4" w:space="0" w:color="auto"/>
            </w:tcBorders>
          </w:tcPr>
          <w:p w:rsidR="008332D5" w:rsidRDefault="008332D5" w:rsidP="00D50887">
            <w:pPr>
              <w:pStyle w:val="Tabletext"/>
              <w:ind w:left="170"/>
              <w:rPr>
                <w:lang w:val="en-GB"/>
              </w:rPr>
            </w:pPr>
            <w:r>
              <w:rPr>
                <w:lang w:val="en-GB"/>
              </w:rPr>
              <w:t xml:space="preserve"> Always or almost always </w:t>
            </w:r>
          </w:p>
        </w:tc>
        <w:tc>
          <w:tcPr>
            <w:tcW w:w="1098" w:type="dxa"/>
            <w:tcBorders>
              <w:top w:val="nil"/>
              <w:bottom w:val="single" w:sz="4" w:space="0" w:color="auto"/>
            </w:tcBorders>
          </w:tcPr>
          <w:p w:rsidR="008332D5" w:rsidRDefault="008332D5" w:rsidP="00D50887">
            <w:pPr>
              <w:pStyle w:val="Tabletext"/>
              <w:ind w:right="227"/>
              <w:jc w:val="right"/>
            </w:pPr>
            <w:r>
              <w:t>541</w:t>
            </w:r>
          </w:p>
        </w:tc>
        <w:tc>
          <w:tcPr>
            <w:tcW w:w="1099" w:type="dxa"/>
            <w:tcBorders>
              <w:top w:val="nil"/>
              <w:bottom w:val="single" w:sz="4" w:space="0" w:color="auto"/>
            </w:tcBorders>
          </w:tcPr>
          <w:p w:rsidR="008332D5" w:rsidRDefault="008332D5" w:rsidP="00D50887">
            <w:pPr>
              <w:pStyle w:val="Tabletext"/>
              <w:tabs>
                <w:tab w:val="decimal" w:pos="454"/>
              </w:tabs>
            </w:pPr>
            <w:r>
              <w:t>50.7</w:t>
            </w:r>
          </w:p>
        </w:tc>
        <w:tc>
          <w:tcPr>
            <w:tcW w:w="1098" w:type="dxa"/>
            <w:tcBorders>
              <w:top w:val="nil"/>
              <w:bottom w:val="single" w:sz="4" w:space="0" w:color="auto"/>
            </w:tcBorders>
          </w:tcPr>
          <w:p w:rsidR="008332D5" w:rsidRDefault="008332D5" w:rsidP="00D50887">
            <w:pPr>
              <w:pStyle w:val="Tabletext"/>
              <w:ind w:right="227"/>
              <w:jc w:val="right"/>
            </w:pPr>
            <w:r>
              <w:t>402</w:t>
            </w:r>
          </w:p>
        </w:tc>
        <w:tc>
          <w:tcPr>
            <w:tcW w:w="1099" w:type="dxa"/>
            <w:tcBorders>
              <w:top w:val="nil"/>
              <w:bottom w:val="single" w:sz="4" w:space="0" w:color="auto"/>
            </w:tcBorders>
          </w:tcPr>
          <w:p w:rsidR="008332D5" w:rsidRDefault="008332D5" w:rsidP="00D50887">
            <w:pPr>
              <w:pStyle w:val="Tabletext"/>
              <w:tabs>
                <w:tab w:val="decimal" w:pos="454"/>
              </w:tabs>
            </w:pPr>
            <w:r>
              <w:t>57.8</w:t>
            </w:r>
          </w:p>
        </w:tc>
      </w:tr>
    </w:tbl>
    <w:p w:rsidR="008332D5" w:rsidRPr="00B64429" w:rsidRDefault="008332D5" w:rsidP="008332D5">
      <w:pPr>
        <w:pStyle w:val="Source"/>
        <w:rPr>
          <w:lang w:val="en-GB"/>
        </w:rPr>
      </w:pPr>
      <w:r>
        <w:rPr>
          <w:lang w:val="en-GB"/>
        </w:rPr>
        <w:t xml:space="preserve">Note: </w:t>
      </w:r>
      <w:r w:rsidR="00CD47C6">
        <w:rPr>
          <w:lang w:val="en-GB"/>
        </w:rPr>
        <w:tab/>
        <w:t>1</w:t>
      </w:r>
      <w:r w:rsidR="00D50887">
        <w:rPr>
          <w:lang w:val="en-GB"/>
        </w:rPr>
        <w:tab/>
      </w:r>
      <w:r>
        <w:rPr>
          <w:lang w:val="en-GB"/>
        </w:rPr>
        <w:t>Refers to credit cards and store cards of the kind which require monthly payments</w:t>
      </w:r>
      <w:r w:rsidR="002778FE">
        <w:rPr>
          <w:lang w:val="en-GB"/>
        </w:rPr>
        <w:t>.</w:t>
      </w:r>
    </w:p>
    <w:p w:rsidR="009C32F6" w:rsidRDefault="00DE3303" w:rsidP="00DE3303">
      <w:pPr>
        <w:pStyle w:val="Source"/>
        <w:rPr>
          <w:lang w:val="en-GB"/>
        </w:rPr>
      </w:pPr>
      <w:r>
        <w:rPr>
          <w:lang w:val="en-GB"/>
        </w:rPr>
        <w:t>Source:</w:t>
      </w:r>
      <w:r>
        <w:rPr>
          <w:lang w:val="en-GB"/>
        </w:rPr>
        <w:tab/>
      </w:r>
      <w:r w:rsidR="009C32F6">
        <w:rPr>
          <w:lang w:val="en-GB"/>
        </w:rPr>
        <w:t xml:space="preserve">LSAY Y98 (in 2003) and Y06 (in 2010) cohorts. </w:t>
      </w:r>
    </w:p>
    <w:p w:rsidR="003A4552" w:rsidRPr="004434EA" w:rsidRDefault="003A4552" w:rsidP="00627579">
      <w:pPr>
        <w:pStyle w:val="Textmorebefore"/>
      </w:pPr>
      <w:r w:rsidRPr="008F47C0">
        <w:t xml:space="preserve">Overall, the quantitative examination of the LSAY data suggests that a </w:t>
      </w:r>
      <w:r w:rsidR="007A414D">
        <w:t>number</w:t>
      </w:r>
      <w:r w:rsidRPr="008F47C0">
        <w:t xml:space="preserve"> of young Australians between the ages of 20</w:t>
      </w:r>
      <w:r w:rsidR="00586C1C">
        <w:t xml:space="preserve"> </w:t>
      </w:r>
      <w:r w:rsidR="00B865AC">
        <w:t>and</w:t>
      </w:r>
      <w:r w:rsidR="00586C1C">
        <w:t xml:space="preserve"> </w:t>
      </w:r>
      <w:r w:rsidRPr="008F47C0">
        <w:t xml:space="preserve">25 </w:t>
      </w:r>
      <w:r w:rsidR="007A414D">
        <w:t xml:space="preserve">years </w:t>
      </w:r>
      <w:r w:rsidRPr="008F47C0">
        <w:t>experience certain aspects of financial stress. The crucia</w:t>
      </w:r>
      <w:r w:rsidR="007A414D">
        <w:t>l question then becomes whether and to what extent</w:t>
      </w:r>
      <w:r w:rsidRPr="008F47C0">
        <w:t xml:space="preserve"> the experience of financial stress impacts on outcomes from tertiary study. This important question is explored in the second part of the report.</w:t>
      </w:r>
    </w:p>
    <w:p w:rsidR="008332D5" w:rsidRDefault="008332D5" w:rsidP="008332D5">
      <w:pPr>
        <w:spacing w:before="0" w:line="240" w:lineRule="auto"/>
        <w:rPr>
          <w:rFonts w:ascii="Tahoma" w:hAnsi="Tahoma" w:cs="Tahoma"/>
          <w:sz w:val="28"/>
          <w:lang w:val="en-GB"/>
        </w:rPr>
      </w:pPr>
    </w:p>
    <w:p w:rsidR="00BF25A1" w:rsidRDefault="00BF25A1">
      <w:pPr>
        <w:spacing w:before="0" w:after="200" w:line="276" w:lineRule="auto"/>
        <w:rPr>
          <w:rFonts w:ascii="Tahoma" w:hAnsi="Tahoma" w:cs="Tahoma"/>
          <w:color w:val="000000"/>
          <w:kern w:val="28"/>
          <w:sz w:val="56"/>
          <w:szCs w:val="56"/>
          <w:lang w:val="en-GB"/>
        </w:rPr>
      </w:pPr>
      <w:r>
        <w:rPr>
          <w:lang w:val="en-GB"/>
        </w:rPr>
        <w:br w:type="page"/>
      </w:r>
    </w:p>
    <w:p w:rsidR="008332D5" w:rsidRDefault="008332D5" w:rsidP="00212158">
      <w:pPr>
        <w:pStyle w:val="Heading1"/>
        <w:ind w:right="-143"/>
        <w:rPr>
          <w:lang w:val="en-GB"/>
        </w:rPr>
      </w:pPr>
      <w:bookmarkStart w:id="42" w:name="_Toc388884888"/>
      <w:r>
        <w:rPr>
          <w:lang w:val="en-GB"/>
        </w:rPr>
        <w:t>Financial stress and study outcomes</w:t>
      </w:r>
      <w:bookmarkEnd w:id="42"/>
    </w:p>
    <w:p w:rsidR="007B1ED1" w:rsidRPr="00F05986" w:rsidRDefault="007B1ED1" w:rsidP="007B1ED1">
      <w:pPr>
        <w:pStyle w:val="Text"/>
        <w:rPr>
          <w:b/>
          <w:i/>
          <w:lang w:val="en-GB"/>
        </w:rPr>
      </w:pPr>
      <w:r>
        <w:rPr>
          <w:lang w:val="en-GB"/>
        </w:rPr>
        <w:t xml:space="preserve">This </w:t>
      </w:r>
      <w:r w:rsidR="00F05986">
        <w:rPr>
          <w:lang w:val="en-GB"/>
        </w:rPr>
        <w:t xml:space="preserve">second </w:t>
      </w:r>
      <w:r>
        <w:rPr>
          <w:lang w:val="en-GB"/>
        </w:rPr>
        <w:t xml:space="preserve">part of the paper </w:t>
      </w:r>
      <w:r w:rsidRPr="007B1ED1">
        <w:rPr>
          <w:lang w:val="en-GB"/>
        </w:rPr>
        <w:t xml:space="preserve">contains </w:t>
      </w:r>
      <w:r w:rsidR="007A414D">
        <w:rPr>
          <w:lang w:val="en-GB"/>
        </w:rPr>
        <w:t xml:space="preserve">an </w:t>
      </w:r>
      <w:r w:rsidRPr="007B1ED1">
        <w:rPr>
          <w:lang w:val="en-GB"/>
        </w:rPr>
        <w:t xml:space="preserve">analysis of </w:t>
      </w:r>
      <w:r w:rsidR="007A414D">
        <w:rPr>
          <w:lang w:val="en-GB"/>
        </w:rPr>
        <w:t xml:space="preserve">the </w:t>
      </w:r>
      <w:r w:rsidRPr="007B1ED1">
        <w:rPr>
          <w:lang w:val="en-GB"/>
        </w:rPr>
        <w:t xml:space="preserve">qualitative responses from a small-scale survey of 51 Y06 LSAY respondents, who </w:t>
      </w:r>
      <w:r>
        <w:rPr>
          <w:lang w:val="en-GB"/>
        </w:rPr>
        <w:t xml:space="preserve">as earlier </w:t>
      </w:r>
      <w:r w:rsidR="00932468">
        <w:rPr>
          <w:lang w:val="en-GB"/>
        </w:rPr>
        <w:t>mentioned</w:t>
      </w:r>
      <w:r>
        <w:rPr>
          <w:lang w:val="en-GB"/>
        </w:rPr>
        <w:t xml:space="preserve"> </w:t>
      </w:r>
      <w:r w:rsidRPr="007B1ED1">
        <w:rPr>
          <w:lang w:val="en-GB"/>
        </w:rPr>
        <w:t>had indicated their interest in participating in a</w:t>
      </w:r>
      <w:r w:rsidR="000051CD">
        <w:rPr>
          <w:lang w:val="en-GB"/>
        </w:rPr>
        <w:t>n</w:t>
      </w:r>
      <w:r w:rsidRPr="007B1ED1">
        <w:rPr>
          <w:lang w:val="en-GB"/>
        </w:rPr>
        <w:t xml:space="preserve"> LSAY study</w:t>
      </w:r>
      <w:r w:rsidRPr="007B1ED1">
        <w:t xml:space="preserve">. </w:t>
      </w:r>
    </w:p>
    <w:p w:rsidR="008332D5" w:rsidRDefault="0015119F" w:rsidP="008332D5">
      <w:pPr>
        <w:pStyle w:val="Text"/>
      </w:pPr>
      <w:r w:rsidRPr="008F47C0">
        <w:t>The purpose of this section is to explore</w:t>
      </w:r>
      <w:r>
        <w:t xml:space="preserve"> </w:t>
      </w:r>
      <w:r w:rsidR="008332D5">
        <w:t>the impact of financial stress on a selected group of students.</w:t>
      </w:r>
      <w:r>
        <w:rPr>
          <w:lang w:val="en-GB"/>
        </w:rPr>
        <w:t xml:space="preserve"> </w:t>
      </w:r>
      <w:r w:rsidR="000051CD">
        <w:rPr>
          <w:lang w:val="en-GB"/>
        </w:rPr>
        <w:t>We</w:t>
      </w:r>
      <w:r w:rsidR="008332D5" w:rsidRPr="00CC2BDF">
        <w:rPr>
          <w:lang w:val="en-GB"/>
        </w:rPr>
        <w:t xml:space="preserve"> </w:t>
      </w:r>
      <w:r w:rsidR="008332D5">
        <w:rPr>
          <w:lang w:val="en-GB"/>
        </w:rPr>
        <w:t>are not able to</w:t>
      </w:r>
      <w:r w:rsidR="008332D5" w:rsidRPr="00CC2BDF">
        <w:rPr>
          <w:lang w:val="en-GB"/>
        </w:rPr>
        <w:t xml:space="preserve"> capture a student’s academic performance, </w:t>
      </w:r>
      <w:r w:rsidR="000051CD">
        <w:rPr>
          <w:lang w:val="en-GB"/>
        </w:rPr>
        <w:t xml:space="preserve">which means that </w:t>
      </w:r>
      <w:r w:rsidR="008332D5" w:rsidRPr="00CC2BDF">
        <w:rPr>
          <w:lang w:val="en-GB"/>
        </w:rPr>
        <w:t xml:space="preserve">the </w:t>
      </w:r>
      <w:r w:rsidR="008332D5" w:rsidRPr="00CC2BDF">
        <w:t xml:space="preserve">only outcome measures we can explore are retention and completion of study. And, while we may regard a student </w:t>
      </w:r>
      <w:r w:rsidR="007A414D">
        <w:t>who</w:t>
      </w:r>
      <w:r w:rsidR="008332D5" w:rsidRPr="00CC2BDF">
        <w:t xml:space="preserve"> continues to study </w:t>
      </w:r>
      <w:r w:rsidR="007A414D">
        <w:t>despite</w:t>
      </w:r>
      <w:r w:rsidR="008332D5" w:rsidRPr="00CC2BDF">
        <w:t xml:space="preserve"> experiencing financial stress as a positive outcome, we have no way of knowing whether their ‘quality of study’ is affected by their level of financial stress. </w:t>
      </w:r>
      <w:r w:rsidR="008332D5" w:rsidRPr="00EA7E08">
        <w:rPr>
          <w:lang w:val="en-GB"/>
        </w:rPr>
        <w:t xml:space="preserve">LSAY does not capture education outcomes </w:t>
      </w:r>
      <w:r w:rsidR="007A414D" w:rsidRPr="00EA7E08">
        <w:rPr>
          <w:lang w:val="en-GB"/>
        </w:rPr>
        <w:t>such as grades or engagement with learning</w:t>
      </w:r>
      <w:r w:rsidR="007A414D">
        <w:rPr>
          <w:lang w:val="en-GB"/>
        </w:rPr>
        <w:t>; it only captures</w:t>
      </w:r>
      <w:r w:rsidR="007A414D" w:rsidRPr="00EA7E08">
        <w:rPr>
          <w:lang w:val="en-GB"/>
        </w:rPr>
        <w:t xml:space="preserve"> </w:t>
      </w:r>
      <w:r w:rsidR="007A414D">
        <w:rPr>
          <w:lang w:val="en-GB"/>
        </w:rPr>
        <w:t>course completion</w:t>
      </w:r>
      <w:r w:rsidR="008332D5" w:rsidRPr="00EA7E08">
        <w:rPr>
          <w:lang w:val="en-GB"/>
        </w:rPr>
        <w:t xml:space="preserve">. The group of LSAY respondents likely to be in tertiary study in 2012 are those first interviewed in 2006, collectively known as the Y06 cohort. </w:t>
      </w:r>
      <w:r w:rsidR="008332D5" w:rsidRPr="00EA7E08">
        <w:t>About a third of the final sample had completed their studies during the interview period</w:t>
      </w:r>
      <w:r w:rsidR="00B5763F">
        <w:t>,</w:t>
      </w:r>
      <w:r w:rsidR="00666EB0" w:rsidRPr="00666EB0">
        <w:t xml:space="preserve"> from 2006 to 2012</w:t>
      </w:r>
      <w:r w:rsidR="008332D5" w:rsidRPr="00EA7E08">
        <w:t xml:space="preserve">. </w:t>
      </w:r>
    </w:p>
    <w:p w:rsidR="008332D5" w:rsidRDefault="008332D5" w:rsidP="008332D5">
      <w:pPr>
        <w:pStyle w:val="Text"/>
      </w:pPr>
      <w:r>
        <w:t>Wallis Consulting Group</w:t>
      </w:r>
      <w:r w:rsidR="007A414D">
        <w:t>,</w:t>
      </w:r>
      <w:r w:rsidR="007A414D" w:rsidRPr="00EF470F">
        <w:rPr>
          <w:vertAlign w:val="superscript"/>
          <w:lang w:val="en-GB"/>
        </w:rPr>
        <w:footnoteReference w:id="13"/>
      </w:r>
      <w:r w:rsidR="007A414D" w:rsidRPr="00EF470F">
        <w:rPr>
          <w:lang w:val="en-GB"/>
        </w:rPr>
        <w:t xml:space="preserve"> the LSAY field work contractor, </w:t>
      </w:r>
      <w:r>
        <w:t>was commissioned by the National Centre for Vocational Education Research to conduct a total of 50 interviews</w:t>
      </w:r>
      <w:r w:rsidR="00210CCE">
        <w:rPr>
          <w:rStyle w:val="FootnoteReference"/>
        </w:rPr>
        <w:footnoteReference w:id="14"/>
      </w:r>
      <w:r>
        <w:t xml:space="preserve"> with selected respo</w:t>
      </w:r>
      <w:r w:rsidR="00736CF9">
        <w:t>ndents from the Y06 LSAY cohort,</w:t>
      </w:r>
      <w:r w:rsidR="007A414D">
        <w:rPr>
          <w:lang w:val="en-GB"/>
        </w:rPr>
        <w:t xml:space="preserve"> </w:t>
      </w:r>
      <w:r w:rsidR="00736CF9">
        <w:rPr>
          <w:lang w:val="en-GB"/>
        </w:rPr>
        <w:t>recruiting and conducting</w:t>
      </w:r>
      <w:r w:rsidRPr="00EF470F">
        <w:rPr>
          <w:lang w:val="en-GB"/>
        </w:rPr>
        <w:t xml:space="preserve"> in-depth interviews from an initial pool of Y06 respondents who indicated their interest in participating in a separate LSAY study</w:t>
      </w:r>
      <w:r>
        <w:t xml:space="preserve">. </w:t>
      </w:r>
      <w:r w:rsidR="000727CB" w:rsidRPr="007B1ED1">
        <w:t xml:space="preserve">In order to </w:t>
      </w:r>
      <w:r w:rsidR="00736CF9">
        <w:t>identify</w:t>
      </w:r>
      <w:r w:rsidR="000727CB" w:rsidRPr="007B1ED1">
        <w:t xml:space="preserve"> potential suitable </w:t>
      </w:r>
      <w:r w:rsidR="000727CB">
        <w:t xml:space="preserve">and eligible respondents, </w:t>
      </w:r>
      <w:r w:rsidR="000727CB" w:rsidRPr="007B1ED1">
        <w:t>responses to a few key questions were highlighted in the 2012 LSAY interview. If a respondent reported that they were finding it ‘fairly difficult’ or ‘very difficult’ to manage financially, they were asked if they would be willing to participate in a further</w:t>
      </w:r>
      <w:r w:rsidR="000727CB">
        <w:t>, in-depth interview</w:t>
      </w:r>
      <w:r>
        <w:t>. This question was added at the conclusion of the LSAY interview. The respondents were also told that t</w:t>
      </w:r>
      <w:r w:rsidR="00C75CDB">
        <w:t>hey would receive a $50 Coles M</w:t>
      </w:r>
      <w:r>
        <w:t>yer</w:t>
      </w:r>
      <w:r w:rsidR="00C75CDB">
        <w:t>’</w:t>
      </w:r>
      <w:r>
        <w:t>s gift card in appreciation for their time. This recruitment question was included on both the telephone and online</w:t>
      </w:r>
      <w:r w:rsidR="00212158">
        <w:t> </w:t>
      </w:r>
      <w:r>
        <w:t>questionnaire.</w:t>
      </w:r>
      <w:r w:rsidRPr="0084480C">
        <w:t xml:space="preserve"> </w:t>
      </w:r>
    </w:p>
    <w:p w:rsidR="008332D5" w:rsidRPr="00CC2BDF" w:rsidRDefault="008332D5" w:rsidP="008332D5">
      <w:pPr>
        <w:pStyle w:val="Text"/>
      </w:pPr>
      <w:r w:rsidRPr="00CC2BDF">
        <w:t xml:space="preserve">Students were </w:t>
      </w:r>
      <w:r>
        <w:t xml:space="preserve">asked </w:t>
      </w:r>
      <w:r w:rsidRPr="00CC2BDF">
        <w:t>how financial stress</w:t>
      </w:r>
      <w:r w:rsidR="00367FD8">
        <w:t xml:space="preserve"> impacted </w:t>
      </w:r>
      <w:r w:rsidR="00736CF9">
        <w:t xml:space="preserve">on </w:t>
      </w:r>
      <w:r w:rsidR="00367FD8">
        <w:t>their study decisions, o</w:t>
      </w:r>
      <w:r w:rsidRPr="00CC2BDF">
        <w:t>r if, a</w:t>
      </w:r>
      <w:r>
        <w:t>s a</w:t>
      </w:r>
      <w:r w:rsidRPr="00CC2BDF">
        <w:t xml:space="preserve"> consequence of financial stress, </w:t>
      </w:r>
      <w:r w:rsidR="00736CF9">
        <w:t>they had</w:t>
      </w:r>
      <w:r w:rsidRPr="00CC2BDF">
        <w:t xml:space="preserve"> made changes to their study load or mode</w:t>
      </w:r>
      <w:r>
        <w:t>,</w:t>
      </w:r>
      <w:r w:rsidRPr="00CC2BDF">
        <w:t xml:space="preserve"> to </w:t>
      </w:r>
      <w:r>
        <w:t xml:space="preserve">better </w:t>
      </w:r>
      <w:r w:rsidRPr="00CC2BDF">
        <w:t>manage studying rather than dropp</w:t>
      </w:r>
      <w:r>
        <w:t>ing out of education completely. These options could include</w:t>
      </w:r>
      <w:r w:rsidR="00367FD8">
        <w:t>,</w:t>
      </w:r>
      <w:r w:rsidRPr="00CC2BDF">
        <w:t xml:space="preserve"> </w:t>
      </w:r>
      <w:r>
        <w:t xml:space="preserve">for example, </w:t>
      </w:r>
      <w:r w:rsidR="00367FD8">
        <w:t>changing to</w:t>
      </w:r>
      <w:r w:rsidRPr="00CC2BDF">
        <w:t xml:space="preserve"> part-time (study), choosing ‘off-mode’ study (distance), deferring study for</w:t>
      </w:r>
      <w:r w:rsidR="00367FD8">
        <w:t xml:space="preserve"> a year, or changing to a lower-</w:t>
      </w:r>
      <w:r w:rsidRPr="00CC2BDF">
        <w:t>level qualification.</w:t>
      </w:r>
    </w:p>
    <w:p w:rsidR="008332D5" w:rsidRDefault="008332D5" w:rsidP="008332D5">
      <w:pPr>
        <w:pStyle w:val="Text"/>
      </w:pPr>
      <w:r w:rsidRPr="00CC2BDF">
        <w:t>In addition, respondents were also asked about their individual circumstance</w:t>
      </w:r>
      <w:r w:rsidR="00367FD8">
        <w:t>s,</w:t>
      </w:r>
      <w:r w:rsidRPr="00CC2BDF">
        <w:t xml:space="preserve"> incl</w:t>
      </w:r>
      <w:r w:rsidR="00C75CDB">
        <w:t>uding their living arrangements</w:t>
      </w:r>
      <w:r w:rsidR="00367FD8">
        <w:t>;</w:t>
      </w:r>
      <w:r w:rsidR="00C75CDB">
        <w:t xml:space="preserve"> for example,</w:t>
      </w:r>
      <w:r w:rsidRPr="00CC2BDF">
        <w:t xml:space="preserve"> whether respondents live at home with parents or live </w:t>
      </w:r>
      <w:r w:rsidR="00367FD8">
        <w:t>independently; whether</w:t>
      </w:r>
      <w:r w:rsidR="00C75CDB">
        <w:t xml:space="preserve"> they combine</w:t>
      </w:r>
      <w:r w:rsidR="00367FD8">
        <w:t xml:space="preserve"> work and study;</w:t>
      </w:r>
      <w:r w:rsidRPr="00CC2BDF">
        <w:t xml:space="preserve"> how the</w:t>
      </w:r>
      <w:r w:rsidR="00C75CDB">
        <w:t>y</w:t>
      </w:r>
      <w:r w:rsidRPr="00CC2BDF">
        <w:t xml:space="preserve"> manage their various work and study commitments</w:t>
      </w:r>
      <w:r w:rsidR="00367FD8">
        <w:t>;</w:t>
      </w:r>
      <w:r w:rsidRPr="00CC2BDF">
        <w:t xml:space="preserve"> and the implications </w:t>
      </w:r>
      <w:r w:rsidR="00367FD8">
        <w:t>of</w:t>
      </w:r>
      <w:r w:rsidRPr="00CC2BDF">
        <w:t xml:space="preserve"> their financial position </w:t>
      </w:r>
      <w:r w:rsidR="00736CF9">
        <w:t>for</w:t>
      </w:r>
      <w:r w:rsidRPr="00CC2BDF">
        <w:t xml:space="preserve"> th</w:t>
      </w:r>
      <w:r>
        <w:t xml:space="preserve">eir health and wellbeing. </w:t>
      </w:r>
    </w:p>
    <w:p w:rsidR="008332D5" w:rsidRDefault="008332D5" w:rsidP="008332D5">
      <w:pPr>
        <w:pStyle w:val="Text"/>
      </w:pPr>
      <w:r>
        <w:t>Table 6 shows the</w:t>
      </w:r>
      <w:r w:rsidR="00C75CDB">
        <w:t xml:space="preserve"> demographic</w:t>
      </w:r>
      <w:r>
        <w:t xml:space="preserve"> breakdown of the</w:t>
      </w:r>
      <w:r w:rsidR="00C75CDB">
        <w:t xml:space="preserve"> 51 respondents. </w:t>
      </w:r>
    </w:p>
    <w:p w:rsidR="00212158" w:rsidRDefault="00212158">
      <w:pPr>
        <w:spacing w:before="0" w:after="200" w:line="276" w:lineRule="auto"/>
        <w:rPr>
          <w:rFonts w:ascii="Tahoma" w:hAnsi="Tahoma"/>
          <w:b/>
          <w:sz w:val="17"/>
          <w:lang w:val="en-GB"/>
        </w:rPr>
      </w:pPr>
      <w:r>
        <w:rPr>
          <w:lang w:val="en-GB"/>
        </w:rPr>
        <w:br w:type="page"/>
      </w:r>
    </w:p>
    <w:p w:rsidR="008332D5" w:rsidRPr="00F96C3A" w:rsidRDefault="008332D5" w:rsidP="008332D5">
      <w:pPr>
        <w:pStyle w:val="tabletitle"/>
        <w:rPr>
          <w:lang w:val="en-GB"/>
        </w:rPr>
      </w:pPr>
      <w:bookmarkStart w:id="43" w:name="_Toc388884920"/>
      <w:r w:rsidRPr="00F96C3A">
        <w:rPr>
          <w:lang w:val="en-GB"/>
        </w:rPr>
        <w:t xml:space="preserve">Table </w:t>
      </w:r>
      <w:r>
        <w:rPr>
          <w:lang w:val="en-GB"/>
        </w:rPr>
        <w:t>6</w:t>
      </w:r>
      <w:r w:rsidR="009C32F6">
        <w:rPr>
          <w:lang w:val="en-GB"/>
        </w:rPr>
        <w:tab/>
      </w:r>
      <w:r w:rsidR="00367FD8">
        <w:rPr>
          <w:lang w:val="en-GB"/>
        </w:rPr>
        <w:t>Respondent d</w:t>
      </w:r>
      <w:r w:rsidRPr="00F96C3A">
        <w:rPr>
          <w:lang w:val="en-GB"/>
        </w:rPr>
        <w:t>emographics</w:t>
      </w:r>
      <w:bookmarkEnd w:id="43"/>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170" w:type="dxa"/>
        </w:tblCellMar>
        <w:tblLook w:val="04A0" w:firstRow="1" w:lastRow="0" w:firstColumn="1" w:lastColumn="0" w:noHBand="0" w:noVBand="1"/>
      </w:tblPr>
      <w:tblGrid>
        <w:gridCol w:w="3544"/>
        <w:gridCol w:w="1418"/>
      </w:tblGrid>
      <w:tr w:rsidR="009C32F6" w:rsidRPr="00DB4B82" w:rsidTr="00494A07">
        <w:tc>
          <w:tcPr>
            <w:tcW w:w="3544" w:type="dxa"/>
            <w:tcBorders>
              <w:top w:val="single" w:sz="4" w:space="0" w:color="auto"/>
              <w:bottom w:val="single" w:sz="4" w:space="0" w:color="auto"/>
            </w:tcBorders>
          </w:tcPr>
          <w:p w:rsidR="009C32F6" w:rsidRPr="002838E9" w:rsidRDefault="009C32F6" w:rsidP="00494A07">
            <w:pPr>
              <w:pStyle w:val="Tablehead1"/>
              <w:rPr>
                <w:lang w:val="en-GB"/>
              </w:rPr>
            </w:pPr>
            <w:r w:rsidRPr="002838E9">
              <w:t>Classification</w:t>
            </w:r>
          </w:p>
        </w:tc>
        <w:tc>
          <w:tcPr>
            <w:tcW w:w="1418" w:type="dxa"/>
            <w:tcBorders>
              <w:top w:val="single" w:sz="4" w:space="0" w:color="auto"/>
              <w:bottom w:val="single" w:sz="4" w:space="0" w:color="auto"/>
            </w:tcBorders>
          </w:tcPr>
          <w:p w:rsidR="009C32F6" w:rsidRPr="00DB4B82" w:rsidRDefault="009C32F6" w:rsidP="00494A07">
            <w:pPr>
              <w:pStyle w:val="Tablehead1"/>
              <w:jc w:val="center"/>
              <w:rPr>
                <w:i/>
                <w:lang w:val="en-GB"/>
              </w:rPr>
            </w:pPr>
            <w:r w:rsidRPr="002838E9">
              <w:t>N</w:t>
            </w:r>
            <w:r>
              <w:t>umber</w:t>
            </w:r>
            <w:r w:rsidRPr="002838E9">
              <w:t xml:space="preserve"> of respondents</w:t>
            </w:r>
          </w:p>
        </w:tc>
      </w:tr>
      <w:tr w:rsidR="009C32F6" w:rsidRPr="00DB4B82" w:rsidTr="00494A07">
        <w:tc>
          <w:tcPr>
            <w:tcW w:w="3544" w:type="dxa"/>
            <w:tcBorders>
              <w:top w:val="single" w:sz="4" w:space="0" w:color="auto"/>
            </w:tcBorders>
          </w:tcPr>
          <w:p w:rsidR="009C32F6" w:rsidRPr="00494A07" w:rsidRDefault="009C32F6" w:rsidP="00494A07">
            <w:pPr>
              <w:pStyle w:val="Tabletext"/>
              <w:rPr>
                <w:i/>
                <w:lang w:val="en-GB"/>
              </w:rPr>
            </w:pPr>
            <w:r w:rsidRPr="00494A07">
              <w:rPr>
                <w:i/>
                <w:lang w:val="en-GB"/>
              </w:rPr>
              <w:t>Gender</w:t>
            </w:r>
          </w:p>
        </w:tc>
        <w:tc>
          <w:tcPr>
            <w:tcW w:w="1418" w:type="dxa"/>
            <w:tcBorders>
              <w:top w:val="single" w:sz="4" w:space="0" w:color="auto"/>
            </w:tcBorders>
          </w:tcPr>
          <w:p w:rsidR="009C32F6" w:rsidRPr="00DB4B82" w:rsidRDefault="009C32F6" w:rsidP="00494A07">
            <w:pPr>
              <w:pStyle w:val="Tabletext"/>
              <w:rPr>
                <w:i/>
                <w:lang w:val="en-GB"/>
              </w:rPr>
            </w:pPr>
          </w:p>
        </w:tc>
      </w:tr>
      <w:tr w:rsidR="009C32F6" w:rsidRPr="00DB4B82" w:rsidTr="00494A07">
        <w:tc>
          <w:tcPr>
            <w:tcW w:w="3544" w:type="dxa"/>
          </w:tcPr>
          <w:p w:rsidR="009C32F6" w:rsidRPr="00DB4B82" w:rsidRDefault="009C32F6" w:rsidP="00494A07">
            <w:pPr>
              <w:pStyle w:val="Tabletext"/>
              <w:ind w:left="170"/>
              <w:rPr>
                <w:lang w:val="en-GB"/>
              </w:rPr>
            </w:pPr>
            <w:r>
              <w:rPr>
                <w:lang w:val="en-GB"/>
              </w:rPr>
              <w:t xml:space="preserve"> Male</w:t>
            </w:r>
          </w:p>
        </w:tc>
        <w:tc>
          <w:tcPr>
            <w:tcW w:w="1418" w:type="dxa"/>
          </w:tcPr>
          <w:p w:rsidR="009C32F6" w:rsidRPr="00DB4B82" w:rsidRDefault="009C32F6" w:rsidP="004F75DF">
            <w:pPr>
              <w:pStyle w:val="Tabletext"/>
              <w:tabs>
                <w:tab w:val="decimal" w:pos="624"/>
              </w:tabs>
              <w:rPr>
                <w:lang w:val="en-GB"/>
              </w:rPr>
            </w:pPr>
            <w:r>
              <w:rPr>
                <w:lang w:val="en-GB"/>
              </w:rPr>
              <w:t>20</w:t>
            </w:r>
          </w:p>
        </w:tc>
      </w:tr>
      <w:tr w:rsidR="009C32F6" w:rsidRPr="00DB4B82" w:rsidTr="00494A07">
        <w:tc>
          <w:tcPr>
            <w:tcW w:w="3544" w:type="dxa"/>
          </w:tcPr>
          <w:p w:rsidR="009C32F6" w:rsidRPr="00DB4B82" w:rsidRDefault="009C32F6" w:rsidP="00494A07">
            <w:pPr>
              <w:pStyle w:val="Tabletext"/>
              <w:ind w:left="170"/>
              <w:rPr>
                <w:lang w:val="en-GB"/>
              </w:rPr>
            </w:pPr>
            <w:r>
              <w:rPr>
                <w:lang w:val="en-GB"/>
              </w:rPr>
              <w:t xml:space="preserve"> Female</w:t>
            </w:r>
          </w:p>
        </w:tc>
        <w:tc>
          <w:tcPr>
            <w:tcW w:w="1418" w:type="dxa"/>
          </w:tcPr>
          <w:p w:rsidR="009C32F6" w:rsidRPr="00DB4B82" w:rsidRDefault="009C32F6" w:rsidP="004F75DF">
            <w:pPr>
              <w:pStyle w:val="Tabletext"/>
              <w:tabs>
                <w:tab w:val="decimal" w:pos="624"/>
              </w:tabs>
              <w:rPr>
                <w:lang w:val="en-GB"/>
              </w:rPr>
            </w:pPr>
            <w:r>
              <w:rPr>
                <w:lang w:val="en-GB"/>
              </w:rPr>
              <w:t>31</w:t>
            </w:r>
          </w:p>
        </w:tc>
      </w:tr>
      <w:tr w:rsidR="009C32F6" w:rsidRPr="00DB4B82" w:rsidTr="00494A07">
        <w:tc>
          <w:tcPr>
            <w:tcW w:w="3544" w:type="dxa"/>
          </w:tcPr>
          <w:p w:rsidR="009C32F6" w:rsidRPr="00494A07" w:rsidRDefault="009C32F6" w:rsidP="00494A07">
            <w:pPr>
              <w:pStyle w:val="Tabletext"/>
              <w:rPr>
                <w:i/>
                <w:lang w:val="en-GB"/>
              </w:rPr>
            </w:pPr>
            <w:r w:rsidRPr="00494A07">
              <w:rPr>
                <w:i/>
                <w:lang w:val="en-GB"/>
              </w:rPr>
              <w:t>Mode of LSAY annual interview</w:t>
            </w:r>
          </w:p>
        </w:tc>
        <w:tc>
          <w:tcPr>
            <w:tcW w:w="1418" w:type="dxa"/>
          </w:tcPr>
          <w:p w:rsidR="009C32F6" w:rsidRPr="00DB4B82" w:rsidRDefault="009C32F6" w:rsidP="004F75DF">
            <w:pPr>
              <w:pStyle w:val="Tabletext"/>
              <w:tabs>
                <w:tab w:val="decimal" w:pos="624"/>
              </w:tabs>
              <w:rPr>
                <w:i/>
                <w:lang w:val="en-GB"/>
              </w:rPr>
            </w:pPr>
          </w:p>
        </w:tc>
      </w:tr>
      <w:tr w:rsidR="009C32F6" w:rsidRPr="00DB4B82" w:rsidTr="00494A07">
        <w:tc>
          <w:tcPr>
            <w:tcW w:w="3544" w:type="dxa"/>
          </w:tcPr>
          <w:p w:rsidR="009C32F6" w:rsidRPr="00DB4B82" w:rsidRDefault="009C32F6" w:rsidP="00494A07">
            <w:pPr>
              <w:pStyle w:val="Tabletext"/>
              <w:ind w:left="170"/>
              <w:rPr>
                <w:lang w:val="en-GB"/>
              </w:rPr>
            </w:pPr>
            <w:r>
              <w:rPr>
                <w:lang w:val="en-GB"/>
              </w:rPr>
              <w:t xml:space="preserve"> Phone</w:t>
            </w:r>
          </w:p>
        </w:tc>
        <w:tc>
          <w:tcPr>
            <w:tcW w:w="1418" w:type="dxa"/>
          </w:tcPr>
          <w:p w:rsidR="009C32F6" w:rsidRPr="00DB4B82" w:rsidRDefault="009C32F6" w:rsidP="004F75DF">
            <w:pPr>
              <w:pStyle w:val="Tabletext"/>
              <w:tabs>
                <w:tab w:val="decimal" w:pos="624"/>
              </w:tabs>
              <w:rPr>
                <w:lang w:val="en-GB"/>
              </w:rPr>
            </w:pPr>
            <w:r>
              <w:rPr>
                <w:lang w:val="en-GB"/>
              </w:rPr>
              <w:t>40</w:t>
            </w:r>
          </w:p>
        </w:tc>
      </w:tr>
      <w:tr w:rsidR="009C32F6" w:rsidRPr="00DB4B82" w:rsidTr="00494A07">
        <w:tc>
          <w:tcPr>
            <w:tcW w:w="3544" w:type="dxa"/>
          </w:tcPr>
          <w:p w:rsidR="009C32F6" w:rsidRPr="00DB4B82" w:rsidRDefault="009C32F6" w:rsidP="00494A07">
            <w:pPr>
              <w:pStyle w:val="Tabletext"/>
              <w:ind w:left="170"/>
              <w:rPr>
                <w:lang w:val="en-GB"/>
              </w:rPr>
            </w:pPr>
            <w:r>
              <w:rPr>
                <w:lang w:val="en-GB"/>
              </w:rPr>
              <w:t xml:space="preserve"> Online</w:t>
            </w:r>
          </w:p>
        </w:tc>
        <w:tc>
          <w:tcPr>
            <w:tcW w:w="1418" w:type="dxa"/>
          </w:tcPr>
          <w:p w:rsidR="009C32F6" w:rsidRPr="00DB4B82" w:rsidRDefault="009C32F6" w:rsidP="004F75DF">
            <w:pPr>
              <w:pStyle w:val="Tabletext"/>
              <w:tabs>
                <w:tab w:val="decimal" w:pos="624"/>
              </w:tabs>
              <w:rPr>
                <w:lang w:val="en-GB"/>
              </w:rPr>
            </w:pPr>
            <w:r>
              <w:rPr>
                <w:lang w:val="en-GB"/>
              </w:rPr>
              <w:t>11</w:t>
            </w:r>
          </w:p>
        </w:tc>
      </w:tr>
      <w:tr w:rsidR="009C32F6" w:rsidRPr="00DB4B82" w:rsidTr="00494A07">
        <w:tc>
          <w:tcPr>
            <w:tcW w:w="3544" w:type="dxa"/>
          </w:tcPr>
          <w:p w:rsidR="009C32F6" w:rsidRPr="00494A07" w:rsidRDefault="00D43F03" w:rsidP="00494A07">
            <w:pPr>
              <w:pStyle w:val="Tabletext"/>
              <w:rPr>
                <w:i/>
                <w:lang w:val="en-GB"/>
              </w:rPr>
            </w:pPr>
            <w:r w:rsidRPr="00494A07">
              <w:rPr>
                <w:i/>
                <w:lang w:val="en-GB"/>
              </w:rPr>
              <w:t>Employment s</w:t>
            </w:r>
            <w:r w:rsidR="009C32F6" w:rsidRPr="00494A07">
              <w:rPr>
                <w:i/>
                <w:lang w:val="en-GB"/>
              </w:rPr>
              <w:t>tatus</w:t>
            </w:r>
          </w:p>
        </w:tc>
        <w:tc>
          <w:tcPr>
            <w:tcW w:w="1418" w:type="dxa"/>
          </w:tcPr>
          <w:p w:rsidR="009C32F6" w:rsidRPr="00DB4B82" w:rsidRDefault="009C32F6" w:rsidP="004F75DF">
            <w:pPr>
              <w:pStyle w:val="Tabletext"/>
              <w:tabs>
                <w:tab w:val="decimal" w:pos="624"/>
              </w:tabs>
              <w:rPr>
                <w:i/>
                <w:lang w:val="en-GB"/>
              </w:rPr>
            </w:pPr>
          </w:p>
        </w:tc>
      </w:tr>
      <w:tr w:rsidR="009C32F6" w:rsidRPr="00DB4B82" w:rsidTr="004F75DF">
        <w:tc>
          <w:tcPr>
            <w:tcW w:w="3544" w:type="dxa"/>
          </w:tcPr>
          <w:p w:rsidR="009C32F6" w:rsidRDefault="004F75DF" w:rsidP="00494A07">
            <w:pPr>
              <w:pStyle w:val="Tabletext"/>
              <w:ind w:left="170"/>
              <w:rPr>
                <w:lang w:val="en-GB"/>
              </w:rPr>
            </w:pPr>
            <w:r>
              <w:rPr>
                <w:lang w:val="en-GB"/>
              </w:rPr>
              <w:t xml:space="preserve"> </w:t>
            </w:r>
            <w:r w:rsidR="009C32F6">
              <w:rPr>
                <w:lang w:val="en-GB"/>
              </w:rPr>
              <w:t>Employed</w:t>
            </w:r>
          </w:p>
          <w:p w:rsidR="009C32F6" w:rsidRPr="004F75DF" w:rsidRDefault="004F75DF" w:rsidP="004F75DF">
            <w:pPr>
              <w:pStyle w:val="Tabletext"/>
              <w:ind w:left="170"/>
              <w:rPr>
                <w:lang w:val="en-GB"/>
              </w:rPr>
            </w:pPr>
            <w:r>
              <w:rPr>
                <w:lang w:val="en-GB"/>
              </w:rPr>
              <w:t xml:space="preserve"> Unemployed </w:t>
            </w:r>
          </w:p>
        </w:tc>
        <w:tc>
          <w:tcPr>
            <w:tcW w:w="1418" w:type="dxa"/>
          </w:tcPr>
          <w:p w:rsidR="009C32F6" w:rsidRDefault="009C32F6" w:rsidP="004F75DF">
            <w:pPr>
              <w:pStyle w:val="Tabletext"/>
              <w:tabs>
                <w:tab w:val="decimal" w:pos="624"/>
              </w:tabs>
              <w:rPr>
                <w:lang w:val="en-GB"/>
              </w:rPr>
            </w:pPr>
            <w:r>
              <w:rPr>
                <w:lang w:val="en-GB"/>
              </w:rPr>
              <w:t>26</w:t>
            </w:r>
          </w:p>
          <w:p w:rsidR="009C32F6" w:rsidRPr="00DB4B82" w:rsidRDefault="009C32F6" w:rsidP="004F75DF">
            <w:pPr>
              <w:pStyle w:val="Tabletext"/>
              <w:tabs>
                <w:tab w:val="decimal" w:pos="624"/>
              </w:tabs>
              <w:rPr>
                <w:lang w:val="en-GB"/>
              </w:rPr>
            </w:pPr>
            <w:r>
              <w:rPr>
                <w:lang w:val="en-GB"/>
              </w:rPr>
              <w:t>25</w:t>
            </w:r>
          </w:p>
        </w:tc>
      </w:tr>
      <w:tr w:rsidR="004F75DF" w:rsidRPr="00DB4B82" w:rsidTr="004F75DF">
        <w:tc>
          <w:tcPr>
            <w:tcW w:w="3544" w:type="dxa"/>
          </w:tcPr>
          <w:p w:rsidR="004F75DF" w:rsidRDefault="004F75DF" w:rsidP="00494A07">
            <w:pPr>
              <w:pStyle w:val="Tabletext"/>
              <w:rPr>
                <w:lang w:val="en-GB"/>
              </w:rPr>
            </w:pPr>
            <w:r w:rsidRPr="00494A07">
              <w:rPr>
                <w:i/>
                <w:lang w:val="en-GB"/>
              </w:rPr>
              <w:t>Living status</w:t>
            </w:r>
          </w:p>
        </w:tc>
        <w:tc>
          <w:tcPr>
            <w:tcW w:w="1418" w:type="dxa"/>
          </w:tcPr>
          <w:p w:rsidR="004F75DF" w:rsidRDefault="004F75DF" w:rsidP="004F75DF">
            <w:pPr>
              <w:pStyle w:val="Tabletext"/>
              <w:tabs>
                <w:tab w:val="decimal" w:pos="624"/>
              </w:tabs>
            </w:pPr>
          </w:p>
        </w:tc>
      </w:tr>
      <w:tr w:rsidR="004F75DF" w:rsidRPr="00DB4B82" w:rsidTr="004F75DF">
        <w:tc>
          <w:tcPr>
            <w:tcW w:w="3544" w:type="dxa"/>
          </w:tcPr>
          <w:p w:rsidR="004F75DF" w:rsidRPr="00494A07" w:rsidRDefault="004F75DF" w:rsidP="004F75DF">
            <w:pPr>
              <w:pStyle w:val="Tabletext"/>
              <w:ind w:left="170"/>
              <w:rPr>
                <w:i/>
                <w:lang w:val="en-GB"/>
              </w:rPr>
            </w:pPr>
            <w:r>
              <w:rPr>
                <w:lang w:val="en-GB"/>
              </w:rPr>
              <w:t xml:space="preserve"> Living with parents</w:t>
            </w:r>
          </w:p>
        </w:tc>
        <w:tc>
          <w:tcPr>
            <w:tcW w:w="1418" w:type="dxa"/>
          </w:tcPr>
          <w:p w:rsidR="004F75DF" w:rsidRDefault="004F75DF" w:rsidP="004F75DF">
            <w:pPr>
              <w:pStyle w:val="Tabletext"/>
              <w:tabs>
                <w:tab w:val="decimal" w:pos="624"/>
              </w:tabs>
            </w:pPr>
            <w:r>
              <w:t>25</w:t>
            </w:r>
          </w:p>
        </w:tc>
      </w:tr>
      <w:tr w:rsidR="004F75DF" w:rsidRPr="00DB4B82" w:rsidTr="004F75DF">
        <w:tc>
          <w:tcPr>
            <w:tcW w:w="3544" w:type="dxa"/>
          </w:tcPr>
          <w:p w:rsidR="004F75DF" w:rsidRPr="00494A07" w:rsidRDefault="004F75DF" w:rsidP="004F75DF">
            <w:pPr>
              <w:pStyle w:val="Tabletext"/>
              <w:ind w:left="170"/>
              <w:rPr>
                <w:i/>
                <w:lang w:val="en-GB"/>
              </w:rPr>
            </w:pPr>
            <w:r>
              <w:rPr>
                <w:lang w:val="en-GB"/>
              </w:rPr>
              <w:t xml:space="preserve"> Living independently</w:t>
            </w:r>
          </w:p>
        </w:tc>
        <w:tc>
          <w:tcPr>
            <w:tcW w:w="1418" w:type="dxa"/>
          </w:tcPr>
          <w:p w:rsidR="004F75DF" w:rsidRDefault="004F75DF" w:rsidP="004F75DF">
            <w:pPr>
              <w:pStyle w:val="Tabletext"/>
              <w:tabs>
                <w:tab w:val="decimal" w:pos="624"/>
              </w:tabs>
            </w:pPr>
            <w:r>
              <w:t>26</w:t>
            </w:r>
          </w:p>
        </w:tc>
      </w:tr>
      <w:tr w:rsidR="004F75DF" w:rsidRPr="00DB4B82" w:rsidTr="004F75DF">
        <w:tc>
          <w:tcPr>
            <w:tcW w:w="3544" w:type="dxa"/>
          </w:tcPr>
          <w:p w:rsidR="004F75DF" w:rsidRPr="00494A07" w:rsidRDefault="004F75DF" w:rsidP="00494A07">
            <w:pPr>
              <w:pStyle w:val="Tabletext"/>
              <w:rPr>
                <w:i/>
                <w:lang w:val="en-GB"/>
              </w:rPr>
            </w:pPr>
            <w:r w:rsidRPr="00494A07">
              <w:rPr>
                <w:i/>
                <w:lang w:val="en-GB"/>
              </w:rPr>
              <w:t>Stat</w:t>
            </w:r>
            <w:r>
              <w:rPr>
                <w:i/>
                <w:lang w:val="en-GB"/>
              </w:rPr>
              <w:t>e</w:t>
            </w:r>
          </w:p>
        </w:tc>
        <w:tc>
          <w:tcPr>
            <w:tcW w:w="1418" w:type="dxa"/>
          </w:tcPr>
          <w:p w:rsidR="004F75DF" w:rsidRDefault="004F75DF" w:rsidP="004F75DF">
            <w:pPr>
              <w:pStyle w:val="Tabletext"/>
              <w:tabs>
                <w:tab w:val="decimal" w:pos="624"/>
              </w:tabs>
            </w:pPr>
          </w:p>
        </w:tc>
      </w:tr>
      <w:tr w:rsidR="009C32F6" w:rsidRPr="00DB4B82" w:rsidTr="004F75DF">
        <w:tc>
          <w:tcPr>
            <w:tcW w:w="3544" w:type="dxa"/>
            <w:tcBorders>
              <w:bottom w:val="single" w:sz="4" w:space="0" w:color="auto"/>
            </w:tcBorders>
          </w:tcPr>
          <w:p w:rsidR="009C32F6" w:rsidRDefault="005F07B7" w:rsidP="00494A07">
            <w:pPr>
              <w:pStyle w:val="Tabletext"/>
              <w:ind w:left="170"/>
              <w:rPr>
                <w:lang w:val="en-GB"/>
              </w:rPr>
            </w:pPr>
            <w:r>
              <w:rPr>
                <w:lang w:val="en-GB"/>
              </w:rPr>
              <w:t xml:space="preserve"> </w:t>
            </w:r>
            <w:r w:rsidR="009C32F6">
              <w:rPr>
                <w:lang w:val="en-GB"/>
              </w:rPr>
              <w:t>NSW</w:t>
            </w:r>
          </w:p>
          <w:p w:rsidR="009C32F6" w:rsidRDefault="005F07B7" w:rsidP="00494A07">
            <w:pPr>
              <w:pStyle w:val="Tabletext"/>
              <w:ind w:left="170"/>
              <w:rPr>
                <w:lang w:val="en-GB"/>
              </w:rPr>
            </w:pPr>
            <w:r>
              <w:rPr>
                <w:lang w:val="en-GB"/>
              </w:rPr>
              <w:t xml:space="preserve"> </w:t>
            </w:r>
            <w:r w:rsidR="009C32F6">
              <w:rPr>
                <w:lang w:val="en-GB"/>
              </w:rPr>
              <w:t>SA</w:t>
            </w:r>
          </w:p>
          <w:p w:rsidR="009C32F6" w:rsidRDefault="005F07B7" w:rsidP="00494A07">
            <w:pPr>
              <w:pStyle w:val="Tabletext"/>
              <w:ind w:left="170"/>
              <w:rPr>
                <w:lang w:val="en-GB"/>
              </w:rPr>
            </w:pPr>
            <w:r>
              <w:rPr>
                <w:lang w:val="en-GB"/>
              </w:rPr>
              <w:t xml:space="preserve"> </w:t>
            </w:r>
            <w:r w:rsidR="00D43F03">
              <w:rPr>
                <w:lang w:val="en-GB"/>
              </w:rPr>
              <w:t>Vic.</w:t>
            </w:r>
          </w:p>
          <w:p w:rsidR="009C32F6" w:rsidRDefault="005F07B7" w:rsidP="00494A07">
            <w:pPr>
              <w:pStyle w:val="Tabletext"/>
              <w:ind w:left="170"/>
              <w:rPr>
                <w:lang w:val="en-GB"/>
              </w:rPr>
            </w:pPr>
            <w:r>
              <w:rPr>
                <w:lang w:val="en-GB"/>
              </w:rPr>
              <w:t xml:space="preserve"> </w:t>
            </w:r>
            <w:r w:rsidR="009C32F6">
              <w:rPr>
                <w:lang w:val="en-GB"/>
              </w:rPr>
              <w:t>QLD</w:t>
            </w:r>
          </w:p>
          <w:p w:rsidR="009C32F6" w:rsidRDefault="005F07B7" w:rsidP="00494A07">
            <w:pPr>
              <w:pStyle w:val="Tabletext"/>
              <w:ind w:left="170"/>
              <w:rPr>
                <w:lang w:val="en-GB"/>
              </w:rPr>
            </w:pPr>
            <w:r>
              <w:rPr>
                <w:lang w:val="en-GB"/>
              </w:rPr>
              <w:t xml:space="preserve"> </w:t>
            </w:r>
            <w:r w:rsidR="00D43F03">
              <w:rPr>
                <w:lang w:val="en-GB"/>
              </w:rPr>
              <w:t>Tas.</w:t>
            </w:r>
          </w:p>
          <w:p w:rsidR="009C32F6" w:rsidRDefault="005F07B7" w:rsidP="00494A07">
            <w:pPr>
              <w:pStyle w:val="Tabletext"/>
              <w:ind w:left="170"/>
              <w:rPr>
                <w:lang w:val="en-GB"/>
              </w:rPr>
            </w:pPr>
            <w:r>
              <w:rPr>
                <w:lang w:val="en-GB"/>
              </w:rPr>
              <w:t xml:space="preserve"> </w:t>
            </w:r>
            <w:r w:rsidR="009C32F6">
              <w:rPr>
                <w:lang w:val="en-GB"/>
              </w:rPr>
              <w:t>WA</w:t>
            </w:r>
          </w:p>
          <w:p w:rsidR="009C32F6" w:rsidRDefault="005F07B7" w:rsidP="00494A07">
            <w:pPr>
              <w:pStyle w:val="Tabletext"/>
              <w:ind w:left="170"/>
              <w:rPr>
                <w:lang w:val="en-GB"/>
              </w:rPr>
            </w:pPr>
            <w:r>
              <w:rPr>
                <w:lang w:val="en-GB"/>
              </w:rPr>
              <w:t xml:space="preserve"> </w:t>
            </w:r>
            <w:r w:rsidR="009C32F6">
              <w:rPr>
                <w:lang w:val="en-GB"/>
              </w:rPr>
              <w:t>ACT</w:t>
            </w:r>
          </w:p>
          <w:p w:rsidR="009C32F6" w:rsidRPr="00DB4B82" w:rsidRDefault="005F07B7" w:rsidP="00494A07">
            <w:pPr>
              <w:pStyle w:val="Tabletext"/>
              <w:ind w:left="170"/>
              <w:rPr>
                <w:lang w:val="en-GB"/>
              </w:rPr>
            </w:pPr>
            <w:r>
              <w:rPr>
                <w:lang w:val="en-GB"/>
              </w:rPr>
              <w:t xml:space="preserve"> </w:t>
            </w:r>
            <w:r w:rsidR="009C32F6">
              <w:rPr>
                <w:lang w:val="en-GB"/>
              </w:rPr>
              <w:t>NT</w:t>
            </w:r>
          </w:p>
        </w:tc>
        <w:tc>
          <w:tcPr>
            <w:tcW w:w="1418" w:type="dxa"/>
            <w:tcBorders>
              <w:bottom w:val="single" w:sz="4" w:space="0" w:color="auto"/>
            </w:tcBorders>
          </w:tcPr>
          <w:p w:rsidR="009C32F6" w:rsidRDefault="009C32F6" w:rsidP="004F75DF">
            <w:pPr>
              <w:pStyle w:val="Tabletext"/>
              <w:tabs>
                <w:tab w:val="decimal" w:pos="624"/>
              </w:tabs>
            </w:pPr>
            <w:r>
              <w:t>19</w:t>
            </w:r>
          </w:p>
          <w:p w:rsidR="009C32F6" w:rsidRDefault="009C32F6" w:rsidP="004F75DF">
            <w:pPr>
              <w:pStyle w:val="Tabletext"/>
              <w:tabs>
                <w:tab w:val="decimal" w:pos="624"/>
              </w:tabs>
            </w:pPr>
            <w:r>
              <w:t>9</w:t>
            </w:r>
          </w:p>
          <w:p w:rsidR="009C32F6" w:rsidRDefault="009C32F6" w:rsidP="004F75DF">
            <w:pPr>
              <w:pStyle w:val="Tabletext"/>
              <w:tabs>
                <w:tab w:val="decimal" w:pos="624"/>
              </w:tabs>
            </w:pPr>
            <w:r>
              <w:t>7</w:t>
            </w:r>
          </w:p>
          <w:p w:rsidR="009C32F6" w:rsidRDefault="009C32F6" w:rsidP="004F75DF">
            <w:pPr>
              <w:pStyle w:val="Tabletext"/>
              <w:tabs>
                <w:tab w:val="decimal" w:pos="624"/>
              </w:tabs>
            </w:pPr>
            <w:r>
              <w:t>7</w:t>
            </w:r>
          </w:p>
          <w:p w:rsidR="009C32F6" w:rsidRDefault="009C32F6" w:rsidP="004F75DF">
            <w:pPr>
              <w:pStyle w:val="Tabletext"/>
              <w:tabs>
                <w:tab w:val="decimal" w:pos="624"/>
              </w:tabs>
            </w:pPr>
            <w:r>
              <w:t>4</w:t>
            </w:r>
          </w:p>
          <w:p w:rsidR="009C32F6" w:rsidRDefault="009C32F6" w:rsidP="004F75DF">
            <w:pPr>
              <w:pStyle w:val="Tabletext"/>
              <w:tabs>
                <w:tab w:val="decimal" w:pos="624"/>
              </w:tabs>
            </w:pPr>
            <w:r>
              <w:t>3</w:t>
            </w:r>
          </w:p>
          <w:p w:rsidR="009C32F6" w:rsidRDefault="009C32F6" w:rsidP="004F75DF">
            <w:pPr>
              <w:pStyle w:val="Tabletext"/>
              <w:tabs>
                <w:tab w:val="decimal" w:pos="624"/>
              </w:tabs>
            </w:pPr>
            <w:r>
              <w:t>1</w:t>
            </w:r>
          </w:p>
          <w:p w:rsidR="009C32F6" w:rsidRPr="00DB4B82" w:rsidRDefault="009C32F6" w:rsidP="004F75DF">
            <w:pPr>
              <w:pStyle w:val="Tabletext"/>
              <w:tabs>
                <w:tab w:val="decimal" w:pos="624"/>
              </w:tabs>
            </w:pPr>
            <w:r>
              <w:t>1</w:t>
            </w:r>
          </w:p>
        </w:tc>
      </w:tr>
    </w:tbl>
    <w:p w:rsidR="008332D5" w:rsidRDefault="008332D5" w:rsidP="008332D5">
      <w:pPr>
        <w:pStyle w:val="Heading2"/>
        <w:rPr>
          <w:lang w:val="en-GB"/>
        </w:rPr>
      </w:pPr>
      <w:bookmarkStart w:id="44" w:name="_Toc388884889"/>
      <w:r>
        <w:rPr>
          <w:lang w:val="en-GB"/>
        </w:rPr>
        <w:t>How are young people managing their finances and study?</w:t>
      </w:r>
      <w:bookmarkEnd w:id="44"/>
    </w:p>
    <w:p w:rsidR="008332D5" w:rsidRDefault="008332D5" w:rsidP="008332D5">
      <w:pPr>
        <w:pStyle w:val="Text"/>
        <w:rPr>
          <w:lang w:val="en-GB"/>
        </w:rPr>
      </w:pPr>
      <w:r>
        <w:rPr>
          <w:lang w:val="en-GB"/>
        </w:rPr>
        <w:t>For a small number of students, experiencing financial hardship is a trigger for withdrawal or deferral</w:t>
      </w:r>
      <w:r w:rsidR="00666064">
        <w:rPr>
          <w:lang w:val="en-GB"/>
        </w:rPr>
        <w:t xml:space="preserve"> of study. However, there were insufficient numbers of such students </w:t>
      </w:r>
      <w:r>
        <w:rPr>
          <w:lang w:val="en-GB"/>
        </w:rPr>
        <w:t xml:space="preserve">in the LSAY </w:t>
      </w:r>
      <w:r w:rsidR="000A7274">
        <w:rPr>
          <w:lang w:val="en-GB"/>
        </w:rPr>
        <w:t>data to examine this topic in further detail with any statistical reliability</w:t>
      </w:r>
      <w:r>
        <w:rPr>
          <w:lang w:val="en-GB"/>
        </w:rPr>
        <w:t xml:space="preserve">. </w:t>
      </w:r>
      <w:r w:rsidRPr="006622CF">
        <w:t>These study outcomes may in turn affect course completion rates and subsequent decisions about further study.</w:t>
      </w:r>
    </w:p>
    <w:p w:rsidR="008332D5" w:rsidRDefault="008E7B1F" w:rsidP="008332D5">
      <w:pPr>
        <w:pStyle w:val="Text"/>
      </w:pPr>
      <w:r>
        <w:t>The</w:t>
      </w:r>
      <w:r w:rsidR="008332D5">
        <w:t xml:space="preserve"> qualitative approach </w:t>
      </w:r>
      <w:r w:rsidR="00666064">
        <w:t xml:space="preserve">used here </w:t>
      </w:r>
      <w:r>
        <w:t xml:space="preserve">enables us </w:t>
      </w:r>
      <w:r w:rsidR="00666064">
        <w:t xml:space="preserve">to </w:t>
      </w:r>
      <w:r w:rsidR="008332D5">
        <w:t>tease out the relationship between a young person’s financial position and their study outcomes</w:t>
      </w:r>
      <w:r w:rsidR="00CE2F4C">
        <w:t>, based on LSAY</w:t>
      </w:r>
      <w:r w:rsidR="008332D5">
        <w:t xml:space="preserve"> </w:t>
      </w:r>
      <w:r w:rsidR="00CE2F4C">
        <w:t>respondents</w:t>
      </w:r>
      <w:r w:rsidR="00D43F03">
        <w:t>,</w:t>
      </w:r>
      <w:r w:rsidR="00CE2F4C">
        <w:t xml:space="preserve"> </w:t>
      </w:r>
      <w:r w:rsidR="008332D5">
        <w:t xml:space="preserve">who are </w:t>
      </w:r>
      <w:r w:rsidR="008332D5" w:rsidRPr="005E564F">
        <w:t>surveyed</w:t>
      </w:r>
      <w:r w:rsidR="008332D5">
        <w:t xml:space="preserve"> annually about their school, post-school, work and social outcomes.</w:t>
      </w:r>
      <w:r w:rsidR="008332D5" w:rsidRPr="00593DCD">
        <w:t xml:space="preserve"> </w:t>
      </w:r>
    </w:p>
    <w:p w:rsidR="008332D5" w:rsidRDefault="008332D5" w:rsidP="008332D5">
      <w:pPr>
        <w:pStyle w:val="Text"/>
      </w:pPr>
      <w:r>
        <w:t xml:space="preserve">The three largest expenses that respondents identified were rent/board, car and </w:t>
      </w:r>
      <w:r w:rsidR="00D43F03">
        <w:t>other transport costs and house</w:t>
      </w:r>
      <w:r>
        <w:t xml:space="preserve">keeping (day-to-day </w:t>
      </w:r>
      <w:r w:rsidRPr="005E564F">
        <w:t>expenses</w:t>
      </w:r>
      <w:r>
        <w:t xml:space="preserve">). </w:t>
      </w:r>
      <w:r w:rsidRPr="005E564F">
        <w:t>However</w:t>
      </w:r>
      <w:r>
        <w:t>, they also encountered other expenses</w:t>
      </w:r>
      <w:r w:rsidR="00D43F03">
        <w:t>,</w:t>
      </w:r>
      <w:r>
        <w:t xml:space="preserve"> including the financial costs of working, childcare, </w:t>
      </w:r>
      <w:r w:rsidRPr="005E564F">
        <w:t>food</w:t>
      </w:r>
      <w:r>
        <w:t>, clothes, entertainment, private health insurance, holiday/travel and hobbies.</w:t>
      </w:r>
    </w:p>
    <w:p w:rsidR="00D43F03" w:rsidRDefault="008332D5" w:rsidP="003D2151">
      <w:pPr>
        <w:pStyle w:val="Text"/>
        <w:ind w:right="-143"/>
      </w:pPr>
      <w:r>
        <w:t>Some respondents commented that they had no extra income and we</w:t>
      </w:r>
      <w:r w:rsidR="00D43F03">
        <w:t>re just scraping by financially, w</w:t>
      </w:r>
      <w:r>
        <w:t>hile others noted that they had to sacrifice social</w:t>
      </w:r>
      <w:r w:rsidR="00D43F03">
        <w:t xml:space="preserve"> or recreational activities. I</w:t>
      </w:r>
      <w:r>
        <w:t>n one instance the respondent was unable to access money from the A</w:t>
      </w:r>
      <w:r w:rsidR="00D1177B">
        <w:t>TM due to lack of funds stating:</w:t>
      </w:r>
      <w:r w:rsidR="00D43F03">
        <w:t xml:space="preserve"> </w:t>
      </w:r>
      <w:r w:rsidR="008E7B1F">
        <w:t>‘</w:t>
      </w:r>
      <w:r>
        <w:t xml:space="preserve">I had to go Safeway and get 11 dollars cash out </w:t>
      </w:r>
      <w:r w:rsidR="008E7B1F">
        <w:t>’</w:t>
      </w:r>
      <w:r>
        <w:t>cause I didn't have 20 dollars in my</w:t>
      </w:r>
      <w:r w:rsidR="00D43F03">
        <w:t xml:space="preserve"> account to get out at the ATM</w:t>
      </w:r>
      <w:r w:rsidR="008E7B1F">
        <w:t>’</w:t>
      </w:r>
      <w:r w:rsidR="00D43F03">
        <w:t>.</w:t>
      </w:r>
    </w:p>
    <w:p w:rsidR="008332D5" w:rsidRPr="00D43F03" w:rsidRDefault="008332D5" w:rsidP="00D43F03">
      <w:pPr>
        <w:pStyle w:val="Quote"/>
        <w:ind w:left="0"/>
        <w:rPr>
          <w:sz w:val="19"/>
          <w:szCs w:val="19"/>
        </w:rPr>
      </w:pPr>
      <w:r w:rsidRPr="00D43F03">
        <w:rPr>
          <w:sz w:val="19"/>
          <w:szCs w:val="19"/>
        </w:rPr>
        <w:t>The students were conscious that they had too many</w:t>
      </w:r>
      <w:r w:rsidR="00D43F03">
        <w:rPr>
          <w:sz w:val="19"/>
          <w:szCs w:val="19"/>
        </w:rPr>
        <w:t xml:space="preserve"> expenses:</w:t>
      </w:r>
      <w:r w:rsidRPr="00D43F03">
        <w:rPr>
          <w:sz w:val="19"/>
          <w:szCs w:val="19"/>
        </w:rPr>
        <w:t xml:space="preserve"> groceries, bills, and car expenses, one commenting, ‘It’s the little things that add up</w:t>
      </w:r>
      <w:r w:rsidR="00D43F03">
        <w:rPr>
          <w:sz w:val="19"/>
          <w:szCs w:val="19"/>
        </w:rPr>
        <w:t>’. However</w:t>
      </w:r>
      <w:r w:rsidR="008E7B1F">
        <w:rPr>
          <w:sz w:val="19"/>
          <w:szCs w:val="19"/>
        </w:rPr>
        <w:t>,</w:t>
      </w:r>
      <w:r w:rsidRPr="00D43F03">
        <w:rPr>
          <w:sz w:val="19"/>
          <w:szCs w:val="19"/>
        </w:rPr>
        <w:t xml:space="preserve"> a couple of students admitted that they had fallen into hardship because they had not been able to save money</w:t>
      </w:r>
      <w:r w:rsidR="008E7B1F">
        <w:rPr>
          <w:sz w:val="19"/>
          <w:szCs w:val="19"/>
        </w:rPr>
        <w:t>,</w:t>
      </w:r>
      <w:r w:rsidRPr="00D43F03">
        <w:rPr>
          <w:sz w:val="19"/>
          <w:szCs w:val="19"/>
        </w:rPr>
        <w:t xml:space="preserve"> </w:t>
      </w:r>
      <w:r w:rsidR="008E7B1F">
        <w:rPr>
          <w:sz w:val="19"/>
          <w:szCs w:val="19"/>
        </w:rPr>
        <w:t>having</w:t>
      </w:r>
      <w:r w:rsidRPr="00D43F03">
        <w:rPr>
          <w:sz w:val="19"/>
          <w:szCs w:val="19"/>
        </w:rPr>
        <w:t xml:space="preserve"> s</w:t>
      </w:r>
      <w:r w:rsidR="00D43F03">
        <w:rPr>
          <w:sz w:val="19"/>
          <w:szCs w:val="19"/>
        </w:rPr>
        <w:t>pent more than they should have:</w:t>
      </w:r>
      <w:r w:rsidRPr="00D43F03">
        <w:rPr>
          <w:sz w:val="19"/>
          <w:szCs w:val="19"/>
        </w:rPr>
        <w:t xml:space="preserve"> ‘I didn't cut my spending which made me struggle</w:t>
      </w:r>
      <w:r w:rsidR="008E7B1F">
        <w:rPr>
          <w:sz w:val="19"/>
          <w:szCs w:val="19"/>
        </w:rPr>
        <w:t>’.</w:t>
      </w:r>
    </w:p>
    <w:p w:rsidR="005F07B7" w:rsidRDefault="005F07B7">
      <w:pPr>
        <w:spacing w:before="0" w:after="200" w:line="276" w:lineRule="auto"/>
        <w:rPr>
          <w:rFonts w:ascii="Tahoma" w:hAnsi="Tahoma" w:cs="Tahoma"/>
          <w:color w:val="000000"/>
          <w:sz w:val="24"/>
        </w:rPr>
      </w:pPr>
      <w:r>
        <w:br w:type="page"/>
      </w:r>
    </w:p>
    <w:p w:rsidR="008332D5" w:rsidRPr="00BF25A1" w:rsidRDefault="008332D5" w:rsidP="003D2151">
      <w:pPr>
        <w:pStyle w:val="Heading3"/>
      </w:pPr>
      <w:r w:rsidRPr="00BF25A1">
        <w:t>Study and work</w:t>
      </w:r>
    </w:p>
    <w:p w:rsidR="008332D5" w:rsidRDefault="008332D5" w:rsidP="003D2151">
      <w:pPr>
        <w:pStyle w:val="Textlessbefore"/>
      </w:pPr>
      <w:r>
        <w:t xml:space="preserve">Twenty-six of the respondents were employed in some capacity. Several respondents who were </w:t>
      </w:r>
      <w:r w:rsidR="008E7B1F">
        <w:t>interviewed</w:t>
      </w:r>
      <w:r>
        <w:t xml:space="preserve"> wanted to work in paid employment while studying but were unable to find suitable work, or the work they could find </w:t>
      </w:r>
      <w:r w:rsidR="00D43F03">
        <w:t>paid</w:t>
      </w:r>
      <w:r>
        <w:t xml:space="preserve"> low wages. Moreover, </w:t>
      </w:r>
      <w:r w:rsidR="00D43F03">
        <w:t xml:space="preserve">for some </w:t>
      </w:r>
      <w:r>
        <w:t>there were restrictions on the number of hours they could work due to the nature of the job</w:t>
      </w:r>
      <w:r w:rsidR="00D43F03">
        <w:t>,</w:t>
      </w:r>
      <w:r>
        <w:t xml:space="preserve"> which consequently had an impact on their pay. Others who were living in remote locations indicated that suitable employment was often quite hard to come by. </w:t>
      </w:r>
    </w:p>
    <w:p w:rsidR="008332D5" w:rsidRPr="00897CE1" w:rsidRDefault="008332D5" w:rsidP="008332D5">
      <w:pPr>
        <w:pStyle w:val="Text"/>
      </w:pPr>
      <w:r>
        <w:t>Others noted that</w:t>
      </w:r>
      <w:r w:rsidR="008E7B1F">
        <w:t>,</w:t>
      </w:r>
      <w:r>
        <w:t xml:space="preserve"> despite their position of financial hardship</w:t>
      </w:r>
      <w:r w:rsidR="008E7B1F">
        <w:t>,</w:t>
      </w:r>
      <w:r>
        <w:t xml:space="preserve"> they were not eligible for extra income such as </w:t>
      </w:r>
      <w:proofErr w:type="spellStart"/>
      <w:r>
        <w:t>Centrelink</w:t>
      </w:r>
      <w:proofErr w:type="spellEnd"/>
      <w:r>
        <w:t xml:space="preserve"> benefits</w:t>
      </w:r>
      <w:r w:rsidR="008E7B1F">
        <w:t>,</w:t>
      </w:r>
      <w:r>
        <w:t xml:space="preserve"> or if they were able to claim assistance, the payments were minimal</w:t>
      </w:r>
      <w:r w:rsidR="00C649C2">
        <w:t xml:space="preserve">. </w:t>
      </w:r>
    </w:p>
    <w:p w:rsidR="008332D5" w:rsidRDefault="008332D5" w:rsidP="00AB29F7">
      <w:pPr>
        <w:pStyle w:val="Text"/>
      </w:pPr>
      <w:r>
        <w:t xml:space="preserve">For some, the study commitments </w:t>
      </w:r>
      <w:r w:rsidRPr="005E564F">
        <w:t>were</w:t>
      </w:r>
      <w:r>
        <w:t xml:space="preserve"> </w:t>
      </w:r>
      <w:r w:rsidRPr="00897CE1">
        <w:t>financially and physically demanding</w:t>
      </w:r>
      <w:r w:rsidR="00D43F03">
        <w:t xml:space="preserve">. </w:t>
      </w:r>
      <w:r>
        <w:t xml:space="preserve">Respondents said that </w:t>
      </w:r>
      <w:r w:rsidR="00D43F03">
        <w:t>materials required for the course were too expensive</w:t>
      </w:r>
      <w:r w:rsidRPr="00897CE1">
        <w:t xml:space="preserve"> </w:t>
      </w:r>
      <w:r>
        <w:t>and because of the volume of study (classes and assignments) they were unable to undertake paid work, for example:</w:t>
      </w:r>
      <w:r w:rsidR="00AB29F7">
        <w:t xml:space="preserve"> ‘</w:t>
      </w:r>
      <w:r>
        <w:t>I was involved in medicine and I just didn’t feel I had the time to work. I had</w:t>
      </w:r>
      <w:r w:rsidR="00EB7302">
        <w:t xml:space="preserve"> about 30 contact hours a week</w:t>
      </w:r>
      <w:r w:rsidR="00AB29F7">
        <w:t>’</w:t>
      </w:r>
      <w:r w:rsidR="00EB7302">
        <w:t>.</w:t>
      </w:r>
    </w:p>
    <w:p w:rsidR="008332D5" w:rsidRDefault="00CE2F4C" w:rsidP="008332D5">
      <w:pPr>
        <w:pStyle w:val="Text"/>
      </w:pPr>
      <w:r>
        <w:t>O</w:t>
      </w:r>
      <w:r w:rsidR="008332D5">
        <w:t>ther respondents claimed that their financial hardship w</w:t>
      </w:r>
      <w:r w:rsidR="00AB29F7">
        <w:t>as due to a change in lifestyle:</w:t>
      </w:r>
      <w:r w:rsidR="008332D5">
        <w:t xml:space="preserve"> they h</w:t>
      </w:r>
      <w:r w:rsidR="00EB7302">
        <w:t>ad previously been working full-</w:t>
      </w:r>
      <w:r w:rsidR="008332D5">
        <w:t>time, bu</w:t>
      </w:r>
      <w:r w:rsidR="00EB7302">
        <w:t>t had returned to studying full-</w:t>
      </w:r>
      <w:r w:rsidR="008332D5">
        <w:t>time and were earning less. The general cost of living was also cited as a reason for financial adversity, for example, having to pay for gro</w:t>
      </w:r>
      <w:r w:rsidR="00AB29F7">
        <w:t>ceries, utilities</w:t>
      </w:r>
      <w:r w:rsidR="008332D5">
        <w:t>, car expenses and rent.</w:t>
      </w:r>
    </w:p>
    <w:p w:rsidR="008332D5" w:rsidRDefault="008332D5" w:rsidP="008332D5">
      <w:pPr>
        <w:pStyle w:val="Text"/>
      </w:pPr>
      <w:r w:rsidRPr="005E564F">
        <w:t>Respondents</w:t>
      </w:r>
      <w:r>
        <w:t xml:space="preserve"> highlighted a variety of ways </w:t>
      </w:r>
      <w:r w:rsidR="00AB29F7">
        <w:t>by</w:t>
      </w:r>
      <w:r>
        <w:t xml:space="preserve"> whic</w:t>
      </w:r>
      <w:r w:rsidR="00EB7302">
        <w:t>h they cut back to save money. T</w:t>
      </w:r>
      <w:r>
        <w:t>hese included one respondent skipping meals</w:t>
      </w:r>
      <w:r w:rsidR="00EB7302">
        <w:t>,</w:t>
      </w:r>
      <w:r>
        <w:t xml:space="preserve"> which they admitted made it difficult to concentra</w:t>
      </w:r>
      <w:r w:rsidR="00EB7302">
        <w:t>te on their studies. Other cost-</w:t>
      </w:r>
      <w:r>
        <w:t>cutting measures included using the library resources</w:t>
      </w:r>
      <w:r w:rsidR="00C75CDB">
        <w:t>,</w:t>
      </w:r>
      <w:r>
        <w:t xml:space="preserve"> borrowing textbooks and photocopying relevant sections of the book instead of buying them. This also had an impact on their studies because some students claimed that not being able to afford the required textbooks meant that they did not always understand the detail of the topics being studied and they were not always well prepared for exams.</w:t>
      </w:r>
    </w:p>
    <w:p w:rsidR="008332D5" w:rsidRDefault="008332D5" w:rsidP="003D2151">
      <w:pPr>
        <w:pStyle w:val="Text"/>
        <w:ind w:right="-143"/>
      </w:pPr>
      <w:r>
        <w:t xml:space="preserve">One respondent stated that because of financial hardship they were unable to </w:t>
      </w:r>
      <w:r w:rsidR="00C75CDB">
        <w:t xml:space="preserve">buy </w:t>
      </w:r>
      <w:r w:rsidR="00AB29F7">
        <w:t xml:space="preserve">the </w:t>
      </w:r>
      <w:r w:rsidR="00C75CDB">
        <w:t>medication they needed:</w:t>
      </w:r>
      <w:r>
        <w:t xml:space="preserve"> ‘When I can't afford medicine I need, that inadvertently affects me because I can't go to </w:t>
      </w:r>
      <w:proofErr w:type="gramStart"/>
      <w:r>
        <w:t>class</w:t>
      </w:r>
      <w:r w:rsidR="00EB7302">
        <w:t>’</w:t>
      </w:r>
      <w:proofErr w:type="gramEnd"/>
      <w:r w:rsidR="00EB7302">
        <w:t>.</w:t>
      </w:r>
      <w:r>
        <w:t xml:space="preserve"> </w:t>
      </w:r>
    </w:p>
    <w:p w:rsidR="008332D5" w:rsidRDefault="008332D5" w:rsidP="008332D5">
      <w:pPr>
        <w:pStyle w:val="Text"/>
      </w:pPr>
      <w:r>
        <w:t xml:space="preserve">Likewise, others claimed that they were unable to afford basic health services, like attending a doctor or being able to afford private health insurance. </w:t>
      </w:r>
    </w:p>
    <w:p w:rsidR="008332D5" w:rsidRPr="004434EA" w:rsidRDefault="008332D5" w:rsidP="008332D5">
      <w:pPr>
        <w:pStyle w:val="Text"/>
      </w:pPr>
      <w:r>
        <w:t>In this study, t</w:t>
      </w:r>
      <w:r w:rsidR="00EB7302">
        <w:t>hose students</w:t>
      </w:r>
      <w:r w:rsidRPr="004434EA">
        <w:t xml:space="preserve"> w</w:t>
      </w:r>
      <w:r w:rsidR="00EB7302">
        <w:t>ho are combining work and study</w:t>
      </w:r>
      <w:r w:rsidRPr="004434EA">
        <w:t xml:space="preserve"> were asked if there was a main reason for doing so. The reasons given for working varied. While some were working to earn money so that they could enjoy a social life, others were saving to finance travel or pur</w:t>
      </w:r>
      <w:r>
        <w:t xml:space="preserve">chase items like a car. However, </w:t>
      </w:r>
      <w:r w:rsidRPr="004434EA">
        <w:t>there were respondents who n</w:t>
      </w:r>
      <w:r w:rsidR="00D1177B">
        <w:t>eeded the money to support thems</w:t>
      </w:r>
      <w:r w:rsidRPr="004434EA">
        <w:t xml:space="preserve">elves </w:t>
      </w:r>
      <w:r w:rsidR="00AB29F7">
        <w:t>in terms of their</w:t>
      </w:r>
      <w:r w:rsidRPr="004434EA">
        <w:t xml:space="preserve"> rent, utility bills etc. And one respondent was working to pay off their debt they</w:t>
      </w:r>
      <w:r w:rsidR="00666EB0">
        <w:t xml:space="preserve"> were</w:t>
      </w:r>
      <w:r w:rsidRPr="004434EA">
        <w:t xml:space="preserve"> incurr</w:t>
      </w:r>
      <w:r w:rsidR="00666EB0">
        <w:t>ing</w:t>
      </w:r>
      <w:r w:rsidRPr="004434EA">
        <w:t xml:space="preserve"> while studying (</w:t>
      </w:r>
      <w:r w:rsidR="00EB7302">
        <w:t>that is,</w:t>
      </w:r>
      <w:r w:rsidRPr="004434EA">
        <w:t xml:space="preserve"> university loan).</w:t>
      </w:r>
    </w:p>
    <w:p w:rsidR="008332D5" w:rsidRPr="004434EA" w:rsidRDefault="008332D5" w:rsidP="003D2151">
      <w:pPr>
        <w:pStyle w:val="Text"/>
        <w:ind w:right="141"/>
      </w:pPr>
      <w:r w:rsidRPr="004434EA">
        <w:t>Other students were working because it related directly to their area of study and were undertaking ‘work experience’</w:t>
      </w:r>
      <w:r w:rsidR="00EB7302">
        <w:t>,</w:t>
      </w:r>
      <w:r w:rsidRPr="004434EA">
        <w:t xml:space="preserve"> which was helping them </w:t>
      </w:r>
      <w:r w:rsidR="00AB29F7">
        <w:t xml:space="preserve">to </w:t>
      </w:r>
      <w:r w:rsidRPr="004434EA">
        <w:t>attain the necessary skills and experience for their fu</w:t>
      </w:r>
      <w:r>
        <w:t>ture emplo</w:t>
      </w:r>
      <w:r w:rsidR="00C75CDB">
        <w:t>yment. One respondent commented:</w:t>
      </w:r>
      <w:r w:rsidR="00EB7302">
        <w:t xml:space="preserve"> ‘</w:t>
      </w:r>
      <w:r w:rsidRPr="004434EA">
        <w:t>It was work that was relevant for what I wanted to do so it provided me with good experience. I think this will make me more appealing to potential employers’.</w:t>
      </w:r>
    </w:p>
    <w:p w:rsidR="008332D5" w:rsidRPr="004434EA" w:rsidRDefault="008332D5" w:rsidP="008332D5">
      <w:pPr>
        <w:pStyle w:val="Text"/>
      </w:pPr>
      <w:r w:rsidRPr="004434EA">
        <w:t>Others saw the world of work as a welcome break from study</w:t>
      </w:r>
      <w:r w:rsidR="00EB7302">
        <w:t>,</w:t>
      </w:r>
      <w:r w:rsidRPr="004434EA">
        <w:t xml:space="preserve"> offering a different environment and atmosphere</w:t>
      </w:r>
      <w:r w:rsidR="00EB7302">
        <w:t>,</w:t>
      </w:r>
      <w:r w:rsidRPr="004434EA">
        <w:t xml:space="preserve"> and they used the workplace as an opportunity for social interaction, to meet different people and provide a break from university and study. One student commented, ‘I do enjoy my job at the moment so I like going to work</w:t>
      </w:r>
      <w:r w:rsidR="00EB7302">
        <w:t>’.</w:t>
      </w:r>
      <w:r w:rsidRPr="004434EA">
        <w:t xml:space="preserve"> Another noted that they enjoyed the pressure </w:t>
      </w:r>
      <w:r>
        <w:t xml:space="preserve">of multitasking </w:t>
      </w:r>
      <w:r w:rsidRPr="004434EA">
        <w:t>and keeping busy. One respondent worked in the family business because they felt appreciative of all the help that their parents gave.</w:t>
      </w:r>
    </w:p>
    <w:p w:rsidR="008332D5" w:rsidRPr="004434EA" w:rsidRDefault="008332D5" w:rsidP="008332D5">
      <w:pPr>
        <w:pStyle w:val="Text"/>
      </w:pPr>
      <w:r>
        <w:t>However</w:t>
      </w:r>
      <w:r w:rsidRPr="004434EA">
        <w:t>, there were 25 students who were not working. The main reasons were that they were financially stable and did not have to work or that they had help and financial support from their family. One student claimed, ‘I don't have very expensive habits, so I don't have a lot of expenses’,</w:t>
      </w:r>
      <w:r w:rsidR="00EB7302">
        <w:t xml:space="preserve"> while</w:t>
      </w:r>
      <w:r w:rsidRPr="004434EA">
        <w:t xml:space="preserve"> another noted that their commitment to their studies was their priority and they did not work</w:t>
      </w:r>
      <w:r w:rsidR="00AB29F7">
        <w:t xml:space="preserve"> </w:t>
      </w:r>
      <w:r w:rsidRPr="004434EA">
        <w:t xml:space="preserve">to </w:t>
      </w:r>
      <w:r w:rsidR="00AB29F7">
        <w:t xml:space="preserve">ensure that </w:t>
      </w:r>
      <w:r w:rsidRPr="004434EA">
        <w:t>their objective</w:t>
      </w:r>
      <w:r w:rsidR="00AB29F7">
        <w:t xml:space="preserve"> was not compromised</w:t>
      </w:r>
      <w:r w:rsidRPr="004434EA">
        <w:t>. For some, their university commitments were stressful enough and they wanted to avoid overloading so had quit their job</w:t>
      </w:r>
      <w:r w:rsidR="00AB29F7">
        <w:t>s</w:t>
      </w:r>
      <w:r w:rsidRPr="004434EA">
        <w:t xml:space="preserve"> to focus on study.</w:t>
      </w:r>
    </w:p>
    <w:p w:rsidR="008332D5" w:rsidRDefault="008332D5" w:rsidP="004E785F">
      <w:pPr>
        <w:pStyle w:val="Text"/>
      </w:pPr>
      <w:r>
        <w:t xml:space="preserve">Some </w:t>
      </w:r>
      <w:r w:rsidRPr="004434EA">
        <w:t>respondent</w:t>
      </w:r>
      <w:r>
        <w:t>s</w:t>
      </w:r>
      <w:r w:rsidRPr="004434EA">
        <w:t xml:space="preserve"> </w:t>
      </w:r>
      <w:r>
        <w:t xml:space="preserve">stated </w:t>
      </w:r>
      <w:r w:rsidRPr="004434EA">
        <w:t>that they did not hav</w:t>
      </w:r>
      <w:r>
        <w:t xml:space="preserve">e enough time to study and work. </w:t>
      </w:r>
      <w:r w:rsidRPr="004434EA">
        <w:t>Others com</w:t>
      </w:r>
      <w:r w:rsidR="00AB29F7">
        <w:t xml:space="preserve">mented that there was a lack of </w:t>
      </w:r>
      <w:r w:rsidRPr="004434EA">
        <w:t>opportunities</w:t>
      </w:r>
      <w:r w:rsidR="00AB29F7">
        <w:t xml:space="preserve"> for work</w:t>
      </w:r>
      <w:r w:rsidRPr="004434EA">
        <w:t xml:space="preserve"> because </w:t>
      </w:r>
      <w:r w:rsidR="00EB7302">
        <w:t>they lived in a remote location;</w:t>
      </w:r>
      <w:r w:rsidRPr="004434EA">
        <w:t xml:space="preserve"> for others inflexible working conditions </w:t>
      </w:r>
      <w:r>
        <w:t xml:space="preserve">or welfare payment restrictions </w:t>
      </w:r>
      <w:r w:rsidRPr="004434EA">
        <w:t>meant that it was not</w:t>
      </w:r>
      <w:r w:rsidR="00C75CDB">
        <w:t xml:space="preserve"> possible to find suitable work:</w:t>
      </w:r>
      <w:r w:rsidRPr="004434EA">
        <w:t xml:space="preserve"> </w:t>
      </w:r>
      <w:r w:rsidR="004E785F">
        <w:t>‘</w:t>
      </w:r>
      <w:r w:rsidRPr="004434EA">
        <w:t xml:space="preserve">It is kind of hard to get a job that is willing to fit around </w:t>
      </w:r>
      <w:proofErr w:type="spellStart"/>
      <w:r w:rsidRPr="004434EA">
        <w:t>uni</w:t>
      </w:r>
      <w:proofErr w:type="spellEnd"/>
      <w:r w:rsidRPr="004434EA">
        <w:t xml:space="preserve"> hours. It is also hard to get a job that lets me only do a few hours so I won’</w:t>
      </w:r>
      <w:r w:rsidR="00EB7302">
        <w:t xml:space="preserve">t get cut off from </w:t>
      </w:r>
      <w:proofErr w:type="spellStart"/>
      <w:r w:rsidR="00EB7302">
        <w:t>Centrelink</w:t>
      </w:r>
      <w:proofErr w:type="spellEnd"/>
      <w:r w:rsidR="004E785F">
        <w:t>’</w:t>
      </w:r>
      <w:r w:rsidR="00EB7302">
        <w:t>.</w:t>
      </w:r>
    </w:p>
    <w:p w:rsidR="008332D5" w:rsidRPr="004434EA" w:rsidRDefault="008332D5" w:rsidP="008332D5">
      <w:pPr>
        <w:pStyle w:val="Text"/>
      </w:pPr>
      <w:r w:rsidRPr="004434EA">
        <w:t xml:space="preserve">Other respondents </w:t>
      </w:r>
      <w:r w:rsidR="00EB7302">
        <w:t xml:space="preserve">who </w:t>
      </w:r>
      <w:r w:rsidRPr="004434EA">
        <w:t xml:space="preserve">had applied for positions </w:t>
      </w:r>
      <w:r w:rsidR="00EB7302">
        <w:t>had</w:t>
      </w:r>
      <w:r w:rsidRPr="004434EA">
        <w:t xml:space="preserve"> been rejected because they lacked the experience the job requi</w:t>
      </w:r>
      <w:r w:rsidR="005668D2">
        <w:t>r</w:t>
      </w:r>
      <w:r w:rsidRPr="004434EA">
        <w:t>ed or had been rejected through an application process.</w:t>
      </w:r>
    </w:p>
    <w:p w:rsidR="008332D5" w:rsidRDefault="008332D5" w:rsidP="00EB7302">
      <w:pPr>
        <w:pStyle w:val="Text"/>
      </w:pPr>
      <w:r w:rsidRPr="004434EA">
        <w:t>Another student stated that they preferred to wait fo</w:t>
      </w:r>
      <w:r w:rsidR="00C75CDB">
        <w:t>r better opportunities to arise:</w:t>
      </w:r>
      <w:r w:rsidRPr="004434EA">
        <w:t xml:space="preserve"> ‘I don't want to be in the workforce when I'm not skilled and not get a fair wage and be treated as if I'm nothing’</w:t>
      </w:r>
      <w:r w:rsidR="00EB7302">
        <w:t xml:space="preserve">. </w:t>
      </w:r>
      <w:r w:rsidR="00C75CDB">
        <w:t>And another stated:</w:t>
      </w:r>
      <w:r w:rsidRPr="004434EA">
        <w:t xml:space="preserve"> ‘I'm interested in </w:t>
      </w:r>
      <w:proofErr w:type="spellStart"/>
      <w:r w:rsidRPr="004434EA">
        <w:t>uni</w:t>
      </w:r>
      <w:proofErr w:type="spellEnd"/>
      <w:r w:rsidRPr="004434EA">
        <w:t xml:space="preserve"> internships to do</w:t>
      </w:r>
      <w:r w:rsidR="00EB7302">
        <w:t xml:space="preserve"> what I want to do in my life. </w:t>
      </w:r>
      <w:r w:rsidRPr="004434EA">
        <w:t>I prefer to work in my study field rather than doi</w:t>
      </w:r>
      <w:r w:rsidR="00EB7302">
        <w:t>ng a part-</w:t>
      </w:r>
      <w:r w:rsidRPr="004434EA">
        <w:t>time job</w:t>
      </w:r>
      <w:r w:rsidR="00EB7302">
        <w:t>’.</w:t>
      </w:r>
    </w:p>
    <w:p w:rsidR="008332D5" w:rsidRPr="00BF25A1" w:rsidRDefault="008332D5" w:rsidP="003D2151">
      <w:pPr>
        <w:pStyle w:val="Heading3"/>
      </w:pPr>
      <w:r w:rsidRPr="00BF25A1">
        <w:t xml:space="preserve">Living arrangements and financial stress </w:t>
      </w:r>
    </w:p>
    <w:p w:rsidR="008332D5" w:rsidRPr="00622629" w:rsidRDefault="008332D5" w:rsidP="003D2151">
      <w:pPr>
        <w:pStyle w:val="Textlessbefore"/>
      </w:pPr>
      <w:r w:rsidRPr="00622629">
        <w:t>Half of the respondents identified themselves as still living at home. There were a variety of reasons giv</w:t>
      </w:r>
      <w:r w:rsidR="0090449C">
        <w:t>en for not moving out</w:t>
      </w:r>
      <w:r w:rsidR="00AB29F7">
        <w:t>,</w:t>
      </w:r>
      <w:r w:rsidR="0090449C">
        <w:t xml:space="preserve"> including</w:t>
      </w:r>
      <w:r w:rsidRPr="00622629">
        <w:t xml:space="preserve"> not having enough money to live independently. One participant stated </w:t>
      </w:r>
      <w:r w:rsidR="0090449C">
        <w:t>that they were living in a less-than-</w:t>
      </w:r>
      <w:r w:rsidRPr="00622629">
        <w:t xml:space="preserve">harmonious household and that </w:t>
      </w:r>
      <w:r w:rsidR="00AB29F7">
        <w:t xml:space="preserve">this </w:t>
      </w:r>
      <w:r w:rsidRPr="00622629">
        <w:t>affected their wellbeing and concentration</w:t>
      </w:r>
      <w:r w:rsidR="00AB29F7">
        <w:t>,</w:t>
      </w:r>
      <w:r w:rsidRPr="00622629">
        <w:t xml:space="preserve"> but </w:t>
      </w:r>
      <w:r w:rsidR="00AB29F7" w:rsidRPr="00622629">
        <w:t xml:space="preserve">due to lack of funds </w:t>
      </w:r>
      <w:r w:rsidRPr="00622629">
        <w:t xml:space="preserve">they were unable to move out. </w:t>
      </w:r>
    </w:p>
    <w:p w:rsidR="008332D5" w:rsidRPr="00622629" w:rsidRDefault="008332D5" w:rsidP="0090449C">
      <w:pPr>
        <w:pStyle w:val="Text"/>
      </w:pPr>
      <w:r w:rsidRPr="00622629">
        <w:t xml:space="preserve">Respondents were asked the main reasons for continuing to </w:t>
      </w:r>
      <w:r w:rsidR="00317030">
        <w:t>live at home with their parents</w:t>
      </w:r>
      <w:r w:rsidRPr="00622629">
        <w:t xml:space="preserve"> and</w:t>
      </w:r>
      <w:r w:rsidR="00317030">
        <w:t>,</w:t>
      </w:r>
      <w:r w:rsidRPr="00622629">
        <w:t xml:space="preserve"> as expected</w:t>
      </w:r>
      <w:r w:rsidR="00317030">
        <w:t>,</w:t>
      </w:r>
      <w:r w:rsidRPr="00622629">
        <w:t xml:space="preserve"> the main reason given was financial</w:t>
      </w:r>
      <w:r w:rsidR="0090449C">
        <w:t>:</w:t>
      </w:r>
      <w:r w:rsidRPr="00622629">
        <w:t xml:space="preserve"> </w:t>
      </w:r>
      <w:r w:rsidR="0090449C">
        <w:t>they had insufficient</w:t>
      </w:r>
      <w:r w:rsidRPr="00622629">
        <w:t xml:space="preserve"> money to move out of home. Moreover, some students were relying on </w:t>
      </w:r>
      <w:r w:rsidR="00317030">
        <w:t xml:space="preserve">their </w:t>
      </w:r>
      <w:r w:rsidRPr="00622629">
        <w:t>parents for money and living independently was too expensive. One respondent stated</w:t>
      </w:r>
      <w:r w:rsidR="00C75CDB">
        <w:t>:</w:t>
      </w:r>
      <w:r w:rsidRPr="00622629">
        <w:t xml:space="preserve"> ‘I can’t afford, on the </w:t>
      </w:r>
      <w:proofErr w:type="spellStart"/>
      <w:r w:rsidRPr="00622629">
        <w:t>Centrelink</w:t>
      </w:r>
      <w:proofErr w:type="spellEnd"/>
      <w:r w:rsidRPr="00622629">
        <w:t xml:space="preserve"> allowance, to move out</w:t>
      </w:r>
      <w:r w:rsidR="00317030">
        <w:t>’.</w:t>
      </w:r>
    </w:p>
    <w:p w:rsidR="008332D5" w:rsidRPr="00622629" w:rsidRDefault="008332D5" w:rsidP="003D2151">
      <w:pPr>
        <w:pStyle w:val="Text"/>
        <w:ind w:right="-143"/>
      </w:pPr>
      <w:r w:rsidRPr="00622629">
        <w:t>Respondents gave a variety of explanations for staying at home</w:t>
      </w:r>
      <w:r w:rsidR="008546C3">
        <w:t>:</w:t>
      </w:r>
      <w:r w:rsidRPr="00622629">
        <w:t xml:space="preserve"> from the more obvious cost benefit</w:t>
      </w:r>
      <w:r w:rsidR="00317030">
        <w:t>,</w:t>
      </w:r>
      <w:r w:rsidRPr="00622629">
        <w:t xml:space="preserve"> to</w:t>
      </w:r>
      <w:r w:rsidR="003D2151">
        <w:t> </w:t>
      </w:r>
      <w:r w:rsidRPr="00622629">
        <w:t>the fact that they were saving money generally</w:t>
      </w:r>
      <w:r w:rsidR="00317030">
        <w:t>,</w:t>
      </w:r>
      <w:r w:rsidRPr="00622629">
        <w:t xml:space="preserve"> or</w:t>
      </w:r>
      <w:r w:rsidR="00317030">
        <w:t>,</w:t>
      </w:r>
      <w:r w:rsidRPr="00622629">
        <w:t xml:space="preserve"> specifically, to buy a house instead of wasting money on rent and </w:t>
      </w:r>
      <w:r w:rsidR="00317030">
        <w:t xml:space="preserve">the </w:t>
      </w:r>
      <w:r w:rsidRPr="00622629">
        <w:t>other bills (</w:t>
      </w:r>
      <w:r w:rsidR="008546C3">
        <w:t xml:space="preserve">that is, </w:t>
      </w:r>
      <w:r w:rsidRPr="00622629">
        <w:t xml:space="preserve">utility bills) required to live </w:t>
      </w:r>
      <w:r w:rsidR="008546C3">
        <w:t>away from</w:t>
      </w:r>
      <w:r w:rsidRPr="00622629">
        <w:t xml:space="preserve"> home. One </w:t>
      </w:r>
      <w:r>
        <w:t xml:space="preserve">respondent </w:t>
      </w:r>
      <w:r w:rsidRPr="00622629">
        <w:t xml:space="preserve">claimed that living at home was beneficial to their overall grades because it allowed more time for study </w:t>
      </w:r>
      <w:r w:rsidR="008546C3">
        <w:t>since they weren’t forced to</w:t>
      </w:r>
      <w:r w:rsidRPr="00622629">
        <w:t xml:space="preserve"> work as much to cover the costs of living </w:t>
      </w:r>
      <w:r w:rsidR="00317030">
        <w:t>away from</w:t>
      </w:r>
      <w:r w:rsidRPr="00622629">
        <w:t xml:space="preserve"> home. </w:t>
      </w:r>
    </w:p>
    <w:p w:rsidR="008332D5" w:rsidRPr="00622629" w:rsidRDefault="008332D5" w:rsidP="008332D5">
      <w:pPr>
        <w:pStyle w:val="Text"/>
      </w:pPr>
      <w:r w:rsidRPr="00622629">
        <w:t>Other r</w:t>
      </w:r>
      <w:r>
        <w:t>espondents</w:t>
      </w:r>
      <w:r w:rsidRPr="00622629">
        <w:t xml:space="preserve"> were well supported by their families</w:t>
      </w:r>
      <w:r w:rsidR="00D9719C">
        <w:t xml:space="preserve"> — </w:t>
      </w:r>
      <w:r w:rsidRPr="00622629">
        <w:t>by living at home and n</w:t>
      </w:r>
      <w:r w:rsidR="00317030">
        <w:t>ot having to worry about living-away-</w:t>
      </w:r>
      <w:r w:rsidR="008546C3">
        <w:t>from</w:t>
      </w:r>
      <w:r w:rsidR="00317030">
        <w:t>-</w:t>
      </w:r>
      <w:r w:rsidRPr="00622629">
        <w:t>home expenses or home maintenance. Other</w:t>
      </w:r>
      <w:r w:rsidRPr="00FB77A4">
        <w:t xml:space="preserve"> respondents</w:t>
      </w:r>
      <w:r w:rsidRPr="00622629">
        <w:t xml:space="preserve"> noted that they were able to negotiate </w:t>
      </w:r>
      <w:r w:rsidR="008546C3">
        <w:t>a greater balance between part-</w:t>
      </w:r>
      <w:r w:rsidRPr="00622629">
        <w:t>time work and study while living at home and this meant being able to schedule time well.</w:t>
      </w:r>
    </w:p>
    <w:p w:rsidR="008332D5" w:rsidRPr="00622629" w:rsidRDefault="008332D5" w:rsidP="003D2151">
      <w:pPr>
        <w:pStyle w:val="Text"/>
        <w:ind w:right="141"/>
      </w:pPr>
      <w:r w:rsidRPr="00622629">
        <w:t xml:space="preserve">Another reason given </w:t>
      </w:r>
      <w:r w:rsidR="00D9719C">
        <w:t>by</w:t>
      </w:r>
      <w:r w:rsidRPr="00622629">
        <w:t xml:space="preserve"> students </w:t>
      </w:r>
      <w:r w:rsidR="00D9719C">
        <w:t>for</w:t>
      </w:r>
      <w:r w:rsidRPr="00622629">
        <w:t xml:space="preserve"> continu</w:t>
      </w:r>
      <w:r w:rsidR="00D9719C">
        <w:t>ing</w:t>
      </w:r>
      <w:r w:rsidRPr="00622629">
        <w:t xml:space="preserve"> to live at home was because it allowed them the opportunity to focus on their studies and provided them with a suitable environment in which to do so. The supportive networks of family were also identified as a bonus and contributed to emotional wellbeing</w:t>
      </w:r>
      <w:r w:rsidR="00C649C2">
        <w:t xml:space="preserve">. </w:t>
      </w:r>
    </w:p>
    <w:p w:rsidR="008332D5" w:rsidRPr="00622629" w:rsidRDefault="008332D5" w:rsidP="008332D5">
      <w:pPr>
        <w:pStyle w:val="Text"/>
      </w:pPr>
      <w:r w:rsidRPr="00622629">
        <w:t>Some respondents were happy with their decision to remain at home</w:t>
      </w:r>
      <w:r w:rsidR="008546C3">
        <w:t>,</w:t>
      </w:r>
      <w:r w:rsidRPr="00622629">
        <w:t xml:space="preserve"> claiming it was the easier option because they had a good relationship with their parents, stating ‘family is important to me’ and</w:t>
      </w:r>
      <w:r w:rsidR="00352CEC">
        <w:t xml:space="preserve"> </w:t>
      </w:r>
      <w:r w:rsidR="00317030">
        <w:t xml:space="preserve">that </w:t>
      </w:r>
      <w:r w:rsidR="00352CEC">
        <w:t>they had</w:t>
      </w:r>
      <w:r w:rsidRPr="00622629">
        <w:t xml:space="preserve"> no responsibility for major financial outgoings. Some said that they preferred the familiarity </w:t>
      </w:r>
      <w:r w:rsidR="008546C3">
        <w:t>of</w:t>
      </w:r>
      <w:r w:rsidRPr="00622629">
        <w:t xml:space="preserve"> living at home and within their local community</w:t>
      </w:r>
      <w:r w:rsidR="00493CBD">
        <w:t xml:space="preserve">, as well as </w:t>
      </w:r>
      <w:r w:rsidR="008546C3">
        <w:t>its</w:t>
      </w:r>
      <w:r w:rsidR="00493CBD">
        <w:t xml:space="preserve"> </w:t>
      </w:r>
      <w:r w:rsidRPr="00622629">
        <w:t>convenien</w:t>
      </w:r>
      <w:r w:rsidR="008546C3">
        <w:t>ce. A</w:t>
      </w:r>
      <w:r w:rsidRPr="00622629">
        <w:t>nother respondent said that they would not want to live in a shared house, ‘I prefer not to stay with people I don’t know</w:t>
      </w:r>
      <w:r w:rsidR="008546C3">
        <w:t>’.</w:t>
      </w:r>
      <w:r w:rsidRPr="00622629">
        <w:t xml:space="preserve"> </w:t>
      </w:r>
    </w:p>
    <w:p w:rsidR="008332D5" w:rsidRPr="00622629" w:rsidRDefault="008332D5" w:rsidP="008332D5">
      <w:pPr>
        <w:pStyle w:val="Text"/>
      </w:pPr>
      <w:r w:rsidRPr="00622629">
        <w:t>For</w:t>
      </w:r>
      <w:r>
        <w:t xml:space="preserve"> others</w:t>
      </w:r>
      <w:r w:rsidRPr="00622629">
        <w:t xml:space="preserve">, their reason for choosing to live at home was that there was a cultural expectation that they do so, rather than any obvious financial reason. One respondent claimed that they were expected to stay </w:t>
      </w:r>
      <w:r w:rsidR="008546C3">
        <w:t xml:space="preserve">at </w:t>
      </w:r>
      <w:r w:rsidRPr="00622629">
        <w:t>home until they received a marriage proposal and another stated that it was a community norm to stay at home until university had been successfully completed.</w:t>
      </w:r>
    </w:p>
    <w:p w:rsidR="008332D5" w:rsidRPr="00622629" w:rsidRDefault="008332D5" w:rsidP="008332D5">
      <w:pPr>
        <w:pStyle w:val="Text"/>
      </w:pPr>
      <w:r w:rsidRPr="00622629">
        <w:t>Nevertheless, not all respond</w:t>
      </w:r>
      <w:r w:rsidR="008546C3">
        <w:t>ents were happy to stay at home, with one claiming</w:t>
      </w:r>
      <w:r w:rsidRPr="00622629">
        <w:t xml:space="preserve"> that they wanted to leave home</w:t>
      </w:r>
      <w:r w:rsidR="008546C3">
        <w:t>,</w:t>
      </w:r>
      <w:r w:rsidRPr="00622629">
        <w:t xml:space="preserve"> but because they had had little success in finding paid employment, they had limited funds and for that reason they </w:t>
      </w:r>
      <w:r w:rsidR="00317030">
        <w:t xml:space="preserve">were forced to remain </w:t>
      </w:r>
      <w:r w:rsidRPr="00622629">
        <w:t xml:space="preserve">at home. Being independent and having ‘freedom’ was cited as the main reason that young people wanted to leave home. </w:t>
      </w:r>
    </w:p>
    <w:p w:rsidR="00493CBD" w:rsidRDefault="008332D5" w:rsidP="00493CBD">
      <w:pPr>
        <w:pStyle w:val="Text"/>
      </w:pPr>
      <w:r w:rsidRPr="00622629">
        <w:t>There were respondents who had l</w:t>
      </w:r>
      <w:r w:rsidR="008546C3">
        <w:t>eft home</w:t>
      </w:r>
      <w:r w:rsidR="00317030">
        <w:t>,</w:t>
      </w:r>
      <w:r w:rsidR="008546C3">
        <w:t xml:space="preserve"> not because of financial reasons</w:t>
      </w:r>
      <w:r w:rsidR="00317030">
        <w:t>,</w:t>
      </w:r>
      <w:r w:rsidRPr="00622629">
        <w:t xml:space="preserve"> but </w:t>
      </w:r>
      <w:r w:rsidR="008546C3">
        <w:t>for</w:t>
      </w:r>
      <w:r w:rsidRPr="00622629">
        <w:t xml:space="preserve"> personal r</w:t>
      </w:r>
      <w:r w:rsidR="008546C3">
        <w:t>easons</w:t>
      </w:r>
      <w:r w:rsidRPr="00622629">
        <w:t xml:space="preserve">. Other students had had no option but to relocate (sometimes interstate) and move out of home because their university course was not offered in a location near their home, or there were no universities nearby. And others thought that there would be better opportunities in a city and </w:t>
      </w:r>
      <w:r w:rsidR="008546C3">
        <w:t>it would be easier to find part-</w:t>
      </w:r>
      <w:r w:rsidRPr="00622629">
        <w:t xml:space="preserve">time work while studying. </w:t>
      </w:r>
    </w:p>
    <w:p w:rsidR="008332D5" w:rsidRPr="00622629" w:rsidRDefault="00493CBD" w:rsidP="003D2151">
      <w:pPr>
        <w:pStyle w:val="Text"/>
        <w:ind w:right="283"/>
      </w:pPr>
      <w:r w:rsidRPr="00493CBD">
        <w:t>Another respondent who had moved out of home</w:t>
      </w:r>
      <w:r>
        <w:t xml:space="preserve"> </w:t>
      </w:r>
      <w:r w:rsidRPr="00493CBD">
        <w:t>was living in a r</w:t>
      </w:r>
      <w:r w:rsidR="008546C3">
        <w:t>ental property in a lower socio</w:t>
      </w:r>
      <w:r w:rsidRPr="00493CBD">
        <w:t>economic area. They were experiencing limited space, poorer facilities, and a longer commute to study and had to contend w</w:t>
      </w:r>
      <w:r w:rsidR="008546C3">
        <w:t xml:space="preserve">ith noise pollution because </w:t>
      </w:r>
      <w:r w:rsidRPr="00493CBD">
        <w:t xml:space="preserve">the home was </w:t>
      </w:r>
      <w:r w:rsidR="008546C3">
        <w:t xml:space="preserve">located </w:t>
      </w:r>
      <w:r w:rsidRPr="00493CBD">
        <w:t xml:space="preserve">near the freeway. Respondents also noted other </w:t>
      </w:r>
      <w:r w:rsidR="008546C3">
        <w:t>types of distractions</w:t>
      </w:r>
      <w:r w:rsidR="00317030">
        <w:t>,</w:t>
      </w:r>
      <w:r w:rsidR="008546C3">
        <w:t xml:space="preserve"> including</w:t>
      </w:r>
      <w:r w:rsidRPr="00493CBD">
        <w:t xml:space="preserve"> renting small or studio apartments and hav</w:t>
      </w:r>
      <w:r w:rsidR="00D9719C">
        <w:t>ing</w:t>
      </w:r>
      <w:r w:rsidRPr="00493CBD">
        <w:t xml:space="preserve"> to study and ‘live’ </w:t>
      </w:r>
      <w:r w:rsidR="008546C3">
        <w:t>in the same room or</w:t>
      </w:r>
      <w:r w:rsidRPr="00493CBD">
        <w:t xml:space="preserve"> living in shared households w</w:t>
      </w:r>
      <w:r w:rsidR="00CE2F4C">
        <w:t>ith tensions and disagreements.</w:t>
      </w:r>
    </w:p>
    <w:p w:rsidR="008332D5" w:rsidRPr="00622629" w:rsidRDefault="008332D5" w:rsidP="008332D5">
      <w:pPr>
        <w:pStyle w:val="Text"/>
      </w:pPr>
      <w:r w:rsidRPr="00622629">
        <w:t xml:space="preserve">However, not all respondents were leaving home because of </w:t>
      </w:r>
      <w:r w:rsidR="00317030">
        <w:t xml:space="preserve">the </w:t>
      </w:r>
      <w:r w:rsidRPr="00622629">
        <w:t>location or through personal choice but because they had no option</w:t>
      </w:r>
      <w:r w:rsidR="00317030">
        <w:t>,</w:t>
      </w:r>
      <w:r w:rsidRPr="00622629">
        <w:t xml:space="preserve"> due to domestic and/or family issues. One respondent said that his parents did not understand his study commitments and therefore were not interested in his studies nor would they provide support; another claimed his parents were uninterested in his educational aspirations because they ‘didn</w:t>
      </w:r>
      <w:r>
        <w:t>’t really value education</w:t>
      </w:r>
      <w:r w:rsidR="009848E5">
        <w:t>’.</w:t>
      </w:r>
      <w:r>
        <w:t xml:space="preserve"> </w:t>
      </w:r>
      <w:r w:rsidRPr="00622629">
        <w:t xml:space="preserve">However, it was noted that some respondents had left home to undertake volunteer work or had gone overseas for a gap year. </w:t>
      </w:r>
      <w:r>
        <w:t xml:space="preserve">But these reasons </w:t>
      </w:r>
      <w:r w:rsidR="009848E5">
        <w:t>were unrelated</w:t>
      </w:r>
      <w:r>
        <w:t xml:space="preserve"> to the students’ financial situation. </w:t>
      </w:r>
    </w:p>
    <w:p w:rsidR="008332D5" w:rsidRPr="00622629" w:rsidRDefault="008332D5" w:rsidP="008332D5">
      <w:pPr>
        <w:pStyle w:val="Text"/>
      </w:pPr>
      <w:r w:rsidRPr="00622629">
        <w:t xml:space="preserve">Respondents were asked if their living situation </w:t>
      </w:r>
      <w:r w:rsidR="009848E5">
        <w:t xml:space="preserve">had </w:t>
      </w:r>
      <w:r w:rsidRPr="00622629">
        <w:t>changed since they were last interviewed by LSAY. For example, had they moved out of home, back home, or made any other major chan</w:t>
      </w:r>
      <w:r w:rsidR="009848E5">
        <w:t>ge to their living arrangements?</w:t>
      </w:r>
      <w:r w:rsidRPr="00622629">
        <w:t xml:space="preserve"> Many of the respondents who participated in the study reported no major changes to their living situation within the last year. Some respondents who live independently tend to go home and stay with their family during the university holidays (</w:t>
      </w:r>
      <w:r w:rsidR="009848E5">
        <w:t>that is,</w:t>
      </w:r>
      <w:r w:rsidRPr="00622629">
        <w:t xml:space="preserve"> for the Christmas break</w:t>
      </w:r>
      <w:r w:rsidR="00317030">
        <w:t>)</w:t>
      </w:r>
      <w:r w:rsidRPr="00622629">
        <w:t xml:space="preserve"> or </w:t>
      </w:r>
      <w:r w:rsidR="00317030">
        <w:t>to work for the family business</w:t>
      </w:r>
      <w:r w:rsidRPr="00622629">
        <w:t>.</w:t>
      </w:r>
    </w:p>
    <w:p w:rsidR="008332D5" w:rsidRDefault="008332D5" w:rsidP="008332D5">
      <w:pPr>
        <w:pStyle w:val="Text"/>
      </w:pPr>
      <w:r w:rsidRPr="00622629">
        <w:t xml:space="preserve">Of the respondents who did </w:t>
      </w:r>
      <w:r w:rsidR="009848E5">
        <w:t>make</w:t>
      </w:r>
      <w:r w:rsidRPr="00622629">
        <w:t xml:space="preserve"> changes in their living situation, the reasons given included wanting more space and privacy (</w:t>
      </w:r>
      <w:r w:rsidR="009848E5">
        <w:t>that is,</w:t>
      </w:r>
      <w:r w:rsidRPr="00622629">
        <w:t xml:space="preserve"> away from a shared household or college residence) or that their previous living arrangements were too expensive (</w:t>
      </w:r>
      <w:r w:rsidR="009848E5">
        <w:t>that is,</w:t>
      </w:r>
      <w:r w:rsidRPr="00622629">
        <w:t xml:space="preserve"> from city living to back home) or that they had been in receipt of financial help and support from parents and had moved into the family-owned investment property. One respondent who lived independently did not like the isolation of living on campus in a rural location and had moved back home. Other respondents were moving to safer areas or moving out because of </w:t>
      </w:r>
      <w:r w:rsidR="009848E5">
        <w:t xml:space="preserve">a </w:t>
      </w:r>
      <w:r w:rsidRPr="00622629">
        <w:t>relationship breakdown or because of ch</w:t>
      </w:r>
      <w:r>
        <w:t xml:space="preserve">anges to their existing lease. </w:t>
      </w:r>
    </w:p>
    <w:p w:rsidR="008332D5" w:rsidRPr="00BF25A1" w:rsidRDefault="008332D5" w:rsidP="003D2151">
      <w:pPr>
        <w:pStyle w:val="Heading3"/>
      </w:pPr>
      <w:r w:rsidRPr="00BF25A1">
        <w:t>Health and wellbeing</w:t>
      </w:r>
    </w:p>
    <w:p w:rsidR="008332D5" w:rsidRDefault="00D9719C" w:rsidP="003D2151">
      <w:pPr>
        <w:pStyle w:val="Textlessbefore"/>
      </w:pPr>
      <w:r>
        <w:t xml:space="preserve">Respondents </w:t>
      </w:r>
      <w:r w:rsidR="008332D5">
        <w:t xml:space="preserve">also raised </w:t>
      </w:r>
      <w:r w:rsidR="008332D5" w:rsidRPr="005E564F">
        <w:t>concerns</w:t>
      </w:r>
      <w:r w:rsidR="008332D5">
        <w:t xml:space="preserve"> about the impact of financial stress on their overall wellbeing</w:t>
      </w:r>
      <w:r>
        <w:t xml:space="preserve"> as well as in their physical health</w:t>
      </w:r>
      <w:r w:rsidR="008332D5">
        <w:t>. Some students mentioned that the emotional stress associated with the focus on their financial situation reduced</w:t>
      </w:r>
      <w:r w:rsidR="008332D5" w:rsidRPr="00430137">
        <w:t xml:space="preserve"> </w:t>
      </w:r>
      <w:r w:rsidR="008332D5">
        <w:t xml:space="preserve">the level of focus they applied to </w:t>
      </w:r>
      <w:r w:rsidR="004E785F">
        <w:t xml:space="preserve">their </w:t>
      </w:r>
      <w:r w:rsidR="008332D5">
        <w:t>studies. Because of their need to support themselves and focus on finding a job</w:t>
      </w:r>
      <w:r w:rsidR="009848E5">
        <w:t>,</w:t>
      </w:r>
      <w:r w:rsidR="008332D5">
        <w:t xml:space="preserve"> they were left with less time to study, which induced further stress. One respondent commented that they spent too much time working and that </w:t>
      </w:r>
      <w:r w:rsidR="009848E5">
        <w:t xml:space="preserve">this </w:t>
      </w:r>
      <w:r w:rsidR="008332D5">
        <w:t>had directly impacted on their study time and contrib</w:t>
      </w:r>
      <w:r w:rsidR="00C75CDB">
        <w:t>uted to higher levels of stress:</w:t>
      </w:r>
      <w:r w:rsidR="008332D5">
        <w:t xml:space="preserve"> ‘I work nights and sometimes I fall asleep in lectures and then I'd have to catch up’</w:t>
      </w:r>
      <w:r w:rsidR="009848E5">
        <w:t xml:space="preserve">. </w:t>
      </w:r>
      <w:r w:rsidR="008332D5">
        <w:t>Another student agreed</w:t>
      </w:r>
      <w:r w:rsidR="009848E5">
        <w:t>, stating: ‘I was working 30—</w:t>
      </w:r>
      <w:r w:rsidR="008332D5">
        <w:t>40</w:t>
      </w:r>
      <w:r w:rsidR="009848E5">
        <w:t xml:space="preserve"> hours a week and studying full-</w:t>
      </w:r>
      <w:r w:rsidR="008332D5">
        <w:t>time and I was really exhausted</w:t>
      </w:r>
      <w:r w:rsidR="009848E5">
        <w:t>’.</w:t>
      </w:r>
      <w:r w:rsidR="008332D5" w:rsidRPr="00533F86">
        <w:t xml:space="preserve"> </w:t>
      </w:r>
    </w:p>
    <w:p w:rsidR="008332D5" w:rsidRDefault="008332D5" w:rsidP="009848E5">
      <w:pPr>
        <w:pStyle w:val="Text"/>
      </w:pPr>
      <w:r w:rsidRPr="00533F86">
        <w:t xml:space="preserve">Moreover, some </w:t>
      </w:r>
      <w:r>
        <w:t xml:space="preserve">students </w:t>
      </w:r>
      <w:r w:rsidRPr="00533F86">
        <w:t xml:space="preserve">felt that their overall </w:t>
      </w:r>
      <w:r w:rsidRPr="005E564F">
        <w:t>wellbeing</w:t>
      </w:r>
      <w:r w:rsidRPr="00533F86">
        <w:t xml:space="preserve"> (health and mental state) had suffered, some having to give up healthy pursuits (gym or team sports) because they could not afford either t</w:t>
      </w:r>
      <w:r w:rsidR="009848E5">
        <w:t>he time or financial commitment. O</w:t>
      </w:r>
      <w:r w:rsidRPr="00533F86">
        <w:t>ne student commented</w:t>
      </w:r>
      <w:r w:rsidR="009848E5">
        <w:t>:</w:t>
      </w:r>
      <w:r w:rsidRPr="00533F86">
        <w:t xml:space="preserve"> ‘It's really hard to be motivated to study when I'm unfit, and my concentration suffers</w:t>
      </w:r>
      <w:r w:rsidR="009848E5">
        <w:t>’,</w:t>
      </w:r>
      <w:r w:rsidRPr="00533F86">
        <w:t xml:space="preserve"> and another stated that they had put on weight because they had no time to exercise due to study and working. </w:t>
      </w:r>
      <w:r w:rsidRPr="005E564F">
        <w:t>Moreover</w:t>
      </w:r>
      <w:r w:rsidRPr="00533F86">
        <w:t xml:space="preserve">, one </w:t>
      </w:r>
      <w:r>
        <w:t xml:space="preserve">respondent </w:t>
      </w:r>
      <w:r w:rsidR="00C75CDB">
        <w:t>claimed that:</w:t>
      </w:r>
      <w:r w:rsidR="009848E5">
        <w:t xml:space="preserve"> </w:t>
      </w:r>
      <w:r w:rsidRPr="00533F86">
        <w:t>‘</w:t>
      </w:r>
      <w:r>
        <w:t xml:space="preserve">I </w:t>
      </w:r>
      <w:r w:rsidRPr="00533F86">
        <w:t>had to steal food to ea</w:t>
      </w:r>
      <w:r w:rsidR="009848E5">
        <w:t>t properly. I'm not proud of it …</w:t>
      </w:r>
      <w:r w:rsidRPr="00533F86">
        <w:t xml:space="preserve"> I didn't want to l</w:t>
      </w:r>
      <w:r w:rsidR="009848E5">
        <w:t>et them [parents]</w:t>
      </w:r>
      <w:r w:rsidRPr="00533F86">
        <w:t xml:space="preserve"> know how bad it was</w:t>
      </w:r>
      <w:r w:rsidR="009848E5">
        <w:t>’.</w:t>
      </w:r>
    </w:p>
    <w:p w:rsidR="008332D5" w:rsidRPr="00BF25A1" w:rsidRDefault="008332D5" w:rsidP="003D2151">
      <w:pPr>
        <w:pStyle w:val="Heading3"/>
      </w:pPr>
      <w:r w:rsidRPr="00BF25A1">
        <w:t>Social impact of financial stress</w:t>
      </w:r>
    </w:p>
    <w:p w:rsidR="008332D5" w:rsidRPr="00622629" w:rsidRDefault="009848E5" w:rsidP="003D2151">
      <w:pPr>
        <w:pStyle w:val="Textlessbefore"/>
      </w:pPr>
      <w:r>
        <w:t>Transport or the lack thereof</w:t>
      </w:r>
      <w:r w:rsidR="008332D5" w:rsidRPr="00622629">
        <w:t xml:space="preserve"> was also a source of stress and also had financial and study implications. More than one student claimed that they had been unable to attend classes </w:t>
      </w:r>
      <w:r w:rsidR="004E785F" w:rsidRPr="00622629">
        <w:t xml:space="preserve">on more than one occasion </w:t>
      </w:r>
      <w:r w:rsidR="008332D5" w:rsidRPr="00622629">
        <w:t xml:space="preserve">because they could not afford </w:t>
      </w:r>
      <w:r>
        <w:t xml:space="preserve">the </w:t>
      </w:r>
      <w:r w:rsidR="008332D5" w:rsidRPr="00622629">
        <w:t>transport costs and felt that they had not been able to use on</w:t>
      </w:r>
      <w:r w:rsidR="00D9719C">
        <w:t>-</w:t>
      </w:r>
      <w:r w:rsidR="008332D5" w:rsidRPr="00622629">
        <w:t>campus resources (</w:t>
      </w:r>
      <w:r>
        <w:t>for example,</w:t>
      </w:r>
      <w:r w:rsidR="008332D5" w:rsidRPr="00622629">
        <w:t xml:space="preserve"> the library) as much as they would have liked. Although a car would have been more convenient in terms of time and travel, the expense of purchase made it an unrealistic option. For some respondents, transport was difficult if classes </w:t>
      </w:r>
      <w:r w:rsidR="008256F7">
        <w:t xml:space="preserve">were </w:t>
      </w:r>
      <w:r w:rsidR="008332D5" w:rsidRPr="00622629">
        <w:t xml:space="preserve">run later in the evenings or nights because of infrequent public transport services and in some cases students </w:t>
      </w:r>
      <w:r w:rsidR="008256F7">
        <w:t>were</w:t>
      </w:r>
      <w:r w:rsidR="008332D5" w:rsidRPr="00622629">
        <w:t xml:space="preserve"> fearful </w:t>
      </w:r>
      <w:r w:rsidR="008256F7">
        <w:t>for</w:t>
      </w:r>
      <w:r w:rsidR="008332D5" w:rsidRPr="00622629">
        <w:t xml:space="preserve"> their safety. Others had to share the family car, which restricted their freedom</w:t>
      </w:r>
      <w:r w:rsidR="008256F7">
        <w:t>.</w:t>
      </w:r>
    </w:p>
    <w:p w:rsidR="008332D5" w:rsidRPr="00622629" w:rsidRDefault="008332D5" w:rsidP="008256F7">
      <w:pPr>
        <w:pStyle w:val="Text"/>
      </w:pPr>
      <w:r w:rsidRPr="00622629">
        <w:t xml:space="preserve">A number of respondents mentioned that because of their reduced financial circumstances they could not afford </w:t>
      </w:r>
      <w:r w:rsidR="008256F7">
        <w:t>many things they wanted; for example, to buy clothes, go out for dinner and have</w:t>
      </w:r>
      <w:r w:rsidRPr="00622629">
        <w:t xml:space="preserve"> holidays, </w:t>
      </w:r>
      <w:r w:rsidR="004E785F">
        <w:t xml:space="preserve">and </w:t>
      </w:r>
      <w:r w:rsidRPr="00622629">
        <w:t>soci</w:t>
      </w:r>
      <w:r w:rsidR="008256F7">
        <w:t>al activities and</w:t>
      </w:r>
      <w:r w:rsidRPr="00622629">
        <w:t xml:space="preserve"> entertainment with friends. Moreover, many of the students surveyed missed out on a full social life because they were acutely conscious o</w:t>
      </w:r>
      <w:r w:rsidR="008256F7">
        <w:t>f their financial situation and</w:t>
      </w:r>
      <w:r w:rsidRPr="00622629">
        <w:t xml:space="preserve"> this also had an impact on their s</w:t>
      </w:r>
      <w:r w:rsidR="008256F7">
        <w:t>elf-esteem, with</w:t>
      </w:r>
      <w:r w:rsidR="00C75CDB">
        <w:t xml:space="preserve"> one </w:t>
      </w:r>
      <w:r w:rsidR="008256F7">
        <w:t xml:space="preserve">student </w:t>
      </w:r>
      <w:r w:rsidR="00C75CDB">
        <w:t>commenting:</w:t>
      </w:r>
      <w:r w:rsidRPr="00622629">
        <w:t xml:space="preserve"> ‘There were a few </w:t>
      </w:r>
      <w:proofErr w:type="spellStart"/>
      <w:r w:rsidRPr="00622629">
        <w:t>uni</w:t>
      </w:r>
      <w:proofErr w:type="spellEnd"/>
      <w:r w:rsidRPr="00622629">
        <w:t xml:space="preserve"> social events that I couldn't afford to go to because I couldn’t afford the tickets or dress </w:t>
      </w:r>
      <w:proofErr w:type="gramStart"/>
      <w:r w:rsidRPr="00622629">
        <w:t>etc.’</w:t>
      </w:r>
      <w:r w:rsidR="008256F7">
        <w:t>.</w:t>
      </w:r>
      <w:proofErr w:type="gramEnd"/>
    </w:p>
    <w:p w:rsidR="008332D5" w:rsidRPr="00622629" w:rsidRDefault="008332D5" w:rsidP="003D2151">
      <w:pPr>
        <w:pStyle w:val="Text"/>
        <w:ind w:right="141"/>
      </w:pPr>
      <w:r w:rsidRPr="00622629">
        <w:t xml:space="preserve">Likewise, another stated that they passed up opportunities </w:t>
      </w:r>
      <w:r w:rsidR="008256F7">
        <w:t>for</w:t>
      </w:r>
      <w:r w:rsidRPr="00622629">
        <w:t xml:space="preserve"> socialising around exam times or times of heavy work load, not only because they wanted to achieve good results in their studies</w:t>
      </w:r>
      <w:r w:rsidR="004E785F">
        <w:t>,</w:t>
      </w:r>
      <w:r w:rsidRPr="00622629">
        <w:t xml:space="preserve"> but also because of financial hardship. </w:t>
      </w:r>
      <w:r w:rsidR="004E785F">
        <w:t>However,</w:t>
      </w:r>
      <w:r w:rsidRPr="00622629">
        <w:t xml:space="preserve"> one of the main themes to arise was isolation and one respondent mentioned </w:t>
      </w:r>
      <w:r w:rsidR="004E785F">
        <w:t xml:space="preserve">that </w:t>
      </w:r>
      <w:r w:rsidRPr="00622629">
        <w:t>the lack of money made him feel like a bit of an ‘outsider’, and another comme</w:t>
      </w:r>
      <w:r w:rsidR="00C75CDB">
        <w:t>nted:</w:t>
      </w:r>
      <w:r w:rsidRPr="00622629">
        <w:t xml:space="preserve"> ‘It makes me feel like I'm isolated and alone’</w:t>
      </w:r>
      <w:r w:rsidR="008256F7">
        <w:t>.</w:t>
      </w:r>
      <w:r w:rsidRPr="00622629">
        <w:t xml:space="preserve"> An</w:t>
      </w:r>
      <w:r w:rsidR="00C75CDB">
        <w:t>d another claimed that they had:</w:t>
      </w:r>
      <w:r w:rsidR="008256F7">
        <w:t xml:space="preserve"> ‘</w:t>
      </w:r>
      <w:r w:rsidRPr="00622629">
        <w:t>lost a lot of friends because I can't really socialise</w:t>
      </w:r>
      <w:r w:rsidR="008256F7">
        <w:t xml:space="preserve"> </w:t>
      </w:r>
      <w:r w:rsidR="004E785F">
        <w:t>…</w:t>
      </w:r>
      <w:r w:rsidR="008256F7">
        <w:t xml:space="preserve"> </w:t>
      </w:r>
      <w:r w:rsidRPr="00622629">
        <w:t>I used to just think up white lies for why I couldn't hang out</w:t>
      </w:r>
      <w:r w:rsidR="008256F7">
        <w:t>’.</w:t>
      </w:r>
      <w:r w:rsidRPr="00622629">
        <w:t xml:space="preserve"> </w:t>
      </w:r>
    </w:p>
    <w:p w:rsidR="00F606F8" w:rsidRDefault="008332D5" w:rsidP="00CE2F4C">
      <w:pPr>
        <w:pStyle w:val="Text"/>
      </w:pPr>
      <w:r w:rsidRPr="00622629">
        <w:t>One respondent said that their financial situation had directly affected their personal relationships and others agreed t</w:t>
      </w:r>
      <w:r w:rsidR="008256F7">
        <w:t>hat it had contributed to break-</w:t>
      </w:r>
      <w:r w:rsidRPr="00622629">
        <w:t xml:space="preserve">ups and </w:t>
      </w:r>
      <w:r w:rsidR="008256F7">
        <w:t>a decrease in connections</w:t>
      </w:r>
      <w:r w:rsidRPr="00622629">
        <w:t xml:space="preserve"> between</w:t>
      </w:r>
      <w:r w:rsidR="00CE2F4C">
        <w:t xml:space="preserve"> families and friends.</w:t>
      </w:r>
    </w:p>
    <w:p w:rsidR="008332D5" w:rsidRPr="008256F7" w:rsidRDefault="008332D5" w:rsidP="00A45BB3">
      <w:pPr>
        <w:pStyle w:val="Heading3"/>
      </w:pPr>
      <w:r w:rsidRPr="00BF25A1">
        <w:t>Study outcomes</w:t>
      </w:r>
    </w:p>
    <w:p w:rsidR="008332D5" w:rsidRDefault="008332D5" w:rsidP="00A45BB3">
      <w:pPr>
        <w:pStyle w:val="Textlessbefore"/>
      </w:pPr>
      <w:r>
        <w:t xml:space="preserve">Some of the </w:t>
      </w:r>
      <w:r w:rsidRPr="00AE7B07">
        <w:t xml:space="preserve">respondents were </w:t>
      </w:r>
      <w:r w:rsidRPr="005E564F">
        <w:t>satisfied</w:t>
      </w:r>
      <w:r w:rsidRPr="00AE7B07">
        <w:t xml:space="preserve"> with the progress they were making with their c</w:t>
      </w:r>
      <w:r w:rsidR="008256F7">
        <w:t>ourse; others stated</w:t>
      </w:r>
      <w:r w:rsidRPr="00AE7B07">
        <w:t xml:space="preserve"> the opposite</w:t>
      </w:r>
      <w:r w:rsidR="008256F7">
        <w:t xml:space="preserve">, </w:t>
      </w:r>
      <w:r w:rsidR="00EE1065">
        <w:t>claiming that</w:t>
      </w:r>
      <w:r w:rsidR="008256F7">
        <w:t xml:space="preserve"> they were time-</w:t>
      </w:r>
      <w:r>
        <w:t>poor because of having t</w:t>
      </w:r>
      <w:r w:rsidR="008256F7">
        <w:t xml:space="preserve">o manage a balance between paid </w:t>
      </w:r>
      <w:r>
        <w:t xml:space="preserve">employment </w:t>
      </w:r>
      <w:r w:rsidR="008256F7">
        <w:t>and</w:t>
      </w:r>
      <w:r>
        <w:t xml:space="preserve"> study</w:t>
      </w:r>
      <w:r w:rsidRPr="00AE7B07">
        <w:t>.</w:t>
      </w:r>
      <w:r>
        <w:t xml:space="preserve"> Only one respondent made the direct link between their</w:t>
      </w:r>
      <w:r w:rsidR="00D1177B">
        <w:t xml:space="preserve"> </w:t>
      </w:r>
      <w:r>
        <w:t>grades</w:t>
      </w:r>
      <w:r w:rsidR="004E785F">
        <w:t xml:space="preserve"> and their work</w:t>
      </w:r>
      <w:r>
        <w:t xml:space="preserve">, commenting that they were too tired to study after working. </w:t>
      </w:r>
      <w:r w:rsidRPr="00AE7B07">
        <w:t xml:space="preserve">A variety of reasons </w:t>
      </w:r>
      <w:r>
        <w:t xml:space="preserve">were given for respondents being </w:t>
      </w:r>
      <w:r w:rsidR="00EE1065">
        <w:t>dis</w:t>
      </w:r>
      <w:r>
        <w:t xml:space="preserve">satisfied with </w:t>
      </w:r>
      <w:r w:rsidR="004E785F">
        <w:t xml:space="preserve">their </w:t>
      </w:r>
      <w:r>
        <w:t>study progress</w:t>
      </w:r>
      <w:r w:rsidR="00EE1065">
        <w:t>:</w:t>
      </w:r>
      <w:r>
        <w:t xml:space="preserve"> some were a direct consequence of their financial situation, </w:t>
      </w:r>
      <w:r w:rsidR="00EE1065">
        <w:t>although</w:t>
      </w:r>
      <w:r>
        <w:t xml:space="preserve"> the majority of</w:t>
      </w:r>
      <w:r w:rsidR="004E785F">
        <w:t xml:space="preserve"> the</w:t>
      </w:r>
      <w:r>
        <w:t xml:space="preserve"> reasons </w:t>
      </w:r>
      <w:r w:rsidR="004E785F">
        <w:t>given</w:t>
      </w:r>
      <w:r>
        <w:t xml:space="preserve"> were not.</w:t>
      </w:r>
    </w:p>
    <w:p w:rsidR="008332D5" w:rsidRDefault="00EE1065" w:rsidP="00EE1065">
      <w:pPr>
        <w:pStyle w:val="Text"/>
      </w:pPr>
      <w:r>
        <w:t xml:space="preserve">A number </w:t>
      </w:r>
      <w:r w:rsidR="008332D5">
        <w:t xml:space="preserve">of the respondents stated that they had high expectations but were unable to reach the grades they </w:t>
      </w:r>
      <w:r>
        <w:t>considered</w:t>
      </w:r>
      <w:r w:rsidR="008332D5">
        <w:t xml:space="preserve"> themselves capable of attaining</w:t>
      </w:r>
      <w:r>
        <w:t>; one claimed that being time-</w:t>
      </w:r>
      <w:r w:rsidR="008332D5">
        <w:t xml:space="preserve">poor was </w:t>
      </w:r>
      <w:r w:rsidR="005C6241">
        <w:t xml:space="preserve">a </w:t>
      </w:r>
      <w:r w:rsidR="008332D5">
        <w:t xml:space="preserve">contributing factor to not getting top </w:t>
      </w:r>
      <w:r w:rsidR="00D1177B">
        <w:t>marks</w:t>
      </w:r>
      <w:r w:rsidR="00B06384">
        <w:t>,</w:t>
      </w:r>
      <w:r w:rsidR="00D1177B">
        <w:t xml:space="preserve"> stating:</w:t>
      </w:r>
      <w:r w:rsidR="008332D5">
        <w:t xml:space="preserve"> ‘</w:t>
      </w:r>
      <w:r w:rsidR="008332D5" w:rsidRPr="00AE7B07">
        <w:t>I am getting good grades but could be getting better i</w:t>
      </w:r>
      <w:r w:rsidR="008332D5">
        <w:t xml:space="preserve">f I spent more time on my study’. </w:t>
      </w:r>
    </w:p>
    <w:p w:rsidR="008332D5" w:rsidRDefault="008332D5" w:rsidP="00EE1065">
      <w:pPr>
        <w:pStyle w:val="Text"/>
      </w:pPr>
      <w:r>
        <w:t xml:space="preserve">However, some students admitted that their grades had been affected by their not being able to attend all the classes or having needed </w:t>
      </w:r>
      <w:r w:rsidRPr="007721CF">
        <w:t xml:space="preserve">more attention from </w:t>
      </w:r>
      <w:r w:rsidR="00D1177B">
        <w:t>academic staff:</w:t>
      </w:r>
      <w:r>
        <w:t xml:space="preserve"> ‘</w:t>
      </w:r>
      <w:r w:rsidRPr="007721CF">
        <w:t>There wasn't enough tuition</w:t>
      </w:r>
      <w:r w:rsidR="00EE1065">
        <w:t xml:space="preserve"> </w:t>
      </w:r>
      <w:r w:rsidRPr="007721CF">
        <w:t>...</w:t>
      </w:r>
      <w:r w:rsidR="00EE1065">
        <w:t xml:space="preserve"> </w:t>
      </w:r>
      <w:r w:rsidRPr="007721CF">
        <w:t xml:space="preserve">the teachers didn't have the time to go in depth and help </w:t>
      </w:r>
      <w:r>
        <w:t>me as student</w:t>
      </w:r>
      <w:r w:rsidR="00EE1065">
        <w:t>’.</w:t>
      </w:r>
      <w:r>
        <w:t xml:space="preserve"> </w:t>
      </w:r>
    </w:p>
    <w:p w:rsidR="008332D5" w:rsidRPr="00014A6B" w:rsidRDefault="00EE1065" w:rsidP="008332D5">
      <w:pPr>
        <w:pStyle w:val="Text"/>
      </w:pPr>
      <w:r>
        <w:t>Nevertheless</w:t>
      </w:r>
      <w:r w:rsidR="008332D5">
        <w:t>, overall there was no strong link between study outcomes and the respondents’ financial</w:t>
      </w:r>
      <w:r w:rsidR="00A45BB3">
        <w:t> </w:t>
      </w:r>
      <w:r w:rsidR="008332D5">
        <w:t>situation.</w:t>
      </w:r>
    </w:p>
    <w:p w:rsidR="008332D5" w:rsidRDefault="008332D5" w:rsidP="008332D5">
      <w:pPr>
        <w:pStyle w:val="Dotpoint1"/>
        <w:numPr>
          <w:ilvl w:val="0"/>
          <w:numId w:val="0"/>
        </w:numPr>
      </w:pPr>
      <w:r>
        <w:t>With regards to blending work and study, some respondents were unable to take up opportunities such as internships because they could not afford to do unpaid work. In the long run this was to the student’s detriment because, ‘those internships help people get jobs when they graduate and I won't get any of the experience or networks</w:t>
      </w:r>
      <w:r w:rsidR="00EE1065">
        <w:t>’.</w:t>
      </w:r>
    </w:p>
    <w:p w:rsidR="008332D5" w:rsidRPr="00BF25A1" w:rsidRDefault="008332D5" w:rsidP="003D2151">
      <w:pPr>
        <w:pStyle w:val="Heading2"/>
      </w:pPr>
      <w:bookmarkStart w:id="45" w:name="_Toc388884890"/>
      <w:r w:rsidRPr="00BF25A1">
        <w:t>Different types of financial support</w:t>
      </w:r>
      <w:bookmarkEnd w:id="45"/>
    </w:p>
    <w:p w:rsidR="008332D5" w:rsidRDefault="008332D5" w:rsidP="008332D5">
      <w:pPr>
        <w:pStyle w:val="Text"/>
      </w:pPr>
      <w:r>
        <w:t xml:space="preserve">While some students struggle alone, many others receive </w:t>
      </w:r>
      <w:r w:rsidRPr="005E564F">
        <w:t>not</w:t>
      </w:r>
      <w:r>
        <w:t xml:space="preserve"> insubstantial financial support from their parents. This financial assistance included paying for transport (bus/train passes, </w:t>
      </w:r>
      <w:r w:rsidR="00EE1065">
        <w:t>petrol or c</w:t>
      </w:r>
      <w:r w:rsidR="00B06384">
        <w:t>ar registration), while</w:t>
      </w:r>
      <w:r w:rsidR="00EE1065">
        <w:t xml:space="preserve"> other support included</w:t>
      </w:r>
      <w:r>
        <w:t xml:space="preserve"> contribut</w:t>
      </w:r>
      <w:r w:rsidR="00EE1065">
        <w:t>ions</w:t>
      </w:r>
      <w:r>
        <w:t xml:space="preserve"> to bills, rent, and groceries. Parental help was given</w:t>
      </w:r>
      <w:r w:rsidR="008A223A">
        <w:t xml:space="preserve"> through the payment of university fees and by </w:t>
      </w:r>
      <w:r>
        <w:t>covering medical and dental bills and entertainment.</w:t>
      </w:r>
      <w:r w:rsidRPr="008A2595">
        <w:t xml:space="preserve"> Another student </w:t>
      </w:r>
      <w:r>
        <w:t>had received</w:t>
      </w:r>
      <w:r w:rsidRPr="008A2595">
        <w:t xml:space="preserve"> a full scholarship and was fortunate enough to have most of their university expenses </w:t>
      </w:r>
      <w:r w:rsidR="00B06384">
        <w:t>covered</w:t>
      </w:r>
      <w:r w:rsidR="008A223A">
        <w:t>,</w:t>
      </w:r>
      <w:r w:rsidRPr="008A2595">
        <w:t xml:space="preserve"> which meant not having to</w:t>
      </w:r>
      <w:r>
        <w:t xml:space="preserve"> worry about money.</w:t>
      </w:r>
    </w:p>
    <w:p w:rsidR="008332D5" w:rsidRDefault="008332D5" w:rsidP="00D9719C">
      <w:pPr>
        <w:pStyle w:val="Text"/>
      </w:pPr>
      <w:r>
        <w:t xml:space="preserve">But parents also help in ways that are not financial, </w:t>
      </w:r>
      <w:r w:rsidR="00B06384">
        <w:t xml:space="preserve">such as </w:t>
      </w:r>
      <w:r>
        <w:t>being an emotional support, offering advice and</w:t>
      </w:r>
      <w:r w:rsidR="008A223A">
        <w:t xml:space="preserve"> encouragement for study, proof</w:t>
      </w:r>
      <w:r>
        <w:t>r</w:t>
      </w:r>
      <w:r w:rsidR="00B06384">
        <w:t>eading essays and</w:t>
      </w:r>
      <w:r>
        <w:t xml:space="preserve"> being ‘a taxi service</w:t>
      </w:r>
      <w:r w:rsidR="00B06384">
        <w:t>’ or ‘</w:t>
      </w:r>
      <w:r>
        <w:t>lending the car</w:t>
      </w:r>
      <w:r w:rsidR="008A223A">
        <w:t>’</w:t>
      </w:r>
      <w:r>
        <w:t xml:space="preserve">. Some parents helped their children </w:t>
      </w:r>
      <w:r w:rsidR="008A223A">
        <w:t xml:space="preserve">to </w:t>
      </w:r>
      <w:r>
        <w:t xml:space="preserve">find jobs over </w:t>
      </w:r>
      <w:r w:rsidR="00D9719C">
        <w:t xml:space="preserve">the </w:t>
      </w:r>
      <w:r>
        <w:t>summer holidays.</w:t>
      </w:r>
      <w:r w:rsidRPr="00DA65D4">
        <w:t xml:space="preserve"> </w:t>
      </w:r>
      <w:r>
        <w:t>One respondent said that her parents would invite t</w:t>
      </w:r>
      <w:r w:rsidR="008A223A">
        <w:t>hem over for dinner regularly: ‘</w:t>
      </w:r>
      <w:r>
        <w:t>they worry we’re not eating properly</w:t>
      </w:r>
      <w:r w:rsidR="008A223A">
        <w:t>’.</w:t>
      </w:r>
      <w:r w:rsidRPr="00DA65D4">
        <w:t xml:space="preserve"> </w:t>
      </w:r>
      <w:r>
        <w:t xml:space="preserve">Some respondents </w:t>
      </w:r>
      <w:r w:rsidR="008A223A">
        <w:t>indicated</w:t>
      </w:r>
      <w:r>
        <w:t xml:space="preserve"> that if they ask</w:t>
      </w:r>
      <w:r w:rsidR="008A223A">
        <w:t>ed</w:t>
      </w:r>
      <w:r>
        <w:t xml:space="preserve"> their parents for financial support, they were willing to</w:t>
      </w:r>
      <w:r w:rsidR="00D9719C">
        <w:t> </w:t>
      </w:r>
      <w:r>
        <w:t>help out.</w:t>
      </w:r>
    </w:p>
    <w:p w:rsidR="008332D5" w:rsidRDefault="008332D5" w:rsidP="008332D5">
      <w:pPr>
        <w:pStyle w:val="Text"/>
      </w:pPr>
      <w:r>
        <w:t xml:space="preserve">Some respondents did </w:t>
      </w:r>
      <w:r w:rsidR="008A223A">
        <w:t>receive various</w:t>
      </w:r>
      <w:r>
        <w:t xml:space="preserve"> types of </w:t>
      </w:r>
      <w:r w:rsidR="008A223A">
        <w:t xml:space="preserve">financial </w:t>
      </w:r>
      <w:r>
        <w:t xml:space="preserve">support for their study. One of the most frequently mentioned supports was Youth Allowance. Other assistance </w:t>
      </w:r>
      <w:r w:rsidR="008A223A">
        <w:t>included</w:t>
      </w:r>
      <w:r w:rsidRPr="00DA65D4">
        <w:t xml:space="preserve"> </w:t>
      </w:r>
      <w:proofErr w:type="spellStart"/>
      <w:r>
        <w:t>Centrelink</w:t>
      </w:r>
      <w:proofErr w:type="spellEnd"/>
      <w:r>
        <w:t xml:space="preserve"> benefits </w:t>
      </w:r>
      <w:r w:rsidR="008A223A">
        <w:t xml:space="preserve">such as </w:t>
      </w:r>
      <w:r>
        <w:t xml:space="preserve">ABSTUDY, </w:t>
      </w:r>
      <w:proofErr w:type="spellStart"/>
      <w:r>
        <w:t>Newstart</w:t>
      </w:r>
      <w:proofErr w:type="spellEnd"/>
      <w:r>
        <w:t xml:space="preserve"> allowance or rent assistance</w:t>
      </w:r>
      <w:r w:rsidR="00B06384">
        <w:t>,</w:t>
      </w:r>
      <w:r>
        <w:t xml:space="preserve"> and </w:t>
      </w:r>
      <w:r w:rsidRPr="00D12B0D">
        <w:t>HECS</w:t>
      </w:r>
      <w:r>
        <w:t xml:space="preserve"> loans. Respondents also mentioned benefiting from Commonwealth scholarships or from the ‘Help Loan’ offered to </w:t>
      </w:r>
      <w:r w:rsidR="008A223A">
        <w:t>postgraduate students through their university</w:t>
      </w:r>
      <w:r>
        <w:t xml:space="preserve">. </w:t>
      </w:r>
    </w:p>
    <w:p w:rsidR="008332D5" w:rsidRPr="00D12B0D" w:rsidRDefault="008332D5" w:rsidP="00A45BB3">
      <w:pPr>
        <w:pStyle w:val="Text"/>
        <w:ind w:right="-143"/>
      </w:pPr>
      <w:r>
        <w:t xml:space="preserve">Respondents were asked </w:t>
      </w:r>
      <w:r w:rsidR="008A223A">
        <w:t>whether</w:t>
      </w:r>
      <w:r>
        <w:t xml:space="preserve"> they received </w:t>
      </w:r>
      <w:r w:rsidRPr="00D12B0D">
        <w:t xml:space="preserve">any other form of financial support from </w:t>
      </w:r>
      <w:r>
        <w:t xml:space="preserve">their university, TAFE or </w:t>
      </w:r>
      <w:r w:rsidRPr="00D12B0D">
        <w:t>emp</w:t>
      </w:r>
      <w:r>
        <w:t xml:space="preserve">loyer or any other organisation, excluding </w:t>
      </w:r>
      <w:proofErr w:type="spellStart"/>
      <w:r w:rsidRPr="00D12B0D">
        <w:t>Austudy</w:t>
      </w:r>
      <w:proofErr w:type="spellEnd"/>
      <w:r w:rsidRPr="00D12B0D">
        <w:t xml:space="preserve"> or Youth Allowance</w:t>
      </w:r>
      <w:r w:rsidR="008A223A">
        <w:t>. S</w:t>
      </w:r>
      <w:r>
        <w:t>ome</w:t>
      </w:r>
      <w:r w:rsidRPr="00AE113F">
        <w:t xml:space="preserve"> </w:t>
      </w:r>
      <w:r>
        <w:t>students s</w:t>
      </w:r>
      <w:r w:rsidR="008A223A">
        <w:t>tated that they were given a 5—</w:t>
      </w:r>
      <w:r>
        <w:t>10% discount if fees were paid upfront.</w:t>
      </w:r>
      <w:r w:rsidRPr="00D12B0D">
        <w:t xml:space="preserve"> </w:t>
      </w:r>
      <w:r>
        <w:t xml:space="preserve">One respondent was given assistance with interstate rent because their </w:t>
      </w:r>
      <w:r w:rsidR="008A223A">
        <w:t xml:space="preserve">particular </w:t>
      </w:r>
      <w:r>
        <w:t xml:space="preserve">course was unavailable in their home state and another had won money in a competition. There was mention of assistance through family investments, </w:t>
      </w:r>
      <w:r w:rsidR="008A223A">
        <w:t>with this student receiving</w:t>
      </w:r>
      <w:r>
        <w:t xml:space="preserve"> a </w:t>
      </w:r>
      <w:r w:rsidRPr="00D12B0D">
        <w:t>sum of money every semester for the duration of the course</w:t>
      </w:r>
      <w:r>
        <w:t>.</w:t>
      </w:r>
    </w:p>
    <w:p w:rsidR="008332D5" w:rsidRDefault="008332D5" w:rsidP="008332D5">
      <w:pPr>
        <w:pStyle w:val="Text"/>
      </w:pPr>
      <w:r>
        <w:t xml:space="preserve">University financial support was given as an annual </w:t>
      </w:r>
      <w:r w:rsidRPr="005E564F">
        <w:t>payment</w:t>
      </w:r>
      <w:r>
        <w:t xml:space="preserve"> in some cases</w:t>
      </w:r>
      <w:r w:rsidR="008A223A">
        <w:t>,</w:t>
      </w:r>
      <w:r>
        <w:t xml:space="preserve"> or </w:t>
      </w:r>
      <w:r w:rsidR="008A223A">
        <w:t>‘one off’ in the case of prizes. A</w:t>
      </w:r>
      <w:r>
        <w:t>lternatively</w:t>
      </w:r>
      <w:r w:rsidR="00B06384">
        <w:t>,</w:t>
      </w:r>
      <w:r>
        <w:t xml:space="preserve"> </w:t>
      </w:r>
      <w:r w:rsidR="008A223A">
        <w:t xml:space="preserve">it </w:t>
      </w:r>
      <w:r>
        <w:t>was paid in two lump sum payments around exam times or at the beginning of each semester</w:t>
      </w:r>
      <w:r w:rsidR="008A223A">
        <w:t>,</w:t>
      </w:r>
      <w:r>
        <w:t xml:space="preserve"> in the case of accommodation fees. </w:t>
      </w:r>
    </w:p>
    <w:p w:rsidR="008332D5" w:rsidRDefault="008332D5" w:rsidP="00A45BB3">
      <w:pPr>
        <w:pStyle w:val="Text"/>
        <w:ind w:right="141"/>
      </w:pPr>
      <w:r>
        <w:t xml:space="preserve">These forms of assistance allowed students to purchase items they would have otherwise had to </w:t>
      </w:r>
      <w:r w:rsidR="008765C5">
        <w:t>forgo and included, in relation to their study</w:t>
      </w:r>
      <w:r>
        <w:t>,</w:t>
      </w:r>
      <w:r w:rsidR="008765C5">
        <w:t xml:space="preserve"> text books, stationery</w:t>
      </w:r>
      <w:r>
        <w:t xml:space="preserve"> and computer upgrades. Other respondents cited the aid b</w:t>
      </w:r>
      <w:r w:rsidR="008765C5">
        <w:t>eing used towards living costs, for example,</w:t>
      </w:r>
      <w:r>
        <w:t xml:space="preserve"> tra</w:t>
      </w:r>
      <w:r w:rsidR="008765C5">
        <w:t>nsport, petrol, rent, utilities</w:t>
      </w:r>
      <w:r>
        <w:t xml:space="preserve"> and food. Others said that the money contributed towards the</w:t>
      </w:r>
      <w:r w:rsidR="008765C5">
        <w:t>ir</w:t>
      </w:r>
      <w:r>
        <w:t xml:space="preserve"> maintain</w:t>
      </w:r>
      <w:r w:rsidR="008765C5">
        <w:t>ing a work—</w:t>
      </w:r>
      <w:r>
        <w:t>life balance and being able to partici</w:t>
      </w:r>
      <w:r w:rsidR="008765C5">
        <w:t>pate in a social life, or enabling</w:t>
      </w:r>
      <w:r>
        <w:t xml:space="preserve"> them </w:t>
      </w:r>
      <w:r w:rsidRPr="001F7C18">
        <w:t>to visit friends and family interstate</w:t>
      </w:r>
      <w:r w:rsidR="00FC69B2">
        <w:t>.</w:t>
      </w:r>
    </w:p>
    <w:p w:rsidR="008765C5" w:rsidRDefault="008332D5" w:rsidP="008332D5">
      <w:pPr>
        <w:pStyle w:val="Text"/>
      </w:pPr>
      <w:r>
        <w:t xml:space="preserve">Some respondents commented that they were in receipt of support </w:t>
      </w:r>
      <w:r w:rsidR="008765C5">
        <w:t xml:space="preserve">other than financial </w:t>
      </w:r>
      <w:r>
        <w:t>from their university. One student, who suffered f</w:t>
      </w:r>
      <w:r w:rsidR="008765C5">
        <w:t>rom an ongoing health condition and</w:t>
      </w:r>
      <w:r>
        <w:t xml:space="preserve"> had permission to have rest breaks and longer time allocated for exams, remarked that </w:t>
      </w:r>
      <w:r w:rsidR="00B06384">
        <w:t>the</w:t>
      </w:r>
      <w:r>
        <w:t xml:space="preserve"> extra support from their place of</w:t>
      </w:r>
      <w:r w:rsidR="008765C5">
        <w:t xml:space="preserve"> study eased pressure somewhat.</w:t>
      </w:r>
    </w:p>
    <w:p w:rsidR="008332D5" w:rsidRDefault="008332D5" w:rsidP="008332D5">
      <w:pPr>
        <w:pStyle w:val="Text"/>
      </w:pPr>
      <w:r w:rsidRPr="00E003FC">
        <w:t xml:space="preserve">As well as financial help, students mentioned how vital it was for them to </w:t>
      </w:r>
      <w:r w:rsidR="00B06384">
        <w:t>receive</w:t>
      </w:r>
      <w:r w:rsidRPr="00E003FC">
        <w:t xml:space="preserve"> emotional support from friends, family and loved ones. For example, students mentioned partners cooking and doing housework around exam time to allow them to study. One respondent mentioned that her friends were in the same situation, so they</w:t>
      </w:r>
      <w:r w:rsidR="008765C5">
        <w:t xml:space="preserve"> would all contribute to dinner and</w:t>
      </w:r>
      <w:r w:rsidRPr="00E003FC">
        <w:t xml:space="preserve"> watch DVDs at home instead of going out</w:t>
      </w:r>
      <w:r w:rsidR="008765C5">
        <w:t>,</w:t>
      </w:r>
      <w:r w:rsidRPr="00E003FC">
        <w:t xml:space="preserve"> which saved them money.</w:t>
      </w:r>
    </w:p>
    <w:p w:rsidR="008332D5" w:rsidRDefault="008332D5" w:rsidP="00CE2F4C">
      <w:pPr>
        <w:pStyle w:val="Text"/>
      </w:pPr>
      <w:r>
        <w:t xml:space="preserve">Students also mentioned that they received support from their peers and </w:t>
      </w:r>
      <w:r w:rsidR="00B06384">
        <w:t xml:space="preserve">that they </w:t>
      </w:r>
      <w:r>
        <w:t xml:space="preserve">supported each other during exam time and assignment and course work. They also received guidance from tutors and teachers about career choices. They also mentioned that there was often free tutoring through </w:t>
      </w:r>
      <w:r w:rsidR="008765C5">
        <w:t>the u</w:t>
      </w:r>
      <w:r>
        <w:t xml:space="preserve">niversity and a plethora of counselling services, and </w:t>
      </w:r>
      <w:r w:rsidR="00B06384">
        <w:t>a</w:t>
      </w:r>
      <w:r>
        <w:t xml:space="preserve"> mentoring service if students were having problems, including financial. Nevertheless, financial hardship is relative because one respondent used the additional financial support they received (the source of the funding is unknown) to</w:t>
      </w:r>
      <w:r w:rsidR="00CE2F4C">
        <w:t xml:space="preserve"> pay for a vacation to Europe. </w:t>
      </w:r>
    </w:p>
    <w:p w:rsidR="008332D5" w:rsidRPr="00BF25A1" w:rsidRDefault="008332D5" w:rsidP="008332D5">
      <w:pPr>
        <w:pStyle w:val="Heading3"/>
        <w:rPr>
          <w:sz w:val="28"/>
          <w:szCs w:val="28"/>
        </w:rPr>
      </w:pPr>
      <w:r w:rsidRPr="00BF25A1">
        <w:rPr>
          <w:sz w:val="28"/>
          <w:szCs w:val="28"/>
        </w:rPr>
        <w:t>Does financial stress have an impact on study decisions?</w:t>
      </w:r>
    </w:p>
    <w:p w:rsidR="008332D5" w:rsidRPr="00CF3028" w:rsidRDefault="008332D5" w:rsidP="008332D5">
      <w:pPr>
        <w:pStyle w:val="Text"/>
      </w:pPr>
      <w:r w:rsidRPr="00CF3028">
        <w:t>Thirty-seven respondents stated that they d</w:t>
      </w:r>
      <w:r w:rsidR="008765C5">
        <w:t>id have adequate time for study</w:t>
      </w:r>
      <w:r w:rsidRPr="00CF3028">
        <w:t xml:space="preserve"> (</w:t>
      </w:r>
      <w:r w:rsidR="008765C5">
        <w:t xml:space="preserve">to </w:t>
      </w:r>
      <w:r w:rsidRPr="00CF3028">
        <w:t>attend lectures, participate in tutorials, complete assignments, prepar</w:t>
      </w:r>
      <w:r w:rsidR="008765C5">
        <w:t xml:space="preserve">e </w:t>
      </w:r>
      <w:r w:rsidRPr="00CF3028">
        <w:t xml:space="preserve">for exams, engage with material and interact with lecturers and staff) but some respondents seemed to struggle with making time for study commitments. </w:t>
      </w:r>
    </w:p>
    <w:p w:rsidR="005F07B7" w:rsidRDefault="00F96327" w:rsidP="00A45BB3">
      <w:pPr>
        <w:pStyle w:val="Text"/>
      </w:pPr>
      <w:r>
        <w:t>Not having to work</w:t>
      </w:r>
      <w:r w:rsidR="00D9719C">
        <w:t>,</w:t>
      </w:r>
      <w:r>
        <w:t xml:space="preserve"> </w:t>
      </w:r>
      <w:r w:rsidR="00D9719C">
        <w:t>or</w:t>
      </w:r>
      <w:r>
        <w:t xml:space="preserve"> </w:t>
      </w:r>
      <w:r w:rsidR="008A5606">
        <w:t>having the ability</w:t>
      </w:r>
      <w:r w:rsidR="008332D5" w:rsidRPr="00CF3028">
        <w:t xml:space="preserve"> to work reduced hours around exam time or when assignments were</w:t>
      </w:r>
      <w:r>
        <w:t xml:space="preserve"> due</w:t>
      </w:r>
      <w:r w:rsidR="008332D5" w:rsidRPr="00CF3028">
        <w:t xml:space="preserve"> </w:t>
      </w:r>
      <w:r>
        <w:t>w</w:t>
      </w:r>
      <w:r w:rsidR="00DD3E1D">
        <w:t>ere</w:t>
      </w:r>
      <w:r>
        <w:t xml:space="preserve"> </w:t>
      </w:r>
      <w:r w:rsidR="008332D5" w:rsidRPr="00CF3028">
        <w:t xml:space="preserve">cited as reasons that helped students </w:t>
      </w:r>
      <w:r w:rsidR="00DD3E1D">
        <w:t xml:space="preserve">to </w:t>
      </w:r>
      <w:r w:rsidR="008332D5" w:rsidRPr="00CF3028">
        <w:t xml:space="preserve">remain focused on their studies. Some students found that their work was flexible, or that they </w:t>
      </w:r>
      <w:r w:rsidR="008A5606">
        <w:t>could</w:t>
      </w:r>
      <w:r w:rsidR="008332D5" w:rsidRPr="00CF3028">
        <w:t xml:space="preserve"> </w:t>
      </w:r>
      <w:r w:rsidR="00DD3E1D">
        <w:t>accommodate</w:t>
      </w:r>
      <w:r w:rsidR="008332D5" w:rsidRPr="00CF3028">
        <w:t xml:space="preserve"> their work </w:t>
      </w:r>
      <w:r w:rsidR="00DD3E1D">
        <w:t>with</w:t>
      </w:r>
      <w:r w:rsidR="008332D5" w:rsidRPr="00CF3028">
        <w:t xml:space="preserve">in </w:t>
      </w:r>
      <w:r w:rsidR="008A5606">
        <w:t>the</w:t>
      </w:r>
      <w:r w:rsidR="008332D5" w:rsidRPr="00CF3028">
        <w:t xml:space="preserve"> universit</w:t>
      </w:r>
      <w:r w:rsidR="00DD3E1D">
        <w:t>y schedule (casual work or part-</w:t>
      </w:r>
      <w:r w:rsidR="008332D5" w:rsidRPr="00CF3028">
        <w:t>time). Other students were fortunate not to have to work</w:t>
      </w:r>
      <w:r w:rsidR="00A45BB3">
        <w:t> </w:t>
      </w:r>
      <w:r w:rsidR="008332D5" w:rsidRPr="00CF3028">
        <w:t xml:space="preserve">while studying. One student commented that they saw risks in working and studying after seeing </w:t>
      </w:r>
    </w:p>
    <w:p w:rsidR="005F07B7" w:rsidRDefault="005F07B7">
      <w:pPr>
        <w:spacing w:before="0" w:after="200" w:line="276" w:lineRule="auto"/>
      </w:pPr>
      <w:r>
        <w:br w:type="page"/>
      </w:r>
    </w:p>
    <w:p w:rsidR="008332D5" w:rsidRPr="00CF3028" w:rsidRDefault="008332D5" w:rsidP="00A45BB3">
      <w:pPr>
        <w:pStyle w:val="Text"/>
      </w:pPr>
      <w:proofErr w:type="gramStart"/>
      <w:r w:rsidRPr="00CF3028">
        <w:t>a</w:t>
      </w:r>
      <w:proofErr w:type="gramEnd"/>
      <w:r w:rsidRPr="00CF3028">
        <w:t xml:space="preserve"> friend injured in an accident because of being overtired. But overall, 73% of respondents were able to study without major time constraints. There is no evidence to suggest that financial stress was a</w:t>
      </w:r>
      <w:r w:rsidR="00A45BB3">
        <w:t> </w:t>
      </w:r>
      <w:r w:rsidRPr="00CF3028">
        <w:t>factor.</w:t>
      </w:r>
    </w:p>
    <w:p w:rsidR="008332D5" w:rsidRPr="00CF3028" w:rsidRDefault="008332D5" w:rsidP="008A5606">
      <w:pPr>
        <w:pStyle w:val="Text"/>
      </w:pPr>
      <w:r w:rsidRPr="00CF3028">
        <w:t xml:space="preserve">However, 27% of respondents said they did not feel they had adequate time for study. Ten of </w:t>
      </w:r>
      <w:r w:rsidR="008A5606">
        <w:t>this group</w:t>
      </w:r>
      <w:r w:rsidRPr="00CF3028">
        <w:t xml:space="preserve"> were wor</w:t>
      </w:r>
      <w:r w:rsidR="00DD3E1D">
        <w:t>king and four were not, with some claiming that they had</w:t>
      </w:r>
      <w:r w:rsidRPr="00CF3028">
        <w:t xml:space="preserve"> insufficient time to fit in work a</w:t>
      </w:r>
      <w:r w:rsidR="000B76C0">
        <w:t>nd study. O</w:t>
      </w:r>
      <w:r w:rsidR="00D1177B">
        <w:t>ne student commented:</w:t>
      </w:r>
      <w:r w:rsidR="008A5606">
        <w:t xml:space="preserve"> ‘</w:t>
      </w:r>
      <w:r w:rsidRPr="00CF3028">
        <w:t>I get good grades, but I work and that means I might not get as much time as I'd like to spend on assignments and t</w:t>
      </w:r>
      <w:r w:rsidR="000B76C0">
        <w:t>o get the most out of studying</w:t>
      </w:r>
      <w:r w:rsidR="008A5606">
        <w:t>’</w:t>
      </w:r>
      <w:r w:rsidR="000B76C0">
        <w:t>.</w:t>
      </w:r>
      <w:r w:rsidRPr="00CF3028">
        <w:t xml:space="preserve"> </w:t>
      </w:r>
    </w:p>
    <w:p w:rsidR="008332D5" w:rsidRPr="00CF3028" w:rsidRDefault="008332D5" w:rsidP="008332D5">
      <w:pPr>
        <w:pStyle w:val="Text"/>
      </w:pPr>
      <w:r w:rsidRPr="00CF3028">
        <w:t xml:space="preserve">Other respondents noted that they had insufficient study time due to the amount of time they spent commuting to class. Overall, it would seem that for some it was difficult for them to sustain a balance between their work, study and life. </w:t>
      </w:r>
    </w:p>
    <w:p w:rsidR="008332D5" w:rsidRPr="00CF3028" w:rsidRDefault="008332D5" w:rsidP="008332D5">
      <w:pPr>
        <w:pStyle w:val="Text"/>
      </w:pPr>
      <w:r w:rsidRPr="00CF3028">
        <w:t>For others, there were more serious issues relating to health and wellbeing that</w:t>
      </w:r>
      <w:r w:rsidR="000B76C0">
        <w:t xml:space="preserve"> prevented them from committing</w:t>
      </w:r>
      <w:r w:rsidRPr="00CF3028">
        <w:t xml:space="preserve"> what they </w:t>
      </w:r>
      <w:r w:rsidR="00D9719C">
        <w:t>considered to be</w:t>
      </w:r>
      <w:r w:rsidRPr="00CF3028">
        <w:t xml:space="preserve"> adequate time to their studies. Students noted that </w:t>
      </w:r>
      <w:r w:rsidR="000A7274">
        <w:t xml:space="preserve">financial </w:t>
      </w:r>
      <w:r w:rsidRPr="00CF3028">
        <w:t>pressure</w:t>
      </w:r>
      <w:r w:rsidR="000A7274">
        <w:t>s</w:t>
      </w:r>
      <w:r w:rsidRPr="00CF3028">
        <w:t xml:space="preserve"> contributed to general feeling</w:t>
      </w:r>
      <w:r w:rsidR="00A64712">
        <w:t>s</w:t>
      </w:r>
      <w:r w:rsidRPr="00CF3028">
        <w:t xml:space="preserve"> o</w:t>
      </w:r>
      <w:r w:rsidR="000B76C0">
        <w:t>f being stressed, tired and run</w:t>
      </w:r>
      <w:r w:rsidRPr="00CF3028">
        <w:t>down</w:t>
      </w:r>
      <w:r w:rsidR="000B76C0">
        <w:t>,</w:t>
      </w:r>
      <w:r w:rsidRPr="00CF3028">
        <w:t xml:space="preserve"> but for some this also meant more serious health issues. </w:t>
      </w:r>
    </w:p>
    <w:p w:rsidR="008332D5" w:rsidRDefault="008332D5" w:rsidP="008332D5">
      <w:pPr>
        <w:pStyle w:val="Text"/>
      </w:pPr>
      <w:r>
        <w:t>About a third of the respondents had completed their studies in 2012.</w:t>
      </w:r>
      <w:r w:rsidRPr="004C1A2D">
        <w:t xml:space="preserve"> </w:t>
      </w:r>
      <w:r>
        <w:t>Only one in five of the respon</w:t>
      </w:r>
      <w:r w:rsidR="000B76C0">
        <w:t>dents is, or was, studying part-</w:t>
      </w:r>
      <w:r>
        <w:t>time. And, about 40% of respondents had considered changing their mode of study.</w:t>
      </w:r>
    </w:p>
    <w:p w:rsidR="008332D5" w:rsidRDefault="008332D5" w:rsidP="00D9719C">
      <w:pPr>
        <w:pStyle w:val="Text"/>
      </w:pPr>
      <w:r>
        <w:t>Some respondents stated that it</w:t>
      </w:r>
      <w:r w:rsidR="000B76C0">
        <w:t xml:space="preserve"> was their choice to study part-</w:t>
      </w:r>
      <w:r>
        <w:t>time because they wanted to more evenly balance work and study to allow them to save money for the next semester. Respondents were asked why</w:t>
      </w:r>
      <w:r w:rsidR="000B76C0">
        <w:t xml:space="preserve"> they had decided to study part-time rather than full-</w:t>
      </w:r>
      <w:r>
        <w:t>time</w:t>
      </w:r>
      <w:r w:rsidR="00D9719C">
        <w:t>.</w:t>
      </w:r>
      <w:r>
        <w:t xml:space="preserve"> </w:t>
      </w:r>
      <w:r w:rsidR="00D9719C">
        <w:t xml:space="preserve">The </w:t>
      </w:r>
      <w:r>
        <w:t xml:space="preserve">answers </w:t>
      </w:r>
      <w:r w:rsidR="000B76C0">
        <w:t>varied</w:t>
      </w:r>
      <w:r>
        <w:t xml:space="preserve"> and not all were directly related to financial circumstances. While some did not have a </w:t>
      </w:r>
      <w:r w:rsidR="001578A4">
        <w:t>great deal</w:t>
      </w:r>
      <w:r>
        <w:t xml:space="preserve"> of time to s</w:t>
      </w:r>
      <w:r w:rsidR="000B76C0">
        <w:t xml:space="preserve">pend on study and they had paid </w:t>
      </w:r>
      <w:r>
        <w:t>work commitments or could not a</w:t>
      </w:r>
      <w:r w:rsidR="000B76C0">
        <w:t xml:space="preserve">fford to reduce </w:t>
      </w:r>
      <w:r w:rsidR="001578A4">
        <w:t xml:space="preserve">their </w:t>
      </w:r>
      <w:r w:rsidR="000B76C0">
        <w:t>employment load,</w:t>
      </w:r>
      <w:r>
        <w:t xml:space="preserve"> othe</w:t>
      </w:r>
      <w:r w:rsidR="001578A4">
        <w:t>rs stud</w:t>
      </w:r>
      <w:r w:rsidR="00D9719C">
        <w:t>ied</w:t>
      </w:r>
      <w:r w:rsidR="001578A4">
        <w:t xml:space="preserve"> part-</w:t>
      </w:r>
      <w:r>
        <w:t xml:space="preserve">time because the course was only offered in that delivery mode. </w:t>
      </w:r>
    </w:p>
    <w:p w:rsidR="008332D5" w:rsidRDefault="008332D5" w:rsidP="008332D5">
      <w:pPr>
        <w:pStyle w:val="Text"/>
      </w:pPr>
      <w:r>
        <w:t xml:space="preserve">The reasons why students had considered changing their mode of study were mixed. For some, </w:t>
      </w:r>
      <w:r w:rsidR="000B76C0">
        <w:t>the reason was solely financial:</w:t>
      </w:r>
      <w:r>
        <w:t xml:space="preserve"> because they needed to earn more money or their employer expected them to work additional hours. Others wanted to try to save money.</w:t>
      </w:r>
    </w:p>
    <w:p w:rsidR="008332D5" w:rsidRDefault="008332D5" w:rsidP="008332D5">
      <w:pPr>
        <w:pStyle w:val="Text"/>
      </w:pPr>
      <w:r>
        <w:t>However, some respondents want</w:t>
      </w:r>
      <w:r w:rsidR="000B76C0">
        <w:t>ed to gain more work experience</w:t>
      </w:r>
      <w:r>
        <w:t xml:space="preserve"> and </w:t>
      </w:r>
      <w:r w:rsidRPr="005E564F">
        <w:t>would</w:t>
      </w:r>
      <w:r w:rsidR="000B76C0">
        <w:t xml:space="preserve"> have reduced to part-</w:t>
      </w:r>
      <w:r>
        <w:t xml:space="preserve">time study had </w:t>
      </w:r>
      <w:r w:rsidR="001578A4">
        <w:t xml:space="preserve">they </w:t>
      </w:r>
      <w:r>
        <w:t>been able to get a job that would have been of benefit in their chosen field</w:t>
      </w:r>
      <w:r w:rsidR="00C649C2">
        <w:t xml:space="preserve">. </w:t>
      </w:r>
      <w:r>
        <w:t>Others wanted to</w:t>
      </w:r>
      <w:r w:rsidR="000B76C0">
        <w:t xml:space="preserve"> save up for ‘life experience’ — overseas travel</w:t>
      </w:r>
      <w:r>
        <w:t xml:space="preserve"> or even to afford a social life. Another reason given for con</w:t>
      </w:r>
      <w:r w:rsidR="000B76C0">
        <w:t>sidering reducing study to part-</w:t>
      </w:r>
      <w:r>
        <w:t>time hours was that it would be easier to balance work and study commitments.</w:t>
      </w:r>
    </w:p>
    <w:p w:rsidR="008332D5" w:rsidRDefault="008332D5" w:rsidP="008332D5">
      <w:pPr>
        <w:pStyle w:val="Text"/>
      </w:pPr>
      <w:r>
        <w:t xml:space="preserve">Other reasons for changing study mode were unrelated to </w:t>
      </w:r>
      <w:r w:rsidRPr="005E564F">
        <w:t>financial</w:t>
      </w:r>
      <w:r>
        <w:t xml:space="preserve"> circumstances </w:t>
      </w:r>
      <w:r w:rsidR="000B76C0">
        <w:t xml:space="preserve">and were associated with </w:t>
      </w:r>
      <w:r>
        <w:t xml:space="preserve">students </w:t>
      </w:r>
      <w:r w:rsidR="000B76C0">
        <w:t>being time-</w:t>
      </w:r>
      <w:r>
        <w:t>poor and overwhelmed</w:t>
      </w:r>
      <w:r w:rsidR="000B76C0">
        <w:t xml:space="preserve"> by study commitments</w:t>
      </w:r>
      <w:r w:rsidR="001578A4">
        <w:t>;</w:t>
      </w:r>
      <w:r w:rsidR="000B76C0">
        <w:t xml:space="preserve"> needing</w:t>
      </w:r>
      <w:r>
        <w:t xml:space="preserve"> time to be more</w:t>
      </w:r>
      <w:r w:rsidR="000B76C0">
        <w:t xml:space="preserve"> thorough in the</w:t>
      </w:r>
      <w:r w:rsidR="001578A4">
        <w:t>ir</w:t>
      </w:r>
      <w:r w:rsidR="000B76C0">
        <w:t xml:space="preserve"> study</w:t>
      </w:r>
      <w:r w:rsidR="00536D14">
        <w:t>;</w:t>
      </w:r>
      <w:r w:rsidR="000B76C0">
        <w:t xml:space="preserve"> or wanting</w:t>
      </w:r>
      <w:r>
        <w:t xml:space="preserve"> to have more free time away from study. Also, online delivery was attractive because the students no longer wanted access to university facilities for course work and could comfortably complete their study using an alternative mode of delivery. </w:t>
      </w:r>
    </w:p>
    <w:p w:rsidR="008332D5" w:rsidRDefault="000B76C0" w:rsidP="008332D5">
      <w:pPr>
        <w:pStyle w:val="Text"/>
      </w:pPr>
      <w:r>
        <w:t>However, changing to part-</w:t>
      </w:r>
      <w:r w:rsidR="008332D5">
        <w:t>time would have had negative consequences for some students</w:t>
      </w:r>
      <w:r>
        <w:t>,</w:t>
      </w:r>
      <w:r w:rsidR="008332D5">
        <w:t xml:space="preserve"> who cited losing financial benefits if </w:t>
      </w:r>
      <w:r>
        <w:t>they dropped down to part-time study</w:t>
      </w:r>
      <w:r w:rsidR="00D9719C">
        <w:t>.</w:t>
      </w:r>
      <w:r>
        <w:t xml:space="preserve"> </w:t>
      </w:r>
      <w:r w:rsidR="00D9719C">
        <w:t xml:space="preserve">The </w:t>
      </w:r>
      <w:r>
        <w:t>obvious time factor</w:t>
      </w:r>
      <w:r w:rsidR="00D9719C">
        <w:t xml:space="preserve"> was also cited</w:t>
      </w:r>
      <w:r>
        <w:t xml:space="preserve"> —</w:t>
      </w:r>
      <w:r w:rsidR="00D9719C">
        <w:t xml:space="preserve"> </w:t>
      </w:r>
      <w:r w:rsidR="008332D5">
        <w:t>it would take longer to complete the course.</w:t>
      </w:r>
    </w:p>
    <w:p w:rsidR="008332D5" w:rsidRDefault="008332D5" w:rsidP="008332D5">
      <w:pPr>
        <w:pStyle w:val="Text"/>
      </w:pPr>
      <w:r>
        <w:t>Students w</w:t>
      </w:r>
      <w:r w:rsidR="00242E2F">
        <w:t>ho wanted to increase from part-time to full-</w:t>
      </w:r>
      <w:r>
        <w:t xml:space="preserve">time </w:t>
      </w:r>
      <w:r w:rsidRPr="005E564F">
        <w:t>study</w:t>
      </w:r>
      <w:r>
        <w:t xml:space="preserve"> stated that they wanted to finish the course faster, or, ‘get it over and done with’</w:t>
      </w:r>
      <w:r w:rsidR="00242E2F">
        <w:t>,</w:t>
      </w:r>
      <w:r>
        <w:t xml:space="preserve"> as one student put it. ‘I realised I wanted to complete my course so that played a role in it, I was sick of dragging it out.</w:t>
      </w:r>
      <w:r w:rsidR="00D9719C">
        <w:t>’</w:t>
      </w:r>
    </w:p>
    <w:p w:rsidR="008332D5" w:rsidRDefault="008332D5" w:rsidP="008332D5">
      <w:pPr>
        <w:pStyle w:val="Text"/>
      </w:pPr>
      <w:r>
        <w:t>Respondents were asked if they had considered either withdrawing</w:t>
      </w:r>
      <w:r w:rsidR="00D9719C">
        <w:t xml:space="preserve"> from</w:t>
      </w:r>
      <w:r>
        <w:t xml:space="preserve"> or </w:t>
      </w:r>
      <w:r w:rsidR="00536D14">
        <w:t>deferring their course, with</w:t>
      </w:r>
      <w:r>
        <w:t xml:space="preserve"> the majority of respondents </w:t>
      </w:r>
      <w:r w:rsidR="00536D14">
        <w:t>stating</w:t>
      </w:r>
      <w:r>
        <w:t xml:space="preserve"> they had not considered withdrawing or deferring. For those </w:t>
      </w:r>
      <w:r w:rsidR="00242E2F">
        <w:t>who</w:t>
      </w:r>
      <w:r>
        <w:t xml:space="preserve"> </w:t>
      </w:r>
      <w:r w:rsidR="001D5BE9">
        <w:t>had</w:t>
      </w:r>
      <w:r>
        <w:t xml:space="preserve"> consider</w:t>
      </w:r>
      <w:r w:rsidR="001D5BE9">
        <w:t>ed</w:t>
      </w:r>
      <w:r>
        <w:t xml:space="preserve"> </w:t>
      </w:r>
      <w:r w:rsidR="00D9719C">
        <w:t>either possibility</w:t>
      </w:r>
      <w:r>
        <w:t xml:space="preserve">, their reasons </w:t>
      </w:r>
      <w:r w:rsidR="00242E2F">
        <w:t>were varied but included</w:t>
      </w:r>
      <w:r>
        <w:t xml:space="preserve"> seeking career opportu</w:t>
      </w:r>
      <w:r w:rsidR="00242E2F">
        <w:t>nities elsewhere</w:t>
      </w:r>
      <w:r w:rsidR="001D5BE9">
        <w:t>,</w:t>
      </w:r>
      <w:r>
        <w:t xml:space="preserve"> wanting to work more (</w:t>
      </w:r>
      <w:r w:rsidR="00242E2F">
        <w:t>that is, full-</w:t>
      </w:r>
      <w:r w:rsidR="001D5BE9">
        <w:t>time work), to save money,</w:t>
      </w:r>
      <w:r>
        <w:t xml:space="preserve"> </w:t>
      </w:r>
      <w:r w:rsidR="001D5BE9">
        <w:t xml:space="preserve">to travel overseas or </w:t>
      </w:r>
      <w:r>
        <w:t>because they had lost interest in their course</w:t>
      </w:r>
      <w:r w:rsidRPr="002E0196">
        <w:t xml:space="preserve"> </w:t>
      </w:r>
      <w:r>
        <w:t>or they had not achieved the grades they had hoped for. Respondents also mentioned that they were distracted by what was going on outside university or that they had personal issues that needed attention. But, in the main, the reasons for withdrawing or deferring can not be identified as being solely</w:t>
      </w:r>
      <w:r w:rsidR="00B74B90">
        <w:t xml:space="preserve"> or primarily</w:t>
      </w:r>
      <w:r>
        <w:t xml:space="preserve"> because of financial stress. </w:t>
      </w:r>
    </w:p>
    <w:p w:rsidR="008332D5" w:rsidRPr="006726EF" w:rsidRDefault="008332D5" w:rsidP="008332D5">
      <w:pPr>
        <w:pStyle w:val="Dotpoint1"/>
      </w:pPr>
      <w:r>
        <w:br w:type="page"/>
      </w:r>
    </w:p>
    <w:p w:rsidR="008332D5" w:rsidRDefault="008332D5" w:rsidP="008332D5">
      <w:pPr>
        <w:pStyle w:val="Heading1"/>
        <w:keepNext w:val="0"/>
      </w:pPr>
      <w:bookmarkStart w:id="46" w:name="_Toc388884891"/>
      <w:r>
        <w:t>Conclusions</w:t>
      </w:r>
      <w:bookmarkEnd w:id="46"/>
    </w:p>
    <w:p w:rsidR="008332D5" w:rsidRPr="008E4B01" w:rsidRDefault="008332D5" w:rsidP="008332D5">
      <w:pPr>
        <w:pStyle w:val="Text"/>
        <w:rPr>
          <w:lang w:val="en-GB"/>
        </w:rPr>
      </w:pPr>
      <w:r>
        <w:rPr>
          <w:lang w:val="en-GB"/>
        </w:rPr>
        <w:t>The aim of this project was</w:t>
      </w:r>
      <w:r w:rsidRPr="008E4B01">
        <w:rPr>
          <w:lang w:val="en-GB"/>
        </w:rPr>
        <w:t xml:space="preserve"> to </w:t>
      </w:r>
      <w:r w:rsidRPr="005E564F">
        <w:t>examine</w:t>
      </w:r>
      <w:r w:rsidRPr="008E4B01">
        <w:rPr>
          <w:lang w:val="en-GB"/>
        </w:rPr>
        <w:t xml:space="preserve"> how financial stress affects young people</w:t>
      </w:r>
      <w:r w:rsidR="00242E2F">
        <w:rPr>
          <w:lang w:val="en-GB"/>
        </w:rPr>
        <w:t>’s learning and study decisions, m</w:t>
      </w:r>
      <w:r w:rsidRPr="008E4B01">
        <w:rPr>
          <w:lang w:val="en-GB"/>
        </w:rPr>
        <w:t xml:space="preserve">ore particularly, to look at the ways </w:t>
      </w:r>
      <w:r w:rsidR="00242E2F">
        <w:rPr>
          <w:lang w:val="en-GB"/>
        </w:rPr>
        <w:t>by</w:t>
      </w:r>
      <w:r w:rsidRPr="008E4B01">
        <w:rPr>
          <w:lang w:val="en-GB"/>
        </w:rPr>
        <w:t xml:space="preserve"> which financial stress affects study outcomes for the current year and completion of either VET (at certificate III or above) or university study.</w:t>
      </w:r>
    </w:p>
    <w:p w:rsidR="008332D5" w:rsidRDefault="00CE2F4C" w:rsidP="008332D5">
      <w:pPr>
        <w:pStyle w:val="Text"/>
        <w:rPr>
          <w:lang w:val="en-GB"/>
        </w:rPr>
      </w:pPr>
      <w:r>
        <w:rPr>
          <w:lang w:val="en-GB"/>
        </w:rPr>
        <w:t>Some</w:t>
      </w:r>
      <w:r w:rsidR="008332D5" w:rsidRPr="008E4B01">
        <w:rPr>
          <w:lang w:val="en-GB"/>
        </w:rPr>
        <w:t xml:space="preserve"> students reported </w:t>
      </w:r>
      <w:r w:rsidR="008332D5">
        <w:rPr>
          <w:lang w:val="en-GB"/>
        </w:rPr>
        <w:t xml:space="preserve">that working </w:t>
      </w:r>
      <w:r w:rsidR="001D5BE9">
        <w:rPr>
          <w:lang w:val="en-GB"/>
        </w:rPr>
        <w:t xml:space="preserve">— </w:t>
      </w:r>
      <w:r w:rsidR="001D5BE9" w:rsidRPr="008E4B01">
        <w:rPr>
          <w:lang w:val="en-GB"/>
        </w:rPr>
        <w:t>j</w:t>
      </w:r>
      <w:r w:rsidR="001D5BE9">
        <w:rPr>
          <w:lang w:val="en-GB"/>
        </w:rPr>
        <w:t>ust to afford basic necessities —</w:t>
      </w:r>
      <w:r w:rsidR="001D5BE9" w:rsidRPr="008E4B01">
        <w:rPr>
          <w:lang w:val="en-GB"/>
        </w:rPr>
        <w:t xml:space="preserve"> </w:t>
      </w:r>
      <w:r w:rsidR="001D5BE9">
        <w:rPr>
          <w:lang w:val="en-GB"/>
        </w:rPr>
        <w:t>while studying</w:t>
      </w:r>
      <w:r w:rsidR="008332D5">
        <w:rPr>
          <w:lang w:val="en-GB"/>
        </w:rPr>
        <w:t xml:space="preserve"> </w:t>
      </w:r>
      <w:r w:rsidR="008332D5" w:rsidRPr="008E4B01">
        <w:rPr>
          <w:lang w:val="en-GB"/>
        </w:rPr>
        <w:t>had a detrimental effect on their studies. Hence employment, because of its necessity to finance a student</w:t>
      </w:r>
      <w:r w:rsidR="001D5BE9">
        <w:rPr>
          <w:lang w:val="en-GB"/>
        </w:rPr>
        <w:t>’s</w:t>
      </w:r>
      <w:r w:rsidR="008332D5" w:rsidRPr="008E4B01">
        <w:rPr>
          <w:lang w:val="en-GB"/>
        </w:rPr>
        <w:t xml:space="preserve"> learning, can displace </w:t>
      </w:r>
      <w:r w:rsidR="001D5BE9">
        <w:rPr>
          <w:lang w:val="en-GB"/>
        </w:rPr>
        <w:t>the time a student spends</w:t>
      </w:r>
      <w:r w:rsidR="00DE2F16">
        <w:rPr>
          <w:lang w:val="en-GB"/>
        </w:rPr>
        <w:t xml:space="preserve"> on learning and as a consequence</w:t>
      </w:r>
      <w:r w:rsidR="008332D5" w:rsidRPr="008E4B01">
        <w:rPr>
          <w:lang w:val="en-GB"/>
        </w:rPr>
        <w:t xml:space="preserve"> lead to poorer learning outcomes. </w:t>
      </w:r>
    </w:p>
    <w:p w:rsidR="008332D5" w:rsidRDefault="008332D5" w:rsidP="008332D5">
      <w:pPr>
        <w:pStyle w:val="Text"/>
        <w:rPr>
          <w:lang w:val="en-GB"/>
        </w:rPr>
      </w:pPr>
      <w:r>
        <w:rPr>
          <w:lang w:val="en-GB"/>
        </w:rPr>
        <w:t>Just under half of the respondents to t</w:t>
      </w:r>
      <w:r w:rsidR="0032760C">
        <w:rPr>
          <w:lang w:val="en-GB"/>
        </w:rPr>
        <w:t>he qualitative</w:t>
      </w:r>
      <w:r>
        <w:rPr>
          <w:lang w:val="en-GB"/>
        </w:rPr>
        <w:t xml:space="preserve"> survey lived with their parents and</w:t>
      </w:r>
      <w:r w:rsidR="0032760C">
        <w:rPr>
          <w:lang w:val="en-GB"/>
        </w:rPr>
        <w:t>,</w:t>
      </w:r>
      <w:r>
        <w:rPr>
          <w:lang w:val="en-GB"/>
        </w:rPr>
        <w:t xml:space="preserve"> while there were financial benefits to their arrangements, </w:t>
      </w:r>
      <w:r w:rsidR="0032760C">
        <w:rPr>
          <w:lang w:val="en-GB"/>
        </w:rPr>
        <w:t xml:space="preserve">the </w:t>
      </w:r>
      <w:r>
        <w:rPr>
          <w:lang w:val="en-GB"/>
        </w:rPr>
        <w:t xml:space="preserve">students listed many more reasons </w:t>
      </w:r>
      <w:r w:rsidR="00DC25C0">
        <w:rPr>
          <w:lang w:val="en-GB"/>
        </w:rPr>
        <w:t xml:space="preserve">— </w:t>
      </w:r>
      <w:r w:rsidR="00D9719C">
        <w:rPr>
          <w:lang w:val="en-GB"/>
        </w:rPr>
        <w:t>as well as</w:t>
      </w:r>
      <w:r>
        <w:rPr>
          <w:lang w:val="en-GB"/>
        </w:rPr>
        <w:t xml:space="preserve"> financial</w:t>
      </w:r>
      <w:r w:rsidR="00D9719C">
        <w:rPr>
          <w:lang w:val="en-GB"/>
        </w:rPr>
        <w:t xml:space="preserve"> </w:t>
      </w:r>
      <w:r w:rsidR="00CD4B27">
        <w:rPr>
          <w:lang w:val="en-GB"/>
        </w:rPr>
        <w:t>—</w:t>
      </w:r>
      <w:r w:rsidR="00D9719C">
        <w:rPr>
          <w:lang w:val="en-GB"/>
        </w:rPr>
        <w:t xml:space="preserve"> </w:t>
      </w:r>
      <w:r>
        <w:rPr>
          <w:lang w:val="en-GB"/>
        </w:rPr>
        <w:t>for maintaining their status quo</w:t>
      </w:r>
      <w:r w:rsidR="0032760C">
        <w:rPr>
          <w:lang w:val="en-GB"/>
        </w:rPr>
        <w:t>,</w:t>
      </w:r>
      <w:r>
        <w:rPr>
          <w:lang w:val="en-GB"/>
        </w:rPr>
        <w:t xml:space="preserve"> including the importance of emotional support. </w:t>
      </w:r>
      <w:r w:rsidR="00DC25C0">
        <w:rPr>
          <w:lang w:val="en-GB"/>
        </w:rPr>
        <w:t>Parents’ financial support</w:t>
      </w:r>
      <w:r>
        <w:rPr>
          <w:lang w:val="en-GB"/>
        </w:rPr>
        <w:t xml:space="preserve"> ranged from </w:t>
      </w:r>
      <w:r w:rsidR="00DC25C0">
        <w:rPr>
          <w:lang w:val="en-GB"/>
        </w:rPr>
        <w:t xml:space="preserve">their </w:t>
      </w:r>
      <w:r w:rsidR="0032760C">
        <w:rPr>
          <w:lang w:val="en-GB"/>
        </w:rPr>
        <w:t xml:space="preserve">paying </w:t>
      </w:r>
      <w:r w:rsidR="00DC25C0">
        <w:rPr>
          <w:lang w:val="en-GB"/>
        </w:rPr>
        <w:t>students’</w:t>
      </w:r>
      <w:r w:rsidR="0032760C">
        <w:rPr>
          <w:lang w:val="en-GB"/>
        </w:rPr>
        <w:t xml:space="preserve"> </w:t>
      </w:r>
      <w:r>
        <w:rPr>
          <w:lang w:val="en-GB"/>
        </w:rPr>
        <w:t xml:space="preserve">utility bills, rent and ‘high ticket items’ </w:t>
      </w:r>
      <w:r w:rsidR="0032760C">
        <w:rPr>
          <w:lang w:val="en-GB"/>
        </w:rPr>
        <w:t>such as</w:t>
      </w:r>
      <w:r>
        <w:rPr>
          <w:lang w:val="en-GB"/>
        </w:rPr>
        <w:t xml:space="preserve"> car registrations and insurance</w:t>
      </w:r>
      <w:r w:rsidR="0032760C">
        <w:rPr>
          <w:lang w:val="en-GB"/>
        </w:rPr>
        <w:t>,</w:t>
      </w:r>
      <w:r>
        <w:rPr>
          <w:lang w:val="en-GB"/>
        </w:rPr>
        <w:t xml:space="preserve"> to money for social</w:t>
      </w:r>
      <w:r w:rsidR="0032760C">
        <w:rPr>
          <w:lang w:val="en-GB"/>
        </w:rPr>
        <w:t xml:space="preserve"> activities </w:t>
      </w:r>
      <w:r>
        <w:rPr>
          <w:lang w:val="en-GB"/>
        </w:rPr>
        <w:t xml:space="preserve">and entertainment. Those respondents who had left home did not directly mention the </w:t>
      </w:r>
      <w:r w:rsidR="003D1F49">
        <w:rPr>
          <w:lang w:val="en-GB"/>
        </w:rPr>
        <w:t xml:space="preserve">additional </w:t>
      </w:r>
      <w:r>
        <w:rPr>
          <w:lang w:val="en-GB"/>
        </w:rPr>
        <w:t>financial costs of not living at home. Some of those</w:t>
      </w:r>
      <w:r w:rsidR="00B5461D">
        <w:rPr>
          <w:lang w:val="en-GB"/>
        </w:rPr>
        <w:t xml:space="preserve"> students who</w:t>
      </w:r>
      <w:r>
        <w:rPr>
          <w:lang w:val="en-GB"/>
        </w:rPr>
        <w:t xml:space="preserve"> had moved out had done so to improve their chances of g</w:t>
      </w:r>
      <w:r w:rsidR="0032760C">
        <w:rPr>
          <w:lang w:val="en-GB"/>
        </w:rPr>
        <w:t>aining</w:t>
      </w:r>
      <w:r>
        <w:rPr>
          <w:lang w:val="en-GB"/>
        </w:rPr>
        <w:t xml:space="preserve"> paid employment</w:t>
      </w:r>
      <w:r w:rsidR="00C649C2">
        <w:rPr>
          <w:lang w:val="en-GB"/>
        </w:rPr>
        <w:t xml:space="preserve">. </w:t>
      </w:r>
      <w:r>
        <w:rPr>
          <w:lang w:val="en-GB"/>
        </w:rPr>
        <w:t xml:space="preserve"> </w:t>
      </w:r>
    </w:p>
    <w:p w:rsidR="008332D5" w:rsidRDefault="008332D5" w:rsidP="008332D5">
      <w:pPr>
        <w:pStyle w:val="Text"/>
        <w:rPr>
          <w:lang w:val="en-GB"/>
        </w:rPr>
      </w:pPr>
      <w:r>
        <w:rPr>
          <w:lang w:val="en-GB"/>
        </w:rPr>
        <w:t>Respondents also mentioned a variety of other sources from which they had help to ease the</w:t>
      </w:r>
      <w:r w:rsidR="00932468">
        <w:rPr>
          <w:lang w:val="en-GB"/>
        </w:rPr>
        <w:t>ir</w:t>
      </w:r>
      <w:r>
        <w:rPr>
          <w:lang w:val="en-GB"/>
        </w:rPr>
        <w:t xml:space="preserve"> financial burden</w:t>
      </w:r>
      <w:r w:rsidR="0032760C">
        <w:rPr>
          <w:lang w:val="en-GB"/>
        </w:rPr>
        <w:t>,</w:t>
      </w:r>
      <w:r>
        <w:rPr>
          <w:lang w:val="en-GB"/>
        </w:rPr>
        <w:t xml:space="preserve"> including student loans, </w:t>
      </w:r>
      <w:proofErr w:type="spellStart"/>
      <w:r>
        <w:rPr>
          <w:lang w:val="en-GB"/>
        </w:rPr>
        <w:t>Centrelink</w:t>
      </w:r>
      <w:proofErr w:type="spellEnd"/>
      <w:r>
        <w:rPr>
          <w:lang w:val="en-GB"/>
        </w:rPr>
        <w:t xml:space="preserve"> benefits and bursary grants and loans. Moreover, students </w:t>
      </w:r>
      <w:r w:rsidR="00DC25C0">
        <w:rPr>
          <w:lang w:val="en-GB"/>
        </w:rPr>
        <w:t xml:space="preserve">listed </w:t>
      </w:r>
      <w:r>
        <w:rPr>
          <w:lang w:val="en-GB"/>
        </w:rPr>
        <w:t xml:space="preserve">the variety of ways </w:t>
      </w:r>
      <w:r w:rsidR="00932468">
        <w:rPr>
          <w:lang w:val="en-GB"/>
        </w:rPr>
        <w:t>by which</w:t>
      </w:r>
      <w:r>
        <w:rPr>
          <w:lang w:val="en-GB"/>
        </w:rPr>
        <w:t xml:space="preserve"> they were able to save money. </w:t>
      </w:r>
    </w:p>
    <w:p w:rsidR="008332D5" w:rsidRDefault="00653A73" w:rsidP="008332D5">
      <w:pPr>
        <w:pStyle w:val="Text"/>
        <w:rPr>
          <w:lang w:val="en-GB"/>
        </w:rPr>
      </w:pPr>
      <w:r>
        <w:rPr>
          <w:lang w:val="en-GB"/>
        </w:rPr>
        <w:t>O</w:t>
      </w:r>
      <w:r w:rsidR="008332D5">
        <w:rPr>
          <w:lang w:val="en-GB"/>
        </w:rPr>
        <w:t xml:space="preserve">ver 40% of </w:t>
      </w:r>
      <w:r w:rsidR="00DC25C0">
        <w:rPr>
          <w:lang w:val="en-GB"/>
        </w:rPr>
        <w:t xml:space="preserve">the </w:t>
      </w:r>
      <w:r w:rsidR="008332D5">
        <w:rPr>
          <w:lang w:val="en-GB"/>
        </w:rPr>
        <w:t xml:space="preserve">students surveyed for this study had considered changing their mode of study, and a few mentioned that this </w:t>
      </w:r>
      <w:r w:rsidR="0032760C">
        <w:rPr>
          <w:lang w:val="en-GB"/>
        </w:rPr>
        <w:t>consideration of change</w:t>
      </w:r>
      <w:r w:rsidR="008332D5">
        <w:rPr>
          <w:lang w:val="en-GB"/>
        </w:rPr>
        <w:t xml:space="preserve"> was</w:t>
      </w:r>
      <w:r w:rsidR="00B5461D">
        <w:rPr>
          <w:lang w:val="en-GB"/>
        </w:rPr>
        <w:t xml:space="preserve"> based on</w:t>
      </w:r>
      <w:r w:rsidR="008332D5">
        <w:rPr>
          <w:lang w:val="en-GB"/>
        </w:rPr>
        <w:t xml:space="preserve"> financial</w:t>
      </w:r>
      <w:r w:rsidR="00B5461D">
        <w:rPr>
          <w:lang w:val="en-GB"/>
        </w:rPr>
        <w:t xml:space="preserve"> necessity.</w:t>
      </w:r>
      <w:r w:rsidR="008332D5">
        <w:rPr>
          <w:lang w:val="en-GB"/>
        </w:rPr>
        <w:t xml:space="preserve"> </w:t>
      </w:r>
      <w:r w:rsidR="00B5461D">
        <w:rPr>
          <w:lang w:val="en-GB"/>
        </w:rPr>
        <w:t>However, the</w:t>
      </w:r>
      <w:r w:rsidR="008332D5">
        <w:rPr>
          <w:lang w:val="en-GB"/>
        </w:rPr>
        <w:t xml:space="preserve"> majority of </w:t>
      </w:r>
      <w:r w:rsidR="00B5461D">
        <w:rPr>
          <w:lang w:val="en-GB"/>
        </w:rPr>
        <w:t xml:space="preserve">students who had considered changing their mode of study noted that their decision </w:t>
      </w:r>
      <w:r w:rsidR="0032760C">
        <w:rPr>
          <w:lang w:val="en-GB"/>
        </w:rPr>
        <w:t>was</w:t>
      </w:r>
      <w:r w:rsidR="00B5461D">
        <w:rPr>
          <w:lang w:val="en-GB"/>
        </w:rPr>
        <w:t xml:space="preserve"> </w:t>
      </w:r>
      <w:r w:rsidR="008332D5">
        <w:rPr>
          <w:lang w:val="en-GB"/>
        </w:rPr>
        <w:t>unrela</w:t>
      </w:r>
      <w:r w:rsidR="0032760C">
        <w:rPr>
          <w:lang w:val="en-GB"/>
        </w:rPr>
        <w:t>ted to their financial position; t</w:t>
      </w:r>
      <w:r w:rsidR="008332D5">
        <w:rPr>
          <w:lang w:val="en-GB"/>
        </w:rPr>
        <w:t xml:space="preserve">heir decision was more likely to have been due to </w:t>
      </w:r>
      <w:r w:rsidR="0032760C">
        <w:rPr>
          <w:lang w:val="en-GB"/>
        </w:rPr>
        <w:t>a diminished</w:t>
      </w:r>
      <w:r w:rsidR="008332D5">
        <w:rPr>
          <w:lang w:val="en-GB"/>
        </w:rPr>
        <w:t xml:space="preserve"> interest in the course, </w:t>
      </w:r>
      <w:r w:rsidR="0032760C">
        <w:rPr>
          <w:lang w:val="en-GB"/>
        </w:rPr>
        <w:t xml:space="preserve">the </w:t>
      </w:r>
      <w:r w:rsidR="008332D5">
        <w:rPr>
          <w:lang w:val="en-GB"/>
        </w:rPr>
        <w:t xml:space="preserve">pressures of work and study commitments and </w:t>
      </w:r>
      <w:r w:rsidR="0032760C">
        <w:rPr>
          <w:lang w:val="en-GB"/>
        </w:rPr>
        <w:t>efforts</w:t>
      </w:r>
      <w:r w:rsidR="008332D5">
        <w:rPr>
          <w:lang w:val="en-GB"/>
        </w:rPr>
        <w:t xml:space="preserve"> to attain a more favourable</w:t>
      </w:r>
      <w:r w:rsidR="0032760C">
        <w:rPr>
          <w:lang w:val="en-GB"/>
        </w:rPr>
        <w:t xml:space="preserve"> life—study—</w:t>
      </w:r>
      <w:r w:rsidR="00B5461D">
        <w:rPr>
          <w:lang w:val="en-GB"/>
        </w:rPr>
        <w:t>work</w:t>
      </w:r>
      <w:r w:rsidR="008332D5">
        <w:rPr>
          <w:lang w:val="en-GB"/>
        </w:rPr>
        <w:t xml:space="preserve"> balance</w:t>
      </w:r>
      <w:r w:rsidR="0032760C">
        <w:rPr>
          <w:lang w:val="en-GB"/>
        </w:rPr>
        <w:t>.</w:t>
      </w:r>
      <w:r w:rsidR="008332D5">
        <w:rPr>
          <w:lang w:val="en-GB"/>
        </w:rPr>
        <w:t xml:space="preserve"> </w:t>
      </w:r>
      <w:r w:rsidR="007D4522">
        <w:rPr>
          <w:lang w:val="en-GB"/>
        </w:rPr>
        <w:t>Finishing their course sooner rather than later dissuaded some students from changing their study mode</w:t>
      </w:r>
      <w:r w:rsidR="00C649C2">
        <w:rPr>
          <w:lang w:val="en-GB"/>
        </w:rPr>
        <w:t xml:space="preserve">. </w:t>
      </w:r>
      <w:r w:rsidR="00DC25C0">
        <w:rPr>
          <w:lang w:val="en-GB"/>
        </w:rPr>
        <w:t xml:space="preserve">Those </w:t>
      </w:r>
      <w:r w:rsidR="008332D5">
        <w:rPr>
          <w:lang w:val="en-GB"/>
        </w:rPr>
        <w:t xml:space="preserve">students who had considered withdrawing from study altogether did not blame financial stress but cited a </w:t>
      </w:r>
      <w:r w:rsidR="00932468">
        <w:rPr>
          <w:lang w:val="en-GB"/>
        </w:rPr>
        <w:t>variety</w:t>
      </w:r>
      <w:r w:rsidR="008332D5">
        <w:rPr>
          <w:lang w:val="en-GB"/>
        </w:rPr>
        <w:t xml:space="preserve"> of other reasons.</w:t>
      </w:r>
    </w:p>
    <w:p w:rsidR="008332D5" w:rsidRPr="008E4B01" w:rsidRDefault="006240DD" w:rsidP="008332D5">
      <w:pPr>
        <w:pStyle w:val="Text"/>
        <w:rPr>
          <w:lang w:val="en-GB"/>
        </w:rPr>
      </w:pPr>
      <w:r w:rsidRPr="008F47C0">
        <w:rPr>
          <w:lang w:val="en-GB"/>
        </w:rPr>
        <w:t>Overall, our</w:t>
      </w:r>
      <w:r w:rsidR="008332D5" w:rsidRPr="008F47C0">
        <w:rPr>
          <w:lang w:val="en-GB"/>
        </w:rPr>
        <w:t xml:space="preserve"> small </w:t>
      </w:r>
      <w:r w:rsidR="007D4522">
        <w:rPr>
          <w:lang w:val="en-GB"/>
        </w:rPr>
        <w:t xml:space="preserve">qualitative </w:t>
      </w:r>
      <w:r w:rsidR="008332D5" w:rsidRPr="008F47C0">
        <w:rPr>
          <w:lang w:val="en-GB"/>
        </w:rPr>
        <w:t>sample st</w:t>
      </w:r>
      <w:r w:rsidRPr="008F47C0">
        <w:rPr>
          <w:lang w:val="en-GB"/>
        </w:rPr>
        <w:t>udy</w:t>
      </w:r>
      <w:r w:rsidR="00932468">
        <w:rPr>
          <w:lang w:val="en-GB"/>
        </w:rPr>
        <w:t>, the focus of the second half of this paper,</w:t>
      </w:r>
      <w:r w:rsidRPr="008F47C0">
        <w:rPr>
          <w:lang w:val="en-GB"/>
        </w:rPr>
        <w:t xml:space="preserve"> suggests</w:t>
      </w:r>
      <w:r w:rsidR="008332D5">
        <w:rPr>
          <w:lang w:val="en-GB"/>
        </w:rPr>
        <w:t xml:space="preserve"> that</w:t>
      </w:r>
      <w:r w:rsidR="00DC25C0">
        <w:rPr>
          <w:lang w:val="en-GB"/>
        </w:rPr>
        <w:t>,</w:t>
      </w:r>
      <w:r w:rsidR="008332D5">
        <w:rPr>
          <w:lang w:val="en-GB"/>
        </w:rPr>
        <w:t xml:space="preserve"> while financial needs are a common concern for tertiary students, they do not appear to be the main driver </w:t>
      </w:r>
      <w:r w:rsidR="007D4522">
        <w:rPr>
          <w:lang w:val="en-GB"/>
        </w:rPr>
        <w:t>affecting</w:t>
      </w:r>
      <w:r w:rsidR="008332D5">
        <w:rPr>
          <w:lang w:val="en-GB"/>
        </w:rPr>
        <w:t xml:space="preserve"> completion rates and/or study </w:t>
      </w:r>
      <w:r w:rsidR="007D4522">
        <w:rPr>
          <w:lang w:val="en-GB"/>
        </w:rPr>
        <w:t xml:space="preserve">decisions. </w:t>
      </w:r>
      <w:r w:rsidR="008332D5">
        <w:rPr>
          <w:lang w:val="en-GB"/>
        </w:rPr>
        <w:t xml:space="preserve">It was not the burden of financial hardship that was identified as being the primary </w:t>
      </w:r>
      <w:r w:rsidR="007D4522">
        <w:rPr>
          <w:lang w:val="en-GB"/>
        </w:rPr>
        <w:t>impetus</w:t>
      </w:r>
      <w:r w:rsidR="008332D5">
        <w:rPr>
          <w:lang w:val="en-GB"/>
        </w:rPr>
        <w:t xml:space="preserve"> for students withdraw</w:t>
      </w:r>
      <w:r w:rsidR="007D4522">
        <w:rPr>
          <w:lang w:val="en-GB"/>
        </w:rPr>
        <w:t>ing</w:t>
      </w:r>
      <w:r w:rsidR="008332D5">
        <w:rPr>
          <w:lang w:val="en-GB"/>
        </w:rPr>
        <w:t xml:space="preserve"> from their studies but a lack of interest in the course or personal matters. </w:t>
      </w:r>
    </w:p>
    <w:p w:rsidR="008332D5" w:rsidRDefault="008332D5" w:rsidP="00CE2F4C">
      <w:pPr>
        <w:pStyle w:val="Heading1"/>
      </w:pPr>
      <w:r>
        <w:br w:type="page"/>
      </w:r>
      <w:bookmarkStart w:id="47" w:name="_Toc388884892"/>
      <w:r>
        <w:t>References</w:t>
      </w:r>
      <w:bookmarkEnd w:id="47"/>
    </w:p>
    <w:p w:rsidR="008332D5" w:rsidRDefault="008332D5" w:rsidP="005F07B7">
      <w:pPr>
        <w:pStyle w:val="References"/>
        <w:rPr>
          <w:lang w:val="en-GB"/>
        </w:rPr>
      </w:pPr>
      <w:r w:rsidRPr="008E4B01">
        <w:rPr>
          <w:lang w:val="en-GB"/>
        </w:rPr>
        <w:t xml:space="preserve">Anlezark, A &amp; Lim, P 2011, </w:t>
      </w:r>
      <w:r w:rsidRPr="005F07B7">
        <w:rPr>
          <w:i/>
          <w:lang w:val="en-GB"/>
        </w:rPr>
        <w:t>Does combining work and study affect school and post-school outcomes</w:t>
      </w:r>
      <w:proofErr w:type="gramStart"/>
      <w:r w:rsidRPr="005F07B7">
        <w:rPr>
          <w:i/>
          <w:lang w:val="en-GB"/>
        </w:rPr>
        <w:t>?</w:t>
      </w:r>
      <w:r w:rsidR="005F07B7">
        <w:rPr>
          <w:lang w:val="en-GB"/>
        </w:rPr>
        <w:t>,</w:t>
      </w:r>
      <w:proofErr w:type="gramEnd"/>
      <w:r w:rsidRPr="008E4B01">
        <w:rPr>
          <w:lang w:val="en-GB"/>
        </w:rPr>
        <w:t xml:space="preserve"> NCVER, Adelaide.</w:t>
      </w:r>
    </w:p>
    <w:p w:rsidR="008332D5" w:rsidRDefault="007D4522" w:rsidP="005F07B7">
      <w:pPr>
        <w:pStyle w:val="References"/>
      </w:pPr>
      <w:proofErr w:type="gramStart"/>
      <w:r>
        <w:t>ABS (</w:t>
      </w:r>
      <w:r w:rsidR="008332D5">
        <w:t>Australian Bureau of Statistics</w:t>
      </w:r>
      <w:r>
        <w:t>) 2002</w:t>
      </w:r>
      <w:r w:rsidR="008332D5">
        <w:t xml:space="preserve">, </w:t>
      </w:r>
      <w:r w:rsidR="008332D5" w:rsidRPr="005F07B7">
        <w:rPr>
          <w:i/>
        </w:rPr>
        <w:t xml:space="preserve">Australian </w:t>
      </w:r>
      <w:r w:rsidRPr="005F07B7">
        <w:rPr>
          <w:i/>
        </w:rPr>
        <w:t>social trends</w:t>
      </w:r>
      <w:r>
        <w:t>, cat.no.</w:t>
      </w:r>
      <w:r w:rsidR="008332D5">
        <w:t>4102.0, ABS, Canberra.</w:t>
      </w:r>
      <w:proofErr w:type="gramEnd"/>
    </w:p>
    <w:p w:rsidR="00F23AB8" w:rsidRPr="00F23AB8" w:rsidRDefault="005F07B7" w:rsidP="005F07B7">
      <w:pPr>
        <w:pStyle w:val="References"/>
      </w:pPr>
      <w:proofErr w:type="gramStart"/>
      <w:r>
        <w:t>——</w:t>
      </w:r>
      <w:r w:rsidR="00F23AB8">
        <w:t xml:space="preserve">2008, </w:t>
      </w:r>
      <w:r w:rsidR="00F23AB8" w:rsidRPr="005F07B7">
        <w:rPr>
          <w:i/>
        </w:rPr>
        <w:t>Family characteristics and transitions</w:t>
      </w:r>
      <w:r w:rsidR="00F23AB8">
        <w:t>, cat.no.4442.0, ABS, Canberra.</w:t>
      </w:r>
      <w:proofErr w:type="gramEnd"/>
    </w:p>
    <w:p w:rsidR="00DC25C0" w:rsidRPr="003D4A7C" w:rsidRDefault="00DC25C0" w:rsidP="00DC25C0">
      <w:pPr>
        <w:pStyle w:val="References"/>
        <w:rPr>
          <w:lang w:val="en-GB"/>
        </w:rPr>
      </w:pPr>
      <w:proofErr w:type="gramStart"/>
      <w:r>
        <w:rPr>
          <w:lang w:val="en-GB"/>
        </w:rPr>
        <w:t xml:space="preserve">Australian Institute of Health and Welfare 2011, </w:t>
      </w:r>
      <w:r w:rsidRPr="005F07B7">
        <w:rPr>
          <w:i/>
          <w:lang w:val="en-GB"/>
        </w:rPr>
        <w:t>Australia’s welfare 2011</w:t>
      </w:r>
      <w:r>
        <w:rPr>
          <w:lang w:val="en-GB"/>
        </w:rPr>
        <w:t>, AIHW, Canberra.</w:t>
      </w:r>
      <w:proofErr w:type="gramEnd"/>
    </w:p>
    <w:p w:rsidR="008332D5" w:rsidRDefault="008332D5" w:rsidP="005F07B7">
      <w:pPr>
        <w:pStyle w:val="References"/>
      </w:pPr>
      <w:r>
        <w:t xml:space="preserve">Australian Vice-Chancellors’ Committee (AVCC) 2007, </w:t>
      </w:r>
      <w:r w:rsidR="007D4522" w:rsidRPr="005F07B7">
        <w:rPr>
          <w:i/>
        </w:rPr>
        <w:t>Australian university student finances 2006:</w:t>
      </w:r>
      <w:r w:rsidRPr="005F07B7">
        <w:rPr>
          <w:i/>
        </w:rPr>
        <w:t xml:space="preserve"> </w:t>
      </w:r>
      <w:r w:rsidR="007D4522" w:rsidRPr="005F07B7">
        <w:rPr>
          <w:i/>
        </w:rPr>
        <w:t>a</w:t>
      </w:r>
      <w:r w:rsidRPr="005F07B7">
        <w:rPr>
          <w:i/>
        </w:rPr>
        <w:t xml:space="preserve"> summary of findings from a national survey of students in public universities</w:t>
      </w:r>
      <w:r>
        <w:t xml:space="preserve">, </w:t>
      </w:r>
      <w:r w:rsidR="007D4522">
        <w:t>viewed December 2011, &lt;</w:t>
      </w:r>
      <w:r>
        <w:t>http://www.universitiesaustralia.edu.au/page/submissions---reports/commissioned-s</w:t>
      </w:r>
      <w:r w:rsidR="007D4522">
        <w:t>tudies/student-finances-survey/&gt;.</w:t>
      </w:r>
      <w:r>
        <w:t xml:space="preserve"> </w:t>
      </w:r>
    </w:p>
    <w:p w:rsidR="008332D5" w:rsidRDefault="007D4522" w:rsidP="005F07B7">
      <w:pPr>
        <w:pStyle w:val="References"/>
      </w:pPr>
      <w:r>
        <w:t>Bray, J</w:t>
      </w:r>
      <w:r w:rsidR="008332D5">
        <w:t xml:space="preserve">R 2001, </w:t>
      </w:r>
      <w:r w:rsidR="008332D5" w:rsidRPr="005F07B7">
        <w:rPr>
          <w:i/>
        </w:rPr>
        <w:t xml:space="preserve">Hardship in Australia: an analysis of financial stress indicators in the </w:t>
      </w:r>
      <w:r w:rsidR="005A0523" w:rsidRPr="005F07B7">
        <w:rPr>
          <w:i/>
        </w:rPr>
        <w:t>1998—</w:t>
      </w:r>
      <w:r w:rsidR="008332D5" w:rsidRPr="005F07B7">
        <w:rPr>
          <w:i/>
        </w:rPr>
        <w:t>99 Australian Bureau of Statistics Household Expenditure Survey</w:t>
      </w:r>
      <w:r w:rsidR="005A0523">
        <w:t>, o</w:t>
      </w:r>
      <w:r w:rsidR="008332D5">
        <w:t>ccasional paper no.4, Department of Family and Community Services, Canberra.</w:t>
      </w:r>
    </w:p>
    <w:p w:rsidR="008332D5" w:rsidRDefault="008332D5" w:rsidP="005F07B7">
      <w:pPr>
        <w:pStyle w:val="References"/>
      </w:pPr>
      <w:r>
        <w:t xml:space="preserve">Coates, H &amp; Ransom, L 2011, </w:t>
      </w:r>
      <w:r w:rsidRPr="005F07B7">
        <w:rPr>
          <w:i/>
        </w:rPr>
        <w:t>Dropout DNA and the genetics of effective support</w:t>
      </w:r>
      <w:r>
        <w:t xml:space="preserve">, AUSSE </w:t>
      </w:r>
      <w:r w:rsidR="00DC25C0">
        <w:t>r</w:t>
      </w:r>
      <w:r>
        <w:t>esearch briefings</w:t>
      </w:r>
      <w:r w:rsidR="005A0523">
        <w:t>,</w:t>
      </w:r>
      <w:r>
        <w:t xml:space="preserve"> vol.11, </w:t>
      </w:r>
      <w:r w:rsidR="005A0523">
        <w:t>Australian Council for Educational Research, Melbourne.</w:t>
      </w:r>
    </w:p>
    <w:p w:rsidR="008332D5" w:rsidRDefault="008332D5" w:rsidP="005F07B7">
      <w:pPr>
        <w:pStyle w:val="References"/>
      </w:pPr>
      <w:r>
        <w:t xml:space="preserve">Cobb-Clark, D &amp; </w:t>
      </w:r>
      <w:proofErr w:type="spellStart"/>
      <w:r>
        <w:t>Ribar</w:t>
      </w:r>
      <w:proofErr w:type="spellEnd"/>
      <w:r>
        <w:t xml:space="preserve">, DC 2009, </w:t>
      </w:r>
      <w:proofErr w:type="gramStart"/>
      <w:r w:rsidRPr="005F07B7">
        <w:rPr>
          <w:i/>
        </w:rPr>
        <w:t>Financial</w:t>
      </w:r>
      <w:proofErr w:type="gramEnd"/>
      <w:r w:rsidRPr="005F07B7">
        <w:rPr>
          <w:i/>
        </w:rPr>
        <w:t xml:space="preserve"> stress, family conflict, and youth’s successful transition into adult roles</w:t>
      </w:r>
      <w:r>
        <w:t>, Discussion paper series, Institute for the Study of Labour (IZA), Bonn.</w:t>
      </w:r>
    </w:p>
    <w:p w:rsidR="008332D5" w:rsidRDefault="008332D5" w:rsidP="005F07B7">
      <w:pPr>
        <w:pStyle w:val="References"/>
        <w:rPr>
          <w:lang w:val="en-GB"/>
        </w:rPr>
      </w:pPr>
      <w:r w:rsidRPr="008E4B01">
        <w:rPr>
          <w:lang w:val="en-GB"/>
        </w:rPr>
        <w:t>Devlin</w:t>
      </w:r>
      <w:r w:rsidR="005F07B7">
        <w:rPr>
          <w:lang w:val="en-GB"/>
        </w:rPr>
        <w:t>,</w:t>
      </w:r>
      <w:r w:rsidRPr="008E4B01">
        <w:rPr>
          <w:lang w:val="en-GB"/>
        </w:rPr>
        <w:t xml:space="preserve"> M, James</w:t>
      </w:r>
      <w:r w:rsidR="005F07B7">
        <w:rPr>
          <w:lang w:val="en-GB"/>
        </w:rPr>
        <w:t>,</w:t>
      </w:r>
      <w:r w:rsidRPr="008E4B01">
        <w:rPr>
          <w:lang w:val="en-GB"/>
        </w:rPr>
        <w:t xml:space="preserve"> R </w:t>
      </w:r>
      <w:r w:rsidR="005A0523">
        <w:rPr>
          <w:lang w:val="en-GB"/>
        </w:rPr>
        <w:t>&amp;</w:t>
      </w:r>
      <w:r w:rsidRPr="008E4B01">
        <w:rPr>
          <w:lang w:val="en-GB"/>
        </w:rPr>
        <w:t xml:space="preserve"> </w:t>
      </w:r>
      <w:proofErr w:type="spellStart"/>
      <w:r w:rsidRPr="008E4B01">
        <w:rPr>
          <w:lang w:val="en-GB"/>
        </w:rPr>
        <w:t>Grigg</w:t>
      </w:r>
      <w:proofErr w:type="spellEnd"/>
      <w:r w:rsidR="005A0523">
        <w:rPr>
          <w:lang w:val="en-GB"/>
        </w:rPr>
        <w:t>,</w:t>
      </w:r>
      <w:r w:rsidRPr="008E4B01">
        <w:rPr>
          <w:lang w:val="en-GB"/>
        </w:rPr>
        <w:t xml:space="preserve"> G 2008</w:t>
      </w:r>
      <w:r w:rsidR="005A0523">
        <w:rPr>
          <w:lang w:val="en-GB"/>
        </w:rPr>
        <w:t>,</w:t>
      </w:r>
      <w:r w:rsidRPr="008E4B01">
        <w:rPr>
          <w:lang w:val="en-GB"/>
        </w:rPr>
        <w:t xml:space="preserve"> </w:t>
      </w:r>
      <w:r w:rsidR="005A0523">
        <w:rPr>
          <w:lang w:val="en-GB"/>
        </w:rPr>
        <w:t>‘</w:t>
      </w:r>
      <w:r w:rsidRPr="008E4B01">
        <w:rPr>
          <w:lang w:val="en-GB"/>
        </w:rPr>
        <w:t xml:space="preserve">Studying and </w:t>
      </w:r>
      <w:r w:rsidR="005A0523">
        <w:rPr>
          <w:lang w:val="en-GB"/>
        </w:rPr>
        <w:t>work: a</w:t>
      </w:r>
      <w:r w:rsidRPr="008E4B01">
        <w:rPr>
          <w:lang w:val="en-GB"/>
        </w:rPr>
        <w:t xml:space="preserve"> national study of student finances and student engagement</w:t>
      </w:r>
      <w:r w:rsidR="005A0523">
        <w:rPr>
          <w:lang w:val="en-GB"/>
        </w:rPr>
        <w:t>’</w:t>
      </w:r>
      <w:r w:rsidRPr="008E4B01">
        <w:rPr>
          <w:lang w:val="en-GB"/>
        </w:rPr>
        <w:t xml:space="preserve">, </w:t>
      </w:r>
      <w:r w:rsidR="005A0523" w:rsidRPr="005F07B7">
        <w:rPr>
          <w:i/>
          <w:lang w:val="en-GB"/>
        </w:rPr>
        <w:t>Tertiary Education and M</w:t>
      </w:r>
      <w:r w:rsidRPr="005F07B7">
        <w:rPr>
          <w:i/>
          <w:lang w:val="en-GB"/>
        </w:rPr>
        <w:t>anagement</w:t>
      </w:r>
      <w:r w:rsidRPr="008E4B01">
        <w:rPr>
          <w:lang w:val="en-GB"/>
        </w:rPr>
        <w:t xml:space="preserve">, </w:t>
      </w:r>
      <w:r w:rsidR="005A0523">
        <w:rPr>
          <w:lang w:val="en-GB"/>
        </w:rPr>
        <w:t>vol.14, no.2, pp.111—</w:t>
      </w:r>
      <w:r w:rsidRPr="008E4B01">
        <w:rPr>
          <w:lang w:val="en-GB"/>
        </w:rPr>
        <w:t xml:space="preserve">22. </w:t>
      </w:r>
    </w:p>
    <w:p w:rsidR="00994C56" w:rsidRDefault="00994C56" w:rsidP="005F07B7">
      <w:pPr>
        <w:pStyle w:val="References"/>
        <w:rPr>
          <w:lang w:val="en-GB"/>
        </w:rPr>
      </w:pPr>
      <w:r>
        <w:rPr>
          <w:lang w:val="en-GB"/>
        </w:rPr>
        <w:t xml:space="preserve">James, R, Bexley, E, Devlin, M </w:t>
      </w:r>
      <w:r w:rsidR="005F07B7">
        <w:rPr>
          <w:lang w:val="en-GB"/>
        </w:rPr>
        <w:t>&amp;</w:t>
      </w:r>
      <w:r>
        <w:rPr>
          <w:lang w:val="en-GB"/>
        </w:rPr>
        <w:t xml:space="preserve"> </w:t>
      </w:r>
      <w:proofErr w:type="spellStart"/>
      <w:r>
        <w:rPr>
          <w:lang w:val="en-GB"/>
        </w:rPr>
        <w:t>Marginson</w:t>
      </w:r>
      <w:proofErr w:type="spellEnd"/>
      <w:r>
        <w:rPr>
          <w:lang w:val="en-GB"/>
        </w:rPr>
        <w:t xml:space="preserve">, S 2007, </w:t>
      </w:r>
      <w:r w:rsidRPr="00E93501">
        <w:rPr>
          <w:i/>
          <w:lang w:val="en-GB"/>
        </w:rPr>
        <w:t xml:space="preserve">Australian </w:t>
      </w:r>
      <w:r w:rsidR="00DC25C0" w:rsidRPr="00E93501">
        <w:rPr>
          <w:i/>
          <w:lang w:val="en-GB"/>
        </w:rPr>
        <w:t xml:space="preserve">university student finances: final </w:t>
      </w:r>
      <w:r w:rsidRPr="00E93501">
        <w:rPr>
          <w:i/>
          <w:lang w:val="en-GB"/>
        </w:rPr>
        <w:t>report of students in public universities</w:t>
      </w:r>
      <w:r>
        <w:rPr>
          <w:lang w:val="en-GB"/>
        </w:rPr>
        <w:t xml:space="preserve">, </w:t>
      </w:r>
      <w:r w:rsidRPr="003D4A7C">
        <w:rPr>
          <w:lang w:val="en-GB"/>
        </w:rPr>
        <w:t>Universities Australia, Melbourne.</w:t>
      </w:r>
      <w:r>
        <w:rPr>
          <w:lang w:val="en-GB"/>
        </w:rPr>
        <w:t xml:space="preserve"> </w:t>
      </w:r>
    </w:p>
    <w:p w:rsidR="00F23AB8" w:rsidRPr="00F23AB8" w:rsidRDefault="00F23AB8" w:rsidP="005F07B7">
      <w:pPr>
        <w:pStyle w:val="References"/>
        <w:rPr>
          <w:lang w:val="en-GB"/>
        </w:rPr>
      </w:pPr>
      <w:r w:rsidRPr="00F23AB8">
        <w:rPr>
          <w:lang w:val="en-GB"/>
        </w:rPr>
        <w:t>McMillan, J</w:t>
      </w:r>
      <w:r w:rsidRPr="003D4A7C">
        <w:rPr>
          <w:lang w:val="en-GB"/>
        </w:rPr>
        <w:t xml:space="preserve"> 2011,</w:t>
      </w:r>
      <w:r>
        <w:rPr>
          <w:lang w:val="en-GB"/>
        </w:rPr>
        <w:t xml:space="preserve"> </w:t>
      </w:r>
      <w:r w:rsidR="00E93501">
        <w:rPr>
          <w:lang w:val="en-GB"/>
        </w:rPr>
        <w:t>‘</w:t>
      </w:r>
      <w:r w:rsidRPr="00E93501">
        <w:rPr>
          <w:lang w:val="en-GB"/>
        </w:rPr>
        <w:t xml:space="preserve">Student retention: </w:t>
      </w:r>
      <w:r w:rsidR="00DC25C0" w:rsidRPr="00E93501">
        <w:rPr>
          <w:lang w:val="en-GB"/>
        </w:rPr>
        <w:t>c</w:t>
      </w:r>
      <w:r w:rsidRPr="00E93501">
        <w:rPr>
          <w:lang w:val="en-GB"/>
        </w:rPr>
        <w:t>urrent evidence and insights for improvement</w:t>
      </w:r>
      <w:r w:rsidR="00E93501">
        <w:rPr>
          <w:lang w:val="en-GB"/>
        </w:rPr>
        <w:t>’</w:t>
      </w:r>
      <w:r>
        <w:rPr>
          <w:lang w:val="en-GB"/>
        </w:rPr>
        <w:t xml:space="preserve">, </w:t>
      </w:r>
      <w:r w:rsidRPr="00E93501">
        <w:rPr>
          <w:i/>
          <w:lang w:val="en-GB"/>
        </w:rPr>
        <w:t>Joining the Dots Research Briefing</w:t>
      </w:r>
      <w:r>
        <w:rPr>
          <w:lang w:val="en-GB"/>
        </w:rPr>
        <w:t xml:space="preserve">, </w:t>
      </w:r>
      <w:r w:rsidR="00E93501">
        <w:rPr>
          <w:lang w:val="en-GB"/>
        </w:rPr>
        <w:t>v</w:t>
      </w:r>
      <w:r>
        <w:rPr>
          <w:lang w:val="en-GB"/>
        </w:rPr>
        <w:t>ol</w:t>
      </w:r>
      <w:r w:rsidR="00E93501">
        <w:rPr>
          <w:lang w:val="en-GB"/>
        </w:rPr>
        <w:t>.</w:t>
      </w:r>
      <w:r>
        <w:rPr>
          <w:lang w:val="en-GB"/>
        </w:rPr>
        <w:t xml:space="preserve">1, </w:t>
      </w:r>
      <w:r w:rsidR="00E93501">
        <w:rPr>
          <w:lang w:val="en-GB"/>
        </w:rPr>
        <w:t>n</w:t>
      </w:r>
      <w:r>
        <w:rPr>
          <w:lang w:val="en-GB"/>
        </w:rPr>
        <w:t>o.6, October, 2011</w:t>
      </w:r>
      <w:r w:rsidR="00E93501">
        <w:rPr>
          <w:lang w:val="en-GB"/>
        </w:rPr>
        <w:t>,</w:t>
      </w:r>
      <w:r>
        <w:rPr>
          <w:lang w:val="en-GB"/>
        </w:rPr>
        <w:t xml:space="preserve"> Australian Council for Educational Research, Melbourne.</w:t>
      </w:r>
    </w:p>
    <w:p w:rsidR="008332D5" w:rsidRDefault="008332D5" w:rsidP="005F07B7">
      <w:pPr>
        <w:pStyle w:val="References"/>
      </w:pPr>
      <w:proofErr w:type="spellStart"/>
      <w:proofErr w:type="gramStart"/>
      <w:r>
        <w:t>Polidano</w:t>
      </w:r>
      <w:proofErr w:type="spellEnd"/>
      <w:r>
        <w:t xml:space="preserve">, C &amp; </w:t>
      </w:r>
      <w:proofErr w:type="spellStart"/>
      <w:r>
        <w:t>Zakirova</w:t>
      </w:r>
      <w:proofErr w:type="spellEnd"/>
      <w:r>
        <w:t xml:space="preserve">, R 2011, </w:t>
      </w:r>
      <w:r w:rsidRPr="00E93501">
        <w:rPr>
          <w:i/>
        </w:rPr>
        <w:t>Outcomes from combining work and tertiary study</w:t>
      </w:r>
      <w:r>
        <w:t>, NCVER, Adelaide.</w:t>
      </w:r>
      <w:proofErr w:type="gramEnd"/>
      <w:r>
        <w:t xml:space="preserve"> </w:t>
      </w:r>
    </w:p>
    <w:p w:rsidR="008332D5" w:rsidRDefault="008332D5" w:rsidP="005F07B7">
      <w:pPr>
        <w:pStyle w:val="References"/>
      </w:pPr>
      <w:proofErr w:type="gramStart"/>
      <w:r>
        <w:t xml:space="preserve">Ryan, C 2013, </w:t>
      </w:r>
      <w:r w:rsidRPr="00E93501">
        <w:rPr>
          <w:i/>
        </w:rPr>
        <w:t>Student income support and education and training participation in Australia</w:t>
      </w:r>
      <w:r>
        <w:t>, NCVER, Adelaide.</w:t>
      </w:r>
      <w:proofErr w:type="gramEnd"/>
    </w:p>
    <w:p w:rsidR="008332D5" w:rsidRDefault="008332D5" w:rsidP="005F07B7">
      <w:pPr>
        <w:pStyle w:val="References"/>
      </w:pPr>
      <w:r>
        <w:t xml:space="preserve">Taylor, J, </w:t>
      </w:r>
      <w:proofErr w:type="spellStart"/>
      <w:r>
        <w:t>Borlagdan</w:t>
      </w:r>
      <w:proofErr w:type="spellEnd"/>
      <w:r>
        <w:t xml:space="preserve">, J &amp; Allan, M 2012, </w:t>
      </w:r>
      <w:r w:rsidRPr="00E93501">
        <w:rPr>
          <w:i/>
        </w:rPr>
        <w:t xml:space="preserve">Turning 21: </w:t>
      </w:r>
      <w:r w:rsidR="00E93501">
        <w:rPr>
          <w:i/>
        </w:rPr>
        <w:t>l</w:t>
      </w:r>
      <w:r w:rsidRPr="00E93501">
        <w:rPr>
          <w:i/>
        </w:rPr>
        <w:t>ife chances and uncertain transitions</w:t>
      </w:r>
      <w:r>
        <w:t xml:space="preserve">, Life Chances Study stage 10, Brotherhood of St Laurence, Melbourne. </w:t>
      </w:r>
    </w:p>
    <w:p w:rsidR="008332D5" w:rsidRDefault="008332D5" w:rsidP="005F07B7">
      <w:pPr>
        <w:pStyle w:val="References"/>
      </w:pPr>
      <w:r>
        <w:t xml:space="preserve">Universities Australia 2013, </w:t>
      </w:r>
      <w:r w:rsidRPr="00E93501">
        <w:rPr>
          <w:i/>
        </w:rPr>
        <w:t xml:space="preserve">University student finances in 2012: </w:t>
      </w:r>
      <w:r w:rsidR="00E93501" w:rsidRPr="00E93501">
        <w:rPr>
          <w:i/>
        </w:rPr>
        <w:t>a</w:t>
      </w:r>
      <w:r w:rsidRPr="00E93501">
        <w:rPr>
          <w:i/>
        </w:rPr>
        <w:t xml:space="preserve"> study of financial circumstances of domestic and international students in Australia’s universities</w:t>
      </w:r>
      <w:r>
        <w:t xml:space="preserve">, Centre for the Study of Higher Education, University of Melbourne. </w:t>
      </w:r>
    </w:p>
    <w:p w:rsidR="008332D5" w:rsidRDefault="008332D5" w:rsidP="005F07B7">
      <w:pPr>
        <w:pStyle w:val="References"/>
      </w:pPr>
      <w:r>
        <w:t xml:space="preserve">Vickers, M, Lamb, S &amp; </w:t>
      </w:r>
      <w:proofErr w:type="spellStart"/>
      <w:r>
        <w:t>Hinkley</w:t>
      </w:r>
      <w:proofErr w:type="spellEnd"/>
      <w:r w:rsidR="00E93501">
        <w:t>,</w:t>
      </w:r>
      <w:r>
        <w:t xml:space="preserve"> </w:t>
      </w:r>
      <w:proofErr w:type="gramStart"/>
      <w:r>
        <w:t>J</w:t>
      </w:r>
      <w:proofErr w:type="gramEnd"/>
      <w:r>
        <w:t xml:space="preserve"> 2003, </w:t>
      </w:r>
      <w:r w:rsidRPr="00E93501">
        <w:rPr>
          <w:i/>
        </w:rPr>
        <w:t>Student workers in high school and beyond: the effects of part-time employment on participation in education, work and training</w:t>
      </w:r>
      <w:r>
        <w:t xml:space="preserve">, LSAY </w:t>
      </w:r>
      <w:r w:rsidR="005A0523">
        <w:t xml:space="preserve">research report </w:t>
      </w:r>
      <w:r>
        <w:t xml:space="preserve">30, </w:t>
      </w:r>
      <w:r w:rsidR="005A0523">
        <w:t>Australian Council for Educational Research</w:t>
      </w:r>
      <w:r>
        <w:t>, Melbourne.</w:t>
      </w:r>
    </w:p>
    <w:p w:rsidR="008332D5" w:rsidRDefault="008332D5" w:rsidP="008332D5">
      <w:pPr>
        <w:pStyle w:val="References"/>
      </w:pPr>
    </w:p>
    <w:p w:rsidR="008332D5" w:rsidRDefault="008332D5" w:rsidP="008332D5">
      <w:pPr>
        <w:spacing w:before="0" w:line="240" w:lineRule="auto"/>
        <w:rPr>
          <w:sz w:val="18"/>
        </w:rPr>
      </w:pPr>
      <w:r>
        <w:br w:type="page"/>
      </w:r>
    </w:p>
    <w:p w:rsidR="008332D5" w:rsidRDefault="008332D5" w:rsidP="00A45BB3">
      <w:pPr>
        <w:pStyle w:val="Heading1"/>
      </w:pPr>
      <w:bookmarkStart w:id="48" w:name="_Toc388884893"/>
      <w:r>
        <w:t>Appendix</w:t>
      </w:r>
      <w:r w:rsidR="00CE2F4C">
        <w:t xml:space="preserve"> A:</w:t>
      </w:r>
      <w:r w:rsidR="005A0523">
        <w:t xml:space="preserve"> </w:t>
      </w:r>
      <w:r>
        <w:t>Interview Discussion Guide</w:t>
      </w:r>
      <w:bookmarkEnd w:id="48"/>
      <w:r>
        <w:t xml:space="preserve"> </w:t>
      </w:r>
    </w:p>
    <w:p w:rsidR="008332D5" w:rsidRDefault="008332D5" w:rsidP="002223E1">
      <w:pPr>
        <w:pStyle w:val="Heading5"/>
        <w:tabs>
          <w:tab w:val="left" w:pos="284"/>
        </w:tabs>
      </w:pPr>
      <w:r>
        <w:t>1.</w:t>
      </w:r>
      <w:r w:rsidR="002223E1">
        <w:tab/>
      </w:r>
      <w:r>
        <w:t xml:space="preserve">Living with parents/independently: </w:t>
      </w:r>
    </w:p>
    <w:p w:rsidR="008332D5" w:rsidRDefault="008332D5" w:rsidP="002223E1">
      <w:pPr>
        <w:pStyle w:val="Text"/>
        <w:ind w:left="851" w:right="0" w:hanging="567"/>
      </w:pPr>
      <w:r>
        <w:t>1.1.</w:t>
      </w:r>
      <w:r w:rsidR="002223E1">
        <w:tab/>
      </w:r>
      <w:r>
        <w:t xml:space="preserve">In your LSAY interview we have it recorded that you &lt;were/were not&gt; living with your parents. </w:t>
      </w:r>
      <w:r w:rsidR="002223E1">
        <w:br/>
      </w:r>
      <w:r>
        <w:t xml:space="preserve">What are the main reasons for &lt;living/not living&gt; with your parents? PROBE FULLY </w:t>
      </w:r>
    </w:p>
    <w:p w:rsidR="008332D5" w:rsidRDefault="008332D5" w:rsidP="002223E1">
      <w:pPr>
        <w:pStyle w:val="Text"/>
        <w:ind w:left="851" w:right="0" w:hanging="567"/>
      </w:pPr>
      <w:r>
        <w:t>1.2.</w:t>
      </w:r>
      <w:r w:rsidR="002223E1">
        <w:tab/>
      </w:r>
      <w:r>
        <w:t>Has your living situation changed since your last intervie</w:t>
      </w:r>
      <w:r w:rsidR="005A0523">
        <w:t>w? Have you moved out of home/</w:t>
      </w:r>
      <w:r>
        <w:t xml:space="preserve">back home, or made any other major change to your living arrangements? What were the main reasons for this change? </w:t>
      </w:r>
    </w:p>
    <w:p w:rsidR="008332D5" w:rsidRDefault="008332D5" w:rsidP="002223E1">
      <w:pPr>
        <w:pStyle w:val="Text"/>
        <w:ind w:left="851" w:right="0" w:hanging="567"/>
      </w:pPr>
      <w:r>
        <w:t>1.3.</w:t>
      </w:r>
      <w:r w:rsidR="002223E1">
        <w:tab/>
      </w:r>
      <w:r>
        <w:t xml:space="preserve">What sort of support do your parents give you? Does this include financial support? In what ways do they help you financially? </w:t>
      </w:r>
    </w:p>
    <w:p w:rsidR="008332D5" w:rsidRDefault="008332D5" w:rsidP="002223E1">
      <w:pPr>
        <w:pStyle w:val="Text"/>
        <w:ind w:left="851" w:right="0" w:hanging="567"/>
      </w:pPr>
      <w:r>
        <w:t>1.4.</w:t>
      </w:r>
      <w:r w:rsidR="002223E1">
        <w:tab/>
      </w:r>
      <w:r>
        <w:t>What other types of support do you get for your study, eith</w:t>
      </w:r>
      <w:r w:rsidR="005A0523">
        <w:t>er financial or other support? PROBE FULLY,</w:t>
      </w:r>
      <w:r>
        <w:t xml:space="preserve"> particularly for support other than Youth Allowance </w:t>
      </w:r>
    </w:p>
    <w:p w:rsidR="008332D5" w:rsidRDefault="008332D5" w:rsidP="002223E1">
      <w:pPr>
        <w:pStyle w:val="Heading5"/>
        <w:tabs>
          <w:tab w:val="left" w:pos="284"/>
        </w:tabs>
      </w:pPr>
      <w:r>
        <w:t>2.</w:t>
      </w:r>
      <w:r w:rsidR="002223E1">
        <w:tab/>
      </w:r>
      <w:r>
        <w:t xml:space="preserve">Studying </w:t>
      </w:r>
    </w:p>
    <w:p w:rsidR="008332D5" w:rsidRDefault="008332D5" w:rsidP="002223E1">
      <w:pPr>
        <w:pStyle w:val="Text"/>
        <w:ind w:left="851" w:right="0" w:hanging="567"/>
      </w:pPr>
      <w:r>
        <w:t>2.1.</w:t>
      </w:r>
      <w:r w:rsidR="002223E1">
        <w:tab/>
      </w:r>
      <w:r>
        <w:t>When you did your LSAY interview on &lt;DATE&gt; you said you were doing &lt;bachelor degree/diploma/certificate&gt; studies. Are you still doing that study, or it is complete now? Are/Were you doing it</w:t>
      </w:r>
      <w:r w:rsidR="005A0523">
        <w:t xml:space="preserve"> full-time or part-time? If PT,</w:t>
      </w:r>
      <w:r>
        <w:t xml:space="preserve"> What sorts of things</w:t>
      </w:r>
      <w:r w:rsidR="005A0523">
        <w:t xml:space="preserve"> made you decide to study part-time rather than full-</w:t>
      </w:r>
      <w:r>
        <w:t xml:space="preserve">time? </w:t>
      </w:r>
    </w:p>
    <w:p w:rsidR="008332D5" w:rsidRDefault="008332D5" w:rsidP="002223E1">
      <w:pPr>
        <w:pStyle w:val="Text"/>
        <w:ind w:left="851" w:right="0" w:hanging="567"/>
      </w:pPr>
      <w:r>
        <w:t>2.2.</w:t>
      </w:r>
      <w:r w:rsidR="002223E1">
        <w:tab/>
      </w:r>
      <w:r>
        <w:t xml:space="preserve">Study decisions: Have you thought about changing mode of study? </w:t>
      </w:r>
      <w:r w:rsidR="002223E1">
        <w:br/>
      </w:r>
      <w:r w:rsidR="005A0523">
        <w:t xml:space="preserve">From FT to PT (or vice </w:t>
      </w:r>
      <w:r>
        <w:t xml:space="preserve">versa), Doing </w:t>
      </w:r>
      <w:r w:rsidR="005A0523">
        <w:t xml:space="preserve">it online or on-campus (or vice </w:t>
      </w:r>
      <w:r>
        <w:t xml:space="preserve">versa)? </w:t>
      </w:r>
    </w:p>
    <w:p w:rsidR="008332D5" w:rsidRDefault="008332D5" w:rsidP="002223E1">
      <w:pPr>
        <w:pStyle w:val="Text"/>
        <w:ind w:left="851" w:right="0" w:hanging="567"/>
      </w:pPr>
      <w:r>
        <w:t>2.3.</w:t>
      </w:r>
      <w:r w:rsidR="002223E1">
        <w:tab/>
      </w:r>
      <w:r>
        <w:t xml:space="preserve">Reasons why you would change mode of study? </w:t>
      </w:r>
    </w:p>
    <w:p w:rsidR="008332D5" w:rsidRDefault="008332D5" w:rsidP="002223E1">
      <w:pPr>
        <w:pStyle w:val="Text"/>
        <w:ind w:left="851" w:right="0" w:hanging="567"/>
      </w:pPr>
      <w:r>
        <w:t>2.4.</w:t>
      </w:r>
      <w:r w:rsidR="002223E1">
        <w:tab/>
      </w:r>
      <w:r>
        <w:t xml:space="preserve">Have you considered withdrawing or deferring your course? </w:t>
      </w:r>
      <w:proofErr w:type="gramStart"/>
      <w:r>
        <w:t>If so, why?</w:t>
      </w:r>
      <w:proofErr w:type="gramEnd"/>
      <w:r>
        <w:t xml:space="preserve"> </w:t>
      </w:r>
    </w:p>
    <w:p w:rsidR="008332D5" w:rsidRDefault="008332D5" w:rsidP="002223E1">
      <w:pPr>
        <w:pStyle w:val="Heading5"/>
        <w:tabs>
          <w:tab w:val="left" w:pos="284"/>
        </w:tabs>
      </w:pPr>
      <w:r>
        <w:t>3.</w:t>
      </w:r>
      <w:r w:rsidR="002223E1">
        <w:tab/>
      </w:r>
      <w:r>
        <w:t xml:space="preserve">Quality and experience of tertiary study </w:t>
      </w:r>
    </w:p>
    <w:p w:rsidR="008332D5" w:rsidRDefault="008332D5" w:rsidP="002223E1">
      <w:pPr>
        <w:pStyle w:val="Text"/>
        <w:ind w:left="851" w:right="0" w:hanging="567"/>
      </w:pPr>
      <w:r>
        <w:t>3.1.</w:t>
      </w:r>
      <w:r w:rsidR="002223E1">
        <w:tab/>
      </w:r>
      <w:r>
        <w:t xml:space="preserve">In your current situation do you feel you generally have adequate time for study? By that I mean: </w:t>
      </w:r>
      <w:r w:rsidR="00900541">
        <w:br/>
      </w:r>
      <w:r>
        <w:t xml:space="preserve">(PROBE) Time to attend lectures, time to participate in tutorials, time to do assignments, time for preparing for exams, time to engage with material, time to interact with lecturers/staff? </w:t>
      </w:r>
    </w:p>
    <w:p w:rsidR="008332D5" w:rsidRDefault="008332D5" w:rsidP="002223E1">
      <w:pPr>
        <w:pStyle w:val="Text"/>
        <w:ind w:left="851" w:right="0" w:hanging="567"/>
      </w:pPr>
      <w:r>
        <w:t>3.2.</w:t>
      </w:r>
      <w:r w:rsidR="002223E1">
        <w:tab/>
      </w:r>
      <w:r>
        <w:t>Fo</w:t>
      </w:r>
      <w:r w:rsidR="005A0523">
        <w:t>r those who have adequate time — ask —</w:t>
      </w:r>
      <w:r w:rsidR="00C153EE">
        <w:t xml:space="preserve"> w</w:t>
      </w:r>
      <w:r>
        <w:t xml:space="preserve">hat things do you think make your time management so successful? </w:t>
      </w:r>
    </w:p>
    <w:p w:rsidR="008332D5" w:rsidRDefault="008332D5" w:rsidP="002223E1">
      <w:pPr>
        <w:pStyle w:val="Text"/>
        <w:ind w:left="851" w:right="0" w:hanging="567"/>
      </w:pPr>
      <w:r>
        <w:t>3.3.</w:t>
      </w:r>
      <w:r w:rsidR="002223E1">
        <w:tab/>
      </w:r>
      <w:r>
        <w:t>For those</w:t>
      </w:r>
      <w:r w:rsidR="005A0523">
        <w:t xml:space="preserve"> who do not have adequate time —</w:t>
      </w:r>
      <w:r>
        <w:t xml:space="preserve"> why do you feel you don’t have adequate time for study or that you may be missing out on study commitments? </w:t>
      </w:r>
    </w:p>
    <w:p w:rsidR="00875E0E" w:rsidRDefault="00875E0E">
      <w:pPr>
        <w:spacing w:before="0" w:after="200" w:line="276" w:lineRule="auto"/>
        <w:rPr>
          <w:rFonts w:ascii="Tahoma" w:hAnsi="Tahoma"/>
          <w:b/>
        </w:rPr>
      </w:pPr>
      <w:r>
        <w:br w:type="page"/>
      </w:r>
    </w:p>
    <w:p w:rsidR="008332D5" w:rsidRDefault="008332D5" w:rsidP="002223E1">
      <w:pPr>
        <w:pStyle w:val="Heading5"/>
        <w:tabs>
          <w:tab w:val="left" w:pos="284"/>
        </w:tabs>
      </w:pPr>
      <w:r>
        <w:t>4.</w:t>
      </w:r>
      <w:r w:rsidR="002223E1">
        <w:tab/>
      </w:r>
      <w:r>
        <w:t xml:space="preserve">Work </w:t>
      </w:r>
    </w:p>
    <w:p w:rsidR="008332D5" w:rsidRDefault="008332D5" w:rsidP="002223E1">
      <w:pPr>
        <w:pStyle w:val="Text"/>
        <w:ind w:left="851" w:right="0" w:hanging="567"/>
      </w:pPr>
      <w:r>
        <w:t>4.1.</w:t>
      </w:r>
      <w:r w:rsidR="002223E1">
        <w:tab/>
      </w:r>
      <w:r>
        <w:t xml:space="preserve">In your LSAY interview you reported that you were working. What are your main reasons for combining work and study? </w:t>
      </w:r>
    </w:p>
    <w:p w:rsidR="008332D5" w:rsidRDefault="008332D5" w:rsidP="002223E1">
      <w:pPr>
        <w:pStyle w:val="Text"/>
        <w:ind w:left="851" w:right="0" w:hanging="567"/>
      </w:pPr>
      <w:r>
        <w:t>4.2.</w:t>
      </w:r>
      <w:r w:rsidR="00900541">
        <w:tab/>
      </w:r>
      <w:r>
        <w:t xml:space="preserve">In your LSAY interview you reported that you were not working. What are the main reasons for not working while studying? </w:t>
      </w:r>
    </w:p>
    <w:p w:rsidR="008332D5" w:rsidRDefault="008332D5" w:rsidP="00900541">
      <w:pPr>
        <w:pStyle w:val="Heading5"/>
        <w:tabs>
          <w:tab w:val="left" w:pos="284"/>
        </w:tabs>
      </w:pPr>
      <w:r>
        <w:t>5.</w:t>
      </w:r>
      <w:r w:rsidR="00900541">
        <w:tab/>
      </w:r>
      <w:r>
        <w:t xml:space="preserve">Other financial support: </w:t>
      </w:r>
    </w:p>
    <w:p w:rsidR="008332D5" w:rsidRDefault="008332D5" w:rsidP="002223E1">
      <w:pPr>
        <w:pStyle w:val="Text"/>
        <w:ind w:left="851" w:right="0" w:hanging="567"/>
      </w:pPr>
      <w:r>
        <w:t>5.1.</w:t>
      </w:r>
      <w:r w:rsidR="00900541">
        <w:tab/>
      </w:r>
      <w:r>
        <w:t xml:space="preserve">Do you receive any other form of financial support such as from University/TAFE/Employer or any other organisation? By this we do not mean </w:t>
      </w:r>
      <w:proofErr w:type="spellStart"/>
      <w:r>
        <w:t>Austudy</w:t>
      </w:r>
      <w:proofErr w:type="spellEnd"/>
      <w:r>
        <w:t xml:space="preserve"> or Youth Allowance but other things like scholarships,</w:t>
      </w:r>
      <w:r w:rsidR="00C153EE">
        <w:t xml:space="preserve"> study leave, university loans —</w:t>
      </w:r>
      <w:r>
        <w:t xml:space="preserve"> any financial help at all that makes it easier for you to continue with your studies. </w:t>
      </w:r>
    </w:p>
    <w:p w:rsidR="008332D5" w:rsidRDefault="008332D5" w:rsidP="002223E1">
      <w:pPr>
        <w:pStyle w:val="Text"/>
        <w:ind w:left="851" w:right="0" w:hanging="567"/>
      </w:pPr>
      <w:r>
        <w:t>5.2.</w:t>
      </w:r>
      <w:r w:rsidR="00900541">
        <w:tab/>
      </w:r>
      <w:r>
        <w:t xml:space="preserve">How is this provided? For example, was it a ‘one-off’ point of help or is it something that happens regularly? </w:t>
      </w:r>
    </w:p>
    <w:p w:rsidR="008332D5" w:rsidRDefault="008332D5" w:rsidP="002223E1">
      <w:pPr>
        <w:pStyle w:val="Text"/>
        <w:ind w:left="851" w:right="0" w:hanging="567"/>
      </w:pPr>
      <w:r>
        <w:t>5.3.</w:t>
      </w:r>
      <w:r w:rsidR="00900541">
        <w:tab/>
      </w:r>
      <w:r>
        <w:t xml:space="preserve">What sorts of things do these forms of assistance allow you to do that you may not have been able to do without them? </w:t>
      </w:r>
    </w:p>
    <w:p w:rsidR="008332D5" w:rsidRDefault="008332D5" w:rsidP="002223E1">
      <w:pPr>
        <w:pStyle w:val="Text"/>
        <w:ind w:left="851" w:right="0" w:hanging="567"/>
      </w:pPr>
      <w:r>
        <w:t>5.4.</w:t>
      </w:r>
      <w:r w:rsidR="00900541">
        <w:tab/>
      </w:r>
      <w:r>
        <w:t xml:space="preserve">What are the three largest expenses for you in 2012 (Rent/board, car and other transport costs, study costs, work costs, food, clothes, entertainment, phone, holiday/travel, childcare, other)? </w:t>
      </w:r>
    </w:p>
    <w:p w:rsidR="008332D5" w:rsidRDefault="008332D5" w:rsidP="002223E1">
      <w:pPr>
        <w:pStyle w:val="Text"/>
        <w:ind w:left="851" w:right="0" w:hanging="567"/>
      </w:pPr>
      <w:r>
        <w:t>5.5.</w:t>
      </w:r>
      <w:r w:rsidR="00900541">
        <w:tab/>
      </w:r>
      <w:r>
        <w:t xml:space="preserve">During your interview you indicated that you have difficulty managing financially, what are the main reasons for reporting this? </w:t>
      </w:r>
    </w:p>
    <w:p w:rsidR="008332D5" w:rsidRDefault="008332D5" w:rsidP="00900541">
      <w:pPr>
        <w:pStyle w:val="Heading5"/>
        <w:tabs>
          <w:tab w:val="left" w:pos="284"/>
        </w:tabs>
      </w:pPr>
      <w:r>
        <w:t>6.</w:t>
      </w:r>
      <w:r w:rsidR="00900541">
        <w:tab/>
      </w:r>
      <w:r>
        <w:t xml:space="preserve">Study and </w:t>
      </w:r>
      <w:r w:rsidR="00C153EE">
        <w:t xml:space="preserve">finance impacts </w:t>
      </w:r>
    </w:p>
    <w:p w:rsidR="008332D5" w:rsidRDefault="008332D5" w:rsidP="002223E1">
      <w:pPr>
        <w:pStyle w:val="Text"/>
        <w:ind w:left="851" w:right="0" w:hanging="567"/>
      </w:pPr>
      <w:r>
        <w:t>6.1.</w:t>
      </w:r>
      <w:r w:rsidR="00900541">
        <w:tab/>
      </w:r>
      <w:r>
        <w:t xml:space="preserve">What impacts do your financial difficulties have on your tertiary study? </w:t>
      </w:r>
    </w:p>
    <w:p w:rsidR="008332D5" w:rsidRDefault="008332D5" w:rsidP="002223E1">
      <w:pPr>
        <w:pStyle w:val="Text"/>
        <w:ind w:left="851" w:right="0" w:hanging="567"/>
      </w:pPr>
      <w:r>
        <w:t>6.2.</w:t>
      </w:r>
      <w:r w:rsidR="00900541">
        <w:tab/>
      </w:r>
      <w:r>
        <w:t xml:space="preserve">Study outcomes: &lt;Are you/were you&gt; satisfied with the progress you &lt;are making/made&gt; in your course? </w:t>
      </w:r>
      <w:r w:rsidR="00900541">
        <w:br/>
      </w:r>
      <w:r>
        <w:t xml:space="preserve">Getting the grades you </w:t>
      </w:r>
      <w:proofErr w:type="gramStart"/>
      <w:r>
        <w:t>were</w:t>
      </w:r>
      <w:proofErr w:type="gramEnd"/>
      <w:r>
        <w:t xml:space="preserve"> expecting, passing subjects/no need to repeat subjects? </w:t>
      </w:r>
      <w:r w:rsidR="00900541">
        <w:br/>
      </w:r>
      <w:r>
        <w:t xml:space="preserve">Reasons why not satisfied with study progress? </w:t>
      </w:r>
    </w:p>
    <w:p w:rsidR="008332D5" w:rsidRDefault="00C153EE" w:rsidP="008332D5">
      <w:pPr>
        <w:pStyle w:val="Heading5"/>
      </w:pPr>
      <w:r>
        <w:t>7. Closing q</w:t>
      </w:r>
      <w:r w:rsidR="008332D5">
        <w:t xml:space="preserve">uestion: </w:t>
      </w:r>
    </w:p>
    <w:p w:rsidR="008332D5" w:rsidRDefault="008332D5" w:rsidP="002223E1">
      <w:pPr>
        <w:pStyle w:val="Text"/>
        <w:ind w:left="851" w:right="0" w:hanging="567"/>
      </w:pPr>
      <w:r>
        <w:t>7.1.</w:t>
      </w:r>
      <w:r w:rsidR="00900541">
        <w:tab/>
      </w:r>
      <w:r>
        <w:t xml:space="preserve">Can you think of any other impacts your financial situation has on your living arrangements, your work, study or any other parts of your life. </w:t>
      </w:r>
    </w:p>
    <w:sectPr w:rsidR="008332D5" w:rsidSect="00BC4A17">
      <w:footerReference w:type="even" r:id="rId30"/>
      <w:footerReference w:type="default" r:id="rId31"/>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D4" w:rsidRDefault="003A4DD4" w:rsidP="008332D5">
      <w:pPr>
        <w:spacing w:before="0" w:line="240" w:lineRule="auto"/>
      </w:pPr>
      <w:r>
        <w:separator/>
      </w:r>
    </w:p>
  </w:endnote>
  <w:endnote w:type="continuationSeparator" w:id="0">
    <w:p w:rsidR="003A4DD4" w:rsidRDefault="003A4DD4" w:rsidP="008332D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vant Garde">
    <w:altName w:val="Century Gothic"/>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D4" w:rsidRPr="008C0A74" w:rsidRDefault="003A4DD4" w:rsidP="002F38DC">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60288" behindDoc="1" locked="0" layoutInCell="1" allowOverlap="1" wp14:anchorId="214D3A4D" wp14:editId="2AC26C72">
              <wp:simplePos x="0" y="0"/>
              <wp:positionH relativeFrom="column">
                <wp:posOffset>-1080135</wp:posOffset>
              </wp:positionH>
              <wp:positionV relativeFrom="paragraph">
                <wp:posOffset>-31115</wp:posOffset>
              </wp:positionV>
              <wp:extent cx="1257300" cy="238125"/>
              <wp:effectExtent l="0" t="0" r="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5.05pt;margin-top:-2.45pt;width:99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BD39DF">
      <w:rPr>
        <w:b/>
        <w:noProof/>
        <w:color w:val="FFFFFF" w:themeColor="background1"/>
      </w:rPr>
      <w:t>30</w:t>
    </w:r>
    <w:r w:rsidRPr="008C0A74">
      <w:rPr>
        <w:b/>
        <w:color w:val="FFFFFF" w:themeColor="background1"/>
      </w:rPr>
      <w:fldChar w:fldCharType="end"/>
    </w:r>
    <w:r w:rsidRPr="008C0A74">
      <w:rPr>
        <w:b/>
        <w:color w:val="FFFFFF" w:themeColor="background1"/>
      </w:rPr>
      <w:tab/>
    </w:r>
    <w:r>
      <w:rPr>
        <w:b/>
      </w:rPr>
      <w:t>Does financial stress impact on young people in tertiary study?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D4" w:rsidRPr="009775C7" w:rsidRDefault="003A4DD4" w:rsidP="002F38DC">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61312" behindDoc="1" locked="0" layoutInCell="1" allowOverlap="1" wp14:anchorId="366A81E9" wp14:editId="2F069E30">
              <wp:simplePos x="0" y="0"/>
              <wp:positionH relativeFrom="column">
                <wp:posOffset>5405120</wp:posOffset>
              </wp:positionH>
              <wp:positionV relativeFrom="paragraph">
                <wp:posOffset>-31115</wp:posOffset>
              </wp:positionV>
              <wp:extent cx="1257300" cy="2381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5.6pt;margin-top:-2.45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eo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y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OcUnqJcCAABoBQAADgAAAAAAAAAAAAAAAAAuAgAAZHJzL2Uy&#10;b0RvYy54bWxQSwECLQAUAAYACAAAACEAwReIFeIAAAAKAQAADwAAAAAAAAAAAAAAAADxBAAAZHJz&#10;L2Rvd25yZXYueG1sUEsFBgAAAAAEAAQA8wAAAAAGAAAAAA==&#10;" fillcolor="black [3213]" stroked="f" strokecolor="#bfbfbf [2412]"/>
          </w:pict>
        </mc:Fallback>
      </mc:AlternateContent>
    </w:r>
    <w:r w:rsidRPr="009775C7">
      <w:rPr>
        <w:b/>
      </w:rPr>
      <w:t>NCVER</w:t>
    </w:r>
    <w:r w:rsidRPr="009775C7">
      <w:tab/>
    </w:r>
    <w:r w:rsidRPr="009775C7">
      <w:rPr>
        <w:rStyle w:val="PageNumber"/>
        <w:b/>
        <w:color w:val="FFFFFF" w:themeColor="background1"/>
        <w:sz w:val="17"/>
      </w:rPr>
      <w:fldChar w:fldCharType="begin"/>
    </w:r>
    <w:r w:rsidRPr="009775C7">
      <w:rPr>
        <w:rStyle w:val="PageNumber"/>
        <w:b/>
        <w:color w:val="FFFFFF" w:themeColor="background1"/>
        <w:sz w:val="17"/>
      </w:rPr>
      <w:instrText xml:space="preserve"> PAGE </w:instrText>
    </w:r>
    <w:r w:rsidRPr="009775C7">
      <w:rPr>
        <w:rStyle w:val="PageNumber"/>
        <w:b/>
        <w:color w:val="FFFFFF" w:themeColor="background1"/>
        <w:sz w:val="17"/>
      </w:rPr>
      <w:fldChar w:fldCharType="separate"/>
    </w:r>
    <w:r w:rsidR="00BD39DF">
      <w:rPr>
        <w:rStyle w:val="PageNumber"/>
        <w:b/>
        <w:noProof/>
        <w:color w:val="FFFFFF" w:themeColor="background1"/>
        <w:sz w:val="17"/>
      </w:rPr>
      <w:t>29</w:t>
    </w:r>
    <w:r w:rsidRPr="009775C7">
      <w:rPr>
        <w:rStyle w:val="PageNumber"/>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D4" w:rsidRDefault="003A4DD4" w:rsidP="008332D5">
      <w:pPr>
        <w:spacing w:before="0" w:line="240" w:lineRule="auto"/>
      </w:pPr>
      <w:r>
        <w:separator/>
      </w:r>
    </w:p>
  </w:footnote>
  <w:footnote w:type="continuationSeparator" w:id="0">
    <w:p w:rsidR="003A4DD4" w:rsidRDefault="003A4DD4" w:rsidP="008332D5">
      <w:pPr>
        <w:spacing w:before="0" w:line="240" w:lineRule="auto"/>
      </w:pPr>
      <w:r>
        <w:continuationSeparator/>
      </w:r>
    </w:p>
  </w:footnote>
  <w:footnote w:type="continuationNotice" w:id="1">
    <w:p w:rsidR="003A4DD4" w:rsidRDefault="003A4DD4">
      <w:pPr>
        <w:spacing w:before="0" w:line="240" w:lineRule="auto"/>
      </w:pPr>
    </w:p>
  </w:footnote>
  <w:footnote w:id="2">
    <w:p w:rsidR="003A4DD4" w:rsidRDefault="003A4DD4">
      <w:pPr>
        <w:pStyle w:val="FootnoteText"/>
      </w:pPr>
      <w:r>
        <w:rPr>
          <w:rStyle w:val="FootnoteReference"/>
        </w:rPr>
        <w:footnoteRef/>
      </w:r>
      <w:r>
        <w:t xml:space="preserve"> </w:t>
      </w:r>
      <w:r>
        <w:tab/>
        <w:t>This definition of financial stress was b</w:t>
      </w:r>
      <w:r w:rsidRPr="00EC20D7">
        <w:t>ased on the A</w:t>
      </w:r>
      <w:r>
        <w:t xml:space="preserve">ustralian </w:t>
      </w:r>
      <w:r w:rsidRPr="00EC20D7">
        <w:t>B</w:t>
      </w:r>
      <w:r>
        <w:t xml:space="preserve">ureau of </w:t>
      </w:r>
      <w:r w:rsidRPr="00EC20D7">
        <w:t>S</w:t>
      </w:r>
      <w:r>
        <w:t>tatistics (ABS)</w:t>
      </w:r>
      <w:r w:rsidRPr="00EC20D7">
        <w:t xml:space="preserve"> Household Expenditure Survey, </w:t>
      </w:r>
      <w:r>
        <w:t xml:space="preserve">whereby </w:t>
      </w:r>
      <w:r w:rsidRPr="00EC20D7">
        <w:t>experiencing two to four instances is categorised as moderate financial stress, while experiencing five or more instances is high financial stress.</w:t>
      </w:r>
    </w:p>
  </w:footnote>
  <w:footnote w:id="3">
    <w:p w:rsidR="003A4DD4" w:rsidRDefault="003A4DD4" w:rsidP="003A4552">
      <w:pPr>
        <w:pStyle w:val="FootnoteText"/>
      </w:pPr>
      <w:r>
        <w:rPr>
          <w:rStyle w:val="FootnoteReference"/>
        </w:rPr>
        <w:footnoteRef/>
      </w:r>
      <w:r>
        <w:t xml:space="preserve"> </w:t>
      </w:r>
      <w:r>
        <w:tab/>
        <w:t xml:space="preserve">Results based on the LSAY Y03 cohort in 2008. </w:t>
      </w:r>
    </w:p>
  </w:footnote>
  <w:footnote w:id="4">
    <w:p w:rsidR="003A4DD4" w:rsidRDefault="003A4DD4" w:rsidP="003A4552">
      <w:pPr>
        <w:pStyle w:val="FootnoteText"/>
      </w:pPr>
      <w:r>
        <w:rPr>
          <w:rStyle w:val="FootnoteReference"/>
        </w:rPr>
        <w:footnoteRef/>
      </w:r>
      <w:r>
        <w:t xml:space="preserve"> </w:t>
      </w:r>
      <w:r>
        <w:tab/>
        <w:t>AUSSE spans Australia and New Zealand and focuses on students in their first and third (later) year of study. The sample includes postgraduate study and a parallel survey of teachers and academic staff (Staff Student Engagement Survey, SSES). The study is linked in formative ways to the American National Survey of Student Engagement (NSSE).</w:t>
      </w:r>
    </w:p>
  </w:footnote>
  <w:footnote w:id="5">
    <w:p w:rsidR="003A4DD4" w:rsidRDefault="003A4DD4" w:rsidP="003A4552">
      <w:pPr>
        <w:pStyle w:val="FootnoteText"/>
      </w:pPr>
      <w:r>
        <w:rPr>
          <w:rStyle w:val="FootnoteReference"/>
        </w:rPr>
        <w:footnoteRef/>
      </w:r>
      <w:r>
        <w:t xml:space="preserve"> </w:t>
      </w:r>
      <w:r>
        <w:tab/>
        <w:t xml:space="preserve">The Life Chances Study is a longitudinal survey initiated by the Brotherhood of St Laurence in 1990 to explore the impacts of family income and associated factors on children over time. It commenced as a study of 167 infants born in inner Melbourne and has followed the families as they have moved elsewhere. The latest stage of the study, stage 10, surveyed 123 young people and their parents to see how they were dealing with the important transitions towards adulthood at age 21 years. </w:t>
      </w:r>
    </w:p>
  </w:footnote>
  <w:footnote w:id="6">
    <w:p w:rsidR="003A4DD4" w:rsidRDefault="003A4DD4" w:rsidP="009B03C4">
      <w:pPr>
        <w:pStyle w:val="FootnoteText"/>
      </w:pPr>
      <w:r>
        <w:rPr>
          <w:rStyle w:val="FootnoteReference"/>
        </w:rPr>
        <w:footnoteRef/>
      </w:r>
      <w:r>
        <w:t xml:space="preserve"> </w:t>
      </w:r>
      <w:r>
        <w:tab/>
        <w:t>Further information on LSAY data can be found on the LSAY website at &lt;</w:t>
      </w:r>
      <w:hyperlink r:id="rId1" w:history="1">
        <w:r w:rsidRPr="00F4708C">
          <w:rPr>
            <w:rStyle w:val="Hyperlink"/>
            <w:sz w:val="16"/>
          </w:rPr>
          <w:t>http://www.lsay.edu.au/data/index.html</w:t>
        </w:r>
      </w:hyperlink>
      <w:r>
        <w:t>&gt;.</w:t>
      </w:r>
    </w:p>
  </w:footnote>
  <w:footnote w:id="7">
    <w:p w:rsidR="003A4DD4" w:rsidRPr="00DE3303" w:rsidRDefault="003A4DD4" w:rsidP="00DE3303">
      <w:pPr>
        <w:pStyle w:val="FootnoteText"/>
      </w:pPr>
      <w:r>
        <w:rPr>
          <w:rStyle w:val="FootnoteReference"/>
        </w:rPr>
        <w:footnoteRef/>
      </w:r>
      <w:r>
        <w:t xml:space="preserve"> </w:t>
      </w:r>
      <w:r>
        <w:tab/>
        <w:t xml:space="preserve">The Household Expenditure Survey </w:t>
      </w:r>
      <w:r>
        <w:rPr>
          <w:rFonts w:ascii="Arial" w:hAnsi="Arial" w:cs="Arial"/>
        </w:rPr>
        <w:t>collects information on the expenditure, income and characteristics of household residents in private dwellings throughout Australia. Several of the items of expenditure recorded are related to culture and leisure</w:t>
      </w:r>
      <w:r w:rsidRPr="00484F62">
        <w:t xml:space="preserve"> </w:t>
      </w:r>
      <w:r w:rsidRPr="00DE3303">
        <w:t>&lt;</w:t>
      </w:r>
      <w:hyperlink r:id="rId2" w:history="1">
        <w:r w:rsidRPr="007A689D">
          <w:rPr>
            <w:rStyle w:val="Hyperlink"/>
            <w:sz w:val="16"/>
          </w:rPr>
          <w:t xml:space="preserve">http://www.abs.gov.au/AUSSTATS/abs@.nsf/Latestproducts/4A2EC9661587997ACA25722E000F75FB? </w:t>
        </w:r>
        <w:proofErr w:type="spellStart"/>
        <w:proofErr w:type="gramStart"/>
        <w:r w:rsidRPr="007A689D">
          <w:rPr>
            <w:rStyle w:val="Hyperlink"/>
            <w:sz w:val="16"/>
          </w:rPr>
          <w:t>opendocument</w:t>
        </w:r>
        <w:proofErr w:type="spellEnd"/>
      </w:hyperlink>
      <w:r w:rsidRPr="00DE3303">
        <w:t>&gt;.</w:t>
      </w:r>
      <w:proofErr w:type="gramEnd"/>
    </w:p>
  </w:footnote>
  <w:footnote w:id="8">
    <w:p w:rsidR="003A4DD4" w:rsidRDefault="003A4DD4" w:rsidP="00AC49AC">
      <w:pPr>
        <w:pStyle w:val="FootnoteText"/>
      </w:pPr>
      <w:r>
        <w:rPr>
          <w:rStyle w:val="FootnoteReference"/>
        </w:rPr>
        <w:footnoteRef/>
      </w:r>
      <w:r>
        <w:t xml:space="preserve"> </w:t>
      </w:r>
      <w:r>
        <w:tab/>
      </w:r>
      <w:r w:rsidRPr="00D3033E">
        <w:t>Since 2003, the initial survey wave has been integrated with the Organisation for Economic Co-operation and Development (OECD) Programme for International Student Assessment (PISA)</w:t>
      </w:r>
      <w:r>
        <w:t>.</w:t>
      </w:r>
    </w:p>
  </w:footnote>
  <w:footnote w:id="9">
    <w:p w:rsidR="003A4DD4" w:rsidRDefault="003A4DD4">
      <w:pPr>
        <w:pStyle w:val="FootnoteText"/>
      </w:pPr>
      <w:r>
        <w:rPr>
          <w:rStyle w:val="FootnoteReference"/>
        </w:rPr>
        <w:footnoteRef/>
      </w:r>
      <w:r>
        <w:t xml:space="preserve">   </w:t>
      </w:r>
      <w:r w:rsidRPr="00980605">
        <w:t xml:space="preserve">LSAY respondents are reporting on their own level of ‘financial stress’ based on these indicators, which can be different from the perception of financial stress of the household (Cobb-Clarke &amp; </w:t>
      </w:r>
      <w:proofErr w:type="spellStart"/>
      <w:r w:rsidRPr="00980605">
        <w:t>Ribar</w:t>
      </w:r>
      <w:proofErr w:type="spellEnd"/>
      <w:r w:rsidRPr="00980605">
        <w:t xml:space="preserve"> 2009).</w:t>
      </w:r>
    </w:p>
  </w:footnote>
  <w:footnote w:id="10">
    <w:p w:rsidR="003A4DD4" w:rsidRDefault="003A4DD4" w:rsidP="008332D5">
      <w:pPr>
        <w:pStyle w:val="FootnoteText"/>
      </w:pPr>
      <w:r>
        <w:rPr>
          <w:rStyle w:val="FootnoteReference"/>
        </w:rPr>
        <w:footnoteRef/>
      </w:r>
      <w:r>
        <w:t xml:space="preserve"> </w:t>
      </w:r>
      <w:r>
        <w:tab/>
        <w:t>Informal debt refers to the monies that parents or relatives lend their children, usually without charging interest.</w:t>
      </w:r>
    </w:p>
  </w:footnote>
  <w:footnote w:id="11">
    <w:p w:rsidR="003A4DD4" w:rsidRPr="00B71237" w:rsidRDefault="003A4DD4" w:rsidP="00627579">
      <w:pPr>
        <w:pStyle w:val="FootnoteText"/>
      </w:pPr>
      <w:r>
        <w:rPr>
          <w:rStyle w:val="FootnoteReference"/>
        </w:rPr>
        <w:footnoteRef/>
      </w:r>
      <w:r>
        <w:t xml:space="preserve"> </w:t>
      </w:r>
      <w:r>
        <w:tab/>
        <w:t xml:space="preserve">Formal debt </w:t>
      </w:r>
      <w:r w:rsidRPr="007E40A3">
        <w:t>is a legally binding contract betwee</w:t>
      </w:r>
      <w:r>
        <w:t xml:space="preserve">n an individual and their creditors and where the creditors agree to </w:t>
      </w:r>
      <w:r w:rsidRPr="007E40A3">
        <w:t xml:space="preserve">receive an amount </w:t>
      </w:r>
      <w:r>
        <w:t xml:space="preserve">of money to settle the debts. Payment is normally based on the individual’s </w:t>
      </w:r>
      <w:r w:rsidRPr="007E40A3">
        <w:t>capacity to pay, after having considere</w:t>
      </w:r>
      <w:r>
        <w:t>d income and household expenses</w:t>
      </w:r>
    </w:p>
  </w:footnote>
  <w:footnote w:id="12">
    <w:p w:rsidR="003A4DD4" w:rsidRPr="00692293" w:rsidRDefault="003A4DD4" w:rsidP="008332D5">
      <w:pPr>
        <w:pStyle w:val="FootnoteText"/>
      </w:pPr>
      <w:r>
        <w:rPr>
          <w:rStyle w:val="FootnoteReference"/>
        </w:rPr>
        <w:footnoteRef/>
      </w:r>
      <w:r>
        <w:t xml:space="preserve"> </w:t>
      </w:r>
      <w:r>
        <w:tab/>
        <w:t>The question is explicit that the borrowing should be ‘to live on’. To avoid any potential response error, those individuals in the process of purchasing their house are excluded from this calculation.</w:t>
      </w:r>
    </w:p>
  </w:footnote>
  <w:footnote w:id="13">
    <w:p w:rsidR="003A4DD4" w:rsidRDefault="003A4DD4" w:rsidP="007A414D">
      <w:pPr>
        <w:pStyle w:val="FootnoteText"/>
      </w:pPr>
      <w:r>
        <w:rPr>
          <w:rStyle w:val="FootnoteReference"/>
        </w:rPr>
        <w:footnoteRef/>
      </w:r>
      <w:r>
        <w:t xml:space="preserve"> </w:t>
      </w:r>
      <w:r>
        <w:tab/>
        <w:t xml:space="preserve">The decision to use Wallis Consulting Group to recruit and interview respondents is twofold: firstly there is a need to maintain confidentiality. Respondent information is held by Wallis and may only be passed on to a third party once consent has been given to do so. Secondly, Wallis is more efficient and effective at recruiting and interviewing respondents, as respondents are more familiar with internal Wallis interviewers. </w:t>
      </w:r>
    </w:p>
  </w:footnote>
  <w:footnote w:id="14">
    <w:p w:rsidR="003A4DD4" w:rsidRDefault="003A4DD4">
      <w:pPr>
        <w:pStyle w:val="FootnoteText"/>
      </w:pPr>
      <w:r>
        <w:rPr>
          <w:rStyle w:val="FootnoteReference"/>
        </w:rPr>
        <w:footnoteRef/>
      </w:r>
      <w:r>
        <w:t xml:space="preserve"> </w:t>
      </w:r>
      <w:r>
        <w:tab/>
        <w:t xml:space="preserve">A total of 51 respondents were eventually interviewed in order to honour an appointment already made.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08865FD"/>
    <w:multiLevelType w:val="multilevel"/>
    <w:tmpl w:val="1CFE88A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hint="default"/>
        <w:sz w:val="3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619E2B80"/>
    <w:multiLevelType w:val="hybridMultilevel"/>
    <w:tmpl w:val="1CD6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490615"/>
    <w:multiLevelType w:val="hybridMultilevel"/>
    <w:tmpl w:val="043CBF96"/>
    <w:lvl w:ilvl="0" w:tplc="0C090001">
      <w:start w:val="1"/>
      <w:numFmt w:val="bullet"/>
      <w:lvlText w:val=""/>
      <w:lvlJc w:val="left"/>
      <w:pPr>
        <w:tabs>
          <w:tab w:val="num" w:pos="284"/>
        </w:tabs>
        <w:ind w:left="0" w:firstLine="0"/>
      </w:pPr>
      <w:rPr>
        <w:rFonts w:ascii="Symbol" w:hAnsi="Symbol" w:hint="default"/>
      </w:rPr>
    </w:lvl>
    <w:lvl w:ilvl="1" w:tplc="0994B9E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0"/>
  </w:num>
  <w:num w:numId="4">
    <w:abstractNumId w:val="19"/>
  </w:num>
  <w:num w:numId="5">
    <w:abstractNumId w:val="12"/>
  </w:num>
  <w:num w:numId="6">
    <w:abstractNumId w:val="23"/>
  </w:num>
  <w:num w:numId="7">
    <w:abstractNumId w:val="25"/>
  </w:num>
  <w:num w:numId="8">
    <w:abstractNumId w:val="24"/>
  </w:num>
  <w:num w:numId="9">
    <w:abstractNumId w:val="29"/>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30"/>
  </w:num>
  <w:num w:numId="23">
    <w:abstractNumId w:val="27"/>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13"/>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characterSpacingControl w:val="doNotCompress"/>
  <w:hdrShapeDefaults>
    <o:shapedefaults v:ext="edit" spidmax="614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D5"/>
    <w:rsid w:val="000051CD"/>
    <w:rsid w:val="00043B17"/>
    <w:rsid w:val="000450AA"/>
    <w:rsid w:val="00050583"/>
    <w:rsid w:val="00054722"/>
    <w:rsid w:val="00056F22"/>
    <w:rsid w:val="00067797"/>
    <w:rsid w:val="000727CB"/>
    <w:rsid w:val="00081CB6"/>
    <w:rsid w:val="0008445B"/>
    <w:rsid w:val="0009145D"/>
    <w:rsid w:val="000A58C1"/>
    <w:rsid w:val="000A7274"/>
    <w:rsid w:val="000B035A"/>
    <w:rsid w:val="000B1C91"/>
    <w:rsid w:val="000B209B"/>
    <w:rsid w:val="000B76C0"/>
    <w:rsid w:val="000D4A4E"/>
    <w:rsid w:val="00106B2A"/>
    <w:rsid w:val="0010704B"/>
    <w:rsid w:val="001140C2"/>
    <w:rsid w:val="00114634"/>
    <w:rsid w:val="00133AC8"/>
    <w:rsid w:val="001343E1"/>
    <w:rsid w:val="00145B56"/>
    <w:rsid w:val="00150A5E"/>
    <w:rsid w:val="0015119F"/>
    <w:rsid w:val="001537EB"/>
    <w:rsid w:val="00156847"/>
    <w:rsid w:val="001578A4"/>
    <w:rsid w:val="00164E26"/>
    <w:rsid w:val="00165C08"/>
    <w:rsid w:val="001674D1"/>
    <w:rsid w:val="00167551"/>
    <w:rsid w:val="00191417"/>
    <w:rsid w:val="0019478A"/>
    <w:rsid w:val="001A0EE1"/>
    <w:rsid w:val="001A2087"/>
    <w:rsid w:val="001A75D9"/>
    <w:rsid w:val="001D367D"/>
    <w:rsid w:val="001D5BE9"/>
    <w:rsid w:val="001E65C9"/>
    <w:rsid w:val="001F09D2"/>
    <w:rsid w:val="00210CCE"/>
    <w:rsid w:val="00212158"/>
    <w:rsid w:val="002223E1"/>
    <w:rsid w:val="00232C36"/>
    <w:rsid w:val="00234705"/>
    <w:rsid w:val="00242E2F"/>
    <w:rsid w:val="0026241C"/>
    <w:rsid w:val="0026616A"/>
    <w:rsid w:val="002778FE"/>
    <w:rsid w:val="00284861"/>
    <w:rsid w:val="002852F8"/>
    <w:rsid w:val="002855AC"/>
    <w:rsid w:val="0029213E"/>
    <w:rsid w:val="00292878"/>
    <w:rsid w:val="00295A82"/>
    <w:rsid w:val="002A2977"/>
    <w:rsid w:val="002A397B"/>
    <w:rsid w:val="002A3BE4"/>
    <w:rsid w:val="002A3D69"/>
    <w:rsid w:val="002B66FB"/>
    <w:rsid w:val="002C7684"/>
    <w:rsid w:val="002D53DC"/>
    <w:rsid w:val="002E3DBC"/>
    <w:rsid w:val="002F38DC"/>
    <w:rsid w:val="0030064B"/>
    <w:rsid w:val="00301E29"/>
    <w:rsid w:val="00313C4B"/>
    <w:rsid w:val="00317030"/>
    <w:rsid w:val="00323E7A"/>
    <w:rsid w:val="0032760C"/>
    <w:rsid w:val="003316BD"/>
    <w:rsid w:val="0034227F"/>
    <w:rsid w:val="00343D14"/>
    <w:rsid w:val="00352CEC"/>
    <w:rsid w:val="00367FD8"/>
    <w:rsid w:val="0038698F"/>
    <w:rsid w:val="003903AA"/>
    <w:rsid w:val="003A27D8"/>
    <w:rsid w:val="003A4552"/>
    <w:rsid w:val="003A4DD4"/>
    <w:rsid w:val="003B5EB6"/>
    <w:rsid w:val="003C6C9B"/>
    <w:rsid w:val="003D1F49"/>
    <w:rsid w:val="003D2151"/>
    <w:rsid w:val="003D4A7C"/>
    <w:rsid w:val="003D7E3C"/>
    <w:rsid w:val="003F1312"/>
    <w:rsid w:val="003F4F26"/>
    <w:rsid w:val="003F7E06"/>
    <w:rsid w:val="00410AAB"/>
    <w:rsid w:val="00412E0E"/>
    <w:rsid w:val="004222FA"/>
    <w:rsid w:val="00430C28"/>
    <w:rsid w:val="00434325"/>
    <w:rsid w:val="004428D4"/>
    <w:rsid w:val="00461D3C"/>
    <w:rsid w:val="00462601"/>
    <w:rsid w:val="00474575"/>
    <w:rsid w:val="00476FA4"/>
    <w:rsid w:val="00481CC8"/>
    <w:rsid w:val="00482ED4"/>
    <w:rsid w:val="004910BE"/>
    <w:rsid w:val="004912BA"/>
    <w:rsid w:val="00493CBD"/>
    <w:rsid w:val="00494A07"/>
    <w:rsid w:val="00495FD2"/>
    <w:rsid w:val="004960F0"/>
    <w:rsid w:val="004B2147"/>
    <w:rsid w:val="004C1C06"/>
    <w:rsid w:val="004C2D0D"/>
    <w:rsid w:val="004D1886"/>
    <w:rsid w:val="004E3837"/>
    <w:rsid w:val="004E785F"/>
    <w:rsid w:val="004F0A74"/>
    <w:rsid w:val="004F75DF"/>
    <w:rsid w:val="00506678"/>
    <w:rsid w:val="0052476A"/>
    <w:rsid w:val="00536D14"/>
    <w:rsid w:val="005668D2"/>
    <w:rsid w:val="00585BFB"/>
    <w:rsid w:val="00586C1C"/>
    <w:rsid w:val="00596BF5"/>
    <w:rsid w:val="005A0523"/>
    <w:rsid w:val="005C1E43"/>
    <w:rsid w:val="005C39E9"/>
    <w:rsid w:val="005C6241"/>
    <w:rsid w:val="005F07B7"/>
    <w:rsid w:val="005F0A56"/>
    <w:rsid w:val="005F5F3A"/>
    <w:rsid w:val="005F7869"/>
    <w:rsid w:val="006078DE"/>
    <w:rsid w:val="006118CA"/>
    <w:rsid w:val="00620C4E"/>
    <w:rsid w:val="006240DD"/>
    <w:rsid w:val="00627579"/>
    <w:rsid w:val="00630321"/>
    <w:rsid w:val="00631174"/>
    <w:rsid w:val="00632517"/>
    <w:rsid w:val="006379AD"/>
    <w:rsid w:val="00653A73"/>
    <w:rsid w:val="00655DF9"/>
    <w:rsid w:val="00666064"/>
    <w:rsid w:val="00666A83"/>
    <w:rsid w:val="00666EB0"/>
    <w:rsid w:val="00667EB4"/>
    <w:rsid w:val="00694A16"/>
    <w:rsid w:val="006A52ED"/>
    <w:rsid w:val="006A67AB"/>
    <w:rsid w:val="006C3D96"/>
    <w:rsid w:val="006C6F85"/>
    <w:rsid w:val="006C70DB"/>
    <w:rsid w:val="006D456D"/>
    <w:rsid w:val="006E1BE8"/>
    <w:rsid w:val="006E440C"/>
    <w:rsid w:val="006E66FD"/>
    <w:rsid w:val="006F0983"/>
    <w:rsid w:val="007207F8"/>
    <w:rsid w:val="007216A7"/>
    <w:rsid w:val="007362E8"/>
    <w:rsid w:val="00736CF9"/>
    <w:rsid w:val="00742097"/>
    <w:rsid w:val="007453CA"/>
    <w:rsid w:val="00745B57"/>
    <w:rsid w:val="007527F2"/>
    <w:rsid w:val="007533B1"/>
    <w:rsid w:val="00763E8B"/>
    <w:rsid w:val="00764BB8"/>
    <w:rsid w:val="00786137"/>
    <w:rsid w:val="0078714D"/>
    <w:rsid w:val="00791B3D"/>
    <w:rsid w:val="007923C2"/>
    <w:rsid w:val="0079247E"/>
    <w:rsid w:val="007931DC"/>
    <w:rsid w:val="00797402"/>
    <w:rsid w:val="007A1441"/>
    <w:rsid w:val="007A1AC2"/>
    <w:rsid w:val="007A23D0"/>
    <w:rsid w:val="007A2E9B"/>
    <w:rsid w:val="007A414D"/>
    <w:rsid w:val="007A5E5D"/>
    <w:rsid w:val="007A6790"/>
    <w:rsid w:val="007B1ED1"/>
    <w:rsid w:val="007C7D1B"/>
    <w:rsid w:val="007D4522"/>
    <w:rsid w:val="007E717D"/>
    <w:rsid w:val="00800EDF"/>
    <w:rsid w:val="00807A45"/>
    <w:rsid w:val="00810E30"/>
    <w:rsid w:val="008256F7"/>
    <w:rsid w:val="008332D5"/>
    <w:rsid w:val="0084440C"/>
    <w:rsid w:val="008546C3"/>
    <w:rsid w:val="00854C34"/>
    <w:rsid w:val="00857511"/>
    <w:rsid w:val="008671CD"/>
    <w:rsid w:val="00875E0E"/>
    <w:rsid w:val="008764D8"/>
    <w:rsid w:val="008765C5"/>
    <w:rsid w:val="00882108"/>
    <w:rsid w:val="00890695"/>
    <w:rsid w:val="00893221"/>
    <w:rsid w:val="008A223A"/>
    <w:rsid w:val="008A5606"/>
    <w:rsid w:val="008B7599"/>
    <w:rsid w:val="008C5A30"/>
    <w:rsid w:val="008E02C7"/>
    <w:rsid w:val="008E73D4"/>
    <w:rsid w:val="008E77FA"/>
    <w:rsid w:val="008E7B1F"/>
    <w:rsid w:val="008F47C0"/>
    <w:rsid w:val="00900541"/>
    <w:rsid w:val="00900E48"/>
    <w:rsid w:val="00901F38"/>
    <w:rsid w:val="0090449C"/>
    <w:rsid w:val="009062BD"/>
    <w:rsid w:val="009230A7"/>
    <w:rsid w:val="00930755"/>
    <w:rsid w:val="00932468"/>
    <w:rsid w:val="00940739"/>
    <w:rsid w:val="00950245"/>
    <w:rsid w:val="00961922"/>
    <w:rsid w:val="00980605"/>
    <w:rsid w:val="009839A8"/>
    <w:rsid w:val="009848E5"/>
    <w:rsid w:val="00994C56"/>
    <w:rsid w:val="009B03C4"/>
    <w:rsid w:val="009B22DE"/>
    <w:rsid w:val="009C1878"/>
    <w:rsid w:val="009C32F6"/>
    <w:rsid w:val="009D5A5B"/>
    <w:rsid w:val="009D63C0"/>
    <w:rsid w:val="009F1191"/>
    <w:rsid w:val="00A11068"/>
    <w:rsid w:val="00A149FE"/>
    <w:rsid w:val="00A23C6D"/>
    <w:rsid w:val="00A355CB"/>
    <w:rsid w:val="00A358E2"/>
    <w:rsid w:val="00A45BB3"/>
    <w:rsid w:val="00A50A5B"/>
    <w:rsid w:val="00A64712"/>
    <w:rsid w:val="00A7765C"/>
    <w:rsid w:val="00A7791F"/>
    <w:rsid w:val="00AA3C10"/>
    <w:rsid w:val="00AB29F7"/>
    <w:rsid w:val="00AC49AC"/>
    <w:rsid w:val="00AE338A"/>
    <w:rsid w:val="00AF6A1F"/>
    <w:rsid w:val="00B047E6"/>
    <w:rsid w:val="00B05DDE"/>
    <w:rsid w:val="00B06384"/>
    <w:rsid w:val="00B104E7"/>
    <w:rsid w:val="00B1425C"/>
    <w:rsid w:val="00B224E0"/>
    <w:rsid w:val="00B32E0B"/>
    <w:rsid w:val="00B3701C"/>
    <w:rsid w:val="00B5461D"/>
    <w:rsid w:val="00B5763F"/>
    <w:rsid w:val="00B643D4"/>
    <w:rsid w:val="00B74B90"/>
    <w:rsid w:val="00B865AC"/>
    <w:rsid w:val="00B8668F"/>
    <w:rsid w:val="00B94882"/>
    <w:rsid w:val="00BA1A60"/>
    <w:rsid w:val="00BA2402"/>
    <w:rsid w:val="00BA2AA6"/>
    <w:rsid w:val="00BB2A81"/>
    <w:rsid w:val="00BB303D"/>
    <w:rsid w:val="00BB3A40"/>
    <w:rsid w:val="00BC4A17"/>
    <w:rsid w:val="00BC4FE1"/>
    <w:rsid w:val="00BD39DF"/>
    <w:rsid w:val="00BD3E35"/>
    <w:rsid w:val="00BF25A1"/>
    <w:rsid w:val="00C00B1E"/>
    <w:rsid w:val="00C057FB"/>
    <w:rsid w:val="00C13CC3"/>
    <w:rsid w:val="00C153EE"/>
    <w:rsid w:val="00C2610F"/>
    <w:rsid w:val="00C36182"/>
    <w:rsid w:val="00C4192A"/>
    <w:rsid w:val="00C46F92"/>
    <w:rsid w:val="00C55075"/>
    <w:rsid w:val="00C566AD"/>
    <w:rsid w:val="00C56F14"/>
    <w:rsid w:val="00C64332"/>
    <w:rsid w:val="00C649C2"/>
    <w:rsid w:val="00C75CDB"/>
    <w:rsid w:val="00C779F3"/>
    <w:rsid w:val="00C8564E"/>
    <w:rsid w:val="00C9065D"/>
    <w:rsid w:val="00CB6A72"/>
    <w:rsid w:val="00CC408D"/>
    <w:rsid w:val="00CD47C6"/>
    <w:rsid w:val="00CD4B27"/>
    <w:rsid w:val="00CD6990"/>
    <w:rsid w:val="00CE2388"/>
    <w:rsid w:val="00CE2F4C"/>
    <w:rsid w:val="00CE509E"/>
    <w:rsid w:val="00D03292"/>
    <w:rsid w:val="00D1177B"/>
    <w:rsid w:val="00D3033E"/>
    <w:rsid w:val="00D34A35"/>
    <w:rsid w:val="00D43F03"/>
    <w:rsid w:val="00D46313"/>
    <w:rsid w:val="00D46C1E"/>
    <w:rsid w:val="00D50887"/>
    <w:rsid w:val="00D51C54"/>
    <w:rsid w:val="00D51CBE"/>
    <w:rsid w:val="00D51EF6"/>
    <w:rsid w:val="00D53955"/>
    <w:rsid w:val="00D571B8"/>
    <w:rsid w:val="00D62FD5"/>
    <w:rsid w:val="00D7608E"/>
    <w:rsid w:val="00D814A1"/>
    <w:rsid w:val="00D832F6"/>
    <w:rsid w:val="00D85D10"/>
    <w:rsid w:val="00D944FD"/>
    <w:rsid w:val="00D9719C"/>
    <w:rsid w:val="00DA0B6F"/>
    <w:rsid w:val="00DB30A9"/>
    <w:rsid w:val="00DC25C0"/>
    <w:rsid w:val="00DC28C6"/>
    <w:rsid w:val="00DC35D0"/>
    <w:rsid w:val="00DD3E1D"/>
    <w:rsid w:val="00DD4EB6"/>
    <w:rsid w:val="00DD75B2"/>
    <w:rsid w:val="00DE2F16"/>
    <w:rsid w:val="00DE3303"/>
    <w:rsid w:val="00DF0A5C"/>
    <w:rsid w:val="00DF1D46"/>
    <w:rsid w:val="00E16552"/>
    <w:rsid w:val="00E2011C"/>
    <w:rsid w:val="00E25528"/>
    <w:rsid w:val="00E37434"/>
    <w:rsid w:val="00E7556D"/>
    <w:rsid w:val="00E80180"/>
    <w:rsid w:val="00E81749"/>
    <w:rsid w:val="00E822B6"/>
    <w:rsid w:val="00E83816"/>
    <w:rsid w:val="00E83F5D"/>
    <w:rsid w:val="00E84621"/>
    <w:rsid w:val="00E93501"/>
    <w:rsid w:val="00E93908"/>
    <w:rsid w:val="00EA0FCA"/>
    <w:rsid w:val="00EA16B3"/>
    <w:rsid w:val="00EA3E0A"/>
    <w:rsid w:val="00EB7302"/>
    <w:rsid w:val="00EC20D7"/>
    <w:rsid w:val="00ED5F9A"/>
    <w:rsid w:val="00EE0F7E"/>
    <w:rsid w:val="00EE1065"/>
    <w:rsid w:val="00EE2612"/>
    <w:rsid w:val="00EF1272"/>
    <w:rsid w:val="00F05986"/>
    <w:rsid w:val="00F10AA0"/>
    <w:rsid w:val="00F161B2"/>
    <w:rsid w:val="00F229EF"/>
    <w:rsid w:val="00F23AB8"/>
    <w:rsid w:val="00F32557"/>
    <w:rsid w:val="00F3622E"/>
    <w:rsid w:val="00F4451F"/>
    <w:rsid w:val="00F576CE"/>
    <w:rsid w:val="00F606F8"/>
    <w:rsid w:val="00F721B7"/>
    <w:rsid w:val="00F80559"/>
    <w:rsid w:val="00F86CDF"/>
    <w:rsid w:val="00F90C19"/>
    <w:rsid w:val="00F953ED"/>
    <w:rsid w:val="00F96327"/>
    <w:rsid w:val="00FA2AC9"/>
    <w:rsid w:val="00FA63B9"/>
    <w:rsid w:val="00FC22C9"/>
    <w:rsid w:val="00FC3A32"/>
    <w:rsid w:val="00FC69B2"/>
    <w:rsid w:val="00FE2DF0"/>
    <w:rsid w:val="00FE318E"/>
    <w:rsid w:val="00FE799D"/>
    <w:rsid w:val="00FF1F18"/>
    <w:rsid w:val="00FF4311"/>
    <w:rsid w:val="00FF50FF"/>
    <w:rsid w:val="00FF5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2D5"/>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8332D5"/>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8332D5"/>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8332D5"/>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8332D5"/>
    <w:pPr>
      <w:spacing w:before="240" w:after="0" w:line="240" w:lineRule="auto"/>
      <w:outlineLvl w:val="3"/>
    </w:pPr>
    <w:rPr>
      <w:rFonts w:ascii="Tahoma" w:eastAsia="Times New Roman" w:hAnsi="Tahoma" w:cs="Times New Roman"/>
      <w:i/>
      <w:sz w:val="24"/>
      <w:szCs w:val="20"/>
    </w:rPr>
  </w:style>
  <w:style w:type="paragraph" w:styleId="Heading5">
    <w:name w:val="heading 5"/>
    <w:basedOn w:val="Normal"/>
    <w:next w:val="Normal"/>
    <w:link w:val="Heading5Char"/>
    <w:qFormat/>
    <w:rsid w:val="008332D5"/>
    <w:pPr>
      <w:keepNext/>
      <w:outlineLvl w:val="4"/>
    </w:pPr>
    <w:rPr>
      <w:rFonts w:ascii="Tahoma" w:hAnsi="Tahoma"/>
      <w:b/>
    </w:rPr>
  </w:style>
  <w:style w:type="paragraph" w:styleId="Heading6">
    <w:name w:val="heading 6"/>
    <w:basedOn w:val="Normal"/>
    <w:next w:val="Normal"/>
    <w:link w:val="Heading6Char"/>
    <w:qFormat/>
    <w:rsid w:val="008332D5"/>
    <w:pPr>
      <w:keepNext/>
      <w:ind w:left="2977"/>
      <w:outlineLvl w:val="5"/>
    </w:pPr>
    <w:rPr>
      <w:rFonts w:ascii="Tahoma" w:hAnsi="Tahoma"/>
      <w:sz w:val="20"/>
    </w:rPr>
  </w:style>
  <w:style w:type="paragraph" w:styleId="Heading7">
    <w:name w:val="heading 7"/>
    <w:basedOn w:val="Normal"/>
    <w:next w:val="Normal"/>
    <w:link w:val="Heading7Char"/>
    <w:qFormat/>
    <w:rsid w:val="008332D5"/>
    <w:pPr>
      <w:keepNext/>
      <w:jc w:val="center"/>
      <w:outlineLvl w:val="6"/>
    </w:pPr>
    <w:rPr>
      <w:rFonts w:ascii="Tahoma" w:hAnsi="Tahoma"/>
      <w:spacing w:val="20"/>
      <w:sz w:val="20"/>
    </w:rPr>
  </w:style>
  <w:style w:type="paragraph" w:styleId="Heading8">
    <w:name w:val="heading 8"/>
    <w:basedOn w:val="Normal"/>
    <w:next w:val="Normal"/>
    <w:link w:val="Heading8Char"/>
    <w:qFormat/>
    <w:rsid w:val="008332D5"/>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2D5"/>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8332D5"/>
    <w:rPr>
      <w:rFonts w:ascii="Tahoma" w:eastAsia="Times New Roman" w:hAnsi="Tahoma" w:cs="Tahoma"/>
      <w:sz w:val="28"/>
      <w:szCs w:val="20"/>
    </w:rPr>
  </w:style>
  <w:style w:type="character" w:customStyle="1" w:styleId="Heading3Char">
    <w:name w:val="Heading 3 Char"/>
    <w:basedOn w:val="DefaultParagraphFont"/>
    <w:link w:val="Heading3"/>
    <w:rsid w:val="008332D5"/>
    <w:rPr>
      <w:rFonts w:ascii="Tahoma" w:eastAsia="Times New Roman" w:hAnsi="Tahoma" w:cs="Tahoma"/>
      <w:color w:val="000000"/>
      <w:sz w:val="24"/>
      <w:szCs w:val="20"/>
    </w:rPr>
  </w:style>
  <w:style w:type="character" w:customStyle="1" w:styleId="Heading4Char">
    <w:name w:val="Heading 4 Char"/>
    <w:basedOn w:val="DefaultParagraphFont"/>
    <w:link w:val="Heading4"/>
    <w:rsid w:val="008332D5"/>
    <w:rPr>
      <w:rFonts w:ascii="Tahoma" w:eastAsia="Times New Roman" w:hAnsi="Tahoma" w:cs="Times New Roman"/>
      <w:i/>
      <w:sz w:val="24"/>
      <w:szCs w:val="20"/>
    </w:rPr>
  </w:style>
  <w:style w:type="character" w:customStyle="1" w:styleId="Heading5Char">
    <w:name w:val="Heading 5 Char"/>
    <w:basedOn w:val="DefaultParagraphFont"/>
    <w:link w:val="Heading5"/>
    <w:rsid w:val="008332D5"/>
    <w:rPr>
      <w:rFonts w:ascii="Tahoma" w:eastAsia="Times New Roman" w:hAnsi="Tahoma" w:cs="Times New Roman"/>
      <w:b/>
      <w:sz w:val="19"/>
      <w:szCs w:val="20"/>
    </w:rPr>
  </w:style>
  <w:style w:type="character" w:customStyle="1" w:styleId="Heading6Char">
    <w:name w:val="Heading 6 Char"/>
    <w:basedOn w:val="DefaultParagraphFont"/>
    <w:link w:val="Heading6"/>
    <w:rsid w:val="008332D5"/>
    <w:rPr>
      <w:rFonts w:ascii="Tahoma" w:eastAsia="Times New Roman" w:hAnsi="Tahoma" w:cs="Times New Roman"/>
      <w:sz w:val="20"/>
      <w:szCs w:val="20"/>
    </w:rPr>
  </w:style>
  <w:style w:type="character" w:customStyle="1" w:styleId="Heading7Char">
    <w:name w:val="Heading 7 Char"/>
    <w:basedOn w:val="DefaultParagraphFont"/>
    <w:link w:val="Heading7"/>
    <w:rsid w:val="008332D5"/>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8332D5"/>
    <w:rPr>
      <w:rFonts w:ascii="Tahoma" w:eastAsia="Times New Roman" w:hAnsi="Tahoma" w:cs="Times New Roman"/>
      <w:color w:val="C0C0C0"/>
      <w:spacing w:val="60"/>
      <w:sz w:val="20"/>
      <w:szCs w:val="20"/>
    </w:rPr>
  </w:style>
  <w:style w:type="paragraph" w:customStyle="1" w:styleId="Text">
    <w:name w:val="Text"/>
    <w:link w:val="TextChar"/>
    <w:rsid w:val="008332D5"/>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8332D5"/>
    <w:rPr>
      <w:rFonts w:ascii="Trebuchet MS" w:eastAsia="Times New Roman" w:hAnsi="Trebuchet MS" w:cs="Times New Roman"/>
      <w:sz w:val="19"/>
      <w:szCs w:val="20"/>
    </w:rPr>
  </w:style>
  <w:style w:type="character" w:styleId="PageNumber">
    <w:name w:val="page number"/>
    <w:basedOn w:val="DefaultParagraphFont"/>
    <w:rsid w:val="008332D5"/>
    <w:rPr>
      <w:rFonts w:ascii="Tahoma" w:hAnsi="Tahoma"/>
      <w:sz w:val="18"/>
    </w:rPr>
  </w:style>
  <w:style w:type="paragraph" w:styleId="Footer">
    <w:name w:val="footer"/>
    <w:basedOn w:val="Normal"/>
    <w:link w:val="FooterChar"/>
    <w:uiPriority w:val="99"/>
    <w:rsid w:val="008332D5"/>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rsid w:val="008332D5"/>
    <w:rPr>
      <w:rFonts w:ascii="Tahoma" w:eastAsia="Times New Roman" w:hAnsi="Tahoma" w:cs="Times New Roman"/>
      <w:sz w:val="17"/>
      <w:szCs w:val="17"/>
    </w:rPr>
  </w:style>
  <w:style w:type="paragraph" w:styleId="TOC1">
    <w:name w:val="toc 1"/>
    <w:uiPriority w:val="39"/>
    <w:rsid w:val="008332D5"/>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8332D5"/>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8332D5"/>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8332D5"/>
    <w:pPr>
      <w:spacing w:before="40" w:after="40" w:line="240" w:lineRule="auto"/>
    </w:pPr>
    <w:rPr>
      <w:rFonts w:ascii="Arial" w:eastAsia="Times New Roman" w:hAnsi="Arial" w:cs="Times New Roman"/>
      <w:sz w:val="16"/>
      <w:szCs w:val="20"/>
    </w:rPr>
  </w:style>
  <w:style w:type="paragraph" w:customStyle="1" w:styleId="Tablehead1">
    <w:name w:val="Tablehead1"/>
    <w:rsid w:val="008332D5"/>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8332D5"/>
    <w:pPr>
      <w:tabs>
        <w:tab w:val="right" w:pos="7853"/>
      </w:tabs>
      <w:spacing w:before="80"/>
      <w:ind w:left="567" w:right="652"/>
    </w:pPr>
    <w:rPr>
      <w:sz w:val="17"/>
    </w:rPr>
  </w:style>
  <w:style w:type="character" w:customStyle="1" w:styleId="QuoteChar">
    <w:name w:val="Quote Char"/>
    <w:basedOn w:val="DefaultParagraphFont"/>
    <w:link w:val="Quote"/>
    <w:rsid w:val="008332D5"/>
    <w:rPr>
      <w:rFonts w:ascii="Trebuchet MS" w:eastAsia="Times New Roman" w:hAnsi="Trebuchet MS" w:cs="Times New Roman"/>
      <w:sz w:val="17"/>
      <w:szCs w:val="20"/>
    </w:rPr>
  </w:style>
  <w:style w:type="paragraph" w:customStyle="1" w:styleId="References">
    <w:name w:val="References"/>
    <w:rsid w:val="005F07B7"/>
    <w:pPr>
      <w:spacing w:before="80" w:after="0" w:line="240" w:lineRule="auto"/>
      <w:ind w:left="284" w:hanging="284"/>
    </w:pPr>
    <w:rPr>
      <w:rFonts w:ascii="Trebuchet MS" w:eastAsia="Times New Roman" w:hAnsi="Trebuchet MS" w:cs="Times New Roman"/>
      <w:sz w:val="18"/>
      <w:szCs w:val="20"/>
    </w:rPr>
  </w:style>
  <w:style w:type="paragraph" w:customStyle="1" w:styleId="Tablehead2">
    <w:name w:val="Tablehead2"/>
    <w:basedOn w:val="Tablehead1"/>
    <w:rsid w:val="008332D5"/>
    <w:pPr>
      <w:tabs>
        <w:tab w:val="left" w:pos="992"/>
      </w:tabs>
      <w:spacing w:before="20" w:after="20"/>
    </w:pPr>
    <w:rPr>
      <w:b w:val="0"/>
    </w:rPr>
  </w:style>
  <w:style w:type="paragraph" w:customStyle="1" w:styleId="Tablehead3">
    <w:name w:val="Tablehead3"/>
    <w:basedOn w:val="Tablehead2"/>
    <w:rsid w:val="008332D5"/>
    <w:rPr>
      <w:i/>
    </w:rPr>
  </w:style>
  <w:style w:type="paragraph" w:styleId="TableofFigures">
    <w:name w:val="table of figures"/>
    <w:basedOn w:val="TOC1"/>
    <w:next w:val="Normal"/>
    <w:uiPriority w:val="99"/>
    <w:rsid w:val="004F0A74"/>
    <w:pPr>
      <w:spacing w:before="80"/>
      <w:ind w:left="425" w:right="1985" w:hanging="425"/>
    </w:pPr>
  </w:style>
  <w:style w:type="paragraph" w:customStyle="1" w:styleId="Imprint">
    <w:name w:val="Imprint"/>
    <w:basedOn w:val="Normal"/>
    <w:rsid w:val="008332D5"/>
    <w:pPr>
      <w:spacing w:line="260" w:lineRule="atLeast"/>
    </w:pPr>
    <w:rPr>
      <w:sz w:val="16"/>
    </w:rPr>
  </w:style>
  <w:style w:type="paragraph" w:customStyle="1" w:styleId="Figuretitle">
    <w:name w:val="Figuretitle"/>
    <w:basedOn w:val="tabletitle"/>
    <w:rsid w:val="008332D5"/>
  </w:style>
  <w:style w:type="paragraph" w:customStyle="1" w:styleId="Dotpoint1">
    <w:name w:val="Dotpoint1"/>
    <w:rsid w:val="008332D5"/>
    <w:pPr>
      <w:numPr>
        <w:numId w:val="22"/>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8332D5"/>
    <w:pPr>
      <w:numPr>
        <w:numId w:val="23"/>
      </w:numPr>
      <w:tabs>
        <w:tab w:val="clear" w:pos="284"/>
        <w:tab w:val="left" w:pos="567"/>
      </w:tabs>
      <w:ind w:left="568" w:hanging="284"/>
    </w:pPr>
  </w:style>
  <w:style w:type="paragraph" w:customStyle="1" w:styleId="NumberedListContinuing">
    <w:name w:val="NumberedListContinuing"/>
    <w:rsid w:val="008332D5"/>
    <w:pPr>
      <w:numPr>
        <w:numId w:val="3"/>
      </w:numPr>
      <w:spacing w:before="120" w:after="0" w:line="300" w:lineRule="exact"/>
    </w:pPr>
    <w:rPr>
      <w:rFonts w:ascii="Trebuchet MS" w:eastAsia="Times New Roman" w:hAnsi="Trebuchet MS" w:cs="Times New Roman"/>
      <w:sz w:val="19"/>
      <w:szCs w:val="20"/>
      <w:lang w:eastAsia="en-AU"/>
    </w:rPr>
  </w:style>
  <w:style w:type="paragraph" w:customStyle="1" w:styleId="Source">
    <w:name w:val="Source"/>
    <w:rsid w:val="008332D5"/>
    <w:pPr>
      <w:spacing w:before="40" w:after="0" w:line="240" w:lineRule="auto"/>
      <w:ind w:left="567" w:hanging="567"/>
    </w:pPr>
    <w:rPr>
      <w:rFonts w:ascii="Arial" w:eastAsia="Times New Roman" w:hAnsi="Arial" w:cs="Times New Roman"/>
      <w:sz w:val="15"/>
      <w:szCs w:val="20"/>
    </w:rPr>
  </w:style>
  <w:style w:type="paragraph" w:styleId="FootnoteText">
    <w:name w:val="footnote text"/>
    <w:basedOn w:val="Text"/>
    <w:link w:val="FootnoteTextChar"/>
    <w:rsid w:val="00627579"/>
    <w:pPr>
      <w:tabs>
        <w:tab w:val="left" w:pos="1418"/>
      </w:tabs>
      <w:spacing w:before="0" w:line="220" w:lineRule="exact"/>
      <w:ind w:left="227" w:right="0" w:hanging="227"/>
    </w:pPr>
    <w:rPr>
      <w:sz w:val="16"/>
    </w:rPr>
  </w:style>
  <w:style w:type="character" w:customStyle="1" w:styleId="FootnoteTextChar">
    <w:name w:val="Footnote Text Char"/>
    <w:basedOn w:val="DefaultParagraphFont"/>
    <w:link w:val="FootnoteText"/>
    <w:rsid w:val="00627579"/>
    <w:rPr>
      <w:rFonts w:ascii="Trebuchet MS" w:eastAsia="Times New Roman" w:hAnsi="Trebuchet MS" w:cs="Times New Roman"/>
      <w:sz w:val="16"/>
      <w:szCs w:val="20"/>
    </w:rPr>
  </w:style>
  <w:style w:type="paragraph" w:styleId="NormalWeb">
    <w:name w:val="Normal (Web)"/>
    <w:basedOn w:val="Normal"/>
    <w:uiPriority w:val="1"/>
    <w:semiHidden/>
    <w:rsid w:val="008332D5"/>
    <w:pPr>
      <w:spacing w:before="100" w:beforeAutospacing="1" w:after="240"/>
    </w:pPr>
    <w:rPr>
      <w:sz w:val="18"/>
      <w:szCs w:val="18"/>
    </w:rPr>
  </w:style>
  <w:style w:type="paragraph" w:customStyle="1" w:styleId="PublicationTitle">
    <w:name w:val="Publication Title"/>
    <w:qFormat/>
    <w:rsid w:val="008332D5"/>
    <w:pPr>
      <w:spacing w:before="3200" w:after="840" w:line="240" w:lineRule="auto"/>
      <w:ind w:left="1701"/>
    </w:pPr>
    <w:rPr>
      <w:rFonts w:ascii="Tahoma" w:eastAsia="Times New Roman" w:hAnsi="Tahoma" w:cs="Tahoma"/>
      <w:color w:val="000000"/>
      <w:kern w:val="28"/>
      <w:sz w:val="56"/>
      <w:szCs w:val="56"/>
    </w:rPr>
  </w:style>
  <w:style w:type="paragraph" w:styleId="TOC3">
    <w:name w:val="toc 3"/>
    <w:basedOn w:val="TOC2"/>
    <w:next w:val="Normal"/>
    <w:autoRedefine/>
    <w:semiHidden/>
    <w:unhideWhenUsed/>
    <w:rsid w:val="008332D5"/>
    <w:pPr>
      <w:ind w:left="440"/>
    </w:pPr>
  </w:style>
  <w:style w:type="paragraph" w:styleId="TOC4">
    <w:name w:val="toc 4"/>
    <w:basedOn w:val="TOC3"/>
    <w:next w:val="Normal"/>
    <w:autoRedefine/>
    <w:semiHidden/>
    <w:unhideWhenUsed/>
    <w:rsid w:val="008332D5"/>
    <w:pPr>
      <w:ind w:left="660"/>
    </w:pPr>
  </w:style>
  <w:style w:type="paragraph" w:styleId="BalloonText">
    <w:name w:val="Balloon Text"/>
    <w:basedOn w:val="Normal"/>
    <w:link w:val="BalloonTextChar"/>
    <w:uiPriority w:val="99"/>
    <w:semiHidden/>
    <w:rsid w:val="008332D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2D5"/>
    <w:rPr>
      <w:rFonts w:ascii="Tahoma" w:eastAsia="Times New Roman" w:hAnsi="Tahoma" w:cs="Tahoma"/>
      <w:sz w:val="16"/>
      <w:szCs w:val="16"/>
    </w:rPr>
  </w:style>
  <w:style w:type="table" w:styleId="TableGrid">
    <w:name w:val="Table Grid"/>
    <w:basedOn w:val="TableNormal"/>
    <w:uiPriority w:val="59"/>
    <w:rsid w:val="008332D5"/>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8332D5"/>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8332D5"/>
    <w:rPr>
      <w:rFonts w:ascii="Trebuchet MS" w:eastAsia="Times New Roman" w:hAnsi="Trebuchet MS" w:cs="Times New Roman"/>
      <w:sz w:val="19"/>
      <w:szCs w:val="20"/>
    </w:rPr>
  </w:style>
  <w:style w:type="character" w:styleId="Hyperlink">
    <w:name w:val="Hyperlink"/>
    <w:basedOn w:val="DefaultParagraphFont"/>
    <w:unhideWhenUsed/>
    <w:rsid w:val="008332D5"/>
    <w:rPr>
      <w:rFonts w:ascii="Trebuchet MS" w:hAnsi="Trebuchet MS"/>
      <w:color w:val="auto"/>
      <w:sz w:val="19"/>
      <w:u w:val="none"/>
    </w:rPr>
  </w:style>
  <w:style w:type="paragraph" w:styleId="ListParagraph">
    <w:name w:val="List Paragraph"/>
    <w:basedOn w:val="Normal"/>
    <w:uiPriority w:val="34"/>
    <w:qFormat/>
    <w:rsid w:val="008332D5"/>
    <w:pPr>
      <w:ind w:left="720"/>
      <w:contextualSpacing/>
    </w:pPr>
  </w:style>
  <w:style w:type="paragraph" w:styleId="BodyText">
    <w:name w:val="Body Text"/>
    <w:basedOn w:val="Normal"/>
    <w:link w:val="BodyTextChar"/>
    <w:rsid w:val="008332D5"/>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8332D5"/>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8332D5"/>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8332D5"/>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8332D5"/>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8332D5"/>
    <w:rPr>
      <w:rFonts w:ascii="Times New Roman" w:eastAsia="Times New Roman" w:hAnsi="Times New Roman" w:cs="Times New Roman"/>
      <w:szCs w:val="20"/>
      <w:lang w:eastAsia="en-AU"/>
    </w:rPr>
  </w:style>
  <w:style w:type="paragraph" w:customStyle="1" w:styleId="Authors">
    <w:name w:val="Authors"/>
    <w:qFormat/>
    <w:rsid w:val="008332D5"/>
    <w:pPr>
      <w:spacing w:after="0" w:line="240" w:lineRule="auto"/>
      <w:ind w:left="1701" w:right="-1"/>
    </w:pPr>
    <w:rPr>
      <w:rFonts w:ascii="Tahoma" w:eastAsia="Times New Roman" w:hAnsi="Tahoma" w:cs="Tahoma"/>
      <w:sz w:val="28"/>
      <w:szCs w:val="20"/>
    </w:rPr>
  </w:style>
  <w:style w:type="paragraph" w:customStyle="1" w:styleId="Contents">
    <w:name w:val="Contents"/>
    <w:qFormat/>
    <w:rsid w:val="008332D5"/>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8332D5"/>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8332D5"/>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8332D5"/>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8332D5"/>
    <w:pPr>
      <w:spacing w:before="120"/>
      <w:ind w:right="0"/>
    </w:pPr>
    <w:rPr>
      <w:sz w:val="24"/>
    </w:rPr>
  </w:style>
  <w:style w:type="character" w:styleId="FollowedHyperlink">
    <w:name w:val="FollowedHyperlink"/>
    <w:basedOn w:val="DefaultParagraphFont"/>
    <w:uiPriority w:val="99"/>
    <w:semiHidden/>
    <w:rsid w:val="008332D5"/>
    <w:rPr>
      <w:color w:val="800080" w:themeColor="followedHyperlink"/>
      <w:u w:val="single"/>
    </w:rPr>
  </w:style>
  <w:style w:type="paragraph" w:customStyle="1" w:styleId="NumberedAlphaLevel2">
    <w:name w:val="NumberedAlphaLevel2"/>
    <w:basedOn w:val="NumberedListContinuing"/>
    <w:uiPriority w:val="1"/>
    <w:qFormat/>
    <w:rsid w:val="008332D5"/>
    <w:pPr>
      <w:numPr>
        <w:ilvl w:val="1"/>
      </w:numPr>
      <w:tabs>
        <w:tab w:val="clear" w:pos="1440"/>
        <w:tab w:val="num" w:pos="567"/>
      </w:tabs>
      <w:ind w:left="567" w:hanging="283"/>
    </w:pPr>
  </w:style>
  <w:style w:type="character" w:styleId="FootnoteReference">
    <w:name w:val="footnote reference"/>
    <w:basedOn w:val="DefaultParagraphFont"/>
    <w:rsid w:val="008332D5"/>
    <w:rPr>
      <w:vertAlign w:val="superscript"/>
    </w:rPr>
  </w:style>
  <w:style w:type="paragraph" w:customStyle="1" w:styleId="TableText0">
    <w:name w:val="Table Text"/>
    <w:basedOn w:val="Normal"/>
    <w:rsid w:val="008332D5"/>
    <w:pPr>
      <w:keepNext/>
      <w:spacing w:before="60" w:after="60" w:line="240" w:lineRule="auto"/>
      <w:ind w:left="34" w:right="125"/>
      <w:jc w:val="both"/>
    </w:pPr>
    <w:rPr>
      <w:rFonts w:ascii="Arial" w:hAnsi="Arial"/>
      <w:sz w:val="16"/>
    </w:rPr>
  </w:style>
  <w:style w:type="paragraph" w:styleId="Revision">
    <w:name w:val="Revision"/>
    <w:hidden/>
    <w:uiPriority w:val="99"/>
    <w:semiHidden/>
    <w:rsid w:val="008332D5"/>
    <w:pPr>
      <w:spacing w:after="0" w:line="240" w:lineRule="auto"/>
    </w:pPr>
    <w:rPr>
      <w:rFonts w:ascii="Trebuchet MS" w:eastAsia="Times New Roman" w:hAnsi="Trebuchet MS" w:cs="Times New Roman"/>
      <w:sz w:val="19"/>
      <w:szCs w:val="20"/>
    </w:rPr>
  </w:style>
  <w:style w:type="character" w:styleId="CommentReference">
    <w:name w:val="annotation reference"/>
    <w:basedOn w:val="DefaultParagraphFont"/>
    <w:uiPriority w:val="99"/>
    <w:semiHidden/>
    <w:rsid w:val="008332D5"/>
    <w:rPr>
      <w:sz w:val="16"/>
      <w:szCs w:val="16"/>
    </w:rPr>
  </w:style>
  <w:style w:type="paragraph" w:styleId="CommentText">
    <w:name w:val="annotation text"/>
    <w:basedOn w:val="Normal"/>
    <w:link w:val="CommentTextChar"/>
    <w:uiPriority w:val="99"/>
    <w:semiHidden/>
    <w:rsid w:val="008332D5"/>
    <w:pPr>
      <w:spacing w:line="240" w:lineRule="auto"/>
    </w:pPr>
    <w:rPr>
      <w:sz w:val="20"/>
    </w:rPr>
  </w:style>
  <w:style w:type="character" w:customStyle="1" w:styleId="CommentTextChar">
    <w:name w:val="Comment Text Char"/>
    <w:basedOn w:val="DefaultParagraphFont"/>
    <w:link w:val="CommentText"/>
    <w:uiPriority w:val="99"/>
    <w:semiHidden/>
    <w:rsid w:val="008332D5"/>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8332D5"/>
    <w:rPr>
      <w:b/>
      <w:bCs/>
    </w:rPr>
  </w:style>
  <w:style w:type="character" w:customStyle="1" w:styleId="CommentSubjectChar">
    <w:name w:val="Comment Subject Char"/>
    <w:basedOn w:val="CommentTextChar"/>
    <w:link w:val="CommentSubject"/>
    <w:uiPriority w:val="99"/>
    <w:semiHidden/>
    <w:rsid w:val="008332D5"/>
    <w:rPr>
      <w:rFonts w:ascii="Trebuchet MS" w:eastAsia="Times New Roman" w:hAnsi="Trebuchet MS" w:cs="Times New Roman"/>
      <w:b/>
      <w:bCs/>
      <w:sz w:val="20"/>
      <w:szCs w:val="20"/>
    </w:rPr>
  </w:style>
  <w:style w:type="paragraph" w:customStyle="1" w:styleId="Default">
    <w:name w:val="Default"/>
    <w:rsid w:val="008332D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extlessbefore">
    <w:name w:val="Text less # before"/>
    <w:basedOn w:val="Text"/>
    <w:uiPriority w:val="1"/>
    <w:qFormat/>
    <w:rsid w:val="00DE3303"/>
    <w:pPr>
      <w:spacing w:before="80"/>
      <w:ind w:right="0"/>
    </w:pPr>
  </w:style>
  <w:style w:type="paragraph" w:customStyle="1" w:styleId="Textmorebefore">
    <w:name w:val="Text more # before"/>
    <w:basedOn w:val="Text"/>
    <w:uiPriority w:val="1"/>
    <w:qFormat/>
    <w:rsid w:val="00DE3303"/>
    <w:pPr>
      <w:spacing w:before="360"/>
      <w:ind w:right="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2D5"/>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8332D5"/>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8332D5"/>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8332D5"/>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8332D5"/>
    <w:pPr>
      <w:spacing w:before="240" w:after="0" w:line="240" w:lineRule="auto"/>
      <w:outlineLvl w:val="3"/>
    </w:pPr>
    <w:rPr>
      <w:rFonts w:ascii="Tahoma" w:eastAsia="Times New Roman" w:hAnsi="Tahoma" w:cs="Times New Roman"/>
      <w:i/>
      <w:sz w:val="24"/>
      <w:szCs w:val="20"/>
    </w:rPr>
  </w:style>
  <w:style w:type="paragraph" w:styleId="Heading5">
    <w:name w:val="heading 5"/>
    <w:basedOn w:val="Normal"/>
    <w:next w:val="Normal"/>
    <w:link w:val="Heading5Char"/>
    <w:qFormat/>
    <w:rsid w:val="008332D5"/>
    <w:pPr>
      <w:keepNext/>
      <w:outlineLvl w:val="4"/>
    </w:pPr>
    <w:rPr>
      <w:rFonts w:ascii="Tahoma" w:hAnsi="Tahoma"/>
      <w:b/>
    </w:rPr>
  </w:style>
  <w:style w:type="paragraph" w:styleId="Heading6">
    <w:name w:val="heading 6"/>
    <w:basedOn w:val="Normal"/>
    <w:next w:val="Normal"/>
    <w:link w:val="Heading6Char"/>
    <w:qFormat/>
    <w:rsid w:val="008332D5"/>
    <w:pPr>
      <w:keepNext/>
      <w:ind w:left="2977"/>
      <w:outlineLvl w:val="5"/>
    </w:pPr>
    <w:rPr>
      <w:rFonts w:ascii="Tahoma" w:hAnsi="Tahoma"/>
      <w:sz w:val="20"/>
    </w:rPr>
  </w:style>
  <w:style w:type="paragraph" w:styleId="Heading7">
    <w:name w:val="heading 7"/>
    <w:basedOn w:val="Normal"/>
    <w:next w:val="Normal"/>
    <w:link w:val="Heading7Char"/>
    <w:qFormat/>
    <w:rsid w:val="008332D5"/>
    <w:pPr>
      <w:keepNext/>
      <w:jc w:val="center"/>
      <w:outlineLvl w:val="6"/>
    </w:pPr>
    <w:rPr>
      <w:rFonts w:ascii="Tahoma" w:hAnsi="Tahoma"/>
      <w:spacing w:val="20"/>
      <w:sz w:val="20"/>
    </w:rPr>
  </w:style>
  <w:style w:type="paragraph" w:styleId="Heading8">
    <w:name w:val="heading 8"/>
    <w:basedOn w:val="Normal"/>
    <w:next w:val="Normal"/>
    <w:link w:val="Heading8Char"/>
    <w:qFormat/>
    <w:rsid w:val="008332D5"/>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2D5"/>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8332D5"/>
    <w:rPr>
      <w:rFonts w:ascii="Tahoma" w:eastAsia="Times New Roman" w:hAnsi="Tahoma" w:cs="Tahoma"/>
      <w:sz w:val="28"/>
      <w:szCs w:val="20"/>
    </w:rPr>
  </w:style>
  <w:style w:type="character" w:customStyle="1" w:styleId="Heading3Char">
    <w:name w:val="Heading 3 Char"/>
    <w:basedOn w:val="DefaultParagraphFont"/>
    <w:link w:val="Heading3"/>
    <w:rsid w:val="008332D5"/>
    <w:rPr>
      <w:rFonts w:ascii="Tahoma" w:eastAsia="Times New Roman" w:hAnsi="Tahoma" w:cs="Tahoma"/>
      <w:color w:val="000000"/>
      <w:sz w:val="24"/>
      <w:szCs w:val="20"/>
    </w:rPr>
  </w:style>
  <w:style w:type="character" w:customStyle="1" w:styleId="Heading4Char">
    <w:name w:val="Heading 4 Char"/>
    <w:basedOn w:val="DefaultParagraphFont"/>
    <w:link w:val="Heading4"/>
    <w:rsid w:val="008332D5"/>
    <w:rPr>
      <w:rFonts w:ascii="Tahoma" w:eastAsia="Times New Roman" w:hAnsi="Tahoma" w:cs="Times New Roman"/>
      <w:i/>
      <w:sz w:val="24"/>
      <w:szCs w:val="20"/>
    </w:rPr>
  </w:style>
  <w:style w:type="character" w:customStyle="1" w:styleId="Heading5Char">
    <w:name w:val="Heading 5 Char"/>
    <w:basedOn w:val="DefaultParagraphFont"/>
    <w:link w:val="Heading5"/>
    <w:rsid w:val="008332D5"/>
    <w:rPr>
      <w:rFonts w:ascii="Tahoma" w:eastAsia="Times New Roman" w:hAnsi="Tahoma" w:cs="Times New Roman"/>
      <w:b/>
      <w:sz w:val="19"/>
      <w:szCs w:val="20"/>
    </w:rPr>
  </w:style>
  <w:style w:type="character" w:customStyle="1" w:styleId="Heading6Char">
    <w:name w:val="Heading 6 Char"/>
    <w:basedOn w:val="DefaultParagraphFont"/>
    <w:link w:val="Heading6"/>
    <w:rsid w:val="008332D5"/>
    <w:rPr>
      <w:rFonts w:ascii="Tahoma" w:eastAsia="Times New Roman" w:hAnsi="Tahoma" w:cs="Times New Roman"/>
      <w:sz w:val="20"/>
      <w:szCs w:val="20"/>
    </w:rPr>
  </w:style>
  <w:style w:type="character" w:customStyle="1" w:styleId="Heading7Char">
    <w:name w:val="Heading 7 Char"/>
    <w:basedOn w:val="DefaultParagraphFont"/>
    <w:link w:val="Heading7"/>
    <w:rsid w:val="008332D5"/>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8332D5"/>
    <w:rPr>
      <w:rFonts w:ascii="Tahoma" w:eastAsia="Times New Roman" w:hAnsi="Tahoma" w:cs="Times New Roman"/>
      <w:color w:val="C0C0C0"/>
      <w:spacing w:val="60"/>
      <w:sz w:val="20"/>
      <w:szCs w:val="20"/>
    </w:rPr>
  </w:style>
  <w:style w:type="paragraph" w:customStyle="1" w:styleId="Text">
    <w:name w:val="Text"/>
    <w:link w:val="TextChar"/>
    <w:rsid w:val="008332D5"/>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8332D5"/>
    <w:rPr>
      <w:rFonts w:ascii="Trebuchet MS" w:eastAsia="Times New Roman" w:hAnsi="Trebuchet MS" w:cs="Times New Roman"/>
      <w:sz w:val="19"/>
      <w:szCs w:val="20"/>
    </w:rPr>
  </w:style>
  <w:style w:type="character" w:styleId="PageNumber">
    <w:name w:val="page number"/>
    <w:basedOn w:val="DefaultParagraphFont"/>
    <w:rsid w:val="008332D5"/>
    <w:rPr>
      <w:rFonts w:ascii="Tahoma" w:hAnsi="Tahoma"/>
      <w:sz w:val="18"/>
    </w:rPr>
  </w:style>
  <w:style w:type="paragraph" w:styleId="Footer">
    <w:name w:val="footer"/>
    <w:basedOn w:val="Normal"/>
    <w:link w:val="FooterChar"/>
    <w:uiPriority w:val="99"/>
    <w:rsid w:val="008332D5"/>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rsid w:val="008332D5"/>
    <w:rPr>
      <w:rFonts w:ascii="Tahoma" w:eastAsia="Times New Roman" w:hAnsi="Tahoma" w:cs="Times New Roman"/>
      <w:sz w:val="17"/>
      <w:szCs w:val="17"/>
    </w:rPr>
  </w:style>
  <w:style w:type="paragraph" w:styleId="TOC1">
    <w:name w:val="toc 1"/>
    <w:uiPriority w:val="39"/>
    <w:rsid w:val="008332D5"/>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8332D5"/>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8332D5"/>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8332D5"/>
    <w:pPr>
      <w:spacing w:before="40" w:after="40" w:line="240" w:lineRule="auto"/>
    </w:pPr>
    <w:rPr>
      <w:rFonts w:ascii="Arial" w:eastAsia="Times New Roman" w:hAnsi="Arial" w:cs="Times New Roman"/>
      <w:sz w:val="16"/>
      <w:szCs w:val="20"/>
    </w:rPr>
  </w:style>
  <w:style w:type="paragraph" w:customStyle="1" w:styleId="Tablehead1">
    <w:name w:val="Tablehead1"/>
    <w:rsid w:val="008332D5"/>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8332D5"/>
    <w:pPr>
      <w:tabs>
        <w:tab w:val="right" w:pos="7853"/>
      </w:tabs>
      <w:spacing w:before="80"/>
      <w:ind w:left="567" w:right="652"/>
    </w:pPr>
    <w:rPr>
      <w:sz w:val="17"/>
    </w:rPr>
  </w:style>
  <w:style w:type="character" w:customStyle="1" w:styleId="QuoteChar">
    <w:name w:val="Quote Char"/>
    <w:basedOn w:val="DefaultParagraphFont"/>
    <w:link w:val="Quote"/>
    <w:rsid w:val="008332D5"/>
    <w:rPr>
      <w:rFonts w:ascii="Trebuchet MS" w:eastAsia="Times New Roman" w:hAnsi="Trebuchet MS" w:cs="Times New Roman"/>
      <w:sz w:val="17"/>
      <w:szCs w:val="20"/>
    </w:rPr>
  </w:style>
  <w:style w:type="paragraph" w:customStyle="1" w:styleId="References">
    <w:name w:val="References"/>
    <w:rsid w:val="005F07B7"/>
    <w:pPr>
      <w:spacing w:before="80" w:after="0" w:line="240" w:lineRule="auto"/>
      <w:ind w:left="284" w:hanging="284"/>
    </w:pPr>
    <w:rPr>
      <w:rFonts w:ascii="Trebuchet MS" w:eastAsia="Times New Roman" w:hAnsi="Trebuchet MS" w:cs="Times New Roman"/>
      <w:sz w:val="18"/>
      <w:szCs w:val="20"/>
    </w:rPr>
  </w:style>
  <w:style w:type="paragraph" w:customStyle="1" w:styleId="Tablehead2">
    <w:name w:val="Tablehead2"/>
    <w:basedOn w:val="Tablehead1"/>
    <w:rsid w:val="008332D5"/>
    <w:pPr>
      <w:tabs>
        <w:tab w:val="left" w:pos="992"/>
      </w:tabs>
      <w:spacing w:before="20" w:after="20"/>
    </w:pPr>
    <w:rPr>
      <w:b w:val="0"/>
    </w:rPr>
  </w:style>
  <w:style w:type="paragraph" w:customStyle="1" w:styleId="Tablehead3">
    <w:name w:val="Tablehead3"/>
    <w:basedOn w:val="Tablehead2"/>
    <w:rsid w:val="008332D5"/>
    <w:rPr>
      <w:i/>
    </w:rPr>
  </w:style>
  <w:style w:type="paragraph" w:styleId="TableofFigures">
    <w:name w:val="table of figures"/>
    <w:basedOn w:val="TOC1"/>
    <w:next w:val="Normal"/>
    <w:uiPriority w:val="99"/>
    <w:rsid w:val="004F0A74"/>
    <w:pPr>
      <w:spacing w:before="80"/>
      <w:ind w:left="425" w:right="1985" w:hanging="425"/>
    </w:pPr>
  </w:style>
  <w:style w:type="paragraph" w:customStyle="1" w:styleId="Imprint">
    <w:name w:val="Imprint"/>
    <w:basedOn w:val="Normal"/>
    <w:rsid w:val="008332D5"/>
    <w:pPr>
      <w:spacing w:line="260" w:lineRule="atLeast"/>
    </w:pPr>
    <w:rPr>
      <w:sz w:val="16"/>
    </w:rPr>
  </w:style>
  <w:style w:type="paragraph" w:customStyle="1" w:styleId="Figuretitle">
    <w:name w:val="Figuretitle"/>
    <w:basedOn w:val="tabletitle"/>
    <w:rsid w:val="008332D5"/>
  </w:style>
  <w:style w:type="paragraph" w:customStyle="1" w:styleId="Dotpoint1">
    <w:name w:val="Dotpoint1"/>
    <w:rsid w:val="008332D5"/>
    <w:pPr>
      <w:numPr>
        <w:numId w:val="22"/>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8332D5"/>
    <w:pPr>
      <w:numPr>
        <w:numId w:val="23"/>
      </w:numPr>
      <w:tabs>
        <w:tab w:val="clear" w:pos="284"/>
        <w:tab w:val="left" w:pos="567"/>
      </w:tabs>
      <w:ind w:left="568" w:hanging="284"/>
    </w:pPr>
  </w:style>
  <w:style w:type="paragraph" w:customStyle="1" w:styleId="NumberedListContinuing">
    <w:name w:val="NumberedListContinuing"/>
    <w:rsid w:val="008332D5"/>
    <w:pPr>
      <w:numPr>
        <w:numId w:val="3"/>
      </w:numPr>
      <w:spacing w:before="120" w:after="0" w:line="300" w:lineRule="exact"/>
    </w:pPr>
    <w:rPr>
      <w:rFonts w:ascii="Trebuchet MS" w:eastAsia="Times New Roman" w:hAnsi="Trebuchet MS" w:cs="Times New Roman"/>
      <w:sz w:val="19"/>
      <w:szCs w:val="20"/>
      <w:lang w:eastAsia="en-AU"/>
    </w:rPr>
  </w:style>
  <w:style w:type="paragraph" w:customStyle="1" w:styleId="Source">
    <w:name w:val="Source"/>
    <w:rsid w:val="008332D5"/>
    <w:pPr>
      <w:spacing w:before="40" w:after="0" w:line="240" w:lineRule="auto"/>
      <w:ind w:left="567" w:hanging="567"/>
    </w:pPr>
    <w:rPr>
      <w:rFonts w:ascii="Arial" w:eastAsia="Times New Roman" w:hAnsi="Arial" w:cs="Times New Roman"/>
      <w:sz w:val="15"/>
      <w:szCs w:val="20"/>
    </w:rPr>
  </w:style>
  <w:style w:type="paragraph" w:styleId="FootnoteText">
    <w:name w:val="footnote text"/>
    <w:basedOn w:val="Text"/>
    <w:link w:val="FootnoteTextChar"/>
    <w:rsid w:val="00627579"/>
    <w:pPr>
      <w:tabs>
        <w:tab w:val="left" w:pos="1418"/>
      </w:tabs>
      <w:spacing w:before="0" w:line="220" w:lineRule="exact"/>
      <w:ind w:left="227" w:right="0" w:hanging="227"/>
    </w:pPr>
    <w:rPr>
      <w:sz w:val="16"/>
    </w:rPr>
  </w:style>
  <w:style w:type="character" w:customStyle="1" w:styleId="FootnoteTextChar">
    <w:name w:val="Footnote Text Char"/>
    <w:basedOn w:val="DefaultParagraphFont"/>
    <w:link w:val="FootnoteText"/>
    <w:rsid w:val="00627579"/>
    <w:rPr>
      <w:rFonts w:ascii="Trebuchet MS" w:eastAsia="Times New Roman" w:hAnsi="Trebuchet MS" w:cs="Times New Roman"/>
      <w:sz w:val="16"/>
      <w:szCs w:val="20"/>
    </w:rPr>
  </w:style>
  <w:style w:type="paragraph" w:styleId="NormalWeb">
    <w:name w:val="Normal (Web)"/>
    <w:basedOn w:val="Normal"/>
    <w:uiPriority w:val="1"/>
    <w:semiHidden/>
    <w:rsid w:val="008332D5"/>
    <w:pPr>
      <w:spacing w:before="100" w:beforeAutospacing="1" w:after="240"/>
    </w:pPr>
    <w:rPr>
      <w:sz w:val="18"/>
      <w:szCs w:val="18"/>
    </w:rPr>
  </w:style>
  <w:style w:type="paragraph" w:customStyle="1" w:styleId="PublicationTitle">
    <w:name w:val="Publication Title"/>
    <w:qFormat/>
    <w:rsid w:val="008332D5"/>
    <w:pPr>
      <w:spacing w:before="3200" w:after="840" w:line="240" w:lineRule="auto"/>
      <w:ind w:left="1701"/>
    </w:pPr>
    <w:rPr>
      <w:rFonts w:ascii="Tahoma" w:eastAsia="Times New Roman" w:hAnsi="Tahoma" w:cs="Tahoma"/>
      <w:color w:val="000000"/>
      <w:kern w:val="28"/>
      <w:sz w:val="56"/>
      <w:szCs w:val="56"/>
    </w:rPr>
  </w:style>
  <w:style w:type="paragraph" w:styleId="TOC3">
    <w:name w:val="toc 3"/>
    <w:basedOn w:val="TOC2"/>
    <w:next w:val="Normal"/>
    <w:autoRedefine/>
    <w:semiHidden/>
    <w:unhideWhenUsed/>
    <w:rsid w:val="008332D5"/>
    <w:pPr>
      <w:ind w:left="440"/>
    </w:pPr>
  </w:style>
  <w:style w:type="paragraph" w:styleId="TOC4">
    <w:name w:val="toc 4"/>
    <w:basedOn w:val="TOC3"/>
    <w:next w:val="Normal"/>
    <w:autoRedefine/>
    <w:semiHidden/>
    <w:unhideWhenUsed/>
    <w:rsid w:val="008332D5"/>
    <w:pPr>
      <w:ind w:left="660"/>
    </w:pPr>
  </w:style>
  <w:style w:type="paragraph" w:styleId="BalloonText">
    <w:name w:val="Balloon Text"/>
    <w:basedOn w:val="Normal"/>
    <w:link w:val="BalloonTextChar"/>
    <w:uiPriority w:val="99"/>
    <w:semiHidden/>
    <w:rsid w:val="008332D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2D5"/>
    <w:rPr>
      <w:rFonts w:ascii="Tahoma" w:eastAsia="Times New Roman" w:hAnsi="Tahoma" w:cs="Tahoma"/>
      <w:sz w:val="16"/>
      <w:szCs w:val="16"/>
    </w:rPr>
  </w:style>
  <w:style w:type="table" w:styleId="TableGrid">
    <w:name w:val="Table Grid"/>
    <w:basedOn w:val="TableNormal"/>
    <w:uiPriority w:val="59"/>
    <w:rsid w:val="008332D5"/>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8332D5"/>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8332D5"/>
    <w:rPr>
      <w:rFonts w:ascii="Trebuchet MS" w:eastAsia="Times New Roman" w:hAnsi="Trebuchet MS" w:cs="Times New Roman"/>
      <w:sz w:val="19"/>
      <w:szCs w:val="20"/>
    </w:rPr>
  </w:style>
  <w:style w:type="character" w:styleId="Hyperlink">
    <w:name w:val="Hyperlink"/>
    <w:basedOn w:val="DefaultParagraphFont"/>
    <w:unhideWhenUsed/>
    <w:rsid w:val="008332D5"/>
    <w:rPr>
      <w:rFonts w:ascii="Trebuchet MS" w:hAnsi="Trebuchet MS"/>
      <w:color w:val="auto"/>
      <w:sz w:val="19"/>
      <w:u w:val="none"/>
    </w:rPr>
  </w:style>
  <w:style w:type="paragraph" w:styleId="ListParagraph">
    <w:name w:val="List Paragraph"/>
    <w:basedOn w:val="Normal"/>
    <w:uiPriority w:val="34"/>
    <w:qFormat/>
    <w:rsid w:val="008332D5"/>
    <w:pPr>
      <w:ind w:left="720"/>
      <w:contextualSpacing/>
    </w:pPr>
  </w:style>
  <w:style w:type="paragraph" w:styleId="BodyText">
    <w:name w:val="Body Text"/>
    <w:basedOn w:val="Normal"/>
    <w:link w:val="BodyTextChar"/>
    <w:rsid w:val="008332D5"/>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8332D5"/>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8332D5"/>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8332D5"/>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8332D5"/>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8332D5"/>
    <w:rPr>
      <w:rFonts w:ascii="Times New Roman" w:eastAsia="Times New Roman" w:hAnsi="Times New Roman" w:cs="Times New Roman"/>
      <w:szCs w:val="20"/>
      <w:lang w:eastAsia="en-AU"/>
    </w:rPr>
  </w:style>
  <w:style w:type="paragraph" w:customStyle="1" w:styleId="Authors">
    <w:name w:val="Authors"/>
    <w:qFormat/>
    <w:rsid w:val="008332D5"/>
    <w:pPr>
      <w:spacing w:after="0" w:line="240" w:lineRule="auto"/>
      <w:ind w:left="1701" w:right="-1"/>
    </w:pPr>
    <w:rPr>
      <w:rFonts w:ascii="Tahoma" w:eastAsia="Times New Roman" w:hAnsi="Tahoma" w:cs="Tahoma"/>
      <w:sz w:val="28"/>
      <w:szCs w:val="20"/>
    </w:rPr>
  </w:style>
  <w:style w:type="paragraph" w:customStyle="1" w:styleId="Contents">
    <w:name w:val="Contents"/>
    <w:qFormat/>
    <w:rsid w:val="008332D5"/>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8332D5"/>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8332D5"/>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8332D5"/>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8332D5"/>
    <w:pPr>
      <w:spacing w:before="120"/>
      <w:ind w:right="0"/>
    </w:pPr>
    <w:rPr>
      <w:sz w:val="24"/>
    </w:rPr>
  </w:style>
  <w:style w:type="character" w:styleId="FollowedHyperlink">
    <w:name w:val="FollowedHyperlink"/>
    <w:basedOn w:val="DefaultParagraphFont"/>
    <w:uiPriority w:val="99"/>
    <w:semiHidden/>
    <w:rsid w:val="008332D5"/>
    <w:rPr>
      <w:color w:val="800080" w:themeColor="followedHyperlink"/>
      <w:u w:val="single"/>
    </w:rPr>
  </w:style>
  <w:style w:type="paragraph" w:customStyle="1" w:styleId="NumberedAlphaLevel2">
    <w:name w:val="NumberedAlphaLevel2"/>
    <w:basedOn w:val="NumberedListContinuing"/>
    <w:uiPriority w:val="1"/>
    <w:qFormat/>
    <w:rsid w:val="008332D5"/>
    <w:pPr>
      <w:numPr>
        <w:ilvl w:val="1"/>
      </w:numPr>
      <w:tabs>
        <w:tab w:val="clear" w:pos="1440"/>
        <w:tab w:val="num" w:pos="567"/>
      </w:tabs>
      <w:ind w:left="567" w:hanging="283"/>
    </w:pPr>
  </w:style>
  <w:style w:type="character" w:styleId="FootnoteReference">
    <w:name w:val="footnote reference"/>
    <w:basedOn w:val="DefaultParagraphFont"/>
    <w:rsid w:val="008332D5"/>
    <w:rPr>
      <w:vertAlign w:val="superscript"/>
    </w:rPr>
  </w:style>
  <w:style w:type="paragraph" w:customStyle="1" w:styleId="TableText0">
    <w:name w:val="Table Text"/>
    <w:basedOn w:val="Normal"/>
    <w:rsid w:val="008332D5"/>
    <w:pPr>
      <w:keepNext/>
      <w:spacing w:before="60" w:after="60" w:line="240" w:lineRule="auto"/>
      <w:ind w:left="34" w:right="125"/>
      <w:jc w:val="both"/>
    </w:pPr>
    <w:rPr>
      <w:rFonts w:ascii="Arial" w:hAnsi="Arial"/>
      <w:sz w:val="16"/>
    </w:rPr>
  </w:style>
  <w:style w:type="paragraph" w:styleId="Revision">
    <w:name w:val="Revision"/>
    <w:hidden/>
    <w:uiPriority w:val="99"/>
    <w:semiHidden/>
    <w:rsid w:val="008332D5"/>
    <w:pPr>
      <w:spacing w:after="0" w:line="240" w:lineRule="auto"/>
    </w:pPr>
    <w:rPr>
      <w:rFonts w:ascii="Trebuchet MS" w:eastAsia="Times New Roman" w:hAnsi="Trebuchet MS" w:cs="Times New Roman"/>
      <w:sz w:val="19"/>
      <w:szCs w:val="20"/>
    </w:rPr>
  </w:style>
  <w:style w:type="character" w:styleId="CommentReference">
    <w:name w:val="annotation reference"/>
    <w:basedOn w:val="DefaultParagraphFont"/>
    <w:uiPriority w:val="99"/>
    <w:semiHidden/>
    <w:rsid w:val="008332D5"/>
    <w:rPr>
      <w:sz w:val="16"/>
      <w:szCs w:val="16"/>
    </w:rPr>
  </w:style>
  <w:style w:type="paragraph" w:styleId="CommentText">
    <w:name w:val="annotation text"/>
    <w:basedOn w:val="Normal"/>
    <w:link w:val="CommentTextChar"/>
    <w:uiPriority w:val="99"/>
    <w:semiHidden/>
    <w:rsid w:val="008332D5"/>
    <w:pPr>
      <w:spacing w:line="240" w:lineRule="auto"/>
    </w:pPr>
    <w:rPr>
      <w:sz w:val="20"/>
    </w:rPr>
  </w:style>
  <w:style w:type="character" w:customStyle="1" w:styleId="CommentTextChar">
    <w:name w:val="Comment Text Char"/>
    <w:basedOn w:val="DefaultParagraphFont"/>
    <w:link w:val="CommentText"/>
    <w:uiPriority w:val="99"/>
    <w:semiHidden/>
    <w:rsid w:val="008332D5"/>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8332D5"/>
    <w:rPr>
      <w:b/>
      <w:bCs/>
    </w:rPr>
  </w:style>
  <w:style w:type="character" w:customStyle="1" w:styleId="CommentSubjectChar">
    <w:name w:val="Comment Subject Char"/>
    <w:basedOn w:val="CommentTextChar"/>
    <w:link w:val="CommentSubject"/>
    <w:uiPriority w:val="99"/>
    <w:semiHidden/>
    <w:rsid w:val="008332D5"/>
    <w:rPr>
      <w:rFonts w:ascii="Trebuchet MS" w:eastAsia="Times New Roman" w:hAnsi="Trebuchet MS" w:cs="Times New Roman"/>
      <w:b/>
      <w:bCs/>
      <w:sz w:val="20"/>
      <w:szCs w:val="20"/>
    </w:rPr>
  </w:style>
  <w:style w:type="paragraph" w:customStyle="1" w:styleId="Default">
    <w:name w:val="Default"/>
    <w:rsid w:val="008332D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extlessbefore">
    <w:name w:val="Text less # before"/>
    <w:basedOn w:val="Text"/>
    <w:uiPriority w:val="1"/>
    <w:qFormat/>
    <w:rsid w:val="00DE3303"/>
    <w:pPr>
      <w:spacing w:before="80"/>
      <w:ind w:right="0"/>
    </w:pPr>
  </w:style>
  <w:style w:type="paragraph" w:customStyle="1" w:styleId="Textmorebefore">
    <w:name w:val="Text more # before"/>
    <w:basedOn w:val="Text"/>
    <w:uiPriority w:val="1"/>
    <w:qFormat/>
    <w:rsid w:val="00DE3303"/>
    <w:pPr>
      <w:spacing w:before="360"/>
      <w:ind w:right="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image" Target="media/image30.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0.e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linkedin.com/company/ncver"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lsay.edu.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linkedin.com/company/ncver" TargetMode="External"/><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mailto:ncver@ncver.edu.au"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lsay.edu.au" TargetMode="External"/><Relationship Id="rId22" Type="http://schemas.openxmlformats.org/officeDocument/2006/relationships/image" Target="media/image50.emf"/><Relationship Id="rId27" Type="http://schemas.openxmlformats.org/officeDocument/2006/relationships/footer" Target="footer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Latestproducts/4A2EC9661587997ACA25722E000F75FB?%20opendocument" TargetMode="External"/><Relationship Id="rId1" Type="http://schemas.openxmlformats.org/officeDocument/2006/relationships/hyperlink" Target="http://www.lsay.edu.au/dat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394C1-73DD-42C4-A993-D3C9BF7A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CB705D48.dotm</Template>
  <TotalTime>308</TotalTime>
  <Pages>30</Pages>
  <Words>10432</Words>
  <Characters>59465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financial stress impact</dc:title>
  <dc:creator>sianhallidaywynes</dc:creator>
  <cp:lastModifiedBy>katrinamatheos</cp:lastModifiedBy>
  <cp:revision>25</cp:revision>
  <cp:lastPrinted>2014-06-03T05:21:00Z</cp:lastPrinted>
  <dcterms:created xsi:type="dcterms:W3CDTF">2014-05-26T00:26:00Z</dcterms:created>
  <dcterms:modified xsi:type="dcterms:W3CDTF">2014-07-21T05:57:00Z</dcterms:modified>
</cp:coreProperties>
</file>