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E17B4"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01BE1A7A" wp14:editId="01BE1A7B">
            <wp:simplePos x="0" y="0"/>
            <wp:positionH relativeFrom="column">
              <wp:posOffset>1737995</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anchor>
        </w:drawing>
      </w:r>
    </w:p>
    <w:bookmarkEnd w:id="0"/>
    <w:bookmarkEnd w:id="1"/>
    <w:p w14:paraId="01BE17B5" w14:textId="77777777" w:rsidR="009E231A" w:rsidRPr="005C2FCF" w:rsidRDefault="004E166C" w:rsidP="00991FDC">
      <w:pPr>
        <w:pStyle w:val="PublicationTitle"/>
        <w:spacing w:before="1440" w:after="480"/>
      </w:pPr>
      <w:r>
        <w:t>Case studies of training advantage for remote Aboriginal and Torres Strait Island learners</w:t>
      </w:r>
    </w:p>
    <w:p w14:paraId="01BE17B6" w14:textId="77777777" w:rsidR="0053722E" w:rsidRDefault="004E166C" w:rsidP="0053722E">
      <w:pPr>
        <w:pStyle w:val="Authors"/>
      </w:pPr>
      <w:bookmarkStart w:id="2" w:name="_Toc296423678"/>
      <w:bookmarkStart w:id="3" w:name="_Toc296497509"/>
      <w:r>
        <w:t>Janet Skewes</w:t>
      </w:r>
      <w:r w:rsidR="0053722E">
        <w:t xml:space="preserve"> </w:t>
      </w:r>
      <w:bookmarkEnd w:id="2"/>
      <w:bookmarkEnd w:id="3"/>
    </w:p>
    <w:p w14:paraId="01BE17B7" w14:textId="77777777" w:rsidR="009E231A" w:rsidRDefault="004E166C" w:rsidP="0053722E">
      <w:pPr>
        <w:pStyle w:val="Organisation"/>
      </w:pPr>
      <w:r>
        <w:t>TAFE SA</w:t>
      </w:r>
    </w:p>
    <w:p w14:paraId="01BE17B8" w14:textId="77777777" w:rsidR="0053722E" w:rsidRDefault="00552451" w:rsidP="0053722E">
      <w:pPr>
        <w:pStyle w:val="Authors"/>
      </w:pPr>
      <w:r>
        <w:t>Melodie Bat and John Guenther</w:t>
      </w:r>
      <w:r w:rsidR="0053722E">
        <w:t xml:space="preserve"> </w:t>
      </w:r>
    </w:p>
    <w:p w14:paraId="01BE17B9" w14:textId="77777777" w:rsidR="00552451" w:rsidRPr="0053722E" w:rsidRDefault="00552451" w:rsidP="0053722E">
      <w:pPr>
        <w:pStyle w:val="Organisation"/>
      </w:pPr>
      <w:r w:rsidRPr="0053722E">
        <w:t>Batchelor Institute of Indigenous Tertiary Education</w:t>
      </w:r>
    </w:p>
    <w:p w14:paraId="01BE17BA" w14:textId="77777777" w:rsidR="00552451" w:rsidRDefault="00552451" w:rsidP="00552451">
      <w:pPr>
        <w:pStyle w:val="Authors"/>
      </w:pPr>
      <w:r>
        <w:t xml:space="preserve">Bob </w:t>
      </w:r>
      <w:proofErr w:type="spellStart"/>
      <w:r w:rsidR="002114D8">
        <w:t>Boughton</w:t>
      </w:r>
      <w:proofErr w:type="spellEnd"/>
      <w:r>
        <w:t xml:space="preserve"> and Frances Williamson</w:t>
      </w:r>
    </w:p>
    <w:p w14:paraId="01BE17BB" w14:textId="77777777" w:rsidR="00552451" w:rsidRDefault="00552451" w:rsidP="00940830">
      <w:pPr>
        <w:pStyle w:val="Organisation"/>
      </w:pPr>
      <w:r>
        <w:t>University of New England</w:t>
      </w:r>
    </w:p>
    <w:p w14:paraId="01BE17BC" w14:textId="77777777" w:rsidR="00552451" w:rsidRDefault="00552451" w:rsidP="0053722E">
      <w:pPr>
        <w:pStyle w:val="Authors"/>
      </w:pPr>
      <w:r>
        <w:t>Sandra Wooltorton, Mel Marshall, Anna Dwyer</w:t>
      </w:r>
    </w:p>
    <w:p w14:paraId="01BE17BD" w14:textId="77777777" w:rsidR="00552451" w:rsidRDefault="00552451" w:rsidP="00940830">
      <w:pPr>
        <w:pStyle w:val="Organisation"/>
      </w:pPr>
      <w:r>
        <w:t>University of Notre Dame Australia</w:t>
      </w:r>
    </w:p>
    <w:p w14:paraId="01BE17BE" w14:textId="7E41CDDF" w:rsidR="0053722E" w:rsidRDefault="0053722E" w:rsidP="0053722E">
      <w:pPr>
        <w:pStyle w:val="Authors"/>
      </w:pPr>
      <w:r>
        <w:t>Anne Stephens</w:t>
      </w:r>
    </w:p>
    <w:p w14:paraId="01BE17BF" w14:textId="2E55821F" w:rsidR="0053722E" w:rsidRDefault="0053722E" w:rsidP="00940830">
      <w:pPr>
        <w:pStyle w:val="Organisation"/>
      </w:pPr>
      <w:r>
        <w:t>James Cook University</w:t>
      </w:r>
    </w:p>
    <w:p w14:paraId="01BE17C0" w14:textId="4DE3F433" w:rsidR="00166281" w:rsidRDefault="00166281" w:rsidP="00940830">
      <w:pPr>
        <w:pStyle w:val="Organisation"/>
      </w:pPr>
    </w:p>
    <w:p w14:paraId="01BE17C1" w14:textId="77777777" w:rsidR="000315D7" w:rsidRDefault="000315D7" w:rsidP="00940830">
      <w:pPr>
        <w:pStyle w:val="Organisation"/>
      </w:pPr>
    </w:p>
    <w:p w14:paraId="01BE17C2" w14:textId="3D1C24B1" w:rsidR="006C5DA9" w:rsidRPr="006C5DA9" w:rsidRDefault="00991FDC"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01BE1A7D" wp14:editId="0C332AB3">
                <wp:simplePos x="0" y="0"/>
                <wp:positionH relativeFrom="column">
                  <wp:posOffset>1556523</wp:posOffset>
                </wp:positionH>
                <wp:positionV relativeFrom="margin">
                  <wp:posOffset>6923653</wp:posOffset>
                </wp:positionV>
                <wp:extent cx="3825875" cy="1928634"/>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928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E1A93" w14:textId="77777777" w:rsidR="00E1636A" w:rsidRPr="00B57CC9" w:rsidRDefault="00E1636A" w:rsidP="00B57CC9">
                            <w:pPr>
                              <w:pStyle w:val="Text"/>
                              <w:shd w:val="clear" w:color="auto" w:fill="000000" w:themeFill="text1"/>
                            </w:pPr>
                            <w:r w:rsidRPr="000C1642">
                              <w:t xml:space="preserve">This document was produced by the author(s) based on their research for the report </w:t>
                            </w:r>
                            <w:r w:rsidRPr="00FC48FE">
                              <w:rPr>
                                <w:i/>
                              </w:rPr>
                              <w:t>Enhancing training advantage for remote Aboriginal and Torres Strait Islander learners</w:t>
                            </w:r>
                            <w:r w:rsidRPr="000C1642">
                              <w:t xml:space="preserve">, and is an added resource for further information. The report is available on NCVER’s </w:t>
                            </w:r>
                            <w:r>
                              <w:t>Portal: &lt;</w:t>
                            </w:r>
                            <w:hyperlink r:id="rId10" w:history="1">
                              <w:r w:rsidRPr="00241AFF">
                                <w:rPr>
                                  <w:rStyle w:val="Hyperlink"/>
                                </w:rPr>
                                <w:t>http://www.ncver.edu.au</w:t>
                              </w:r>
                            </w:hyperlink>
                            <w:r>
                              <w:t>&gt;.</w:t>
                            </w:r>
                            <w:r w:rsidRPr="00F107E1">
                              <w:t xml:space="preserve"> </w:t>
                            </w:r>
                          </w:p>
                          <w:p w14:paraId="01BE1A95" w14:textId="77777777" w:rsidR="00E1636A" w:rsidRDefault="00E1636A" w:rsidP="000C1642">
                            <w:pPr>
                              <w:pStyle w:val="Imprint"/>
                            </w:pPr>
                            <w:r>
                              <w:t>The views and opinions expressed in this document are those of the author(s) and do not necessarily reflect the views of the Australian Government,</w:t>
                            </w:r>
                            <w:r w:rsidRPr="00F107E1">
                              <w:t xml:space="preserve"> </w:t>
                            </w:r>
                            <w:r>
                              <w:t>state and territory governments or NCVER. Any errors and omissions are the responsibility of the author(s).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2.55pt;margin-top:545.15pt;width:301.25pt;height:15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" filled="f" stroked="f">
                <v:textbox>
                  <w:txbxContent>
                    <w:p w14:paraId="01BE1A93" w14:textId="77777777" w:rsidR="00E1636A" w:rsidRPr="00B57CC9" w:rsidRDefault="00E1636A" w:rsidP="00B57CC9">
                      <w:pPr>
                        <w:pStyle w:val="Text"/>
                        <w:shd w:val="clear" w:color="auto" w:fill="000000" w:themeFill="text1"/>
                      </w:pPr>
                      <w:r w:rsidRPr="000C1642">
                        <w:t xml:space="preserve">This document was produced by the author(s) based on their research for the report </w:t>
                      </w:r>
                      <w:r w:rsidRPr="00FC48FE">
                        <w:rPr>
                          <w:i/>
                        </w:rPr>
                        <w:t>Enhancing training advantage for remote Aboriginal and Torres Strait Islander learners</w:t>
                      </w:r>
                      <w:r w:rsidRPr="000C1642">
                        <w:t xml:space="preserve">, and is an added resource for further information. The report is available on NCVER’s </w:t>
                      </w:r>
                      <w:r>
                        <w:t>Portal: &lt;</w:t>
                      </w:r>
                      <w:hyperlink r:id="rId11" w:history="1">
                        <w:r w:rsidRPr="00241AFF">
                          <w:rPr>
                            <w:rStyle w:val="Hyperlink"/>
                          </w:rPr>
                          <w:t>http://www.ncver.edu.au</w:t>
                        </w:r>
                      </w:hyperlink>
                      <w:r>
                        <w:t>&gt;.</w:t>
                      </w:r>
                      <w:r w:rsidRPr="00F107E1">
                        <w:t xml:space="preserve"> </w:t>
                      </w:r>
                    </w:p>
                    <w:p w14:paraId="01BE1A95" w14:textId="77777777" w:rsidR="00E1636A" w:rsidRDefault="00E1636A" w:rsidP="000C1642">
                      <w:pPr>
                        <w:pStyle w:val="Imprint"/>
                      </w:pPr>
                      <w:r>
                        <w:t>The views and opinions expressed in this document are those of the author(s) and do not necessarily reflect the views of the Australian Government,</w:t>
                      </w:r>
                      <w:r w:rsidRPr="00F107E1">
                        <w:t xml:space="preserve"> </w:t>
                      </w:r>
                      <w:r>
                        <w:t>state and territory governments or NCVER. Any errors and omissions are the responsibility of the author(s).</w:t>
                      </w:r>
                    </w:p>
                  </w:txbxContent>
                </v:textbox>
                <w10:wrap anchory="margin"/>
              </v:shape>
            </w:pict>
          </mc:Fallback>
        </mc:AlternateContent>
      </w:r>
    </w:p>
    <w:p w14:paraId="01BE17C3" w14:textId="77777777" w:rsidR="001B43CF" w:rsidRDefault="001B43CF" w:rsidP="00A9334E">
      <w:pPr>
        <w:pStyle w:val="Text"/>
        <w:ind w:left="2552"/>
      </w:pPr>
    </w:p>
    <w:p w14:paraId="01BE17C4" w14:textId="77777777" w:rsidR="001B43CF" w:rsidRDefault="001B43CF" w:rsidP="00A9334E">
      <w:pPr>
        <w:pStyle w:val="Text"/>
        <w:ind w:left="2552"/>
      </w:pPr>
    </w:p>
    <w:p w14:paraId="01BE17C5" w14:textId="77777777" w:rsidR="001B43CF" w:rsidRDefault="001B43CF" w:rsidP="00A9334E">
      <w:pPr>
        <w:pStyle w:val="Text"/>
        <w:ind w:left="2552"/>
      </w:pPr>
    </w:p>
    <w:p w14:paraId="01BE17C6" w14:textId="77777777" w:rsidR="001B43CF" w:rsidRDefault="001B43CF" w:rsidP="00A9334E">
      <w:pPr>
        <w:pStyle w:val="Text"/>
        <w:ind w:left="2552"/>
      </w:pPr>
    </w:p>
    <w:p w14:paraId="01BE17C7" w14:textId="77777777" w:rsidR="00177827" w:rsidRDefault="00FE4A2D" w:rsidP="00A9334E">
      <w:pPr>
        <w:pStyle w:val="Heading3"/>
        <w:ind w:left="2552" w:right="-1"/>
      </w:pPr>
      <w:r w:rsidRPr="005C2FCF">
        <w:br w:type="page"/>
      </w:r>
      <w:bookmarkStart w:id="4" w:name="_Toc495748330"/>
      <w:bookmarkStart w:id="5" w:name="_Toc495810630"/>
      <w:bookmarkStart w:id="6" w:name="_Toc6031787"/>
      <w:bookmarkStart w:id="7" w:name="_Toc6031844"/>
    </w:p>
    <w:p w14:paraId="01BE17C8" w14:textId="77777777" w:rsidR="00177827" w:rsidRDefault="00177827" w:rsidP="00874DA5">
      <w:pPr>
        <w:pStyle w:val="Contents"/>
      </w:pPr>
    </w:p>
    <w:p w14:paraId="01BE17C9" w14:textId="77777777" w:rsidR="006A702B" w:rsidRDefault="006A702B" w:rsidP="006A702B">
      <w:pPr>
        <w:pStyle w:val="Heading1"/>
      </w:pPr>
    </w:p>
    <w:p w14:paraId="01BE17CA" w14:textId="77777777" w:rsidR="006A702B" w:rsidRDefault="006A702B" w:rsidP="006A702B">
      <w:pPr>
        <w:pStyle w:val="Text"/>
      </w:pPr>
    </w:p>
    <w:p w14:paraId="01BE17CB" w14:textId="77777777" w:rsidR="006A702B" w:rsidRDefault="006A702B" w:rsidP="006A702B">
      <w:pPr>
        <w:pStyle w:val="Text"/>
      </w:pPr>
    </w:p>
    <w:p w14:paraId="01BE17CC" w14:textId="77777777" w:rsidR="006A702B" w:rsidRDefault="006A702B" w:rsidP="006A702B">
      <w:pPr>
        <w:pStyle w:val="Text"/>
      </w:pPr>
    </w:p>
    <w:p w14:paraId="01BE17CD" w14:textId="77777777" w:rsidR="006A702B" w:rsidRDefault="006A702B" w:rsidP="006A702B">
      <w:pPr>
        <w:pStyle w:val="Text"/>
      </w:pPr>
    </w:p>
    <w:p w14:paraId="01BE17CE" w14:textId="77777777" w:rsidR="006A702B" w:rsidRDefault="006A702B" w:rsidP="006A702B">
      <w:pPr>
        <w:pStyle w:val="Text"/>
      </w:pPr>
    </w:p>
    <w:p w14:paraId="01BE17CF" w14:textId="77777777" w:rsidR="006A702B" w:rsidRDefault="006A702B" w:rsidP="006A702B">
      <w:pPr>
        <w:pStyle w:val="Text"/>
      </w:pPr>
    </w:p>
    <w:p w14:paraId="01BE17D0" w14:textId="77777777" w:rsidR="006A702B" w:rsidRDefault="006A702B" w:rsidP="006A702B">
      <w:pPr>
        <w:pStyle w:val="Text"/>
      </w:pPr>
    </w:p>
    <w:p w14:paraId="01BE17D1" w14:textId="77777777" w:rsidR="006A702B" w:rsidRDefault="006A702B" w:rsidP="006A702B">
      <w:pPr>
        <w:pStyle w:val="Text"/>
      </w:pPr>
    </w:p>
    <w:p w14:paraId="01BE17D2" w14:textId="77777777" w:rsidR="006A702B" w:rsidRDefault="006A702B" w:rsidP="006A702B">
      <w:pPr>
        <w:pStyle w:val="Text"/>
      </w:pPr>
    </w:p>
    <w:p w14:paraId="01BE17D3" w14:textId="77777777" w:rsidR="006A702B" w:rsidRDefault="006A702B" w:rsidP="006A702B">
      <w:pPr>
        <w:pStyle w:val="Text"/>
      </w:pPr>
    </w:p>
    <w:p w14:paraId="01BE17D4" w14:textId="05C30BD3" w:rsidR="006A702B" w:rsidRDefault="008E03B1"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01BE1A7E" wp14:editId="78FCA601">
                <wp:simplePos x="0" y="0"/>
                <wp:positionH relativeFrom="column">
                  <wp:posOffset>-149832</wp:posOffset>
                </wp:positionH>
                <wp:positionV relativeFrom="margin">
                  <wp:posOffset>4220210</wp:posOffset>
                </wp:positionV>
                <wp:extent cx="5682615" cy="4945711"/>
                <wp:effectExtent l="0" t="0" r="0" b="762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4945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4DC80" w14:textId="77777777" w:rsidR="00E1636A" w:rsidRPr="00A021FC" w:rsidRDefault="00E1636A" w:rsidP="00991FDC">
                            <w:pPr>
                              <w:pStyle w:val="Imprint"/>
                              <w:rPr>
                                <w:b/>
                              </w:rPr>
                            </w:pPr>
                            <w:r w:rsidRPr="008C3B24">
                              <w:rPr>
                                <w:b/>
                              </w:rPr>
                              <w:t>© Commonwealth of Australia</w:t>
                            </w:r>
                            <w:r>
                              <w:rPr>
                                <w:b/>
                              </w:rPr>
                              <w:t>,</w:t>
                            </w:r>
                            <w:r w:rsidRPr="008C3B24">
                              <w:rPr>
                                <w:b/>
                              </w:rPr>
                              <w:t xml:space="preserve"> 2017</w:t>
                            </w:r>
                          </w:p>
                          <w:p w14:paraId="7C1BE952" w14:textId="77777777" w:rsidR="00E1636A" w:rsidRDefault="00E1636A" w:rsidP="00991FDC">
                            <w:pPr>
                              <w:pStyle w:val="Imprint"/>
                              <w:rPr>
                                <w:sz w:val="20"/>
                              </w:rPr>
                            </w:pPr>
                            <w:r w:rsidRPr="00E80270">
                              <w:rPr>
                                <w:noProof/>
                                <w:sz w:val="20"/>
                                <w:lang w:eastAsia="en-AU"/>
                              </w:rPr>
                              <w:drawing>
                                <wp:inline distT="0" distB="0" distL="0" distR="0" wp14:anchorId="1FFE1568" wp14:editId="718808C0">
                                  <wp:extent cx="850265" cy="302895"/>
                                  <wp:effectExtent l="19050" t="0" r="6985" b="0"/>
                                  <wp:docPr id="18"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55D2F24A" w14:textId="77777777" w:rsidR="00E1636A" w:rsidRDefault="00E1636A" w:rsidP="00991FDC">
                            <w:pPr>
                              <w:pStyle w:val="Imprint"/>
                            </w:pPr>
                            <w: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18A5D255" w14:textId="77777777" w:rsidR="00E1636A" w:rsidRDefault="00E1636A" w:rsidP="00991FDC">
                            <w:pPr>
                              <w:pStyle w:val="Imprint"/>
                            </w:pPr>
                            <w:r>
                              <w:t xml:space="preserve">The details of the relevant licence conditions are available on the Creative Commons website (accessible using the links </w:t>
                            </w:r>
                            <w:r>
                              <w:rPr>
                                <w:spacing w:val="-1"/>
                              </w:rPr>
                              <w:t>provided) as is the full legal code for the CC BY 3.0 AU licence &lt;http://creativecommons.org/licenses/by/3.0/legalcode&gt;.</w:t>
                            </w:r>
                            <w:r>
                              <w:rPr>
                                <w:spacing w:val="-2"/>
                              </w:rPr>
                              <w:t xml:space="preserve"> </w:t>
                            </w:r>
                          </w:p>
                          <w:p w14:paraId="2C82CB5D" w14:textId="77777777" w:rsidR="00E1636A" w:rsidRDefault="00E1636A" w:rsidP="00991FDC">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14:paraId="30C08960" w14:textId="3E4F7950" w:rsidR="00E1636A" w:rsidRDefault="00E1636A" w:rsidP="00991FDC">
                            <w:pPr>
                              <w:pStyle w:val="Imprint"/>
                            </w:pPr>
                            <w:r>
                              <w:t xml:space="preserve">This document should be attributed as Guenther, J, Bat, M, Stephens, A, </w:t>
                            </w:r>
                            <w:proofErr w:type="spellStart"/>
                            <w:r>
                              <w:t>Skewes</w:t>
                            </w:r>
                            <w:proofErr w:type="spellEnd"/>
                            <w:r>
                              <w:t xml:space="preserve">, J, </w:t>
                            </w:r>
                            <w:proofErr w:type="spellStart"/>
                            <w:r>
                              <w:t>Boughton</w:t>
                            </w:r>
                            <w:proofErr w:type="spellEnd"/>
                            <w:r>
                              <w:t xml:space="preserve">, B, Williamson, F, </w:t>
                            </w:r>
                            <w:proofErr w:type="spellStart"/>
                            <w:r>
                              <w:t>Wooltorton</w:t>
                            </w:r>
                            <w:proofErr w:type="spellEnd"/>
                            <w:r>
                              <w:t>, S, Marshall, M &amp; Dwyer, A 2017,</w:t>
                            </w:r>
                            <w:r w:rsidRPr="00991FDC">
                              <w:rPr>
                                <w:i/>
                              </w:rPr>
                              <w:t xml:space="preserve"> Case studies of training advantage for remote Aboriginal and Torres Strait Island learners</w:t>
                            </w:r>
                            <w:r>
                              <w:t xml:space="preserve"> </w:t>
                            </w:r>
                            <w:r>
                              <w:rPr>
                                <w:i/>
                              </w:rPr>
                              <w:t>— support document,</w:t>
                            </w:r>
                            <w:r>
                              <w:t xml:space="preserve"> NCVER, Adelaide.</w:t>
                            </w:r>
                          </w:p>
                          <w:p w14:paraId="6562F280" w14:textId="77777777" w:rsidR="00E1636A" w:rsidRDefault="00E1636A" w:rsidP="00991FDC">
                            <w:pPr>
                              <w:pStyle w:val="Imprint"/>
                            </w:pPr>
                            <w:r>
                              <w:t xml:space="preserve">This work has been produced by NCVER on behalf of the Australian Government and state and territory governments, with funding provided through the Australian Government Department of Education and Training. </w:t>
                            </w:r>
                          </w:p>
                          <w:p w14:paraId="01BE1A9B" w14:textId="77777777" w:rsidR="00E1636A" w:rsidRPr="00D42A61" w:rsidRDefault="00E1636A" w:rsidP="00D42A61">
                            <w:pPr>
                              <w:pStyle w:val="Imprint"/>
                              <w:rPr>
                                <w:color w:val="000000"/>
                              </w:rPr>
                            </w:pPr>
                            <w:r w:rsidRPr="00D42A61">
                              <w:rPr>
                                <w:color w:val="000000"/>
                              </w:rPr>
                              <w:t>Published by NCVER, ABN 87 007 967 311</w:t>
                            </w:r>
                          </w:p>
                          <w:p w14:paraId="01BE1A9C" w14:textId="5DD16469" w:rsidR="00E1636A" w:rsidRPr="00D42A61" w:rsidRDefault="00E1636A" w:rsidP="00D42A61">
                            <w:pPr>
                              <w:pStyle w:val="Imprint"/>
                              <w:rPr>
                                <w:color w:val="000000"/>
                              </w:rPr>
                            </w:pPr>
                            <w:r w:rsidRPr="00991FDC">
                              <w:rPr>
                                <w:color w:val="000000"/>
                              </w:rPr>
                              <w:t xml:space="preserve">Level 5, 60 Light Square, Adelaide, SA 5000 </w:t>
                            </w:r>
                            <w:r w:rsidRPr="00991FDC">
                              <w:rPr>
                                <w:color w:val="000000"/>
                              </w:rPr>
                              <w:br/>
                              <w:t>PO Box 8288 Station Arcade, Adelaide SA 5000, Australia</w:t>
                            </w:r>
                          </w:p>
                          <w:p w14:paraId="01BE1A9F" w14:textId="693C19CD" w:rsidR="00E1636A" w:rsidRPr="00D42A61" w:rsidRDefault="00E1636A" w:rsidP="00991FDC">
                            <w:pPr>
                              <w:pStyle w:val="Imprint"/>
                              <w:rPr>
                                <w:color w:val="000000"/>
                              </w:rPr>
                            </w:pPr>
                            <w:r w:rsidRPr="00D42A61">
                              <w:rPr>
                                <w:b/>
                                <w:color w:val="000000"/>
                              </w:rPr>
                              <w:t>Phone</w:t>
                            </w:r>
                            <w:r w:rsidRPr="00D42A61">
                              <w:rPr>
                                <w:color w:val="000000"/>
                              </w:rPr>
                              <w:t xml:space="preserve"> +61 8 8230 8400</w:t>
                            </w:r>
                            <w:r w:rsidRPr="00F107E1">
                              <w:rPr>
                                <w:color w:val="000000"/>
                              </w:rPr>
                              <w:t xml:space="preserve">  </w:t>
                            </w:r>
                            <w:r w:rsidRPr="00D42A61">
                              <w:rPr>
                                <w:color w:val="000000"/>
                              </w:rPr>
                              <w:t xml:space="preserve"> </w:t>
                            </w:r>
                            <w:r w:rsidRPr="00D42A61">
                              <w:rPr>
                                <w:b/>
                                <w:color w:val="000000"/>
                              </w:rPr>
                              <w:t>Email</w:t>
                            </w:r>
                            <w:r w:rsidRPr="00D42A61">
                              <w:rPr>
                                <w:color w:val="000000"/>
                              </w:rPr>
                              <w:t xml:space="preserve"> </w:t>
                            </w:r>
                            <w:hyperlink r:id="rId13" w:history="1">
                              <w:r w:rsidRPr="00D42A61">
                                <w:rPr>
                                  <w:rStyle w:val="Hyperlink"/>
                                  <w:sz w:val="16"/>
                                </w:rPr>
                                <w:t>ncver@ncver.edu.au</w:t>
                              </w:r>
                            </w:hyperlink>
                            <w:r w:rsidRPr="00F107E1">
                              <w:rPr>
                                <w:color w:val="000000"/>
                              </w:rPr>
                              <w:t xml:space="preserve">  </w:t>
                            </w:r>
                            <w:r w:rsidRPr="00D42A61">
                              <w:rPr>
                                <w:color w:val="000000"/>
                              </w:rPr>
                              <w:t xml:space="preserve"> </w:t>
                            </w:r>
                            <w:r>
                              <w:rPr>
                                <w:color w:val="000000"/>
                              </w:rPr>
                              <w:br/>
                            </w:r>
                            <w:r w:rsidRPr="00D42A61">
                              <w:rPr>
                                <w:b/>
                                <w:color w:val="000000"/>
                              </w:rPr>
                              <w:t>Web</w:t>
                            </w:r>
                            <w:r w:rsidRPr="00D42A61">
                              <w:rPr>
                                <w:color w:val="000000"/>
                              </w:rPr>
                              <w:t xml:space="preserve"> &lt;http</w:t>
                            </w:r>
                            <w:r>
                              <w:rPr>
                                <w:color w:val="000000"/>
                              </w:rPr>
                              <w:t>s</w:t>
                            </w:r>
                            <w:r w:rsidRPr="00D42A61">
                              <w:rPr>
                                <w:color w:val="000000"/>
                              </w:rPr>
                              <w:t>://www.ncver.edu.au&gt;</w:t>
                            </w:r>
                            <w:r w:rsidRPr="00F107E1">
                              <w:rPr>
                                <w:color w:val="000000"/>
                              </w:rPr>
                              <w:t xml:space="preserve"> </w:t>
                            </w:r>
                            <w:r w:rsidRPr="00D42A61">
                              <w:rPr>
                                <w:color w:val="000000"/>
                              </w:rPr>
                              <w:t>&lt;</w:t>
                            </w:r>
                            <w:hyperlink r:id="rId14" w:history="1">
                              <w:r w:rsidRPr="00D42A61">
                                <w:rPr>
                                  <w:rStyle w:val="Hyperlink"/>
                                  <w:sz w:val="16"/>
                                </w:rPr>
                                <w:t>http://www.lsay.edu.au</w:t>
                              </w:r>
                            </w:hyperlink>
                            <w:r w:rsidRPr="00D42A61">
                              <w:rPr>
                                <w:color w:val="000000"/>
                              </w:rPr>
                              <w:t>&gt;</w:t>
                            </w:r>
                            <w:r>
                              <w:rPr>
                                <w:color w:val="000000"/>
                              </w:rPr>
                              <w:br/>
                            </w:r>
                            <w:r w:rsidRPr="00D42A61">
                              <w:rPr>
                                <w:b/>
                                <w:color w:val="000000"/>
                              </w:rPr>
                              <w:t>Follow us:</w:t>
                            </w:r>
                            <w:r w:rsidRPr="00D42A61">
                              <w:rPr>
                                <w:color w:val="000000"/>
                              </w:rPr>
                              <w:t xml:space="preserve"> </w:t>
                            </w:r>
                            <w:r>
                              <w:rPr>
                                <w:noProof/>
                                <w:color w:val="000000"/>
                                <w:lang w:eastAsia="en-AU"/>
                              </w:rPr>
                              <w:drawing>
                                <wp:inline distT="0" distB="0" distL="0" distR="0" wp14:anchorId="01BE1AA2" wp14:editId="01BE1AA3">
                                  <wp:extent cx="123825" cy="1428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w:t>
                            </w:r>
                            <w:r>
                              <w:rPr>
                                <w:color w:val="000000"/>
                              </w:rPr>
                              <w:t>&lt;</w:t>
                            </w:r>
                            <w:hyperlink r:id="rId16" w:history="1">
                              <w:r w:rsidRPr="0097499F">
                                <w:rPr>
                                  <w:rStyle w:val="Hyperlink"/>
                                  <w:sz w:val="16"/>
                                </w:rPr>
                                <w:t>https://twitter.com/ncver</w:t>
                              </w:r>
                            </w:hyperlink>
                            <w:r>
                              <w:rPr>
                                <w:color w:val="000000"/>
                              </w:rPr>
                              <w:t xml:space="preserve">&gt;   </w:t>
                            </w:r>
                            <w:r>
                              <w:rPr>
                                <w:noProof/>
                                <w:color w:val="000000"/>
                                <w:lang w:eastAsia="en-AU"/>
                              </w:rPr>
                              <w:drawing>
                                <wp:inline distT="0" distB="0" distL="0" distR="0" wp14:anchorId="01BE1AA4" wp14:editId="01BE1AA5">
                                  <wp:extent cx="133350" cy="142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01BE1AA0" w14:textId="77777777" w:rsidR="00E1636A" w:rsidRPr="00D42A61" w:rsidRDefault="00E1636A" w:rsidP="00D42A61">
                            <w:pPr>
                              <w:pStyle w:val="Imprint"/>
                            </w:pPr>
                          </w:p>
                          <w:p w14:paraId="01BE1AA1" w14:textId="77777777" w:rsidR="00E1636A" w:rsidRPr="006A702B" w:rsidRDefault="00E1636A"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11.8pt;margin-top:332.3pt;width:447.45pt;height:38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" filled="f" stroked="f">
                <v:textbox>
                  <w:txbxContent>
                    <w:p w14:paraId="37D4DC80" w14:textId="77777777" w:rsidR="00E1636A" w:rsidRPr="00A021FC" w:rsidRDefault="00E1636A" w:rsidP="00991FDC">
                      <w:pPr>
                        <w:pStyle w:val="Imprint"/>
                        <w:rPr>
                          <w:b/>
                        </w:rPr>
                      </w:pPr>
                      <w:r w:rsidRPr="008C3B24">
                        <w:rPr>
                          <w:b/>
                        </w:rPr>
                        <w:t>© Commonwealth of Australia</w:t>
                      </w:r>
                      <w:r>
                        <w:rPr>
                          <w:b/>
                        </w:rPr>
                        <w:t>,</w:t>
                      </w:r>
                      <w:r w:rsidRPr="008C3B24">
                        <w:rPr>
                          <w:b/>
                        </w:rPr>
                        <w:t xml:space="preserve"> 2017</w:t>
                      </w:r>
                    </w:p>
                    <w:p w14:paraId="7C1BE952" w14:textId="77777777" w:rsidR="00E1636A" w:rsidRDefault="00E1636A" w:rsidP="00991FDC">
                      <w:pPr>
                        <w:pStyle w:val="Imprint"/>
                        <w:rPr>
                          <w:sz w:val="20"/>
                        </w:rPr>
                      </w:pPr>
                      <w:r w:rsidRPr="00E80270">
                        <w:rPr>
                          <w:noProof/>
                          <w:sz w:val="20"/>
                          <w:lang w:eastAsia="en-AU"/>
                        </w:rPr>
                        <w:drawing>
                          <wp:inline distT="0" distB="0" distL="0" distR="0" wp14:anchorId="1FFE1568" wp14:editId="718808C0">
                            <wp:extent cx="850265" cy="302895"/>
                            <wp:effectExtent l="19050" t="0" r="6985" b="0"/>
                            <wp:docPr id="18"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55D2F24A" w14:textId="77777777" w:rsidR="00E1636A" w:rsidRDefault="00E1636A" w:rsidP="00991FDC">
                      <w:pPr>
                        <w:pStyle w:val="Imprint"/>
                      </w:pPr>
                      <w: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18A5D255" w14:textId="77777777" w:rsidR="00E1636A" w:rsidRDefault="00E1636A" w:rsidP="00991FDC">
                      <w:pPr>
                        <w:pStyle w:val="Imprint"/>
                      </w:pPr>
                      <w:r>
                        <w:t xml:space="preserve">The details of the relevant licence conditions are available on the Creative Commons website (accessible using the links </w:t>
                      </w:r>
                      <w:r>
                        <w:rPr>
                          <w:spacing w:val="-1"/>
                        </w:rPr>
                        <w:t>provided) as is the full legal code for the CC BY 3.0 AU licence &lt;http://creativecommons.org/licenses/by/3.0/legalcode&gt;.</w:t>
                      </w:r>
                      <w:r>
                        <w:rPr>
                          <w:spacing w:val="-2"/>
                        </w:rPr>
                        <w:t xml:space="preserve"> </w:t>
                      </w:r>
                    </w:p>
                    <w:p w14:paraId="2C82CB5D" w14:textId="77777777" w:rsidR="00E1636A" w:rsidRDefault="00E1636A" w:rsidP="00991FDC">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14:paraId="30C08960" w14:textId="3E4F7950" w:rsidR="00E1636A" w:rsidRDefault="00E1636A" w:rsidP="00991FDC">
                      <w:pPr>
                        <w:pStyle w:val="Imprint"/>
                      </w:pPr>
                      <w:r>
                        <w:t xml:space="preserve">This document should be attributed as Guenther, J, Bat, M, Stephens, A, </w:t>
                      </w:r>
                      <w:proofErr w:type="spellStart"/>
                      <w:r>
                        <w:t>Skewes</w:t>
                      </w:r>
                      <w:proofErr w:type="spellEnd"/>
                      <w:r>
                        <w:t xml:space="preserve">, J, </w:t>
                      </w:r>
                      <w:proofErr w:type="spellStart"/>
                      <w:r>
                        <w:t>Boughton</w:t>
                      </w:r>
                      <w:proofErr w:type="spellEnd"/>
                      <w:r>
                        <w:t xml:space="preserve">, B, Williamson, F, </w:t>
                      </w:r>
                      <w:proofErr w:type="spellStart"/>
                      <w:r>
                        <w:t>Wooltorton</w:t>
                      </w:r>
                      <w:proofErr w:type="spellEnd"/>
                      <w:r>
                        <w:t>, S, Marshall, M &amp; Dwyer, A 2017,</w:t>
                      </w:r>
                      <w:r w:rsidRPr="00991FDC">
                        <w:rPr>
                          <w:i/>
                        </w:rPr>
                        <w:t xml:space="preserve"> Case studies of training advantage for remote Aboriginal and Torres Strait Island learners</w:t>
                      </w:r>
                      <w:r>
                        <w:t xml:space="preserve"> </w:t>
                      </w:r>
                      <w:r>
                        <w:rPr>
                          <w:i/>
                        </w:rPr>
                        <w:t>— support document,</w:t>
                      </w:r>
                      <w:r>
                        <w:t xml:space="preserve"> NCVER, Adelaide.</w:t>
                      </w:r>
                    </w:p>
                    <w:p w14:paraId="6562F280" w14:textId="77777777" w:rsidR="00E1636A" w:rsidRDefault="00E1636A" w:rsidP="00991FDC">
                      <w:pPr>
                        <w:pStyle w:val="Imprint"/>
                      </w:pPr>
                      <w:r>
                        <w:t xml:space="preserve">This work has been produced by NCVER on behalf of the Australian Government and state and territory governments, with funding provided through the Australian Government Department of Education and Training. </w:t>
                      </w:r>
                    </w:p>
                    <w:p w14:paraId="01BE1A9B" w14:textId="77777777" w:rsidR="00E1636A" w:rsidRPr="00D42A61" w:rsidRDefault="00E1636A" w:rsidP="00D42A61">
                      <w:pPr>
                        <w:pStyle w:val="Imprint"/>
                        <w:rPr>
                          <w:color w:val="000000"/>
                        </w:rPr>
                      </w:pPr>
                      <w:r w:rsidRPr="00D42A61">
                        <w:rPr>
                          <w:color w:val="000000"/>
                        </w:rPr>
                        <w:t>Published by NCVER, ABN 87 007 967 311</w:t>
                      </w:r>
                    </w:p>
                    <w:p w14:paraId="01BE1A9C" w14:textId="5DD16469" w:rsidR="00E1636A" w:rsidRPr="00D42A61" w:rsidRDefault="00E1636A" w:rsidP="00D42A61">
                      <w:pPr>
                        <w:pStyle w:val="Imprint"/>
                        <w:rPr>
                          <w:color w:val="000000"/>
                        </w:rPr>
                      </w:pPr>
                      <w:r w:rsidRPr="00991FDC">
                        <w:rPr>
                          <w:color w:val="000000"/>
                        </w:rPr>
                        <w:t xml:space="preserve">Level 5, 60 Light Square, Adelaide, SA 5000 </w:t>
                      </w:r>
                      <w:r w:rsidRPr="00991FDC">
                        <w:rPr>
                          <w:color w:val="000000"/>
                        </w:rPr>
                        <w:br/>
                        <w:t>PO Box 8288 Station Arcade, Adelaide SA 5000, Australia</w:t>
                      </w:r>
                    </w:p>
                    <w:p w14:paraId="01BE1A9F" w14:textId="693C19CD" w:rsidR="00E1636A" w:rsidRPr="00D42A61" w:rsidRDefault="00E1636A" w:rsidP="00991FDC">
                      <w:pPr>
                        <w:pStyle w:val="Imprint"/>
                        <w:rPr>
                          <w:color w:val="000000"/>
                        </w:rPr>
                      </w:pPr>
                      <w:r w:rsidRPr="00D42A61">
                        <w:rPr>
                          <w:b/>
                          <w:color w:val="000000"/>
                        </w:rPr>
                        <w:t>Phone</w:t>
                      </w:r>
                      <w:r w:rsidRPr="00D42A61">
                        <w:rPr>
                          <w:color w:val="000000"/>
                        </w:rPr>
                        <w:t xml:space="preserve"> +61 8 8230 8400</w:t>
                      </w:r>
                      <w:r w:rsidRPr="00F107E1">
                        <w:rPr>
                          <w:color w:val="000000"/>
                        </w:rPr>
                        <w:t xml:space="preserve">  </w:t>
                      </w:r>
                      <w:r w:rsidRPr="00D42A61">
                        <w:rPr>
                          <w:color w:val="000000"/>
                        </w:rPr>
                        <w:t xml:space="preserve"> </w:t>
                      </w:r>
                      <w:r w:rsidRPr="00D42A61">
                        <w:rPr>
                          <w:b/>
                          <w:color w:val="000000"/>
                        </w:rPr>
                        <w:t>Email</w:t>
                      </w:r>
                      <w:r w:rsidRPr="00D42A61">
                        <w:rPr>
                          <w:color w:val="000000"/>
                        </w:rPr>
                        <w:t xml:space="preserve"> </w:t>
                      </w:r>
                      <w:hyperlink r:id="rId18" w:history="1">
                        <w:r w:rsidRPr="00D42A61">
                          <w:rPr>
                            <w:rStyle w:val="Hyperlink"/>
                            <w:sz w:val="16"/>
                          </w:rPr>
                          <w:t>ncver@ncver.edu.au</w:t>
                        </w:r>
                      </w:hyperlink>
                      <w:r w:rsidRPr="00F107E1">
                        <w:rPr>
                          <w:color w:val="000000"/>
                        </w:rPr>
                        <w:t xml:space="preserve">  </w:t>
                      </w:r>
                      <w:r w:rsidRPr="00D42A61">
                        <w:rPr>
                          <w:color w:val="000000"/>
                        </w:rPr>
                        <w:t xml:space="preserve"> </w:t>
                      </w:r>
                      <w:r>
                        <w:rPr>
                          <w:color w:val="000000"/>
                        </w:rPr>
                        <w:br/>
                      </w:r>
                      <w:r w:rsidRPr="00D42A61">
                        <w:rPr>
                          <w:b/>
                          <w:color w:val="000000"/>
                        </w:rPr>
                        <w:t>Web</w:t>
                      </w:r>
                      <w:r w:rsidRPr="00D42A61">
                        <w:rPr>
                          <w:color w:val="000000"/>
                        </w:rPr>
                        <w:t xml:space="preserve"> &lt;http</w:t>
                      </w:r>
                      <w:r>
                        <w:rPr>
                          <w:color w:val="000000"/>
                        </w:rPr>
                        <w:t>s</w:t>
                      </w:r>
                      <w:r w:rsidRPr="00D42A61">
                        <w:rPr>
                          <w:color w:val="000000"/>
                        </w:rPr>
                        <w:t>://www.ncver.edu.au&gt;</w:t>
                      </w:r>
                      <w:r w:rsidRPr="00F107E1">
                        <w:rPr>
                          <w:color w:val="000000"/>
                        </w:rPr>
                        <w:t xml:space="preserve"> </w:t>
                      </w:r>
                      <w:r w:rsidRPr="00D42A61">
                        <w:rPr>
                          <w:color w:val="000000"/>
                        </w:rPr>
                        <w:t>&lt;</w:t>
                      </w:r>
                      <w:hyperlink r:id="rId19" w:history="1">
                        <w:r w:rsidRPr="00D42A61">
                          <w:rPr>
                            <w:rStyle w:val="Hyperlink"/>
                            <w:sz w:val="16"/>
                          </w:rPr>
                          <w:t>http://www.lsay.edu.au</w:t>
                        </w:r>
                      </w:hyperlink>
                      <w:r w:rsidRPr="00D42A61">
                        <w:rPr>
                          <w:color w:val="000000"/>
                        </w:rPr>
                        <w:t>&gt;</w:t>
                      </w:r>
                      <w:r>
                        <w:rPr>
                          <w:color w:val="000000"/>
                        </w:rPr>
                        <w:br/>
                      </w:r>
                      <w:r w:rsidRPr="00D42A61">
                        <w:rPr>
                          <w:b/>
                          <w:color w:val="000000"/>
                        </w:rPr>
                        <w:t>Follow us:</w:t>
                      </w:r>
                      <w:r w:rsidRPr="00D42A61">
                        <w:rPr>
                          <w:color w:val="000000"/>
                        </w:rPr>
                        <w:t xml:space="preserve"> </w:t>
                      </w:r>
                      <w:r>
                        <w:rPr>
                          <w:noProof/>
                          <w:color w:val="000000"/>
                          <w:lang w:eastAsia="en-AU"/>
                        </w:rPr>
                        <w:drawing>
                          <wp:inline distT="0" distB="0" distL="0" distR="0" wp14:anchorId="01BE1AA2" wp14:editId="01BE1AA3">
                            <wp:extent cx="123825" cy="1428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w:t>
                      </w:r>
                      <w:r>
                        <w:rPr>
                          <w:color w:val="000000"/>
                        </w:rPr>
                        <w:t>&lt;</w:t>
                      </w:r>
                      <w:hyperlink r:id="rId20" w:history="1">
                        <w:r w:rsidRPr="0097499F">
                          <w:rPr>
                            <w:rStyle w:val="Hyperlink"/>
                            <w:sz w:val="16"/>
                          </w:rPr>
                          <w:t>https://twitter.com/ncver</w:t>
                        </w:r>
                      </w:hyperlink>
                      <w:r>
                        <w:rPr>
                          <w:color w:val="000000"/>
                        </w:rPr>
                        <w:t xml:space="preserve">&gt;   </w:t>
                      </w:r>
                      <w:r>
                        <w:rPr>
                          <w:noProof/>
                          <w:color w:val="000000"/>
                          <w:lang w:eastAsia="en-AU"/>
                        </w:rPr>
                        <w:drawing>
                          <wp:inline distT="0" distB="0" distL="0" distR="0" wp14:anchorId="01BE1AA4" wp14:editId="01BE1AA5">
                            <wp:extent cx="133350" cy="1428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01BE1AA0" w14:textId="77777777" w:rsidR="00E1636A" w:rsidRPr="00D42A61" w:rsidRDefault="00E1636A" w:rsidP="00D42A61">
                      <w:pPr>
                        <w:pStyle w:val="Imprint"/>
                      </w:pPr>
                    </w:p>
                    <w:p w14:paraId="01BE1AA1" w14:textId="77777777" w:rsidR="00E1636A" w:rsidRPr="006A702B" w:rsidRDefault="00E1636A" w:rsidP="00233C8D"/>
                  </w:txbxContent>
                </v:textbox>
                <w10:wrap anchory="margin"/>
              </v:shape>
            </w:pict>
          </mc:Fallback>
        </mc:AlternateContent>
      </w:r>
    </w:p>
    <w:p w14:paraId="01BE17D5" w14:textId="77777777" w:rsidR="006A702B" w:rsidRDefault="006A702B" w:rsidP="006A702B">
      <w:pPr>
        <w:pStyle w:val="Text"/>
      </w:pPr>
    </w:p>
    <w:p w14:paraId="01BE17D6" w14:textId="77777777" w:rsidR="006A702B" w:rsidRDefault="006A702B" w:rsidP="006A702B">
      <w:pPr>
        <w:pStyle w:val="Text"/>
      </w:pPr>
    </w:p>
    <w:p w14:paraId="01BE17D7" w14:textId="77777777" w:rsidR="006A702B" w:rsidRDefault="006A702B" w:rsidP="006A702B">
      <w:pPr>
        <w:pStyle w:val="Text"/>
      </w:pPr>
    </w:p>
    <w:p w14:paraId="01BE17D8" w14:textId="77777777" w:rsidR="00177827" w:rsidRDefault="00177827" w:rsidP="00874DA5">
      <w:pPr>
        <w:pStyle w:val="Contents"/>
      </w:pPr>
    </w:p>
    <w:p w14:paraId="01BE17D9" w14:textId="77777777" w:rsidR="00D42A61" w:rsidRDefault="00D42A61" w:rsidP="00874DA5">
      <w:pPr>
        <w:pStyle w:val="Contents"/>
      </w:pPr>
    </w:p>
    <w:p w14:paraId="01BE17DA" w14:textId="77777777" w:rsidR="00D42A61" w:rsidRDefault="00D42A61" w:rsidP="00874DA5">
      <w:pPr>
        <w:pStyle w:val="Contents"/>
        <w:sectPr w:rsidR="00D42A61" w:rsidSect="00177827">
          <w:footerReference w:type="default" r:id="rId21"/>
          <w:type w:val="continuous"/>
          <w:pgSz w:w="11907" w:h="16840" w:code="9"/>
          <w:pgMar w:top="1418" w:right="1701" w:bottom="1134" w:left="1418" w:header="709" w:footer="556" w:gutter="0"/>
          <w:cols w:space="708" w:equalWidth="0">
            <w:col w:w="8788"/>
          </w:cols>
          <w:docGrid w:linePitch="360"/>
        </w:sectPr>
      </w:pPr>
    </w:p>
    <w:p w14:paraId="01BE17DB" w14:textId="77777777" w:rsidR="009E231A" w:rsidRPr="00DC5F5C" w:rsidRDefault="00FE4A2D" w:rsidP="00874DA5">
      <w:pPr>
        <w:pStyle w:val="Contents"/>
      </w:pPr>
      <w:bookmarkStart w:id="8" w:name="_Toc98394880"/>
      <w:bookmarkStart w:id="9" w:name="_Toc296423683"/>
      <w:bookmarkStart w:id="10" w:name="_Toc296497514"/>
      <w:r w:rsidRPr="00DC5F5C">
        <w:lastRenderedPageBreak/>
        <w:t>Contents</w:t>
      </w:r>
      <w:bookmarkEnd w:id="8"/>
      <w:bookmarkEnd w:id="9"/>
      <w:bookmarkEnd w:id="10"/>
    </w:p>
    <w:p w14:paraId="067BB030" w14:textId="1E30AB55" w:rsidR="00991FDC" w:rsidRPr="00991FDC" w:rsidRDefault="006436A1" w:rsidP="00991FDC">
      <w:pPr>
        <w:pStyle w:val="TOC1"/>
        <w:tabs>
          <w:tab w:val="clear" w:pos="6804"/>
          <w:tab w:val="right" w:pos="7088"/>
        </w:tabs>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991FDC">
        <w:t>Case study methodology</w:t>
      </w:r>
      <w:r w:rsidR="00991FDC">
        <w:tab/>
      </w:r>
      <w:r w:rsidR="00991FDC">
        <w:fldChar w:fldCharType="begin"/>
      </w:r>
      <w:r w:rsidR="00991FDC">
        <w:instrText xml:space="preserve"> PAGEREF _Toc480296485 \h </w:instrText>
      </w:r>
      <w:r w:rsidR="00991FDC">
        <w:fldChar w:fldCharType="separate"/>
      </w:r>
      <w:r w:rsidR="00991FDC">
        <w:t>5</w:t>
      </w:r>
      <w:r w:rsidR="00991FDC">
        <w:fldChar w:fldCharType="end"/>
      </w:r>
    </w:p>
    <w:p w14:paraId="5222D942" w14:textId="77777777" w:rsidR="00991FDC" w:rsidRDefault="00991FDC" w:rsidP="00991FDC">
      <w:pPr>
        <w:pStyle w:val="TOC2"/>
        <w:tabs>
          <w:tab w:val="clear" w:pos="6804"/>
          <w:tab w:val="right" w:pos="7088"/>
        </w:tabs>
        <w:rPr>
          <w:rFonts w:asciiTheme="minorHAnsi" w:eastAsiaTheme="minorEastAsia" w:hAnsiTheme="minorHAnsi" w:cstheme="minorBidi"/>
          <w:color w:val="auto"/>
          <w:sz w:val="22"/>
          <w:szCs w:val="22"/>
          <w:lang w:eastAsia="en-AU"/>
        </w:rPr>
      </w:pPr>
      <w:r>
        <w:t>Research questions</w:t>
      </w:r>
      <w:r>
        <w:tab/>
      </w:r>
      <w:r>
        <w:fldChar w:fldCharType="begin"/>
      </w:r>
      <w:r>
        <w:instrText xml:space="preserve"> PAGEREF _Toc480296486 \h </w:instrText>
      </w:r>
      <w:r>
        <w:fldChar w:fldCharType="separate"/>
      </w:r>
      <w:r>
        <w:t>5</w:t>
      </w:r>
      <w:r>
        <w:fldChar w:fldCharType="end"/>
      </w:r>
    </w:p>
    <w:p w14:paraId="1DF59F2E" w14:textId="77777777" w:rsidR="00991FDC" w:rsidRDefault="00991FDC" w:rsidP="00991FDC">
      <w:pPr>
        <w:pStyle w:val="TOC2"/>
        <w:tabs>
          <w:tab w:val="clear" w:pos="6804"/>
          <w:tab w:val="right" w:pos="7088"/>
        </w:tabs>
        <w:rPr>
          <w:rFonts w:asciiTheme="minorHAnsi" w:eastAsiaTheme="minorEastAsia" w:hAnsiTheme="minorHAnsi" w:cstheme="minorBidi"/>
          <w:color w:val="auto"/>
          <w:sz w:val="22"/>
          <w:szCs w:val="22"/>
          <w:lang w:eastAsia="en-AU"/>
        </w:rPr>
      </w:pPr>
      <w:r>
        <w:t>Ethical clearance</w:t>
      </w:r>
      <w:r>
        <w:tab/>
      </w:r>
      <w:r>
        <w:fldChar w:fldCharType="begin"/>
      </w:r>
      <w:r>
        <w:instrText xml:space="preserve"> PAGEREF _Toc480296487 \h </w:instrText>
      </w:r>
      <w:r>
        <w:fldChar w:fldCharType="separate"/>
      </w:r>
      <w:r>
        <w:t>5</w:t>
      </w:r>
      <w:r>
        <w:fldChar w:fldCharType="end"/>
      </w:r>
    </w:p>
    <w:p w14:paraId="72E87842" w14:textId="77777777" w:rsidR="00991FDC" w:rsidRDefault="00991FDC" w:rsidP="00991FDC">
      <w:pPr>
        <w:pStyle w:val="TOC2"/>
        <w:tabs>
          <w:tab w:val="clear" w:pos="6804"/>
          <w:tab w:val="right" w:pos="7088"/>
        </w:tabs>
        <w:rPr>
          <w:rFonts w:asciiTheme="minorHAnsi" w:eastAsiaTheme="minorEastAsia" w:hAnsiTheme="minorHAnsi" w:cstheme="minorBidi"/>
          <w:color w:val="auto"/>
          <w:sz w:val="22"/>
          <w:szCs w:val="22"/>
          <w:lang w:eastAsia="en-AU"/>
        </w:rPr>
      </w:pPr>
      <w:r>
        <w:t>Data sources</w:t>
      </w:r>
      <w:r>
        <w:tab/>
      </w:r>
      <w:r>
        <w:fldChar w:fldCharType="begin"/>
      </w:r>
      <w:r>
        <w:instrText xml:space="preserve"> PAGEREF _Toc480296488 \h </w:instrText>
      </w:r>
      <w:r>
        <w:fldChar w:fldCharType="separate"/>
      </w:r>
      <w:r>
        <w:t>5</w:t>
      </w:r>
      <w:r>
        <w:fldChar w:fldCharType="end"/>
      </w:r>
    </w:p>
    <w:p w14:paraId="5B5A5FEE" w14:textId="77777777" w:rsidR="00991FDC" w:rsidRDefault="00991FDC" w:rsidP="00991FDC">
      <w:pPr>
        <w:pStyle w:val="TOC1"/>
        <w:tabs>
          <w:tab w:val="clear" w:pos="6804"/>
          <w:tab w:val="right" w:pos="7088"/>
        </w:tabs>
        <w:rPr>
          <w:rFonts w:asciiTheme="minorHAnsi" w:eastAsiaTheme="minorEastAsia" w:hAnsiTheme="minorHAnsi" w:cstheme="minorBidi"/>
          <w:color w:val="auto"/>
          <w:sz w:val="22"/>
          <w:szCs w:val="22"/>
          <w:lang w:eastAsia="en-AU"/>
        </w:rPr>
      </w:pPr>
      <w:r>
        <w:t>Case study one</w:t>
      </w:r>
      <w:r>
        <w:tab/>
      </w:r>
      <w:r>
        <w:fldChar w:fldCharType="begin"/>
      </w:r>
      <w:r>
        <w:instrText xml:space="preserve"> PAGEREF _Toc480296489 \h </w:instrText>
      </w:r>
      <w:r>
        <w:fldChar w:fldCharType="separate"/>
      </w:r>
      <w:r>
        <w:t>7</w:t>
      </w:r>
      <w:r>
        <w:fldChar w:fldCharType="end"/>
      </w:r>
    </w:p>
    <w:p w14:paraId="351F1324" w14:textId="10A1BB22" w:rsidR="00991FDC" w:rsidRDefault="00991FDC" w:rsidP="00991FDC">
      <w:pPr>
        <w:pStyle w:val="TOC2"/>
        <w:tabs>
          <w:tab w:val="clear" w:pos="6804"/>
          <w:tab w:val="right" w:pos="7088"/>
        </w:tabs>
        <w:rPr>
          <w:rFonts w:asciiTheme="minorHAnsi" w:eastAsiaTheme="minorEastAsia" w:hAnsiTheme="minorHAnsi" w:cstheme="minorBidi"/>
          <w:color w:val="auto"/>
          <w:sz w:val="22"/>
          <w:szCs w:val="22"/>
          <w:lang w:eastAsia="en-AU"/>
        </w:rPr>
      </w:pPr>
      <w:r>
        <w:t>On-the-job training for A</w:t>
      </w:r>
      <w:r w:rsidRPr="008C56A9">
        <w:rPr>
          <w:u w:val="single"/>
        </w:rPr>
        <w:t>n</w:t>
      </w:r>
      <w:r>
        <w:t xml:space="preserve">angu workers engaged in aged, and home and </w:t>
      </w:r>
      <w:r>
        <w:br/>
        <w:t>community care on the A</w:t>
      </w:r>
      <w:r w:rsidRPr="008C56A9">
        <w:rPr>
          <w:u w:val="single"/>
        </w:rPr>
        <w:t>n</w:t>
      </w:r>
      <w:r>
        <w:t>angu Pitjantjatjara Yankunytjatjara Lands.</w:t>
      </w:r>
      <w:r>
        <w:tab/>
      </w:r>
      <w:r>
        <w:fldChar w:fldCharType="begin"/>
      </w:r>
      <w:r>
        <w:instrText xml:space="preserve"> PAGEREF _Toc480296490 \h </w:instrText>
      </w:r>
      <w:r>
        <w:fldChar w:fldCharType="separate"/>
      </w:r>
      <w:r>
        <w:t>7</w:t>
      </w:r>
      <w:r>
        <w:fldChar w:fldCharType="end"/>
      </w:r>
    </w:p>
    <w:p w14:paraId="042E1237" w14:textId="77777777" w:rsidR="00991FDC" w:rsidRDefault="00991FDC" w:rsidP="00991FDC">
      <w:pPr>
        <w:pStyle w:val="TOC1"/>
        <w:tabs>
          <w:tab w:val="clear" w:pos="6804"/>
          <w:tab w:val="right" w:pos="7088"/>
        </w:tabs>
        <w:rPr>
          <w:rFonts w:asciiTheme="minorHAnsi" w:eastAsiaTheme="minorEastAsia" w:hAnsiTheme="minorHAnsi" w:cstheme="minorBidi"/>
          <w:color w:val="auto"/>
          <w:sz w:val="22"/>
          <w:szCs w:val="22"/>
          <w:lang w:eastAsia="en-AU"/>
        </w:rPr>
      </w:pPr>
      <w:r>
        <w:t>Case study two Aboriginal and Torres Strait Islander health practitioner training at Batchelor Institute</w:t>
      </w:r>
      <w:r>
        <w:tab/>
      </w:r>
      <w:r>
        <w:fldChar w:fldCharType="begin"/>
      </w:r>
      <w:r>
        <w:instrText xml:space="preserve"> PAGEREF _Toc480296491 \h </w:instrText>
      </w:r>
      <w:r>
        <w:fldChar w:fldCharType="separate"/>
      </w:r>
      <w:r>
        <w:t>12</w:t>
      </w:r>
      <w:r>
        <w:fldChar w:fldCharType="end"/>
      </w:r>
    </w:p>
    <w:p w14:paraId="767D7C0D" w14:textId="77777777" w:rsidR="00991FDC" w:rsidRDefault="00991FDC" w:rsidP="00991FDC">
      <w:pPr>
        <w:pStyle w:val="TOC1"/>
        <w:tabs>
          <w:tab w:val="clear" w:pos="6804"/>
          <w:tab w:val="right" w:pos="7088"/>
        </w:tabs>
        <w:rPr>
          <w:rFonts w:asciiTheme="minorHAnsi" w:eastAsiaTheme="minorEastAsia" w:hAnsiTheme="minorHAnsi" w:cstheme="minorBidi"/>
          <w:color w:val="auto"/>
          <w:sz w:val="22"/>
          <w:szCs w:val="22"/>
          <w:lang w:eastAsia="en-AU"/>
        </w:rPr>
      </w:pPr>
      <w:r>
        <w:t>Case study three Yes, I Can adult literacy campaign</w:t>
      </w:r>
      <w:r>
        <w:tab/>
      </w:r>
      <w:r>
        <w:fldChar w:fldCharType="begin"/>
      </w:r>
      <w:r>
        <w:instrText xml:space="preserve"> PAGEREF _Toc480296492 \h </w:instrText>
      </w:r>
      <w:r>
        <w:fldChar w:fldCharType="separate"/>
      </w:r>
      <w:r>
        <w:t>17</w:t>
      </w:r>
      <w:r>
        <w:fldChar w:fldCharType="end"/>
      </w:r>
    </w:p>
    <w:p w14:paraId="470D0824" w14:textId="77777777" w:rsidR="00991FDC" w:rsidRDefault="00991FDC" w:rsidP="00991FDC">
      <w:pPr>
        <w:pStyle w:val="TOC1"/>
        <w:tabs>
          <w:tab w:val="clear" w:pos="6804"/>
          <w:tab w:val="right" w:pos="7088"/>
        </w:tabs>
        <w:rPr>
          <w:rFonts w:asciiTheme="minorHAnsi" w:eastAsiaTheme="minorEastAsia" w:hAnsiTheme="minorHAnsi" w:cstheme="minorBidi"/>
          <w:color w:val="auto"/>
          <w:sz w:val="22"/>
          <w:szCs w:val="22"/>
          <w:lang w:eastAsia="en-AU"/>
        </w:rPr>
      </w:pPr>
      <w:r>
        <w:t>Case study four Karajarri Ranger Training Program</w:t>
      </w:r>
      <w:r>
        <w:tab/>
      </w:r>
      <w:r>
        <w:fldChar w:fldCharType="begin"/>
      </w:r>
      <w:r>
        <w:instrText xml:space="preserve"> PAGEREF _Toc480296493 \h </w:instrText>
      </w:r>
      <w:r>
        <w:fldChar w:fldCharType="separate"/>
      </w:r>
      <w:r>
        <w:t>24</w:t>
      </w:r>
      <w:r>
        <w:fldChar w:fldCharType="end"/>
      </w:r>
    </w:p>
    <w:p w14:paraId="59FE2BDC" w14:textId="11909484" w:rsidR="00991FDC" w:rsidRDefault="00991FDC" w:rsidP="00991FDC">
      <w:pPr>
        <w:pStyle w:val="TOC1"/>
        <w:tabs>
          <w:tab w:val="clear" w:pos="6804"/>
          <w:tab w:val="right" w:pos="7088"/>
        </w:tabs>
        <w:rPr>
          <w:rFonts w:asciiTheme="minorHAnsi" w:eastAsiaTheme="minorEastAsia" w:hAnsiTheme="minorHAnsi" w:cstheme="minorBidi"/>
          <w:color w:val="auto"/>
          <w:sz w:val="22"/>
          <w:szCs w:val="22"/>
          <w:lang w:eastAsia="en-AU"/>
        </w:rPr>
      </w:pPr>
      <w:r>
        <w:t>Case study five Training in Indigenous Mental Health (Suicide Prevention):</w:t>
      </w:r>
      <w:r>
        <w:br/>
        <w:t>the work of a Cairns-based Aboriginal College</w:t>
      </w:r>
      <w:r>
        <w:tab/>
      </w:r>
      <w:r>
        <w:fldChar w:fldCharType="begin"/>
      </w:r>
      <w:r>
        <w:instrText xml:space="preserve"> PAGEREF _Toc480296494 \h </w:instrText>
      </w:r>
      <w:r>
        <w:fldChar w:fldCharType="separate"/>
      </w:r>
      <w:r>
        <w:t>35</w:t>
      </w:r>
      <w:r>
        <w:fldChar w:fldCharType="end"/>
      </w:r>
    </w:p>
    <w:p w14:paraId="06E58E83" w14:textId="77777777" w:rsidR="00991FDC" w:rsidRDefault="00991FDC" w:rsidP="00991FDC">
      <w:pPr>
        <w:pStyle w:val="TOC2"/>
        <w:tabs>
          <w:tab w:val="clear" w:pos="6804"/>
          <w:tab w:val="right" w:pos="7088"/>
        </w:tabs>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_Toc480296495 \h </w:instrText>
      </w:r>
      <w:r>
        <w:fldChar w:fldCharType="separate"/>
      </w:r>
      <w:r>
        <w:t>43</w:t>
      </w:r>
      <w:r>
        <w:fldChar w:fldCharType="end"/>
      </w:r>
    </w:p>
    <w:p w14:paraId="01BE17F0" w14:textId="134C5AF0" w:rsidR="004E7227" w:rsidRDefault="006436A1" w:rsidP="008E03B1">
      <w:pPr>
        <w:pStyle w:val="Text"/>
      </w:pPr>
      <w:r w:rsidRPr="009775C7">
        <w:fldChar w:fldCharType="end"/>
      </w:r>
    </w:p>
    <w:p w14:paraId="01BE17F1" w14:textId="77777777" w:rsidR="004E7227" w:rsidRDefault="004E7227" w:rsidP="004E7227">
      <w:pPr>
        <w:pStyle w:val="Heading2"/>
      </w:pPr>
      <w:bookmarkStart w:id="11" w:name="_Toc296497516"/>
      <w:bookmarkStart w:id="12" w:name="_Toc298162801"/>
      <w:bookmarkStart w:id="13" w:name="_Toc477260508"/>
      <w:bookmarkStart w:id="14" w:name="_Toc480296483"/>
      <w:r>
        <w:t>Tables</w:t>
      </w:r>
      <w:bookmarkEnd w:id="11"/>
      <w:bookmarkEnd w:id="12"/>
      <w:bookmarkEnd w:id="13"/>
      <w:bookmarkEnd w:id="14"/>
    </w:p>
    <w:p w14:paraId="01BE17F2" w14:textId="64352BAD" w:rsidR="006A3125" w:rsidRDefault="006436A1" w:rsidP="00753427">
      <w:pPr>
        <w:pStyle w:val="TableofFigures"/>
        <w:tabs>
          <w:tab w:val="clear" w:pos="284"/>
          <w:tab w:val="clear" w:pos="6804"/>
          <w:tab w:val="left" w:pos="567"/>
          <w:tab w:val="right" w:pos="7088"/>
        </w:tabs>
        <w:ind w:left="284" w:hanging="284"/>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6A3125">
        <w:t>1</w:t>
      </w:r>
      <w:r w:rsidR="008E03B1">
        <w:tab/>
      </w:r>
      <w:r w:rsidR="006A3125">
        <w:t>Research respondents</w:t>
      </w:r>
      <w:r w:rsidR="006A3125">
        <w:tab/>
      </w:r>
      <w:r>
        <w:fldChar w:fldCharType="begin"/>
      </w:r>
      <w:r w:rsidR="006A3125">
        <w:instrText xml:space="preserve"> PAGEREF _Toc476305802 \h </w:instrText>
      </w:r>
      <w:r>
        <w:fldChar w:fldCharType="separate"/>
      </w:r>
      <w:r w:rsidR="00991FDC">
        <w:t>6</w:t>
      </w:r>
      <w:r>
        <w:fldChar w:fldCharType="end"/>
      </w:r>
    </w:p>
    <w:p w14:paraId="01BE17F3" w14:textId="66D9859B" w:rsidR="006A3125" w:rsidRDefault="006A3125" w:rsidP="00753427">
      <w:pPr>
        <w:pStyle w:val="TableofFigures"/>
        <w:tabs>
          <w:tab w:val="clear" w:pos="284"/>
          <w:tab w:val="clear" w:pos="6804"/>
          <w:tab w:val="left" w:pos="567"/>
          <w:tab w:val="right" w:pos="7088"/>
        </w:tabs>
        <w:ind w:left="284" w:hanging="284"/>
        <w:rPr>
          <w:rFonts w:asciiTheme="minorHAnsi" w:eastAsiaTheme="minorEastAsia" w:hAnsiTheme="minorHAnsi" w:cstheme="minorBidi"/>
          <w:color w:val="auto"/>
          <w:sz w:val="22"/>
          <w:szCs w:val="22"/>
          <w:lang w:eastAsia="en-AU"/>
        </w:rPr>
      </w:pPr>
      <w:r>
        <w:t>2</w:t>
      </w:r>
      <w:r w:rsidR="008E03B1">
        <w:tab/>
      </w:r>
      <w:r>
        <w:t>Course completions by remoteness, 2009-2015 for the Batchelor Aboriginal and Torres Strait Islander Health Practitioner Training program</w:t>
      </w:r>
      <w:r>
        <w:tab/>
      </w:r>
      <w:r w:rsidR="006436A1">
        <w:fldChar w:fldCharType="begin"/>
      </w:r>
      <w:r>
        <w:instrText xml:space="preserve"> PAGEREF _Toc476305803 \h </w:instrText>
      </w:r>
      <w:r w:rsidR="006436A1">
        <w:fldChar w:fldCharType="separate"/>
      </w:r>
      <w:r w:rsidR="00991FDC">
        <w:t>13</w:t>
      </w:r>
      <w:r w:rsidR="006436A1">
        <w:fldChar w:fldCharType="end"/>
      </w:r>
    </w:p>
    <w:p w14:paraId="01BE17F4" w14:textId="41E76B84" w:rsidR="006A3125" w:rsidRDefault="006A3125" w:rsidP="00753427">
      <w:pPr>
        <w:pStyle w:val="TableofFigures"/>
        <w:tabs>
          <w:tab w:val="clear" w:pos="284"/>
          <w:tab w:val="clear" w:pos="6804"/>
          <w:tab w:val="left" w:pos="567"/>
          <w:tab w:val="right" w:pos="7088"/>
        </w:tabs>
        <w:ind w:left="284" w:hanging="284"/>
        <w:rPr>
          <w:rFonts w:asciiTheme="minorHAnsi" w:eastAsiaTheme="minorEastAsia" w:hAnsiTheme="minorHAnsi" w:cstheme="minorBidi"/>
          <w:color w:val="auto"/>
          <w:sz w:val="22"/>
          <w:szCs w:val="22"/>
          <w:lang w:eastAsia="en-AU"/>
        </w:rPr>
      </w:pPr>
      <w:r>
        <w:t>3</w:t>
      </w:r>
      <w:r w:rsidR="008E03B1">
        <w:tab/>
      </w:r>
      <w:r>
        <w:t>Summary enrolment and completion data</w:t>
      </w:r>
      <w:r>
        <w:tab/>
      </w:r>
      <w:r w:rsidR="006436A1">
        <w:fldChar w:fldCharType="begin"/>
      </w:r>
      <w:r>
        <w:instrText xml:space="preserve"> PAGEREF _Toc476305804 \h </w:instrText>
      </w:r>
      <w:r w:rsidR="006436A1">
        <w:fldChar w:fldCharType="separate"/>
      </w:r>
      <w:r w:rsidR="00991FDC">
        <w:t>18</w:t>
      </w:r>
      <w:r w:rsidR="006436A1">
        <w:fldChar w:fldCharType="end"/>
      </w:r>
    </w:p>
    <w:p w14:paraId="01BE17F5" w14:textId="09E7B395" w:rsidR="006A3125" w:rsidRDefault="006A3125" w:rsidP="00753427">
      <w:pPr>
        <w:pStyle w:val="TableofFigures"/>
        <w:tabs>
          <w:tab w:val="clear" w:pos="284"/>
          <w:tab w:val="clear" w:pos="6804"/>
          <w:tab w:val="left" w:pos="567"/>
          <w:tab w:val="right" w:pos="7088"/>
        </w:tabs>
        <w:ind w:left="284" w:hanging="284"/>
        <w:rPr>
          <w:rFonts w:asciiTheme="minorHAnsi" w:eastAsiaTheme="minorEastAsia" w:hAnsiTheme="minorHAnsi" w:cstheme="minorBidi"/>
          <w:color w:val="auto"/>
          <w:sz w:val="22"/>
          <w:szCs w:val="22"/>
          <w:lang w:eastAsia="en-AU"/>
        </w:rPr>
      </w:pPr>
      <w:r>
        <w:t>4</w:t>
      </w:r>
      <w:r w:rsidR="008E03B1">
        <w:tab/>
      </w:r>
      <w:r>
        <w:t xml:space="preserve">TVA enrolment and completion figures for Aboriginal students in </w:t>
      </w:r>
      <w:r w:rsidR="008E03B1">
        <w:t>the</w:t>
      </w:r>
      <w:r w:rsidR="008E03B1">
        <w:br/>
      </w:r>
      <w:r>
        <w:t>Bourke-Brewarrina region, 2015.</w:t>
      </w:r>
      <w:r>
        <w:tab/>
      </w:r>
      <w:r w:rsidR="006436A1">
        <w:fldChar w:fldCharType="begin"/>
      </w:r>
      <w:r>
        <w:instrText xml:space="preserve"> PAGEREF _Toc476305805 \h </w:instrText>
      </w:r>
      <w:r w:rsidR="006436A1">
        <w:fldChar w:fldCharType="separate"/>
      </w:r>
      <w:r w:rsidR="00991FDC">
        <w:t>18</w:t>
      </w:r>
      <w:r w:rsidR="006436A1">
        <w:fldChar w:fldCharType="end"/>
      </w:r>
    </w:p>
    <w:p w14:paraId="01BE17F6" w14:textId="3F56B4FD" w:rsidR="006A3125" w:rsidRDefault="006A3125" w:rsidP="00753427">
      <w:pPr>
        <w:pStyle w:val="TableofFigures"/>
        <w:tabs>
          <w:tab w:val="clear" w:pos="284"/>
          <w:tab w:val="clear" w:pos="6804"/>
          <w:tab w:val="left" w:pos="567"/>
          <w:tab w:val="right" w:pos="7088"/>
        </w:tabs>
        <w:ind w:left="284" w:hanging="284"/>
        <w:rPr>
          <w:rFonts w:asciiTheme="minorHAnsi" w:eastAsiaTheme="minorEastAsia" w:hAnsiTheme="minorHAnsi" w:cstheme="minorBidi"/>
          <w:color w:val="auto"/>
          <w:sz w:val="22"/>
          <w:szCs w:val="22"/>
          <w:lang w:eastAsia="en-AU"/>
        </w:rPr>
      </w:pPr>
      <w:r>
        <w:t>5</w:t>
      </w:r>
      <w:r w:rsidR="008E03B1">
        <w:tab/>
      </w:r>
      <w:r>
        <w:t>Summary of further training outcomes</w:t>
      </w:r>
      <w:r>
        <w:tab/>
      </w:r>
      <w:r w:rsidR="006436A1">
        <w:fldChar w:fldCharType="begin"/>
      </w:r>
      <w:r>
        <w:instrText xml:space="preserve"> PAGEREF _Toc476305806 \h </w:instrText>
      </w:r>
      <w:r w:rsidR="006436A1">
        <w:fldChar w:fldCharType="separate"/>
      </w:r>
      <w:r w:rsidR="00991FDC">
        <w:t>20</w:t>
      </w:r>
      <w:r w:rsidR="006436A1">
        <w:fldChar w:fldCharType="end"/>
      </w:r>
    </w:p>
    <w:p w14:paraId="01BE17F7" w14:textId="7C6A366F" w:rsidR="006A3125" w:rsidRDefault="006A3125" w:rsidP="00753427">
      <w:pPr>
        <w:pStyle w:val="TableofFigures"/>
        <w:tabs>
          <w:tab w:val="clear" w:pos="284"/>
          <w:tab w:val="clear" w:pos="6804"/>
          <w:tab w:val="left" w:pos="567"/>
          <w:tab w:val="right" w:pos="7088"/>
        </w:tabs>
        <w:ind w:left="284" w:hanging="284"/>
        <w:rPr>
          <w:rFonts w:asciiTheme="minorHAnsi" w:eastAsiaTheme="minorEastAsia" w:hAnsiTheme="minorHAnsi" w:cstheme="minorBidi"/>
          <w:color w:val="auto"/>
          <w:sz w:val="22"/>
          <w:szCs w:val="22"/>
          <w:lang w:eastAsia="en-AU"/>
        </w:rPr>
      </w:pPr>
      <w:r>
        <w:t>6</w:t>
      </w:r>
      <w:r w:rsidR="008E03B1">
        <w:tab/>
      </w:r>
      <w:r>
        <w:t>Course structure for the Indigenous Mental Health (Suicide Prevention) program</w:t>
      </w:r>
      <w:r>
        <w:tab/>
      </w:r>
      <w:r w:rsidR="006436A1">
        <w:fldChar w:fldCharType="begin"/>
      </w:r>
      <w:r>
        <w:instrText xml:space="preserve"> PAGEREF _Toc476305807 \h </w:instrText>
      </w:r>
      <w:r w:rsidR="006436A1">
        <w:fldChar w:fldCharType="separate"/>
      </w:r>
      <w:r w:rsidR="00991FDC">
        <w:t>37</w:t>
      </w:r>
      <w:r w:rsidR="006436A1">
        <w:fldChar w:fldCharType="end"/>
      </w:r>
    </w:p>
    <w:p w14:paraId="01BE17F8" w14:textId="778D6A92" w:rsidR="000108B2" w:rsidRPr="00A93867" w:rsidRDefault="006436A1" w:rsidP="00753427">
      <w:pPr>
        <w:tabs>
          <w:tab w:val="left" w:pos="567"/>
          <w:tab w:val="right" w:pos="7088"/>
        </w:tabs>
        <w:ind w:left="284" w:hanging="284"/>
      </w:pPr>
      <w:r>
        <w:fldChar w:fldCharType="end"/>
      </w:r>
      <w:r w:rsidR="00753427">
        <w:t xml:space="preserve">Box 1 </w:t>
      </w:r>
      <w:r w:rsidR="00753427" w:rsidRPr="00753427">
        <w:t xml:space="preserve">Summary of core skills gained through the Indigenous Mental Health </w:t>
      </w:r>
      <w:r w:rsidR="00753427">
        <w:br/>
      </w:r>
      <w:r w:rsidR="00753427" w:rsidRPr="00753427">
        <w:t>Certificate IV</w:t>
      </w:r>
      <w:r w:rsidR="00753427">
        <w:tab/>
        <w:t>39</w:t>
      </w:r>
    </w:p>
    <w:p w14:paraId="01BE17F9" w14:textId="77777777" w:rsidR="00A93867" w:rsidRPr="00A93867" w:rsidRDefault="00A93867">
      <w:pPr>
        <w:spacing w:before="0" w:line="240" w:lineRule="auto"/>
        <w:rPr>
          <w:rFonts w:ascii="Tahoma" w:hAnsi="Tahoma" w:cs="Tahoma"/>
          <w:b/>
          <w:color w:val="000000"/>
          <w:kern w:val="28"/>
          <w:sz w:val="56"/>
          <w:szCs w:val="56"/>
        </w:rPr>
      </w:pPr>
      <w:bookmarkStart w:id="15" w:name="_Toc298162803"/>
      <w:r w:rsidRPr="00A93867">
        <w:rPr>
          <w:b/>
        </w:rPr>
        <w:br w:type="page"/>
      </w:r>
    </w:p>
    <w:p w14:paraId="01BE17FA" w14:textId="77777777" w:rsidR="00D35E06" w:rsidRDefault="00BE0DB4" w:rsidP="004E166C">
      <w:pPr>
        <w:pStyle w:val="Heading1"/>
      </w:pPr>
      <w:bookmarkStart w:id="16" w:name="_Toc480296484"/>
      <w:bookmarkEnd w:id="4"/>
      <w:bookmarkEnd w:id="5"/>
      <w:bookmarkEnd w:id="6"/>
      <w:bookmarkEnd w:id="7"/>
      <w:bookmarkEnd w:id="15"/>
      <w:r>
        <w:t>Introduction</w:t>
      </w:r>
      <w:bookmarkEnd w:id="16"/>
    </w:p>
    <w:p w14:paraId="01BE17FB" w14:textId="77777777" w:rsidR="00BE0DB4" w:rsidRPr="00FC48FE" w:rsidRDefault="0073414E" w:rsidP="00FC48FE">
      <w:pPr>
        <w:pStyle w:val="Text"/>
      </w:pPr>
      <w:r>
        <w:t>The case studies that follow</w:t>
      </w:r>
      <w:r w:rsidR="00BE0DB4" w:rsidRPr="00FC48FE">
        <w:t xml:space="preserve"> are a compil</w:t>
      </w:r>
      <w:r>
        <w:t xml:space="preserve">ation of learnings </w:t>
      </w:r>
      <w:r w:rsidR="00E351C5">
        <w:t xml:space="preserve">derived </w:t>
      </w:r>
      <w:r>
        <w:t xml:space="preserve">from the research project, </w:t>
      </w:r>
      <w:r w:rsidR="00BE0DB4" w:rsidRPr="0073414E">
        <w:rPr>
          <w:i/>
        </w:rPr>
        <w:t xml:space="preserve">Enhancing </w:t>
      </w:r>
      <w:r w:rsidRPr="0073414E">
        <w:rPr>
          <w:i/>
        </w:rPr>
        <w:t xml:space="preserve">training advantage for remote </w:t>
      </w:r>
      <w:r w:rsidR="00BE0DB4" w:rsidRPr="0073414E">
        <w:rPr>
          <w:i/>
        </w:rPr>
        <w:t xml:space="preserve">Aboriginal and </w:t>
      </w:r>
      <w:r w:rsidRPr="0073414E">
        <w:rPr>
          <w:i/>
        </w:rPr>
        <w:t>Torres Strait Islander learners</w:t>
      </w:r>
      <w:r w:rsidR="00BE0DB4" w:rsidRPr="00FC48FE">
        <w:t>. The project, funded by the National Centre for Vocational Education Research</w:t>
      </w:r>
      <w:r>
        <w:t xml:space="preserve"> (NCVER)</w:t>
      </w:r>
      <w:r w:rsidR="00BE0DB4" w:rsidRPr="00FC48FE">
        <w:t>, was conducted by a consortium of researchers from five institutions: TAFE SA, Batchelor Institute of Indigenous Tertiary Education</w:t>
      </w:r>
      <w:r w:rsidR="00971CEF">
        <w:t>, University of New England,</w:t>
      </w:r>
      <w:r w:rsidR="00BE0DB4" w:rsidRPr="00FC48FE">
        <w:t xml:space="preserve"> James Cook University</w:t>
      </w:r>
      <w:r w:rsidR="00971CEF">
        <w:t xml:space="preserve"> and the University of Notre Dame Australia</w:t>
      </w:r>
      <w:r w:rsidR="00BE0DB4" w:rsidRPr="00FC48FE">
        <w:t xml:space="preserve">. The research was conducted during 2016 with participants from five locations: the </w:t>
      </w:r>
      <w:proofErr w:type="spellStart"/>
      <w:r w:rsidR="0053722E" w:rsidRPr="00FC48FE">
        <w:t>Anangu</w:t>
      </w:r>
      <w:proofErr w:type="spellEnd"/>
      <w:r w:rsidR="00BE0DB4" w:rsidRPr="00FC48FE">
        <w:t xml:space="preserve"> Pitjantjatjara Yankunytjatjara Lands of South Australia, the Northern Territory, western New South Wales, the Kimberley region of Western Australia, and the Cape York and Torres Strait Island regions of Queensland.</w:t>
      </w:r>
    </w:p>
    <w:p w14:paraId="01BE17FC" w14:textId="77777777" w:rsidR="00BE0DB4" w:rsidRPr="00FC48FE" w:rsidRDefault="00BE0DB4" w:rsidP="00FC48FE">
      <w:pPr>
        <w:pStyle w:val="Text"/>
      </w:pPr>
      <w:r w:rsidRPr="00FC48FE">
        <w:t>Based on training programs considered to be successful, the project was designed</w:t>
      </w:r>
      <w:r w:rsidR="00E351C5">
        <w:t xml:space="preserve"> in order</w:t>
      </w:r>
      <w:r w:rsidRPr="00FC48FE">
        <w:t xml:space="preserve"> to </w:t>
      </w:r>
      <w:r w:rsidR="00E351C5">
        <w:t xml:space="preserve">gain an </w:t>
      </w:r>
      <w:r w:rsidRPr="00FC48FE">
        <w:t>understand</w:t>
      </w:r>
      <w:r w:rsidR="00E351C5">
        <w:t>ing of</w:t>
      </w:r>
      <w:r w:rsidRPr="00FC48FE">
        <w:t xml:space="preserve"> the dynamics of </w:t>
      </w:r>
      <w:r w:rsidR="004529EB" w:rsidRPr="00FC48FE">
        <w:t>retention and completion towards employability. Nationally, for very remote Aboriginal and Torres Strait Islander trainees, completion rates for VET cour</w:t>
      </w:r>
      <w:r w:rsidR="0073414E">
        <w:t>ses are on average 16.6%</w:t>
      </w:r>
      <w:r w:rsidR="004529EB" w:rsidRPr="00FC48FE">
        <w:t xml:space="preserve">, </w:t>
      </w:r>
      <w:r w:rsidR="00E351C5">
        <w:t>with an even</w:t>
      </w:r>
      <w:r w:rsidR="004529EB" w:rsidRPr="00FC48FE">
        <w:t xml:space="preserve"> lower </w:t>
      </w:r>
      <w:r w:rsidR="00E351C5">
        <w:t xml:space="preserve">figure </w:t>
      </w:r>
      <w:r w:rsidR="004529EB" w:rsidRPr="00FC48FE">
        <w:t xml:space="preserve">for </w:t>
      </w:r>
      <w:r w:rsidR="0073414E">
        <w:t>certificate</w:t>
      </w:r>
      <w:r w:rsidR="004529EB" w:rsidRPr="00FC48FE">
        <w:t xml:space="preserve"> I courses.</w:t>
      </w:r>
    </w:p>
    <w:p w14:paraId="01BE17FD" w14:textId="136D4321" w:rsidR="004529EB" w:rsidRPr="00FC48FE" w:rsidRDefault="004529EB" w:rsidP="00FC48FE">
      <w:pPr>
        <w:pStyle w:val="Text"/>
      </w:pPr>
      <w:r w:rsidRPr="00FC48FE">
        <w:t>Full details about the project and its cross-cutting findings, with a literature review and additional statistical informati</w:t>
      </w:r>
      <w:r w:rsidR="0073414E">
        <w:t>on, are contained in the r</w:t>
      </w:r>
      <w:r w:rsidRPr="00FC48FE">
        <w:t>eport</w:t>
      </w:r>
      <w:r w:rsidR="00E1636A">
        <w:t>, available from the NCVER Portal</w:t>
      </w:r>
      <w:r w:rsidR="00122B7A">
        <w:t xml:space="preserve"> at &lt;https://www.ncver.edu.au&gt;</w:t>
      </w:r>
      <w:r w:rsidRPr="00FC48FE">
        <w:t>. The case studies presented here mostly present qualitative findings.</w:t>
      </w:r>
    </w:p>
    <w:p w14:paraId="01BE17FE" w14:textId="77777777" w:rsidR="00FC48FE" w:rsidRDefault="00FC48FE">
      <w:pPr>
        <w:spacing w:before="0" w:line="240" w:lineRule="auto"/>
        <w:rPr>
          <w:rFonts w:ascii="Arial" w:hAnsi="Arial" w:cs="Tahoma"/>
          <w:color w:val="000000"/>
          <w:kern w:val="28"/>
          <w:sz w:val="56"/>
          <w:szCs w:val="56"/>
        </w:rPr>
      </w:pPr>
      <w:r>
        <w:br w:type="page"/>
      </w:r>
    </w:p>
    <w:p w14:paraId="01BE17FF" w14:textId="77777777" w:rsidR="00BE0DB4" w:rsidRDefault="00BE0DB4" w:rsidP="00BE0DB4">
      <w:pPr>
        <w:pStyle w:val="Heading1"/>
      </w:pPr>
      <w:bookmarkStart w:id="17" w:name="_Toc480296485"/>
      <w:r>
        <w:t>Case study methodology</w:t>
      </w:r>
      <w:bookmarkEnd w:id="17"/>
    </w:p>
    <w:p w14:paraId="01BE1800" w14:textId="77777777" w:rsidR="000C3B4C" w:rsidRDefault="000C3B4C" w:rsidP="000C3B4C">
      <w:pPr>
        <w:pStyle w:val="Heading2"/>
      </w:pPr>
      <w:bookmarkStart w:id="18" w:name="_Toc480296486"/>
      <w:r>
        <w:t>Research questions</w:t>
      </w:r>
      <w:bookmarkEnd w:id="18"/>
    </w:p>
    <w:p w14:paraId="01BE1801" w14:textId="77777777" w:rsidR="0073414E" w:rsidRDefault="004529EB" w:rsidP="00F33199">
      <w:pPr>
        <w:pStyle w:val="Text"/>
      </w:pPr>
      <w:r>
        <w:t xml:space="preserve">Two main research questions </w:t>
      </w:r>
      <w:r w:rsidR="00F33199">
        <w:t>drove</w:t>
      </w:r>
      <w:r>
        <w:t xml:space="preserve"> the project. We refer to ‘em</w:t>
      </w:r>
      <w:r w:rsidR="0073414E">
        <w:t>ployability’ in these questions</w:t>
      </w:r>
      <w:r>
        <w:t xml:space="preserve"> rather than ‘employment’ partly because the issue of destinations beyond training is </w:t>
      </w:r>
      <w:r w:rsidR="0073414E">
        <w:t>outside</w:t>
      </w:r>
      <w:r>
        <w:t xml:space="preserve"> the scope of what </w:t>
      </w:r>
      <w:r w:rsidR="00F33199">
        <w:t>wa</w:t>
      </w:r>
      <w:r>
        <w:t xml:space="preserve">s required and </w:t>
      </w:r>
      <w:r w:rsidR="00F33199">
        <w:t xml:space="preserve">because it </w:t>
      </w:r>
      <w:r>
        <w:t>is difficult to track from the view of training providers</w:t>
      </w:r>
      <w:r w:rsidR="00F33199">
        <w:t>.</w:t>
      </w:r>
      <w:r>
        <w:t xml:space="preserve"> We recognise that outcomes other than employment may be important for participants </w:t>
      </w:r>
      <w:r w:rsidR="0073414E">
        <w:rPr>
          <w:noProof/>
        </w:rPr>
        <w:t>(Miller 2005;</w:t>
      </w:r>
      <w:r w:rsidR="00552451">
        <w:rPr>
          <w:noProof/>
        </w:rPr>
        <w:t xml:space="preserve"> Fredman 2014)</w:t>
      </w:r>
      <w:r>
        <w:t xml:space="preserve">. At a national level though, the need for VET </w:t>
      </w:r>
      <w:r w:rsidR="0073414E">
        <w:rPr>
          <w:noProof/>
        </w:rPr>
        <w:t>(Pocock</w:t>
      </w:r>
      <w:r w:rsidR="00552451">
        <w:rPr>
          <w:noProof/>
        </w:rPr>
        <w:t xml:space="preserve"> et al. 2011)</w:t>
      </w:r>
      <w:r w:rsidR="00973EFB">
        <w:rPr>
          <w:noProof/>
        </w:rPr>
        <w:t>,</w:t>
      </w:r>
      <w:r>
        <w:t xml:space="preserve"> and even foundational literacy and numeracy skills </w:t>
      </w:r>
      <w:r w:rsidR="00552451">
        <w:rPr>
          <w:noProof/>
        </w:rPr>
        <w:t>(Shomos 2010)</w:t>
      </w:r>
      <w:r w:rsidR="00973EFB">
        <w:rPr>
          <w:noProof/>
        </w:rPr>
        <w:t>,</w:t>
      </w:r>
      <w:r>
        <w:t xml:space="preserve"> to increase productivity is paramount. While recognising the multiple reasons for engagement in training, our research questions explicitly make the connection between training and employability.</w:t>
      </w:r>
    </w:p>
    <w:p w14:paraId="01BE1802" w14:textId="77777777" w:rsidR="004529EB" w:rsidRDefault="004529EB" w:rsidP="00991FDC">
      <w:pPr>
        <w:pStyle w:val="Dotpoint1"/>
      </w:pPr>
      <w:r>
        <w:t>How can retention and completion in post-school training be improved (to improve employability) for Aboriginal and Torres Strait Islanders living in remote communities?</w:t>
      </w:r>
    </w:p>
    <w:p w14:paraId="01BE1803" w14:textId="77777777" w:rsidR="004529EB" w:rsidRPr="002661D3" w:rsidRDefault="004529EB" w:rsidP="00991FDC">
      <w:pPr>
        <w:pStyle w:val="Dotpoint2"/>
      </w:pPr>
      <w:r w:rsidRPr="002661D3">
        <w:t xml:space="preserve">Which models of adult training work well (or not) to achieve </w:t>
      </w:r>
      <w:r>
        <w:t xml:space="preserve">completion and employability </w:t>
      </w:r>
      <w:r w:rsidRPr="002661D3">
        <w:t>outcomes in each site?</w:t>
      </w:r>
    </w:p>
    <w:p w14:paraId="01BE1804" w14:textId="77777777" w:rsidR="004529EB" w:rsidRPr="002661D3" w:rsidRDefault="004529EB" w:rsidP="00991FDC">
      <w:pPr>
        <w:pStyle w:val="Dotpoint2"/>
      </w:pPr>
      <w:r w:rsidRPr="002661D3">
        <w:t>How do factors of funding, andragogy, individual agency, cultural attachments, geography, employment service delivery, English language literacy, digital literacies, and job availability effect improved engagement, retention and completion of training?</w:t>
      </w:r>
    </w:p>
    <w:p w14:paraId="01BE1805" w14:textId="77777777" w:rsidR="004529EB" w:rsidRDefault="004529EB" w:rsidP="00991FDC">
      <w:pPr>
        <w:pStyle w:val="Dotpoint1"/>
      </w:pPr>
      <w:r>
        <w:t>What indicators o</w:t>
      </w:r>
      <w:r w:rsidR="0073414E">
        <w:t>f success other than completion</w:t>
      </w:r>
      <w:r>
        <w:t xml:space="preserve"> would be important for training in remote communities (to improve employability)? </w:t>
      </w:r>
    </w:p>
    <w:p w14:paraId="01BE1806" w14:textId="77777777" w:rsidR="004529EB" w:rsidRPr="002661D3" w:rsidRDefault="004529EB" w:rsidP="00991FDC">
      <w:pPr>
        <w:pStyle w:val="Dotpoint2"/>
      </w:pPr>
      <w:r w:rsidRPr="00420CFA">
        <w:t>What do nationally available VET and employment data reveal about the link between completing a VET qualification and achieving employment outcomes for remote Aboriginal and Torres Strait Islander learners?</w:t>
      </w:r>
    </w:p>
    <w:p w14:paraId="01BE1807" w14:textId="77777777" w:rsidR="000C3B4C" w:rsidRDefault="000C3B4C" w:rsidP="000C3B4C">
      <w:pPr>
        <w:pStyle w:val="Heading2"/>
      </w:pPr>
      <w:bookmarkStart w:id="19" w:name="_Toc480296487"/>
      <w:r>
        <w:t>Ethical clearance</w:t>
      </w:r>
      <w:bookmarkEnd w:id="19"/>
    </w:p>
    <w:p w14:paraId="01BE1808" w14:textId="77777777" w:rsidR="004529EB" w:rsidRDefault="004529EB" w:rsidP="00F33199">
      <w:pPr>
        <w:pStyle w:val="Text"/>
      </w:pPr>
      <w:r>
        <w:t xml:space="preserve">Ethical clearance for the project </w:t>
      </w:r>
      <w:r w:rsidR="00F33199">
        <w:t>was</w:t>
      </w:r>
      <w:r>
        <w:t xml:space="preserve"> </w:t>
      </w:r>
      <w:r w:rsidR="00F33199">
        <w:t>obtained</w:t>
      </w:r>
      <w:r>
        <w:t xml:space="preserve"> for all participating organisations in application</w:t>
      </w:r>
      <w:r w:rsidR="00F33199">
        <w:t>s to institutional ethics committees</w:t>
      </w:r>
      <w:r>
        <w:t xml:space="preserve">. Additional clearances </w:t>
      </w:r>
      <w:r w:rsidR="00F33199">
        <w:t xml:space="preserve">were obtained as </w:t>
      </w:r>
      <w:r>
        <w:t>required in particular locations (for example</w:t>
      </w:r>
      <w:r w:rsidR="00973EFB">
        <w:t>,</w:t>
      </w:r>
      <w:r>
        <w:t xml:space="preserve"> with Land Councils, and in central Australia, with the Central Australian Human Research Ethics Committee). In addition, </w:t>
      </w:r>
      <w:r w:rsidR="0053722E">
        <w:t>the project</w:t>
      </w:r>
      <w:r>
        <w:t xml:space="preserve"> establish</w:t>
      </w:r>
      <w:r w:rsidR="0053722E">
        <w:t>ed</w:t>
      </w:r>
      <w:r>
        <w:t xml:space="preserve"> an Indigenous Advisory Group to guide the research process and to ensure that all ethical considerations </w:t>
      </w:r>
      <w:r w:rsidR="0053722E">
        <w:t>we</w:t>
      </w:r>
      <w:r>
        <w:t>re given appropriate oversight.</w:t>
      </w:r>
    </w:p>
    <w:p w14:paraId="01BE1809" w14:textId="77777777" w:rsidR="000C3B4C" w:rsidRPr="005B0177" w:rsidRDefault="00E15573" w:rsidP="00E15573">
      <w:pPr>
        <w:pStyle w:val="Heading2"/>
      </w:pPr>
      <w:bookmarkStart w:id="20" w:name="_Toc480296488"/>
      <w:r>
        <w:t>Data sources</w:t>
      </w:r>
      <w:bookmarkEnd w:id="20"/>
    </w:p>
    <w:p w14:paraId="01BE180A" w14:textId="77777777" w:rsidR="00E15573" w:rsidRDefault="004529EB" w:rsidP="000C3B4C">
      <w:pPr>
        <w:pStyle w:val="Text"/>
      </w:pPr>
      <w:r>
        <w:t xml:space="preserve">Each case study </w:t>
      </w:r>
      <w:r w:rsidR="00F33199">
        <w:t>was</w:t>
      </w:r>
      <w:r>
        <w:t xml:space="preserve"> based on </w:t>
      </w:r>
      <w:r w:rsidR="00973EFB">
        <w:t xml:space="preserve">an </w:t>
      </w:r>
      <w:r>
        <w:t xml:space="preserve">examination of documentary evidence (such as performance reports and evaluations) and </w:t>
      </w:r>
      <w:r w:rsidR="00E15573">
        <w:t>a series of focus groups and interviews with</w:t>
      </w:r>
      <w:r>
        <w:t xml:space="preserve"> VET trainees (past and present), employers, trainers, training administrators, job service providers, members of associated service providers, remote community representatives and relevant government agency representatives. Focus group</w:t>
      </w:r>
      <w:r w:rsidR="00E15573">
        <w:t>s and</w:t>
      </w:r>
      <w:r>
        <w:t xml:space="preserve"> interviews </w:t>
      </w:r>
      <w:r w:rsidR="00E15573">
        <w:t xml:space="preserve">were </w:t>
      </w:r>
      <w:r>
        <w:t>recorded and transcribed</w:t>
      </w:r>
      <w:r w:rsidR="00E15573">
        <w:t xml:space="preserve"> for analysis in an </w:t>
      </w:r>
      <w:proofErr w:type="spellStart"/>
      <w:r w:rsidR="00E15573">
        <w:t>NVivo</w:t>
      </w:r>
      <w:proofErr w:type="spellEnd"/>
      <w:r w:rsidR="00E15573">
        <w:t xml:space="preserve"> (qualitative analysis software) database</w:t>
      </w:r>
      <w:r>
        <w:t>.</w:t>
      </w:r>
      <w:r w:rsidR="00166A7E">
        <w:t xml:space="preserve"> Participant </w:t>
      </w:r>
      <w:r w:rsidR="002114D8">
        <w:t>numbers</w:t>
      </w:r>
      <w:r w:rsidR="00E15573">
        <w:t xml:space="preserve"> for each case study are detailed below.</w:t>
      </w:r>
    </w:p>
    <w:p w14:paraId="01BE180B" w14:textId="77777777" w:rsidR="00FC48FE" w:rsidRDefault="00FC48FE">
      <w:pPr>
        <w:spacing w:before="0" w:line="240" w:lineRule="auto"/>
        <w:rPr>
          <w:rFonts w:ascii="Arial" w:hAnsi="Arial"/>
          <w:b/>
          <w:sz w:val="17"/>
        </w:rPr>
      </w:pPr>
      <w:bookmarkStart w:id="21" w:name="_Ref463011470"/>
      <w:bookmarkStart w:id="22" w:name="_Toc463534968"/>
      <w:bookmarkStart w:id="23" w:name="_Toc475706617"/>
      <w:bookmarkStart w:id="24" w:name="_Toc476305802"/>
      <w:r>
        <w:br w:type="page"/>
      </w:r>
    </w:p>
    <w:p w14:paraId="01BE180C" w14:textId="766F5F56" w:rsidR="00E15573" w:rsidRDefault="00E15573" w:rsidP="006A3125">
      <w:pPr>
        <w:pStyle w:val="tabletitle"/>
      </w:pPr>
      <w:r>
        <w:t xml:space="preserve">Table </w:t>
      </w:r>
      <w:r w:rsidR="006436A1">
        <w:fldChar w:fldCharType="begin"/>
      </w:r>
      <w:r>
        <w:instrText xml:space="preserve"> SEQ Table \* ARABIC </w:instrText>
      </w:r>
      <w:r w:rsidR="006436A1">
        <w:fldChar w:fldCharType="separate"/>
      </w:r>
      <w:r w:rsidR="0073414E">
        <w:rPr>
          <w:noProof/>
        </w:rPr>
        <w:t>1</w:t>
      </w:r>
      <w:r w:rsidR="006436A1">
        <w:rPr>
          <w:noProof/>
        </w:rPr>
        <w:fldChar w:fldCharType="end"/>
      </w:r>
      <w:bookmarkEnd w:id="21"/>
      <w:r w:rsidR="00991FDC">
        <w:rPr>
          <w:noProof/>
        </w:rPr>
        <w:tab/>
      </w:r>
      <w:r>
        <w:t>Research respondents</w:t>
      </w:r>
      <w:bookmarkEnd w:id="22"/>
      <w:bookmarkEnd w:id="23"/>
      <w:bookmarkEnd w:id="24"/>
    </w:p>
    <w:tbl>
      <w:tblPr>
        <w:tblStyle w:val="TableGrid"/>
        <w:tblW w:w="8897" w:type="dxa"/>
        <w:tblLook w:val="04A0" w:firstRow="1" w:lastRow="0" w:firstColumn="1" w:lastColumn="0" w:noHBand="0" w:noVBand="1"/>
      </w:tblPr>
      <w:tblGrid>
        <w:gridCol w:w="1940"/>
        <w:gridCol w:w="1412"/>
        <w:gridCol w:w="1325"/>
        <w:gridCol w:w="1280"/>
        <w:gridCol w:w="1338"/>
        <w:gridCol w:w="1602"/>
      </w:tblGrid>
      <w:tr w:rsidR="00E15573" w14:paraId="01BE1813" w14:textId="77777777" w:rsidTr="00A961ED">
        <w:tc>
          <w:tcPr>
            <w:tcW w:w="1940" w:type="dxa"/>
            <w:tcBorders>
              <w:left w:val="nil"/>
              <w:bottom w:val="single" w:sz="4" w:space="0" w:color="000000" w:themeColor="text1"/>
              <w:right w:val="nil"/>
            </w:tcBorders>
          </w:tcPr>
          <w:p w14:paraId="01BE180D" w14:textId="77777777" w:rsidR="00E15573" w:rsidRDefault="00E15573" w:rsidP="00552451">
            <w:pPr>
              <w:pStyle w:val="Tabletext"/>
              <w:keepNext/>
            </w:pPr>
          </w:p>
        </w:tc>
        <w:tc>
          <w:tcPr>
            <w:tcW w:w="1412" w:type="dxa"/>
            <w:tcBorders>
              <w:left w:val="nil"/>
              <w:bottom w:val="single" w:sz="4" w:space="0" w:color="000000" w:themeColor="text1"/>
              <w:right w:val="nil"/>
            </w:tcBorders>
            <w:tcMar>
              <w:left w:w="57" w:type="dxa"/>
              <w:right w:w="57" w:type="dxa"/>
            </w:tcMar>
          </w:tcPr>
          <w:p w14:paraId="01BE180E" w14:textId="77777777" w:rsidR="00E15573" w:rsidRDefault="00E15573" w:rsidP="00A961ED">
            <w:pPr>
              <w:pStyle w:val="tablehead"/>
              <w:jc w:val="center"/>
            </w:pPr>
            <w:r>
              <w:t xml:space="preserve">Aboriginal </w:t>
            </w:r>
            <w:r w:rsidR="0073414E">
              <w:t xml:space="preserve">health worker </w:t>
            </w:r>
            <w:r>
              <w:t>training, NT</w:t>
            </w:r>
          </w:p>
        </w:tc>
        <w:tc>
          <w:tcPr>
            <w:tcW w:w="1325" w:type="dxa"/>
            <w:tcBorders>
              <w:left w:val="nil"/>
              <w:bottom w:val="single" w:sz="4" w:space="0" w:color="000000" w:themeColor="text1"/>
              <w:right w:val="nil"/>
            </w:tcBorders>
            <w:tcMar>
              <w:left w:w="57" w:type="dxa"/>
              <w:right w:w="57" w:type="dxa"/>
            </w:tcMar>
          </w:tcPr>
          <w:p w14:paraId="01BE180F" w14:textId="77777777" w:rsidR="00E15573" w:rsidRDefault="00E15573" w:rsidP="00A961ED">
            <w:pPr>
              <w:pStyle w:val="tablehead"/>
              <w:jc w:val="center"/>
            </w:pPr>
            <w:r>
              <w:t>Ranger training, WA</w:t>
            </w:r>
          </w:p>
        </w:tc>
        <w:tc>
          <w:tcPr>
            <w:tcW w:w="1280" w:type="dxa"/>
            <w:tcBorders>
              <w:left w:val="nil"/>
              <w:bottom w:val="single" w:sz="4" w:space="0" w:color="000000" w:themeColor="text1"/>
              <w:right w:val="nil"/>
            </w:tcBorders>
            <w:tcMar>
              <w:left w:w="57" w:type="dxa"/>
              <w:right w:w="57" w:type="dxa"/>
            </w:tcMar>
          </w:tcPr>
          <w:p w14:paraId="01BE1810" w14:textId="77777777" w:rsidR="00E15573" w:rsidRDefault="00E15573" w:rsidP="00A961ED">
            <w:pPr>
              <w:pStyle w:val="tablehead"/>
              <w:jc w:val="center"/>
            </w:pPr>
            <w:r>
              <w:t xml:space="preserve">Indigenous </w:t>
            </w:r>
            <w:r w:rsidR="00973EFB">
              <w:t xml:space="preserve">mental health </w:t>
            </w:r>
            <w:r>
              <w:t>(IMH), Q</w:t>
            </w:r>
            <w:r w:rsidR="0073414E">
              <w:t>ld</w:t>
            </w:r>
          </w:p>
        </w:tc>
        <w:tc>
          <w:tcPr>
            <w:tcW w:w="1338" w:type="dxa"/>
            <w:tcBorders>
              <w:left w:val="nil"/>
              <w:bottom w:val="single" w:sz="4" w:space="0" w:color="000000" w:themeColor="text1"/>
              <w:right w:val="nil"/>
            </w:tcBorders>
            <w:tcMar>
              <w:left w:w="57" w:type="dxa"/>
              <w:right w:w="57" w:type="dxa"/>
            </w:tcMar>
          </w:tcPr>
          <w:p w14:paraId="01BE1811" w14:textId="77777777" w:rsidR="00E15573" w:rsidRDefault="002114D8" w:rsidP="00A961ED">
            <w:pPr>
              <w:pStyle w:val="tablehead"/>
              <w:jc w:val="center"/>
            </w:pPr>
            <w:r>
              <w:t>Yes,</w:t>
            </w:r>
            <w:r w:rsidR="00E15573">
              <w:t xml:space="preserve"> I can literacy campaign, NSW</w:t>
            </w:r>
          </w:p>
        </w:tc>
        <w:tc>
          <w:tcPr>
            <w:tcW w:w="1602" w:type="dxa"/>
            <w:tcBorders>
              <w:left w:val="nil"/>
              <w:bottom w:val="single" w:sz="4" w:space="0" w:color="000000" w:themeColor="text1"/>
              <w:right w:val="nil"/>
            </w:tcBorders>
            <w:tcMar>
              <w:left w:w="57" w:type="dxa"/>
              <w:right w:w="57" w:type="dxa"/>
            </w:tcMar>
          </w:tcPr>
          <w:p w14:paraId="01BE1812" w14:textId="77777777" w:rsidR="00E15573" w:rsidRDefault="00E15573" w:rsidP="00A961ED">
            <w:pPr>
              <w:pStyle w:val="tablehead"/>
              <w:jc w:val="center"/>
            </w:pPr>
            <w:r>
              <w:t xml:space="preserve">Aged </w:t>
            </w:r>
            <w:r w:rsidR="0073414E">
              <w:t>care and home community care training</w:t>
            </w:r>
            <w:r>
              <w:t>, SA</w:t>
            </w:r>
          </w:p>
        </w:tc>
      </w:tr>
      <w:tr w:rsidR="00E15573" w14:paraId="01BE181A" w14:textId="77777777" w:rsidTr="00A961ED">
        <w:tc>
          <w:tcPr>
            <w:tcW w:w="1940" w:type="dxa"/>
            <w:tcBorders>
              <w:left w:val="nil"/>
              <w:bottom w:val="nil"/>
              <w:right w:val="nil"/>
            </w:tcBorders>
          </w:tcPr>
          <w:p w14:paraId="01BE1814" w14:textId="77777777" w:rsidR="00E15573" w:rsidRDefault="00E15573" w:rsidP="00552451">
            <w:pPr>
              <w:pStyle w:val="Tabletext"/>
              <w:keepNext/>
            </w:pPr>
            <w:r>
              <w:t>Trainees</w:t>
            </w:r>
          </w:p>
        </w:tc>
        <w:tc>
          <w:tcPr>
            <w:tcW w:w="1412" w:type="dxa"/>
            <w:tcBorders>
              <w:left w:val="nil"/>
              <w:bottom w:val="nil"/>
              <w:right w:val="nil"/>
            </w:tcBorders>
            <w:tcMar>
              <w:left w:w="57" w:type="dxa"/>
              <w:right w:w="57" w:type="dxa"/>
            </w:tcMar>
          </w:tcPr>
          <w:p w14:paraId="01BE1815" w14:textId="77777777" w:rsidR="00E15573" w:rsidRDefault="00E15573" w:rsidP="00552451">
            <w:pPr>
              <w:pStyle w:val="Tabletext"/>
              <w:keepNext/>
              <w:jc w:val="center"/>
            </w:pPr>
            <w:r>
              <w:t>10</w:t>
            </w:r>
          </w:p>
        </w:tc>
        <w:tc>
          <w:tcPr>
            <w:tcW w:w="1325" w:type="dxa"/>
            <w:tcBorders>
              <w:left w:val="nil"/>
              <w:bottom w:val="nil"/>
              <w:right w:val="nil"/>
            </w:tcBorders>
            <w:tcMar>
              <w:left w:w="57" w:type="dxa"/>
              <w:right w:w="57" w:type="dxa"/>
            </w:tcMar>
          </w:tcPr>
          <w:p w14:paraId="01BE1816" w14:textId="77777777" w:rsidR="00E15573" w:rsidRDefault="00E15573" w:rsidP="00552451">
            <w:pPr>
              <w:pStyle w:val="Tabletext"/>
              <w:keepNext/>
              <w:jc w:val="center"/>
            </w:pPr>
            <w:r>
              <w:t>11</w:t>
            </w:r>
          </w:p>
        </w:tc>
        <w:tc>
          <w:tcPr>
            <w:tcW w:w="1280" w:type="dxa"/>
            <w:tcBorders>
              <w:left w:val="nil"/>
              <w:bottom w:val="nil"/>
              <w:right w:val="nil"/>
            </w:tcBorders>
            <w:tcMar>
              <w:left w:w="57" w:type="dxa"/>
              <w:right w:w="57" w:type="dxa"/>
            </w:tcMar>
          </w:tcPr>
          <w:p w14:paraId="01BE1817" w14:textId="77777777" w:rsidR="00E15573" w:rsidRDefault="00E15573" w:rsidP="00552451">
            <w:pPr>
              <w:pStyle w:val="Tabletext"/>
              <w:keepNext/>
              <w:jc w:val="center"/>
            </w:pPr>
            <w:r>
              <w:t>3</w:t>
            </w:r>
          </w:p>
        </w:tc>
        <w:tc>
          <w:tcPr>
            <w:tcW w:w="1338" w:type="dxa"/>
            <w:tcBorders>
              <w:left w:val="nil"/>
              <w:bottom w:val="nil"/>
              <w:right w:val="nil"/>
            </w:tcBorders>
            <w:tcMar>
              <w:left w:w="57" w:type="dxa"/>
              <w:right w:w="57" w:type="dxa"/>
            </w:tcMar>
          </w:tcPr>
          <w:p w14:paraId="01BE1818" w14:textId="77777777" w:rsidR="00E15573" w:rsidRDefault="00E15573" w:rsidP="00552451">
            <w:pPr>
              <w:pStyle w:val="Tabletext"/>
              <w:keepNext/>
              <w:jc w:val="center"/>
            </w:pPr>
            <w:r>
              <w:t>6</w:t>
            </w:r>
          </w:p>
        </w:tc>
        <w:tc>
          <w:tcPr>
            <w:tcW w:w="1602" w:type="dxa"/>
            <w:tcBorders>
              <w:left w:val="nil"/>
              <w:bottom w:val="nil"/>
              <w:right w:val="nil"/>
            </w:tcBorders>
            <w:tcMar>
              <w:left w:w="57" w:type="dxa"/>
              <w:right w:w="57" w:type="dxa"/>
            </w:tcMar>
          </w:tcPr>
          <w:p w14:paraId="01BE1819" w14:textId="77777777" w:rsidR="00E15573" w:rsidRDefault="00E15573" w:rsidP="00552451">
            <w:pPr>
              <w:pStyle w:val="Tabletext"/>
              <w:keepNext/>
              <w:jc w:val="center"/>
            </w:pPr>
            <w:r>
              <w:t>6</w:t>
            </w:r>
          </w:p>
        </w:tc>
      </w:tr>
      <w:tr w:rsidR="00E15573" w14:paraId="01BE1821" w14:textId="77777777" w:rsidTr="00A961ED">
        <w:tc>
          <w:tcPr>
            <w:tcW w:w="1940" w:type="dxa"/>
            <w:tcBorders>
              <w:top w:val="nil"/>
              <w:left w:val="nil"/>
              <w:bottom w:val="nil"/>
              <w:right w:val="nil"/>
            </w:tcBorders>
          </w:tcPr>
          <w:p w14:paraId="01BE181B" w14:textId="77777777" w:rsidR="00E15573" w:rsidRDefault="00E15573" w:rsidP="00552451">
            <w:pPr>
              <w:pStyle w:val="Tabletext"/>
              <w:keepNext/>
            </w:pPr>
            <w:r>
              <w:t>Trainers/providers</w:t>
            </w:r>
          </w:p>
        </w:tc>
        <w:tc>
          <w:tcPr>
            <w:tcW w:w="1412" w:type="dxa"/>
            <w:tcBorders>
              <w:top w:val="nil"/>
              <w:left w:val="nil"/>
              <w:bottom w:val="nil"/>
              <w:right w:val="nil"/>
            </w:tcBorders>
            <w:tcMar>
              <w:left w:w="57" w:type="dxa"/>
              <w:right w:w="57" w:type="dxa"/>
            </w:tcMar>
          </w:tcPr>
          <w:p w14:paraId="01BE181C" w14:textId="77777777" w:rsidR="00E15573" w:rsidRDefault="00E15573" w:rsidP="00552451">
            <w:pPr>
              <w:pStyle w:val="Tabletext"/>
              <w:keepNext/>
              <w:jc w:val="center"/>
            </w:pPr>
            <w:r>
              <w:t>3</w:t>
            </w:r>
          </w:p>
        </w:tc>
        <w:tc>
          <w:tcPr>
            <w:tcW w:w="1325" w:type="dxa"/>
            <w:tcBorders>
              <w:top w:val="nil"/>
              <w:left w:val="nil"/>
              <w:bottom w:val="nil"/>
              <w:right w:val="nil"/>
            </w:tcBorders>
            <w:tcMar>
              <w:left w:w="57" w:type="dxa"/>
              <w:right w:w="57" w:type="dxa"/>
            </w:tcMar>
          </w:tcPr>
          <w:p w14:paraId="01BE181D" w14:textId="77777777" w:rsidR="00E15573" w:rsidRDefault="00E15573" w:rsidP="00552451">
            <w:pPr>
              <w:pStyle w:val="Tabletext"/>
              <w:keepNext/>
              <w:jc w:val="center"/>
            </w:pPr>
            <w:r>
              <w:t>3</w:t>
            </w:r>
          </w:p>
        </w:tc>
        <w:tc>
          <w:tcPr>
            <w:tcW w:w="1280" w:type="dxa"/>
            <w:tcBorders>
              <w:top w:val="nil"/>
              <w:left w:val="nil"/>
              <w:bottom w:val="nil"/>
              <w:right w:val="nil"/>
            </w:tcBorders>
            <w:tcMar>
              <w:left w:w="57" w:type="dxa"/>
              <w:right w:w="57" w:type="dxa"/>
            </w:tcMar>
          </w:tcPr>
          <w:p w14:paraId="01BE181E" w14:textId="77777777" w:rsidR="00E15573" w:rsidRDefault="00E15573" w:rsidP="00552451">
            <w:pPr>
              <w:pStyle w:val="Tabletext"/>
              <w:keepNext/>
              <w:jc w:val="center"/>
            </w:pPr>
            <w:r>
              <w:t>5</w:t>
            </w:r>
          </w:p>
        </w:tc>
        <w:tc>
          <w:tcPr>
            <w:tcW w:w="1338" w:type="dxa"/>
            <w:tcBorders>
              <w:top w:val="nil"/>
              <w:left w:val="nil"/>
              <w:bottom w:val="nil"/>
              <w:right w:val="nil"/>
            </w:tcBorders>
            <w:tcMar>
              <w:left w:w="57" w:type="dxa"/>
              <w:right w:w="57" w:type="dxa"/>
            </w:tcMar>
          </w:tcPr>
          <w:p w14:paraId="01BE181F" w14:textId="77777777" w:rsidR="00E15573" w:rsidRDefault="00E15573" w:rsidP="00552451">
            <w:pPr>
              <w:pStyle w:val="Tabletext"/>
              <w:keepNext/>
              <w:jc w:val="center"/>
            </w:pPr>
            <w:r>
              <w:t>3</w:t>
            </w:r>
          </w:p>
        </w:tc>
        <w:tc>
          <w:tcPr>
            <w:tcW w:w="1602" w:type="dxa"/>
            <w:tcBorders>
              <w:top w:val="nil"/>
              <w:left w:val="nil"/>
              <w:bottom w:val="nil"/>
              <w:right w:val="nil"/>
            </w:tcBorders>
            <w:tcMar>
              <w:left w:w="57" w:type="dxa"/>
              <w:right w:w="57" w:type="dxa"/>
            </w:tcMar>
          </w:tcPr>
          <w:p w14:paraId="01BE1820" w14:textId="77777777" w:rsidR="00E15573" w:rsidRDefault="00E15573" w:rsidP="00552451">
            <w:pPr>
              <w:pStyle w:val="Tabletext"/>
              <w:keepNext/>
              <w:jc w:val="center"/>
            </w:pPr>
            <w:r>
              <w:t>1</w:t>
            </w:r>
          </w:p>
        </w:tc>
      </w:tr>
      <w:tr w:rsidR="00E15573" w14:paraId="01BE1828" w14:textId="77777777" w:rsidTr="00A961ED">
        <w:tc>
          <w:tcPr>
            <w:tcW w:w="1940" w:type="dxa"/>
            <w:tcBorders>
              <w:top w:val="nil"/>
              <w:left w:val="nil"/>
              <w:bottom w:val="single" w:sz="4" w:space="0" w:color="auto"/>
              <w:right w:val="nil"/>
            </w:tcBorders>
          </w:tcPr>
          <w:p w14:paraId="01BE1822" w14:textId="77777777" w:rsidR="00E15573" w:rsidRDefault="00E15573" w:rsidP="00552451">
            <w:pPr>
              <w:pStyle w:val="Tabletext"/>
              <w:keepNext/>
            </w:pPr>
            <w:r>
              <w:t xml:space="preserve">Employers, </w:t>
            </w:r>
            <w:r w:rsidR="0073414E">
              <w:t>job services, co</w:t>
            </w:r>
            <w:r>
              <w:t>mmunity organisations and cultural advisors</w:t>
            </w:r>
          </w:p>
        </w:tc>
        <w:tc>
          <w:tcPr>
            <w:tcW w:w="1412" w:type="dxa"/>
            <w:tcBorders>
              <w:top w:val="nil"/>
              <w:left w:val="nil"/>
              <w:bottom w:val="single" w:sz="4" w:space="0" w:color="auto"/>
              <w:right w:val="nil"/>
            </w:tcBorders>
            <w:tcMar>
              <w:left w:w="57" w:type="dxa"/>
              <w:right w:w="57" w:type="dxa"/>
            </w:tcMar>
          </w:tcPr>
          <w:p w14:paraId="01BE1823" w14:textId="77777777" w:rsidR="00E15573" w:rsidRDefault="00E15573" w:rsidP="00552451">
            <w:pPr>
              <w:pStyle w:val="Tabletext"/>
              <w:keepNext/>
              <w:jc w:val="center"/>
            </w:pPr>
            <w:r>
              <w:t>1</w:t>
            </w:r>
          </w:p>
        </w:tc>
        <w:tc>
          <w:tcPr>
            <w:tcW w:w="1325" w:type="dxa"/>
            <w:tcBorders>
              <w:top w:val="nil"/>
              <w:left w:val="nil"/>
              <w:bottom w:val="single" w:sz="4" w:space="0" w:color="auto"/>
              <w:right w:val="nil"/>
            </w:tcBorders>
            <w:tcMar>
              <w:left w:w="57" w:type="dxa"/>
              <w:right w:w="57" w:type="dxa"/>
            </w:tcMar>
          </w:tcPr>
          <w:p w14:paraId="01BE1824" w14:textId="77777777" w:rsidR="00E15573" w:rsidRDefault="00E15573" w:rsidP="00552451">
            <w:pPr>
              <w:pStyle w:val="Tabletext"/>
              <w:keepNext/>
              <w:jc w:val="center"/>
            </w:pPr>
            <w:r>
              <w:t>6</w:t>
            </w:r>
          </w:p>
        </w:tc>
        <w:tc>
          <w:tcPr>
            <w:tcW w:w="1280" w:type="dxa"/>
            <w:tcBorders>
              <w:top w:val="nil"/>
              <w:left w:val="nil"/>
              <w:bottom w:val="single" w:sz="4" w:space="0" w:color="auto"/>
              <w:right w:val="nil"/>
            </w:tcBorders>
            <w:tcMar>
              <w:left w:w="57" w:type="dxa"/>
              <w:right w:w="57" w:type="dxa"/>
            </w:tcMar>
          </w:tcPr>
          <w:p w14:paraId="01BE1825" w14:textId="77777777" w:rsidR="00E15573" w:rsidRDefault="00E15573" w:rsidP="00552451">
            <w:pPr>
              <w:pStyle w:val="Tabletext"/>
              <w:keepNext/>
              <w:jc w:val="center"/>
            </w:pPr>
            <w:r>
              <w:t>3</w:t>
            </w:r>
          </w:p>
        </w:tc>
        <w:tc>
          <w:tcPr>
            <w:tcW w:w="1338" w:type="dxa"/>
            <w:tcBorders>
              <w:top w:val="nil"/>
              <w:left w:val="nil"/>
              <w:bottom w:val="single" w:sz="4" w:space="0" w:color="auto"/>
              <w:right w:val="nil"/>
            </w:tcBorders>
            <w:tcMar>
              <w:left w:w="57" w:type="dxa"/>
              <w:right w:w="57" w:type="dxa"/>
            </w:tcMar>
          </w:tcPr>
          <w:p w14:paraId="01BE1826" w14:textId="77777777" w:rsidR="00E15573" w:rsidRDefault="00E15573" w:rsidP="00552451">
            <w:pPr>
              <w:pStyle w:val="Tabletext"/>
              <w:keepNext/>
              <w:jc w:val="center"/>
            </w:pPr>
            <w:r>
              <w:t>5</w:t>
            </w:r>
          </w:p>
        </w:tc>
        <w:tc>
          <w:tcPr>
            <w:tcW w:w="1602" w:type="dxa"/>
            <w:tcBorders>
              <w:top w:val="nil"/>
              <w:left w:val="nil"/>
              <w:bottom w:val="single" w:sz="4" w:space="0" w:color="auto"/>
              <w:right w:val="nil"/>
            </w:tcBorders>
            <w:tcMar>
              <w:left w:w="57" w:type="dxa"/>
              <w:right w:w="57" w:type="dxa"/>
            </w:tcMar>
          </w:tcPr>
          <w:p w14:paraId="01BE1827" w14:textId="77777777" w:rsidR="00E15573" w:rsidRDefault="00E15573" w:rsidP="00552451">
            <w:pPr>
              <w:pStyle w:val="Tabletext"/>
              <w:keepNext/>
              <w:jc w:val="center"/>
            </w:pPr>
            <w:r>
              <w:t>2</w:t>
            </w:r>
          </w:p>
        </w:tc>
      </w:tr>
      <w:tr w:rsidR="00E15573" w14:paraId="01BE182F" w14:textId="77777777" w:rsidTr="00A961ED">
        <w:tc>
          <w:tcPr>
            <w:tcW w:w="1940" w:type="dxa"/>
            <w:tcBorders>
              <w:top w:val="single" w:sz="4" w:space="0" w:color="auto"/>
              <w:left w:val="nil"/>
              <w:bottom w:val="single" w:sz="4" w:space="0" w:color="auto"/>
              <w:right w:val="nil"/>
            </w:tcBorders>
          </w:tcPr>
          <w:p w14:paraId="01BE1829" w14:textId="77777777" w:rsidR="00E15573" w:rsidRPr="00A961ED" w:rsidRDefault="0053722E" w:rsidP="00552451">
            <w:pPr>
              <w:pStyle w:val="Tabletext"/>
              <w:keepNext/>
              <w:rPr>
                <w:b/>
              </w:rPr>
            </w:pPr>
            <w:r w:rsidRPr="00A961ED">
              <w:rPr>
                <w:b/>
              </w:rPr>
              <w:t>Total participants</w:t>
            </w:r>
          </w:p>
        </w:tc>
        <w:tc>
          <w:tcPr>
            <w:tcW w:w="1412" w:type="dxa"/>
            <w:tcBorders>
              <w:top w:val="single" w:sz="4" w:space="0" w:color="auto"/>
              <w:left w:val="nil"/>
              <w:bottom w:val="single" w:sz="4" w:space="0" w:color="auto"/>
              <w:right w:val="nil"/>
            </w:tcBorders>
            <w:tcMar>
              <w:left w:w="57" w:type="dxa"/>
              <w:right w:w="57" w:type="dxa"/>
            </w:tcMar>
          </w:tcPr>
          <w:p w14:paraId="01BE182A" w14:textId="77777777" w:rsidR="00E15573" w:rsidRPr="00A961ED" w:rsidRDefault="006436A1" w:rsidP="00552451">
            <w:pPr>
              <w:pStyle w:val="Tabletext"/>
              <w:keepNext/>
              <w:jc w:val="center"/>
              <w:rPr>
                <w:b/>
              </w:rPr>
            </w:pPr>
            <w:r w:rsidRPr="00A961ED">
              <w:rPr>
                <w:b/>
              </w:rPr>
              <w:fldChar w:fldCharType="begin"/>
            </w:r>
            <w:r w:rsidR="00E15573" w:rsidRPr="00A961ED">
              <w:rPr>
                <w:b/>
              </w:rPr>
              <w:instrText xml:space="preserve"> =SUM(ABOVE) </w:instrText>
            </w:r>
            <w:r w:rsidRPr="00A961ED">
              <w:rPr>
                <w:b/>
              </w:rPr>
              <w:fldChar w:fldCharType="separate"/>
            </w:r>
            <w:r w:rsidR="00E15573" w:rsidRPr="00A961ED">
              <w:rPr>
                <w:b/>
                <w:noProof/>
              </w:rPr>
              <w:t>14</w:t>
            </w:r>
            <w:r w:rsidRPr="00A961ED">
              <w:rPr>
                <w:b/>
              </w:rPr>
              <w:fldChar w:fldCharType="end"/>
            </w:r>
          </w:p>
        </w:tc>
        <w:tc>
          <w:tcPr>
            <w:tcW w:w="1325" w:type="dxa"/>
            <w:tcBorders>
              <w:top w:val="single" w:sz="4" w:space="0" w:color="auto"/>
              <w:left w:val="nil"/>
              <w:bottom w:val="single" w:sz="4" w:space="0" w:color="auto"/>
              <w:right w:val="nil"/>
            </w:tcBorders>
            <w:tcMar>
              <w:left w:w="57" w:type="dxa"/>
              <w:right w:w="57" w:type="dxa"/>
            </w:tcMar>
          </w:tcPr>
          <w:p w14:paraId="01BE182B" w14:textId="77777777" w:rsidR="00E15573" w:rsidRPr="00A961ED" w:rsidRDefault="006436A1" w:rsidP="00552451">
            <w:pPr>
              <w:pStyle w:val="Tabletext"/>
              <w:keepNext/>
              <w:jc w:val="center"/>
              <w:rPr>
                <w:b/>
              </w:rPr>
            </w:pPr>
            <w:r w:rsidRPr="00A961ED">
              <w:rPr>
                <w:b/>
              </w:rPr>
              <w:fldChar w:fldCharType="begin"/>
            </w:r>
            <w:r w:rsidR="00E15573" w:rsidRPr="00A961ED">
              <w:rPr>
                <w:b/>
              </w:rPr>
              <w:instrText xml:space="preserve"> =SUM(ABOVE) </w:instrText>
            </w:r>
            <w:r w:rsidRPr="00A961ED">
              <w:rPr>
                <w:b/>
              </w:rPr>
              <w:fldChar w:fldCharType="separate"/>
            </w:r>
            <w:r w:rsidR="00E15573" w:rsidRPr="00A961ED">
              <w:rPr>
                <w:b/>
                <w:noProof/>
              </w:rPr>
              <w:t>20</w:t>
            </w:r>
            <w:r w:rsidRPr="00A961ED">
              <w:rPr>
                <w:b/>
              </w:rPr>
              <w:fldChar w:fldCharType="end"/>
            </w:r>
          </w:p>
        </w:tc>
        <w:tc>
          <w:tcPr>
            <w:tcW w:w="1280" w:type="dxa"/>
            <w:tcBorders>
              <w:top w:val="single" w:sz="4" w:space="0" w:color="auto"/>
              <w:left w:val="nil"/>
              <w:bottom w:val="single" w:sz="4" w:space="0" w:color="auto"/>
              <w:right w:val="nil"/>
            </w:tcBorders>
            <w:tcMar>
              <w:left w:w="57" w:type="dxa"/>
              <w:right w:w="57" w:type="dxa"/>
            </w:tcMar>
          </w:tcPr>
          <w:p w14:paraId="01BE182C" w14:textId="77777777" w:rsidR="00E15573" w:rsidRPr="00A961ED" w:rsidRDefault="006436A1" w:rsidP="00552451">
            <w:pPr>
              <w:pStyle w:val="Tabletext"/>
              <w:keepNext/>
              <w:jc w:val="center"/>
              <w:rPr>
                <w:b/>
              </w:rPr>
            </w:pPr>
            <w:r w:rsidRPr="00A961ED">
              <w:rPr>
                <w:b/>
              </w:rPr>
              <w:fldChar w:fldCharType="begin"/>
            </w:r>
            <w:r w:rsidR="00E15573" w:rsidRPr="00A961ED">
              <w:rPr>
                <w:b/>
              </w:rPr>
              <w:instrText xml:space="preserve"> =SUM(ABOVE) </w:instrText>
            </w:r>
            <w:r w:rsidRPr="00A961ED">
              <w:rPr>
                <w:b/>
              </w:rPr>
              <w:fldChar w:fldCharType="separate"/>
            </w:r>
            <w:r w:rsidR="00E15573" w:rsidRPr="00A961ED">
              <w:rPr>
                <w:b/>
                <w:noProof/>
              </w:rPr>
              <w:t>11</w:t>
            </w:r>
            <w:r w:rsidRPr="00A961ED">
              <w:rPr>
                <w:b/>
              </w:rPr>
              <w:fldChar w:fldCharType="end"/>
            </w:r>
          </w:p>
        </w:tc>
        <w:tc>
          <w:tcPr>
            <w:tcW w:w="1338" w:type="dxa"/>
            <w:tcBorders>
              <w:top w:val="single" w:sz="4" w:space="0" w:color="auto"/>
              <w:left w:val="nil"/>
              <w:bottom w:val="single" w:sz="4" w:space="0" w:color="auto"/>
              <w:right w:val="nil"/>
            </w:tcBorders>
            <w:tcMar>
              <w:left w:w="57" w:type="dxa"/>
              <w:right w:w="57" w:type="dxa"/>
            </w:tcMar>
          </w:tcPr>
          <w:p w14:paraId="01BE182D" w14:textId="77777777" w:rsidR="00E15573" w:rsidRPr="00A961ED" w:rsidRDefault="006436A1" w:rsidP="00552451">
            <w:pPr>
              <w:pStyle w:val="Tabletext"/>
              <w:keepNext/>
              <w:jc w:val="center"/>
              <w:rPr>
                <w:b/>
              </w:rPr>
            </w:pPr>
            <w:r w:rsidRPr="00A961ED">
              <w:rPr>
                <w:b/>
              </w:rPr>
              <w:fldChar w:fldCharType="begin"/>
            </w:r>
            <w:r w:rsidR="00E15573" w:rsidRPr="00A961ED">
              <w:rPr>
                <w:b/>
              </w:rPr>
              <w:instrText xml:space="preserve"> =SUM(ABOVE) </w:instrText>
            </w:r>
            <w:r w:rsidRPr="00A961ED">
              <w:rPr>
                <w:b/>
              </w:rPr>
              <w:fldChar w:fldCharType="separate"/>
            </w:r>
            <w:r w:rsidR="00E15573" w:rsidRPr="00A961ED">
              <w:rPr>
                <w:b/>
                <w:noProof/>
              </w:rPr>
              <w:t>14</w:t>
            </w:r>
            <w:r w:rsidRPr="00A961ED">
              <w:rPr>
                <w:b/>
              </w:rPr>
              <w:fldChar w:fldCharType="end"/>
            </w:r>
          </w:p>
        </w:tc>
        <w:tc>
          <w:tcPr>
            <w:tcW w:w="1602" w:type="dxa"/>
            <w:tcBorders>
              <w:top w:val="single" w:sz="4" w:space="0" w:color="auto"/>
              <w:left w:val="nil"/>
              <w:bottom w:val="single" w:sz="4" w:space="0" w:color="auto"/>
              <w:right w:val="nil"/>
            </w:tcBorders>
            <w:tcMar>
              <w:left w:w="57" w:type="dxa"/>
              <w:right w:w="57" w:type="dxa"/>
            </w:tcMar>
          </w:tcPr>
          <w:p w14:paraId="01BE182E" w14:textId="77777777" w:rsidR="00E15573" w:rsidRPr="00A961ED" w:rsidRDefault="006436A1" w:rsidP="00552451">
            <w:pPr>
              <w:pStyle w:val="Tabletext"/>
              <w:keepNext/>
              <w:jc w:val="center"/>
              <w:rPr>
                <w:b/>
              </w:rPr>
            </w:pPr>
            <w:r w:rsidRPr="00A961ED">
              <w:rPr>
                <w:b/>
              </w:rPr>
              <w:fldChar w:fldCharType="begin"/>
            </w:r>
            <w:r w:rsidR="00E15573" w:rsidRPr="00A961ED">
              <w:rPr>
                <w:b/>
              </w:rPr>
              <w:instrText xml:space="preserve"> =SUM(ABOVE) </w:instrText>
            </w:r>
            <w:r w:rsidRPr="00A961ED">
              <w:rPr>
                <w:b/>
              </w:rPr>
              <w:fldChar w:fldCharType="separate"/>
            </w:r>
            <w:r w:rsidR="00E15573" w:rsidRPr="00A961ED">
              <w:rPr>
                <w:b/>
                <w:noProof/>
              </w:rPr>
              <w:t>9</w:t>
            </w:r>
            <w:r w:rsidRPr="00A961ED">
              <w:rPr>
                <w:b/>
              </w:rPr>
              <w:fldChar w:fldCharType="end"/>
            </w:r>
          </w:p>
        </w:tc>
      </w:tr>
    </w:tbl>
    <w:p w14:paraId="01BE1830" w14:textId="77777777" w:rsidR="004529EB" w:rsidRDefault="004529EB" w:rsidP="00F107E1">
      <w:pPr>
        <w:pStyle w:val="Heading2"/>
      </w:pPr>
    </w:p>
    <w:p w14:paraId="01BE1831" w14:textId="77777777" w:rsidR="004529EB" w:rsidRPr="004529EB" w:rsidRDefault="004529EB" w:rsidP="004529EB">
      <w:pPr>
        <w:pStyle w:val="Text"/>
      </w:pPr>
    </w:p>
    <w:p w14:paraId="01BE1832" w14:textId="77777777" w:rsidR="00BE0DB4" w:rsidRDefault="00BE0DB4" w:rsidP="00BE0DB4">
      <w:pPr>
        <w:pStyle w:val="Text"/>
      </w:pPr>
    </w:p>
    <w:p w14:paraId="01BE1833" w14:textId="77777777" w:rsidR="00BE0DB4" w:rsidRPr="00BE0DB4" w:rsidRDefault="00BE0DB4" w:rsidP="00BE0DB4">
      <w:pPr>
        <w:pStyle w:val="Text"/>
      </w:pPr>
    </w:p>
    <w:p w14:paraId="01BE1834" w14:textId="77777777" w:rsidR="00BE0DB4" w:rsidRPr="00BE0DB4" w:rsidRDefault="00BE0DB4" w:rsidP="00BE0DB4">
      <w:pPr>
        <w:pStyle w:val="Text"/>
        <w:sectPr w:rsidR="00BE0DB4" w:rsidRPr="00BE0DB4" w:rsidSect="009775C7">
          <w:footerReference w:type="even" r:id="rId22"/>
          <w:footerReference w:type="default" r:id="rId23"/>
          <w:pgSz w:w="11907" w:h="16840" w:code="9"/>
          <w:pgMar w:top="1276" w:right="1701" w:bottom="1276" w:left="1418" w:header="709" w:footer="556" w:gutter="0"/>
          <w:cols w:space="708" w:equalWidth="0">
            <w:col w:w="8788"/>
          </w:cols>
          <w:docGrid w:linePitch="360"/>
        </w:sectPr>
      </w:pPr>
    </w:p>
    <w:p w14:paraId="01BE1835" w14:textId="77777777" w:rsidR="00973EFB" w:rsidRDefault="00FC48FE" w:rsidP="004E166C">
      <w:pPr>
        <w:pStyle w:val="Heading1"/>
      </w:pPr>
      <w:bookmarkStart w:id="25" w:name="_Toc480296489"/>
      <w:r>
        <w:t>Case study one</w:t>
      </w:r>
      <w:bookmarkEnd w:id="25"/>
      <w:r w:rsidR="004E166C">
        <w:t xml:space="preserve"> </w:t>
      </w:r>
    </w:p>
    <w:p w14:paraId="01BE1836" w14:textId="77777777" w:rsidR="004E166C" w:rsidRPr="005C2FCF" w:rsidRDefault="0073414E" w:rsidP="00973EFB">
      <w:pPr>
        <w:pStyle w:val="Heading2"/>
      </w:pPr>
      <w:bookmarkStart w:id="26" w:name="_Toc480296490"/>
      <w:r w:rsidRPr="00973EFB">
        <w:t>On-the-</w:t>
      </w:r>
      <w:r w:rsidR="004E166C" w:rsidRPr="00973EFB">
        <w:t xml:space="preserve">job training for </w:t>
      </w:r>
      <w:proofErr w:type="spellStart"/>
      <w:r w:rsidR="00973EFB" w:rsidRPr="00973EFB">
        <w:t>A</w:t>
      </w:r>
      <w:r w:rsidR="00973EFB" w:rsidRPr="00973EFB">
        <w:rPr>
          <w:u w:val="single"/>
        </w:rPr>
        <w:t>n</w:t>
      </w:r>
      <w:r w:rsidR="00973EFB">
        <w:t>a</w:t>
      </w:r>
      <w:r w:rsidR="0053722E" w:rsidRPr="00973EFB">
        <w:t>ngu</w:t>
      </w:r>
      <w:proofErr w:type="spellEnd"/>
      <w:r w:rsidR="004E166C" w:rsidRPr="00973EFB">
        <w:t xml:space="preserve"> workers engaged in aged, and home and community care on the </w:t>
      </w:r>
      <w:proofErr w:type="spellStart"/>
      <w:r w:rsidR="00973EFB">
        <w:t>A</w:t>
      </w:r>
      <w:r w:rsidR="00973EFB" w:rsidRPr="0053722E">
        <w:rPr>
          <w:u w:val="single"/>
        </w:rPr>
        <w:t>n</w:t>
      </w:r>
      <w:r w:rsidR="00973EFB" w:rsidRPr="00973EFB">
        <w:t>a</w:t>
      </w:r>
      <w:r w:rsidR="0053722E" w:rsidRPr="00973EFB">
        <w:t>ngu</w:t>
      </w:r>
      <w:proofErr w:type="spellEnd"/>
      <w:r w:rsidR="004E166C" w:rsidRPr="00973EFB">
        <w:t xml:space="preserve"> Pitjantjatjara Yankunytjatjara Lands.</w:t>
      </w:r>
      <w:bookmarkEnd w:id="26"/>
    </w:p>
    <w:p w14:paraId="01BE1837" w14:textId="77777777" w:rsidR="004E166C" w:rsidRDefault="004E166C" w:rsidP="00FC48FE">
      <w:pPr>
        <w:pStyle w:val="Heading3"/>
      </w:pPr>
      <w:r>
        <w:t>Background</w:t>
      </w:r>
    </w:p>
    <w:p w14:paraId="01BE1838" w14:textId="77777777" w:rsidR="004E166C" w:rsidRDefault="004E166C" w:rsidP="004E166C">
      <w:pPr>
        <w:pStyle w:val="Text"/>
      </w:pPr>
      <w:r>
        <w:t xml:space="preserve">Since 2006, TAFE SA has been involved in delivering training to those working in the </w:t>
      </w:r>
      <w:r w:rsidR="00C55D39">
        <w:t xml:space="preserve">community services and health </w:t>
      </w:r>
      <w:r>
        <w:t xml:space="preserve">sector on the </w:t>
      </w:r>
      <w:proofErr w:type="spellStart"/>
      <w:r w:rsidR="0053722E" w:rsidRPr="0053722E">
        <w:t>A</w:t>
      </w:r>
      <w:r w:rsidR="0053722E" w:rsidRPr="0053722E">
        <w:rPr>
          <w:u w:val="single"/>
        </w:rPr>
        <w:t>n</w:t>
      </w:r>
      <w:r w:rsidR="0053722E" w:rsidRPr="0053722E">
        <w:t>angu</w:t>
      </w:r>
      <w:proofErr w:type="spellEnd"/>
      <w:r>
        <w:t xml:space="preserve"> Pitjantjatjara Yankunytjatjara (APY) Lands.</w:t>
      </w:r>
      <w:r w:rsidR="00F107E1" w:rsidRPr="00F107E1">
        <w:t xml:space="preserve"> </w:t>
      </w:r>
      <w:r>
        <w:t xml:space="preserve">The case study for the research project focuses on the </w:t>
      </w:r>
      <w:proofErr w:type="spellStart"/>
      <w:r w:rsidR="0053722E" w:rsidRPr="0053722E">
        <w:t>A</w:t>
      </w:r>
      <w:r w:rsidR="0053722E" w:rsidRPr="0053722E">
        <w:rPr>
          <w:u w:val="single"/>
        </w:rPr>
        <w:t>n</w:t>
      </w:r>
      <w:r w:rsidR="0053722E" w:rsidRPr="0053722E">
        <w:t>angu</w:t>
      </w:r>
      <w:proofErr w:type="spellEnd"/>
      <w:r>
        <w:t xml:space="preserve"> employees in aged, and home and community care with</w:t>
      </w:r>
      <w:r w:rsidR="00973EFB">
        <w:t xml:space="preserve"> the</w:t>
      </w:r>
      <w:r>
        <w:t xml:space="preserve"> </w:t>
      </w:r>
      <w:proofErr w:type="spellStart"/>
      <w:r>
        <w:t>Nganampa</w:t>
      </w:r>
      <w:proofErr w:type="spellEnd"/>
      <w:r>
        <w:t xml:space="preserve"> Health Council and the Department of Community and Social Inclusion (DCSI).</w:t>
      </w:r>
      <w:r w:rsidR="00F107E1" w:rsidRPr="00F107E1">
        <w:t xml:space="preserve"> </w:t>
      </w:r>
      <w:proofErr w:type="spellStart"/>
      <w:r>
        <w:t>Nganampa</w:t>
      </w:r>
      <w:proofErr w:type="spellEnd"/>
      <w:r>
        <w:t xml:space="preserve"> Health Council operates the nursing home, </w:t>
      </w:r>
      <w:proofErr w:type="spellStart"/>
      <w:r>
        <w:t>Tjilpiku</w:t>
      </w:r>
      <w:proofErr w:type="spellEnd"/>
      <w:r>
        <w:t xml:space="preserve"> </w:t>
      </w:r>
      <w:proofErr w:type="spellStart"/>
      <w:r>
        <w:t>Pampaku</w:t>
      </w:r>
      <w:proofErr w:type="spellEnd"/>
      <w:r>
        <w:t xml:space="preserve"> </w:t>
      </w:r>
      <w:proofErr w:type="spellStart"/>
      <w:r>
        <w:t>Ngura</w:t>
      </w:r>
      <w:proofErr w:type="spellEnd"/>
      <w:r>
        <w:t xml:space="preserve"> Aged Care Service</w:t>
      </w:r>
      <w:r w:rsidR="00973EFB">
        <w:t>, and it</w:t>
      </w:r>
      <w:r>
        <w:t xml:space="preserve"> is </w:t>
      </w:r>
      <w:r w:rsidR="00C55D39">
        <w:t xml:space="preserve">also </w:t>
      </w:r>
      <w:r>
        <w:t xml:space="preserve">contracted to provide </w:t>
      </w:r>
      <w:r w:rsidR="00C55D39">
        <w:t xml:space="preserve">home and community care </w:t>
      </w:r>
      <w:r>
        <w:t>(HACC) services for those eligible at Ernabella and has been doing so since 2009.</w:t>
      </w:r>
      <w:r w:rsidR="00F107E1" w:rsidRPr="00F107E1">
        <w:t xml:space="preserve"> </w:t>
      </w:r>
      <w:r w:rsidR="00C55D39">
        <w:t xml:space="preserve">Since 2009 the Department of Community and Social Inclusion </w:t>
      </w:r>
      <w:r>
        <w:t>has provide</w:t>
      </w:r>
      <w:r w:rsidR="00C55D39">
        <w:t xml:space="preserve">d home and community care </w:t>
      </w:r>
      <w:r>
        <w:t xml:space="preserve">services for those eligible at Amata, Fregon, Mimili, </w:t>
      </w:r>
      <w:proofErr w:type="spellStart"/>
      <w:r>
        <w:t>Indulkana</w:t>
      </w:r>
      <w:proofErr w:type="spellEnd"/>
      <w:r>
        <w:t xml:space="preserve">, Kalka and </w:t>
      </w:r>
      <w:proofErr w:type="spellStart"/>
      <w:r>
        <w:t>Pipalyatjara</w:t>
      </w:r>
      <w:proofErr w:type="spellEnd"/>
      <w:r>
        <w:t>.</w:t>
      </w:r>
    </w:p>
    <w:p w14:paraId="01BE1839" w14:textId="77777777" w:rsidR="004E166C" w:rsidRDefault="004E166C" w:rsidP="004E166C">
      <w:pPr>
        <w:pStyle w:val="Text"/>
      </w:pPr>
      <w:r>
        <w:t>Over the past 10 years the deli</w:t>
      </w:r>
      <w:r w:rsidR="00C55D39">
        <w:t xml:space="preserve">very of training has involved a </w:t>
      </w:r>
      <w:r>
        <w:t xml:space="preserve">team with one lecturer </w:t>
      </w:r>
      <w:r w:rsidR="00973EFB">
        <w:t>having been involved from the outset.</w:t>
      </w:r>
      <w:r w:rsidR="00C55D39">
        <w:t xml:space="preserve"> </w:t>
      </w:r>
      <w:r w:rsidR="00973EFB">
        <w:t xml:space="preserve">Initially </w:t>
      </w:r>
      <w:r>
        <w:t xml:space="preserve">units from the Certificate II in Community Services and the Certificate III in Aged Care </w:t>
      </w:r>
      <w:r w:rsidR="00973EFB">
        <w:t xml:space="preserve">were </w:t>
      </w:r>
      <w:r>
        <w:t>delivered and over time additional qu</w:t>
      </w:r>
      <w:r w:rsidR="00C55D39">
        <w:t>alifications have been added;</w:t>
      </w:r>
      <w:r>
        <w:t xml:space="preserve"> in 2015 the qualifications with registrations and in</w:t>
      </w:r>
      <w:r w:rsidR="00973EFB">
        <w:t>cluded in the research project we</w:t>
      </w:r>
      <w:r>
        <w:t>re:</w:t>
      </w:r>
    </w:p>
    <w:p w14:paraId="01BE183A" w14:textId="77777777" w:rsidR="004E166C" w:rsidRDefault="004E166C" w:rsidP="004E166C">
      <w:pPr>
        <w:pStyle w:val="Dotpoint1"/>
      </w:pPr>
      <w:r>
        <w:t>CHC20112 Certificate II in Community Services</w:t>
      </w:r>
    </w:p>
    <w:p w14:paraId="01BE183B" w14:textId="77777777" w:rsidR="004E166C" w:rsidRDefault="004E166C" w:rsidP="004E166C">
      <w:pPr>
        <w:pStyle w:val="Dotpoint1"/>
      </w:pPr>
      <w:r>
        <w:t>CHC30312 Certificate III in Home and Community Care</w:t>
      </w:r>
    </w:p>
    <w:p w14:paraId="01BE183C" w14:textId="77777777" w:rsidR="004E166C" w:rsidRDefault="004E166C" w:rsidP="004E166C">
      <w:pPr>
        <w:pStyle w:val="Dotpoint1"/>
      </w:pPr>
      <w:r>
        <w:t>CHC30212 Certificate III in Aged Care</w:t>
      </w:r>
    </w:p>
    <w:p w14:paraId="01BE183D" w14:textId="77777777" w:rsidR="004E166C" w:rsidRDefault="004E166C" w:rsidP="004E166C">
      <w:pPr>
        <w:pStyle w:val="Dotpoint1"/>
      </w:pPr>
      <w:r>
        <w:t>CHC30408 Certificate III in Disability.</w:t>
      </w:r>
    </w:p>
    <w:p w14:paraId="01BE183E" w14:textId="77777777" w:rsidR="004E166C" w:rsidRDefault="004E166C" w:rsidP="004E166C">
      <w:pPr>
        <w:pStyle w:val="Text"/>
      </w:pPr>
      <w:r>
        <w:t xml:space="preserve">Funding since 2011 has </w:t>
      </w:r>
      <w:r w:rsidR="00C55D39">
        <w:t xml:space="preserve">predominantly </w:t>
      </w:r>
      <w:r>
        <w:t>been via various iterations of the Commonwealth Aboriginal and Torres St</w:t>
      </w:r>
      <w:r w:rsidR="00973EFB">
        <w:t>rait Islander Health Workforce D</w:t>
      </w:r>
      <w:r>
        <w:t>evelopment funds and the focus of this funding is the development of workers engaged in aged and community care.</w:t>
      </w:r>
      <w:r w:rsidR="00F107E1" w:rsidRPr="00F107E1">
        <w:t xml:space="preserve"> </w:t>
      </w:r>
      <w:r w:rsidR="00C55D39">
        <w:t>The f</w:t>
      </w:r>
      <w:r>
        <w:t>unding covered the delivery of a training program</w:t>
      </w:r>
      <w:r w:rsidR="00C55D39">
        <w:t>,</w:t>
      </w:r>
      <w:r>
        <w:t xml:space="preserve"> with the lecturer travelling to the APY Lands on four trips per </w:t>
      </w:r>
      <w:r w:rsidR="00C55D39">
        <w:t>year</w:t>
      </w:r>
      <w:r>
        <w:t xml:space="preserve"> and spending up to three weeks visit</w:t>
      </w:r>
      <w:r w:rsidR="00973EFB">
        <w:t>ing</w:t>
      </w:r>
      <w:r>
        <w:t xml:space="preserve"> each of the six communities to deliver short intensive </w:t>
      </w:r>
      <w:r w:rsidR="00C55D39">
        <w:t>workshops and</w:t>
      </w:r>
      <w:r>
        <w:t xml:space="preserve"> catch up with students and supervisors.</w:t>
      </w:r>
      <w:r w:rsidR="00F107E1" w:rsidRPr="00F107E1">
        <w:t xml:space="preserve"> </w:t>
      </w:r>
      <w:r>
        <w:t xml:space="preserve">Ongoing conversations between the lecturer and the workplaces were held to discuss </w:t>
      </w:r>
      <w:r w:rsidR="002114D8">
        <w:t>coordination</w:t>
      </w:r>
      <w:r>
        <w:t xml:space="preserve"> and </w:t>
      </w:r>
      <w:r w:rsidR="00973EFB">
        <w:t xml:space="preserve">the </w:t>
      </w:r>
      <w:r>
        <w:t>availability of students, training needs and student progress.</w:t>
      </w:r>
    </w:p>
    <w:p w14:paraId="01BE183F" w14:textId="77777777" w:rsidR="004E166C" w:rsidRDefault="004E166C" w:rsidP="004E166C">
      <w:pPr>
        <w:pStyle w:val="Text"/>
      </w:pPr>
      <w:r>
        <w:t xml:space="preserve">The case study has a focus on 2015 and interviews were conducted with a management representative and </w:t>
      </w:r>
      <w:proofErr w:type="spellStart"/>
      <w:r w:rsidR="0053722E" w:rsidRPr="0053722E">
        <w:t>A</w:t>
      </w:r>
      <w:r w:rsidR="0053722E" w:rsidRPr="0053722E">
        <w:rPr>
          <w:u w:val="single"/>
        </w:rPr>
        <w:t>n</w:t>
      </w:r>
      <w:r w:rsidR="0053722E" w:rsidRPr="0053722E">
        <w:t>angu</w:t>
      </w:r>
      <w:proofErr w:type="spellEnd"/>
      <w:r>
        <w:t xml:space="preserve"> employees from</w:t>
      </w:r>
      <w:r w:rsidR="00973EFB">
        <w:t xml:space="preserve"> the </w:t>
      </w:r>
      <w:proofErr w:type="spellStart"/>
      <w:r w:rsidR="00973EFB">
        <w:t>Nganampa</w:t>
      </w:r>
      <w:proofErr w:type="spellEnd"/>
      <w:r w:rsidR="00973EFB">
        <w:t xml:space="preserve"> Health Council,</w:t>
      </w:r>
      <w:r>
        <w:t xml:space="preserve"> </w:t>
      </w:r>
      <w:r w:rsidR="00C55D39">
        <w:t xml:space="preserve">the Department of Community and Social Inclusion </w:t>
      </w:r>
      <w:r>
        <w:t>and the TAFE SA principal lecturer.</w:t>
      </w:r>
      <w:r w:rsidR="00F107E1" w:rsidRPr="00F107E1">
        <w:t xml:space="preserve"> </w:t>
      </w:r>
      <w:r>
        <w:t xml:space="preserve">Interviews with the </w:t>
      </w:r>
      <w:proofErr w:type="spellStart"/>
      <w:r w:rsidR="0053722E" w:rsidRPr="0053722E">
        <w:t>A</w:t>
      </w:r>
      <w:r w:rsidR="0053722E" w:rsidRPr="0053722E">
        <w:rPr>
          <w:u w:val="single"/>
        </w:rPr>
        <w:t>n</w:t>
      </w:r>
      <w:r w:rsidR="0053722E" w:rsidRPr="0053722E">
        <w:t>angu</w:t>
      </w:r>
      <w:proofErr w:type="spellEnd"/>
      <w:r>
        <w:t xml:space="preserve"> employees involved two of the five from </w:t>
      </w:r>
      <w:proofErr w:type="spellStart"/>
      <w:r>
        <w:t>Nganampa</w:t>
      </w:r>
      <w:proofErr w:type="spellEnd"/>
      <w:r>
        <w:t xml:space="preserve"> Health Council’s nursing home at Ernabella and the team of four employed by </w:t>
      </w:r>
      <w:r w:rsidR="00C55D39">
        <w:t xml:space="preserve">the Department of Community and Social Inclusion </w:t>
      </w:r>
      <w:r>
        <w:t>at Mimili.</w:t>
      </w:r>
      <w:r w:rsidR="00F107E1" w:rsidRPr="00F107E1">
        <w:t xml:space="preserve"> </w:t>
      </w:r>
      <w:r>
        <w:t>At both sites service delivery includes the provision of home and community care services in their respective community, and at Ernabella the additional service of residential care</w:t>
      </w:r>
      <w:r w:rsidR="00C55D39">
        <w:t xml:space="preserve"> is provided in the 13-</w:t>
      </w:r>
      <w:r>
        <w:t>bed nursing home.</w:t>
      </w:r>
    </w:p>
    <w:p w14:paraId="48872C37" w14:textId="77777777" w:rsidR="00A961ED" w:rsidRDefault="00A961ED">
      <w:pPr>
        <w:spacing w:before="0" w:line="240" w:lineRule="auto"/>
        <w:rPr>
          <w:rFonts w:ascii="Arial" w:hAnsi="Arial" w:cs="Tahoma"/>
          <w:color w:val="000000"/>
          <w:sz w:val="24"/>
        </w:rPr>
      </w:pPr>
      <w:r>
        <w:br w:type="page"/>
      </w:r>
    </w:p>
    <w:p w14:paraId="01BE1840" w14:textId="1A584CCE" w:rsidR="004E166C" w:rsidRDefault="004E166C" w:rsidP="00FC48FE">
      <w:pPr>
        <w:pStyle w:val="Heading3"/>
      </w:pPr>
      <w:r>
        <w:t>Quantitative data</w:t>
      </w:r>
    </w:p>
    <w:p w14:paraId="01BE1841" w14:textId="77777777" w:rsidR="004E166C" w:rsidRDefault="004E166C" w:rsidP="004E166C">
      <w:pPr>
        <w:pStyle w:val="Text"/>
      </w:pPr>
      <w:r>
        <w:t xml:space="preserve">In 2015 there were </w:t>
      </w:r>
      <w:r w:rsidR="007D669B">
        <w:t>50</w:t>
      </w:r>
      <w:r>
        <w:t xml:space="preserve"> </w:t>
      </w:r>
      <w:proofErr w:type="spellStart"/>
      <w:r w:rsidR="0053722E" w:rsidRPr="0053722E">
        <w:t>A</w:t>
      </w:r>
      <w:r w:rsidR="0053722E" w:rsidRPr="0053722E">
        <w:rPr>
          <w:u w:val="single"/>
        </w:rPr>
        <w:t>n</w:t>
      </w:r>
      <w:r w:rsidR="0053722E" w:rsidRPr="0053722E">
        <w:t>angu</w:t>
      </w:r>
      <w:proofErr w:type="spellEnd"/>
      <w:r>
        <w:t xml:space="preserve"> registrations against the qualifications listed above</w:t>
      </w:r>
      <w:r w:rsidR="007D669B">
        <w:t>,</w:t>
      </w:r>
      <w:r>
        <w:t xml:space="preserve"> </w:t>
      </w:r>
      <w:r w:rsidR="00C55D39">
        <w:t>which</w:t>
      </w:r>
      <w:r>
        <w:t xml:space="preserve"> </w:t>
      </w:r>
      <w:r w:rsidR="007D669B">
        <w:t>led</w:t>
      </w:r>
      <w:r>
        <w:t xml:space="preserve"> to </w:t>
      </w:r>
      <w:r w:rsidR="007D669B">
        <w:t xml:space="preserve">44 </w:t>
      </w:r>
      <w:r>
        <w:t>part-time students</w:t>
      </w:r>
      <w:r w:rsidR="007D669B">
        <w:t xml:space="preserve"> enrolling</w:t>
      </w:r>
      <w:r>
        <w:t>, and seven completions.</w:t>
      </w:r>
      <w:r w:rsidR="00F107E1" w:rsidRPr="00F107E1">
        <w:t xml:space="preserve"> </w:t>
      </w:r>
      <w:r w:rsidR="0053722E">
        <w:t>Most</w:t>
      </w:r>
      <w:r>
        <w:t xml:space="preserve"> students are women in their mid-</w:t>
      </w:r>
      <w:r w:rsidR="00C55D39">
        <w:t xml:space="preserve">30s </w:t>
      </w:r>
      <w:r>
        <w:t>registered in the Certificate II in Community Services.</w:t>
      </w:r>
    </w:p>
    <w:p w14:paraId="01BE1842" w14:textId="77777777" w:rsidR="004E166C" w:rsidRDefault="0053722E" w:rsidP="00FC48FE">
      <w:pPr>
        <w:pStyle w:val="Heading3"/>
      </w:pPr>
      <w:proofErr w:type="spellStart"/>
      <w:r w:rsidRPr="0053722E">
        <w:t>A</w:t>
      </w:r>
      <w:r w:rsidRPr="0053722E">
        <w:rPr>
          <w:u w:val="single"/>
        </w:rPr>
        <w:t>n</w:t>
      </w:r>
      <w:r w:rsidRPr="0053722E">
        <w:t>angu</w:t>
      </w:r>
      <w:proofErr w:type="spellEnd"/>
      <w:r w:rsidR="004E166C">
        <w:t xml:space="preserve"> employees</w:t>
      </w:r>
    </w:p>
    <w:p w14:paraId="01BE1843" w14:textId="77777777" w:rsidR="004E166C" w:rsidRDefault="004E166C" w:rsidP="004E166C">
      <w:pPr>
        <w:pStyle w:val="Text"/>
      </w:pPr>
      <w:r>
        <w:t xml:space="preserve">Recruitment of </w:t>
      </w:r>
      <w:proofErr w:type="spellStart"/>
      <w:r w:rsidR="0053722E" w:rsidRPr="0053722E">
        <w:t>A</w:t>
      </w:r>
      <w:r w:rsidR="0053722E" w:rsidRPr="0053722E">
        <w:rPr>
          <w:u w:val="single"/>
        </w:rPr>
        <w:t>n</w:t>
      </w:r>
      <w:r w:rsidR="0053722E" w:rsidRPr="0053722E">
        <w:t>angu</w:t>
      </w:r>
      <w:proofErr w:type="spellEnd"/>
      <w:r>
        <w:t xml:space="preserve"> to positions is based on interest and ability to gain a police clearance; there is no requirement to hold a qualification or to have undertaken previous training and this practice is the norm for </w:t>
      </w:r>
      <w:r w:rsidR="00973EFB">
        <w:t xml:space="preserve">the </w:t>
      </w:r>
      <w:proofErr w:type="spellStart"/>
      <w:r>
        <w:t>Nganampa</w:t>
      </w:r>
      <w:proofErr w:type="spellEnd"/>
      <w:r>
        <w:t xml:space="preserve"> Health Council and </w:t>
      </w:r>
      <w:r w:rsidR="00C55D39">
        <w:t>the Department of Community and Social Inclusion</w:t>
      </w:r>
      <w:r>
        <w:t>.</w:t>
      </w:r>
      <w:r w:rsidR="00F107E1" w:rsidRPr="00F107E1">
        <w:t xml:space="preserve"> </w:t>
      </w:r>
      <w:r>
        <w:t>Once employed, and the employment status is as a casual, the employee is</w:t>
      </w:r>
      <w:r w:rsidR="00C55D39">
        <w:t xml:space="preserve"> expected to register in a part-</w:t>
      </w:r>
      <w:r>
        <w:t>time study program</w:t>
      </w:r>
      <w:r w:rsidR="00C55D39">
        <w:t>,</w:t>
      </w:r>
      <w:r>
        <w:t xml:space="preserve"> which is supported by the employer</w:t>
      </w:r>
      <w:r w:rsidR="00C55D39">
        <w:t>,</w:t>
      </w:r>
      <w:r>
        <w:t xml:space="preserve"> with employees paid for the hours of training attended.</w:t>
      </w:r>
      <w:r w:rsidR="00F107E1" w:rsidRPr="00F107E1">
        <w:t xml:space="preserve"> </w:t>
      </w:r>
      <w:proofErr w:type="spellStart"/>
      <w:r w:rsidR="0053722E" w:rsidRPr="0053722E">
        <w:t>A</w:t>
      </w:r>
      <w:r w:rsidR="0053722E" w:rsidRPr="0053722E">
        <w:rPr>
          <w:u w:val="single"/>
        </w:rPr>
        <w:t>n</w:t>
      </w:r>
      <w:r w:rsidR="0053722E" w:rsidRPr="0053722E">
        <w:t>angu</w:t>
      </w:r>
      <w:proofErr w:type="spellEnd"/>
      <w:r>
        <w:t xml:space="preserve"> employees are registered in units to either cover training a</w:t>
      </w:r>
      <w:r w:rsidR="00C55D39">
        <w:t>s requested by the employer and/</w:t>
      </w:r>
      <w:r>
        <w:t>or units where the student demonstrates competency.</w:t>
      </w:r>
      <w:r w:rsidR="00F107E1" w:rsidRPr="00F107E1">
        <w:t xml:space="preserve"> </w:t>
      </w:r>
      <w:r>
        <w:t xml:space="preserve">At each workplace there are three to five </w:t>
      </w:r>
      <w:proofErr w:type="spellStart"/>
      <w:r w:rsidR="0053722E" w:rsidRPr="0053722E">
        <w:t>A</w:t>
      </w:r>
      <w:r w:rsidR="0053722E" w:rsidRPr="0053722E">
        <w:rPr>
          <w:u w:val="single"/>
        </w:rPr>
        <w:t>n</w:t>
      </w:r>
      <w:r w:rsidR="0053722E" w:rsidRPr="0053722E">
        <w:t>angu</w:t>
      </w:r>
      <w:proofErr w:type="spellEnd"/>
      <w:r>
        <w:t xml:space="preserve"> employees and when training is </w:t>
      </w:r>
      <w:r w:rsidR="00C55D39">
        <w:t>taking place</w:t>
      </w:r>
      <w:r>
        <w:t xml:space="preserve"> the employees have reduced work tasks to enable them to attend.</w:t>
      </w:r>
      <w:r w:rsidR="00F107E1" w:rsidRPr="00F107E1">
        <w:t xml:space="preserve"> </w:t>
      </w:r>
      <w:r>
        <w:t>An underlying intent of the training program is the completion of qualifications</w:t>
      </w:r>
      <w:r w:rsidR="00C55D39">
        <w:t>,</w:t>
      </w:r>
      <w:r>
        <w:t xml:space="preserve"> and the continuity of the principal lecturer facilitates the immediate workforce development need</w:t>
      </w:r>
      <w:r w:rsidR="00C55D39">
        <w:t>,</w:t>
      </w:r>
      <w:r>
        <w:t xml:space="preserve"> along with the ability over time to extend students and support their skill development and increased competency.</w:t>
      </w:r>
    </w:p>
    <w:p w14:paraId="01BE1844" w14:textId="77777777" w:rsidR="004E166C" w:rsidRDefault="00137D1E" w:rsidP="004E166C">
      <w:pPr>
        <w:pStyle w:val="Text"/>
      </w:pPr>
      <w:r>
        <w:t>Most</w:t>
      </w:r>
      <w:r w:rsidR="004E166C">
        <w:t xml:space="preserve"> the six employees in</w:t>
      </w:r>
      <w:r w:rsidR="00C55D39">
        <w:t>terviewed were regarded as long-</w:t>
      </w:r>
      <w:r w:rsidR="004E166C">
        <w:t>term employees</w:t>
      </w:r>
      <w:r w:rsidR="005878C6">
        <w:t>,</w:t>
      </w:r>
      <w:r w:rsidR="004E166C">
        <w:t xml:space="preserve"> of three or four years.</w:t>
      </w:r>
      <w:r w:rsidR="00F107E1" w:rsidRPr="00F107E1">
        <w:t xml:space="preserve"> </w:t>
      </w:r>
      <w:r w:rsidR="004E166C">
        <w:t>Each employee is regarded as a successful worker and learner.</w:t>
      </w:r>
      <w:r w:rsidR="00F107E1" w:rsidRPr="00F107E1">
        <w:t xml:space="preserve"> </w:t>
      </w:r>
      <w:r w:rsidR="004E166C">
        <w:t>They spoke positively about working and learning and both groups mentioned how they want to learn more</w:t>
      </w:r>
      <w:r w:rsidR="005878C6">
        <w:t>,</w:t>
      </w:r>
      <w:r w:rsidR="004E166C">
        <w:t xml:space="preserve"> with comment</w:t>
      </w:r>
      <w:r w:rsidR="00C55D39">
        <w:t>s such as:</w:t>
      </w:r>
      <w:r w:rsidR="004E166C">
        <w:t xml:space="preserve"> ‘Makes us feel good to come to work every day to learn more’.</w:t>
      </w:r>
      <w:r w:rsidR="00F107E1" w:rsidRPr="00F107E1">
        <w:t xml:space="preserve"> </w:t>
      </w:r>
      <w:r w:rsidR="004E166C">
        <w:t xml:space="preserve">A number had graduated with at least one qualification and had clear memories of the event held in their honour at the workplace and with </w:t>
      </w:r>
      <w:r w:rsidR="005878C6">
        <w:t>family and other invited guests:</w:t>
      </w:r>
      <w:r w:rsidR="004E166C">
        <w:t xml:space="preserve"> ‘getting the </w:t>
      </w:r>
      <w:r w:rsidR="0073414E">
        <w:t>Certificate</w:t>
      </w:r>
      <w:r w:rsidR="004E166C">
        <w:t xml:space="preserve"> made us feel happy, excited and strong’.</w:t>
      </w:r>
    </w:p>
    <w:p w14:paraId="01BE1845" w14:textId="77777777" w:rsidR="004E166C" w:rsidRDefault="004E166C" w:rsidP="004E166C">
      <w:pPr>
        <w:pStyle w:val="Text"/>
      </w:pPr>
      <w:r>
        <w:t>Students spoke of how they enjoyed the training</w:t>
      </w:r>
      <w:r w:rsidR="00C55D39">
        <w:t>:</w:t>
      </w:r>
      <w:r>
        <w:t xml:space="preserve"> ‘We would always</w:t>
      </w:r>
      <w:r w:rsidR="00C55D39">
        <w:t xml:space="preserve"> be happy when Sue [principal lecturer]</w:t>
      </w:r>
      <w:r>
        <w:t xml:space="preserve"> comes’.</w:t>
      </w:r>
      <w:r w:rsidR="00F107E1" w:rsidRPr="00F107E1">
        <w:t xml:space="preserve"> </w:t>
      </w:r>
      <w:r>
        <w:t xml:space="preserve">At times the principal lecturer would bring another lecturer with her to deliver specialised training such as </w:t>
      </w:r>
      <w:r w:rsidR="00C55D39">
        <w:t xml:space="preserve">manual handling </w:t>
      </w:r>
      <w:r>
        <w:t>and the students spoke about this</w:t>
      </w:r>
      <w:r w:rsidR="005878C6">
        <w:t>,</w:t>
      </w:r>
      <w:r w:rsidR="00C55D39">
        <w:t xml:space="preserve"> as</w:t>
      </w:r>
      <w:r>
        <w:t xml:space="preserve"> it was seen to be a positive contribution</w:t>
      </w:r>
      <w:r w:rsidR="00C55D39">
        <w:t xml:space="preserve"> to their learning:</w:t>
      </w:r>
      <w:r>
        <w:t xml:space="preserve"> ‘The visitors, they could’ve felt a little bit shy but they kind of just joined in </w:t>
      </w:r>
      <w:r w:rsidR="00C55D39">
        <w:t>…</w:t>
      </w:r>
      <w:r>
        <w:t xml:space="preserve"> They weren’t scared, we weren’t scared of them, all of us just worked as a good team’.</w:t>
      </w:r>
    </w:p>
    <w:p w14:paraId="01BE1846" w14:textId="77777777" w:rsidR="004E166C" w:rsidRDefault="004E166C" w:rsidP="004E166C">
      <w:pPr>
        <w:pStyle w:val="Text"/>
      </w:pPr>
      <w:r>
        <w:t xml:space="preserve">Course content was referred to by the students and they commented on the link between </w:t>
      </w:r>
      <w:r w:rsidR="00C55D39">
        <w:t>the training completed and day-to-</w:t>
      </w:r>
      <w:r>
        <w:t xml:space="preserve">day work tasks, for example: occupational health and safety </w:t>
      </w:r>
      <w:r w:rsidR="00C55D39">
        <w:t xml:space="preserve">— </w:t>
      </w:r>
      <w:r>
        <w:t>from the use of fire extinguishers and fire exits to cleanliness; how to complete incident reports; working with clients and emotional care; and code of conduct.</w:t>
      </w:r>
      <w:r w:rsidR="00F107E1" w:rsidRPr="00F107E1">
        <w:t xml:space="preserve"> </w:t>
      </w:r>
      <w:r>
        <w:t xml:space="preserve">At times the principal lecturer took the group to the TAFE SA Learning Centre to utilise the </w:t>
      </w:r>
      <w:r w:rsidR="00A65C7A">
        <w:t xml:space="preserve">available </w:t>
      </w:r>
      <w:r>
        <w:t>online resources and this was mentioned with the example of learning about body parts.</w:t>
      </w:r>
    </w:p>
    <w:p w14:paraId="01BE1847" w14:textId="77777777" w:rsidR="004E166C" w:rsidRDefault="004E166C" w:rsidP="004E166C">
      <w:pPr>
        <w:pStyle w:val="Text"/>
      </w:pPr>
      <w:r>
        <w:t xml:space="preserve">The students commented on how they </w:t>
      </w:r>
      <w:r w:rsidR="00137D1E">
        <w:t>could</w:t>
      </w:r>
      <w:r>
        <w:t xml:space="preserve"> attend most training sessions but acknowledged that they had missed a few</w:t>
      </w:r>
      <w:r w:rsidR="00A65C7A">
        <w:t>,</w:t>
      </w:r>
      <w:r>
        <w:t xml:space="preserve"> with funerals cited as the reason. </w:t>
      </w:r>
    </w:p>
    <w:p w14:paraId="01BE1848" w14:textId="77777777" w:rsidR="004E166C" w:rsidRDefault="004E166C" w:rsidP="004E166C">
      <w:pPr>
        <w:pStyle w:val="Text"/>
      </w:pPr>
      <w:r>
        <w:t xml:space="preserve">During the interviews references to the </w:t>
      </w:r>
      <w:r w:rsidR="00A65C7A">
        <w:t>value of the training were made;</w:t>
      </w:r>
      <w:r>
        <w:t xml:space="preserve"> for example</w:t>
      </w:r>
      <w:r w:rsidR="00A65C7A">
        <w:t>,</w:t>
      </w:r>
      <w:r>
        <w:t xml:space="preserve"> at times in the community when a family member is sick they may be approached for advice and how they ‘talk to them about going to the clinic to get their blood pressure checked’.</w:t>
      </w:r>
      <w:r w:rsidRPr="0023763C">
        <w:t xml:space="preserve"> </w:t>
      </w:r>
      <w:r>
        <w:t xml:space="preserve">The other context given was in relation to work where they know they make a </w:t>
      </w:r>
      <w:r w:rsidR="00A65C7A">
        <w:t>difference to service provision;</w:t>
      </w:r>
      <w:r>
        <w:t xml:space="preserve"> for example</w:t>
      </w:r>
      <w:r w:rsidR="00A65C7A">
        <w:t>,</w:t>
      </w:r>
      <w:r>
        <w:t xml:space="preserve"> ‘sometimes the patients tell us about the food and we interpret and let the nurses know what that person needs like what sort of food the person likes’.</w:t>
      </w:r>
      <w:r w:rsidR="00F107E1" w:rsidRPr="00F107E1">
        <w:t xml:space="preserve"> </w:t>
      </w:r>
      <w:r>
        <w:t>Their confidence in their knowledge and skills and knowing they make a difference to their elders and families was a clear message.</w:t>
      </w:r>
    </w:p>
    <w:p w14:paraId="01BE1849" w14:textId="77777777" w:rsidR="004E166C" w:rsidRDefault="004E166C" w:rsidP="004E166C">
      <w:pPr>
        <w:pStyle w:val="Text"/>
      </w:pPr>
      <w:r>
        <w:t xml:space="preserve">There was an understanding of the need for the </w:t>
      </w:r>
      <w:r w:rsidR="00A65C7A">
        <w:t>c</w:t>
      </w:r>
      <w:r w:rsidR="0073414E">
        <w:t>ertificate</w:t>
      </w:r>
      <w:r>
        <w:t xml:space="preserve"> III and </w:t>
      </w:r>
      <w:r w:rsidR="00137D1E">
        <w:t>its</w:t>
      </w:r>
      <w:r>
        <w:t xml:space="preserve"> portability within the aged care industry on and off the APY Lands.</w:t>
      </w:r>
      <w:r w:rsidR="00F107E1" w:rsidRPr="00F107E1">
        <w:t xml:space="preserve"> </w:t>
      </w:r>
      <w:r>
        <w:t xml:space="preserve">A couple of the </w:t>
      </w:r>
      <w:r w:rsidR="00A65C7A">
        <w:t>aged care workers</w:t>
      </w:r>
      <w:r>
        <w:t xml:space="preserve">, one with the </w:t>
      </w:r>
      <w:r w:rsidR="00A65C7A">
        <w:t>c</w:t>
      </w:r>
      <w:r w:rsidR="0073414E">
        <w:t>ertificate</w:t>
      </w:r>
      <w:r>
        <w:t xml:space="preserve"> III and another close to finishing</w:t>
      </w:r>
      <w:r w:rsidR="005878C6">
        <w:t>,</w:t>
      </w:r>
      <w:r>
        <w:t xml:space="preserve"> commented on how in the future they may leave the APY Lands to work in another </w:t>
      </w:r>
      <w:r w:rsidR="00A65C7A">
        <w:t xml:space="preserve">aged care </w:t>
      </w:r>
      <w:r>
        <w:t>facility.</w:t>
      </w:r>
    </w:p>
    <w:p w14:paraId="01BE184A" w14:textId="77777777" w:rsidR="004E166C" w:rsidRDefault="004E166C" w:rsidP="00FC48FE">
      <w:pPr>
        <w:pStyle w:val="Heading3"/>
      </w:pPr>
      <w:r>
        <w:t>The employers</w:t>
      </w:r>
    </w:p>
    <w:p w14:paraId="01BE184B" w14:textId="77777777" w:rsidR="004E166C" w:rsidRDefault="004E166C" w:rsidP="004E166C">
      <w:pPr>
        <w:pStyle w:val="Text"/>
      </w:pPr>
      <w:r>
        <w:t xml:space="preserve">In the interviews with the employer representatives the importance of the training and </w:t>
      </w:r>
      <w:r w:rsidR="00137D1E">
        <w:t>as</w:t>
      </w:r>
      <w:r>
        <w:t xml:space="preserve"> it pertains to the requirements of worki</w:t>
      </w:r>
      <w:r w:rsidR="005878C6">
        <w:t>ng in aged and community care were</w:t>
      </w:r>
      <w:r>
        <w:t xml:space="preserve"> discussed.</w:t>
      </w:r>
      <w:r w:rsidR="00F107E1" w:rsidRPr="00F107E1">
        <w:t xml:space="preserve"> </w:t>
      </w:r>
      <w:proofErr w:type="spellStart"/>
      <w:r>
        <w:t>Nganampa</w:t>
      </w:r>
      <w:proofErr w:type="spellEnd"/>
      <w:r>
        <w:t xml:space="preserve"> Health Council relies ‘heavily on local </w:t>
      </w:r>
      <w:proofErr w:type="spellStart"/>
      <w:r w:rsidR="0053722E" w:rsidRPr="007D669B">
        <w:t>A</w:t>
      </w:r>
      <w:r w:rsidR="0053722E" w:rsidRPr="007D669B">
        <w:rPr>
          <w:u w:val="single"/>
        </w:rPr>
        <w:t>n</w:t>
      </w:r>
      <w:r w:rsidR="0053722E" w:rsidRPr="007D669B">
        <w:t>angu</w:t>
      </w:r>
      <w:proofErr w:type="spellEnd"/>
      <w:r>
        <w:t xml:space="preserve"> staff who come to work without qualifications and for a permanent position the </w:t>
      </w:r>
      <w:r w:rsidR="008842C6">
        <w:t>c</w:t>
      </w:r>
      <w:r w:rsidR="0073414E">
        <w:t>ertificate</w:t>
      </w:r>
      <w:r>
        <w:t xml:space="preserve"> III is required</w:t>
      </w:r>
      <w:r w:rsidR="008842C6">
        <w:t>’.</w:t>
      </w:r>
      <w:r w:rsidR="00F107E1" w:rsidRPr="00F107E1">
        <w:t xml:space="preserve"> </w:t>
      </w:r>
      <w:r w:rsidR="008842C6">
        <w:t>T</w:t>
      </w:r>
      <w:r w:rsidR="00C55D39">
        <w:t xml:space="preserve">he Department of Community and Social Inclusion </w:t>
      </w:r>
      <w:r>
        <w:t xml:space="preserve">cited the importance of the training program in meeting workplace health and safety requirements </w:t>
      </w:r>
      <w:r w:rsidR="008842C6">
        <w:t xml:space="preserve">— </w:t>
      </w:r>
      <w:r>
        <w:t>with both understanding the requirements and being able to put these into practice.</w:t>
      </w:r>
      <w:r w:rsidR="00F107E1" w:rsidRPr="00F107E1">
        <w:t xml:space="preserve"> </w:t>
      </w:r>
      <w:r>
        <w:t xml:space="preserve">Both employers regarded training as part of work. </w:t>
      </w:r>
    </w:p>
    <w:p w14:paraId="01BE184C" w14:textId="77777777" w:rsidR="004E166C" w:rsidRDefault="004E166C" w:rsidP="004E166C">
      <w:pPr>
        <w:pStyle w:val="Text"/>
      </w:pPr>
      <w:r>
        <w:t xml:space="preserve">Funding through Commonwealth Aboriginal and Torres Strait Islander Workforce </w:t>
      </w:r>
      <w:r w:rsidR="005878C6">
        <w:t xml:space="preserve">Development funding </w:t>
      </w:r>
      <w:r>
        <w:t xml:space="preserve">has been via one contract after another and the employers were concerned about the future funding of the program and ‘if the program does not continue not sure how we can continue to support </w:t>
      </w:r>
      <w:proofErr w:type="spellStart"/>
      <w:r w:rsidR="0053722E" w:rsidRPr="0053722E">
        <w:t>A</w:t>
      </w:r>
      <w:r w:rsidR="0053722E" w:rsidRPr="0053722E">
        <w:rPr>
          <w:u w:val="single"/>
        </w:rPr>
        <w:t>n</w:t>
      </w:r>
      <w:r w:rsidR="0053722E" w:rsidRPr="0053722E">
        <w:t>angu</w:t>
      </w:r>
      <w:proofErr w:type="spellEnd"/>
      <w:r>
        <w:t xml:space="preserve"> employees’.</w:t>
      </w:r>
      <w:r w:rsidR="00F107E1" w:rsidRPr="00F107E1">
        <w:t xml:space="preserve"> </w:t>
      </w:r>
      <w:r w:rsidR="008842C6">
        <w:t>The s</w:t>
      </w:r>
      <w:r>
        <w:t xml:space="preserve">uccess of this program is </w:t>
      </w:r>
      <w:r w:rsidR="008842C6">
        <w:t>viewed in terms of</w:t>
      </w:r>
      <w:r>
        <w:t xml:space="preserve"> student achievement and the ability of the employers to develop the workforce for working in a regulated industry context.</w:t>
      </w:r>
    </w:p>
    <w:p w14:paraId="01BE184D" w14:textId="77777777" w:rsidR="004E166C" w:rsidRDefault="004E166C" w:rsidP="004E166C">
      <w:pPr>
        <w:pStyle w:val="Text"/>
      </w:pPr>
      <w:r>
        <w:t>Comments regarding the training program covered the ability of the lecturer to tailor the program and acc</w:t>
      </w:r>
      <w:r w:rsidR="008842C6">
        <w:t>ommodate changing circumstances:</w:t>
      </w:r>
      <w:r w:rsidR="008842C6" w:rsidRPr="00F107E1">
        <w:t xml:space="preserve"> </w:t>
      </w:r>
      <w:r w:rsidR="008842C6">
        <w:t>‘Flexibility has enabled employees to continue with their study even if they have had to leave the workplace for periods of time or are unable to attend the training when the lecturer is in the community’.</w:t>
      </w:r>
      <w:r w:rsidR="008842C6" w:rsidRPr="00F107E1">
        <w:t xml:space="preserve"> </w:t>
      </w:r>
      <w:r>
        <w:t>The continuity of the principal lecturer facilitating student outcomes was acknowledged</w:t>
      </w:r>
      <w:r w:rsidR="008842C6">
        <w:t>; a</w:t>
      </w:r>
      <w:r>
        <w:t>lso mentioned was the value of the training model</w:t>
      </w:r>
      <w:r w:rsidR="008842C6">
        <w:t>,</w:t>
      </w:r>
      <w:r>
        <w:t xml:space="preserve"> where</w:t>
      </w:r>
      <w:r w:rsidR="008842C6">
        <w:t>by</w:t>
      </w:r>
      <w:r>
        <w:t xml:space="preserve"> the ‘combination of training and employment works as it makes the training meaningful’.</w:t>
      </w:r>
      <w:r w:rsidR="00F107E1" w:rsidRPr="00F107E1">
        <w:t xml:space="preserve"> </w:t>
      </w:r>
      <w:r>
        <w:t>The link between the training done on the job and having this recognised against accredited units was valued.</w:t>
      </w:r>
    </w:p>
    <w:p w14:paraId="01BE184E" w14:textId="77777777" w:rsidR="004E166C" w:rsidRDefault="004E166C" w:rsidP="004E166C">
      <w:pPr>
        <w:pStyle w:val="Text"/>
      </w:pPr>
      <w:r>
        <w:t xml:space="preserve">Appropriate trainers are essential as the ‘trainer needs to understand how to work with </w:t>
      </w:r>
      <w:proofErr w:type="spellStart"/>
      <w:r w:rsidR="0053722E" w:rsidRPr="0053722E">
        <w:t>A</w:t>
      </w:r>
      <w:r w:rsidR="0053722E" w:rsidRPr="0053722E">
        <w:rPr>
          <w:u w:val="single"/>
        </w:rPr>
        <w:t>n</w:t>
      </w:r>
      <w:r w:rsidR="0053722E" w:rsidRPr="0053722E">
        <w:t>angu</w:t>
      </w:r>
      <w:proofErr w:type="spellEnd"/>
      <w:r>
        <w:t xml:space="preserve">, be practical, use relevant examples, and </w:t>
      </w:r>
      <w:r w:rsidR="00D2080F">
        <w:t>can</w:t>
      </w:r>
      <w:r>
        <w:t xml:space="preserve"> style the program to suit people with different abilities</w:t>
      </w:r>
      <w:r w:rsidR="008842C6">
        <w:t>’</w:t>
      </w:r>
      <w:r>
        <w:t>.</w:t>
      </w:r>
      <w:r w:rsidR="00F107E1" w:rsidRPr="00F107E1">
        <w:t xml:space="preserve"> </w:t>
      </w:r>
      <w:r>
        <w:t xml:space="preserve">In </w:t>
      </w:r>
      <w:r w:rsidR="00137D1E">
        <w:t>addition,</w:t>
      </w:r>
      <w:r>
        <w:t xml:space="preserve"> the ‘trainer needs to be able to deliver a program with a group of varying literacy and numeracy levels’.</w:t>
      </w:r>
      <w:r w:rsidR="00F107E1" w:rsidRPr="00F107E1">
        <w:t xml:space="preserve"> </w:t>
      </w:r>
      <w:r>
        <w:t>One employer gave the example of how they normally ‘employ older people who don’t have the computer skills and study skills for</w:t>
      </w:r>
      <w:r w:rsidR="005878C6">
        <w:t xml:space="preserve"> online learning, so need hands-</w:t>
      </w:r>
      <w:r>
        <w:t xml:space="preserve">on learning’ and having a trainer who </w:t>
      </w:r>
      <w:r w:rsidR="00137D1E">
        <w:t>can</w:t>
      </w:r>
      <w:r>
        <w:t xml:space="preserve"> support these learners over time enables their confidence as learners to increase.</w:t>
      </w:r>
      <w:r w:rsidR="00F107E1" w:rsidRPr="00F107E1">
        <w:t xml:space="preserve"> </w:t>
      </w:r>
      <w:r>
        <w:t>The integral link between training and employment is evident and</w:t>
      </w:r>
      <w:r w:rsidR="008842C6">
        <w:t>, for example, ‘they [the employees]</w:t>
      </w:r>
      <w:r>
        <w:t xml:space="preserve"> need this training for completing the paperwork and Sue was very good on teaching them how to complete the paperwork.</w:t>
      </w:r>
      <w:r w:rsidR="00F107E1" w:rsidRPr="00F107E1">
        <w:t xml:space="preserve"> </w:t>
      </w:r>
      <w:r>
        <w:t>This is not something I could do.</w:t>
      </w:r>
      <w:r w:rsidR="00F107E1" w:rsidRPr="00F107E1">
        <w:t xml:space="preserve"> </w:t>
      </w:r>
      <w:r>
        <w:t>I relied on TAFE to do this’.</w:t>
      </w:r>
    </w:p>
    <w:p w14:paraId="01BE184F" w14:textId="77777777" w:rsidR="004E166C" w:rsidRDefault="004E166C" w:rsidP="004E166C">
      <w:pPr>
        <w:pStyle w:val="Text"/>
      </w:pPr>
      <w:r>
        <w:t>Employers recognised the time i</w:t>
      </w:r>
      <w:r w:rsidR="008842C6">
        <w:t>nvolved to gain a qualification:</w:t>
      </w:r>
      <w:r>
        <w:t xml:space="preserve"> it ‘takes a couple of years, and personal circumstances means that</w:t>
      </w:r>
      <w:r w:rsidR="008842C6">
        <w:t xml:space="preserve"> they are not always available —</w:t>
      </w:r>
      <w:r>
        <w:t xml:space="preserve"> cultural and family pressures’.</w:t>
      </w:r>
      <w:r w:rsidR="00F107E1" w:rsidRPr="00F107E1">
        <w:t xml:space="preserve"> </w:t>
      </w:r>
      <w:r>
        <w:t>The work patter</w:t>
      </w:r>
      <w:r w:rsidR="00137D1E">
        <w:t>n</w:t>
      </w:r>
      <w:r>
        <w:t xml:space="preserve">s of the employees </w:t>
      </w:r>
      <w:r w:rsidR="00137D1E">
        <w:t>are</w:t>
      </w:r>
      <w:r>
        <w:t xml:space="preserve"> accepted and worked around</w:t>
      </w:r>
      <w:r w:rsidR="008842C6">
        <w:t>,</w:t>
      </w:r>
      <w:r>
        <w:t xml:space="preserve"> which enables workers to take time off work and then return, and this pattern of work is accommodate</w:t>
      </w:r>
      <w:r w:rsidR="005878C6">
        <w:t>d</w:t>
      </w:r>
      <w:r>
        <w:t xml:space="preserve"> by the training program as well. Th</w:t>
      </w:r>
      <w:r w:rsidR="008842C6">
        <w:t>e following</w:t>
      </w:r>
      <w:r>
        <w:t xml:space="preserve"> comment was made in relation to a query concerning stu</w:t>
      </w:r>
      <w:r w:rsidR="008842C6">
        <w:t>dents who have left the program:</w:t>
      </w:r>
      <w:r>
        <w:t xml:space="preserve"> ‘those who have dropped out are not working or have moved on’.</w:t>
      </w:r>
      <w:r w:rsidR="00F107E1" w:rsidRPr="00F107E1">
        <w:t xml:space="preserve"> </w:t>
      </w:r>
      <w:r>
        <w:t xml:space="preserve">Data to understand why </w:t>
      </w:r>
      <w:proofErr w:type="spellStart"/>
      <w:r w:rsidR="0053722E" w:rsidRPr="002366B4">
        <w:t>A</w:t>
      </w:r>
      <w:r w:rsidR="0053722E" w:rsidRPr="002366B4">
        <w:rPr>
          <w:u w:val="single"/>
        </w:rPr>
        <w:t>n</w:t>
      </w:r>
      <w:r w:rsidR="0053722E" w:rsidRPr="002366B4">
        <w:t>angu</w:t>
      </w:r>
      <w:proofErr w:type="spellEnd"/>
      <w:r>
        <w:t xml:space="preserve"> did not continue with employment and t</w:t>
      </w:r>
      <w:r w:rsidR="008842C6">
        <w:t>raining have</w:t>
      </w:r>
      <w:r>
        <w:t xml:space="preserve"> not been collected.</w:t>
      </w:r>
    </w:p>
    <w:p w14:paraId="01BE1850" w14:textId="77777777" w:rsidR="004E166C" w:rsidRDefault="004E166C" w:rsidP="004E166C">
      <w:pPr>
        <w:pStyle w:val="Text"/>
      </w:pPr>
      <w:r>
        <w:t>The interest in the training program was acknowledged</w:t>
      </w:r>
      <w:r w:rsidR="005878C6">
        <w:t>,</w:t>
      </w:r>
      <w:r>
        <w:t xml:space="preserve"> as ‘it’s easy for people not to turn up if they do not want to attend’.</w:t>
      </w:r>
      <w:r w:rsidR="00F107E1" w:rsidRPr="00F107E1">
        <w:t xml:space="preserve"> </w:t>
      </w:r>
      <w:r>
        <w:t xml:space="preserve">In addition, the training is perceived to have supported staff to remain at work, with the comment on how the ‘retention of </w:t>
      </w:r>
      <w:proofErr w:type="spellStart"/>
      <w:r w:rsidR="0053722E" w:rsidRPr="002366B4">
        <w:t>A</w:t>
      </w:r>
      <w:r w:rsidR="0053722E" w:rsidRPr="002366B4">
        <w:rPr>
          <w:u w:val="single"/>
        </w:rPr>
        <w:t>n</w:t>
      </w:r>
      <w:r w:rsidR="0053722E" w:rsidRPr="002366B4">
        <w:t>angu</w:t>
      </w:r>
      <w:proofErr w:type="spellEnd"/>
      <w:r>
        <w:t xml:space="preserve"> staff has improved in the past couple of years’.</w:t>
      </w:r>
      <w:r w:rsidR="00F107E1" w:rsidRPr="00F107E1">
        <w:t xml:space="preserve"> </w:t>
      </w:r>
      <w:r>
        <w:t xml:space="preserve">‘Employees on completion ask about other work that they can do’ </w:t>
      </w:r>
      <w:r w:rsidR="008842C6">
        <w:t>to further their qualifications,</w:t>
      </w:r>
      <w:r>
        <w:t xml:space="preserve"> and at </w:t>
      </w:r>
      <w:proofErr w:type="spellStart"/>
      <w:r>
        <w:t>Nganampa</w:t>
      </w:r>
      <w:proofErr w:type="spellEnd"/>
      <w:r>
        <w:t xml:space="preserve"> Health </w:t>
      </w:r>
      <w:r w:rsidR="00137D1E">
        <w:t>several</w:t>
      </w:r>
      <w:r>
        <w:t xml:space="preserve"> </w:t>
      </w:r>
      <w:proofErr w:type="spellStart"/>
      <w:r w:rsidR="0053722E" w:rsidRPr="002366B4">
        <w:t>A</w:t>
      </w:r>
      <w:r w:rsidR="0053722E" w:rsidRPr="002366B4">
        <w:rPr>
          <w:u w:val="single"/>
        </w:rPr>
        <w:t>n</w:t>
      </w:r>
      <w:r w:rsidR="0053722E" w:rsidRPr="002366B4">
        <w:t>angu</w:t>
      </w:r>
      <w:proofErr w:type="spellEnd"/>
      <w:r>
        <w:t xml:space="preserve"> staff have the </w:t>
      </w:r>
      <w:r w:rsidR="008842C6">
        <w:t>c</w:t>
      </w:r>
      <w:r w:rsidR="0073414E">
        <w:t>ertificate</w:t>
      </w:r>
      <w:r>
        <w:t xml:space="preserve"> III and are working towards the Certificate IV in Disability.</w:t>
      </w:r>
      <w:r w:rsidR="00F107E1" w:rsidRPr="00F107E1">
        <w:t xml:space="preserve"> </w:t>
      </w:r>
      <w:r>
        <w:t xml:space="preserve">There were </w:t>
      </w:r>
      <w:r w:rsidR="00137D1E">
        <w:t>several</w:t>
      </w:r>
      <w:r>
        <w:t xml:space="preserve"> comments concerning student success a</w:t>
      </w:r>
      <w:r w:rsidR="008842C6">
        <w:t xml:space="preserve">nd </w:t>
      </w:r>
      <w:r w:rsidR="005878C6">
        <w:t xml:space="preserve">the </w:t>
      </w:r>
      <w:r w:rsidR="008842C6">
        <w:t xml:space="preserve">completion of qualifications: </w:t>
      </w:r>
      <w:r>
        <w:t>how the ‘employees are wanting the qualification and are</w:t>
      </w:r>
      <w:r w:rsidR="008842C6">
        <w:t xml:space="preserve"> very proud when they complete’ and</w:t>
      </w:r>
      <w:r>
        <w:t xml:space="preserve"> ‘a couple of the staff who have been working here and have the training and very employable and could be employable anywhere out of the APY Lands’.</w:t>
      </w:r>
    </w:p>
    <w:p w14:paraId="01BE1851" w14:textId="77777777" w:rsidR="004E166C" w:rsidRDefault="004E166C" w:rsidP="00FC48FE">
      <w:pPr>
        <w:pStyle w:val="Heading3"/>
      </w:pPr>
      <w:r>
        <w:t>Lecturer and what makes the program work</w:t>
      </w:r>
    </w:p>
    <w:p w14:paraId="01BE1852" w14:textId="77777777" w:rsidR="004E166C" w:rsidRDefault="004E166C" w:rsidP="004E166C">
      <w:pPr>
        <w:pStyle w:val="Text"/>
      </w:pPr>
      <w:r>
        <w:t>The principal lecturer has spent her career living in remote locations and in Aboriginal communities</w:t>
      </w:r>
      <w:r w:rsidR="005878C6">
        <w:t>,</w:t>
      </w:r>
      <w:r>
        <w:t xml:space="preserve"> and her practice draws on this experience and knowledge.</w:t>
      </w:r>
      <w:r w:rsidR="00F107E1" w:rsidRPr="00F107E1">
        <w:t xml:space="preserve"> </w:t>
      </w:r>
      <w:r>
        <w:t>She took on the role in 2009 and over the years the program has evolved in conjunction with the employers and the students.</w:t>
      </w:r>
      <w:r w:rsidR="00F107E1" w:rsidRPr="00F107E1">
        <w:t xml:space="preserve"> </w:t>
      </w:r>
      <w:r>
        <w:t>In the interview she talked about delivery and the importance of relevance.</w:t>
      </w:r>
      <w:r w:rsidR="00F107E1" w:rsidRPr="00F107E1">
        <w:t xml:space="preserve"> </w:t>
      </w:r>
    </w:p>
    <w:p w14:paraId="01BE1853" w14:textId="77777777" w:rsidR="004E166C" w:rsidRDefault="004E166C" w:rsidP="00FC48FE">
      <w:pPr>
        <w:pStyle w:val="Quote"/>
      </w:pPr>
      <w:r>
        <w:t>I talk to the workplace about what their needs are so that I can address those needs while we’re training … like when we are doing care plans … we can actually go through the plans in the work</w:t>
      </w:r>
      <w:r w:rsidR="008842C6">
        <w:t>place so that everything I focused</w:t>
      </w:r>
      <w:r>
        <w:t xml:space="preserve"> on is linked to their workplace.</w:t>
      </w:r>
      <w:r w:rsidR="00F107E1" w:rsidRPr="00F107E1">
        <w:t xml:space="preserve"> </w:t>
      </w:r>
      <w:r>
        <w:t xml:space="preserve">Its accredited training and we can actually look at what the workplace is doing and put it </w:t>
      </w:r>
      <w:r w:rsidR="008842C6">
        <w:t>into practice as we’re doing it</w:t>
      </w:r>
      <w:r>
        <w:t>.</w:t>
      </w:r>
      <w:r w:rsidR="00F107E1" w:rsidRPr="00F107E1">
        <w:t xml:space="preserve"> </w:t>
      </w:r>
      <w:r>
        <w:t>Changes to wo</w:t>
      </w:r>
      <w:r w:rsidR="008842C6">
        <w:t>rkplace practice have resulted in the workplaces changing</w:t>
      </w:r>
      <w:r>
        <w:t xml:space="preserve"> their ways of doing things because we actually have a discussion around it.</w:t>
      </w:r>
      <w:r w:rsidR="00F107E1" w:rsidRPr="00F107E1">
        <w:t xml:space="preserve"> </w:t>
      </w:r>
      <w:r>
        <w:t>The students can actually see why we’re doing it.</w:t>
      </w:r>
      <w:r w:rsidR="00F107E1" w:rsidRPr="00F107E1">
        <w:t xml:space="preserve"> </w:t>
      </w:r>
      <w:r>
        <w:t>They get the theory behind the practical.</w:t>
      </w:r>
    </w:p>
    <w:p w14:paraId="01BE1854" w14:textId="77777777" w:rsidR="004E166C" w:rsidRDefault="004E166C" w:rsidP="004E166C">
      <w:pPr>
        <w:pStyle w:val="Text"/>
      </w:pPr>
      <w:r>
        <w:t>She works closely with industry and responds to their training needs and</w:t>
      </w:r>
      <w:r w:rsidR="008842C6">
        <w:t>,</w:t>
      </w:r>
      <w:r>
        <w:t xml:space="preserve"> in addition</w:t>
      </w:r>
      <w:r w:rsidR="008842C6">
        <w:t>,</w:t>
      </w:r>
      <w:r>
        <w:t xml:space="preserve"> she explains ‘to industry what training you’re actually doing and why, and asks them how they do it in the workplace’. Gaining the information from the workplace and incorporating this into the training program supports the students as learners and employees.</w:t>
      </w:r>
      <w:r w:rsidR="00F107E1" w:rsidRPr="00F107E1">
        <w:t xml:space="preserve"> </w:t>
      </w:r>
      <w:r>
        <w:t>For the lecturer</w:t>
      </w:r>
      <w:r w:rsidR="008842C6">
        <w:t>,</w:t>
      </w:r>
      <w:r>
        <w:t xml:space="preserve"> ‘the measures</w:t>
      </w:r>
      <w:r w:rsidR="005878C6">
        <w:t xml:space="preserve"> of success are students </w:t>
      </w:r>
      <w:r>
        <w:t xml:space="preserve">accessing </w:t>
      </w:r>
      <w:r w:rsidR="00137D1E">
        <w:t>Moodle</w:t>
      </w:r>
      <w:r>
        <w:t xml:space="preserve"> on their own as independent learners, students moving onto higher level qualifications, retention and staying in the industry area</w:t>
      </w:r>
      <w:r w:rsidR="008842C6">
        <w:t>’.</w:t>
      </w:r>
    </w:p>
    <w:p w14:paraId="01BE1855" w14:textId="77777777" w:rsidR="004E166C" w:rsidRPr="008842C6" w:rsidRDefault="004E166C" w:rsidP="008842C6">
      <w:pPr>
        <w:pStyle w:val="Text"/>
        <w:rPr>
          <w:szCs w:val="19"/>
        </w:rPr>
      </w:pPr>
      <w:r>
        <w:t xml:space="preserve">Managing the </w:t>
      </w:r>
      <w:r w:rsidR="00137D1E">
        <w:t>coordination</w:t>
      </w:r>
      <w:r>
        <w:t xml:space="preserve"> </w:t>
      </w:r>
      <w:r w:rsidR="005878C6">
        <w:t>of the delivery of the</w:t>
      </w:r>
      <w:r>
        <w:t xml:space="preserve"> training program is challenging</w:t>
      </w:r>
      <w:r w:rsidR="005878C6">
        <w:t>,</w:t>
      </w:r>
      <w:r>
        <w:t xml:space="preserve"> as there is ‘lots of travel’.</w:t>
      </w:r>
      <w:r w:rsidR="00F107E1" w:rsidRPr="00F107E1">
        <w:t xml:space="preserve"> </w:t>
      </w:r>
      <w:r>
        <w:t>At times ‘combining students from one community with another will work, but is dependent upon understanding which community teams will travel’.</w:t>
      </w:r>
      <w:r w:rsidR="00F107E1" w:rsidRPr="00F107E1">
        <w:t xml:space="preserve"> </w:t>
      </w:r>
      <w:r w:rsidR="00137D1E">
        <w:t>However,</w:t>
      </w:r>
      <w:r>
        <w:t xml:space="preserve"> for most of the training</w:t>
      </w:r>
      <w:r w:rsidR="005878C6">
        <w:t>,</w:t>
      </w:r>
      <w:r>
        <w:t xml:space="preserve"> combining work teams is not possible as there is a need to </w:t>
      </w:r>
      <w:r w:rsidR="00137D1E">
        <w:t>consider</w:t>
      </w:r>
      <w:r>
        <w:t xml:space="preserve"> the workplace</w:t>
      </w:r>
      <w:r w:rsidR="00560D1B">
        <w:t>,</w:t>
      </w:r>
      <w:r>
        <w:t xml:space="preserve"> as the</w:t>
      </w:r>
      <w:r w:rsidR="008842C6">
        <w:t xml:space="preserve"> ‘</w:t>
      </w:r>
      <w:r w:rsidRPr="008842C6">
        <w:rPr>
          <w:rStyle w:val="QuoteChar"/>
          <w:sz w:val="19"/>
          <w:szCs w:val="19"/>
        </w:rPr>
        <w:t xml:space="preserve">students still need to look after the aged’. There was the mention of being ‘organised and keeping records as vital for being flexible and knowing exactly what a student covered </w:t>
      </w:r>
      <w:r w:rsidR="008842C6">
        <w:rPr>
          <w:rStyle w:val="QuoteChar"/>
          <w:sz w:val="19"/>
          <w:szCs w:val="19"/>
        </w:rPr>
        <w:t>in class and what they achieved’.</w:t>
      </w:r>
    </w:p>
    <w:p w14:paraId="01BE1856" w14:textId="77777777" w:rsidR="004E166C" w:rsidRDefault="004E166C" w:rsidP="00FC48FE">
      <w:pPr>
        <w:pStyle w:val="Heading3"/>
      </w:pPr>
      <w:r>
        <w:t>Summary of the success factors</w:t>
      </w:r>
    </w:p>
    <w:p w14:paraId="01BE1857" w14:textId="77777777" w:rsidR="004E166C" w:rsidRDefault="004E166C" w:rsidP="004E166C">
      <w:pPr>
        <w:pStyle w:val="Text"/>
      </w:pPr>
      <w:r>
        <w:t>Training provides the employer and employees with a strategy to meet industry requirements and</w:t>
      </w:r>
      <w:r w:rsidR="00560D1B">
        <w:t>,</w:t>
      </w:r>
      <w:r>
        <w:t xml:space="preserve"> over time</w:t>
      </w:r>
      <w:r w:rsidR="00560D1B">
        <w:t>,</w:t>
      </w:r>
      <w:r>
        <w:t xml:space="preserve"> qualifications are completed.</w:t>
      </w:r>
      <w:r w:rsidR="00F107E1" w:rsidRPr="00F107E1">
        <w:t xml:space="preserve"> </w:t>
      </w:r>
      <w:r>
        <w:t>The importance of workplace health and safety training</w:t>
      </w:r>
      <w:r w:rsidR="008842C6">
        <w:t>,</w:t>
      </w:r>
      <w:r>
        <w:t xml:space="preserve"> and this remembered by all, is a reflection on the emphasis given to industry standards.</w:t>
      </w:r>
      <w:r w:rsidR="00F107E1" w:rsidRPr="00F107E1">
        <w:t xml:space="preserve"> </w:t>
      </w:r>
      <w:r>
        <w:t>There appears to be a shared understanding of why the training</w:t>
      </w:r>
      <w:r w:rsidR="008842C6">
        <w:t xml:space="preserve"> is conducted</w:t>
      </w:r>
      <w:r>
        <w:t>.</w:t>
      </w:r>
    </w:p>
    <w:p w14:paraId="01BE1858" w14:textId="77777777" w:rsidR="004E166C" w:rsidRDefault="004E166C" w:rsidP="004E166C">
      <w:pPr>
        <w:pStyle w:val="Text"/>
      </w:pPr>
      <w:r>
        <w:t xml:space="preserve">The training program and </w:t>
      </w:r>
      <w:r w:rsidR="00560D1B">
        <w:t>methodology are</w:t>
      </w:r>
      <w:r w:rsidR="008842C6">
        <w:t xml:space="preserve"> connected to day-to-</w:t>
      </w:r>
      <w:r>
        <w:t>day operations and all acknowledge how the training is supporting the employees with workplace tasks</w:t>
      </w:r>
      <w:r w:rsidR="00560D1B">
        <w:t>:</w:t>
      </w:r>
      <w:r>
        <w:t xml:space="preserve"> </w:t>
      </w:r>
      <w:r w:rsidRPr="00B460FF">
        <w:t>‘doing TAFE gives people confidence and a sense of achievement’.</w:t>
      </w:r>
      <w:r w:rsidR="00F107E1" w:rsidRPr="00F107E1">
        <w:t xml:space="preserve"> </w:t>
      </w:r>
      <w:r>
        <w:t xml:space="preserve">Increased confidence </w:t>
      </w:r>
      <w:r w:rsidR="00560D1B">
        <w:t>in</w:t>
      </w:r>
      <w:r>
        <w:t xml:space="preserve"> the </w:t>
      </w:r>
      <w:proofErr w:type="spellStart"/>
      <w:r w:rsidR="0053722E" w:rsidRPr="007D669B">
        <w:t>A</w:t>
      </w:r>
      <w:r w:rsidR="0053722E" w:rsidRPr="007D669B">
        <w:rPr>
          <w:u w:val="single"/>
        </w:rPr>
        <w:t>n</w:t>
      </w:r>
      <w:r w:rsidR="0053722E" w:rsidRPr="007D669B">
        <w:t>angu</w:t>
      </w:r>
      <w:proofErr w:type="spellEnd"/>
      <w:r>
        <w:t xml:space="preserve"> employees was highlighted and </w:t>
      </w:r>
      <w:r w:rsidR="00217B4E">
        <w:t>in addition</w:t>
      </w:r>
      <w:r>
        <w:t xml:space="preserve"> there were examples provided on how the </w:t>
      </w:r>
      <w:r w:rsidR="00217B4E">
        <w:t>‘</w:t>
      </w:r>
      <w:proofErr w:type="spellStart"/>
      <w:r w:rsidR="0053722E" w:rsidRPr="007D669B">
        <w:t>A</w:t>
      </w:r>
      <w:r w:rsidR="0053722E" w:rsidRPr="007D669B">
        <w:rPr>
          <w:u w:val="single"/>
        </w:rPr>
        <w:t>n</w:t>
      </w:r>
      <w:r w:rsidR="0053722E" w:rsidRPr="007D669B">
        <w:t>angu</w:t>
      </w:r>
      <w:proofErr w:type="spellEnd"/>
      <w:r>
        <w:t xml:space="preserve"> employees make a difference to their community and the provision of services’.</w:t>
      </w:r>
    </w:p>
    <w:p w14:paraId="01BE1859" w14:textId="77777777" w:rsidR="004E166C" w:rsidRDefault="00137D1E" w:rsidP="004E166C">
      <w:pPr>
        <w:pStyle w:val="Text"/>
      </w:pPr>
      <w:r>
        <w:t>Employers supported employees and paid for a</w:t>
      </w:r>
      <w:r w:rsidR="004E166C">
        <w:t>ttendance at training.</w:t>
      </w:r>
      <w:r w:rsidR="00F107E1" w:rsidRPr="00F107E1">
        <w:t xml:space="preserve"> </w:t>
      </w:r>
      <w:r w:rsidR="004E166C">
        <w:t xml:space="preserve">Other support provided by the workplace included celebrating the completion of a qualification, and the verbal compliments provided by management </w:t>
      </w:r>
      <w:r w:rsidR="00217B4E">
        <w:t xml:space="preserve">for </w:t>
      </w:r>
      <w:r w:rsidR="004E166C">
        <w:t>work done.</w:t>
      </w:r>
      <w:r w:rsidR="00F107E1" w:rsidRPr="00F107E1">
        <w:t xml:space="preserve"> </w:t>
      </w:r>
      <w:r w:rsidR="004E166C">
        <w:t xml:space="preserve">Retention of </w:t>
      </w:r>
      <w:proofErr w:type="spellStart"/>
      <w:r w:rsidR="0053722E" w:rsidRPr="002366B4">
        <w:t>A</w:t>
      </w:r>
      <w:r w:rsidR="0053722E" w:rsidRPr="002366B4">
        <w:rPr>
          <w:u w:val="single"/>
        </w:rPr>
        <w:t>n</w:t>
      </w:r>
      <w:r w:rsidR="0053722E" w:rsidRPr="002366B4">
        <w:t>angu</w:t>
      </w:r>
      <w:proofErr w:type="spellEnd"/>
      <w:r w:rsidR="004E166C">
        <w:t xml:space="preserve"> employees was referred to</w:t>
      </w:r>
      <w:r w:rsidR="00217B4E">
        <w:t>,</w:t>
      </w:r>
      <w:r w:rsidR="004E166C">
        <w:t xml:space="preserve"> with training viewed as a contributing factor.</w:t>
      </w:r>
    </w:p>
    <w:p w14:paraId="01BE185A" w14:textId="77777777" w:rsidR="004E166C" w:rsidRDefault="00137D1E" w:rsidP="004E166C">
      <w:pPr>
        <w:pStyle w:val="Text"/>
      </w:pPr>
      <w:r>
        <w:t>Students and employers mentioned lecturer</w:t>
      </w:r>
      <w:r w:rsidR="004E166C">
        <w:t>s</w:t>
      </w:r>
      <w:r>
        <w:t>’</w:t>
      </w:r>
      <w:r w:rsidR="004E166C">
        <w:t xml:space="preserve"> flexibility and responsiveness to the workplace and individual learners</w:t>
      </w:r>
      <w:r>
        <w:t>.</w:t>
      </w:r>
      <w:r w:rsidR="00F107E1" w:rsidRPr="00F107E1">
        <w:t xml:space="preserve"> </w:t>
      </w:r>
      <w:r w:rsidR="004E166C">
        <w:t>The ability of the lecturer cannot be underestimated.</w:t>
      </w:r>
    </w:p>
    <w:p w14:paraId="01BE185B" w14:textId="77777777" w:rsidR="00FC48FE" w:rsidRDefault="00FC48FE">
      <w:pPr>
        <w:spacing w:before="0" w:line="240" w:lineRule="auto"/>
        <w:rPr>
          <w:rFonts w:ascii="Arial" w:hAnsi="Arial" w:cs="Tahoma"/>
          <w:color w:val="000000"/>
          <w:sz w:val="24"/>
        </w:rPr>
      </w:pPr>
    </w:p>
    <w:p w14:paraId="01BE185C" w14:textId="77777777" w:rsidR="004E166C" w:rsidRDefault="004E166C" w:rsidP="00FC48FE">
      <w:pPr>
        <w:pStyle w:val="Heading3"/>
      </w:pPr>
      <w:r>
        <w:t>Conclusion</w:t>
      </w:r>
    </w:p>
    <w:p w14:paraId="01BE185D" w14:textId="77777777" w:rsidR="004E166C" w:rsidRDefault="004E166C" w:rsidP="004E166C">
      <w:pPr>
        <w:pStyle w:val="Text"/>
      </w:pPr>
      <w:r>
        <w:t xml:space="preserve">The importance of qualifications and accredited training for those engaged in aged and home and community care provide a barrier to employment for </w:t>
      </w:r>
      <w:proofErr w:type="spellStart"/>
      <w:r w:rsidR="0053722E" w:rsidRPr="002366B4">
        <w:t>A</w:t>
      </w:r>
      <w:r w:rsidR="0053722E" w:rsidRPr="002366B4">
        <w:rPr>
          <w:u w:val="single"/>
        </w:rPr>
        <w:t>n</w:t>
      </w:r>
      <w:r w:rsidR="0053722E" w:rsidRPr="002366B4">
        <w:t>angu</w:t>
      </w:r>
      <w:proofErr w:type="spellEnd"/>
      <w:r>
        <w:t>.</w:t>
      </w:r>
      <w:r w:rsidR="00F107E1" w:rsidRPr="00F107E1">
        <w:t xml:space="preserve"> </w:t>
      </w:r>
      <w:r>
        <w:t xml:space="preserve">On the other </w:t>
      </w:r>
      <w:r w:rsidR="00137D1E">
        <w:t>hand,</w:t>
      </w:r>
      <w:r>
        <w:t xml:space="preserve"> to provide a culturally appropriate service there is a need to employ </w:t>
      </w:r>
      <w:proofErr w:type="spellStart"/>
      <w:r w:rsidR="0053722E" w:rsidRPr="002366B4">
        <w:t>A</w:t>
      </w:r>
      <w:r w:rsidR="0053722E" w:rsidRPr="002366B4">
        <w:rPr>
          <w:u w:val="single"/>
        </w:rPr>
        <w:t>n</w:t>
      </w:r>
      <w:r w:rsidR="0053722E" w:rsidRPr="002366B4">
        <w:t>angu</w:t>
      </w:r>
      <w:proofErr w:type="spellEnd"/>
      <w:r>
        <w:t>.</w:t>
      </w:r>
      <w:r w:rsidR="00F107E1" w:rsidRPr="00F107E1">
        <w:t xml:space="preserve"> </w:t>
      </w:r>
      <w:r>
        <w:t>The delivery of training over time supports both the employer in meeting requirements and the employee in being able to take on increased responsibilities with the knowledge and skills to perform tasks.</w:t>
      </w:r>
    </w:p>
    <w:p w14:paraId="01BE185E" w14:textId="77777777" w:rsidR="004E166C" w:rsidRDefault="004E166C" w:rsidP="004E166C">
      <w:pPr>
        <w:pStyle w:val="Text"/>
      </w:pPr>
      <w:r>
        <w:t>Success factors identified in this case study illustrate the different perspectives on the value of training and</w:t>
      </w:r>
      <w:r w:rsidR="00560D1B">
        <w:t>,</w:t>
      </w:r>
      <w:r>
        <w:t xml:space="preserve"> </w:t>
      </w:r>
      <w:r w:rsidR="00560D1B">
        <w:t>al</w:t>
      </w:r>
      <w:r>
        <w:t xml:space="preserve">though the </w:t>
      </w:r>
      <w:r w:rsidR="00560D1B">
        <w:t>c</w:t>
      </w:r>
      <w:r w:rsidR="0073414E">
        <w:t>ertificate</w:t>
      </w:r>
      <w:r>
        <w:t xml:space="preserve"> III is recognised and valued</w:t>
      </w:r>
      <w:r w:rsidR="00560D1B">
        <w:t>,</w:t>
      </w:r>
      <w:r>
        <w:t xml:space="preserve"> there are more factors at play.</w:t>
      </w:r>
    </w:p>
    <w:p w14:paraId="01BE185F" w14:textId="77777777" w:rsidR="0059747E" w:rsidRDefault="0059747E" w:rsidP="004E166C">
      <w:pPr>
        <w:pStyle w:val="Text"/>
        <w:sectPr w:rsidR="0059747E" w:rsidSect="009775C7">
          <w:pgSz w:w="11907" w:h="16840" w:code="9"/>
          <w:pgMar w:top="1276" w:right="1701" w:bottom="1276" w:left="1418" w:header="709" w:footer="556" w:gutter="0"/>
          <w:cols w:space="708" w:equalWidth="0">
            <w:col w:w="8788"/>
          </w:cols>
          <w:docGrid w:linePitch="360"/>
        </w:sectPr>
      </w:pPr>
    </w:p>
    <w:p w14:paraId="232564C0" w14:textId="77777777" w:rsidR="00A961ED" w:rsidRDefault="00B40F74" w:rsidP="0059747E">
      <w:pPr>
        <w:pStyle w:val="Heading1"/>
      </w:pPr>
      <w:bookmarkStart w:id="27" w:name="_Toc480296491"/>
      <w:r>
        <w:t>Case s</w:t>
      </w:r>
      <w:r w:rsidR="00FC48FE">
        <w:t>tudy two</w:t>
      </w:r>
    </w:p>
    <w:p w14:paraId="01BE1860" w14:textId="6C96DD7C" w:rsidR="0059747E" w:rsidRDefault="0059747E" w:rsidP="0059747E">
      <w:pPr>
        <w:pStyle w:val="Heading1"/>
      </w:pPr>
      <w:r w:rsidRPr="00FC48FE">
        <w:rPr>
          <w:rStyle w:val="Heading2Char"/>
        </w:rPr>
        <w:t xml:space="preserve">Aboriginal and Torres Strait Islander </w:t>
      </w:r>
      <w:r w:rsidR="00217B4E" w:rsidRPr="00FC48FE">
        <w:rPr>
          <w:rStyle w:val="Heading2Char"/>
        </w:rPr>
        <w:t xml:space="preserve">health practitioner training </w:t>
      </w:r>
      <w:r w:rsidRPr="00FC48FE">
        <w:rPr>
          <w:rStyle w:val="Heading2Char"/>
        </w:rPr>
        <w:t>at Batchelor Institute</w:t>
      </w:r>
      <w:bookmarkEnd w:id="27"/>
    </w:p>
    <w:p w14:paraId="01BE1861" w14:textId="77777777" w:rsidR="00552451" w:rsidRPr="005C2FCF" w:rsidRDefault="00552451" w:rsidP="00FC48FE">
      <w:pPr>
        <w:pStyle w:val="Heading3"/>
      </w:pPr>
      <w:bookmarkStart w:id="28" w:name="_Toc476240900"/>
      <w:r w:rsidRPr="00E5081C">
        <w:t>Introduction</w:t>
      </w:r>
      <w:bookmarkEnd w:id="28"/>
    </w:p>
    <w:p w14:paraId="01BE1862" w14:textId="77777777" w:rsidR="00552451" w:rsidRDefault="00552451" w:rsidP="00552451">
      <w:pPr>
        <w:pStyle w:val="Text"/>
        <w:rPr>
          <w:rStyle w:val="fn"/>
          <w:rFonts w:cs="Helvetica"/>
          <w:bCs/>
        </w:rPr>
      </w:pPr>
      <w:bookmarkStart w:id="29" w:name="_Toc188077642"/>
      <w:r>
        <w:t xml:space="preserve">The role played by the registered Aboriginal and Torres Strait Islander </w:t>
      </w:r>
      <w:r w:rsidR="00217B4E">
        <w:t xml:space="preserve">health practitioners </w:t>
      </w:r>
      <w:r>
        <w:t xml:space="preserve">is integral to the Australian health workforce and profession </w:t>
      </w:r>
      <w:r>
        <w:rPr>
          <w:noProof/>
        </w:rPr>
        <w:t>(Anderson 2011)</w:t>
      </w:r>
      <w:r>
        <w:t xml:space="preserve">. As key health practitioners in both </w:t>
      </w:r>
      <w:r w:rsidRPr="00EC68D7">
        <w:t xml:space="preserve">remote </w:t>
      </w:r>
      <w:r>
        <w:t xml:space="preserve">and urban contexts, these professionals provide </w:t>
      </w:r>
      <w:r w:rsidR="00217B4E">
        <w:t xml:space="preserve">both </w:t>
      </w:r>
      <w:r>
        <w:t>stability in a workforce that experiences constant turnover and a bridg</w:t>
      </w:r>
      <w:r w:rsidR="00217B4E">
        <w:t>e between health care practices,</w:t>
      </w:r>
      <w:r>
        <w:t xml:space="preserve"> as well as between languages and cultures and between community and non-local staff.</w:t>
      </w:r>
      <w:r>
        <w:rPr>
          <w:rStyle w:val="fn"/>
          <w:rFonts w:cs="Helvetica"/>
          <w:bCs/>
        </w:rPr>
        <w:t xml:space="preserve"> The Aboriginal and Torres Strait Islander Primary Health Care (ATSIPHC) program is also a significant pipeline into the </w:t>
      </w:r>
      <w:r w:rsidR="00217B4E">
        <w:rPr>
          <w:rStyle w:val="fn"/>
          <w:rFonts w:cs="Helvetica"/>
          <w:bCs/>
        </w:rPr>
        <w:t xml:space="preserve">health profession </w:t>
      </w:r>
      <w:r>
        <w:rPr>
          <w:rStyle w:val="fn"/>
          <w:rFonts w:cs="Helvetica"/>
          <w:bCs/>
        </w:rPr>
        <w:t xml:space="preserve">and one that has been identified for further investment and recognition </w:t>
      </w:r>
      <w:r>
        <w:rPr>
          <w:rStyle w:val="fn"/>
          <w:rFonts w:cs="Helvetica"/>
          <w:bCs/>
          <w:noProof/>
        </w:rPr>
        <w:t>(Australi</w:t>
      </w:r>
      <w:r w:rsidR="00217B4E">
        <w:rPr>
          <w:rStyle w:val="fn"/>
          <w:rFonts w:cs="Helvetica"/>
          <w:bCs/>
          <w:noProof/>
        </w:rPr>
        <w:t>an Productivity Commission 2005;</w:t>
      </w:r>
      <w:r>
        <w:rPr>
          <w:rStyle w:val="fn"/>
          <w:rFonts w:cs="Helvetica"/>
          <w:bCs/>
          <w:noProof/>
        </w:rPr>
        <w:t xml:space="preserve"> Anderson 2011)</w:t>
      </w:r>
      <w:r>
        <w:rPr>
          <w:rStyle w:val="fn"/>
          <w:rFonts w:cs="Helvetica"/>
          <w:bCs/>
        </w:rPr>
        <w:t>.</w:t>
      </w:r>
    </w:p>
    <w:p w14:paraId="01BE1863" w14:textId="77777777" w:rsidR="00552451" w:rsidRDefault="00552451" w:rsidP="00552451">
      <w:pPr>
        <w:pStyle w:val="Text"/>
        <w:rPr>
          <w:rFonts w:cs="Arial"/>
        </w:rPr>
      </w:pPr>
      <w:r>
        <w:rPr>
          <w:rFonts w:cs="Arial"/>
        </w:rPr>
        <w:t xml:space="preserve">Batchelor Institute has been delivering training to health workers in the NT for </w:t>
      </w:r>
      <w:r w:rsidR="00560D1B">
        <w:rPr>
          <w:rFonts w:cs="Arial"/>
        </w:rPr>
        <w:t>16</w:t>
      </w:r>
      <w:r>
        <w:rPr>
          <w:rFonts w:cs="Arial"/>
        </w:rPr>
        <w:t xml:space="preserve"> years and has trained many of the health workers </w:t>
      </w:r>
      <w:r w:rsidR="00560D1B">
        <w:rPr>
          <w:rFonts w:cs="Arial"/>
        </w:rPr>
        <w:t xml:space="preserve">currently registered </w:t>
      </w:r>
      <w:r>
        <w:rPr>
          <w:rFonts w:cs="Arial"/>
        </w:rPr>
        <w:t>in the NT.</w:t>
      </w:r>
      <w:r w:rsidR="00F107E1" w:rsidRPr="00F107E1">
        <w:rPr>
          <w:rFonts w:cs="Arial"/>
        </w:rPr>
        <w:t xml:space="preserve"> </w:t>
      </w:r>
      <w:r w:rsidR="00137D1E">
        <w:t>To</w:t>
      </w:r>
      <w:r>
        <w:t xml:space="preserve"> complete the Certificate IV </w:t>
      </w:r>
      <w:r w:rsidR="00217B4E">
        <w:rPr>
          <w:rStyle w:val="fn"/>
          <w:rFonts w:cs="Helvetica"/>
          <w:bCs/>
        </w:rPr>
        <w:t>Aboriginal and Torres Strait Islander Primary Health Care</w:t>
      </w:r>
      <w:r>
        <w:t xml:space="preserve"> qualification, students must complete </w:t>
      </w:r>
      <w:r w:rsidR="00217B4E">
        <w:t>21</w:t>
      </w:r>
      <w:r>
        <w:t xml:space="preserve"> separate units of competency</w:t>
      </w:r>
      <w:r w:rsidR="00217B4E">
        <w:t>,</w:t>
      </w:r>
      <w:r>
        <w:t xml:space="preserve"> of which </w:t>
      </w:r>
      <w:r w:rsidR="00217B4E">
        <w:t>14</w:t>
      </w:r>
      <w:r>
        <w:t xml:space="preserve"> are core and seven are electives. Further to this is the requirement from the Australian Health Practitioner Regulation Agency (AHPRA) around clinical placement hours. </w:t>
      </w:r>
      <w:r>
        <w:rPr>
          <w:rFonts w:cs="Arial"/>
        </w:rPr>
        <w:t xml:space="preserve">Students enrol full-time in the course, which is delivered through a mixed-mode approach with </w:t>
      </w:r>
      <w:r w:rsidR="00217B4E">
        <w:rPr>
          <w:rFonts w:cs="Arial"/>
        </w:rPr>
        <w:t xml:space="preserve">eight two-week residential blocks per </w:t>
      </w:r>
      <w:r>
        <w:rPr>
          <w:rFonts w:cs="Arial"/>
        </w:rPr>
        <w:t xml:space="preserve">year with work placements </w:t>
      </w:r>
      <w:r w:rsidR="00560D1B">
        <w:rPr>
          <w:rFonts w:cs="Arial"/>
        </w:rPr>
        <w:t>occurring</w:t>
      </w:r>
      <w:r>
        <w:rPr>
          <w:rFonts w:cs="Arial"/>
        </w:rPr>
        <w:t xml:space="preserve"> between blocks. </w:t>
      </w:r>
    </w:p>
    <w:p w14:paraId="01BE1864" w14:textId="77777777" w:rsidR="00552451" w:rsidRDefault="00552451" w:rsidP="00552451">
      <w:pPr>
        <w:pStyle w:val="Text"/>
        <w:rPr>
          <w:rFonts w:cs="Arial"/>
        </w:rPr>
      </w:pPr>
      <w:r w:rsidRPr="00B24B11">
        <w:rPr>
          <w:rFonts w:cs="Arial"/>
        </w:rPr>
        <w:t>This course</w:t>
      </w:r>
      <w:r>
        <w:rPr>
          <w:rFonts w:cs="Arial"/>
        </w:rPr>
        <w:t xml:space="preserve"> is one of high importance </w:t>
      </w:r>
      <w:r w:rsidR="00217B4E">
        <w:rPr>
          <w:rFonts w:cs="Arial"/>
        </w:rPr>
        <w:t>and</w:t>
      </w:r>
      <w:r w:rsidRPr="00B24B11">
        <w:rPr>
          <w:rFonts w:cs="Arial"/>
        </w:rPr>
        <w:t xml:space="preserve"> has high enrolment numbers</w:t>
      </w:r>
      <w:r>
        <w:rPr>
          <w:rFonts w:cs="Arial"/>
        </w:rPr>
        <w:t>; however, completion rates are below the national average</w:t>
      </w:r>
      <w:r w:rsidRPr="00B24B11">
        <w:rPr>
          <w:rFonts w:cs="Arial"/>
        </w:rPr>
        <w:t xml:space="preserve">. </w:t>
      </w:r>
      <w:r w:rsidR="00137D1E">
        <w:rPr>
          <w:rFonts w:cs="Arial"/>
        </w:rPr>
        <w:t>In contrast</w:t>
      </w:r>
      <w:r w:rsidRPr="00B24B11">
        <w:rPr>
          <w:rFonts w:cs="Arial"/>
        </w:rPr>
        <w:t>, this program is</w:t>
      </w:r>
      <w:r w:rsidR="00217B4E">
        <w:rPr>
          <w:rFonts w:cs="Arial"/>
        </w:rPr>
        <w:t xml:space="preserve"> seen as successful within the i</w:t>
      </w:r>
      <w:r w:rsidRPr="00B24B11">
        <w:rPr>
          <w:rFonts w:cs="Arial"/>
        </w:rPr>
        <w:t xml:space="preserve">nstitute and with students and key stakeholders. </w:t>
      </w:r>
      <w:r>
        <w:rPr>
          <w:rFonts w:cs="Arial"/>
        </w:rPr>
        <w:t xml:space="preserve">This seeming contradiction provides an interesting tension and facilitated an interrogation of the concept of </w:t>
      </w:r>
      <w:r w:rsidRPr="00B24B11">
        <w:rPr>
          <w:rFonts w:cs="Arial"/>
        </w:rPr>
        <w:t xml:space="preserve">‘success’ </w:t>
      </w:r>
      <w:r>
        <w:rPr>
          <w:rFonts w:cs="Arial"/>
        </w:rPr>
        <w:t>in a training program that has a professional registration as an outcome</w:t>
      </w:r>
      <w:r w:rsidRPr="00B24B11">
        <w:rPr>
          <w:rFonts w:cs="Arial"/>
        </w:rPr>
        <w:t>.</w:t>
      </w:r>
    </w:p>
    <w:p w14:paraId="01BE1865" w14:textId="77777777" w:rsidR="00552451" w:rsidRDefault="00552451" w:rsidP="00FC48FE">
      <w:pPr>
        <w:pStyle w:val="Heading3"/>
      </w:pPr>
      <w:bookmarkStart w:id="30" w:name="_Toc476240901"/>
      <w:r>
        <w:t>Differing perspectives on the program</w:t>
      </w:r>
      <w:bookmarkEnd w:id="30"/>
    </w:p>
    <w:p w14:paraId="01BE1866" w14:textId="77777777" w:rsidR="00552451" w:rsidRDefault="00137D1E" w:rsidP="00552451">
      <w:pPr>
        <w:pStyle w:val="Text"/>
      </w:pPr>
      <w:r>
        <w:t>To</w:t>
      </w:r>
      <w:r w:rsidR="00552451">
        <w:t xml:space="preserve"> el</w:t>
      </w:r>
      <w:r w:rsidR="00560D1B">
        <w:t xml:space="preserve">icit different perspectives on </w:t>
      </w:r>
      <w:r w:rsidR="00552451">
        <w:t>su</w:t>
      </w:r>
      <w:r w:rsidR="00560D1B">
        <w:t>ccess</w:t>
      </w:r>
      <w:r w:rsidR="00217B4E">
        <w:t xml:space="preserve"> in this program, data were</w:t>
      </w:r>
      <w:r w:rsidR="00552451">
        <w:t xml:space="preserve"> sourced from both retention and completion rates, as well as through interviews with students, trainers and one key employing </w:t>
      </w:r>
      <w:r w:rsidR="00217B4E">
        <w:t>agency. These</w:t>
      </w:r>
      <w:r w:rsidR="00552451">
        <w:t xml:space="preserve"> data </w:t>
      </w:r>
      <w:r w:rsidR="00217B4E">
        <w:t>are</w:t>
      </w:r>
      <w:r w:rsidR="00552451">
        <w:t xml:space="preserve"> presented below, along with a discussion of what th</w:t>
      </w:r>
      <w:r w:rsidR="00217B4E">
        <w:t>e</w:t>
      </w:r>
      <w:r w:rsidR="00552451">
        <w:t xml:space="preserve"> data </w:t>
      </w:r>
      <w:r w:rsidR="00217B4E">
        <w:t>indicated</w:t>
      </w:r>
      <w:r w:rsidR="00552451">
        <w:t>.</w:t>
      </w:r>
    </w:p>
    <w:p w14:paraId="01BE1867" w14:textId="77777777" w:rsidR="00552451" w:rsidRDefault="00552451" w:rsidP="00FC48FE">
      <w:pPr>
        <w:pStyle w:val="Heading4"/>
      </w:pPr>
      <w:bookmarkStart w:id="31" w:name="_Toc476240902"/>
      <w:r>
        <w:t xml:space="preserve">Data on </w:t>
      </w:r>
      <w:r w:rsidR="002366B4">
        <w:t>retention and c</w:t>
      </w:r>
      <w:r>
        <w:t>ompletion</w:t>
      </w:r>
      <w:bookmarkEnd w:id="31"/>
    </w:p>
    <w:p w14:paraId="01BE1868" w14:textId="77777777" w:rsidR="00552451" w:rsidRPr="00C8438E" w:rsidRDefault="00552451" w:rsidP="00552451">
      <w:r>
        <w:t xml:space="preserve">The data below, in </w:t>
      </w:r>
      <w:r w:rsidR="006436A1">
        <w:fldChar w:fldCharType="begin"/>
      </w:r>
      <w:r w:rsidR="00894C3D">
        <w:instrText xml:space="preserve"> REF _Ref476300900 \h </w:instrText>
      </w:r>
      <w:r w:rsidR="006436A1">
        <w:fldChar w:fldCharType="separate"/>
      </w:r>
      <w:r w:rsidR="0073414E">
        <w:t xml:space="preserve">Table </w:t>
      </w:r>
      <w:r w:rsidR="0073414E">
        <w:rPr>
          <w:noProof/>
        </w:rPr>
        <w:t>2</w:t>
      </w:r>
      <w:r w:rsidR="006436A1">
        <w:fldChar w:fldCharType="end"/>
      </w:r>
      <w:r>
        <w:t>, w</w:t>
      </w:r>
      <w:r w:rsidR="00217B4E">
        <w:t>ere gathered across years</w:t>
      </w:r>
      <w:r>
        <w:t xml:space="preserve"> and remoteness indicators.</w:t>
      </w:r>
    </w:p>
    <w:p w14:paraId="01BE1869" w14:textId="6FF569AD" w:rsidR="002366B4" w:rsidRDefault="002366B4" w:rsidP="006A3125">
      <w:pPr>
        <w:pStyle w:val="tabletitle"/>
        <w:keepNext/>
      </w:pPr>
      <w:bookmarkStart w:id="32" w:name="_Ref476300900"/>
      <w:bookmarkStart w:id="33" w:name="_Toc476305803"/>
      <w:r>
        <w:t xml:space="preserve">Table </w:t>
      </w:r>
      <w:r w:rsidR="006436A1">
        <w:fldChar w:fldCharType="begin"/>
      </w:r>
      <w:r>
        <w:instrText xml:space="preserve"> SEQ Table \* ARABIC </w:instrText>
      </w:r>
      <w:r w:rsidR="006436A1">
        <w:fldChar w:fldCharType="separate"/>
      </w:r>
      <w:r w:rsidR="0073414E">
        <w:rPr>
          <w:noProof/>
        </w:rPr>
        <w:t>2</w:t>
      </w:r>
      <w:r w:rsidR="006436A1">
        <w:fldChar w:fldCharType="end"/>
      </w:r>
      <w:bookmarkEnd w:id="32"/>
      <w:r w:rsidR="00A961ED">
        <w:tab/>
      </w:r>
      <w:r>
        <w:t xml:space="preserve">Course completions by </w:t>
      </w:r>
      <w:r w:rsidR="00217B4E">
        <w:t>remoteness</w:t>
      </w:r>
      <w:r w:rsidR="00D51E6C">
        <w:t xml:space="preserve"> </w:t>
      </w:r>
      <w:r w:rsidR="00894C3D">
        <w:t>for the Batchelor Aboriginal and Torres Strait Islander Health Practitioner Training program</w:t>
      </w:r>
      <w:bookmarkEnd w:id="33"/>
      <w:r w:rsidR="00217B4E">
        <w:t>, 2009—15</w:t>
      </w:r>
    </w:p>
    <w:tbl>
      <w:tblPr>
        <w:tblW w:w="8902" w:type="dxa"/>
        <w:tblInd w:w="-5" w:type="dxa"/>
        <w:tblLayout w:type="fixed"/>
        <w:tblLook w:val="04A0" w:firstRow="1" w:lastRow="0" w:firstColumn="1" w:lastColumn="0" w:noHBand="0" w:noVBand="1"/>
      </w:tblPr>
      <w:tblGrid>
        <w:gridCol w:w="2098"/>
        <w:gridCol w:w="723"/>
        <w:gridCol w:w="869"/>
        <w:gridCol w:w="868"/>
        <w:gridCol w:w="869"/>
        <w:gridCol w:w="869"/>
        <w:gridCol w:w="868"/>
        <w:gridCol w:w="869"/>
        <w:gridCol w:w="869"/>
      </w:tblGrid>
      <w:tr w:rsidR="00552451" w:rsidRPr="00576997" w14:paraId="01BE1873" w14:textId="77777777" w:rsidTr="00A961ED">
        <w:trPr>
          <w:trHeight w:val="300"/>
        </w:trPr>
        <w:tc>
          <w:tcPr>
            <w:tcW w:w="2098" w:type="dxa"/>
            <w:tcBorders>
              <w:top w:val="single" w:sz="4" w:space="0" w:color="auto"/>
              <w:bottom w:val="single" w:sz="4" w:space="0" w:color="auto"/>
            </w:tcBorders>
            <w:shd w:val="clear" w:color="auto" w:fill="auto"/>
            <w:noWrap/>
            <w:vAlign w:val="bottom"/>
            <w:hideMark/>
          </w:tcPr>
          <w:p w14:paraId="01BE186A" w14:textId="77777777" w:rsidR="00552451" w:rsidRPr="00576997" w:rsidRDefault="00217B4E" w:rsidP="00576997">
            <w:pPr>
              <w:pStyle w:val="Tablehead1"/>
              <w:keepNext/>
              <w:keepLines/>
            </w:pPr>
            <w:r w:rsidRPr="00576997">
              <w:t>Remoteness Indicator</w:t>
            </w:r>
          </w:p>
        </w:tc>
        <w:tc>
          <w:tcPr>
            <w:tcW w:w="723" w:type="dxa"/>
            <w:tcBorders>
              <w:top w:val="single" w:sz="4" w:space="0" w:color="auto"/>
              <w:bottom w:val="single" w:sz="4" w:space="0" w:color="auto"/>
            </w:tcBorders>
            <w:shd w:val="clear" w:color="auto" w:fill="auto"/>
            <w:noWrap/>
            <w:vAlign w:val="bottom"/>
            <w:hideMark/>
          </w:tcPr>
          <w:p w14:paraId="01BE186B" w14:textId="77777777" w:rsidR="00552451" w:rsidRPr="00576997" w:rsidRDefault="00552451" w:rsidP="00A961ED">
            <w:pPr>
              <w:pStyle w:val="Tablehead1"/>
              <w:keepNext/>
              <w:keepLines/>
              <w:jc w:val="center"/>
            </w:pPr>
            <w:r w:rsidRPr="00576997">
              <w:t>2009</w:t>
            </w:r>
          </w:p>
        </w:tc>
        <w:tc>
          <w:tcPr>
            <w:tcW w:w="869" w:type="dxa"/>
            <w:tcBorders>
              <w:top w:val="single" w:sz="4" w:space="0" w:color="auto"/>
              <w:bottom w:val="single" w:sz="4" w:space="0" w:color="auto"/>
            </w:tcBorders>
            <w:shd w:val="clear" w:color="auto" w:fill="auto"/>
            <w:noWrap/>
            <w:vAlign w:val="bottom"/>
            <w:hideMark/>
          </w:tcPr>
          <w:p w14:paraId="01BE186C" w14:textId="77777777" w:rsidR="00552451" w:rsidRPr="00576997" w:rsidRDefault="00552451" w:rsidP="00A961ED">
            <w:pPr>
              <w:pStyle w:val="Tablehead1"/>
              <w:keepNext/>
              <w:keepLines/>
              <w:jc w:val="center"/>
            </w:pPr>
            <w:r w:rsidRPr="00576997">
              <w:t>2010</w:t>
            </w:r>
          </w:p>
        </w:tc>
        <w:tc>
          <w:tcPr>
            <w:tcW w:w="868" w:type="dxa"/>
            <w:tcBorders>
              <w:top w:val="single" w:sz="4" w:space="0" w:color="auto"/>
              <w:bottom w:val="single" w:sz="4" w:space="0" w:color="auto"/>
            </w:tcBorders>
            <w:shd w:val="clear" w:color="auto" w:fill="auto"/>
            <w:noWrap/>
            <w:vAlign w:val="bottom"/>
            <w:hideMark/>
          </w:tcPr>
          <w:p w14:paraId="01BE186D" w14:textId="77777777" w:rsidR="00552451" w:rsidRPr="00576997" w:rsidRDefault="00552451" w:rsidP="00A961ED">
            <w:pPr>
              <w:pStyle w:val="Tablehead1"/>
              <w:keepNext/>
              <w:keepLines/>
              <w:jc w:val="center"/>
            </w:pPr>
            <w:r w:rsidRPr="00576997">
              <w:t>2011</w:t>
            </w:r>
          </w:p>
        </w:tc>
        <w:tc>
          <w:tcPr>
            <w:tcW w:w="869" w:type="dxa"/>
            <w:tcBorders>
              <w:top w:val="single" w:sz="4" w:space="0" w:color="auto"/>
              <w:bottom w:val="single" w:sz="4" w:space="0" w:color="auto"/>
            </w:tcBorders>
            <w:shd w:val="clear" w:color="auto" w:fill="auto"/>
            <w:noWrap/>
            <w:vAlign w:val="bottom"/>
            <w:hideMark/>
          </w:tcPr>
          <w:p w14:paraId="01BE186E" w14:textId="77777777" w:rsidR="00552451" w:rsidRPr="00576997" w:rsidRDefault="00552451" w:rsidP="00A961ED">
            <w:pPr>
              <w:pStyle w:val="Tablehead1"/>
              <w:keepNext/>
              <w:keepLines/>
              <w:jc w:val="center"/>
            </w:pPr>
            <w:r w:rsidRPr="00576997">
              <w:t>2012</w:t>
            </w:r>
          </w:p>
        </w:tc>
        <w:tc>
          <w:tcPr>
            <w:tcW w:w="869" w:type="dxa"/>
            <w:tcBorders>
              <w:top w:val="single" w:sz="4" w:space="0" w:color="auto"/>
              <w:bottom w:val="single" w:sz="4" w:space="0" w:color="auto"/>
            </w:tcBorders>
            <w:shd w:val="clear" w:color="auto" w:fill="auto"/>
            <w:noWrap/>
            <w:vAlign w:val="bottom"/>
            <w:hideMark/>
          </w:tcPr>
          <w:p w14:paraId="01BE186F" w14:textId="77777777" w:rsidR="00552451" w:rsidRPr="00576997" w:rsidRDefault="00552451" w:rsidP="00A961ED">
            <w:pPr>
              <w:pStyle w:val="Tablehead1"/>
              <w:keepNext/>
              <w:keepLines/>
              <w:jc w:val="center"/>
            </w:pPr>
            <w:r w:rsidRPr="00576997">
              <w:t>2013</w:t>
            </w:r>
          </w:p>
        </w:tc>
        <w:tc>
          <w:tcPr>
            <w:tcW w:w="868" w:type="dxa"/>
            <w:tcBorders>
              <w:top w:val="single" w:sz="4" w:space="0" w:color="auto"/>
              <w:bottom w:val="single" w:sz="4" w:space="0" w:color="auto"/>
            </w:tcBorders>
            <w:shd w:val="clear" w:color="auto" w:fill="auto"/>
            <w:noWrap/>
            <w:vAlign w:val="bottom"/>
            <w:hideMark/>
          </w:tcPr>
          <w:p w14:paraId="01BE1870" w14:textId="77777777" w:rsidR="00552451" w:rsidRPr="00576997" w:rsidRDefault="00552451" w:rsidP="00A961ED">
            <w:pPr>
              <w:pStyle w:val="Tablehead1"/>
              <w:keepNext/>
              <w:keepLines/>
              <w:jc w:val="center"/>
            </w:pPr>
            <w:r w:rsidRPr="00576997">
              <w:t>2014</w:t>
            </w:r>
          </w:p>
        </w:tc>
        <w:tc>
          <w:tcPr>
            <w:tcW w:w="869" w:type="dxa"/>
            <w:tcBorders>
              <w:top w:val="single" w:sz="4" w:space="0" w:color="auto"/>
              <w:bottom w:val="single" w:sz="4" w:space="0" w:color="auto"/>
            </w:tcBorders>
            <w:shd w:val="clear" w:color="auto" w:fill="auto"/>
            <w:vAlign w:val="bottom"/>
          </w:tcPr>
          <w:p w14:paraId="01BE1871" w14:textId="77777777" w:rsidR="00552451" w:rsidRPr="00576997" w:rsidRDefault="00552451" w:rsidP="00A961ED">
            <w:pPr>
              <w:pStyle w:val="Tablehead1"/>
              <w:keepNext/>
              <w:keepLines/>
              <w:jc w:val="center"/>
            </w:pPr>
            <w:r w:rsidRPr="00576997">
              <w:t>2015</w:t>
            </w:r>
          </w:p>
        </w:tc>
        <w:tc>
          <w:tcPr>
            <w:tcW w:w="869" w:type="dxa"/>
            <w:tcBorders>
              <w:top w:val="single" w:sz="4" w:space="0" w:color="auto"/>
              <w:bottom w:val="single" w:sz="4" w:space="0" w:color="auto"/>
            </w:tcBorders>
            <w:shd w:val="clear" w:color="auto" w:fill="auto"/>
            <w:noWrap/>
            <w:vAlign w:val="bottom"/>
            <w:hideMark/>
          </w:tcPr>
          <w:p w14:paraId="01BE1872" w14:textId="77777777" w:rsidR="00552451" w:rsidRPr="00576997" w:rsidRDefault="00552451" w:rsidP="00A961ED">
            <w:pPr>
              <w:pStyle w:val="Tablehead1"/>
              <w:keepNext/>
              <w:keepLines/>
              <w:jc w:val="center"/>
            </w:pPr>
            <w:r w:rsidRPr="00576997">
              <w:t>Total</w:t>
            </w:r>
          </w:p>
        </w:tc>
      </w:tr>
      <w:tr w:rsidR="00552451" w14:paraId="01BE187D" w14:textId="77777777" w:rsidTr="00A961ED">
        <w:trPr>
          <w:trHeight w:val="300"/>
        </w:trPr>
        <w:tc>
          <w:tcPr>
            <w:tcW w:w="2098" w:type="dxa"/>
            <w:tcBorders>
              <w:top w:val="single" w:sz="4" w:space="0" w:color="auto"/>
            </w:tcBorders>
            <w:shd w:val="clear" w:color="auto" w:fill="auto"/>
            <w:noWrap/>
            <w:vAlign w:val="bottom"/>
            <w:hideMark/>
          </w:tcPr>
          <w:p w14:paraId="01BE1874" w14:textId="77777777" w:rsidR="00552451" w:rsidRDefault="00217B4E" w:rsidP="00552451">
            <w:pPr>
              <w:pStyle w:val="Tabletext"/>
              <w:keepNext/>
              <w:keepLines/>
              <w:rPr>
                <w:lang w:eastAsia="en-AU"/>
              </w:rPr>
            </w:pPr>
            <w:r>
              <w:rPr>
                <w:lang w:eastAsia="en-AU"/>
              </w:rPr>
              <w:t>Interstate*</w:t>
            </w:r>
          </w:p>
        </w:tc>
        <w:tc>
          <w:tcPr>
            <w:tcW w:w="723" w:type="dxa"/>
            <w:tcBorders>
              <w:top w:val="single" w:sz="4" w:space="0" w:color="auto"/>
            </w:tcBorders>
            <w:shd w:val="clear" w:color="auto" w:fill="auto"/>
            <w:noWrap/>
            <w:vAlign w:val="center"/>
            <w:hideMark/>
          </w:tcPr>
          <w:p w14:paraId="01BE1875" w14:textId="77777777" w:rsidR="00552451" w:rsidRDefault="00552451" w:rsidP="00A961ED">
            <w:pPr>
              <w:pStyle w:val="Tabletext"/>
              <w:keepNext/>
              <w:keepLines/>
              <w:jc w:val="center"/>
              <w:rPr>
                <w:lang w:eastAsia="en-AU"/>
              </w:rPr>
            </w:pPr>
          </w:p>
        </w:tc>
        <w:tc>
          <w:tcPr>
            <w:tcW w:w="869" w:type="dxa"/>
            <w:tcBorders>
              <w:top w:val="single" w:sz="4" w:space="0" w:color="auto"/>
            </w:tcBorders>
            <w:shd w:val="clear" w:color="auto" w:fill="auto"/>
            <w:noWrap/>
            <w:vAlign w:val="center"/>
            <w:hideMark/>
          </w:tcPr>
          <w:p w14:paraId="01BE1876" w14:textId="77777777" w:rsidR="00552451" w:rsidRDefault="00552451" w:rsidP="00A961ED">
            <w:pPr>
              <w:pStyle w:val="Tabletext"/>
              <w:keepNext/>
              <w:keepLines/>
              <w:jc w:val="center"/>
              <w:rPr>
                <w:lang w:eastAsia="en-AU"/>
              </w:rPr>
            </w:pPr>
          </w:p>
        </w:tc>
        <w:tc>
          <w:tcPr>
            <w:tcW w:w="868" w:type="dxa"/>
            <w:tcBorders>
              <w:top w:val="single" w:sz="4" w:space="0" w:color="auto"/>
            </w:tcBorders>
            <w:shd w:val="clear" w:color="auto" w:fill="auto"/>
            <w:noWrap/>
            <w:vAlign w:val="center"/>
            <w:hideMark/>
          </w:tcPr>
          <w:p w14:paraId="01BE1877" w14:textId="77777777" w:rsidR="00552451" w:rsidRDefault="00552451" w:rsidP="00A961ED">
            <w:pPr>
              <w:pStyle w:val="Tabletext"/>
              <w:keepNext/>
              <w:keepLines/>
              <w:jc w:val="center"/>
              <w:rPr>
                <w:lang w:eastAsia="en-AU"/>
              </w:rPr>
            </w:pPr>
            <w:r>
              <w:rPr>
                <w:lang w:eastAsia="en-AU"/>
              </w:rPr>
              <w:t>1</w:t>
            </w:r>
          </w:p>
        </w:tc>
        <w:tc>
          <w:tcPr>
            <w:tcW w:w="869" w:type="dxa"/>
            <w:tcBorders>
              <w:top w:val="single" w:sz="4" w:space="0" w:color="auto"/>
            </w:tcBorders>
            <w:shd w:val="clear" w:color="auto" w:fill="auto"/>
            <w:noWrap/>
            <w:vAlign w:val="center"/>
            <w:hideMark/>
          </w:tcPr>
          <w:p w14:paraId="01BE1878" w14:textId="77777777" w:rsidR="00552451" w:rsidRDefault="00552451" w:rsidP="00A961ED">
            <w:pPr>
              <w:pStyle w:val="Tabletext"/>
              <w:keepNext/>
              <w:keepLines/>
              <w:jc w:val="center"/>
              <w:rPr>
                <w:lang w:eastAsia="en-AU"/>
              </w:rPr>
            </w:pPr>
          </w:p>
        </w:tc>
        <w:tc>
          <w:tcPr>
            <w:tcW w:w="869" w:type="dxa"/>
            <w:tcBorders>
              <w:top w:val="single" w:sz="4" w:space="0" w:color="auto"/>
            </w:tcBorders>
            <w:shd w:val="clear" w:color="auto" w:fill="auto"/>
            <w:noWrap/>
            <w:vAlign w:val="center"/>
            <w:hideMark/>
          </w:tcPr>
          <w:p w14:paraId="01BE1879" w14:textId="77777777" w:rsidR="00552451" w:rsidRDefault="00552451" w:rsidP="00A961ED">
            <w:pPr>
              <w:pStyle w:val="Tabletext"/>
              <w:keepNext/>
              <w:keepLines/>
              <w:jc w:val="center"/>
              <w:rPr>
                <w:lang w:eastAsia="en-AU"/>
              </w:rPr>
            </w:pPr>
            <w:r>
              <w:rPr>
                <w:lang w:eastAsia="en-AU"/>
              </w:rPr>
              <w:t>2</w:t>
            </w:r>
          </w:p>
        </w:tc>
        <w:tc>
          <w:tcPr>
            <w:tcW w:w="868" w:type="dxa"/>
            <w:tcBorders>
              <w:top w:val="single" w:sz="4" w:space="0" w:color="auto"/>
            </w:tcBorders>
            <w:shd w:val="clear" w:color="auto" w:fill="auto"/>
            <w:noWrap/>
            <w:vAlign w:val="center"/>
            <w:hideMark/>
          </w:tcPr>
          <w:p w14:paraId="01BE187A" w14:textId="77777777" w:rsidR="00552451" w:rsidRDefault="00552451" w:rsidP="00A961ED">
            <w:pPr>
              <w:pStyle w:val="Tabletext"/>
              <w:keepNext/>
              <w:keepLines/>
              <w:jc w:val="center"/>
              <w:rPr>
                <w:lang w:eastAsia="en-AU"/>
              </w:rPr>
            </w:pPr>
            <w:r>
              <w:rPr>
                <w:lang w:eastAsia="en-AU"/>
              </w:rPr>
              <w:t>1</w:t>
            </w:r>
          </w:p>
        </w:tc>
        <w:tc>
          <w:tcPr>
            <w:tcW w:w="869" w:type="dxa"/>
            <w:tcBorders>
              <w:top w:val="single" w:sz="4" w:space="0" w:color="auto"/>
            </w:tcBorders>
            <w:shd w:val="clear" w:color="auto" w:fill="auto"/>
            <w:vAlign w:val="center"/>
            <w:hideMark/>
          </w:tcPr>
          <w:p w14:paraId="01BE187B" w14:textId="77777777" w:rsidR="00552451" w:rsidRDefault="00552451" w:rsidP="00A961ED">
            <w:pPr>
              <w:pStyle w:val="Tabletext"/>
              <w:keepNext/>
              <w:keepLines/>
              <w:jc w:val="center"/>
              <w:rPr>
                <w:lang w:eastAsia="en-AU"/>
              </w:rPr>
            </w:pPr>
            <w:r>
              <w:rPr>
                <w:lang w:eastAsia="en-AU"/>
              </w:rPr>
              <w:t>3</w:t>
            </w:r>
          </w:p>
        </w:tc>
        <w:tc>
          <w:tcPr>
            <w:tcW w:w="869" w:type="dxa"/>
            <w:tcBorders>
              <w:top w:val="single" w:sz="4" w:space="0" w:color="auto"/>
            </w:tcBorders>
            <w:shd w:val="clear" w:color="auto" w:fill="auto"/>
            <w:noWrap/>
            <w:vAlign w:val="center"/>
            <w:hideMark/>
          </w:tcPr>
          <w:p w14:paraId="01BE187C" w14:textId="77777777" w:rsidR="00552451" w:rsidRPr="00A961ED" w:rsidRDefault="00552451" w:rsidP="00A961ED">
            <w:pPr>
              <w:pStyle w:val="Tabletext"/>
              <w:keepNext/>
              <w:keepLines/>
              <w:jc w:val="center"/>
              <w:rPr>
                <w:b/>
                <w:lang w:eastAsia="en-AU"/>
              </w:rPr>
            </w:pPr>
            <w:r w:rsidRPr="00A961ED">
              <w:rPr>
                <w:b/>
                <w:lang w:eastAsia="en-AU"/>
              </w:rPr>
              <w:t>7</w:t>
            </w:r>
          </w:p>
        </w:tc>
      </w:tr>
      <w:tr w:rsidR="00552451" w14:paraId="01BE1887" w14:textId="77777777" w:rsidTr="00A961ED">
        <w:trPr>
          <w:trHeight w:val="300"/>
        </w:trPr>
        <w:tc>
          <w:tcPr>
            <w:tcW w:w="2098" w:type="dxa"/>
            <w:shd w:val="clear" w:color="auto" w:fill="auto"/>
            <w:noWrap/>
            <w:vAlign w:val="bottom"/>
            <w:hideMark/>
          </w:tcPr>
          <w:p w14:paraId="01BE187E" w14:textId="77777777" w:rsidR="00552451" w:rsidRDefault="00217B4E" w:rsidP="00552451">
            <w:pPr>
              <w:pStyle w:val="Tabletext"/>
              <w:keepNext/>
              <w:keepLines/>
              <w:rPr>
                <w:lang w:eastAsia="en-AU"/>
              </w:rPr>
            </w:pPr>
            <w:r>
              <w:rPr>
                <w:lang w:eastAsia="en-AU"/>
              </w:rPr>
              <w:t>Remote 1</w:t>
            </w:r>
          </w:p>
        </w:tc>
        <w:tc>
          <w:tcPr>
            <w:tcW w:w="723" w:type="dxa"/>
            <w:shd w:val="clear" w:color="auto" w:fill="auto"/>
            <w:noWrap/>
            <w:vAlign w:val="center"/>
            <w:hideMark/>
          </w:tcPr>
          <w:p w14:paraId="01BE187F" w14:textId="77777777" w:rsidR="00552451" w:rsidRDefault="00552451" w:rsidP="00A961ED">
            <w:pPr>
              <w:pStyle w:val="Tabletext"/>
              <w:keepNext/>
              <w:keepLines/>
              <w:jc w:val="center"/>
              <w:rPr>
                <w:lang w:eastAsia="en-AU"/>
              </w:rPr>
            </w:pPr>
          </w:p>
        </w:tc>
        <w:tc>
          <w:tcPr>
            <w:tcW w:w="869" w:type="dxa"/>
            <w:shd w:val="clear" w:color="auto" w:fill="auto"/>
            <w:noWrap/>
            <w:vAlign w:val="center"/>
            <w:hideMark/>
          </w:tcPr>
          <w:p w14:paraId="01BE1880" w14:textId="77777777" w:rsidR="00552451" w:rsidRDefault="00552451" w:rsidP="00A961ED">
            <w:pPr>
              <w:pStyle w:val="Tabletext"/>
              <w:keepNext/>
              <w:keepLines/>
              <w:jc w:val="center"/>
              <w:rPr>
                <w:lang w:eastAsia="en-AU"/>
              </w:rPr>
            </w:pPr>
            <w:r>
              <w:rPr>
                <w:lang w:eastAsia="en-AU"/>
              </w:rPr>
              <w:t>2</w:t>
            </w:r>
          </w:p>
        </w:tc>
        <w:tc>
          <w:tcPr>
            <w:tcW w:w="868" w:type="dxa"/>
            <w:shd w:val="clear" w:color="auto" w:fill="auto"/>
            <w:noWrap/>
            <w:vAlign w:val="center"/>
            <w:hideMark/>
          </w:tcPr>
          <w:p w14:paraId="01BE1881" w14:textId="77777777" w:rsidR="00552451" w:rsidRDefault="00552451" w:rsidP="00A961ED">
            <w:pPr>
              <w:pStyle w:val="Tabletext"/>
              <w:keepNext/>
              <w:keepLines/>
              <w:jc w:val="center"/>
              <w:rPr>
                <w:lang w:eastAsia="en-AU"/>
              </w:rPr>
            </w:pPr>
            <w:r>
              <w:rPr>
                <w:lang w:eastAsia="en-AU"/>
              </w:rPr>
              <w:t>1</w:t>
            </w:r>
          </w:p>
        </w:tc>
        <w:tc>
          <w:tcPr>
            <w:tcW w:w="869" w:type="dxa"/>
            <w:shd w:val="clear" w:color="auto" w:fill="auto"/>
            <w:noWrap/>
            <w:vAlign w:val="center"/>
            <w:hideMark/>
          </w:tcPr>
          <w:p w14:paraId="01BE1882" w14:textId="77777777" w:rsidR="00552451" w:rsidRDefault="00552451" w:rsidP="00A961ED">
            <w:pPr>
              <w:pStyle w:val="Tabletext"/>
              <w:keepNext/>
              <w:keepLines/>
              <w:jc w:val="center"/>
              <w:rPr>
                <w:lang w:eastAsia="en-AU"/>
              </w:rPr>
            </w:pPr>
            <w:r>
              <w:rPr>
                <w:lang w:eastAsia="en-AU"/>
              </w:rPr>
              <w:t>6</w:t>
            </w:r>
          </w:p>
        </w:tc>
        <w:tc>
          <w:tcPr>
            <w:tcW w:w="869" w:type="dxa"/>
            <w:shd w:val="clear" w:color="auto" w:fill="auto"/>
            <w:noWrap/>
            <w:vAlign w:val="center"/>
            <w:hideMark/>
          </w:tcPr>
          <w:p w14:paraId="01BE1883" w14:textId="77777777" w:rsidR="00552451" w:rsidRDefault="00552451" w:rsidP="00A961ED">
            <w:pPr>
              <w:pStyle w:val="Tabletext"/>
              <w:keepNext/>
              <w:keepLines/>
              <w:jc w:val="center"/>
              <w:rPr>
                <w:lang w:eastAsia="en-AU"/>
              </w:rPr>
            </w:pPr>
            <w:r>
              <w:rPr>
                <w:lang w:eastAsia="en-AU"/>
              </w:rPr>
              <w:t>6</w:t>
            </w:r>
          </w:p>
        </w:tc>
        <w:tc>
          <w:tcPr>
            <w:tcW w:w="868" w:type="dxa"/>
            <w:shd w:val="clear" w:color="auto" w:fill="auto"/>
            <w:noWrap/>
            <w:vAlign w:val="center"/>
            <w:hideMark/>
          </w:tcPr>
          <w:p w14:paraId="01BE1884" w14:textId="77777777" w:rsidR="00552451" w:rsidRDefault="00552451" w:rsidP="00A961ED">
            <w:pPr>
              <w:pStyle w:val="Tabletext"/>
              <w:keepNext/>
              <w:keepLines/>
              <w:jc w:val="center"/>
              <w:rPr>
                <w:lang w:eastAsia="en-AU"/>
              </w:rPr>
            </w:pPr>
            <w:r>
              <w:rPr>
                <w:lang w:eastAsia="en-AU"/>
              </w:rPr>
              <w:t>5</w:t>
            </w:r>
          </w:p>
        </w:tc>
        <w:tc>
          <w:tcPr>
            <w:tcW w:w="869" w:type="dxa"/>
            <w:shd w:val="clear" w:color="auto" w:fill="auto"/>
            <w:vAlign w:val="center"/>
            <w:hideMark/>
          </w:tcPr>
          <w:p w14:paraId="01BE1885" w14:textId="77777777" w:rsidR="00552451" w:rsidRDefault="00552451" w:rsidP="00A961ED">
            <w:pPr>
              <w:pStyle w:val="Tabletext"/>
              <w:keepNext/>
              <w:keepLines/>
              <w:jc w:val="center"/>
              <w:rPr>
                <w:lang w:eastAsia="en-AU"/>
              </w:rPr>
            </w:pPr>
            <w:r>
              <w:rPr>
                <w:lang w:eastAsia="en-AU"/>
              </w:rPr>
              <w:t>0</w:t>
            </w:r>
          </w:p>
        </w:tc>
        <w:tc>
          <w:tcPr>
            <w:tcW w:w="869" w:type="dxa"/>
            <w:shd w:val="clear" w:color="auto" w:fill="auto"/>
            <w:noWrap/>
            <w:vAlign w:val="center"/>
            <w:hideMark/>
          </w:tcPr>
          <w:p w14:paraId="01BE1886" w14:textId="77777777" w:rsidR="00552451" w:rsidRPr="00A961ED" w:rsidRDefault="00552451" w:rsidP="00A961ED">
            <w:pPr>
              <w:pStyle w:val="Tabletext"/>
              <w:keepNext/>
              <w:keepLines/>
              <w:jc w:val="center"/>
              <w:rPr>
                <w:b/>
                <w:lang w:eastAsia="en-AU"/>
              </w:rPr>
            </w:pPr>
            <w:r w:rsidRPr="00A961ED">
              <w:rPr>
                <w:b/>
                <w:lang w:eastAsia="en-AU"/>
              </w:rPr>
              <w:t>20</w:t>
            </w:r>
          </w:p>
        </w:tc>
      </w:tr>
      <w:tr w:rsidR="00552451" w14:paraId="01BE1891" w14:textId="77777777" w:rsidTr="00A961ED">
        <w:trPr>
          <w:trHeight w:val="300"/>
        </w:trPr>
        <w:tc>
          <w:tcPr>
            <w:tcW w:w="2098" w:type="dxa"/>
            <w:shd w:val="clear" w:color="auto" w:fill="auto"/>
            <w:noWrap/>
            <w:vAlign w:val="bottom"/>
            <w:hideMark/>
          </w:tcPr>
          <w:p w14:paraId="01BE1888" w14:textId="77777777" w:rsidR="00552451" w:rsidRDefault="00217B4E" w:rsidP="00552451">
            <w:pPr>
              <w:pStyle w:val="Tabletext"/>
              <w:keepNext/>
              <w:keepLines/>
              <w:rPr>
                <w:lang w:eastAsia="en-AU"/>
              </w:rPr>
            </w:pPr>
            <w:r>
              <w:rPr>
                <w:lang w:eastAsia="en-AU"/>
              </w:rPr>
              <w:t>Remote 2</w:t>
            </w:r>
          </w:p>
        </w:tc>
        <w:tc>
          <w:tcPr>
            <w:tcW w:w="723" w:type="dxa"/>
            <w:shd w:val="clear" w:color="auto" w:fill="auto"/>
            <w:noWrap/>
            <w:vAlign w:val="center"/>
            <w:hideMark/>
          </w:tcPr>
          <w:p w14:paraId="01BE1889" w14:textId="77777777" w:rsidR="00552451" w:rsidRDefault="00552451" w:rsidP="00A961ED">
            <w:pPr>
              <w:pStyle w:val="Tabletext"/>
              <w:keepNext/>
              <w:keepLines/>
              <w:jc w:val="center"/>
              <w:rPr>
                <w:lang w:eastAsia="en-AU"/>
              </w:rPr>
            </w:pPr>
            <w:r>
              <w:rPr>
                <w:lang w:eastAsia="en-AU"/>
              </w:rPr>
              <w:t>7</w:t>
            </w:r>
          </w:p>
        </w:tc>
        <w:tc>
          <w:tcPr>
            <w:tcW w:w="869" w:type="dxa"/>
            <w:shd w:val="clear" w:color="auto" w:fill="auto"/>
            <w:noWrap/>
            <w:vAlign w:val="center"/>
            <w:hideMark/>
          </w:tcPr>
          <w:p w14:paraId="01BE188A" w14:textId="77777777" w:rsidR="00552451" w:rsidRDefault="00552451" w:rsidP="00A961ED">
            <w:pPr>
              <w:pStyle w:val="Tabletext"/>
              <w:keepNext/>
              <w:keepLines/>
              <w:jc w:val="center"/>
              <w:rPr>
                <w:lang w:eastAsia="en-AU"/>
              </w:rPr>
            </w:pPr>
            <w:r>
              <w:rPr>
                <w:lang w:eastAsia="en-AU"/>
              </w:rPr>
              <w:t>4</w:t>
            </w:r>
          </w:p>
        </w:tc>
        <w:tc>
          <w:tcPr>
            <w:tcW w:w="868" w:type="dxa"/>
            <w:shd w:val="clear" w:color="auto" w:fill="auto"/>
            <w:noWrap/>
            <w:vAlign w:val="center"/>
            <w:hideMark/>
          </w:tcPr>
          <w:p w14:paraId="01BE188B" w14:textId="77777777" w:rsidR="00552451" w:rsidRDefault="00552451" w:rsidP="00A961ED">
            <w:pPr>
              <w:pStyle w:val="Tabletext"/>
              <w:keepNext/>
              <w:keepLines/>
              <w:jc w:val="center"/>
              <w:rPr>
                <w:lang w:eastAsia="en-AU"/>
              </w:rPr>
            </w:pPr>
            <w:r>
              <w:rPr>
                <w:lang w:eastAsia="en-AU"/>
              </w:rPr>
              <w:t>2</w:t>
            </w:r>
          </w:p>
        </w:tc>
        <w:tc>
          <w:tcPr>
            <w:tcW w:w="869" w:type="dxa"/>
            <w:shd w:val="clear" w:color="auto" w:fill="auto"/>
            <w:noWrap/>
            <w:vAlign w:val="center"/>
            <w:hideMark/>
          </w:tcPr>
          <w:p w14:paraId="01BE188C" w14:textId="77777777" w:rsidR="00552451" w:rsidRDefault="00552451" w:rsidP="00A961ED">
            <w:pPr>
              <w:pStyle w:val="Tabletext"/>
              <w:keepNext/>
              <w:keepLines/>
              <w:jc w:val="center"/>
              <w:rPr>
                <w:lang w:eastAsia="en-AU"/>
              </w:rPr>
            </w:pPr>
            <w:r>
              <w:rPr>
                <w:lang w:eastAsia="en-AU"/>
              </w:rPr>
              <w:t>3</w:t>
            </w:r>
          </w:p>
        </w:tc>
        <w:tc>
          <w:tcPr>
            <w:tcW w:w="869" w:type="dxa"/>
            <w:shd w:val="clear" w:color="auto" w:fill="auto"/>
            <w:noWrap/>
            <w:vAlign w:val="center"/>
            <w:hideMark/>
          </w:tcPr>
          <w:p w14:paraId="01BE188D" w14:textId="77777777" w:rsidR="00552451" w:rsidRDefault="00552451" w:rsidP="00A961ED">
            <w:pPr>
              <w:pStyle w:val="Tabletext"/>
              <w:keepNext/>
              <w:keepLines/>
              <w:jc w:val="center"/>
              <w:rPr>
                <w:lang w:eastAsia="en-AU"/>
              </w:rPr>
            </w:pPr>
            <w:r>
              <w:rPr>
                <w:lang w:eastAsia="en-AU"/>
              </w:rPr>
              <w:t>6</w:t>
            </w:r>
          </w:p>
        </w:tc>
        <w:tc>
          <w:tcPr>
            <w:tcW w:w="868" w:type="dxa"/>
            <w:shd w:val="clear" w:color="auto" w:fill="auto"/>
            <w:noWrap/>
            <w:vAlign w:val="center"/>
            <w:hideMark/>
          </w:tcPr>
          <w:p w14:paraId="01BE188E" w14:textId="77777777" w:rsidR="00552451" w:rsidRDefault="00552451" w:rsidP="00A961ED">
            <w:pPr>
              <w:pStyle w:val="Tabletext"/>
              <w:keepNext/>
              <w:keepLines/>
              <w:jc w:val="center"/>
              <w:rPr>
                <w:lang w:eastAsia="en-AU"/>
              </w:rPr>
            </w:pPr>
            <w:r>
              <w:rPr>
                <w:lang w:eastAsia="en-AU"/>
              </w:rPr>
              <w:t>11</w:t>
            </w:r>
          </w:p>
        </w:tc>
        <w:tc>
          <w:tcPr>
            <w:tcW w:w="869" w:type="dxa"/>
            <w:shd w:val="clear" w:color="auto" w:fill="auto"/>
            <w:vAlign w:val="center"/>
            <w:hideMark/>
          </w:tcPr>
          <w:p w14:paraId="01BE188F" w14:textId="77777777" w:rsidR="00552451" w:rsidRDefault="00552451" w:rsidP="00A961ED">
            <w:pPr>
              <w:pStyle w:val="Tabletext"/>
              <w:keepNext/>
              <w:keepLines/>
              <w:jc w:val="center"/>
              <w:rPr>
                <w:lang w:eastAsia="en-AU"/>
              </w:rPr>
            </w:pPr>
            <w:r>
              <w:rPr>
                <w:lang w:eastAsia="en-AU"/>
              </w:rPr>
              <w:t>1</w:t>
            </w:r>
          </w:p>
        </w:tc>
        <w:tc>
          <w:tcPr>
            <w:tcW w:w="869" w:type="dxa"/>
            <w:shd w:val="clear" w:color="auto" w:fill="auto"/>
            <w:noWrap/>
            <w:vAlign w:val="center"/>
            <w:hideMark/>
          </w:tcPr>
          <w:p w14:paraId="01BE1890" w14:textId="77777777" w:rsidR="00552451" w:rsidRPr="00A961ED" w:rsidRDefault="00552451" w:rsidP="00A961ED">
            <w:pPr>
              <w:pStyle w:val="Tabletext"/>
              <w:keepNext/>
              <w:keepLines/>
              <w:jc w:val="center"/>
              <w:rPr>
                <w:b/>
                <w:lang w:eastAsia="en-AU"/>
              </w:rPr>
            </w:pPr>
            <w:r w:rsidRPr="00A961ED">
              <w:rPr>
                <w:b/>
                <w:lang w:eastAsia="en-AU"/>
              </w:rPr>
              <w:t>34</w:t>
            </w:r>
          </w:p>
        </w:tc>
      </w:tr>
      <w:tr w:rsidR="00552451" w14:paraId="01BE189B" w14:textId="77777777" w:rsidTr="00A961ED">
        <w:trPr>
          <w:trHeight w:val="300"/>
        </w:trPr>
        <w:tc>
          <w:tcPr>
            <w:tcW w:w="2098" w:type="dxa"/>
            <w:tcBorders>
              <w:bottom w:val="single" w:sz="4" w:space="0" w:color="auto"/>
            </w:tcBorders>
            <w:shd w:val="clear" w:color="auto" w:fill="auto"/>
            <w:noWrap/>
            <w:vAlign w:val="bottom"/>
            <w:hideMark/>
          </w:tcPr>
          <w:p w14:paraId="01BE1892" w14:textId="77777777" w:rsidR="00552451" w:rsidRDefault="00217B4E" w:rsidP="00552451">
            <w:pPr>
              <w:pStyle w:val="Tabletext"/>
              <w:keepNext/>
              <w:keepLines/>
              <w:rPr>
                <w:lang w:eastAsia="en-AU"/>
              </w:rPr>
            </w:pPr>
            <w:r>
              <w:rPr>
                <w:lang w:eastAsia="en-AU"/>
              </w:rPr>
              <w:t>Urban</w:t>
            </w:r>
          </w:p>
        </w:tc>
        <w:tc>
          <w:tcPr>
            <w:tcW w:w="723" w:type="dxa"/>
            <w:tcBorders>
              <w:bottom w:val="single" w:sz="4" w:space="0" w:color="auto"/>
            </w:tcBorders>
            <w:shd w:val="clear" w:color="auto" w:fill="auto"/>
            <w:noWrap/>
            <w:vAlign w:val="center"/>
            <w:hideMark/>
          </w:tcPr>
          <w:p w14:paraId="01BE1893" w14:textId="77777777" w:rsidR="00552451" w:rsidRDefault="00552451" w:rsidP="00A961ED">
            <w:pPr>
              <w:pStyle w:val="Tabletext"/>
              <w:keepNext/>
              <w:keepLines/>
              <w:jc w:val="center"/>
              <w:rPr>
                <w:lang w:eastAsia="en-AU"/>
              </w:rPr>
            </w:pPr>
            <w:r>
              <w:rPr>
                <w:lang w:eastAsia="en-AU"/>
              </w:rPr>
              <w:t>1</w:t>
            </w:r>
          </w:p>
        </w:tc>
        <w:tc>
          <w:tcPr>
            <w:tcW w:w="869" w:type="dxa"/>
            <w:tcBorders>
              <w:bottom w:val="single" w:sz="4" w:space="0" w:color="auto"/>
            </w:tcBorders>
            <w:shd w:val="clear" w:color="auto" w:fill="auto"/>
            <w:noWrap/>
            <w:vAlign w:val="center"/>
            <w:hideMark/>
          </w:tcPr>
          <w:p w14:paraId="01BE1894" w14:textId="77777777" w:rsidR="00552451" w:rsidRDefault="00552451" w:rsidP="00A961ED">
            <w:pPr>
              <w:pStyle w:val="Tabletext"/>
              <w:keepNext/>
              <w:keepLines/>
              <w:jc w:val="center"/>
              <w:rPr>
                <w:lang w:eastAsia="en-AU"/>
              </w:rPr>
            </w:pPr>
            <w:r>
              <w:rPr>
                <w:lang w:eastAsia="en-AU"/>
              </w:rPr>
              <w:t>8</w:t>
            </w:r>
          </w:p>
        </w:tc>
        <w:tc>
          <w:tcPr>
            <w:tcW w:w="868" w:type="dxa"/>
            <w:tcBorders>
              <w:bottom w:val="single" w:sz="4" w:space="0" w:color="auto"/>
            </w:tcBorders>
            <w:shd w:val="clear" w:color="auto" w:fill="auto"/>
            <w:noWrap/>
            <w:vAlign w:val="center"/>
            <w:hideMark/>
          </w:tcPr>
          <w:p w14:paraId="01BE1895" w14:textId="77777777" w:rsidR="00552451" w:rsidRDefault="00552451" w:rsidP="00A961ED">
            <w:pPr>
              <w:pStyle w:val="Tabletext"/>
              <w:keepNext/>
              <w:keepLines/>
              <w:jc w:val="center"/>
              <w:rPr>
                <w:lang w:eastAsia="en-AU"/>
              </w:rPr>
            </w:pPr>
            <w:r>
              <w:rPr>
                <w:lang w:eastAsia="en-AU"/>
              </w:rPr>
              <w:t>2</w:t>
            </w:r>
          </w:p>
        </w:tc>
        <w:tc>
          <w:tcPr>
            <w:tcW w:w="869" w:type="dxa"/>
            <w:tcBorders>
              <w:bottom w:val="single" w:sz="4" w:space="0" w:color="auto"/>
            </w:tcBorders>
            <w:shd w:val="clear" w:color="auto" w:fill="auto"/>
            <w:noWrap/>
            <w:vAlign w:val="center"/>
            <w:hideMark/>
          </w:tcPr>
          <w:p w14:paraId="01BE1896" w14:textId="77777777" w:rsidR="00552451" w:rsidRDefault="00552451" w:rsidP="00A961ED">
            <w:pPr>
              <w:pStyle w:val="Tabletext"/>
              <w:keepNext/>
              <w:keepLines/>
              <w:jc w:val="center"/>
              <w:rPr>
                <w:lang w:eastAsia="en-AU"/>
              </w:rPr>
            </w:pPr>
            <w:r>
              <w:rPr>
                <w:lang w:eastAsia="en-AU"/>
              </w:rPr>
              <w:t>3</w:t>
            </w:r>
          </w:p>
        </w:tc>
        <w:tc>
          <w:tcPr>
            <w:tcW w:w="869" w:type="dxa"/>
            <w:tcBorders>
              <w:bottom w:val="single" w:sz="4" w:space="0" w:color="auto"/>
            </w:tcBorders>
            <w:shd w:val="clear" w:color="auto" w:fill="auto"/>
            <w:noWrap/>
            <w:vAlign w:val="center"/>
            <w:hideMark/>
          </w:tcPr>
          <w:p w14:paraId="01BE1897" w14:textId="77777777" w:rsidR="00552451" w:rsidRDefault="00552451" w:rsidP="00A961ED">
            <w:pPr>
              <w:pStyle w:val="Tabletext"/>
              <w:keepNext/>
              <w:keepLines/>
              <w:jc w:val="center"/>
              <w:rPr>
                <w:lang w:eastAsia="en-AU"/>
              </w:rPr>
            </w:pPr>
            <w:r>
              <w:rPr>
                <w:lang w:eastAsia="en-AU"/>
              </w:rPr>
              <w:t>3</w:t>
            </w:r>
          </w:p>
        </w:tc>
        <w:tc>
          <w:tcPr>
            <w:tcW w:w="868" w:type="dxa"/>
            <w:tcBorders>
              <w:bottom w:val="single" w:sz="4" w:space="0" w:color="auto"/>
            </w:tcBorders>
            <w:shd w:val="clear" w:color="auto" w:fill="auto"/>
            <w:noWrap/>
            <w:vAlign w:val="center"/>
            <w:hideMark/>
          </w:tcPr>
          <w:p w14:paraId="01BE1898" w14:textId="77777777" w:rsidR="00552451" w:rsidRDefault="00552451" w:rsidP="00A961ED">
            <w:pPr>
              <w:pStyle w:val="Tabletext"/>
              <w:keepNext/>
              <w:keepLines/>
              <w:jc w:val="center"/>
              <w:rPr>
                <w:lang w:eastAsia="en-AU"/>
              </w:rPr>
            </w:pPr>
            <w:r>
              <w:rPr>
                <w:lang w:eastAsia="en-AU"/>
              </w:rPr>
              <w:t>7</w:t>
            </w:r>
          </w:p>
        </w:tc>
        <w:tc>
          <w:tcPr>
            <w:tcW w:w="869" w:type="dxa"/>
            <w:tcBorders>
              <w:bottom w:val="single" w:sz="4" w:space="0" w:color="auto"/>
            </w:tcBorders>
            <w:shd w:val="clear" w:color="auto" w:fill="auto"/>
            <w:vAlign w:val="center"/>
            <w:hideMark/>
          </w:tcPr>
          <w:p w14:paraId="01BE1899" w14:textId="77777777" w:rsidR="00552451" w:rsidRDefault="00552451" w:rsidP="00A961ED">
            <w:pPr>
              <w:pStyle w:val="Tabletext"/>
              <w:keepNext/>
              <w:keepLines/>
              <w:jc w:val="center"/>
              <w:rPr>
                <w:lang w:eastAsia="en-AU"/>
              </w:rPr>
            </w:pPr>
            <w:r>
              <w:rPr>
                <w:lang w:eastAsia="en-AU"/>
              </w:rPr>
              <w:t>8</w:t>
            </w:r>
          </w:p>
        </w:tc>
        <w:tc>
          <w:tcPr>
            <w:tcW w:w="869" w:type="dxa"/>
            <w:tcBorders>
              <w:bottom w:val="single" w:sz="4" w:space="0" w:color="auto"/>
            </w:tcBorders>
            <w:shd w:val="clear" w:color="auto" w:fill="auto"/>
            <w:noWrap/>
            <w:vAlign w:val="center"/>
            <w:hideMark/>
          </w:tcPr>
          <w:p w14:paraId="01BE189A" w14:textId="77777777" w:rsidR="00552451" w:rsidRPr="00A961ED" w:rsidRDefault="00552451" w:rsidP="00A961ED">
            <w:pPr>
              <w:pStyle w:val="Tabletext"/>
              <w:keepNext/>
              <w:keepLines/>
              <w:jc w:val="center"/>
              <w:rPr>
                <w:b/>
                <w:lang w:eastAsia="en-AU"/>
              </w:rPr>
            </w:pPr>
            <w:r w:rsidRPr="00A961ED">
              <w:rPr>
                <w:b/>
                <w:lang w:eastAsia="en-AU"/>
              </w:rPr>
              <w:t>32</w:t>
            </w:r>
          </w:p>
        </w:tc>
      </w:tr>
      <w:tr w:rsidR="00552451" w14:paraId="01BE18A5" w14:textId="77777777" w:rsidTr="00A961ED">
        <w:trPr>
          <w:trHeight w:val="300"/>
        </w:trPr>
        <w:tc>
          <w:tcPr>
            <w:tcW w:w="2098" w:type="dxa"/>
            <w:tcBorders>
              <w:top w:val="single" w:sz="4" w:space="0" w:color="auto"/>
              <w:bottom w:val="single" w:sz="4" w:space="0" w:color="auto"/>
            </w:tcBorders>
            <w:shd w:val="clear" w:color="auto" w:fill="auto"/>
            <w:noWrap/>
            <w:vAlign w:val="center"/>
            <w:hideMark/>
          </w:tcPr>
          <w:p w14:paraId="01BE189C" w14:textId="77777777" w:rsidR="00552451" w:rsidRPr="00A961ED" w:rsidRDefault="00552451" w:rsidP="00A961ED">
            <w:pPr>
              <w:pStyle w:val="Tablehead2"/>
              <w:keepNext/>
              <w:keepLines/>
              <w:rPr>
                <w:b/>
                <w:lang w:eastAsia="en-AU"/>
              </w:rPr>
            </w:pPr>
            <w:r w:rsidRPr="00A961ED">
              <w:rPr>
                <w:b/>
                <w:lang w:eastAsia="en-AU"/>
              </w:rPr>
              <w:t>Total</w:t>
            </w:r>
          </w:p>
        </w:tc>
        <w:tc>
          <w:tcPr>
            <w:tcW w:w="723" w:type="dxa"/>
            <w:tcBorders>
              <w:top w:val="single" w:sz="4" w:space="0" w:color="auto"/>
              <w:bottom w:val="single" w:sz="4" w:space="0" w:color="auto"/>
            </w:tcBorders>
            <w:shd w:val="clear" w:color="auto" w:fill="auto"/>
            <w:noWrap/>
            <w:vAlign w:val="center"/>
            <w:hideMark/>
          </w:tcPr>
          <w:p w14:paraId="01BE189D" w14:textId="77777777" w:rsidR="00552451" w:rsidRPr="00A961ED" w:rsidRDefault="00552451" w:rsidP="00A961ED">
            <w:pPr>
              <w:pStyle w:val="Tablehead2"/>
              <w:keepNext/>
              <w:keepLines/>
              <w:jc w:val="center"/>
              <w:rPr>
                <w:b/>
                <w:lang w:eastAsia="en-AU"/>
              </w:rPr>
            </w:pPr>
            <w:r w:rsidRPr="00A961ED">
              <w:rPr>
                <w:b/>
                <w:lang w:eastAsia="en-AU"/>
              </w:rPr>
              <w:t>8</w:t>
            </w:r>
          </w:p>
        </w:tc>
        <w:tc>
          <w:tcPr>
            <w:tcW w:w="869" w:type="dxa"/>
            <w:tcBorders>
              <w:top w:val="single" w:sz="4" w:space="0" w:color="auto"/>
              <w:bottom w:val="single" w:sz="4" w:space="0" w:color="auto"/>
            </w:tcBorders>
            <w:shd w:val="clear" w:color="auto" w:fill="auto"/>
            <w:noWrap/>
            <w:vAlign w:val="center"/>
            <w:hideMark/>
          </w:tcPr>
          <w:p w14:paraId="01BE189E" w14:textId="77777777" w:rsidR="00552451" w:rsidRPr="00A961ED" w:rsidRDefault="00552451" w:rsidP="00A961ED">
            <w:pPr>
              <w:pStyle w:val="Tablehead2"/>
              <w:keepNext/>
              <w:keepLines/>
              <w:jc w:val="center"/>
              <w:rPr>
                <w:b/>
                <w:lang w:eastAsia="en-AU"/>
              </w:rPr>
            </w:pPr>
            <w:r w:rsidRPr="00A961ED">
              <w:rPr>
                <w:b/>
                <w:lang w:eastAsia="en-AU"/>
              </w:rPr>
              <w:t>14</w:t>
            </w:r>
          </w:p>
        </w:tc>
        <w:tc>
          <w:tcPr>
            <w:tcW w:w="868" w:type="dxa"/>
            <w:tcBorders>
              <w:top w:val="single" w:sz="4" w:space="0" w:color="auto"/>
              <w:bottom w:val="single" w:sz="4" w:space="0" w:color="auto"/>
            </w:tcBorders>
            <w:shd w:val="clear" w:color="auto" w:fill="auto"/>
            <w:noWrap/>
            <w:vAlign w:val="center"/>
            <w:hideMark/>
          </w:tcPr>
          <w:p w14:paraId="01BE189F" w14:textId="77777777" w:rsidR="00552451" w:rsidRPr="00A961ED" w:rsidRDefault="00552451" w:rsidP="00A961ED">
            <w:pPr>
              <w:pStyle w:val="Tablehead2"/>
              <w:keepNext/>
              <w:keepLines/>
              <w:jc w:val="center"/>
              <w:rPr>
                <w:b/>
                <w:lang w:eastAsia="en-AU"/>
              </w:rPr>
            </w:pPr>
            <w:r w:rsidRPr="00A961ED">
              <w:rPr>
                <w:b/>
                <w:lang w:eastAsia="en-AU"/>
              </w:rPr>
              <w:t>6</w:t>
            </w:r>
          </w:p>
        </w:tc>
        <w:tc>
          <w:tcPr>
            <w:tcW w:w="869" w:type="dxa"/>
            <w:tcBorders>
              <w:top w:val="single" w:sz="4" w:space="0" w:color="auto"/>
              <w:bottom w:val="single" w:sz="4" w:space="0" w:color="auto"/>
            </w:tcBorders>
            <w:shd w:val="clear" w:color="auto" w:fill="auto"/>
            <w:noWrap/>
            <w:vAlign w:val="center"/>
            <w:hideMark/>
          </w:tcPr>
          <w:p w14:paraId="01BE18A0" w14:textId="77777777" w:rsidR="00552451" w:rsidRPr="00A961ED" w:rsidRDefault="00552451" w:rsidP="00A961ED">
            <w:pPr>
              <w:pStyle w:val="Tablehead2"/>
              <w:keepNext/>
              <w:keepLines/>
              <w:jc w:val="center"/>
              <w:rPr>
                <w:b/>
                <w:lang w:eastAsia="en-AU"/>
              </w:rPr>
            </w:pPr>
            <w:r w:rsidRPr="00A961ED">
              <w:rPr>
                <w:b/>
                <w:lang w:eastAsia="en-AU"/>
              </w:rPr>
              <w:t>12</w:t>
            </w:r>
          </w:p>
        </w:tc>
        <w:tc>
          <w:tcPr>
            <w:tcW w:w="869" w:type="dxa"/>
            <w:tcBorders>
              <w:top w:val="single" w:sz="4" w:space="0" w:color="auto"/>
              <w:bottom w:val="single" w:sz="4" w:space="0" w:color="auto"/>
            </w:tcBorders>
            <w:shd w:val="clear" w:color="auto" w:fill="auto"/>
            <w:noWrap/>
            <w:vAlign w:val="center"/>
            <w:hideMark/>
          </w:tcPr>
          <w:p w14:paraId="01BE18A1" w14:textId="77777777" w:rsidR="00552451" w:rsidRPr="00A961ED" w:rsidRDefault="00552451" w:rsidP="00A961ED">
            <w:pPr>
              <w:pStyle w:val="Tablehead2"/>
              <w:keepNext/>
              <w:keepLines/>
              <w:jc w:val="center"/>
              <w:rPr>
                <w:b/>
                <w:lang w:eastAsia="en-AU"/>
              </w:rPr>
            </w:pPr>
            <w:r w:rsidRPr="00A961ED">
              <w:rPr>
                <w:b/>
                <w:lang w:eastAsia="en-AU"/>
              </w:rPr>
              <w:t>17</w:t>
            </w:r>
          </w:p>
        </w:tc>
        <w:tc>
          <w:tcPr>
            <w:tcW w:w="868" w:type="dxa"/>
            <w:tcBorders>
              <w:top w:val="single" w:sz="4" w:space="0" w:color="auto"/>
              <w:bottom w:val="single" w:sz="4" w:space="0" w:color="auto"/>
            </w:tcBorders>
            <w:shd w:val="clear" w:color="auto" w:fill="auto"/>
            <w:noWrap/>
            <w:vAlign w:val="center"/>
            <w:hideMark/>
          </w:tcPr>
          <w:p w14:paraId="01BE18A2" w14:textId="77777777" w:rsidR="00552451" w:rsidRPr="00A961ED" w:rsidRDefault="00552451" w:rsidP="00A961ED">
            <w:pPr>
              <w:pStyle w:val="Tablehead2"/>
              <w:keepNext/>
              <w:keepLines/>
              <w:jc w:val="center"/>
              <w:rPr>
                <w:b/>
                <w:lang w:eastAsia="en-AU"/>
              </w:rPr>
            </w:pPr>
            <w:r w:rsidRPr="00A961ED">
              <w:rPr>
                <w:b/>
                <w:lang w:eastAsia="en-AU"/>
              </w:rPr>
              <w:t>24</w:t>
            </w:r>
          </w:p>
        </w:tc>
        <w:tc>
          <w:tcPr>
            <w:tcW w:w="869" w:type="dxa"/>
            <w:tcBorders>
              <w:top w:val="single" w:sz="4" w:space="0" w:color="auto"/>
              <w:bottom w:val="single" w:sz="4" w:space="0" w:color="auto"/>
            </w:tcBorders>
            <w:shd w:val="clear" w:color="auto" w:fill="auto"/>
            <w:vAlign w:val="center"/>
            <w:hideMark/>
          </w:tcPr>
          <w:p w14:paraId="01BE18A3" w14:textId="77777777" w:rsidR="00552451" w:rsidRPr="00A961ED" w:rsidRDefault="00552451" w:rsidP="00A961ED">
            <w:pPr>
              <w:pStyle w:val="Tablehead2"/>
              <w:keepNext/>
              <w:keepLines/>
              <w:jc w:val="center"/>
              <w:rPr>
                <w:b/>
                <w:lang w:eastAsia="en-AU"/>
              </w:rPr>
            </w:pPr>
            <w:r w:rsidRPr="00A961ED">
              <w:rPr>
                <w:b/>
                <w:lang w:eastAsia="en-AU"/>
              </w:rPr>
              <w:t>12</w:t>
            </w:r>
          </w:p>
        </w:tc>
        <w:tc>
          <w:tcPr>
            <w:tcW w:w="869" w:type="dxa"/>
            <w:tcBorders>
              <w:top w:val="single" w:sz="4" w:space="0" w:color="auto"/>
              <w:bottom w:val="single" w:sz="4" w:space="0" w:color="auto"/>
            </w:tcBorders>
            <w:shd w:val="clear" w:color="auto" w:fill="auto"/>
            <w:noWrap/>
            <w:vAlign w:val="center"/>
            <w:hideMark/>
          </w:tcPr>
          <w:p w14:paraId="01BE18A4" w14:textId="77777777" w:rsidR="00552451" w:rsidRPr="00A961ED" w:rsidRDefault="00552451" w:rsidP="00A961ED">
            <w:pPr>
              <w:pStyle w:val="Tablehead2"/>
              <w:keepNext/>
              <w:keepLines/>
              <w:jc w:val="center"/>
              <w:rPr>
                <w:b/>
                <w:lang w:eastAsia="en-AU"/>
              </w:rPr>
            </w:pPr>
            <w:r w:rsidRPr="00A961ED">
              <w:rPr>
                <w:b/>
                <w:lang w:eastAsia="en-AU"/>
              </w:rPr>
              <w:t>93</w:t>
            </w:r>
          </w:p>
        </w:tc>
      </w:tr>
    </w:tbl>
    <w:p w14:paraId="01BE18A6" w14:textId="21F497C1" w:rsidR="00D51E6C" w:rsidRDefault="00A961ED" w:rsidP="00122B7A">
      <w:pPr>
        <w:pStyle w:val="Source"/>
        <w:ind w:left="426" w:hanging="426"/>
      </w:pPr>
      <w:r>
        <w:t xml:space="preserve">Note: </w:t>
      </w:r>
      <w:r>
        <w:tab/>
        <w:t>*</w:t>
      </w:r>
      <w:r w:rsidR="00D51E6C">
        <w:t>Interstate includes all remoteness areas</w:t>
      </w:r>
      <w:r w:rsidR="00217B4E">
        <w:t>.</w:t>
      </w:r>
    </w:p>
    <w:p w14:paraId="01BE18A7" w14:textId="77777777" w:rsidR="00552451" w:rsidRDefault="00552451" w:rsidP="00F107E1">
      <w:pPr>
        <w:rPr>
          <w:rFonts w:ascii="Century Gothic" w:hAnsi="Century Gothic"/>
          <w:i/>
          <w:iCs/>
          <w:color w:val="711411"/>
          <w:sz w:val="18"/>
          <w:szCs w:val="18"/>
        </w:rPr>
      </w:pPr>
      <w:r w:rsidRPr="00E56285">
        <w:t>Taken at is simplest measure</w:t>
      </w:r>
      <w:r>
        <w:t>,</w:t>
      </w:r>
      <w:r w:rsidRPr="00E56285">
        <w:t xml:space="preserve"> </w:t>
      </w:r>
      <w:r w:rsidR="00560D1B">
        <w:t>by comparing</w:t>
      </w:r>
      <w:r w:rsidRPr="00E56285">
        <w:t xml:space="preserve"> each year’s completions to enrolments, </w:t>
      </w:r>
      <w:r>
        <w:t xml:space="preserve">an indicative measure of completion was generated. </w:t>
      </w:r>
      <w:r w:rsidRPr="00E56285">
        <w:t xml:space="preserve">This is not </w:t>
      </w:r>
      <w:r w:rsidR="00560D1B">
        <w:t>an</w:t>
      </w:r>
      <w:r w:rsidRPr="00E56285">
        <w:t xml:space="preserve"> accurate measure</w:t>
      </w:r>
      <w:r w:rsidR="00217B4E">
        <w:t>,</w:t>
      </w:r>
      <w:r w:rsidRPr="00E56285">
        <w:t xml:space="preserve"> given that most students take </w:t>
      </w:r>
      <w:r w:rsidR="00217B4E">
        <w:t>between two and two-and-a-half</w:t>
      </w:r>
      <w:r w:rsidRPr="00E56285">
        <w:t xml:space="preserve"> years to complete, but it </w:t>
      </w:r>
      <w:r>
        <w:t xml:space="preserve">suffices for the purposes of this case study. </w:t>
      </w:r>
      <w:r w:rsidRPr="00E56285">
        <w:t>For the 2015 year, out of 40 enrolments, there were 12 course completions, which</w:t>
      </w:r>
      <w:r>
        <w:t xml:space="preserve"> gives a completion rate of 30%, well below the national average.</w:t>
      </w:r>
      <w:r w:rsidRPr="00E56285">
        <w:t xml:space="preserve"> </w:t>
      </w:r>
      <w:r w:rsidR="00F107E1">
        <w:t xml:space="preserve">The peak year for completions was 2014, particularly for the very remote cohort. </w:t>
      </w:r>
    </w:p>
    <w:p w14:paraId="01BE18A8" w14:textId="77777777" w:rsidR="00552451" w:rsidRDefault="00552451" w:rsidP="00FC48FE">
      <w:pPr>
        <w:pStyle w:val="Heading4"/>
      </w:pPr>
      <w:bookmarkStart w:id="34" w:name="_Toc476240903"/>
      <w:r w:rsidRPr="00E5081C">
        <w:t>The</w:t>
      </w:r>
      <w:r w:rsidR="00576997">
        <w:t xml:space="preserve"> s</w:t>
      </w:r>
      <w:r>
        <w:t xml:space="preserve">tudents’ </w:t>
      </w:r>
      <w:r w:rsidR="00576997">
        <w:t>p</w:t>
      </w:r>
      <w:r>
        <w:t>erspective</w:t>
      </w:r>
      <w:bookmarkEnd w:id="34"/>
      <w:r w:rsidR="00576997">
        <w:t>s</w:t>
      </w:r>
    </w:p>
    <w:p w14:paraId="01BE18A9" w14:textId="77777777" w:rsidR="00552451" w:rsidRPr="00E56285" w:rsidRDefault="00552451" w:rsidP="00552451">
      <w:pPr>
        <w:pStyle w:val="Text"/>
      </w:pPr>
      <w:r>
        <w:t>The factors</w:t>
      </w:r>
      <w:r w:rsidRPr="00E56285">
        <w:t xml:space="preserve"> that contribute to successful completion, as well as some other measures of success, were elicited from interviews with students, trainers and employers.</w:t>
      </w:r>
    </w:p>
    <w:p w14:paraId="01BE18AA" w14:textId="77777777" w:rsidR="00552451" w:rsidRDefault="00552451" w:rsidP="00552451">
      <w:pPr>
        <w:pStyle w:val="Text"/>
      </w:pPr>
      <w:r>
        <w:t xml:space="preserve">A group of </w:t>
      </w:r>
      <w:r w:rsidR="00217B4E">
        <w:t>10</w:t>
      </w:r>
      <w:r>
        <w:t xml:space="preserve"> students</w:t>
      </w:r>
      <w:r w:rsidR="00217B4E">
        <w:t>,</w:t>
      </w:r>
      <w:r>
        <w:t xml:space="preserve"> who are studying full-time in the course</w:t>
      </w:r>
      <w:r w:rsidR="00217B4E">
        <w:t>,</w:t>
      </w:r>
      <w:r>
        <w:t xml:space="preserve"> participated in a focus group interview for the project. This group was in their final months of their program and were on track to complete the program. Of the </w:t>
      </w:r>
      <w:r w:rsidR="00217B4E">
        <w:t>10</w:t>
      </w:r>
      <w:r>
        <w:t xml:space="preserve">, nine were on some form on traineeship, with only one student a ‘self-referred’ student, who was a student </w:t>
      </w:r>
      <w:r w:rsidR="00560D1B">
        <w:t>returning</w:t>
      </w:r>
      <w:r>
        <w:t xml:space="preserve"> to study to re-enter the workforce as they had let their registration lapse.</w:t>
      </w:r>
    </w:p>
    <w:p w14:paraId="01BE18AB" w14:textId="77777777" w:rsidR="00552451" w:rsidRDefault="00552451" w:rsidP="00552451">
      <w:pPr>
        <w:pStyle w:val="Text"/>
      </w:pPr>
      <w:r>
        <w:t xml:space="preserve">Throughout the interview, it was evident that the students who held traineeships found the course much easier because they had built-in support mechanisms in their workplaces and did not have to participate in finding clinical placements. Having said that, the students on traineeships spoke of differing </w:t>
      </w:r>
      <w:r w:rsidR="00217B4E">
        <w:t>levels of support in their work</w:t>
      </w:r>
      <w:r>
        <w:t>places.</w:t>
      </w:r>
    </w:p>
    <w:p w14:paraId="01BE18AC" w14:textId="77777777" w:rsidR="00552451" w:rsidRDefault="00576997" w:rsidP="00552451">
      <w:pPr>
        <w:pStyle w:val="Text"/>
      </w:pPr>
      <w:r>
        <w:t>Several</w:t>
      </w:r>
      <w:r w:rsidR="00552451">
        <w:t xml:space="preserve"> the students came from families where at least one member was a health worker or had </w:t>
      </w:r>
      <w:r w:rsidR="00560D1B">
        <w:t>previously been a health worker</w:t>
      </w:r>
      <w:r w:rsidR="00552451">
        <w:t xml:space="preserve">. Where there wasn’t a health connection, there was </w:t>
      </w:r>
      <w:r w:rsidR="00217B4E">
        <w:t>an</w:t>
      </w:r>
      <w:r w:rsidR="00552451">
        <w:t xml:space="preserve">other in the family engaged in professions and management. All of them spoke about the role of family and community support in helping them </w:t>
      </w:r>
      <w:r w:rsidR="00217B4E">
        <w:t xml:space="preserve">to </w:t>
      </w:r>
      <w:r w:rsidR="00552451">
        <w:t>complete the course.</w:t>
      </w:r>
    </w:p>
    <w:p w14:paraId="01BE18AD" w14:textId="77777777" w:rsidR="00552451" w:rsidRDefault="00552451" w:rsidP="00552451">
      <w:pPr>
        <w:pStyle w:val="Text"/>
      </w:pPr>
      <w:r>
        <w:t xml:space="preserve">Many students acknowledged that they found it difficult being away from home for the </w:t>
      </w:r>
      <w:r w:rsidR="00217B4E">
        <w:t xml:space="preserve">16 </w:t>
      </w:r>
      <w:r w:rsidR="00D40BE1">
        <w:t xml:space="preserve">weeks per </w:t>
      </w:r>
      <w:r>
        <w:t>year for two years and that it put pressure on their families. On the benefit side, students also said that doing residential workshops gave them the opportunity to get their study done without any interruptions.</w:t>
      </w:r>
    </w:p>
    <w:p w14:paraId="01BE18AE" w14:textId="77777777" w:rsidR="00552451" w:rsidRDefault="00552451" w:rsidP="00552451">
      <w:pPr>
        <w:pStyle w:val="Text"/>
      </w:pPr>
      <w:r>
        <w:t>When asked why there w</w:t>
      </w:r>
      <w:r w:rsidR="004D2F84">
        <w:t>ere</w:t>
      </w:r>
      <w:r>
        <w:t xml:space="preserve"> only about </w:t>
      </w:r>
      <w:r w:rsidR="004D2F84">
        <w:t>15</w:t>
      </w:r>
      <w:r>
        <w:t xml:space="preserve"> students left </w:t>
      </w:r>
      <w:r w:rsidR="004D2F84">
        <w:t>from the</w:t>
      </w:r>
      <w:r>
        <w:t xml:space="preserve"> original group of </w:t>
      </w:r>
      <w:r w:rsidR="004D2F84">
        <w:t>40</w:t>
      </w:r>
      <w:r>
        <w:t xml:space="preserve">, </w:t>
      </w:r>
      <w:r w:rsidR="004D2F84">
        <w:t xml:space="preserve">the </w:t>
      </w:r>
      <w:r>
        <w:t xml:space="preserve">students said that a multitude of factors </w:t>
      </w:r>
      <w:r w:rsidR="004D2F84">
        <w:t>had</w:t>
      </w:r>
      <w:r>
        <w:t xml:space="preserve"> contributed to students ‘dropping out’ and that these included financial issues and family issues in the most part. They also stated that they have created a strong network between themselves and some</w:t>
      </w:r>
      <w:r w:rsidR="004D2F84">
        <w:t xml:space="preserve"> of those who left the program —</w:t>
      </w:r>
      <w:r>
        <w:t xml:space="preserve"> and that this professional network will continue. They also all identified that there were other things that they had got out of the course, including an increase in their self-confidence and </w:t>
      </w:r>
      <w:r w:rsidR="004D2F84">
        <w:t>an</w:t>
      </w:r>
      <w:r>
        <w:t xml:space="preserve"> awareness of their positioning as role models within their families and communities.</w:t>
      </w:r>
    </w:p>
    <w:p w14:paraId="01BE18AF" w14:textId="77777777" w:rsidR="00552451" w:rsidRDefault="00552451" w:rsidP="00552451">
      <w:pPr>
        <w:pStyle w:val="Text"/>
      </w:pPr>
      <w:r>
        <w:t xml:space="preserve">When asked what could be improved in the program, students identified </w:t>
      </w:r>
      <w:r w:rsidR="00D40BE1">
        <w:t xml:space="preserve">that </w:t>
      </w:r>
      <w:r>
        <w:t xml:space="preserve">the key </w:t>
      </w:r>
      <w:r w:rsidR="00D40BE1">
        <w:t>issue</w:t>
      </w:r>
      <w:r>
        <w:t xml:space="preserve"> that could be changed was to strengthen the connection between </w:t>
      </w:r>
      <w:r w:rsidR="004D2F84">
        <w:t>the institute</w:t>
      </w:r>
      <w:r>
        <w:t xml:space="preserve"> and the workplace, particularly </w:t>
      </w:r>
      <w:r w:rsidR="00D40BE1">
        <w:t>in relation to</w:t>
      </w:r>
      <w:r>
        <w:t xml:space="preserve"> the large number of observations that need to be done in the workplace and the repetition of some of these observations. Some also identified that they would like stronger communication with their workplace so that where there is a turnover in staff, the clinic staff are clear on their expectations. </w:t>
      </w:r>
    </w:p>
    <w:p w14:paraId="01BE18B0" w14:textId="77777777" w:rsidR="00552451" w:rsidRDefault="00552451" w:rsidP="00FC48FE">
      <w:pPr>
        <w:pStyle w:val="Heading4"/>
      </w:pPr>
      <w:bookmarkStart w:id="35" w:name="_Toc476240904"/>
      <w:r w:rsidRPr="00E5081C">
        <w:t>The</w:t>
      </w:r>
      <w:r>
        <w:t xml:space="preserve"> </w:t>
      </w:r>
      <w:r w:rsidR="009D0DA5">
        <w:t>t</w:t>
      </w:r>
      <w:r>
        <w:t xml:space="preserve">rainers’ </w:t>
      </w:r>
      <w:r w:rsidR="009D0DA5">
        <w:t>p</w:t>
      </w:r>
      <w:r>
        <w:t>erspective</w:t>
      </w:r>
      <w:bookmarkEnd w:id="35"/>
      <w:r w:rsidR="009D0DA5">
        <w:t>s</w:t>
      </w:r>
    </w:p>
    <w:p w14:paraId="01BE18B1" w14:textId="77777777" w:rsidR="00552451" w:rsidRPr="00E5081C" w:rsidRDefault="00552451" w:rsidP="00552451">
      <w:pPr>
        <w:pStyle w:val="Text"/>
      </w:pPr>
      <w:r w:rsidRPr="00E5081C">
        <w:t xml:space="preserve">It is not surprising </w:t>
      </w:r>
      <w:r>
        <w:t>that much of this was confirmed</w:t>
      </w:r>
      <w:r w:rsidRPr="00E5081C">
        <w:t xml:space="preserve"> by the training staff and the manager of the program. </w:t>
      </w:r>
      <w:r w:rsidR="00137D1E">
        <w:t>Reducing</w:t>
      </w:r>
      <w:r w:rsidRPr="00E5081C">
        <w:t xml:space="preserve"> the number of observations was identified as a need</w:t>
      </w:r>
      <w:r w:rsidR="00137D1E">
        <w:t>.</w:t>
      </w:r>
      <w:r w:rsidRPr="00E5081C">
        <w:t xml:space="preserve"> </w:t>
      </w:r>
      <w:r w:rsidR="00137D1E">
        <w:t xml:space="preserve">Also, </w:t>
      </w:r>
      <w:r w:rsidRPr="00E5081C">
        <w:t xml:space="preserve">the communication with the workplace and the employer was identified </w:t>
      </w:r>
      <w:r w:rsidR="00137D1E">
        <w:t>by the three staff interviewed</w:t>
      </w:r>
      <w:r w:rsidR="004D2F84">
        <w:t xml:space="preserve"> </w:t>
      </w:r>
      <w:r w:rsidR="00137D1E">
        <w:t>—</w:t>
      </w:r>
      <w:r w:rsidR="004D2F84">
        <w:t xml:space="preserve"> </w:t>
      </w:r>
      <w:r w:rsidRPr="00E5081C">
        <w:t>two</w:t>
      </w:r>
      <w:r w:rsidR="00137D1E">
        <w:t xml:space="preserve"> </w:t>
      </w:r>
      <w:r w:rsidRPr="00E5081C">
        <w:t xml:space="preserve">Aboriginal trainers who had both been </w:t>
      </w:r>
      <w:r w:rsidR="004D2F84">
        <w:rPr>
          <w:rStyle w:val="fn"/>
          <w:rFonts w:cs="Helvetica"/>
          <w:bCs/>
        </w:rPr>
        <w:t xml:space="preserve">Aboriginal and Torres Strait Islander </w:t>
      </w:r>
      <w:r w:rsidR="00D40BE1">
        <w:rPr>
          <w:rStyle w:val="fn"/>
          <w:rFonts w:cs="Helvetica"/>
          <w:bCs/>
        </w:rPr>
        <w:t>primary health care</w:t>
      </w:r>
      <w:r w:rsidR="00D40BE1" w:rsidRPr="00E5081C">
        <w:t xml:space="preserve"> </w:t>
      </w:r>
      <w:r w:rsidRPr="00E5081C">
        <w:t>workers</w:t>
      </w:r>
      <w:r w:rsidR="00137D1E">
        <w:t>,</w:t>
      </w:r>
      <w:r w:rsidRPr="00E5081C">
        <w:t xml:space="preserve"> and the program manager who is a non-Indigenous nurse educator. All three are very experienced trainers and health practitioners.</w:t>
      </w:r>
    </w:p>
    <w:p w14:paraId="01BE18B2" w14:textId="77777777" w:rsidR="00552451" w:rsidRPr="00E5081C" w:rsidRDefault="00552451" w:rsidP="00552451">
      <w:pPr>
        <w:pStyle w:val="Text"/>
      </w:pPr>
      <w:r w:rsidRPr="00E5081C">
        <w:t xml:space="preserve">All three identified that the key reasons for students leaving the program were personal reasons, which included </w:t>
      </w:r>
      <w:r w:rsidR="004D2F84">
        <w:t>issues such as students becoming home</w:t>
      </w:r>
      <w:r w:rsidRPr="00E5081C">
        <w:t>sick from being a</w:t>
      </w:r>
      <w:r w:rsidR="004D2F84">
        <w:t>way from home and C</w:t>
      </w:r>
      <w:r w:rsidRPr="00E5081C">
        <w:t>ountry for so long, and their partners becoming jealous for them. They also talked about English language, literacy and numeracy being an issue for many students.</w:t>
      </w:r>
    </w:p>
    <w:p w14:paraId="01BE18B3" w14:textId="77777777" w:rsidR="00552451" w:rsidRPr="00E5081C" w:rsidRDefault="00552451" w:rsidP="00552451">
      <w:pPr>
        <w:pStyle w:val="Text"/>
      </w:pPr>
      <w:r w:rsidRPr="00E5081C">
        <w:t xml:space="preserve">One interesting factor raised during the interviews was the </w:t>
      </w:r>
      <w:r w:rsidR="004D2F84">
        <w:t>lack of self-responsibility</w:t>
      </w:r>
      <w:r w:rsidRPr="00E5081C">
        <w:t xml:space="preserve"> </w:t>
      </w:r>
      <w:r w:rsidR="004D2F84">
        <w:t>when</w:t>
      </w:r>
      <w:r w:rsidRPr="00E5081C">
        <w:t xml:space="preserve"> students did not turn up to workshops, even though </w:t>
      </w:r>
      <w:r w:rsidR="00137D1E" w:rsidRPr="00E5081C">
        <w:t>all</w:t>
      </w:r>
      <w:r w:rsidRPr="00E5081C">
        <w:t xml:space="preserve"> </w:t>
      </w:r>
      <w:r w:rsidR="004D2F84">
        <w:t xml:space="preserve">of </w:t>
      </w:r>
      <w:r w:rsidRPr="00E5081C">
        <w:t>their travel, which is fully funded, was booked. In 2016, fees have been introduced and the manager reported that thi</w:t>
      </w:r>
      <w:r w:rsidR="004D2F84">
        <w:t>s is having a positive impact, with</w:t>
      </w:r>
      <w:r w:rsidRPr="00E5081C">
        <w:t xml:space="preserve"> students having to take stronger ownership of their studies. </w:t>
      </w:r>
    </w:p>
    <w:p w14:paraId="01BE18B4" w14:textId="77777777" w:rsidR="00552451" w:rsidRPr="00E5081C" w:rsidRDefault="00552451" w:rsidP="00552451">
      <w:pPr>
        <w:pStyle w:val="Text"/>
      </w:pPr>
      <w:r w:rsidRPr="00E5081C">
        <w:t xml:space="preserve">Another </w:t>
      </w:r>
      <w:r w:rsidR="004D2F84">
        <w:t>issue</w:t>
      </w:r>
      <w:r w:rsidRPr="00E5081C">
        <w:t xml:space="preserve"> confirmed by the training staff was the importance of the relationship between the RTO and the workplace and that if there</w:t>
      </w:r>
      <w:r w:rsidR="00D40BE1">
        <w:t xml:space="preserve"> isn’t a good relationship</w:t>
      </w:r>
      <w:r w:rsidRPr="00E5081C">
        <w:t>, or there is high turnover of staff, then this impacts negatively on the students. The training staff identified also the specific role and importance of the workforce development coordinators</w:t>
      </w:r>
      <w:r w:rsidR="004D2F84">
        <w:t>,</w:t>
      </w:r>
      <w:r w:rsidRPr="00E5081C">
        <w:t xml:space="preserve"> who are employed to support the trainees and the workplaces to help with programs.</w:t>
      </w:r>
    </w:p>
    <w:p w14:paraId="01BE18B5" w14:textId="77777777" w:rsidR="00552451" w:rsidRPr="00E5081C" w:rsidRDefault="00552451" w:rsidP="00552451">
      <w:pPr>
        <w:pStyle w:val="Text"/>
      </w:pPr>
      <w:r w:rsidRPr="00E5081C">
        <w:t xml:space="preserve">The training staff also identified that students develop their professional identities through their training and their knowledge about workplace behaviours and expectations, particularly their legal responsibilities </w:t>
      </w:r>
      <w:r w:rsidR="00D40BE1">
        <w:t>relating to</w:t>
      </w:r>
      <w:r w:rsidRPr="00E5081C">
        <w:t xml:space="preserve"> their health practices.</w:t>
      </w:r>
    </w:p>
    <w:p w14:paraId="01BE18B6" w14:textId="77777777" w:rsidR="00552451" w:rsidRPr="00E5081C" w:rsidRDefault="00552451" w:rsidP="00552451">
      <w:pPr>
        <w:pStyle w:val="Text"/>
      </w:pPr>
      <w:r w:rsidRPr="00E5081C">
        <w:t>When asked about the program itself, the trainers cited professionalism</w:t>
      </w:r>
      <w:r w:rsidR="004D2F84">
        <w:t>,</w:t>
      </w:r>
      <w:r w:rsidRPr="00E5081C">
        <w:t xml:space="preserve"> communication, teamwork, respect and strong leadership as key factors to the program running well. They also spoke of the importance of the role that the graduates play in t</w:t>
      </w:r>
      <w:r w:rsidR="004D2F84">
        <w:t>he health of their communities —</w:t>
      </w:r>
      <w:r w:rsidRPr="00E5081C">
        <w:t xml:space="preserve"> that the graduates develop self-confidence to become strong advocates for health in their communities and that this is fostered throughout the course.</w:t>
      </w:r>
    </w:p>
    <w:p w14:paraId="01BE18B7" w14:textId="77777777" w:rsidR="00552451" w:rsidRPr="00E5081C" w:rsidRDefault="00552451" w:rsidP="00552451">
      <w:pPr>
        <w:pStyle w:val="Text"/>
      </w:pPr>
      <w:r w:rsidRPr="00E5081C">
        <w:t xml:space="preserve">Some </w:t>
      </w:r>
      <w:r w:rsidR="004D2F84">
        <w:t>aspects</w:t>
      </w:r>
      <w:r w:rsidRPr="00E5081C">
        <w:t xml:space="preserve"> that could be changed in the course were identified as: using technology more to support students when they are back at work; training the clinical staff in mentoring; </w:t>
      </w:r>
      <w:r w:rsidR="004D2F84">
        <w:t xml:space="preserve">and </w:t>
      </w:r>
      <w:r w:rsidRPr="00E5081C">
        <w:t>strengthening the relationship with the workforce development coordinators.</w:t>
      </w:r>
    </w:p>
    <w:p w14:paraId="01BE18B8" w14:textId="77777777" w:rsidR="00552451" w:rsidRDefault="00576997" w:rsidP="00FC48FE">
      <w:pPr>
        <w:pStyle w:val="Heading4"/>
      </w:pPr>
      <w:bookmarkStart w:id="36" w:name="_Toc476240905"/>
      <w:r>
        <w:t>A m</w:t>
      </w:r>
      <w:r w:rsidR="00552451">
        <w:t xml:space="preserve">ajor </w:t>
      </w:r>
      <w:r>
        <w:t>e</w:t>
      </w:r>
      <w:r w:rsidR="00552451" w:rsidRPr="00E5081C">
        <w:t>mployer’s</w:t>
      </w:r>
      <w:r w:rsidR="00552451">
        <w:t xml:space="preserve"> </w:t>
      </w:r>
      <w:r>
        <w:t>p</w:t>
      </w:r>
      <w:r w:rsidR="00552451">
        <w:t>erspective</w:t>
      </w:r>
      <w:bookmarkEnd w:id="36"/>
    </w:p>
    <w:p w14:paraId="01BE18B9" w14:textId="77777777" w:rsidR="00552451" w:rsidRDefault="00552451" w:rsidP="00552451">
      <w:pPr>
        <w:pStyle w:val="Text"/>
      </w:pPr>
      <w:r>
        <w:t>In an interview with a senior member of the employing agency’s workforce development team, th</w:t>
      </w:r>
      <w:r w:rsidR="00D40BE1">
        <w:t xml:space="preserve">e </w:t>
      </w:r>
      <w:r>
        <w:t xml:space="preserve">issue of strengthening the support structures was highlighted as a key </w:t>
      </w:r>
      <w:r w:rsidR="00D40BE1">
        <w:t>area</w:t>
      </w:r>
      <w:r>
        <w:t xml:space="preserve"> for improvement in the program. This was seen as pivotal to the success of the program</w:t>
      </w:r>
      <w:r w:rsidR="00D40BE1">
        <w:t>,</w:t>
      </w:r>
      <w:r>
        <w:t xml:space="preserve"> </w:t>
      </w:r>
      <w:r w:rsidR="00D40BE1">
        <w:t>as was being able</w:t>
      </w:r>
      <w:r>
        <w:t xml:space="preserve"> to provide continuity of support even when there is the high turnover of clinic support staff, which is the reality for many communities. </w:t>
      </w:r>
    </w:p>
    <w:p w14:paraId="01BE18BA" w14:textId="77777777" w:rsidR="00552451" w:rsidRDefault="00552451" w:rsidP="00552451">
      <w:pPr>
        <w:pStyle w:val="Text"/>
      </w:pPr>
      <w:r>
        <w:t xml:space="preserve">The other key </w:t>
      </w:r>
      <w:r w:rsidR="004D2F84">
        <w:t>issue</w:t>
      </w:r>
      <w:r>
        <w:t xml:space="preserve"> highlighted in the interview w</w:t>
      </w:r>
      <w:r w:rsidR="004D2F84">
        <w:t>ere</w:t>
      </w:r>
      <w:r>
        <w:t xml:space="preserve"> the </w:t>
      </w:r>
      <w:r w:rsidR="00D40BE1">
        <w:t>extremely</w:t>
      </w:r>
      <w:r>
        <w:t xml:space="preserve"> high standards expected </w:t>
      </w:r>
      <w:r w:rsidR="00D40BE1">
        <w:t>from</w:t>
      </w:r>
      <w:r>
        <w:t xml:space="preserve"> the regulator and the training qualification</w:t>
      </w:r>
      <w:r w:rsidR="004D2F84">
        <w:t>,</w:t>
      </w:r>
      <w:r>
        <w:t xml:space="preserve"> and that </w:t>
      </w:r>
      <w:r w:rsidR="00D40BE1">
        <w:t xml:space="preserve">being unable to </w:t>
      </w:r>
      <w:r>
        <w:t xml:space="preserve">meet those standards had contributed to the high </w:t>
      </w:r>
      <w:r w:rsidR="00D40BE1">
        <w:t>attrition</w:t>
      </w:r>
      <w:r>
        <w:t xml:space="preserve"> rate. So, on the one hand, the program was a success because it was graduating job-ready health practitioners, but</w:t>
      </w:r>
      <w:r w:rsidR="004D2F84">
        <w:t>,</w:t>
      </w:r>
      <w:r>
        <w:t xml:space="preserve"> on the other hand, recruitment to the course was difficult because of the low education levels in many remote communities. Strengthening the pathways into the course was one recommendation made during the interview.</w:t>
      </w:r>
    </w:p>
    <w:bookmarkEnd w:id="29"/>
    <w:p w14:paraId="01BE18BB" w14:textId="77777777" w:rsidR="00552451" w:rsidRDefault="00576997" w:rsidP="00FC48FE">
      <w:pPr>
        <w:pStyle w:val="Heading3"/>
      </w:pPr>
      <w:r>
        <w:t>Discussion</w:t>
      </w:r>
    </w:p>
    <w:p w14:paraId="01BE18BC" w14:textId="77777777" w:rsidR="00552451" w:rsidRDefault="00552451" w:rsidP="00552451">
      <w:pPr>
        <w:pStyle w:val="Text"/>
      </w:pPr>
      <w:r w:rsidRPr="001F11B8">
        <w:t xml:space="preserve">Through interviews with students, trainers and employers, it was </w:t>
      </w:r>
      <w:r w:rsidR="00137D1E">
        <w:t>shown</w:t>
      </w:r>
      <w:r w:rsidRPr="001F11B8">
        <w:t xml:space="preserve"> that </w:t>
      </w:r>
      <w:r w:rsidR="00137D1E">
        <w:t>several elements</w:t>
      </w:r>
      <w:r w:rsidRPr="001F11B8">
        <w:t xml:space="preserve"> contribute to the success of the program</w:t>
      </w:r>
      <w:r w:rsidR="004D2F84">
        <w:t>,</w:t>
      </w:r>
      <w:r w:rsidR="00D40BE1">
        <w:t xml:space="preserve"> with the key element</w:t>
      </w:r>
      <w:r>
        <w:t xml:space="preserve"> being a culturally appropriate training approach </w:t>
      </w:r>
      <w:r w:rsidR="004D2F84">
        <w:rPr>
          <w:noProof/>
        </w:rPr>
        <w:t>(D'Aprano</w:t>
      </w:r>
      <w:r>
        <w:rPr>
          <w:noProof/>
        </w:rPr>
        <w:t xml:space="preserve"> et al. 2015)</w:t>
      </w:r>
      <w:r w:rsidR="004D2F84">
        <w:t>, which</w:t>
      </w:r>
      <w:r>
        <w:t xml:space="preserve"> focuses on relationships and learning together. Also evident is that </w:t>
      </w:r>
      <w:r w:rsidRPr="001F11B8">
        <w:t xml:space="preserve">the program is </w:t>
      </w:r>
      <w:r w:rsidR="00137D1E">
        <w:t>affected</w:t>
      </w:r>
      <w:r w:rsidRPr="001F11B8">
        <w:t xml:space="preserve"> when there is a lack of coordination between the </w:t>
      </w:r>
      <w:r w:rsidR="004D2F84">
        <w:t>registered training organisation (</w:t>
      </w:r>
      <w:r w:rsidRPr="001F11B8">
        <w:t>RTO</w:t>
      </w:r>
      <w:r w:rsidR="004D2F84">
        <w:t>)</w:t>
      </w:r>
      <w:r w:rsidRPr="001F11B8">
        <w:t xml:space="preserve">, the health centre and the central employing agency. </w:t>
      </w:r>
    </w:p>
    <w:p w14:paraId="01BE18BD" w14:textId="77777777" w:rsidR="00552451" w:rsidRPr="001F11B8" w:rsidRDefault="00552451" w:rsidP="00552451">
      <w:pPr>
        <w:pStyle w:val="Text"/>
      </w:pPr>
      <w:r>
        <w:t xml:space="preserve">For </w:t>
      </w:r>
      <w:r w:rsidRPr="001F11B8">
        <w:t xml:space="preserve">many students, the issues which </w:t>
      </w:r>
      <w:r w:rsidR="004D2F84">
        <w:t>prompt</w:t>
      </w:r>
      <w:r w:rsidRPr="001F11B8">
        <w:t xml:space="preserve"> them to leave the program are personal factors rather than education and training approaches. </w:t>
      </w:r>
      <w:r w:rsidR="00137D1E" w:rsidRPr="001F11B8">
        <w:t>To</w:t>
      </w:r>
      <w:r w:rsidRPr="001F11B8">
        <w:t xml:space="preserve"> minimise the impact of these issues, the program has evolved to incorporate approp</w:t>
      </w:r>
      <w:r w:rsidR="004D2F84">
        <w:t xml:space="preserve">riate support mechanisms, which comprise </w:t>
      </w:r>
      <w:r w:rsidRPr="001F11B8">
        <w:t xml:space="preserve">a combination of factors </w:t>
      </w:r>
      <w:r w:rsidR="00D40BE1">
        <w:t>designed to address</w:t>
      </w:r>
      <w:r w:rsidRPr="001F11B8">
        <w:t xml:space="preserve"> retention and completion rates in this program.</w:t>
      </w:r>
    </w:p>
    <w:p w14:paraId="01BE18BE" w14:textId="77777777" w:rsidR="00552451" w:rsidRPr="001F11B8" w:rsidRDefault="00552451" w:rsidP="00552451">
      <w:pPr>
        <w:pStyle w:val="Text"/>
      </w:pPr>
      <w:r w:rsidRPr="001F11B8">
        <w:t xml:space="preserve">Retention and completion are highest where </w:t>
      </w:r>
      <w:r w:rsidR="00576997" w:rsidRPr="001F11B8">
        <w:t>several</w:t>
      </w:r>
      <w:r w:rsidRPr="001F11B8">
        <w:t xml:space="preserve"> factors </w:t>
      </w:r>
      <w:r w:rsidR="00137D1E" w:rsidRPr="001F11B8">
        <w:t>combine</w:t>
      </w:r>
      <w:r w:rsidRPr="001F11B8">
        <w:t xml:space="preserve"> to support students:</w:t>
      </w:r>
    </w:p>
    <w:p w14:paraId="01BE18BF" w14:textId="77777777" w:rsidR="00552451" w:rsidRDefault="00552451" w:rsidP="00552451">
      <w:pPr>
        <w:pStyle w:val="Dotpoint1"/>
      </w:pPr>
      <w:r>
        <w:t>Workplace and pathways</w:t>
      </w:r>
    </w:p>
    <w:p w14:paraId="01BE18C0" w14:textId="77777777" w:rsidR="00552451" w:rsidRDefault="004D2F84" w:rsidP="00552451">
      <w:pPr>
        <w:pStyle w:val="Dotpoint2"/>
      </w:pPr>
      <w:r>
        <w:t>b</w:t>
      </w:r>
      <w:r w:rsidR="00552451">
        <w:t xml:space="preserve">eing employed through a traineeship </w:t>
      </w:r>
    </w:p>
    <w:p w14:paraId="01BE18C1" w14:textId="77777777" w:rsidR="00552451" w:rsidRDefault="004D2F84" w:rsidP="00552451">
      <w:pPr>
        <w:pStyle w:val="Dotpoint2"/>
      </w:pPr>
      <w:r>
        <w:t>t</w:t>
      </w:r>
      <w:r w:rsidR="00552451">
        <w:t>he coordinated support with the workplace</w:t>
      </w:r>
    </w:p>
    <w:p w14:paraId="01BE18C2" w14:textId="77777777" w:rsidR="00552451" w:rsidRDefault="004D2F84" w:rsidP="00552451">
      <w:pPr>
        <w:pStyle w:val="Dotpoint2"/>
      </w:pPr>
      <w:r>
        <w:t>s</w:t>
      </w:r>
      <w:r w:rsidR="00552451">
        <w:t>trong pathways into the course</w:t>
      </w:r>
      <w:r>
        <w:t>.</w:t>
      </w:r>
    </w:p>
    <w:p w14:paraId="01BE18C3" w14:textId="77777777" w:rsidR="00552451" w:rsidRDefault="00552451" w:rsidP="00552451">
      <w:pPr>
        <w:pStyle w:val="Dotpoint1"/>
      </w:pPr>
      <w:r>
        <w:t>Workshops as on-campus intensives</w:t>
      </w:r>
    </w:p>
    <w:p w14:paraId="01BE18C4" w14:textId="77777777" w:rsidR="00552451" w:rsidRDefault="00B40F74" w:rsidP="00552451">
      <w:pPr>
        <w:pStyle w:val="Dotpoint2"/>
      </w:pPr>
      <w:r>
        <w:t>t</w:t>
      </w:r>
      <w:r w:rsidR="00552451">
        <w:t>he workshop</w:t>
      </w:r>
      <w:r>
        <w:t>-based program allowing a focus</w:t>
      </w:r>
      <w:r w:rsidR="00552451">
        <w:t>ed study opportunity</w:t>
      </w:r>
      <w:r>
        <w:t>.</w:t>
      </w:r>
    </w:p>
    <w:p w14:paraId="01BE18C5" w14:textId="77777777" w:rsidR="00552451" w:rsidRDefault="00552451" w:rsidP="00552451">
      <w:pPr>
        <w:pStyle w:val="Dotpoint1"/>
      </w:pPr>
      <w:r>
        <w:t>Personal support</w:t>
      </w:r>
    </w:p>
    <w:p w14:paraId="01BE18C6" w14:textId="77777777" w:rsidR="00552451" w:rsidRDefault="00B40F74" w:rsidP="00552451">
      <w:pPr>
        <w:pStyle w:val="Dotpoint2"/>
      </w:pPr>
      <w:r>
        <w:t>t</w:t>
      </w:r>
      <w:r w:rsidR="00552451">
        <w:t>he relationships between students and staff</w:t>
      </w:r>
    </w:p>
    <w:p w14:paraId="01BE18C7" w14:textId="77777777" w:rsidR="00552451" w:rsidRDefault="00B40F74" w:rsidP="00552451">
      <w:pPr>
        <w:pStyle w:val="Dotpoint2"/>
      </w:pPr>
      <w:r>
        <w:t>f</w:t>
      </w:r>
      <w:r w:rsidR="00552451">
        <w:t>amily support and role models within the family</w:t>
      </w:r>
      <w:r>
        <w:t>.</w:t>
      </w:r>
    </w:p>
    <w:p w14:paraId="01BE18C8" w14:textId="77777777" w:rsidR="00552451" w:rsidRDefault="00552451" w:rsidP="00FC48FE">
      <w:pPr>
        <w:pStyle w:val="Heading3"/>
      </w:pPr>
      <w:bookmarkStart w:id="37" w:name="_Toc476240907"/>
      <w:r>
        <w:t>Conclusion</w:t>
      </w:r>
      <w:bookmarkEnd w:id="37"/>
    </w:p>
    <w:p w14:paraId="01BE18C9" w14:textId="77777777" w:rsidR="00552451" w:rsidRPr="00AC2646" w:rsidRDefault="00552451" w:rsidP="00552451">
      <w:pPr>
        <w:pStyle w:val="Text"/>
      </w:pPr>
      <w:r w:rsidRPr="00AC2646">
        <w:t>This short case study has highlighted the need to interrogate t</w:t>
      </w:r>
      <w:r w:rsidR="00B40F74">
        <w:t>he term ‘success’ in our policy-</w:t>
      </w:r>
      <w:r w:rsidRPr="00AC2646">
        <w:t xml:space="preserve">making approaches. </w:t>
      </w:r>
      <w:r>
        <w:t>This program is successful</w:t>
      </w:r>
      <w:r w:rsidRPr="00AC2646">
        <w:t xml:space="preserve"> because it is contributing </w:t>
      </w:r>
      <w:r w:rsidR="00B40F74">
        <w:t>15</w:t>
      </w:r>
      <w:r w:rsidRPr="00AC2646">
        <w:t xml:space="preserve"> new nationally registered </w:t>
      </w:r>
      <w:r w:rsidR="00B40F74">
        <w:rPr>
          <w:rStyle w:val="fn"/>
          <w:rFonts w:cs="Helvetica"/>
          <w:bCs/>
        </w:rPr>
        <w:t xml:space="preserve">Aboriginal and Torres Strait Islander </w:t>
      </w:r>
      <w:r w:rsidR="00F61739">
        <w:rPr>
          <w:rStyle w:val="fn"/>
          <w:rFonts w:cs="Helvetica"/>
          <w:bCs/>
        </w:rPr>
        <w:t>primary health care</w:t>
      </w:r>
      <w:r w:rsidR="00F61739" w:rsidRPr="00AC2646">
        <w:t xml:space="preserve"> </w:t>
      </w:r>
      <w:r w:rsidRPr="00AC2646">
        <w:t>practitioners to the health sector each year</w:t>
      </w:r>
      <w:r w:rsidR="00B40F74">
        <w:t>,</w:t>
      </w:r>
      <w:r w:rsidRPr="00AC2646">
        <w:t xml:space="preserve"> with those workers having a wider and positive impact across their communities</w:t>
      </w:r>
      <w:r w:rsidR="00B40F74">
        <w:t>. In contrast</w:t>
      </w:r>
      <w:r>
        <w:t xml:space="preserve"> to this is the low completion rate in the program, which is a typical indicator of lack of succ</w:t>
      </w:r>
      <w:r w:rsidR="00B40F74">
        <w:t xml:space="preserve">ess </w:t>
      </w:r>
      <w:r>
        <w:t>in the training sector.</w:t>
      </w:r>
      <w:r w:rsidRPr="00AC2646">
        <w:t xml:space="preserve"> </w:t>
      </w:r>
    </w:p>
    <w:p w14:paraId="01BE18CA" w14:textId="77777777" w:rsidR="00552451" w:rsidRPr="00552451" w:rsidRDefault="00552451" w:rsidP="00552451">
      <w:pPr>
        <w:pStyle w:val="Text"/>
      </w:pPr>
      <w:r>
        <w:t xml:space="preserve">This case study has </w:t>
      </w:r>
      <w:r w:rsidR="00137D1E">
        <w:t>described</w:t>
      </w:r>
      <w:r>
        <w:t xml:space="preserve"> a well-organised, appropriate and</w:t>
      </w:r>
      <w:r w:rsidRPr="00AC2646">
        <w:t xml:space="preserve"> rigorous </w:t>
      </w:r>
      <w:r>
        <w:t>program</w:t>
      </w:r>
      <w:r w:rsidR="00B40F74">
        <w:t>, one</w:t>
      </w:r>
      <w:r>
        <w:t xml:space="preserve"> </w:t>
      </w:r>
      <w:r w:rsidR="00F61739">
        <w:t>that</w:t>
      </w:r>
      <w:r>
        <w:t xml:space="preserve"> meets </w:t>
      </w:r>
      <w:r w:rsidRPr="00AC2646">
        <w:t>the needs of the profession</w:t>
      </w:r>
      <w:r>
        <w:t xml:space="preserve">, but which can be improved, particularly through a strengthened </w:t>
      </w:r>
      <w:r w:rsidRPr="00AC2646">
        <w:t>coordination between the RTO, the health centre and the central employing agency.</w:t>
      </w:r>
      <w:r w:rsidR="00F107E1" w:rsidRPr="00F107E1">
        <w:t xml:space="preserve"> </w:t>
      </w:r>
      <w:r w:rsidRPr="00AC2646">
        <w:t>Work on the supported pathway in</w:t>
      </w:r>
      <w:r w:rsidR="00F61739">
        <w:t>to</w:t>
      </w:r>
      <w:r w:rsidRPr="00AC2646">
        <w:t xml:space="preserve"> and the mentoring through the program and </w:t>
      </w:r>
      <w:r w:rsidR="00B40F74">
        <w:t xml:space="preserve">after </w:t>
      </w:r>
      <w:r w:rsidRPr="00AC2646">
        <w:t xml:space="preserve">graduation and the strengthened communication will make a strong impact on </w:t>
      </w:r>
      <w:r w:rsidR="00F61739">
        <w:t xml:space="preserve">the </w:t>
      </w:r>
      <w:r w:rsidR="00F61739" w:rsidRPr="00AC2646">
        <w:t xml:space="preserve">retention </w:t>
      </w:r>
      <w:r w:rsidR="00F61739">
        <w:t>of some students</w:t>
      </w:r>
      <w:r w:rsidRPr="00AC2646">
        <w:t xml:space="preserve"> in the program. For many students, however, the issues which </w:t>
      </w:r>
      <w:r w:rsidR="00B40F74">
        <w:t>prompt</w:t>
      </w:r>
      <w:r w:rsidRPr="00AC2646">
        <w:t xml:space="preserve"> them to leave the program are not ones over which the program has any control</w:t>
      </w:r>
      <w:r w:rsidR="00F61739">
        <w:t>, so</w:t>
      </w:r>
      <w:r w:rsidRPr="00AC2646">
        <w:t xml:space="preserve"> must be seen as a reality of training at this level in this space. </w:t>
      </w:r>
    </w:p>
    <w:p w14:paraId="01BE18CB" w14:textId="77777777" w:rsidR="00DB6F74" w:rsidRDefault="00DB6F74" w:rsidP="00DB6F74">
      <w:pPr>
        <w:pStyle w:val="Text"/>
      </w:pPr>
    </w:p>
    <w:p w14:paraId="01BE18CC" w14:textId="77777777" w:rsidR="00DB6F74" w:rsidRDefault="00DB6F74" w:rsidP="00DB6F74">
      <w:pPr>
        <w:pStyle w:val="Text"/>
        <w:sectPr w:rsidR="00DB6F74" w:rsidSect="009775C7">
          <w:pgSz w:w="11907" w:h="16840" w:code="9"/>
          <w:pgMar w:top="1276" w:right="1701" w:bottom="1276" w:left="1418" w:header="709" w:footer="556" w:gutter="0"/>
          <w:cols w:space="708" w:equalWidth="0">
            <w:col w:w="8788"/>
          </w:cols>
          <w:docGrid w:linePitch="360"/>
        </w:sectPr>
      </w:pPr>
    </w:p>
    <w:p w14:paraId="100DD13E" w14:textId="77777777" w:rsidR="00A961ED" w:rsidRDefault="00FC48FE" w:rsidP="00DB6F74">
      <w:pPr>
        <w:pStyle w:val="Heading1"/>
      </w:pPr>
      <w:bookmarkStart w:id="38" w:name="_Toc480296492"/>
      <w:r>
        <w:t>Case study three</w:t>
      </w:r>
    </w:p>
    <w:p w14:paraId="01BE18CD" w14:textId="7D2102F9" w:rsidR="00DB6F74" w:rsidRPr="00FC48FE" w:rsidRDefault="00DB6F74" w:rsidP="00DB6F74">
      <w:pPr>
        <w:pStyle w:val="Heading1"/>
        <w:rPr>
          <w:rStyle w:val="Heading2Char"/>
        </w:rPr>
      </w:pPr>
      <w:r w:rsidRPr="00FC48FE">
        <w:rPr>
          <w:rStyle w:val="Heading2Char"/>
        </w:rPr>
        <w:t>Yes</w:t>
      </w:r>
      <w:r w:rsidR="00137D1E" w:rsidRPr="00FC48FE">
        <w:rPr>
          <w:rStyle w:val="Heading2Char"/>
        </w:rPr>
        <w:t>,</w:t>
      </w:r>
      <w:r w:rsidRPr="00FC48FE">
        <w:rPr>
          <w:rStyle w:val="Heading2Char"/>
        </w:rPr>
        <w:t xml:space="preserve"> I Can </w:t>
      </w:r>
      <w:r w:rsidR="00B40F74" w:rsidRPr="00FC48FE">
        <w:rPr>
          <w:rStyle w:val="Heading2Char"/>
        </w:rPr>
        <w:t>adult literacy campaign</w:t>
      </w:r>
      <w:bookmarkEnd w:id="38"/>
    </w:p>
    <w:p w14:paraId="01BE18CE" w14:textId="77777777" w:rsidR="00DB6F74" w:rsidRPr="00C9724B" w:rsidRDefault="00DB6F74" w:rsidP="007F3F0E">
      <w:pPr>
        <w:pStyle w:val="Heading3"/>
      </w:pPr>
      <w:r w:rsidRPr="00C9724B">
        <w:t xml:space="preserve">Introduction </w:t>
      </w:r>
    </w:p>
    <w:p w14:paraId="01BE18CF" w14:textId="767C0749" w:rsidR="00DB6F74" w:rsidRPr="00EC19DA" w:rsidRDefault="00DB6F74" w:rsidP="00D35E06">
      <w:pPr>
        <w:pStyle w:val="Text"/>
        <w:rPr>
          <w:sz w:val="22"/>
          <w:szCs w:val="22"/>
          <w:lang w:val="en-GB"/>
        </w:rPr>
      </w:pPr>
      <w:r w:rsidRPr="00F61739">
        <w:t>Yes, I Can</w:t>
      </w:r>
      <w:r w:rsidRPr="00790734">
        <w:t xml:space="preserve"> </w:t>
      </w:r>
      <w:r w:rsidRPr="006A0907">
        <w:t xml:space="preserve">(or </w:t>
      </w:r>
      <w:proofErr w:type="spellStart"/>
      <w:r w:rsidRPr="006A0907">
        <w:t>Yo</w:t>
      </w:r>
      <w:proofErr w:type="spellEnd"/>
      <w:r w:rsidRPr="006A0907">
        <w:t xml:space="preserve"> Si </w:t>
      </w:r>
      <w:proofErr w:type="spellStart"/>
      <w:r w:rsidRPr="006A0907">
        <w:t>Pu</w:t>
      </w:r>
      <w:r>
        <w:t>e</w:t>
      </w:r>
      <w:r w:rsidR="00F61739">
        <w:t>do</w:t>
      </w:r>
      <w:proofErr w:type="spellEnd"/>
      <w:r w:rsidRPr="006A0907">
        <w:t>)</w:t>
      </w:r>
      <w:r w:rsidRPr="00790734">
        <w:t xml:space="preserve"> is a</w:t>
      </w:r>
      <w:r>
        <w:t>n adult</w:t>
      </w:r>
      <w:r w:rsidRPr="00790734">
        <w:t xml:space="preserve"> literacy campaign </w:t>
      </w:r>
      <w:r>
        <w:t>that aims to</w:t>
      </w:r>
      <w:r w:rsidRPr="00790734">
        <w:t xml:space="preserve"> achieve population-level change</w:t>
      </w:r>
      <w:r>
        <w:t xml:space="preserve"> </w:t>
      </w:r>
      <w:r>
        <w:rPr>
          <w:noProof/>
        </w:rPr>
        <w:t xml:space="preserve">(Boughton </w:t>
      </w:r>
      <w:r w:rsidR="00B40F74">
        <w:rPr>
          <w:noProof/>
        </w:rPr>
        <w:t>&amp; Durnan 2014</w:t>
      </w:r>
      <w:r>
        <w:rPr>
          <w:noProof/>
        </w:rPr>
        <w:t>)</w:t>
      </w:r>
      <w:r w:rsidRPr="00790734">
        <w:t xml:space="preserve">. </w:t>
      </w:r>
      <w:r>
        <w:t xml:space="preserve">It </w:t>
      </w:r>
      <w:r w:rsidRPr="00CE6E7E">
        <w:t>was</w:t>
      </w:r>
      <w:r w:rsidRPr="00790734">
        <w:t xml:space="preserve"> first piloted in Australia in </w:t>
      </w:r>
      <w:r>
        <w:t>2012</w:t>
      </w:r>
      <w:r w:rsidRPr="00790734">
        <w:t xml:space="preserve"> in Wilcannia, </w:t>
      </w:r>
      <w:r>
        <w:t>a community in the</w:t>
      </w:r>
      <w:r w:rsidR="00B40F74">
        <w:t xml:space="preserve"> </w:t>
      </w:r>
      <w:proofErr w:type="spellStart"/>
      <w:r w:rsidR="00B40F74">
        <w:t>Murdi</w:t>
      </w:r>
      <w:proofErr w:type="spellEnd"/>
      <w:r w:rsidR="00B40F74">
        <w:t xml:space="preserve"> </w:t>
      </w:r>
      <w:proofErr w:type="spellStart"/>
      <w:r w:rsidR="00B40F74">
        <w:t>Paaki</w:t>
      </w:r>
      <w:proofErr w:type="spellEnd"/>
      <w:r w:rsidR="00B40F74">
        <w:t xml:space="preserve"> region of </w:t>
      </w:r>
      <w:proofErr w:type="spellStart"/>
      <w:r w:rsidR="00B40F74">
        <w:t>north</w:t>
      </w:r>
      <w:r w:rsidRPr="00790734">
        <w:t>western</w:t>
      </w:r>
      <w:proofErr w:type="spellEnd"/>
      <w:r w:rsidRPr="00790734">
        <w:t xml:space="preserve"> NSW</w:t>
      </w:r>
      <w:r>
        <w:t xml:space="preserve"> </w:t>
      </w:r>
      <w:r>
        <w:rPr>
          <w:noProof/>
        </w:rPr>
        <w:t>(Boughton et al. 2013)</w:t>
      </w:r>
      <w:r w:rsidRPr="00790734">
        <w:t>. T</w:t>
      </w:r>
      <w:r>
        <w:t xml:space="preserve">he </w:t>
      </w:r>
      <w:r w:rsidRPr="00790734">
        <w:t xml:space="preserve">pilot followed </w:t>
      </w:r>
      <w:r>
        <w:t>a</w:t>
      </w:r>
      <w:r w:rsidRPr="00790734">
        <w:t xml:space="preserve"> model originally developed in Cuba and deployed in the national literacy campaign in Timor-Leste </w:t>
      </w:r>
      <w:r>
        <w:rPr>
          <w:noProof/>
        </w:rPr>
        <w:t>(Boughton 2010)</w:t>
      </w:r>
      <w:r w:rsidRPr="00790734">
        <w:t>.</w:t>
      </w:r>
    </w:p>
    <w:p w14:paraId="01BE18D0" w14:textId="0F306CE4" w:rsidR="00DB6F74" w:rsidRDefault="00DB6F74" w:rsidP="00D35E06">
      <w:pPr>
        <w:pStyle w:val="Text"/>
      </w:pPr>
      <w:r w:rsidRPr="00790734">
        <w:t>Following a period of preparation, the campaign rolls out at a community level in three phases</w:t>
      </w:r>
      <w:r>
        <w:t>.</w:t>
      </w:r>
      <w:r w:rsidRPr="00790734">
        <w:t xml:space="preserve"> </w:t>
      </w:r>
      <w:r w:rsidR="00B40F74">
        <w:t>Phase o</w:t>
      </w:r>
      <w:r w:rsidRPr="00800654">
        <w:t>ne,</w:t>
      </w:r>
      <w:r w:rsidRPr="00790734">
        <w:t xml:space="preserve"> called </w:t>
      </w:r>
      <w:r w:rsidR="00F61739">
        <w:t>‘</w:t>
      </w:r>
      <w:r w:rsidR="00B40F74" w:rsidRPr="00B40F74">
        <w:t>Socialisation and m</w:t>
      </w:r>
      <w:r w:rsidRPr="00B40F74">
        <w:t>obilisation</w:t>
      </w:r>
      <w:r w:rsidR="00F61739">
        <w:t>’</w:t>
      </w:r>
      <w:r w:rsidRPr="00790734">
        <w:t xml:space="preserve">, </w:t>
      </w:r>
      <w:r>
        <w:t>engages</w:t>
      </w:r>
      <w:r w:rsidRPr="00790734">
        <w:t xml:space="preserve"> the whole community in addressing the problem, </w:t>
      </w:r>
      <w:r w:rsidR="00F61739">
        <w:t>by means of</w:t>
      </w:r>
      <w:r>
        <w:t xml:space="preserve"> </w:t>
      </w:r>
      <w:r w:rsidRPr="00790734">
        <w:t xml:space="preserve">extensive </w:t>
      </w:r>
      <w:r>
        <w:t xml:space="preserve">community education. It includes training local leaders and staff in the model and </w:t>
      </w:r>
      <w:r w:rsidRPr="00790734">
        <w:t xml:space="preserve">visits to every household </w:t>
      </w:r>
      <w:r>
        <w:t xml:space="preserve">by local staff </w:t>
      </w:r>
      <w:r w:rsidRPr="00790734">
        <w:t xml:space="preserve">to </w:t>
      </w:r>
      <w:r>
        <w:t xml:space="preserve">discuss the issue of literacy and gauge the level of interest. </w:t>
      </w:r>
      <w:r w:rsidR="00B40F74">
        <w:t>Phase t</w:t>
      </w:r>
      <w:r w:rsidRPr="00800654">
        <w:t xml:space="preserve">wo </w:t>
      </w:r>
      <w:r w:rsidR="00B40F74">
        <w:t>involves</w:t>
      </w:r>
      <w:r w:rsidRPr="00790734">
        <w:t xml:space="preserve"> </w:t>
      </w:r>
      <w:r w:rsidR="00F61739">
        <w:t>‘</w:t>
      </w:r>
      <w:r>
        <w:t xml:space="preserve">64 </w:t>
      </w:r>
      <w:r w:rsidRPr="00B40F74">
        <w:t>basic literacy</w:t>
      </w:r>
      <w:r w:rsidRPr="00790734">
        <w:rPr>
          <w:i/>
        </w:rPr>
        <w:t xml:space="preserve"> </w:t>
      </w:r>
      <w:r w:rsidRPr="00B40F74">
        <w:t>lessons</w:t>
      </w:r>
      <w:r w:rsidR="00F61739">
        <w:t>’</w:t>
      </w:r>
      <w:r w:rsidRPr="00790734">
        <w:t xml:space="preserve">, taught to </w:t>
      </w:r>
      <w:r>
        <w:t>classes</w:t>
      </w:r>
      <w:r w:rsidRPr="00790734">
        <w:t xml:space="preserve"> of </w:t>
      </w:r>
      <w:r w:rsidR="00B40F74">
        <w:t>15—</w:t>
      </w:r>
      <w:r>
        <w:t>20</w:t>
      </w:r>
      <w:r w:rsidR="00B40F74">
        <w:t xml:space="preserve"> adults by specially </w:t>
      </w:r>
      <w:r w:rsidRPr="00790734">
        <w:t xml:space="preserve">trained local facilitators using </w:t>
      </w:r>
      <w:r>
        <w:t>Yes, I Can</w:t>
      </w:r>
      <w:r w:rsidR="00B40F74">
        <w:t xml:space="preserve"> </w:t>
      </w:r>
      <w:proofErr w:type="spellStart"/>
      <w:r w:rsidR="00B40F74">
        <w:t>audio</w:t>
      </w:r>
      <w:r w:rsidRPr="00790734">
        <w:t>visual</w:t>
      </w:r>
      <w:proofErr w:type="spellEnd"/>
      <w:r w:rsidRPr="00790734">
        <w:t xml:space="preserve"> resources. </w:t>
      </w:r>
      <w:r w:rsidR="00B40F74">
        <w:t>Phase t</w:t>
      </w:r>
      <w:r w:rsidRPr="00800654">
        <w:t>hree</w:t>
      </w:r>
      <w:r w:rsidRPr="00790734">
        <w:t xml:space="preserve">, </w:t>
      </w:r>
      <w:r>
        <w:t xml:space="preserve">called </w:t>
      </w:r>
      <w:r w:rsidR="00F61739">
        <w:t>‘</w:t>
      </w:r>
      <w:r w:rsidR="00B40F74">
        <w:t>Post l</w:t>
      </w:r>
      <w:r w:rsidRPr="00B40F74">
        <w:t>iteracy</w:t>
      </w:r>
      <w:r w:rsidR="00F61739">
        <w:t>’</w:t>
      </w:r>
      <w:r w:rsidRPr="00790734">
        <w:t>, engages the partner organisations working with the campaign team to provide opportunities for the new graduates to consolidate their literacy in structured activities and work experience, with the aim of building pathways into further education, employment</w:t>
      </w:r>
      <w:r w:rsidR="00B40F74">
        <w:t xml:space="preserve"> and socially </w:t>
      </w:r>
      <w:r>
        <w:t xml:space="preserve">useful community </w:t>
      </w:r>
      <w:r w:rsidRPr="00790734">
        <w:t xml:space="preserve">work. </w:t>
      </w:r>
      <w:r>
        <w:t>The campaign continues until everyone who has expressed a need has had the chance to participate or until the organisation leading the campaign has achieved the target reduction in ‘illiteracy’.</w:t>
      </w:r>
    </w:p>
    <w:p w14:paraId="01BE18D1" w14:textId="77777777" w:rsidR="00DB6F74" w:rsidRPr="00C9724B" w:rsidRDefault="00DB6F74" w:rsidP="007F3F0E">
      <w:pPr>
        <w:pStyle w:val="Heading3"/>
      </w:pPr>
      <w:r w:rsidRPr="00C9724B">
        <w:t xml:space="preserve">The case study </w:t>
      </w:r>
    </w:p>
    <w:p w14:paraId="01BE18D2" w14:textId="17367CE1" w:rsidR="00DB6F74" w:rsidRDefault="00DB6F74" w:rsidP="00D35E06">
      <w:pPr>
        <w:pStyle w:val="Text"/>
      </w:pPr>
      <w:r>
        <w:t>After successful pilots of the campaign model in Wilcannia in 2012, the campaign was extended to Bourke and Enngonia, and is currently in Brewarrina</w:t>
      </w:r>
      <w:r w:rsidRPr="0023783A">
        <w:t xml:space="preserve">. </w:t>
      </w:r>
      <w:r>
        <w:t xml:space="preserve">This case study centres on the </w:t>
      </w:r>
      <w:r w:rsidR="00A961ED">
        <w:t>Yes, I Can</w:t>
      </w:r>
      <w:r>
        <w:t xml:space="preserve"> adult Aboriginal literacy campaigns in Bourke and Brewarrina between 2014 and 2015, utilising </w:t>
      </w:r>
      <w:r w:rsidRPr="00BF35DE">
        <w:t xml:space="preserve">existing quantitative data and documentation held by </w:t>
      </w:r>
      <w:r>
        <w:t>the University of New England and the Literacy for Life Foundation</w:t>
      </w:r>
      <w:r w:rsidR="00B40F74">
        <w:t>, covering the period 2014—</w:t>
      </w:r>
      <w:r>
        <w:t xml:space="preserve">15. This data </w:t>
      </w:r>
      <w:r w:rsidR="00B40F74">
        <w:t>are</w:t>
      </w:r>
      <w:r>
        <w:t xml:space="preserve"> </w:t>
      </w:r>
      <w:r w:rsidRPr="00BF35DE">
        <w:t xml:space="preserve">supplemented by </w:t>
      </w:r>
      <w:r>
        <w:t>11 in-depth interviews</w:t>
      </w:r>
      <w:r w:rsidR="00B40F74">
        <w:t>,</w:t>
      </w:r>
      <w:r>
        <w:t xml:space="preserve"> conducted </w:t>
      </w:r>
      <w:r w:rsidRPr="00DC3F7A">
        <w:t>in April 2016</w:t>
      </w:r>
      <w:r>
        <w:t xml:space="preserve"> with a total of 15 participants </w:t>
      </w:r>
      <w:r w:rsidRPr="00B5249A">
        <w:t>represent</w:t>
      </w:r>
      <w:r>
        <w:t>ing</w:t>
      </w:r>
      <w:r w:rsidRPr="00DC3F7A">
        <w:t xml:space="preserve"> a range of key stakeholders </w:t>
      </w:r>
      <w:r>
        <w:t>(trainees, trainers, community leaders, employment service providers and others).</w:t>
      </w:r>
    </w:p>
    <w:p w14:paraId="01BE18D3" w14:textId="77777777" w:rsidR="00DB6F74" w:rsidRPr="00C9724B" w:rsidRDefault="00DB6F74" w:rsidP="007F3F0E">
      <w:pPr>
        <w:pStyle w:val="Heading3"/>
      </w:pPr>
      <w:r w:rsidRPr="00C9724B">
        <w:t xml:space="preserve">Findings </w:t>
      </w:r>
    </w:p>
    <w:p w14:paraId="01BE18D4" w14:textId="77777777" w:rsidR="00DB6F74" w:rsidRPr="00254967" w:rsidRDefault="00DB6F74" w:rsidP="007F3F0E">
      <w:pPr>
        <w:pStyle w:val="Heading4"/>
      </w:pPr>
      <w:r w:rsidRPr="00254967">
        <w:t>Enrolments and completions</w:t>
      </w:r>
    </w:p>
    <w:p w14:paraId="01BE18D5" w14:textId="558C11A3" w:rsidR="00DB6F74" w:rsidRDefault="00DB6F74" w:rsidP="00D35E06">
      <w:pPr>
        <w:pStyle w:val="Text"/>
      </w:pPr>
      <w:r>
        <w:t xml:space="preserve">In the first instance, interest in a program is often measured by enrolments. The </w:t>
      </w:r>
      <w:r w:rsidR="00A961ED">
        <w:t>Yes, I Can</w:t>
      </w:r>
      <w:r>
        <w:t xml:space="preserve"> literacy campaign has a target of approximately 40% of the adult population (aged 15 years and over) in each community</w:t>
      </w:r>
      <w:r w:rsidR="005C5FFD">
        <w:t>,</w:t>
      </w:r>
      <w:r>
        <w:t xml:space="preserve"> based on the proportion of adults estimated as having low literacy </w:t>
      </w:r>
      <w:r w:rsidR="005C5FFD">
        <w:rPr>
          <w:noProof/>
        </w:rPr>
        <w:t>(Boughton 2009</w:t>
      </w:r>
      <w:r>
        <w:rPr>
          <w:noProof/>
        </w:rPr>
        <w:t>)</w:t>
      </w:r>
      <w:r>
        <w:t xml:space="preserve">. In Bourke, this translates </w:t>
      </w:r>
      <w:r w:rsidRPr="008D5A42">
        <w:t>as 112 people and</w:t>
      </w:r>
      <w:r w:rsidR="005C5FFD">
        <w:t xml:space="preserve"> in</w:t>
      </w:r>
      <w:r w:rsidRPr="008D5A42">
        <w:t xml:space="preserve"> Brewarrina, 194.</w:t>
      </w:r>
      <w:r w:rsidR="00F107E1" w:rsidRPr="00F107E1">
        <w:t xml:space="preserve"> </w:t>
      </w:r>
      <w:r>
        <w:t>Target populations are reached through an extensive door-to-door household survey</w:t>
      </w:r>
      <w:r w:rsidR="005C5FFD">
        <w:t xml:space="preserve"> administered as part of Phase o</w:t>
      </w:r>
      <w:r>
        <w:t>ne of the literacy campaign. This approach results in a much greater awareness of the campai</w:t>
      </w:r>
      <w:r w:rsidR="005C5FFD">
        <w:t>gn in the community at a ‘grassroots’ level</w:t>
      </w:r>
      <w:r>
        <w:t xml:space="preserve"> and a relatively high number of expressions of interest. Since the campaign began in Bourke (four intakes to date), there have been a total of 98 expressions of interest. Of these, 69 people have gone on to enrol, representing an uptake of just over 70%. In Brewarrina 77 people expressed an interest in participating in </w:t>
      </w:r>
      <w:r w:rsidR="00A961ED">
        <w:t>Yes, I Can</w:t>
      </w:r>
      <w:r>
        <w:t xml:space="preserve"> after being surveyed </w:t>
      </w:r>
      <w:r w:rsidR="00467918">
        <w:t>and, of</w:t>
      </w:r>
      <w:r>
        <w:t xml:space="preserve"> those, there were 19 enrolments, representing a 24% uptake. This figure will rise with each subsequent intake of students.</w:t>
      </w:r>
    </w:p>
    <w:p w14:paraId="01BE18D6" w14:textId="77777777" w:rsidR="00DB6F74" w:rsidRDefault="00DB6F74" w:rsidP="00D35E06">
      <w:pPr>
        <w:pStyle w:val="Text"/>
      </w:pPr>
      <w:r w:rsidRPr="002257AB">
        <w:t xml:space="preserve">Completions </w:t>
      </w:r>
      <w:r w:rsidR="00C03A2A" w:rsidRPr="002257AB">
        <w:t>are</w:t>
      </w:r>
      <w:r w:rsidRPr="002257AB">
        <w:t xml:space="preserve"> a key measure of the success of a program. </w:t>
      </w:r>
      <w:r w:rsidR="00C03A2A" w:rsidRPr="002257AB">
        <w:t>To</w:t>
      </w:r>
      <w:r w:rsidRPr="002257AB">
        <w:t xml:space="preserve"> successfully complete </w:t>
      </w:r>
      <w:r w:rsidR="005C5FFD">
        <w:t>the Phase t</w:t>
      </w:r>
      <w:r>
        <w:t>wo lessons</w:t>
      </w:r>
      <w:r w:rsidRPr="002257AB">
        <w:t xml:space="preserve">, students need to </w:t>
      </w:r>
      <w:r>
        <w:t xml:space="preserve">achieve </w:t>
      </w:r>
      <w:r w:rsidR="00C03A2A">
        <w:t>several</w:t>
      </w:r>
      <w:r>
        <w:t xml:space="preserve"> </w:t>
      </w:r>
      <w:r w:rsidR="005C5FFD">
        <w:t>reading and comprehension tasks</w:t>
      </w:r>
      <w:r>
        <w:t xml:space="preserve"> and </w:t>
      </w:r>
      <w:r w:rsidRPr="002257AB">
        <w:t>independently compose a personal letter to a given standard</w:t>
      </w:r>
      <w:r>
        <w:t xml:space="preserve">. </w:t>
      </w:r>
      <w:r w:rsidRPr="002257AB">
        <w:t xml:space="preserve">Table </w:t>
      </w:r>
      <w:r w:rsidR="005C5FFD">
        <w:t>3</w:t>
      </w:r>
      <w:r w:rsidRPr="002257AB">
        <w:t xml:space="preserve"> shows the relatively high retention rate </w:t>
      </w:r>
      <w:r w:rsidR="005C5FFD">
        <w:t>in Phase t</w:t>
      </w:r>
      <w:r>
        <w:t xml:space="preserve">wo of the campaign </w:t>
      </w:r>
      <w:r w:rsidRPr="002257AB">
        <w:t xml:space="preserve">across both sites and </w:t>
      </w:r>
      <w:r>
        <w:t xml:space="preserve">over </w:t>
      </w:r>
      <w:r w:rsidR="005C5FFD">
        <w:t xml:space="preserve">the three intakes between 2014 and </w:t>
      </w:r>
      <w:r w:rsidRPr="002257AB">
        <w:t xml:space="preserve">2015. </w:t>
      </w:r>
    </w:p>
    <w:p w14:paraId="01BE18D7" w14:textId="1F850772" w:rsidR="00DB6F74" w:rsidRPr="00546D0B" w:rsidRDefault="00DB6F74" w:rsidP="00991FDC">
      <w:pPr>
        <w:pStyle w:val="tabletitle"/>
        <w:ind w:left="709" w:hanging="709"/>
      </w:pPr>
      <w:bookmarkStart w:id="39" w:name="_Toc476305804"/>
      <w:r w:rsidRPr="00546D0B">
        <w:t xml:space="preserve">Table </w:t>
      </w:r>
      <w:r w:rsidR="006436A1">
        <w:fldChar w:fldCharType="begin"/>
      </w:r>
      <w:r>
        <w:instrText xml:space="preserve"> SEQ Table \* ARABIC </w:instrText>
      </w:r>
      <w:r w:rsidR="006436A1">
        <w:fldChar w:fldCharType="separate"/>
      </w:r>
      <w:r w:rsidR="0073414E">
        <w:rPr>
          <w:noProof/>
        </w:rPr>
        <w:t>3</w:t>
      </w:r>
      <w:r w:rsidR="006436A1">
        <w:rPr>
          <w:noProof/>
        </w:rPr>
        <w:fldChar w:fldCharType="end"/>
      </w:r>
      <w:r w:rsidR="00991FDC">
        <w:rPr>
          <w:noProof/>
        </w:rPr>
        <w:tab/>
      </w:r>
      <w:r w:rsidRPr="00546D0B">
        <w:t>Summary enrolment and completion data</w:t>
      </w:r>
      <w:bookmarkEnd w:id="39"/>
      <w:r w:rsidR="006A3125">
        <w:t xml:space="preserve">, </w:t>
      </w:r>
      <w:r w:rsidR="00C03A2A">
        <w:t>Yes,</w:t>
      </w:r>
      <w:r w:rsidR="006A3125">
        <w:t xml:space="preserve"> I Can programs i</w:t>
      </w:r>
      <w:r w:rsidR="005C5FFD">
        <w:t>n Bourke and Brewarrina, 2014</w:t>
      </w:r>
      <w:r w:rsidR="00122B7A">
        <w:t>-</w:t>
      </w:r>
      <w:r w:rsidR="006A3125">
        <w:t xml:space="preserve">15 </w:t>
      </w:r>
    </w:p>
    <w:tbl>
      <w:tblPr>
        <w:tblStyle w:val="PlainTable21"/>
        <w:tblW w:w="8897" w:type="dxa"/>
        <w:tblLayout w:type="fixed"/>
        <w:tblLook w:val="04A0" w:firstRow="1" w:lastRow="0" w:firstColumn="1" w:lastColumn="0" w:noHBand="0" w:noVBand="1"/>
      </w:tblPr>
      <w:tblGrid>
        <w:gridCol w:w="3048"/>
        <w:gridCol w:w="1949"/>
        <w:gridCol w:w="1950"/>
        <w:gridCol w:w="1950"/>
      </w:tblGrid>
      <w:tr w:rsidR="00DB6F74" w:rsidRPr="00546D0B" w14:paraId="01BE18DC" w14:textId="77777777" w:rsidTr="00991FD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8" w:type="dxa"/>
            <w:noWrap/>
            <w:hideMark/>
          </w:tcPr>
          <w:p w14:paraId="01BE18D8" w14:textId="77777777" w:rsidR="00DB6F74" w:rsidRPr="00991FDC" w:rsidRDefault="00DB6F74" w:rsidP="00991FDC">
            <w:pPr>
              <w:pStyle w:val="tablehead"/>
              <w:spacing w:before="0"/>
              <w:rPr>
                <w:b/>
              </w:rPr>
            </w:pPr>
            <w:r w:rsidRPr="00991FDC">
              <w:rPr>
                <w:b/>
              </w:rPr>
              <w:t>Intakes 2014-15</w:t>
            </w:r>
          </w:p>
        </w:tc>
        <w:tc>
          <w:tcPr>
            <w:tcW w:w="1949" w:type="dxa"/>
            <w:noWrap/>
            <w:hideMark/>
          </w:tcPr>
          <w:p w14:paraId="01BE18D9" w14:textId="77777777" w:rsidR="00DB6F74" w:rsidRPr="00991FDC" w:rsidRDefault="00DB6F74" w:rsidP="00991FDC">
            <w:pPr>
              <w:pStyle w:val="tablehead"/>
              <w:spacing w:before="0"/>
              <w:jc w:val="center"/>
              <w:cnfStyle w:val="100000000000" w:firstRow="1" w:lastRow="0" w:firstColumn="0" w:lastColumn="0" w:oddVBand="0" w:evenVBand="0" w:oddHBand="0" w:evenHBand="0" w:firstRowFirstColumn="0" w:firstRowLastColumn="0" w:lastRowFirstColumn="0" w:lastRowLastColumn="0"/>
              <w:rPr>
                <w:b/>
              </w:rPr>
            </w:pPr>
            <w:r w:rsidRPr="00991FDC">
              <w:rPr>
                <w:b/>
              </w:rPr>
              <w:t>Enrolled*</w:t>
            </w:r>
          </w:p>
        </w:tc>
        <w:tc>
          <w:tcPr>
            <w:tcW w:w="1950" w:type="dxa"/>
            <w:noWrap/>
            <w:hideMark/>
          </w:tcPr>
          <w:p w14:paraId="01BE18DA" w14:textId="77777777" w:rsidR="00DB6F74" w:rsidRPr="00991FDC" w:rsidRDefault="00DB6F74" w:rsidP="00991FDC">
            <w:pPr>
              <w:pStyle w:val="tablehead"/>
              <w:spacing w:before="0"/>
              <w:jc w:val="center"/>
              <w:cnfStyle w:val="100000000000" w:firstRow="1" w:lastRow="0" w:firstColumn="0" w:lastColumn="0" w:oddVBand="0" w:evenVBand="0" w:oddHBand="0" w:evenHBand="0" w:firstRowFirstColumn="0" w:firstRowLastColumn="0" w:lastRowFirstColumn="0" w:lastRowLastColumn="0"/>
              <w:rPr>
                <w:b/>
              </w:rPr>
            </w:pPr>
            <w:r w:rsidRPr="00991FDC">
              <w:rPr>
                <w:b/>
              </w:rPr>
              <w:t>Completed</w:t>
            </w:r>
          </w:p>
        </w:tc>
        <w:tc>
          <w:tcPr>
            <w:tcW w:w="1950" w:type="dxa"/>
            <w:noWrap/>
            <w:hideMark/>
          </w:tcPr>
          <w:p w14:paraId="01BE18DB" w14:textId="77777777" w:rsidR="00DB6F74" w:rsidRPr="00991FDC" w:rsidRDefault="00DB6F74" w:rsidP="00991FDC">
            <w:pPr>
              <w:pStyle w:val="tablehead"/>
              <w:spacing w:before="0"/>
              <w:jc w:val="center"/>
              <w:cnfStyle w:val="100000000000" w:firstRow="1" w:lastRow="0" w:firstColumn="0" w:lastColumn="0" w:oddVBand="0" w:evenVBand="0" w:oddHBand="0" w:evenHBand="0" w:firstRowFirstColumn="0" w:firstRowLastColumn="0" w:lastRowFirstColumn="0" w:lastRowLastColumn="0"/>
              <w:rPr>
                <w:b/>
              </w:rPr>
            </w:pPr>
            <w:r w:rsidRPr="00991FDC">
              <w:rPr>
                <w:b/>
              </w:rPr>
              <w:t>Retention</w:t>
            </w:r>
          </w:p>
        </w:tc>
      </w:tr>
      <w:tr w:rsidR="00DB6F74" w:rsidRPr="00151B77" w14:paraId="01BE18E1" w14:textId="77777777" w:rsidTr="00991F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8" w:type="dxa"/>
            <w:tcBorders>
              <w:bottom w:val="nil"/>
            </w:tcBorders>
            <w:noWrap/>
            <w:hideMark/>
          </w:tcPr>
          <w:p w14:paraId="01BE18DD" w14:textId="77777777" w:rsidR="00DB6F74" w:rsidRPr="00991FDC" w:rsidRDefault="00DB6F74" w:rsidP="00991FDC">
            <w:pPr>
              <w:pStyle w:val="Tabletext"/>
              <w:rPr>
                <w:b w:val="0"/>
              </w:rPr>
            </w:pPr>
            <w:r w:rsidRPr="00991FDC">
              <w:rPr>
                <w:b w:val="0"/>
              </w:rPr>
              <w:t>Bourke 3</w:t>
            </w:r>
          </w:p>
        </w:tc>
        <w:tc>
          <w:tcPr>
            <w:tcW w:w="1949" w:type="dxa"/>
            <w:tcBorders>
              <w:bottom w:val="nil"/>
            </w:tcBorders>
            <w:noWrap/>
            <w:hideMark/>
          </w:tcPr>
          <w:p w14:paraId="01BE18DE" w14:textId="77777777" w:rsidR="00DB6F74" w:rsidRPr="00991FDC"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rsidRPr="00991FDC">
              <w:t>19</w:t>
            </w:r>
          </w:p>
        </w:tc>
        <w:tc>
          <w:tcPr>
            <w:tcW w:w="1950" w:type="dxa"/>
            <w:tcBorders>
              <w:bottom w:val="nil"/>
            </w:tcBorders>
            <w:hideMark/>
          </w:tcPr>
          <w:p w14:paraId="01BE18DF" w14:textId="77777777" w:rsidR="00DB6F74" w:rsidRPr="00991FDC"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rsidRPr="00991FDC">
              <w:t>17</w:t>
            </w:r>
          </w:p>
        </w:tc>
        <w:tc>
          <w:tcPr>
            <w:tcW w:w="1950" w:type="dxa"/>
            <w:tcBorders>
              <w:bottom w:val="nil"/>
            </w:tcBorders>
            <w:noWrap/>
            <w:hideMark/>
          </w:tcPr>
          <w:p w14:paraId="01BE18E0" w14:textId="77777777" w:rsidR="00DB6F74" w:rsidRPr="00991FDC"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rsidRPr="00991FDC">
              <w:t>89.5%</w:t>
            </w:r>
          </w:p>
        </w:tc>
      </w:tr>
      <w:tr w:rsidR="00DB6F74" w:rsidRPr="00151B77" w14:paraId="01BE18E6" w14:textId="77777777" w:rsidTr="00991FDC">
        <w:trPr>
          <w:trHeight w:val="300"/>
        </w:trPr>
        <w:tc>
          <w:tcPr>
            <w:cnfStyle w:val="001000000000" w:firstRow="0" w:lastRow="0" w:firstColumn="1" w:lastColumn="0" w:oddVBand="0" w:evenVBand="0" w:oddHBand="0" w:evenHBand="0" w:firstRowFirstColumn="0" w:firstRowLastColumn="0" w:lastRowFirstColumn="0" w:lastRowLastColumn="0"/>
            <w:tcW w:w="3048" w:type="dxa"/>
            <w:tcBorders>
              <w:top w:val="nil"/>
              <w:bottom w:val="nil"/>
            </w:tcBorders>
            <w:noWrap/>
            <w:hideMark/>
          </w:tcPr>
          <w:p w14:paraId="01BE18E2" w14:textId="77777777" w:rsidR="00DB6F74" w:rsidRPr="00991FDC" w:rsidRDefault="00DB6F74" w:rsidP="00991FDC">
            <w:pPr>
              <w:pStyle w:val="Tabletext"/>
              <w:rPr>
                <w:b w:val="0"/>
              </w:rPr>
            </w:pPr>
            <w:r w:rsidRPr="00991FDC">
              <w:rPr>
                <w:b w:val="0"/>
              </w:rPr>
              <w:t>Bourke 4</w:t>
            </w:r>
          </w:p>
        </w:tc>
        <w:tc>
          <w:tcPr>
            <w:tcW w:w="1949" w:type="dxa"/>
            <w:tcBorders>
              <w:top w:val="nil"/>
              <w:bottom w:val="nil"/>
            </w:tcBorders>
            <w:noWrap/>
            <w:hideMark/>
          </w:tcPr>
          <w:p w14:paraId="01BE18E3" w14:textId="77777777" w:rsidR="00DB6F74" w:rsidRPr="00991FDC" w:rsidRDefault="00DB6F74" w:rsidP="00991FDC">
            <w:pPr>
              <w:pStyle w:val="Tabletext"/>
              <w:jc w:val="center"/>
              <w:cnfStyle w:val="000000000000" w:firstRow="0" w:lastRow="0" w:firstColumn="0" w:lastColumn="0" w:oddVBand="0" w:evenVBand="0" w:oddHBand="0" w:evenHBand="0" w:firstRowFirstColumn="0" w:firstRowLastColumn="0" w:lastRowFirstColumn="0" w:lastRowLastColumn="0"/>
            </w:pPr>
            <w:r w:rsidRPr="00991FDC">
              <w:t>13</w:t>
            </w:r>
          </w:p>
        </w:tc>
        <w:tc>
          <w:tcPr>
            <w:tcW w:w="1950" w:type="dxa"/>
            <w:tcBorders>
              <w:top w:val="nil"/>
              <w:bottom w:val="nil"/>
            </w:tcBorders>
            <w:hideMark/>
          </w:tcPr>
          <w:p w14:paraId="01BE18E4" w14:textId="77777777" w:rsidR="00DB6F74" w:rsidRPr="00991FDC" w:rsidRDefault="00DB6F74" w:rsidP="00991FDC">
            <w:pPr>
              <w:pStyle w:val="Tabletext"/>
              <w:jc w:val="center"/>
              <w:cnfStyle w:val="000000000000" w:firstRow="0" w:lastRow="0" w:firstColumn="0" w:lastColumn="0" w:oddVBand="0" w:evenVBand="0" w:oddHBand="0" w:evenHBand="0" w:firstRowFirstColumn="0" w:firstRowLastColumn="0" w:lastRowFirstColumn="0" w:lastRowLastColumn="0"/>
            </w:pPr>
            <w:r w:rsidRPr="00991FDC">
              <w:t>8</w:t>
            </w:r>
          </w:p>
        </w:tc>
        <w:tc>
          <w:tcPr>
            <w:tcW w:w="1950" w:type="dxa"/>
            <w:tcBorders>
              <w:top w:val="nil"/>
              <w:bottom w:val="nil"/>
            </w:tcBorders>
            <w:noWrap/>
            <w:hideMark/>
          </w:tcPr>
          <w:p w14:paraId="01BE18E5" w14:textId="77777777" w:rsidR="00DB6F74" w:rsidRPr="00991FDC" w:rsidRDefault="00DB6F74" w:rsidP="00991FDC">
            <w:pPr>
              <w:pStyle w:val="Tabletext"/>
              <w:jc w:val="center"/>
              <w:cnfStyle w:val="000000000000" w:firstRow="0" w:lastRow="0" w:firstColumn="0" w:lastColumn="0" w:oddVBand="0" w:evenVBand="0" w:oddHBand="0" w:evenHBand="0" w:firstRowFirstColumn="0" w:firstRowLastColumn="0" w:lastRowFirstColumn="0" w:lastRowLastColumn="0"/>
            </w:pPr>
            <w:r w:rsidRPr="00991FDC">
              <w:t>61.5%</w:t>
            </w:r>
          </w:p>
        </w:tc>
      </w:tr>
      <w:tr w:rsidR="00DB6F74" w:rsidRPr="00151B77" w14:paraId="01BE18EB" w14:textId="77777777" w:rsidTr="00991FD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8" w:type="dxa"/>
            <w:tcBorders>
              <w:top w:val="nil"/>
            </w:tcBorders>
            <w:noWrap/>
            <w:hideMark/>
          </w:tcPr>
          <w:p w14:paraId="01BE18E7" w14:textId="77777777" w:rsidR="00DB6F74" w:rsidRPr="00991FDC" w:rsidRDefault="006A3125" w:rsidP="00991FDC">
            <w:pPr>
              <w:pStyle w:val="Tabletext"/>
              <w:rPr>
                <w:b w:val="0"/>
              </w:rPr>
            </w:pPr>
            <w:r w:rsidRPr="00991FDC">
              <w:rPr>
                <w:b w:val="0"/>
              </w:rPr>
              <w:t>Brewarrina</w:t>
            </w:r>
          </w:p>
        </w:tc>
        <w:tc>
          <w:tcPr>
            <w:tcW w:w="1949" w:type="dxa"/>
            <w:tcBorders>
              <w:top w:val="nil"/>
            </w:tcBorders>
            <w:noWrap/>
            <w:hideMark/>
          </w:tcPr>
          <w:p w14:paraId="01BE18E8" w14:textId="77777777" w:rsidR="00DB6F74" w:rsidRPr="00991FDC"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rsidRPr="00991FDC">
              <w:t>19</w:t>
            </w:r>
          </w:p>
        </w:tc>
        <w:tc>
          <w:tcPr>
            <w:tcW w:w="1950" w:type="dxa"/>
            <w:tcBorders>
              <w:top w:val="nil"/>
            </w:tcBorders>
            <w:noWrap/>
            <w:hideMark/>
          </w:tcPr>
          <w:p w14:paraId="01BE18E9" w14:textId="77777777" w:rsidR="00DB6F74" w:rsidRPr="00991FDC"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rsidRPr="00991FDC">
              <w:t>15**</w:t>
            </w:r>
          </w:p>
        </w:tc>
        <w:tc>
          <w:tcPr>
            <w:tcW w:w="1950" w:type="dxa"/>
            <w:tcBorders>
              <w:top w:val="nil"/>
            </w:tcBorders>
            <w:noWrap/>
            <w:hideMark/>
          </w:tcPr>
          <w:p w14:paraId="01BE18EA" w14:textId="77777777" w:rsidR="00DB6F74" w:rsidRPr="00991FDC"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rsidRPr="00991FDC">
              <w:t>78.9%</w:t>
            </w:r>
          </w:p>
        </w:tc>
      </w:tr>
      <w:tr w:rsidR="00DB6F74" w:rsidRPr="00151B77" w14:paraId="01BE18F0" w14:textId="77777777" w:rsidTr="00991FDC">
        <w:trPr>
          <w:trHeight w:val="300"/>
        </w:trPr>
        <w:tc>
          <w:tcPr>
            <w:cnfStyle w:val="001000000000" w:firstRow="0" w:lastRow="0" w:firstColumn="1" w:lastColumn="0" w:oddVBand="0" w:evenVBand="0" w:oddHBand="0" w:evenHBand="0" w:firstRowFirstColumn="0" w:firstRowLastColumn="0" w:lastRowFirstColumn="0" w:lastRowLastColumn="0"/>
            <w:tcW w:w="3048" w:type="dxa"/>
            <w:noWrap/>
            <w:hideMark/>
          </w:tcPr>
          <w:p w14:paraId="01BE18EC" w14:textId="77777777" w:rsidR="00DB6F74" w:rsidRPr="009D0DA5" w:rsidRDefault="00DB6F74" w:rsidP="00D35E06">
            <w:pPr>
              <w:pStyle w:val="Tabletext"/>
            </w:pPr>
            <w:r w:rsidRPr="009D0DA5">
              <w:t>Total 3 intakes</w:t>
            </w:r>
          </w:p>
        </w:tc>
        <w:tc>
          <w:tcPr>
            <w:tcW w:w="1949" w:type="dxa"/>
            <w:noWrap/>
            <w:hideMark/>
          </w:tcPr>
          <w:p w14:paraId="01BE18ED" w14:textId="77777777" w:rsidR="00DB6F74" w:rsidRPr="009D0DA5" w:rsidRDefault="00DB6F74" w:rsidP="00D35E06">
            <w:pPr>
              <w:pStyle w:val="Tabletext"/>
              <w:jc w:val="center"/>
              <w:cnfStyle w:val="000000000000" w:firstRow="0" w:lastRow="0" w:firstColumn="0" w:lastColumn="0" w:oddVBand="0" w:evenVBand="0" w:oddHBand="0" w:evenHBand="0" w:firstRowFirstColumn="0" w:firstRowLastColumn="0" w:lastRowFirstColumn="0" w:lastRowLastColumn="0"/>
            </w:pPr>
            <w:r w:rsidRPr="009D0DA5">
              <w:t>51</w:t>
            </w:r>
          </w:p>
        </w:tc>
        <w:tc>
          <w:tcPr>
            <w:tcW w:w="1950" w:type="dxa"/>
            <w:noWrap/>
            <w:hideMark/>
          </w:tcPr>
          <w:p w14:paraId="01BE18EE" w14:textId="77777777" w:rsidR="00DB6F74" w:rsidRPr="009D0DA5" w:rsidRDefault="00DB6F74" w:rsidP="00D35E06">
            <w:pPr>
              <w:pStyle w:val="Tabletext"/>
              <w:jc w:val="center"/>
              <w:cnfStyle w:val="000000000000" w:firstRow="0" w:lastRow="0" w:firstColumn="0" w:lastColumn="0" w:oddVBand="0" w:evenVBand="0" w:oddHBand="0" w:evenHBand="0" w:firstRowFirstColumn="0" w:firstRowLastColumn="0" w:lastRowFirstColumn="0" w:lastRowLastColumn="0"/>
            </w:pPr>
            <w:r w:rsidRPr="009D0DA5">
              <w:t>40</w:t>
            </w:r>
          </w:p>
        </w:tc>
        <w:tc>
          <w:tcPr>
            <w:tcW w:w="1950" w:type="dxa"/>
            <w:noWrap/>
            <w:hideMark/>
          </w:tcPr>
          <w:p w14:paraId="01BE18EF" w14:textId="77777777" w:rsidR="00DB6F74" w:rsidRPr="009D0DA5" w:rsidRDefault="00DB6F74" w:rsidP="00D35E06">
            <w:pPr>
              <w:pStyle w:val="Tabletext"/>
              <w:jc w:val="center"/>
              <w:cnfStyle w:val="000000000000" w:firstRow="0" w:lastRow="0" w:firstColumn="0" w:lastColumn="0" w:oddVBand="0" w:evenVBand="0" w:oddHBand="0" w:evenHBand="0" w:firstRowFirstColumn="0" w:firstRowLastColumn="0" w:lastRowFirstColumn="0" w:lastRowLastColumn="0"/>
            </w:pPr>
            <w:r w:rsidRPr="009D0DA5">
              <w:t>78.4%</w:t>
            </w:r>
          </w:p>
        </w:tc>
      </w:tr>
    </w:tbl>
    <w:p w14:paraId="01BE18F1" w14:textId="41739CBA" w:rsidR="00DB6F74" w:rsidRPr="00FA5104" w:rsidRDefault="00991FDC" w:rsidP="00D35E06">
      <w:pPr>
        <w:pStyle w:val="Source"/>
      </w:pPr>
      <w:r>
        <w:t xml:space="preserve">Notes: </w:t>
      </w:r>
      <w:r>
        <w:tab/>
      </w:r>
      <w:r w:rsidR="00DB6F74" w:rsidRPr="00FA5104">
        <w:t xml:space="preserve">* it is important to note that </w:t>
      </w:r>
      <w:r w:rsidR="00A961ED">
        <w:t>Yes, I Can</w:t>
      </w:r>
      <w:r w:rsidR="00DB6F74" w:rsidRPr="00FA5104">
        <w:t xml:space="preserve"> limits enrolments to around 20 participants for each intake</w:t>
      </w:r>
      <w:r w:rsidR="005C5FFD">
        <w:t>,</w:t>
      </w:r>
      <w:r w:rsidR="00DB6F74" w:rsidRPr="00FA5104">
        <w:t xml:space="preserve"> as this is considered by the Cuban advisors and local staff to be the maximum number that the local facilitators can effectively manage.</w:t>
      </w:r>
    </w:p>
    <w:p w14:paraId="01BE18F2" w14:textId="77777777" w:rsidR="00DB6F74" w:rsidRPr="00FA5104" w:rsidRDefault="00DB6F74" w:rsidP="00991FDC">
      <w:pPr>
        <w:pStyle w:val="Source"/>
        <w:ind w:firstLine="0"/>
      </w:pPr>
      <w:r w:rsidRPr="00FA5104">
        <w:t>** One of these completers has an intellectual disability, did not reach the required level, and has opted to re-enrol in the next intake. Consequently, the ‘graduation’ number is 14, which results in a different retention figure, 73.7% for Brewarrina Intake 1, and 76.5% over all three intakes that comprise the current case study.</w:t>
      </w:r>
    </w:p>
    <w:p w14:paraId="01BE18F3" w14:textId="2AEA7412" w:rsidR="00DB6F74" w:rsidRPr="001862F3" w:rsidRDefault="00DB6F74" w:rsidP="00D35E06">
      <w:pPr>
        <w:pStyle w:val="Text"/>
      </w:pPr>
      <w:r w:rsidRPr="002257AB">
        <w:t xml:space="preserve">It should be noted that completions in Bourke </w:t>
      </w:r>
      <w:r w:rsidR="005C5FFD">
        <w:t>i</w:t>
      </w:r>
      <w:r w:rsidR="005C5FFD" w:rsidRPr="002257AB">
        <w:t xml:space="preserve">ntake </w:t>
      </w:r>
      <w:r w:rsidR="005C5FFD">
        <w:t xml:space="preserve">four </w:t>
      </w:r>
      <w:r w:rsidRPr="002257AB">
        <w:t xml:space="preserve">were affected by </w:t>
      </w:r>
      <w:r>
        <w:t xml:space="preserve">a spate of violent deaths directly impacting </w:t>
      </w:r>
      <w:r w:rsidR="005C5FFD">
        <w:t xml:space="preserve">on the </w:t>
      </w:r>
      <w:r>
        <w:t>students.</w:t>
      </w:r>
      <w:r w:rsidR="00F107E1" w:rsidRPr="00F107E1">
        <w:t xml:space="preserve"> </w:t>
      </w:r>
      <w:r>
        <w:t>However, t</w:t>
      </w:r>
      <w:r w:rsidRPr="002257AB">
        <w:t xml:space="preserve">he fact </w:t>
      </w:r>
      <w:r>
        <w:t xml:space="preserve">that </w:t>
      </w:r>
      <w:r w:rsidRPr="002257AB">
        <w:t>eigh</w:t>
      </w:r>
      <w:r>
        <w:t>t people completed</w:t>
      </w:r>
      <w:r w:rsidRPr="002257AB">
        <w:t xml:space="preserve"> the </w:t>
      </w:r>
      <w:r w:rsidR="005C5FFD">
        <w:t>Phase t</w:t>
      </w:r>
      <w:r>
        <w:t>wo lessons</w:t>
      </w:r>
      <w:r w:rsidRPr="002257AB">
        <w:t xml:space="preserve"> despite the extremely disrupting and d</w:t>
      </w:r>
      <w:r>
        <w:t xml:space="preserve">istressing </w:t>
      </w:r>
      <w:r w:rsidRPr="002257AB">
        <w:t xml:space="preserve">events shows how successful the </w:t>
      </w:r>
      <w:r>
        <w:t>campaign</w:t>
      </w:r>
      <w:r w:rsidRPr="002257AB">
        <w:t xml:space="preserve"> is in terms of retention. Th</w:t>
      </w:r>
      <w:r>
        <w:t>e</w:t>
      </w:r>
      <w:r w:rsidRPr="002257AB">
        <w:t xml:space="preserve"> </w:t>
      </w:r>
      <w:r>
        <w:t>achievement</w:t>
      </w:r>
      <w:r w:rsidRPr="002257AB">
        <w:t xml:space="preserve"> of </w:t>
      </w:r>
      <w:r w:rsidR="00A961ED">
        <w:t>Yes, I Can</w:t>
      </w:r>
      <w:r w:rsidRPr="002257AB">
        <w:t xml:space="preserve"> becomes even </w:t>
      </w:r>
      <w:r>
        <w:t>more apparent</w:t>
      </w:r>
      <w:r w:rsidRPr="002257AB">
        <w:t xml:space="preserve"> when compared </w:t>
      </w:r>
      <w:r w:rsidR="005C5FFD">
        <w:t>with</w:t>
      </w:r>
      <w:r w:rsidRPr="00BC4712">
        <w:t xml:space="preserve"> the total </w:t>
      </w:r>
      <w:r>
        <w:t>VET</w:t>
      </w:r>
      <w:r w:rsidRPr="00BC4712">
        <w:t xml:space="preserve"> activity </w:t>
      </w:r>
      <w:r>
        <w:t xml:space="preserve">(TVA) </w:t>
      </w:r>
      <w:r w:rsidRPr="00BC4712">
        <w:t xml:space="preserve">figures for </w:t>
      </w:r>
      <w:r w:rsidRPr="002257AB">
        <w:t xml:space="preserve">Aboriginal students in Bourke and Brewarrina. </w:t>
      </w:r>
      <w:r w:rsidRPr="001862F3">
        <w:t xml:space="preserve">Table </w:t>
      </w:r>
      <w:r w:rsidR="005C5FFD">
        <w:t>4</w:t>
      </w:r>
      <w:r w:rsidRPr="001862F3">
        <w:t xml:space="preserve"> reveals that </w:t>
      </w:r>
      <w:r w:rsidR="005C5FFD">
        <w:t xml:space="preserve">the </w:t>
      </w:r>
      <w:r w:rsidRPr="001862F3">
        <w:t xml:space="preserve">retention rates for </w:t>
      </w:r>
      <w:r w:rsidR="00A961ED">
        <w:t>Yes, I Can</w:t>
      </w:r>
      <w:r w:rsidRPr="001862F3">
        <w:t xml:space="preserve"> are more</w:t>
      </w:r>
      <w:r w:rsidRPr="00507390">
        <w:t xml:space="preserve"> than four times the average for Aboriginal students in TAFE programs in the same region. </w:t>
      </w:r>
    </w:p>
    <w:p w14:paraId="01BE18F4" w14:textId="01236142" w:rsidR="00DB6F74" w:rsidRPr="002A02DB" w:rsidRDefault="00DB6F74" w:rsidP="008E03B1">
      <w:pPr>
        <w:pStyle w:val="tabletitle"/>
        <w:ind w:left="709" w:right="-284" w:hanging="709"/>
      </w:pPr>
      <w:bookmarkStart w:id="40" w:name="_Toc476305805"/>
      <w:r>
        <w:t xml:space="preserve">Table </w:t>
      </w:r>
      <w:r w:rsidR="006436A1">
        <w:fldChar w:fldCharType="begin"/>
      </w:r>
      <w:r>
        <w:instrText xml:space="preserve"> SEQ Table \* ARABIC </w:instrText>
      </w:r>
      <w:r w:rsidR="006436A1">
        <w:fldChar w:fldCharType="separate"/>
      </w:r>
      <w:r w:rsidR="0073414E">
        <w:rPr>
          <w:noProof/>
        </w:rPr>
        <w:t>4</w:t>
      </w:r>
      <w:r w:rsidR="006436A1">
        <w:rPr>
          <w:noProof/>
        </w:rPr>
        <w:fldChar w:fldCharType="end"/>
      </w:r>
      <w:r w:rsidR="008E03B1">
        <w:rPr>
          <w:noProof/>
        </w:rPr>
        <w:tab/>
      </w:r>
      <w:r w:rsidRPr="002A02DB">
        <w:t xml:space="preserve">TVA </w:t>
      </w:r>
      <w:r>
        <w:t xml:space="preserve">enrolment and completion </w:t>
      </w:r>
      <w:r w:rsidRPr="002A02DB">
        <w:t>f</w:t>
      </w:r>
      <w:r>
        <w:t xml:space="preserve">igures for Aboriginal students </w:t>
      </w:r>
      <w:r w:rsidRPr="002A02DB">
        <w:t>in</w:t>
      </w:r>
      <w:r w:rsidR="008E03B1">
        <w:t xml:space="preserve"> the</w:t>
      </w:r>
      <w:r w:rsidRPr="002A02DB">
        <w:t xml:space="preserve"> Bourke-Brewarrina region</w:t>
      </w:r>
      <w:r>
        <w:t>, 2015</w:t>
      </w:r>
      <w:r w:rsidRPr="002A02DB">
        <w:t>.</w:t>
      </w:r>
      <w:bookmarkEnd w:id="40"/>
      <w:r w:rsidRPr="002A02DB">
        <w:t xml:space="preserve"> </w:t>
      </w:r>
    </w:p>
    <w:tbl>
      <w:tblPr>
        <w:tblStyle w:val="PlainTable21"/>
        <w:tblW w:w="8897" w:type="dxa"/>
        <w:tblLook w:val="04A0" w:firstRow="1" w:lastRow="0" w:firstColumn="1" w:lastColumn="0" w:noHBand="0" w:noVBand="1"/>
      </w:tblPr>
      <w:tblGrid>
        <w:gridCol w:w="1831"/>
        <w:gridCol w:w="1177"/>
        <w:gridCol w:w="1178"/>
        <w:gridCol w:w="1178"/>
        <w:gridCol w:w="1177"/>
        <w:gridCol w:w="1178"/>
        <w:gridCol w:w="1178"/>
      </w:tblGrid>
      <w:tr w:rsidR="00DB6F74" w:rsidRPr="00F21780" w14:paraId="01BE18FC" w14:textId="77777777" w:rsidTr="00A96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Pr>
          <w:p w14:paraId="01BE18F5" w14:textId="77777777" w:rsidR="00DB6F74" w:rsidRPr="00F21780" w:rsidRDefault="00DB6F74" w:rsidP="00D35E06"/>
        </w:tc>
        <w:tc>
          <w:tcPr>
            <w:tcW w:w="1177" w:type="dxa"/>
          </w:tcPr>
          <w:p w14:paraId="01BE18F6" w14:textId="77777777" w:rsidR="00DB6F74" w:rsidRPr="00991FDC" w:rsidRDefault="00DB6F74" w:rsidP="00991FDC">
            <w:pPr>
              <w:pStyle w:val="tablehead"/>
              <w:spacing w:before="0"/>
              <w:jc w:val="center"/>
              <w:cnfStyle w:val="100000000000" w:firstRow="1" w:lastRow="0" w:firstColumn="0" w:lastColumn="0" w:oddVBand="0" w:evenVBand="0" w:oddHBand="0" w:evenHBand="0" w:firstRowFirstColumn="0" w:firstRowLastColumn="0" w:lastRowFirstColumn="0" w:lastRowLastColumn="0"/>
              <w:rPr>
                <w:b/>
              </w:rPr>
            </w:pPr>
            <w:r w:rsidRPr="00991FDC">
              <w:rPr>
                <w:b/>
              </w:rPr>
              <w:t>Cert</w:t>
            </w:r>
            <w:r w:rsidR="005C5FFD" w:rsidRPr="00991FDC">
              <w:rPr>
                <w:b/>
              </w:rPr>
              <w:t>.</w:t>
            </w:r>
            <w:r w:rsidRPr="00991FDC">
              <w:rPr>
                <w:b/>
              </w:rPr>
              <w:t xml:space="preserve"> I</w:t>
            </w:r>
          </w:p>
        </w:tc>
        <w:tc>
          <w:tcPr>
            <w:tcW w:w="1178" w:type="dxa"/>
          </w:tcPr>
          <w:p w14:paraId="01BE18F7" w14:textId="77777777" w:rsidR="00DB6F74" w:rsidRPr="00991FDC" w:rsidRDefault="00DB6F74" w:rsidP="00991FDC">
            <w:pPr>
              <w:pStyle w:val="tablehead"/>
              <w:spacing w:before="0"/>
              <w:jc w:val="center"/>
              <w:cnfStyle w:val="100000000000" w:firstRow="1" w:lastRow="0" w:firstColumn="0" w:lastColumn="0" w:oddVBand="0" w:evenVBand="0" w:oddHBand="0" w:evenHBand="0" w:firstRowFirstColumn="0" w:firstRowLastColumn="0" w:lastRowFirstColumn="0" w:lastRowLastColumn="0"/>
              <w:rPr>
                <w:b/>
              </w:rPr>
            </w:pPr>
            <w:r w:rsidRPr="00991FDC">
              <w:rPr>
                <w:b/>
              </w:rPr>
              <w:t>Cert</w:t>
            </w:r>
            <w:r w:rsidR="005C5FFD" w:rsidRPr="00991FDC">
              <w:rPr>
                <w:b/>
              </w:rPr>
              <w:t>.</w:t>
            </w:r>
            <w:r w:rsidRPr="00991FDC">
              <w:rPr>
                <w:b/>
              </w:rPr>
              <w:t xml:space="preserve"> II</w:t>
            </w:r>
          </w:p>
        </w:tc>
        <w:tc>
          <w:tcPr>
            <w:tcW w:w="1178" w:type="dxa"/>
          </w:tcPr>
          <w:p w14:paraId="01BE18F8" w14:textId="77777777" w:rsidR="00DB6F74" w:rsidRPr="00991FDC" w:rsidRDefault="00DB6F74" w:rsidP="00991FDC">
            <w:pPr>
              <w:pStyle w:val="tablehead"/>
              <w:spacing w:before="0"/>
              <w:jc w:val="center"/>
              <w:cnfStyle w:val="100000000000" w:firstRow="1" w:lastRow="0" w:firstColumn="0" w:lastColumn="0" w:oddVBand="0" w:evenVBand="0" w:oddHBand="0" w:evenHBand="0" w:firstRowFirstColumn="0" w:firstRowLastColumn="0" w:lastRowFirstColumn="0" w:lastRowLastColumn="0"/>
              <w:rPr>
                <w:b/>
              </w:rPr>
            </w:pPr>
            <w:r w:rsidRPr="00991FDC">
              <w:rPr>
                <w:b/>
              </w:rPr>
              <w:t>Cert</w:t>
            </w:r>
            <w:r w:rsidR="005C5FFD" w:rsidRPr="00991FDC">
              <w:rPr>
                <w:b/>
              </w:rPr>
              <w:t>.</w:t>
            </w:r>
            <w:r w:rsidRPr="00991FDC">
              <w:rPr>
                <w:b/>
              </w:rPr>
              <w:t xml:space="preserve"> III</w:t>
            </w:r>
          </w:p>
        </w:tc>
        <w:tc>
          <w:tcPr>
            <w:tcW w:w="1177" w:type="dxa"/>
          </w:tcPr>
          <w:p w14:paraId="01BE18F9" w14:textId="77777777" w:rsidR="00DB6F74" w:rsidRPr="00991FDC" w:rsidRDefault="00DB6F74" w:rsidP="00991FDC">
            <w:pPr>
              <w:pStyle w:val="tablehead"/>
              <w:spacing w:before="0"/>
              <w:jc w:val="center"/>
              <w:cnfStyle w:val="100000000000" w:firstRow="1" w:lastRow="0" w:firstColumn="0" w:lastColumn="0" w:oddVBand="0" w:evenVBand="0" w:oddHBand="0" w:evenHBand="0" w:firstRowFirstColumn="0" w:firstRowLastColumn="0" w:lastRowFirstColumn="0" w:lastRowLastColumn="0"/>
              <w:rPr>
                <w:b/>
              </w:rPr>
            </w:pPr>
            <w:r w:rsidRPr="00991FDC">
              <w:rPr>
                <w:b/>
              </w:rPr>
              <w:t>Cert</w:t>
            </w:r>
            <w:r w:rsidR="005C5FFD" w:rsidRPr="00991FDC">
              <w:rPr>
                <w:b/>
              </w:rPr>
              <w:t>.</w:t>
            </w:r>
            <w:r w:rsidRPr="00991FDC">
              <w:rPr>
                <w:b/>
              </w:rPr>
              <w:t xml:space="preserve"> IV</w:t>
            </w:r>
          </w:p>
        </w:tc>
        <w:tc>
          <w:tcPr>
            <w:tcW w:w="1178" w:type="dxa"/>
          </w:tcPr>
          <w:p w14:paraId="01BE18FA" w14:textId="77777777" w:rsidR="00DB6F74" w:rsidRPr="00991FDC" w:rsidRDefault="00DB6F74" w:rsidP="00991FDC">
            <w:pPr>
              <w:pStyle w:val="tablehead"/>
              <w:spacing w:before="0"/>
              <w:jc w:val="center"/>
              <w:cnfStyle w:val="100000000000" w:firstRow="1" w:lastRow="0" w:firstColumn="0" w:lastColumn="0" w:oddVBand="0" w:evenVBand="0" w:oddHBand="0" w:evenHBand="0" w:firstRowFirstColumn="0" w:firstRowLastColumn="0" w:lastRowFirstColumn="0" w:lastRowLastColumn="0"/>
              <w:rPr>
                <w:b/>
              </w:rPr>
            </w:pPr>
            <w:r w:rsidRPr="00991FDC">
              <w:rPr>
                <w:b/>
              </w:rPr>
              <w:t>Diploma or higher</w:t>
            </w:r>
          </w:p>
        </w:tc>
        <w:tc>
          <w:tcPr>
            <w:tcW w:w="1178" w:type="dxa"/>
          </w:tcPr>
          <w:p w14:paraId="01BE18FB" w14:textId="77777777" w:rsidR="00DB6F74" w:rsidRPr="00991FDC" w:rsidRDefault="00DB6F74" w:rsidP="00991FDC">
            <w:pPr>
              <w:pStyle w:val="tablehead"/>
              <w:spacing w:before="0"/>
              <w:jc w:val="center"/>
              <w:cnfStyle w:val="100000000000" w:firstRow="1" w:lastRow="0" w:firstColumn="0" w:lastColumn="0" w:oddVBand="0" w:evenVBand="0" w:oddHBand="0" w:evenHBand="0" w:firstRowFirstColumn="0" w:firstRowLastColumn="0" w:lastRowFirstColumn="0" w:lastRowLastColumn="0"/>
              <w:rPr>
                <w:b/>
              </w:rPr>
            </w:pPr>
            <w:r w:rsidRPr="00991FDC">
              <w:rPr>
                <w:b/>
              </w:rPr>
              <w:t>Total</w:t>
            </w:r>
          </w:p>
        </w:tc>
      </w:tr>
      <w:tr w:rsidR="00DB6F74" w:rsidRPr="00F21780" w14:paraId="01BE1904" w14:textId="77777777" w:rsidTr="00A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Borders>
              <w:bottom w:val="nil"/>
            </w:tcBorders>
          </w:tcPr>
          <w:p w14:paraId="01BE18FD" w14:textId="77777777" w:rsidR="00DB6F74" w:rsidRPr="00991FDC" w:rsidRDefault="00DB6F74" w:rsidP="00D35E06">
            <w:pPr>
              <w:pStyle w:val="Tabletext"/>
              <w:rPr>
                <w:b w:val="0"/>
              </w:rPr>
            </w:pPr>
            <w:r w:rsidRPr="00991FDC">
              <w:rPr>
                <w:b w:val="0"/>
              </w:rPr>
              <w:t>Enrolments</w:t>
            </w:r>
          </w:p>
        </w:tc>
        <w:tc>
          <w:tcPr>
            <w:tcW w:w="1177" w:type="dxa"/>
            <w:tcBorders>
              <w:bottom w:val="nil"/>
            </w:tcBorders>
          </w:tcPr>
          <w:p w14:paraId="01BE18FE" w14:textId="77777777" w:rsidR="00DB6F74" w:rsidRPr="00F21780"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t>78</w:t>
            </w:r>
          </w:p>
        </w:tc>
        <w:tc>
          <w:tcPr>
            <w:tcW w:w="1178" w:type="dxa"/>
            <w:tcBorders>
              <w:bottom w:val="nil"/>
            </w:tcBorders>
          </w:tcPr>
          <w:p w14:paraId="01BE18FF" w14:textId="77777777" w:rsidR="00DB6F74" w:rsidRPr="00F21780"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t>291</w:t>
            </w:r>
          </w:p>
        </w:tc>
        <w:tc>
          <w:tcPr>
            <w:tcW w:w="1178" w:type="dxa"/>
            <w:tcBorders>
              <w:bottom w:val="nil"/>
            </w:tcBorders>
          </w:tcPr>
          <w:p w14:paraId="01BE1900" w14:textId="77777777" w:rsidR="00DB6F74" w:rsidRPr="00F21780"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t>109</w:t>
            </w:r>
          </w:p>
        </w:tc>
        <w:tc>
          <w:tcPr>
            <w:tcW w:w="1177" w:type="dxa"/>
            <w:tcBorders>
              <w:bottom w:val="nil"/>
            </w:tcBorders>
          </w:tcPr>
          <w:p w14:paraId="01BE1901" w14:textId="77777777" w:rsidR="00DB6F74" w:rsidRPr="00F21780"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t>46</w:t>
            </w:r>
          </w:p>
        </w:tc>
        <w:tc>
          <w:tcPr>
            <w:tcW w:w="1178" w:type="dxa"/>
            <w:tcBorders>
              <w:bottom w:val="nil"/>
            </w:tcBorders>
          </w:tcPr>
          <w:p w14:paraId="01BE1902" w14:textId="77777777" w:rsidR="00DB6F74" w:rsidRPr="00F21780"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t>171</w:t>
            </w:r>
          </w:p>
        </w:tc>
        <w:tc>
          <w:tcPr>
            <w:tcW w:w="1178" w:type="dxa"/>
            <w:tcBorders>
              <w:bottom w:val="nil"/>
            </w:tcBorders>
          </w:tcPr>
          <w:p w14:paraId="01BE1903" w14:textId="77777777" w:rsidR="00DB6F74" w:rsidRPr="00F21780"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t>700</w:t>
            </w:r>
          </w:p>
        </w:tc>
      </w:tr>
      <w:tr w:rsidR="00DB6F74" w:rsidRPr="00F21780" w14:paraId="01BE190C" w14:textId="77777777" w:rsidTr="00A961ED">
        <w:tc>
          <w:tcPr>
            <w:cnfStyle w:val="001000000000" w:firstRow="0" w:lastRow="0" w:firstColumn="1" w:lastColumn="0" w:oddVBand="0" w:evenVBand="0" w:oddHBand="0" w:evenHBand="0" w:firstRowFirstColumn="0" w:firstRowLastColumn="0" w:lastRowFirstColumn="0" w:lastRowLastColumn="0"/>
            <w:tcW w:w="1831" w:type="dxa"/>
            <w:tcBorders>
              <w:top w:val="nil"/>
              <w:bottom w:val="nil"/>
            </w:tcBorders>
          </w:tcPr>
          <w:p w14:paraId="01BE1905" w14:textId="77777777" w:rsidR="00DB6F74" w:rsidRPr="00991FDC" w:rsidRDefault="00DB6F74" w:rsidP="00D35E06">
            <w:pPr>
              <w:pStyle w:val="Tabletext"/>
              <w:rPr>
                <w:b w:val="0"/>
              </w:rPr>
            </w:pPr>
            <w:r w:rsidRPr="00991FDC">
              <w:rPr>
                <w:b w:val="0"/>
              </w:rPr>
              <w:t>Completions</w:t>
            </w:r>
          </w:p>
        </w:tc>
        <w:tc>
          <w:tcPr>
            <w:tcW w:w="1177" w:type="dxa"/>
            <w:tcBorders>
              <w:top w:val="nil"/>
              <w:bottom w:val="nil"/>
            </w:tcBorders>
          </w:tcPr>
          <w:p w14:paraId="01BE1906" w14:textId="77777777" w:rsidR="00DB6F74" w:rsidRPr="00F21780" w:rsidRDefault="00DB6F74" w:rsidP="00991FDC">
            <w:pPr>
              <w:pStyle w:val="Tabletext"/>
              <w:jc w:val="center"/>
              <w:cnfStyle w:val="000000000000" w:firstRow="0" w:lastRow="0" w:firstColumn="0" w:lastColumn="0" w:oddVBand="0" w:evenVBand="0" w:oddHBand="0" w:evenHBand="0" w:firstRowFirstColumn="0" w:firstRowLastColumn="0" w:lastRowFirstColumn="0" w:lastRowLastColumn="0"/>
            </w:pPr>
            <w:r>
              <w:t>4</w:t>
            </w:r>
          </w:p>
        </w:tc>
        <w:tc>
          <w:tcPr>
            <w:tcW w:w="1178" w:type="dxa"/>
            <w:tcBorders>
              <w:top w:val="nil"/>
              <w:bottom w:val="nil"/>
            </w:tcBorders>
          </w:tcPr>
          <w:p w14:paraId="01BE1907" w14:textId="77777777" w:rsidR="00DB6F74" w:rsidRPr="00F21780" w:rsidRDefault="00DB6F74" w:rsidP="00991FDC">
            <w:pPr>
              <w:pStyle w:val="Tabletext"/>
              <w:jc w:val="center"/>
              <w:cnfStyle w:val="000000000000" w:firstRow="0" w:lastRow="0" w:firstColumn="0" w:lastColumn="0" w:oddVBand="0" w:evenVBand="0" w:oddHBand="0" w:evenHBand="0" w:firstRowFirstColumn="0" w:firstRowLastColumn="0" w:lastRowFirstColumn="0" w:lastRowLastColumn="0"/>
            </w:pPr>
            <w:r>
              <w:t>81</w:t>
            </w:r>
          </w:p>
        </w:tc>
        <w:tc>
          <w:tcPr>
            <w:tcW w:w="1178" w:type="dxa"/>
            <w:tcBorders>
              <w:top w:val="nil"/>
              <w:bottom w:val="nil"/>
            </w:tcBorders>
          </w:tcPr>
          <w:p w14:paraId="01BE1908" w14:textId="77777777" w:rsidR="00DB6F74" w:rsidRPr="00F21780" w:rsidRDefault="00DB6F74" w:rsidP="00991FDC">
            <w:pPr>
              <w:pStyle w:val="Tabletext"/>
              <w:jc w:val="center"/>
              <w:cnfStyle w:val="000000000000" w:firstRow="0" w:lastRow="0" w:firstColumn="0" w:lastColumn="0" w:oddVBand="0" w:evenVBand="0" w:oddHBand="0" w:evenHBand="0" w:firstRowFirstColumn="0" w:firstRowLastColumn="0" w:lastRowFirstColumn="0" w:lastRowLastColumn="0"/>
            </w:pPr>
            <w:r>
              <w:t>51</w:t>
            </w:r>
          </w:p>
        </w:tc>
        <w:tc>
          <w:tcPr>
            <w:tcW w:w="1177" w:type="dxa"/>
            <w:tcBorders>
              <w:top w:val="nil"/>
              <w:bottom w:val="nil"/>
            </w:tcBorders>
          </w:tcPr>
          <w:p w14:paraId="01BE1909" w14:textId="77777777" w:rsidR="00DB6F74" w:rsidRPr="00F21780" w:rsidRDefault="00DB6F74" w:rsidP="00991FDC">
            <w:pPr>
              <w:pStyle w:val="Tabletext"/>
              <w:jc w:val="center"/>
              <w:cnfStyle w:val="000000000000" w:firstRow="0" w:lastRow="0" w:firstColumn="0" w:lastColumn="0" w:oddVBand="0" w:evenVBand="0" w:oddHBand="0" w:evenHBand="0" w:firstRowFirstColumn="0" w:firstRowLastColumn="0" w:lastRowFirstColumn="0" w:lastRowLastColumn="0"/>
            </w:pPr>
            <w:r>
              <w:t>9</w:t>
            </w:r>
          </w:p>
        </w:tc>
        <w:tc>
          <w:tcPr>
            <w:tcW w:w="1178" w:type="dxa"/>
            <w:tcBorders>
              <w:top w:val="nil"/>
              <w:bottom w:val="nil"/>
            </w:tcBorders>
          </w:tcPr>
          <w:p w14:paraId="01BE190A" w14:textId="77777777" w:rsidR="00DB6F74" w:rsidRPr="00F21780" w:rsidRDefault="00DB6F74" w:rsidP="00991FDC">
            <w:pPr>
              <w:pStyle w:val="Tabletext"/>
              <w:jc w:val="center"/>
              <w:cnfStyle w:val="000000000000" w:firstRow="0" w:lastRow="0" w:firstColumn="0" w:lastColumn="0" w:oddVBand="0" w:evenVBand="0" w:oddHBand="0" w:evenHBand="0" w:firstRowFirstColumn="0" w:firstRowLastColumn="0" w:lastRowFirstColumn="0" w:lastRowLastColumn="0"/>
            </w:pPr>
            <w:r>
              <w:t>6</w:t>
            </w:r>
          </w:p>
        </w:tc>
        <w:tc>
          <w:tcPr>
            <w:tcW w:w="1178" w:type="dxa"/>
            <w:tcBorders>
              <w:top w:val="nil"/>
              <w:bottom w:val="nil"/>
            </w:tcBorders>
          </w:tcPr>
          <w:p w14:paraId="01BE190B" w14:textId="77777777" w:rsidR="00DB6F74" w:rsidRPr="00F21780" w:rsidRDefault="00DB6F74" w:rsidP="00991FDC">
            <w:pPr>
              <w:pStyle w:val="Tabletext"/>
              <w:jc w:val="center"/>
              <w:cnfStyle w:val="000000000000" w:firstRow="0" w:lastRow="0" w:firstColumn="0" w:lastColumn="0" w:oddVBand="0" w:evenVBand="0" w:oddHBand="0" w:evenHBand="0" w:firstRowFirstColumn="0" w:firstRowLastColumn="0" w:lastRowFirstColumn="0" w:lastRowLastColumn="0"/>
            </w:pPr>
            <w:r w:rsidRPr="00F21780">
              <w:t>94</w:t>
            </w:r>
          </w:p>
        </w:tc>
      </w:tr>
      <w:tr w:rsidR="00DB6F74" w:rsidRPr="00F21780" w14:paraId="01BE1914" w14:textId="77777777" w:rsidTr="00A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Borders>
              <w:top w:val="nil"/>
            </w:tcBorders>
          </w:tcPr>
          <w:p w14:paraId="01BE190D" w14:textId="77777777" w:rsidR="00DB6F74" w:rsidRPr="00991FDC" w:rsidRDefault="00DB6F74" w:rsidP="00D35E06">
            <w:pPr>
              <w:pStyle w:val="Tabletext"/>
              <w:rPr>
                <w:b w:val="0"/>
              </w:rPr>
            </w:pPr>
            <w:r w:rsidRPr="00991FDC">
              <w:rPr>
                <w:b w:val="0"/>
              </w:rPr>
              <w:t>Apparent retention*</w:t>
            </w:r>
          </w:p>
        </w:tc>
        <w:tc>
          <w:tcPr>
            <w:tcW w:w="1177" w:type="dxa"/>
            <w:tcBorders>
              <w:top w:val="nil"/>
            </w:tcBorders>
          </w:tcPr>
          <w:p w14:paraId="01BE190E" w14:textId="77777777" w:rsidR="00DB6F74" w:rsidRPr="00F21780"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t>5.1%</w:t>
            </w:r>
          </w:p>
        </w:tc>
        <w:tc>
          <w:tcPr>
            <w:tcW w:w="1178" w:type="dxa"/>
            <w:tcBorders>
              <w:top w:val="nil"/>
            </w:tcBorders>
          </w:tcPr>
          <w:p w14:paraId="01BE190F" w14:textId="77777777" w:rsidR="00DB6F74" w:rsidRPr="00F21780"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t>27.8%</w:t>
            </w:r>
          </w:p>
        </w:tc>
        <w:tc>
          <w:tcPr>
            <w:tcW w:w="1178" w:type="dxa"/>
            <w:tcBorders>
              <w:top w:val="nil"/>
            </w:tcBorders>
          </w:tcPr>
          <w:p w14:paraId="01BE1910" w14:textId="77777777" w:rsidR="00DB6F74" w:rsidRPr="00F21780"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t>46.8%</w:t>
            </w:r>
          </w:p>
        </w:tc>
        <w:tc>
          <w:tcPr>
            <w:tcW w:w="1177" w:type="dxa"/>
            <w:tcBorders>
              <w:top w:val="nil"/>
            </w:tcBorders>
          </w:tcPr>
          <w:p w14:paraId="01BE1911" w14:textId="77777777" w:rsidR="00DB6F74" w:rsidRPr="00F21780"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t>19.6%</w:t>
            </w:r>
          </w:p>
        </w:tc>
        <w:tc>
          <w:tcPr>
            <w:tcW w:w="1178" w:type="dxa"/>
            <w:tcBorders>
              <w:top w:val="nil"/>
            </w:tcBorders>
          </w:tcPr>
          <w:p w14:paraId="01BE1912" w14:textId="77777777" w:rsidR="00DB6F74" w:rsidRPr="00F21780"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t>3.5%</w:t>
            </w:r>
          </w:p>
        </w:tc>
        <w:tc>
          <w:tcPr>
            <w:tcW w:w="1178" w:type="dxa"/>
            <w:tcBorders>
              <w:top w:val="nil"/>
            </w:tcBorders>
          </w:tcPr>
          <w:p w14:paraId="01BE1913" w14:textId="77777777" w:rsidR="00DB6F74" w:rsidRPr="00F21780" w:rsidRDefault="00DB6F74" w:rsidP="00991FDC">
            <w:pPr>
              <w:pStyle w:val="Tabletext"/>
              <w:jc w:val="center"/>
              <w:cnfStyle w:val="000000100000" w:firstRow="0" w:lastRow="0" w:firstColumn="0" w:lastColumn="0" w:oddVBand="0" w:evenVBand="0" w:oddHBand="1" w:evenHBand="0" w:firstRowFirstColumn="0" w:firstRowLastColumn="0" w:lastRowFirstColumn="0" w:lastRowLastColumn="0"/>
            </w:pPr>
            <w:r>
              <w:t>13.4%</w:t>
            </w:r>
          </w:p>
        </w:tc>
      </w:tr>
    </w:tbl>
    <w:p w14:paraId="01BE1916" w14:textId="77777777" w:rsidR="00DB6F74" w:rsidRPr="00991FDC" w:rsidRDefault="00DB6F74" w:rsidP="00991FDC">
      <w:pPr>
        <w:pStyle w:val="Source"/>
      </w:pPr>
      <w:r w:rsidRPr="00991FDC">
        <w:t xml:space="preserve">Source: </w:t>
      </w:r>
      <w:r w:rsidR="005C5FFD" w:rsidRPr="00991FDC">
        <w:t>NCVER</w:t>
      </w:r>
      <w:r w:rsidRPr="00991FDC">
        <w:t xml:space="preserve"> </w:t>
      </w:r>
      <w:r w:rsidR="005C5FFD" w:rsidRPr="00991FDC">
        <w:t>(</w:t>
      </w:r>
      <w:r w:rsidRPr="00991FDC">
        <w:t>2016)</w:t>
      </w:r>
      <w:r w:rsidR="005C5FFD" w:rsidRPr="00991FDC">
        <w:t>.</w:t>
      </w:r>
    </w:p>
    <w:p w14:paraId="5AC3C96D" w14:textId="77777777" w:rsidR="00991FDC" w:rsidRPr="00991FDC" w:rsidRDefault="00991FDC" w:rsidP="00991FDC">
      <w:pPr>
        <w:pStyle w:val="Source"/>
      </w:pPr>
      <w:r w:rsidRPr="00991FDC">
        <w:t xml:space="preserve">Note: </w:t>
      </w:r>
      <w:r w:rsidRPr="00991FDC">
        <w:tab/>
        <w:t>*This figure is not the actual retention rate. It is based on enrolments and completions in a given year, and should be treated as indicative only. These data should be treated with caution as year-to-year fluctuations may lead to spurious results.</w:t>
      </w:r>
    </w:p>
    <w:p w14:paraId="54F51F6F" w14:textId="77777777" w:rsidR="00991FDC" w:rsidRDefault="00991FDC" w:rsidP="00D35E06">
      <w:pPr>
        <w:pStyle w:val="Source"/>
      </w:pPr>
    </w:p>
    <w:p w14:paraId="01BE1917" w14:textId="09780C2C" w:rsidR="00DB6F74" w:rsidRDefault="00DB6F74" w:rsidP="00D35E06">
      <w:pPr>
        <w:pStyle w:val="Text"/>
      </w:pPr>
      <w:r w:rsidRPr="002257AB">
        <w:t xml:space="preserve">Expressed another way, the overall attrition rate for </w:t>
      </w:r>
      <w:r>
        <w:t>VET courses</w:t>
      </w:r>
      <w:r w:rsidRPr="002257AB">
        <w:t xml:space="preserve"> is 8</w:t>
      </w:r>
      <w:r>
        <w:t>6</w:t>
      </w:r>
      <w:r w:rsidRPr="002257AB">
        <w:t>.</w:t>
      </w:r>
      <w:r>
        <w:t>6</w:t>
      </w:r>
      <w:r w:rsidRPr="002257AB">
        <w:t xml:space="preserve">% compared with 21.5% for </w:t>
      </w:r>
      <w:r w:rsidR="00A961ED">
        <w:t>Yes, I Can</w:t>
      </w:r>
      <w:r w:rsidR="00F61739">
        <w:t>.</w:t>
      </w:r>
      <w:r w:rsidRPr="002257AB">
        <w:t xml:space="preserve"> These rates are the result of many aspects of the </w:t>
      </w:r>
      <w:r>
        <w:t>campaign</w:t>
      </w:r>
      <w:r w:rsidRPr="002257AB">
        <w:t xml:space="preserve">, not the least of which is the </w:t>
      </w:r>
      <w:r w:rsidR="005C5FFD">
        <w:t>flexible delivery of the Phase t</w:t>
      </w:r>
      <w:r>
        <w:t>wo lessons. The days and times the classes are held are determined by each community and in the intakes co</w:t>
      </w:r>
      <w:r w:rsidR="00F61739">
        <w:t>mprising the current case study</w:t>
      </w:r>
      <w:r>
        <w:t xml:space="preserve"> classes ran for three days per week</w:t>
      </w:r>
      <w:r w:rsidR="00F61739">
        <w:t>,</w:t>
      </w:r>
      <w:r>
        <w:t xml:space="preserve"> with one day reserved for catch-up classes. The timetabling of catch-up time each week means that participants do not fall behind, despite missing some classes. I</w:t>
      </w:r>
      <w:r w:rsidR="005C5FFD">
        <w:t>t also represents an acknowledg</w:t>
      </w:r>
      <w:r>
        <w:t>ment of the environment beyond the class</w:t>
      </w:r>
      <w:r w:rsidR="005C5FFD">
        <w:t>,</w:t>
      </w:r>
      <w:r>
        <w:t xml:space="preserve"> including the priority that family takes in Aboriginal cultur</w:t>
      </w:r>
      <w:r w:rsidR="005C5FFD">
        <w:t>e. As one facilitator explained:</w:t>
      </w:r>
      <w:r>
        <w:t xml:space="preserve"> ‘we’ve had someone that couldn’t come to class stuck home with the grandkids. I visited them and did a lesson’.</w:t>
      </w:r>
      <w:r w:rsidR="00F107E1" w:rsidRPr="00F107E1">
        <w:t xml:space="preserve"> </w:t>
      </w:r>
      <w:r>
        <w:t xml:space="preserve">This example of flexible delivery was not at all uncommon and indicates a key difference between the </w:t>
      </w:r>
      <w:r w:rsidR="00A961ED">
        <w:t>Yes, I Can</w:t>
      </w:r>
      <w:r>
        <w:t xml:space="preserve"> model and conventional adult education programs. </w:t>
      </w:r>
    </w:p>
    <w:p w14:paraId="01BE1918" w14:textId="77777777" w:rsidR="00DB6F74" w:rsidRDefault="00DB6F74" w:rsidP="00D35E06">
      <w:pPr>
        <w:pStyle w:val="Text"/>
      </w:pPr>
      <w:r>
        <w:t xml:space="preserve">Such flexibility in the campaign signifies more than contingency planning. It also indicates the level </w:t>
      </w:r>
      <w:r w:rsidRPr="00526D25">
        <w:t xml:space="preserve">of </w:t>
      </w:r>
      <w:r w:rsidRPr="004C73C7">
        <w:t>care and investment</w:t>
      </w:r>
      <w:r w:rsidRPr="00526D25">
        <w:t xml:space="preserve"> the</w:t>
      </w:r>
      <w:r>
        <w:t xml:space="preserve"> local facilitators and coordinators have in the campaign and the participants. Such care inspires commitment on the part of the students</w:t>
      </w:r>
      <w:r w:rsidR="00F61739">
        <w:t>,</w:t>
      </w:r>
      <w:r>
        <w:t xml:space="preserve"> as this anecdote shows: </w:t>
      </w:r>
    </w:p>
    <w:p w14:paraId="01BE1919" w14:textId="77777777" w:rsidR="00DB6F74" w:rsidRDefault="00DB6F74" w:rsidP="00D35E06">
      <w:pPr>
        <w:pStyle w:val="Quote"/>
      </w:pPr>
      <w:r w:rsidRPr="00762395">
        <w:t>Two months we lost L while she supported her daughter in law through her pregnancy but when L came back, interestingly enough, she just begged us to let her finish the course so we did a special program for her</w:t>
      </w:r>
      <w:r w:rsidR="005C5FFD">
        <w:t>.</w:t>
      </w:r>
      <w:r w:rsidR="005C5FFD">
        <w:tab/>
      </w:r>
      <w:r>
        <w:t xml:space="preserve"> </w:t>
      </w:r>
      <w:r w:rsidR="005C5FFD">
        <w:t>(N</w:t>
      </w:r>
      <w:r w:rsidRPr="000A2783">
        <w:t>o</w:t>
      </w:r>
      <w:r w:rsidR="005C5FFD">
        <w:t>n-Aboriginal trainer, national)</w:t>
      </w:r>
    </w:p>
    <w:p w14:paraId="01BE191A" w14:textId="1EC14E2C" w:rsidR="00DB6F74" w:rsidRPr="00B03755" w:rsidRDefault="00DB6F74" w:rsidP="00D35E06">
      <w:pPr>
        <w:pStyle w:val="Text"/>
      </w:pPr>
      <w:r>
        <w:t xml:space="preserve">An ethics of care and concern, called solidarity by the campaign leadership, is one of the principles underpinning the </w:t>
      </w:r>
      <w:r w:rsidR="00A961ED">
        <w:t>Yes, I Can</w:t>
      </w:r>
      <w:r>
        <w:t xml:space="preserve"> model. This care and concern produces a reciprocal commitment that contributes to the high retention and completion rates. </w:t>
      </w:r>
      <w:r w:rsidRPr="00863A55">
        <w:t xml:space="preserve">While it is </w:t>
      </w:r>
      <w:r>
        <w:t>often not f</w:t>
      </w:r>
      <w:r w:rsidRPr="00863A55">
        <w:t>easible for adul</w:t>
      </w:r>
      <w:r w:rsidR="005C5FFD">
        <w:t xml:space="preserve">t education providers to follow </w:t>
      </w:r>
      <w:r w:rsidRPr="00863A55">
        <w:t>up non</w:t>
      </w:r>
      <w:r>
        <w:t>-</w:t>
      </w:r>
      <w:r w:rsidRPr="00863A55">
        <w:t>attenders in the ways described above, the small, flexible and</w:t>
      </w:r>
      <w:r w:rsidR="005C5FFD">
        <w:t>,</w:t>
      </w:r>
      <w:r w:rsidRPr="00863A55">
        <w:t xml:space="preserve"> most significantly</w:t>
      </w:r>
      <w:r>
        <w:t>,</w:t>
      </w:r>
      <w:r w:rsidRPr="00863A55">
        <w:t xml:space="preserve"> community-led nature of </w:t>
      </w:r>
      <w:r w:rsidR="00A961ED">
        <w:t>Yes, I Can</w:t>
      </w:r>
      <w:r w:rsidRPr="00863A55">
        <w:t xml:space="preserve"> means this level of support is possible</w:t>
      </w:r>
      <w:r>
        <w:t xml:space="preserve">. Moreover, in the communities </w:t>
      </w:r>
      <w:r w:rsidR="005C5FFD">
        <w:t>in which</w:t>
      </w:r>
      <w:r>
        <w:t xml:space="preserve"> </w:t>
      </w:r>
      <w:r w:rsidR="00A961ED">
        <w:t>Yes, I Can</w:t>
      </w:r>
      <w:r w:rsidR="005C5FFD">
        <w:t xml:space="preserve"> operates</w:t>
      </w:r>
      <w:r>
        <w:t xml:space="preserve">, a culture of mutual support or solidarity </w:t>
      </w:r>
      <w:r w:rsidR="00C03A2A">
        <w:t>is</w:t>
      </w:r>
      <w:r>
        <w:t xml:space="preserve"> a product of the historical experience of oppression and marginalisation. As one participant expressed, ‘</w:t>
      </w:r>
      <w:r w:rsidRPr="004C73C7">
        <w:t>o</w:t>
      </w:r>
      <w:r w:rsidRPr="00B03755">
        <w:t>ur philosophy</w:t>
      </w:r>
      <w:r w:rsidRPr="004C73C7">
        <w:t xml:space="preserve"> is</w:t>
      </w:r>
      <w:r w:rsidRPr="00B03755">
        <w:t xml:space="preserve"> no one wants to be left behind, we don’t want anybody to be left behind, we don’t want people on the fringes left behind</w:t>
      </w:r>
      <w:r w:rsidR="005C5FFD">
        <w:t>’ (</w:t>
      </w:r>
      <w:r>
        <w:t>Aboriginal community represe</w:t>
      </w:r>
      <w:r w:rsidR="005C5FFD">
        <w:t>ntative and government employee)</w:t>
      </w:r>
      <w:r w:rsidRPr="00B03755">
        <w:t>.</w:t>
      </w:r>
    </w:p>
    <w:p w14:paraId="01BE191B" w14:textId="77777777" w:rsidR="00DB6F74" w:rsidRPr="00955273" w:rsidRDefault="00DB6F74" w:rsidP="007F3F0E">
      <w:pPr>
        <w:pStyle w:val="Heading4"/>
      </w:pPr>
      <w:r w:rsidRPr="00955273">
        <w:t xml:space="preserve">Literacy </w:t>
      </w:r>
      <w:r>
        <w:t>outcomes</w:t>
      </w:r>
    </w:p>
    <w:p w14:paraId="01BE191C" w14:textId="5FE657C6" w:rsidR="00DB6F74" w:rsidRDefault="00DB6F74" w:rsidP="00D35E06">
      <w:pPr>
        <w:pStyle w:val="Text"/>
        <w:rPr>
          <w:i/>
          <w:sz w:val="22"/>
          <w:szCs w:val="22"/>
        </w:rPr>
      </w:pPr>
      <w:r w:rsidRPr="00C37B63">
        <w:t xml:space="preserve">The literacy outcomes for </w:t>
      </w:r>
      <w:r>
        <w:t>participants</w:t>
      </w:r>
      <w:r w:rsidRPr="00C37B63">
        <w:t xml:space="preserve"> need to be viewed in the context of the aims </w:t>
      </w:r>
      <w:r>
        <w:t xml:space="preserve">and methodology </w:t>
      </w:r>
      <w:r w:rsidRPr="00C37B63">
        <w:t xml:space="preserve">of the </w:t>
      </w:r>
      <w:r>
        <w:t>campaign</w:t>
      </w:r>
      <w:r w:rsidRPr="00C37B63">
        <w:t>.</w:t>
      </w:r>
      <w:r w:rsidR="005C5FFD">
        <w:t xml:space="preserve"> The Phase t</w:t>
      </w:r>
      <w:r>
        <w:t xml:space="preserve">wo </w:t>
      </w:r>
      <w:r w:rsidR="00A961ED">
        <w:t>Yes, I Can</w:t>
      </w:r>
      <w:r w:rsidRPr="00C37B63">
        <w:t xml:space="preserve"> </w:t>
      </w:r>
      <w:r>
        <w:t>lessons</w:t>
      </w:r>
      <w:r w:rsidRPr="00C37B63">
        <w:t xml:space="preserve"> </w:t>
      </w:r>
      <w:r>
        <w:t xml:space="preserve">comprise </w:t>
      </w:r>
      <w:r w:rsidRPr="00C37B63">
        <w:t>a</w:t>
      </w:r>
      <w:r w:rsidRPr="005C5FFD">
        <w:t xml:space="preserve"> basic</w:t>
      </w:r>
      <w:r w:rsidRPr="0081294F">
        <w:rPr>
          <w:i/>
        </w:rPr>
        <w:t xml:space="preserve"> </w:t>
      </w:r>
      <w:r w:rsidRPr="00C37B63">
        <w:t xml:space="preserve">literacy </w:t>
      </w:r>
      <w:r>
        <w:t xml:space="preserve">course </w:t>
      </w:r>
      <w:r w:rsidRPr="00C37B63">
        <w:t xml:space="preserve">for students who </w:t>
      </w:r>
      <w:r>
        <w:t xml:space="preserve">are </w:t>
      </w:r>
      <w:r w:rsidRPr="00C37B63">
        <w:t xml:space="preserve">typically </w:t>
      </w:r>
      <w:r w:rsidR="005C5FFD">
        <w:t>below Level o</w:t>
      </w:r>
      <w:r>
        <w:t>ne on the Australian Core Skills Framework</w:t>
      </w:r>
      <w:r w:rsidR="005C5FFD">
        <w:t xml:space="preserve"> ACSF)</w:t>
      </w:r>
      <w:r>
        <w:t>, in the three domains of reading, writing and learning.</w:t>
      </w:r>
      <w:r w:rsidRPr="00634359">
        <w:rPr>
          <w:lang w:val="en-GB"/>
        </w:rPr>
        <w:t xml:space="preserve"> </w:t>
      </w:r>
      <w:r>
        <w:rPr>
          <w:lang w:val="en-GB"/>
        </w:rPr>
        <w:t>I</w:t>
      </w:r>
      <w:r w:rsidRPr="00634359">
        <w:rPr>
          <w:lang w:val="en-GB"/>
        </w:rPr>
        <w:t>nitial steps are very small, beginning with motor skills, then vowels and consonants</w:t>
      </w:r>
      <w:r>
        <w:rPr>
          <w:lang w:val="en-GB"/>
        </w:rPr>
        <w:t>. After several weeks of instruction, students</w:t>
      </w:r>
      <w:r w:rsidRPr="00634359">
        <w:rPr>
          <w:lang w:val="en-GB"/>
        </w:rPr>
        <w:t xml:space="preserve"> </w:t>
      </w:r>
      <w:r>
        <w:rPr>
          <w:lang w:val="en-GB"/>
        </w:rPr>
        <w:t xml:space="preserve">undertake a series of </w:t>
      </w:r>
      <w:proofErr w:type="spellStart"/>
      <w:r>
        <w:rPr>
          <w:lang w:val="en-GB"/>
        </w:rPr>
        <w:t>scaffolded</w:t>
      </w:r>
      <w:proofErr w:type="spellEnd"/>
      <w:r>
        <w:rPr>
          <w:lang w:val="en-GB"/>
        </w:rPr>
        <w:t xml:space="preserve"> tasks to demonstrate competence in reading comprehension and writing, culminating in the production of </w:t>
      </w:r>
      <w:r w:rsidRPr="00634359">
        <w:rPr>
          <w:lang w:val="en-GB"/>
        </w:rPr>
        <w:t>a simple letter to a friend</w:t>
      </w:r>
      <w:r w:rsidR="005C5FFD">
        <w:rPr>
          <w:lang w:val="en-GB"/>
        </w:rPr>
        <w:t>,</w:t>
      </w:r>
      <w:r w:rsidRPr="00634359">
        <w:rPr>
          <w:lang w:val="en-GB"/>
        </w:rPr>
        <w:t xml:space="preserve"> including description and opinion.</w:t>
      </w:r>
      <w:r w:rsidRPr="00F17C80">
        <w:t xml:space="preserve"> </w:t>
      </w:r>
      <w:r>
        <w:t>As part of the Wilcannia pilot study, t</w:t>
      </w:r>
      <w:r w:rsidRPr="00D86DC5">
        <w:t>h</w:t>
      </w:r>
      <w:r>
        <w:t>ese</w:t>
      </w:r>
      <w:r w:rsidRPr="00D86DC5">
        <w:t xml:space="preserve"> task</w:t>
      </w:r>
      <w:r>
        <w:t>s</w:t>
      </w:r>
      <w:r w:rsidRPr="00D86DC5">
        <w:t xml:space="preserve"> </w:t>
      </w:r>
      <w:r>
        <w:t>were</w:t>
      </w:r>
      <w:r w:rsidRPr="00D86DC5">
        <w:t xml:space="preserve"> mapped </w:t>
      </w:r>
      <w:r>
        <w:t xml:space="preserve">by a qualified ACFS consultant, </w:t>
      </w:r>
      <w:r w:rsidRPr="00D86DC5">
        <w:t>at the</w:t>
      </w:r>
      <w:r>
        <w:t xml:space="preserve"> equivalent of </w:t>
      </w:r>
      <w:r w:rsidRPr="00D86DC5">
        <w:t xml:space="preserve">Level </w:t>
      </w:r>
      <w:r w:rsidR="005C5FFD">
        <w:t>t</w:t>
      </w:r>
      <w:r>
        <w:t>wo</w:t>
      </w:r>
      <w:r w:rsidRPr="00D86DC5">
        <w:t xml:space="preserve"> ACSF </w:t>
      </w:r>
      <w:r w:rsidR="005C5FFD">
        <w:t>(McLean 2012</w:t>
      </w:r>
      <w:r>
        <w:t xml:space="preserve"> cited </w:t>
      </w:r>
      <w:r w:rsidR="005C5FFD">
        <w:t xml:space="preserve">in </w:t>
      </w:r>
      <w:proofErr w:type="spellStart"/>
      <w:r w:rsidR="005C5FFD">
        <w:t>Boughton</w:t>
      </w:r>
      <w:proofErr w:type="spellEnd"/>
      <w:r w:rsidR="005C5FFD">
        <w:t xml:space="preserve"> et al.</w:t>
      </w:r>
      <w:r>
        <w:t xml:space="preserve"> 2013). </w:t>
      </w:r>
    </w:p>
    <w:p w14:paraId="01BE191D" w14:textId="77777777" w:rsidR="00DB6F74" w:rsidRDefault="00DB6F74" w:rsidP="00D35E06">
      <w:pPr>
        <w:pStyle w:val="Text"/>
      </w:pPr>
      <w:r>
        <w:t>For many participants, their literacy achievement is of huge significance, as this extract from the personal letter written at the end of the lessons demonstrates:</w:t>
      </w:r>
    </w:p>
    <w:p w14:paraId="01BE191E" w14:textId="77777777" w:rsidR="00DB6F74" w:rsidRPr="006C5D88" w:rsidRDefault="00DB6F74" w:rsidP="00D35E06">
      <w:pPr>
        <w:pStyle w:val="Quote"/>
      </w:pPr>
      <w:r w:rsidRPr="006C5D88">
        <w:t>I did a lot of practice in the lessons and it taught me to do better in my reading and writing and it stopped me from being shame and learnt me how to spell and write sentences and paragraphs</w:t>
      </w:r>
      <w:r w:rsidR="00F61739">
        <w:t>.</w:t>
      </w:r>
      <w:r w:rsidR="00F61739">
        <w:tab/>
        <w:t>(M</w:t>
      </w:r>
      <w:r w:rsidR="005C5FFD">
        <w:t>ale participant, Bourke)</w:t>
      </w:r>
      <w:r>
        <w:t xml:space="preserve"> </w:t>
      </w:r>
    </w:p>
    <w:p w14:paraId="01BE191F" w14:textId="10020E1E" w:rsidR="00DB6F74" w:rsidRDefault="00DB6F74" w:rsidP="00D35E06">
      <w:pPr>
        <w:pStyle w:val="Text"/>
      </w:pPr>
      <w:r w:rsidRPr="00841F87">
        <w:t>While the development of foundation</w:t>
      </w:r>
      <w:r>
        <w:t xml:space="preserve"> literacy skills certainly contributes to the employability of graduates, the realit</w:t>
      </w:r>
      <w:r w:rsidR="005C5FFD">
        <w:t>y is that</w:t>
      </w:r>
      <w:r w:rsidR="00F61739">
        <w:t>,</w:t>
      </w:r>
      <w:r w:rsidR="005C5FFD">
        <w:t xml:space="preserve"> for many participants</w:t>
      </w:r>
      <w:r w:rsidR="00F61739">
        <w:t>,</w:t>
      </w:r>
      <w:r>
        <w:t xml:space="preserve"> their literacy level upon exiting </w:t>
      </w:r>
      <w:r w:rsidR="00A961ED">
        <w:t>Yes, I Can</w:t>
      </w:r>
      <w:r w:rsidRPr="000154BA">
        <w:rPr>
          <w:i/>
        </w:rPr>
        <w:t xml:space="preserve"> </w:t>
      </w:r>
      <w:r>
        <w:t>is short of what is required by the labour market. According to the national trainer:</w:t>
      </w:r>
    </w:p>
    <w:p w14:paraId="01BE1920" w14:textId="77777777" w:rsidR="00DB6F74" w:rsidRDefault="00DB6F74" w:rsidP="00D35E06">
      <w:pPr>
        <w:pStyle w:val="Quote"/>
      </w:pPr>
      <w:r w:rsidRPr="00122F17">
        <w:t>So many of these people haven’t had any general education so I don’t th</w:t>
      </w:r>
      <w:r>
        <w:t>ink in six months any course can</w:t>
      </w:r>
      <w:r w:rsidRPr="00122F17">
        <w:t xml:space="preserve"> purport to overcome the fact that people basically haven’t had any education post primary. Even for people who went to school, they didn’t learn anything or they learnt so little. You can’t make up in six months what the rest of us have done in thirteen years.</w:t>
      </w:r>
      <w:r>
        <w:t xml:space="preserve"> </w:t>
      </w:r>
    </w:p>
    <w:p w14:paraId="01BE1921" w14:textId="04BC67EE" w:rsidR="00DB6F74" w:rsidRDefault="00DB6F74" w:rsidP="00D35E06">
      <w:pPr>
        <w:pStyle w:val="Text"/>
      </w:pPr>
      <w:r>
        <w:t xml:space="preserve">However, the literacy gains achieved as a result of attending </w:t>
      </w:r>
      <w:r w:rsidR="00A961ED">
        <w:t>Yes, I Can</w:t>
      </w:r>
      <w:r>
        <w:t xml:space="preserve"> allow graduates to manage everyday text-based encounters better, as these comments illustrate:</w:t>
      </w:r>
    </w:p>
    <w:p w14:paraId="01BE1922" w14:textId="551213A1" w:rsidR="005C5FFD" w:rsidRDefault="00DB6F74" w:rsidP="00D35E06">
      <w:pPr>
        <w:pStyle w:val="Quote"/>
      </w:pPr>
      <w:r w:rsidRPr="00B755FB">
        <w:t xml:space="preserve">For lots of providers, in order to complete, you have to gain a qualification but </w:t>
      </w:r>
      <w:r w:rsidR="00A961ED">
        <w:t>Yes, I Can</w:t>
      </w:r>
      <w:r w:rsidRPr="00B755FB">
        <w:t xml:space="preserve"> was more personalised and tailored. It was about developing the skills that people could use in their everyday life like reading to their grandkids, reading the bills, reading the medicine bottle</w:t>
      </w:r>
      <w:r w:rsidR="005C5FFD">
        <w:t>.</w:t>
      </w:r>
    </w:p>
    <w:p w14:paraId="01BE1923" w14:textId="77777777" w:rsidR="00DB6F74" w:rsidRPr="00B755FB" w:rsidRDefault="005C5FFD" w:rsidP="00D35E06">
      <w:pPr>
        <w:pStyle w:val="Quote"/>
      </w:pPr>
      <w:r>
        <w:tab/>
        <w:t>(N</w:t>
      </w:r>
      <w:r w:rsidR="00DB6F74" w:rsidRPr="00B755FB">
        <w:t>on-Aborig</w:t>
      </w:r>
      <w:r>
        <w:t>inal employment services, Dubbo)</w:t>
      </w:r>
    </w:p>
    <w:p w14:paraId="01BE1924" w14:textId="77777777" w:rsidR="00DB6F74" w:rsidRPr="00B23E18" w:rsidRDefault="00DB6F74" w:rsidP="00D35E06">
      <w:pPr>
        <w:pStyle w:val="Text"/>
      </w:pPr>
      <w:r w:rsidRPr="00B23E18">
        <w:t xml:space="preserve">This finding echoes others </w:t>
      </w:r>
      <w:r w:rsidR="00F61739">
        <w:t>that</w:t>
      </w:r>
      <w:r w:rsidRPr="00B23E18">
        <w:t xml:space="preserve"> highlight the value of prevocational training in allowing participants to engage more meaningfully in textual activities for family, religious and community reasons </w:t>
      </w:r>
      <w:r>
        <w:rPr>
          <w:noProof/>
        </w:rPr>
        <w:t xml:space="preserve">(Kral </w:t>
      </w:r>
      <w:r w:rsidR="00E11DB3">
        <w:rPr>
          <w:noProof/>
        </w:rPr>
        <w:t>&amp;</w:t>
      </w:r>
      <w:r>
        <w:rPr>
          <w:noProof/>
        </w:rPr>
        <w:t xml:space="preserve"> Falk 2004)</w:t>
      </w:r>
      <w:r w:rsidRPr="00B23E18">
        <w:t xml:space="preserve">. </w:t>
      </w:r>
    </w:p>
    <w:p w14:paraId="01BE1925" w14:textId="77777777" w:rsidR="00DB6F74" w:rsidRPr="00254967" w:rsidRDefault="00DB6F74" w:rsidP="007F3F0E">
      <w:pPr>
        <w:pStyle w:val="Heading4"/>
      </w:pPr>
      <w:r w:rsidRPr="00254967">
        <w:t xml:space="preserve">Work skills and further training </w:t>
      </w:r>
    </w:p>
    <w:p w14:paraId="01BE1926" w14:textId="48F2761D" w:rsidR="00DB6F74" w:rsidRPr="003D62BA" w:rsidRDefault="00DB6F74" w:rsidP="00D35E06">
      <w:pPr>
        <w:pStyle w:val="Text"/>
        <w:rPr>
          <w:i/>
          <w:sz w:val="22"/>
          <w:szCs w:val="22"/>
        </w:rPr>
      </w:pPr>
      <w:r>
        <w:t xml:space="preserve">As outlined earlier, </w:t>
      </w:r>
      <w:r w:rsidRPr="00B563AE">
        <w:t xml:space="preserve">Phase </w:t>
      </w:r>
      <w:r w:rsidR="00E11DB3">
        <w:t>t</w:t>
      </w:r>
      <w:r>
        <w:t>hree</w:t>
      </w:r>
      <w:r w:rsidRPr="00B563AE">
        <w:t xml:space="preserve"> of the </w:t>
      </w:r>
      <w:r w:rsidR="00A961ED">
        <w:t>Yes, I Can</w:t>
      </w:r>
      <w:r w:rsidRPr="00B563AE">
        <w:t xml:space="preserve"> campaign model</w:t>
      </w:r>
      <w:r>
        <w:t>, also known as ‘post-literacy’,</w:t>
      </w:r>
      <w:r w:rsidRPr="00B563AE">
        <w:t xml:space="preserve"> </w:t>
      </w:r>
      <w:r>
        <w:t xml:space="preserve">aims to continue the gains of </w:t>
      </w:r>
      <w:r w:rsidR="00E11DB3">
        <w:t>Phase t</w:t>
      </w:r>
      <w:r>
        <w:t>wo (the literacy classes) by giving participants the opportunity to use their newly acquired skills and knowledge. Consisting of a further 12 weeks of six to eight hours per week o</w:t>
      </w:r>
      <w:r w:rsidR="00E11DB3">
        <w:t>f structured activities, Phase t</w:t>
      </w:r>
      <w:r>
        <w:t xml:space="preserve">hree focuses on work skills but also includes activities and excursions of cultural, historical and creative interest. In Bourke, a total of 16 </w:t>
      </w:r>
      <w:r w:rsidR="00E11DB3">
        <w:t>of</w:t>
      </w:r>
      <w:r>
        <w:t xml:space="preserve"> 25 graduates participated in work experience at various local sites. This experience provides students with opportunities to envision different futures for themselves and their families. </w:t>
      </w:r>
    </w:p>
    <w:p w14:paraId="01BE1927" w14:textId="4E9C4C0C" w:rsidR="00DB6F74" w:rsidRDefault="00DB6F74" w:rsidP="00D35E06">
      <w:pPr>
        <w:pStyle w:val="Text"/>
      </w:pPr>
      <w:r>
        <w:t xml:space="preserve">The experience of </w:t>
      </w:r>
      <w:r w:rsidR="00A961ED">
        <w:t xml:space="preserve">Yes, I </w:t>
      </w:r>
      <w:proofErr w:type="gramStart"/>
      <w:r w:rsidR="00A961ED">
        <w:t>Can</w:t>
      </w:r>
      <w:proofErr w:type="gramEnd"/>
      <w:r>
        <w:t xml:space="preserve"> built participants’ confidence to attempt more training.</w:t>
      </w:r>
      <w:r w:rsidR="00F107E1" w:rsidRPr="00F107E1">
        <w:t xml:space="preserve"> </w:t>
      </w:r>
      <w:r>
        <w:t xml:space="preserve">Table </w:t>
      </w:r>
      <w:r w:rsidR="00E11DB3">
        <w:t>5</w:t>
      </w:r>
      <w:r>
        <w:t xml:space="preserve"> indicates the numbers of graduates who went on to further training.</w:t>
      </w:r>
    </w:p>
    <w:p w14:paraId="01BE1928" w14:textId="13F9EDB4" w:rsidR="00DB6F74" w:rsidRPr="0029774D" w:rsidRDefault="00DB6F74" w:rsidP="00D35E06">
      <w:pPr>
        <w:pStyle w:val="tabletitle"/>
      </w:pPr>
      <w:bookmarkStart w:id="41" w:name="_Toc476305806"/>
      <w:r w:rsidRPr="0029774D">
        <w:t xml:space="preserve">Table </w:t>
      </w:r>
      <w:r w:rsidR="006436A1">
        <w:fldChar w:fldCharType="begin"/>
      </w:r>
      <w:r>
        <w:instrText xml:space="preserve"> SEQ Table \* ARABIC </w:instrText>
      </w:r>
      <w:r w:rsidR="006436A1">
        <w:fldChar w:fldCharType="separate"/>
      </w:r>
      <w:r w:rsidR="0073414E">
        <w:rPr>
          <w:noProof/>
        </w:rPr>
        <w:t>5</w:t>
      </w:r>
      <w:r w:rsidR="006436A1">
        <w:fldChar w:fldCharType="end"/>
      </w:r>
      <w:r w:rsidR="00122B7A">
        <w:t xml:space="preserve"> </w:t>
      </w:r>
      <w:r w:rsidRPr="0029774D">
        <w:t xml:space="preserve"> Summary of further training outcomes</w:t>
      </w:r>
      <w:bookmarkEnd w:id="41"/>
      <w:r w:rsidR="006A3125">
        <w:t xml:space="preserve">, </w:t>
      </w:r>
      <w:r w:rsidR="00C03A2A">
        <w:t>Yes,</w:t>
      </w:r>
      <w:r w:rsidR="006A3125">
        <w:t xml:space="preserve"> I Ca</w:t>
      </w:r>
      <w:r w:rsidR="00E11DB3">
        <w:t>n, Bourke and Brewarrina 2014—</w:t>
      </w:r>
      <w:r w:rsidR="006A3125">
        <w:t>15</w:t>
      </w:r>
    </w:p>
    <w:tbl>
      <w:tblPr>
        <w:tblStyle w:val="PlainTable21"/>
        <w:tblW w:w="0" w:type="auto"/>
        <w:tblLook w:val="04A0" w:firstRow="1" w:lastRow="0" w:firstColumn="1" w:lastColumn="0" w:noHBand="0" w:noVBand="1"/>
      </w:tblPr>
      <w:tblGrid>
        <w:gridCol w:w="1809"/>
        <w:gridCol w:w="1560"/>
        <w:gridCol w:w="2126"/>
        <w:gridCol w:w="3021"/>
      </w:tblGrid>
      <w:tr w:rsidR="00DB6F74" w:rsidRPr="007F729B" w14:paraId="01BE192D" w14:textId="77777777" w:rsidTr="00A961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1BE1929" w14:textId="77777777" w:rsidR="00DB6F74" w:rsidRPr="007F729B" w:rsidRDefault="00DB6F74" w:rsidP="00D35E06">
            <w:pPr>
              <w:pStyle w:val="Tablehead1"/>
            </w:pPr>
          </w:p>
        </w:tc>
        <w:tc>
          <w:tcPr>
            <w:tcW w:w="1560" w:type="dxa"/>
          </w:tcPr>
          <w:p w14:paraId="01BE192A" w14:textId="14A28158" w:rsidR="00DB6F74" w:rsidRPr="00A961ED" w:rsidRDefault="00DB6F74" w:rsidP="00122B7A">
            <w:pPr>
              <w:pStyle w:val="Tablehead1"/>
              <w:jc w:val="center"/>
              <w:cnfStyle w:val="100000000000" w:firstRow="1" w:lastRow="0" w:firstColumn="0" w:lastColumn="0" w:oddVBand="0" w:evenVBand="0" w:oddHBand="0" w:evenHBand="0" w:firstRowFirstColumn="0" w:firstRowLastColumn="0" w:lastRowFirstColumn="0" w:lastRowLastColumn="0"/>
              <w:rPr>
                <w:b/>
              </w:rPr>
            </w:pPr>
            <w:r w:rsidRPr="00A961ED">
              <w:rPr>
                <w:b/>
              </w:rPr>
              <w:t>N</w:t>
            </w:r>
            <w:r w:rsidR="00122B7A">
              <w:rPr>
                <w:b/>
              </w:rPr>
              <w:t>umber</w:t>
            </w:r>
            <w:r w:rsidRPr="00A961ED">
              <w:rPr>
                <w:b/>
              </w:rPr>
              <w:t xml:space="preserve"> of participants /graduates</w:t>
            </w:r>
          </w:p>
        </w:tc>
        <w:tc>
          <w:tcPr>
            <w:tcW w:w="2126" w:type="dxa"/>
          </w:tcPr>
          <w:p w14:paraId="01BE192B" w14:textId="77AB5799" w:rsidR="00DB6F74" w:rsidRPr="00A961ED" w:rsidRDefault="00DB6F74" w:rsidP="00D35E06">
            <w:pPr>
              <w:pStyle w:val="Tablehead1"/>
              <w:jc w:val="center"/>
              <w:cnfStyle w:val="100000000000" w:firstRow="1" w:lastRow="0" w:firstColumn="0" w:lastColumn="0" w:oddVBand="0" w:evenVBand="0" w:oddHBand="0" w:evenHBand="0" w:firstRowFirstColumn="0" w:firstRowLastColumn="0" w:lastRowFirstColumn="0" w:lastRowLastColumn="0"/>
              <w:rPr>
                <w:b/>
              </w:rPr>
            </w:pPr>
            <w:r w:rsidRPr="00A961ED">
              <w:rPr>
                <w:b/>
              </w:rPr>
              <w:t>% in further</w:t>
            </w:r>
            <w:r w:rsidR="00A961ED">
              <w:rPr>
                <w:b/>
              </w:rPr>
              <w:br/>
            </w:r>
            <w:r w:rsidRPr="00A961ED">
              <w:rPr>
                <w:b/>
              </w:rPr>
              <w:t xml:space="preserve"> training</w:t>
            </w:r>
          </w:p>
        </w:tc>
        <w:tc>
          <w:tcPr>
            <w:tcW w:w="3021" w:type="dxa"/>
          </w:tcPr>
          <w:p w14:paraId="01BE192C" w14:textId="77777777" w:rsidR="00DB6F74" w:rsidRPr="00A961ED" w:rsidRDefault="00DB6F74" w:rsidP="00D35E06">
            <w:pPr>
              <w:pStyle w:val="Tablehead1"/>
              <w:jc w:val="center"/>
              <w:cnfStyle w:val="100000000000" w:firstRow="1" w:lastRow="0" w:firstColumn="0" w:lastColumn="0" w:oddVBand="0" w:evenVBand="0" w:oddHBand="0" w:evenHBand="0" w:firstRowFirstColumn="0" w:firstRowLastColumn="0" w:lastRowFirstColumn="0" w:lastRowLastColumn="0"/>
              <w:rPr>
                <w:b/>
              </w:rPr>
            </w:pPr>
            <w:r w:rsidRPr="00A961ED">
              <w:rPr>
                <w:b/>
              </w:rPr>
              <w:t>Qualifications enrolled in</w:t>
            </w:r>
          </w:p>
        </w:tc>
      </w:tr>
      <w:tr w:rsidR="00DB6F74" w:rsidRPr="007F729B" w14:paraId="01BE1932" w14:textId="77777777" w:rsidTr="00A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bottom w:val="nil"/>
            </w:tcBorders>
          </w:tcPr>
          <w:p w14:paraId="01BE192E" w14:textId="77777777" w:rsidR="00DB6F74" w:rsidRPr="00A961ED" w:rsidRDefault="00DB6F74" w:rsidP="00D35E06">
            <w:pPr>
              <w:pStyle w:val="Tabletext"/>
              <w:rPr>
                <w:b w:val="0"/>
              </w:rPr>
            </w:pPr>
            <w:r w:rsidRPr="00A961ED">
              <w:rPr>
                <w:b w:val="0"/>
              </w:rPr>
              <w:t>Bourke Intake 3</w:t>
            </w:r>
          </w:p>
        </w:tc>
        <w:tc>
          <w:tcPr>
            <w:tcW w:w="1560" w:type="dxa"/>
            <w:tcBorders>
              <w:bottom w:val="nil"/>
            </w:tcBorders>
          </w:tcPr>
          <w:p w14:paraId="01BE192F" w14:textId="77777777" w:rsidR="00DB6F74" w:rsidRPr="007F729B" w:rsidRDefault="00DB6F74" w:rsidP="00D35E06">
            <w:pPr>
              <w:pStyle w:val="Tabletext"/>
              <w:jc w:val="center"/>
              <w:cnfStyle w:val="000000100000" w:firstRow="0" w:lastRow="0" w:firstColumn="0" w:lastColumn="0" w:oddVBand="0" w:evenVBand="0" w:oddHBand="1" w:evenHBand="0" w:firstRowFirstColumn="0" w:firstRowLastColumn="0" w:lastRowFirstColumn="0" w:lastRowLastColumn="0"/>
            </w:pPr>
            <w:r w:rsidRPr="007F729B">
              <w:t>2/17</w:t>
            </w:r>
          </w:p>
        </w:tc>
        <w:tc>
          <w:tcPr>
            <w:tcW w:w="2126" w:type="dxa"/>
            <w:tcBorders>
              <w:bottom w:val="nil"/>
            </w:tcBorders>
          </w:tcPr>
          <w:p w14:paraId="01BE1930" w14:textId="77777777" w:rsidR="00DB6F74" w:rsidRPr="007F729B" w:rsidRDefault="00DB6F74" w:rsidP="00D35E06">
            <w:pPr>
              <w:pStyle w:val="Tabletext"/>
              <w:jc w:val="center"/>
              <w:cnfStyle w:val="000000100000" w:firstRow="0" w:lastRow="0" w:firstColumn="0" w:lastColumn="0" w:oddVBand="0" w:evenVBand="0" w:oddHBand="1" w:evenHBand="0" w:firstRowFirstColumn="0" w:firstRowLastColumn="0" w:lastRowFirstColumn="0" w:lastRowLastColumn="0"/>
            </w:pPr>
            <w:r w:rsidRPr="007F729B">
              <w:t>11.7%</w:t>
            </w:r>
          </w:p>
        </w:tc>
        <w:tc>
          <w:tcPr>
            <w:tcW w:w="3021" w:type="dxa"/>
            <w:tcBorders>
              <w:bottom w:val="nil"/>
            </w:tcBorders>
          </w:tcPr>
          <w:p w14:paraId="01BE1931" w14:textId="77777777" w:rsidR="00DB6F74" w:rsidRPr="007F729B" w:rsidRDefault="00DB6F74" w:rsidP="00D35E06">
            <w:pPr>
              <w:pStyle w:val="Tabletext"/>
              <w:jc w:val="center"/>
              <w:cnfStyle w:val="000000100000" w:firstRow="0" w:lastRow="0" w:firstColumn="0" w:lastColumn="0" w:oddVBand="0" w:evenVBand="0" w:oddHBand="1" w:evenHBand="0" w:firstRowFirstColumn="0" w:firstRowLastColumn="0" w:lastRowFirstColumn="0" w:lastRowLastColumn="0"/>
            </w:pPr>
            <w:r w:rsidRPr="007F729B">
              <w:t>Cert 3 in Children’s Services</w:t>
            </w:r>
          </w:p>
        </w:tc>
      </w:tr>
      <w:tr w:rsidR="00DB6F74" w:rsidRPr="007F729B" w14:paraId="01BE1937" w14:textId="77777777" w:rsidTr="00A961ED">
        <w:tc>
          <w:tcPr>
            <w:cnfStyle w:val="001000000000" w:firstRow="0" w:lastRow="0" w:firstColumn="1" w:lastColumn="0" w:oddVBand="0" w:evenVBand="0" w:oddHBand="0" w:evenHBand="0" w:firstRowFirstColumn="0" w:firstRowLastColumn="0" w:lastRowFirstColumn="0" w:lastRowLastColumn="0"/>
            <w:tcW w:w="1809" w:type="dxa"/>
            <w:tcBorders>
              <w:top w:val="nil"/>
              <w:bottom w:val="nil"/>
            </w:tcBorders>
          </w:tcPr>
          <w:p w14:paraId="01BE1933" w14:textId="77777777" w:rsidR="00DB6F74" w:rsidRPr="00A961ED" w:rsidRDefault="00DB6F74" w:rsidP="00D35E06">
            <w:pPr>
              <w:pStyle w:val="Tabletext"/>
              <w:rPr>
                <w:b w:val="0"/>
              </w:rPr>
            </w:pPr>
            <w:r w:rsidRPr="00A961ED">
              <w:rPr>
                <w:b w:val="0"/>
              </w:rPr>
              <w:t>Bourke Intake 4</w:t>
            </w:r>
          </w:p>
        </w:tc>
        <w:tc>
          <w:tcPr>
            <w:tcW w:w="1560" w:type="dxa"/>
            <w:tcBorders>
              <w:top w:val="nil"/>
              <w:bottom w:val="nil"/>
            </w:tcBorders>
          </w:tcPr>
          <w:p w14:paraId="01BE1934" w14:textId="77777777" w:rsidR="00DB6F74" w:rsidRPr="007F729B" w:rsidRDefault="00DB6F74" w:rsidP="00D35E06">
            <w:pPr>
              <w:pStyle w:val="Tabletext"/>
              <w:jc w:val="center"/>
              <w:cnfStyle w:val="000000000000" w:firstRow="0" w:lastRow="0" w:firstColumn="0" w:lastColumn="0" w:oddVBand="0" w:evenVBand="0" w:oddHBand="0" w:evenHBand="0" w:firstRowFirstColumn="0" w:firstRowLastColumn="0" w:lastRowFirstColumn="0" w:lastRowLastColumn="0"/>
            </w:pPr>
            <w:r w:rsidRPr="007F729B">
              <w:t>2/8</w:t>
            </w:r>
          </w:p>
        </w:tc>
        <w:tc>
          <w:tcPr>
            <w:tcW w:w="2126" w:type="dxa"/>
            <w:tcBorders>
              <w:top w:val="nil"/>
              <w:bottom w:val="nil"/>
            </w:tcBorders>
          </w:tcPr>
          <w:p w14:paraId="01BE1935" w14:textId="77777777" w:rsidR="00DB6F74" w:rsidRPr="007F729B" w:rsidRDefault="00DB6F74" w:rsidP="00D35E06">
            <w:pPr>
              <w:pStyle w:val="Tabletext"/>
              <w:jc w:val="center"/>
              <w:cnfStyle w:val="000000000000" w:firstRow="0" w:lastRow="0" w:firstColumn="0" w:lastColumn="0" w:oddVBand="0" w:evenVBand="0" w:oddHBand="0" w:evenHBand="0" w:firstRowFirstColumn="0" w:firstRowLastColumn="0" w:lastRowFirstColumn="0" w:lastRowLastColumn="0"/>
            </w:pPr>
            <w:r w:rsidRPr="007F729B">
              <w:t>25.0%</w:t>
            </w:r>
          </w:p>
        </w:tc>
        <w:tc>
          <w:tcPr>
            <w:tcW w:w="3021" w:type="dxa"/>
            <w:tcBorders>
              <w:top w:val="nil"/>
              <w:bottom w:val="nil"/>
            </w:tcBorders>
          </w:tcPr>
          <w:p w14:paraId="01BE1936" w14:textId="77777777" w:rsidR="00DB6F74" w:rsidRPr="007F729B" w:rsidRDefault="00DB6F74" w:rsidP="00D35E06">
            <w:pPr>
              <w:pStyle w:val="Tabletext"/>
              <w:jc w:val="center"/>
              <w:cnfStyle w:val="000000000000" w:firstRow="0" w:lastRow="0" w:firstColumn="0" w:lastColumn="0" w:oddVBand="0" w:evenVBand="0" w:oddHBand="0" w:evenHBand="0" w:firstRowFirstColumn="0" w:firstRowLastColumn="0" w:lastRowFirstColumn="0" w:lastRowLastColumn="0"/>
            </w:pPr>
            <w:r w:rsidRPr="007F729B">
              <w:t>n/a</w:t>
            </w:r>
          </w:p>
        </w:tc>
      </w:tr>
      <w:tr w:rsidR="00DB6F74" w:rsidRPr="007F729B" w14:paraId="01BE193D" w14:textId="77777777" w:rsidTr="00A961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il"/>
            </w:tcBorders>
          </w:tcPr>
          <w:p w14:paraId="01BE1938" w14:textId="77777777" w:rsidR="00DB6F74" w:rsidRPr="00A961ED" w:rsidRDefault="00DB6F74" w:rsidP="00D35E06">
            <w:pPr>
              <w:pStyle w:val="Tabletext"/>
              <w:rPr>
                <w:b w:val="0"/>
              </w:rPr>
            </w:pPr>
            <w:r w:rsidRPr="00A961ED">
              <w:rPr>
                <w:b w:val="0"/>
              </w:rPr>
              <w:t>Brewarrina</w:t>
            </w:r>
          </w:p>
        </w:tc>
        <w:tc>
          <w:tcPr>
            <w:tcW w:w="1560" w:type="dxa"/>
            <w:tcBorders>
              <w:top w:val="nil"/>
            </w:tcBorders>
          </w:tcPr>
          <w:p w14:paraId="01BE1939" w14:textId="77777777" w:rsidR="00DB6F74" w:rsidRPr="007F729B" w:rsidRDefault="00DB6F74" w:rsidP="00D35E06">
            <w:pPr>
              <w:pStyle w:val="Tabletext"/>
              <w:jc w:val="center"/>
              <w:cnfStyle w:val="000000100000" w:firstRow="0" w:lastRow="0" w:firstColumn="0" w:lastColumn="0" w:oddVBand="0" w:evenVBand="0" w:oddHBand="1" w:evenHBand="0" w:firstRowFirstColumn="0" w:firstRowLastColumn="0" w:lastRowFirstColumn="0" w:lastRowLastColumn="0"/>
            </w:pPr>
            <w:r w:rsidRPr="007F729B">
              <w:t>8/15</w:t>
            </w:r>
          </w:p>
        </w:tc>
        <w:tc>
          <w:tcPr>
            <w:tcW w:w="2126" w:type="dxa"/>
            <w:tcBorders>
              <w:top w:val="nil"/>
            </w:tcBorders>
          </w:tcPr>
          <w:p w14:paraId="01BE193A" w14:textId="77777777" w:rsidR="00DB6F74" w:rsidRPr="007F729B" w:rsidRDefault="00DB6F74" w:rsidP="00D35E06">
            <w:pPr>
              <w:pStyle w:val="Tabletext"/>
              <w:jc w:val="center"/>
              <w:cnfStyle w:val="000000100000" w:firstRow="0" w:lastRow="0" w:firstColumn="0" w:lastColumn="0" w:oddVBand="0" w:evenVBand="0" w:oddHBand="1" w:evenHBand="0" w:firstRowFirstColumn="0" w:firstRowLastColumn="0" w:lastRowFirstColumn="0" w:lastRowLastColumn="0"/>
            </w:pPr>
            <w:r w:rsidRPr="007F729B">
              <w:t>53.3%</w:t>
            </w:r>
          </w:p>
        </w:tc>
        <w:tc>
          <w:tcPr>
            <w:tcW w:w="3021" w:type="dxa"/>
            <w:tcBorders>
              <w:top w:val="nil"/>
            </w:tcBorders>
          </w:tcPr>
          <w:p w14:paraId="01BE193B" w14:textId="77777777" w:rsidR="00DB6F74" w:rsidRPr="007F729B" w:rsidRDefault="00DB6F74" w:rsidP="00D35E06">
            <w:pPr>
              <w:pStyle w:val="Tabletext"/>
              <w:jc w:val="center"/>
              <w:cnfStyle w:val="000000100000" w:firstRow="0" w:lastRow="0" w:firstColumn="0" w:lastColumn="0" w:oddVBand="0" w:evenVBand="0" w:oddHBand="1" w:evenHBand="0" w:firstRowFirstColumn="0" w:firstRowLastColumn="0" w:lastRowFirstColumn="0" w:lastRowLastColumn="0"/>
            </w:pPr>
            <w:r w:rsidRPr="007F729B">
              <w:t>Year 10 (at TAFE) (1)</w:t>
            </w:r>
          </w:p>
          <w:p w14:paraId="01BE193C" w14:textId="77777777" w:rsidR="00DB6F74" w:rsidRPr="007F729B" w:rsidRDefault="00DB6F74" w:rsidP="00467918">
            <w:pPr>
              <w:pStyle w:val="Tabletext"/>
              <w:jc w:val="center"/>
              <w:cnfStyle w:val="000000100000" w:firstRow="0" w:lastRow="0" w:firstColumn="0" w:lastColumn="0" w:oddVBand="0" w:evenVBand="0" w:oddHBand="1" w:evenHBand="0" w:firstRowFirstColumn="0" w:firstRowLastColumn="0" w:lastRowFirstColumn="0" w:lastRowLastColumn="0"/>
            </w:pPr>
            <w:r w:rsidRPr="007F729B">
              <w:t>Cert</w:t>
            </w:r>
            <w:r w:rsidR="00467918">
              <w:t>.</w:t>
            </w:r>
            <w:r w:rsidRPr="007F729B">
              <w:t xml:space="preserve"> </w:t>
            </w:r>
            <w:r w:rsidR="00467918">
              <w:t>III</w:t>
            </w:r>
            <w:r w:rsidRPr="007F729B">
              <w:t xml:space="preserve"> (at Tranby) (7)</w:t>
            </w:r>
          </w:p>
        </w:tc>
      </w:tr>
    </w:tbl>
    <w:p w14:paraId="01BE193E" w14:textId="30E87562" w:rsidR="00DB6F74" w:rsidRDefault="00DB6F74" w:rsidP="00D35E06">
      <w:pPr>
        <w:pStyle w:val="Text"/>
      </w:pPr>
      <w:r>
        <w:t>As an employment service provider commented: ‘</w:t>
      </w:r>
      <w:r w:rsidRPr="00B071DE">
        <w:t xml:space="preserve">people were more receptive to new training and courses like the White Card and </w:t>
      </w:r>
      <w:r w:rsidR="00C03A2A" w:rsidRPr="00B071DE">
        <w:t>Barista</w:t>
      </w:r>
      <w:r w:rsidRPr="00B071DE">
        <w:t xml:space="preserve"> course. They seemed more confident in approaching it and on the first day, weren’t as shy with the trainer as they would have been’.</w:t>
      </w:r>
      <w:r>
        <w:t xml:space="preserve"> Participation in </w:t>
      </w:r>
      <w:r w:rsidR="00A961ED">
        <w:t>Yes, I Can</w:t>
      </w:r>
      <w:r>
        <w:t xml:space="preserve"> also </w:t>
      </w:r>
      <w:proofErr w:type="spellStart"/>
      <w:r>
        <w:t>provided</w:t>
      </w:r>
      <w:proofErr w:type="spellEnd"/>
      <w:r>
        <w:t xml:space="preserve"> knowledge and skills to understand the expectations and conventions of formal adult education</w:t>
      </w:r>
      <w:r w:rsidR="00E11DB3">
        <w:t>,</w:t>
      </w:r>
      <w:r>
        <w:t xml:space="preserve"> as one participant stated: ‘if I hadn’t gone to the </w:t>
      </w:r>
      <w:r w:rsidR="00A961ED">
        <w:t>Yes, I Can</w:t>
      </w:r>
      <w:r>
        <w:t xml:space="preserve"> program, I wouldn’t have understood most of the things in the TAFE course program’</w:t>
      </w:r>
      <w:r w:rsidR="00E11DB3">
        <w:t>.</w:t>
      </w:r>
      <w:r>
        <w:t xml:space="preserve"> </w:t>
      </w:r>
    </w:p>
    <w:p w14:paraId="01BE193F" w14:textId="77777777" w:rsidR="00DB6F74" w:rsidRDefault="00DB6F74" w:rsidP="007F3F0E">
      <w:pPr>
        <w:pStyle w:val="Heading4"/>
      </w:pPr>
      <w:r w:rsidRPr="003842AE">
        <w:t>Community healing</w:t>
      </w:r>
    </w:p>
    <w:p w14:paraId="01BE1940" w14:textId="7922278C" w:rsidR="00DB6F74" w:rsidRDefault="00DB6F74" w:rsidP="00D35E06">
      <w:pPr>
        <w:pStyle w:val="Text"/>
      </w:pPr>
      <w:r>
        <w:t>Bourke and Brewarrina are communitie</w:t>
      </w:r>
      <w:r w:rsidR="00E11DB3">
        <w:t xml:space="preserve">s </w:t>
      </w:r>
      <w:r w:rsidR="00F24668">
        <w:t>that</w:t>
      </w:r>
      <w:r w:rsidR="00E11DB3">
        <w:t xml:space="preserve"> have experienced highly </w:t>
      </w:r>
      <w:r>
        <w:t xml:space="preserve">charged political environments, including several so-called ‘race riots’ </w:t>
      </w:r>
      <w:r>
        <w:rPr>
          <w:noProof/>
        </w:rPr>
        <w:t>(Cowlishaw 2004; Morris 2013)</w:t>
      </w:r>
      <w:r>
        <w:t>. This, combined with a rapid decline in the rural economy and a major rise in structural unemployment and associated poverty, has produced increased racial tension in both locations</w:t>
      </w:r>
      <w:r w:rsidR="00E11DB3">
        <w:t>,</w:t>
      </w:r>
      <w:r>
        <w:t xml:space="preserve"> as well as conflict within </w:t>
      </w:r>
      <w:r w:rsidR="00F24668">
        <w:t xml:space="preserve">the </w:t>
      </w:r>
      <w:r>
        <w:t xml:space="preserve">communities themselves. Therefore, the fact that </w:t>
      </w:r>
      <w:r w:rsidR="00A961ED">
        <w:t>Yes, I Can</w:t>
      </w:r>
      <w:r>
        <w:t xml:space="preserve"> brought different factions and clans together was something many people chose to comment on. For example, a community leader in Brewarrina said that </w:t>
      </w:r>
      <w:r w:rsidR="00A961ED">
        <w:t>Yes, I Can</w:t>
      </w:r>
      <w:r>
        <w:t xml:space="preserve"> was:</w:t>
      </w:r>
    </w:p>
    <w:p w14:paraId="01BE1941" w14:textId="77777777" w:rsidR="00DB6F74" w:rsidRPr="00A456C6" w:rsidRDefault="00DB6F74" w:rsidP="00D35E06">
      <w:pPr>
        <w:pStyle w:val="Quote"/>
      </w:pPr>
      <w:r>
        <w:t>Br</w:t>
      </w:r>
      <w:r w:rsidRPr="004E06B6">
        <w:t>inging communities together</w:t>
      </w:r>
      <w:r>
        <w:t>, f</w:t>
      </w:r>
      <w:r w:rsidRPr="004E06B6">
        <w:t xml:space="preserve">or some people that maybe a few months before hadn’t even congregated in the same room or spoke to each other. I saw that </w:t>
      </w:r>
      <w:r>
        <w:t>as part of a healing, bringing A</w:t>
      </w:r>
      <w:r w:rsidRPr="004E06B6">
        <w:t>boriginal people together</w:t>
      </w:r>
      <w:r w:rsidR="00E11DB3">
        <w:t>.</w:t>
      </w:r>
      <w:r w:rsidR="00E11DB3">
        <w:tab/>
        <w:t>(</w:t>
      </w:r>
      <w:r w:rsidRPr="00A456C6">
        <w:t>Aborigina</w:t>
      </w:r>
      <w:r w:rsidR="00E11DB3">
        <w:t>l community leader, Brewarrina)</w:t>
      </w:r>
    </w:p>
    <w:p w14:paraId="6E8D5338" w14:textId="77777777" w:rsidR="00A961ED" w:rsidRDefault="00A961ED">
      <w:pPr>
        <w:spacing w:before="0" w:line="240" w:lineRule="auto"/>
      </w:pPr>
      <w:r>
        <w:br w:type="page"/>
      </w:r>
    </w:p>
    <w:p w14:paraId="01BE1942" w14:textId="6146A74E" w:rsidR="00DB6F74" w:rsidRDefault="00E11DB3" w:rsidP="00D35E06">
      <w:pPr>
        <w:pStyle w:val="Text"/>
      </w:pPr>
      <w:r>
        <w:t>A similar coming-</w:t>
      </w:r>
      <w:r w:rsidR="00DB6F74">
        <w:t xml:space="preserve">together was experienced in Bourke, according to one of the participants: </w:t>
      </w:r>
    </w:p>
    <w:p w14:paraId="01BE1943" w14:textId="77777777" w:rsidR="00DB6F74" w:rsidRPr="00A456C6" w:rsidRDefault="00DB6F74" w:rsidP="00D35E06">
      <w:pPr>
        <w:pStyle w:val="Quote"/>
      </w:pPr>
      <w:r w:rsidRPr="00172B23">
        <w:t xml:space="preserve">Most of these fellows around here that I did the course with, I went to high school in Bourke with most of them. But I hadn’t spoken to them for years. We all grew up and went different </w:t>
      </w:r>
      <w:r w:rsidR="00C03A2A" w:rsidRPr="00172B23">
        <w:t>ways</w:t>
      </w:r>
      <w:r w:rsidR="00C03A2A">
        <w:t>.</w:t>
      </w:r>
      <w:r w:rsidRPr="00172B23">
        <w:t xml:space="preserve"> I met most of them th</w:t>
      </w:r>
      <w:r>
        <w:t>ere in the class. They all live</w:t>
      </w:r>
      <w:r w:rsidRPr="00172B23">
        <w:t xml:space="preserve"> around here but hardly speak to one another. That’s where we all started laughing in that room</w:t>
      </w:r>
      <w:r w:rsidR="00E11DB3">
        <w:t>.</w:t>
      </w:r>
      <w:r w:rsidR="00E11DB3">
        <w:tab/>
        <w:t>(Male participant, Bourke)</w:t>
      </w:r>
    </w:p>
    <w:p w14:paraId="01BE1944" w14:textId="6A4867F5" w:rsidR="00DB6F74" w:rsidRDefault="00DB6F74" w:rsidP="00D35E06">
      <w:pPr>
        <w:pStyle w:val="Text"/>
        <w:rPr>
          <w:rFonts w:asciiTheme="majorHAnsi" w:hAnsiTheme="majorHAnsi"/>
        </w:rPr>
      </w:pPr>
      <w:r w:rsidRPr="00A22837">
        <w:t xml:space="preserve">These outcomes are not serendipitous but </w:t>
      </w:r>
      <w:r>
        <w:t xml:space="preserve">rather a carefully considered aspect of </w:t>
      </w:r>
      <w:proofErr w:type="gramStart"/>
      <w:r w:rsidR="00A961ED">
        <w:t>Yes,</w:t>
      </w:r>
      <w:proofErr w:type="gramEnd"/>
      <w:r w:rsidR="00A961ED">
        <w:t xml:space="preserve"> I Can</w:t>
      </w:r>
      <w:r w:rsidR="00F24668">
        <w:t>.</w:t>
      </w:r>
      <w:r>
        <w:t xml:space="preserve"> Local staff receive training and mentorin</w:t>
      </w:r>
      <w:r w:rsidR="00E11DB3">
        <w:t>g in the management of conflict-</w:t>
      </w:r>
      <w:r>
        <w:t>sensitive environments. This t</w:t>
      </w:r>
      <w:r w:rsidR="00E11DB3">
        <w:t xml:space="preserve">raining also feeds into locally </w:t>
      </w:r>
      <w:r>
        <w:t xml:space="preserve">made decisions about the campaign. </w:t>
      </w:r>
    </w:p>
    <w:p w14:paraId="01BE1945" w14:textId="1BB98DDF" w:rsidR="00DB6F74" w:rsidRDefault="00DB6F74" w:rsidP="00D35E06">
      <w:pPr>
        <w:pStyle w:val="Text"/>
      </w:pPr>
      <w:r w:rsidRPr="00BF7565">
        <w:t xml:space="preserve">Beyond a reduction in community conflict, many informants commented on </w:t>
      </w:r>
      <w:r w:rsidR="00E11DB3">
        <w:t>the</w:t>
      </w:r>
      <w:r w:rsidRPr="00BF7565">
        <w:t xml:space="preserve"> sense of community created</w:t>
      </w:r>
      <w:r w:rsidRPr="00E96047">
        <w:t xml:space="preserve"> by </w:t>
      </w:r>
      <w:r w:rsidR="00A961ED">
        <w:t>Yes, I Can</w:t>
      </w:r>
      <w:r w:rsidR="00E11DB3">
        <w:t>, which</w:t>
      </w:r>
      <w:r w:rsidRPr="00E96047">
        <w:t xml:space="preserve"> extended beyond</w:t>
      </w:r>
      <w:r>
        <w:t xml:space="preserve"> the classroom and students. The physical space that housed the classes also became a point of convergence and</w:t>
      </w:r>
      <w:r w:rsidR="00E11DB3">
        <w:t>,</w:t>
      </w:r>
      <w:r>
        <w:t xml:space="preserve"> in effect, drew in even the most isolated and marginalised in the community:</w:t>
      </w:r>
    </w:p>
    <w:p w14:paraId="01BE1946" w14:textId="487923F2" w:rsidR="00DB6F74" w:rsidRPr="00D3086B" w:rsidRDefault="00DB6F74" w:rsidP="00D35E06">
      <w:pPr>
        <w:pStyle w:val="Quote"/>
      </w:pPr>
      <w:r w:rsidRPr="002B135A">
        <w:t>It’s not only the program, it’s the environment that’s created. It’s a place for people to come and have a yarn, a cup of tea, have a feed together</w:t>
      </w:r>
      <w:r>
        <w:t xml:space="preserve">. </w:t>
      </w:r>
      <w:r w:rsidRPr="002B135A">
        <w:t xml:space="preserve">There are broken people in this community; very broken people, but through this </w:t>
      </w:r>
      <w:r w:rsidR="00A961ED">
        <w:t>Yes, I Can</w:t>
      </w:r>
      <w:r w:rsidRPr="002B135A">
        <w:t xml:space="preserve"> I’ve seen participants where even though they were broken, they’ve been pulled in. They’ve been embraced and pulled into the environment. They don’t have to sit in the class all day but when they're in the space,</w:t>
      </w:r>
      <w:r w:rsidR="00E11DB3">
        <w:t xml:space="preserve"> it just has a positive effect.</w:t>
      </w:r>
      <w:r w:rsidR="00E11DB3">
        <w:tab/>
        <w:t>(</w:t>
      </w:r>
      <w:r w:rsidRPr="00D3086B">
        <w:t>Government employee and Aboriginal community leader, Bour</w:t>
      </w:r>
      <w:r w:rsidR="00E11DB3">
        <w:t>ke)</w:t>
      </w:r>
    </w:p>
    <w:p w14:paraId="01BE1947" w14:textId="77777777" w:rsidR="00DB6F74" w:rsidRDefault="00DB6F74" w:rsidP="007F3F0E">
      <w:pPr>
        <w:pStyle w:val="Heading4"/>
      </w:pPr>
      <w:r>
        <w:t>C</w:t>
      </w:r>
      <w:r w:rsidR="00F24668">
        <w:t>apacity-</w:t>
      </w:r>
      <w:r w:rsidRPr="00D544AE">
        <w:t>building</w:t>
      </w:r>
      <w:r>
        <w:t xml:space="preserve"> and engagement</w:t>
      </w:r>
    </w:p>
    <w:p w14:paraId="01BE1948" w14:textId="79408B32" w:rsidR="00DB6F74" w:rsidRDefault="00DB6F74" w:rsidP="00D35E06">
      <w:pPr>
        <w:pStyle w:val="Text"/>
      </w:pPr>
      <w:r>
        <w:rPr>
          <w:lang w:val="en-US"/>
        </w:rPr>
        <w:t xml:space="preserve">A striking feature of </w:t>
      </w:r>
      <w:r w:rsidR="00A961ED">
        <w:rPr>
          <w:lang w:val="en-US"/>
        </w:rPr>
        <w:t>Yes, I Can</w:t>
      </w:r>
      <w:r>
        <w:rPr>
          <w:lang w:val="en-US"/>
        </w:rPr>
        <w:t xml:space="preserve"> </w:t>
      </w:r>
      <w:proofErr w:type="gramStart"/>
      <w:r>
        <w:rPr>
          <w:lang w:val="en-US"/>
        </w:rPr>
        <w:t>is</w:t>
      </w:r>
      <w:proofErr w:type="gramEnd"/>
      <w:r>
        <w:rPr>
          <w:lang w:val="en-US"/>
        </w:rPr>
        <w:t xml:space="preserve"> the </w:t>
      </w:r>
      <w:r w:rsidR="00E11DB3">
        <w:rPr>
          <w:lang w:val="en-US"/>
        </w:rPr>
        <w:t>extent</w:t>
      </w:r>
      <w:r>
        <w:rPr>
          <w:lang w:val="en-US"/>
        </w:rPr>
        <w:t xml:space="preserve"> to which it builds capacity in communities. The delivery of the campaign is the responsibility of local Aboriginal people. Most of these local staff have had little or no experience with paid employment prior to joining </w:t>
      </w:r>
      <w:r w:rsidR="00A961ED">
        <w:rPr>
          <w:lang w:val="en-US"/>
        </w:rPr>
        <w:t>Yes, I Can</w:t>
      </w:r>
      <w:r>
        <w:rPr>
          <w:lang w:val="en-US"/>
        </w:rPr>
        <w:t xml:space="preserve"> and so require significant ongoing training, support and encouragement from the campaign leadership</w:t>
      </w:r>
      <w:r w:rsidR="00E11DB3">
        <w:rPr>
          <w:lang w:val="en-US"/>
        </w:rPr>
        <w:t>,</w:t>
      </w:r>
      <w:r>
        <w:rPr>
          <w:lang w:val="en-US"/>
        </w:rPr>
        <w:t xml:space="preserve"> as well as </w:t>
      </w:r>
      <w:r w:rsidR="00E11DB3">
        <w:rPr>
          <w:lang w:val="en-US"/>
        </w:rPr>
        <w:t xml:space="preserve">from </w:t>
      </w:r>
      <w:r>
        <w:rPr>
          <w:lang w:val="en-US"/>
        </w:rPr>
        <w:t xml:space="preserve">the community as a whole. </w:t>
      </w:r>
      <w:r>
        <w:t xml:space="preserve">In fact, the local staff were very much co-learners in </w:t>
      </w:r>
      <w:r w:rsidR="00A961ED">
        <w:t>Yes, I Can</w:t>
      </w:r>
      <w:r w:rsidR="00E11DB3">
        <w:t>.</w:t>
      </w:r>
      <w:r>
        <w:t xml:space="preserve"> Those individuals engaged as classroom facilitators (two per campaign) and coordinator (one per campaign) underwent a similar process of growth and empowerment, as one of the trainers from the Bourke and Enngonia campaigns articulated:</w:t>
      </w:r>
    </w:p>
    <w:p w14:paraId="01BE1949" w14:textId="77777777" w:rsidR="00DB6F74" w:rsidRPr="00FE4FF2" w:rsidRDefault="00DB6F74" w:rsidP="00D35E06">
      <w:pPr>
        <w:pStyle w:val="Quote"/>
      </w:pPr>
      <w:r w:rsidRPr="006B3AA8">
        <w:t xml:space="preserve">It was challenging for me because I was always doubting myself that I could do the job. </w:t>
      </w:r>
      <w:r>
        <w:t>But it’s</w:t>
      </w:r>
      <w:r w:rsidRPr="006B3AA8">
        <w:t xml:space="preserve"> made me see things differently, see the community differently, just opened my eyes up</w:t>
      </w:r>
      <w:r>
        <w:t xml:space="preserve">. </w:t>
      </w:r>
      <w:r w:rsidRPr="006B3AA8">
        <w:t xml:space="preserve">It empowers you. I didn’t even speak up much the way I do </w:t>
      </w:r>
      <w:r>
        <w:t>now.</w:t>
      </w:r>
      <w:r w:rsidR="00F107E1" w:rsidRPr="00F107E1">
        <w:t xml:space="preserve"> </w:t>
      </w:r>
      <w:r w:rsidRPr="006B3AA8">
        <w:t>Not only does it open yourself up as a person and see things differently but it also opens you up to be able to speak to all these other organisations around. It’s the confidence that it gives you</w:t>
      </w:r>
      <w:r w:rsidR="00B50757">
        <w:t>.</w:t>
      </w:r>
      <w:r w:rsidR="00B50757">
        <w:tab/>
      </w:r>
      <w:r w:rsidR="00B50757">
        <w:tab/>
        <w:t>(</w:t>
      </w:r>
      <w:r w:rsidRPr="00FE4FF2">
        <w:t>Aborigina</w:t>
      </w:r>
      <w:r w:rsidR="00B50757">
        <w:t>l trainer, Bourke and Enngonia)</w:t>
      </w:r>
    </w:p>
    <w:p w14:paraId="2CD46470" w14:textId="77777777" w:rsidR="00A961ED" w:rsidRDefault="00DB6F74" w:rsidP="00D35E06">
      <w:pPr>
        <w:pStyle w:val="Text"/>
        <w:rPr>
          <w:rFonts w:cs="Calibri"/>
          <w:color w:val="000000"/>
          <w:lang w:val="en-US"/>
        </w:rPr>
      </w:pPr>
      <w:r>
        <w:t xml:space="preserve">Much of this growth in local capacity is due to the </w:t>
      </w:r>
      <w:r w:rsidR="00B50757">
        <w:t xml:space="preserve">highly </w:t>
      </w:r>
      <w:r w:rsidR="00C03A2A">
        <w:t>structured</w:t>
      </w:r>
      <w:r>
        <w:t xml:space="preserve"> training and ongoing support provided by </w:t>
      </w:r>
      <w:r w:rsidR="00A961ED">
        <w:t xml:space="preserve">Yes, I </w:t>
      </w:r>
      <w:proofErr w:type="gramStart"/>
      <w:r w:rsidR="00A961ED">
        <w:t>Can</w:t>
      </w:r>
      <w:proofErr w:type="gramEnd"/>
      <w:r w:rsidR="00B50757">
        <w:t xml:space="preserve">, </w:t>
      </w:r>
      <w:r>
        <w:t xml:space="preserve">as well as the structured nature of the lessons themselves. This helps the local staff to quickly become competent in the delivery of the lessons. </w:t>
      </w:r>
      <w:r>
        <w:rPr>
          <w:rFonts w:cs="Calibri"/>
          <w:color w:val="000000"/>
          <w:lang w:val="en-US"/>
        </w:rPr>
        <w:t>And while such a highly structured and even scripted learning environment might appear at first glance to be incongruent with effective a</w:t>
      </w:r>
      <w:r w:rsidR="00F24668">
        <w:rPr>
          <w:rFonts w:cs="Calibri"/>
          <w:color w:val="000000"/>
          <w:lang w:val="en-US"/>
        </w:rPr>
        <w:t>dult learning principles</w:t>
      </w:r>
      <w:r>
        <w:rPr>
          <w:rFonts w:cs="Calibri"/>
          <w:color w:val="000000"/>
          <w:lang w:val="en-US"/>
        </w:rPr>
        <w:t xml:space="preserve"> or even principles of self-determination, this very structure creates a space wh</w:t>
      </w:r>
      <w:r w:rsidR="00B50757">
        <w:rPr>
          <w:rFonts w:cs="Calibri"/>
          <w:color w:val="000000"/>
          <w:lang w:val="en-US"/>
        </w:rPr>
        <w:t>ere people are not only capable</w:t>
      </w:r>
      <w:r>
        <w:rPr>
          <w:rFonts w:cs="Calibri"/>
          <w:color w:val="000000"/>
          <w:lang w:val="en-US"/>
        </w:rPr>
        <w:t xml:space="preserve"> but comfortable and therefore willing to take on responsibility for the campaign in their community. </w:t>
      </w:r>
    </w:p>
    <w:p w14:paraId="7659984B" w14:textId="77777777" w:rsidR="00A961ED" w:rsidRDefault="00A961ED">
      <w:pPr>
        <w:spacing w:before="0" w:line="240" w:lineRule="auto"/>
        <w:rPr>
          <w:rFonts w:cs="Calibri"/>
          <w:color w:val="000000"/>
          <w:lang w:val="en-US"/>
        </w:rPr>
      </w:pPr>
      <w:r>
        <w:rPr>
          <w:rFonts w:cs="Calibri"/>
          <w:color w:val="000000"/>
          <w:lang w:val="en-US"/>
        </w:rPr>
        <w:br w:type="page"/>
      </w:r>
    </w:p>
    <w:p w14:paraId="01BE194A" w14:textId="6B1DEEA8" w:rsidR="00DB6F74" w:rsidRPr="00AE6847" w:rsidRDefault="00DB6F74" w:rsidP="00D35E06">
      <w:pPr>
        <w:pStyle w:val="Text"/>
        <w:rPr>
          <w:i/>
          <w:sz w:val="22"/>
          <w:szCs w:val="22"/>
        </w:rPr>
      </w:pPr>
      <w:r>
        <w:rPr>
          <w:rFonts w:cs="Calibri"/>
          <w:color w:val="000000"/>
          <w:lang w:val="en-US"/>
        </w:rPr>
        <w:t xml:space="preserve">This balance between high support and high autonomy is one of the keys to </w:t>
      </w:r>
      <w:r w:rsidR="00A961ED">
        <w:rPr>
          <w:rFonts w:cs="Calibri"/>
          <w:color w:val="000000"/>
          <w:lang w:val="en-US"/>
        </w:rPr>
        <w:t>Yes, I Can</w:t>
      </w:r>
      <w:r w:rsidRPr="00B50757">
        <w:rPr>
          <w:rFonts w:cs="Calibri"/>
          <w:color w:val="000000"/>
          <w:lang w:val="en-US"/>
        </w:rPr>
        <w:t>’s</w:t>
      </w:r>
      <w:r>
        <w:rPr>
          <w:rFonts w:cs="Calibri"/>
          <w:color w:val="000000"/>
          <w:lang w:val="en-US"/>
        </w:rPr>
        <w:t xml:space="preserve"> ability to build capacity in each community. The national trainer expressed this well:</w:t>
      </w:r>
    </w:p>
    <w:p w14:paraId="01BE194B" w14:textId="77777777" w:rsidR="00DB6F74" w:rsidRPr="00AF0D80" w:rsidRDefault="00DB6F74" w:rsidP="00D35E06">
      <w:pPr>
        <w:pStyle w:val="Quote"/>
      </w:pPr>
      <w:r w:rsidRPr="00A57317">
        <w:t>I think the</w:t>
      </w:r>
      <w:r>
        <w:t xml:space="preserve"> part</w:t>
      </w:r>
      <w:r w:rsidRPr="00A57317">
        <w:t xml:space="preserve"> that is important is that it’s </w:t>
      </w:r>
      <w:r>
        <w:t>A</w:t>
      </w:r>
      <w:r w:rsidRPr="00A57317">
        <w:t>boriginal people teaching. It’s in their space, they control it, even though they probably know that I’m the big boss behind the background, I’m not in their face. I don’t deal with anything to do with the class. The class knows me and I help them in the first few weeks but we don’t take the lead rol</w:t>
      </w:r>
      <w:r>
        <w:t>e.</w:t>
      </w:r>
      <w:r w:rsidRPr="00A57317">
        <w:t xml:space="preserve"> We don’t have the rules; the local staff have the rules</w:t>
      </w:r>
      <w:r w:rsidR="00B50757">
        <w:t>.</w:t>
      </w:r>
      <w:r w:rsidR="00B50757">
        <w:tab/>
        <w:t>(N</w:t>
      </w:r>
      <w:r w:rsidRPr="00E23DD5">
        <w:t>o</w:t>
      </w:r>
      <w:r w:rsidR="00B50757">
        <w:t>n-Aboriginal trainer, national)</w:t>
      </w:r>
      <w:r w:rsidRPr="00AF0D80">
        <w:t xml:space="preserve"> </w:t>
      </w:r>
    </w:p>
    <w:p w14:paraId="01BE194C" w14:textId="7A4E1EA4" w:rsidR="00DB6F74" w:rsidRDefault="00DB6F74" w:rsidP="00D35E06">
      <w:pPr>
        <w:pStyle w:val="Text"/>
      </w:pPr>
      <w:r>
        <w:t>R</w:t>
      </w:r>
      <w:r w:rsidRPr="00924043">
        <w:t xml:space="preserve">espect and trust </w:t>
      </w:r>
      <w:r w:rsidR="00B50757">
        <w:t>are</w:t>
      </w:r>
      <w:r w:rsidRPr="00924043">
        <w:t xml:space="preserve"> also a key component of the working relationship between the </w:t>
      </w:r>
      <w:r w:rsidR="00A961ED">
        <w:t>Yes, I Can</w:t>
      </w:r>
      <w:r w:rsidRPr="00924043">
        <w:t xml:space="preserve"> leadership team and the local campaign staff. This relationship</w:t>
      </w:r>
      <w:r>
        <w:t>, as with the campaign</w:t>
      </w:r>
      <w:r w:rsidR="00B50757">
        <w:t>,</w:t>
      </w:r>
      <w:r>
        <w:t xml:space="preserve"> </w:t>
      </w:r>
      <w:r w:rsidR="00C03A2A">
        <w:t>acknowledges</w:t>
      </w:r>
      <w:r>
        <w:t xml:space="preserve"> the complexities and challenges faced by local staff and works with, rather than against</w:t>
      </w:r>
      <w:r w:rsidR="00F24668">
        <w:t>,</w:t>
      </w:r>
      <w:r>
        <w:t xml:space="preserve"> these: </w:t>
      </w:r>
    </w:p>
    <w:p w14:paraId="01BE194D" w14:textId="1E19821F" w:rsidR="00DB6F74" w:rsidRPr="00423207" w:rsidRDefault="00DB6F74" w:rsidP="00D35E06">
      <w:pPr>
        <w:pStyle w:val="Quote"/>
      </w:pPr>
      <w:r w:rsidRPr="00423207">
        <w:t xml:space="preserve">We’re all working here to do something good. If you can’t do it today then you go out, that’s okay, and come back when you’re ready. </w:t>
      </w:r>
      <w:r>
        <w:t>T</w:t>
      </w:r>
      <w:r w:rsidRPr="00423207">
        <w:t xml:space="preserve">he first lesson of </w:t>
      </w:r>
      <w:r w:rsidR="00A961ED">
        <w:t>Yes, I Can</w:t>
      </w:r>
      <w:r w:rsidRPr="00423207">
        <w:t xml:space="preserve"> is the gate is open. We just keep on harping on about the gate is open all the time, even for our staff. When our staff muck up, when I say muck up they might get on the piss or can’t get their shit together and most workplaces would say </w:t>
      </w:r>
      <w:r>
        <w:t>‘</w:t>
      </w:r>
      <w:r w:rsidRPr="00423207">
        <w:t>out</w:t>
      </w:r>
      <w:r>
        <w:t>’</w:t>
      </w:r>
      <w:r w:rsidRPr="00423207">
        <w:t xml:space="preserve"> whereas here the gate is open. You make the decision but our gate is open. It’s your decision if you walk through</w:t>
      </w:r>
      <w:r w:rsidR="00B50757">
        <w:t>.</w:t>
      </w:r>
      <w:r w:rsidR="00B50757">
        <w:tab/>
        <w:t>(No</w:t>
      </w:r>
      <w:r>
        <w:t>n-Aboriginal tra</w:t>
      </w:r>
      <w:r w:rsidR="00B50757">
        <w:t>iner, national)</w:t>
      </w:r>
    </w:p>
    <w:p w14:paraId="01BE194E" w14:textId="77777777" w:rsidR="00DB6F74" w:rsidRPr="00EC3A41" w:rsidRDefault="00DB6F74" w:rsidP="00D35E06">
      <w:pPr>
        <w:pStyle w:val="Text"/>
      </w:pPr>
      <w:r>
        <w:t xml:space="preserve">The approach allows local people to step forward and take control of their choices. In many instances, this manifested as greater participation and engagement in community and services. According to </w:t>
      </w:r>
      <w:r w:rsidRPr="00EC3A41">
        <w:t>one of the project officers at Aboriginal Affairs NSW:</w:t>
      </w:r>
    </w:p>
    <w:p w14:paraId="01BE194F" w14:textId="77777777" w:rsidR="00DB6F74" w:rsidRPr="00EC3A41" w:rsidRDefault="00DB6F74" w:rsidP="00D35E06">
      <w:pPr>
        <w:pStyle w:val="Quote"/>
      </w:pPr>
      <w:r w:rsidRPr="00EC3A41">
        <w:t>Initially, some people would attend, they did have an issue with alcohol or others, but as they gradually developed their participation, it made a difference in their lives. You see a complete turnaround. On from that, you see people now getting their driver’s licence. And filling out their own Centrelink forms, going to the bank, being able to talk to the tellers about their statements and things like that</w:t>
      </w:r>
      <w:r w:rsidR="00B50757">
        <w:t>.</w:t>
      </w:r>
      <w:r w:rsidR="00B50757">
        <w:tab/>
        <w:t>(</w:t>
      </w:r>
      <w:r w:rsidRPr="005B1794">
        <w:t>Aboriginal community l</w:t>
      </w:r>
      <w:r>
        <w:t>ead</w:t>
      </w:r>
      <w:r w:rsidRPr="005B1794">
        <w:t>er a</w:t>
      </w:r>
      <w:r w:rsidR="00B50757">
        <w:t>nd government employee, Bourke)</w:t>
      </w:r>
    </w:p>
    <w:p w14:paraId="01BE1950" w14:textId="77777777" w:rsidR="00DB6F74" w:rsidRDefault="00DB6F74" w:rsidP="007F3F0E">
      <w:pPr>
        <w:pStyle w:val="Heading4"/>
      </w:pPr>
      <w:r>
        <w:t>Personal confidence</w:t>
      </w:r>
      <w:r w:rsidRPr="0057344F">
        <w:t xml:space="preserve"> </w:t>
      </w:r>
      <w:r>
        <w:t>and a sense of purpose</w:t>
      </w:r>
    </w:p>
    <w:p w14:paraId="01BE1951" w14:textId="77DD95F6" w:rsidR="00DB6F74" w:rsidRDefault="00DB6F74" w:rsidP="00D35E06">
      <w:pPr>
        <w:pStyle w:val="Text"/>
      </w:pPr>
      <w:r>
        <w:t xml:space="preserve">Growth in individuals’ confidence emerged as one of the most striking impacts of </w:t>
      </w:r>
      <w:r w:rsidR="00A961ED">
        <w:t>Yes, I Can</w:t>
      </w:r>
      <w:r w:rsidR="00B50757">
        <w:t>.</w:t>
      </w:r>
      <w:r>
        <w:t xml:space="preserve"> Many people interviewed described the transformation of withdrawn people into more confident and engaged members of the community:</w:t>
      </w:r>
    </w:p>
    <w:p w14:paraId="01BE1952" w14:textId="77777777" w:rsidR="00DB6F74" w:rsidRPr="007F423C" w:rsidRDefault="00DB6F74" w:rsidP="00D35E06">
      <w:pPr>
        <w:pStyle w:val="Quote"/>
      </w:pPr>
      <w:r w:rsidRPr="007F423C">
        <w:t>Especially with some of the elders, people of very few words. Now they're not scared to walk out the front and read a piece of paper or express their feelings and ask questions and things like that but also like younger people that have been locked away feeling worthless, seeing them also come forward and speak and tell their stories and things like that</w:t>
      </w:r>
      <w:r w:rsidR="00B50757">
        <w:t>.</w:t>
      </w:r>
      <w:r w:rsidR="00B50757">
        <w:tab/>
      </w:r>
      <w:r w:rsidR="00B50757">
        <w:tab/>
        <w:t>(</w:t>
      </w:r>
      <w:r w:rsidRPr="007F423C">
        <w:t>Aborigina</w:t>
      </w:r>
      <w:r w:rsidR="00B50757">
        <w:t>l community leader, Brewarrina)</w:t>
      </w:r>
      <w:r>
        <w:t xml:space="preserve"> </w:t>
      </w:r>
    </w:p>
    <w:p w14:paraId="01BE1953" w14:textId="3E294554" w:rsidR="00DB6F74" w:rsidRPr="00362630" w:rsidRDefault="00DB6F74" w:rsidP="00D35E06">
      <w:pPr>
        <w:pStyle w:val="Text"/>
      </w:pPr>
      <w:r>
        <w:t xml:space="preserve">Integral to </w:t>
      </w:r>
      <w:r w:rsidR="00A961ED">
        <w:t>Yes, I Can</w:t>
      </w:r>
      <w:r w:rsidRPr="00B50757">
        <w:t>’s</w:t>
      </w:r>
      <w:r>
        <w:t xml:space="preserve"> ability to build participants’ confidence is the </w:t>
      </w:r>
      <w:r w:rsidR="00B50757">
        <w:t xml:space="preserve">highly </w:t>
      </w:r>
      <w:r w:rsidR="00C03A2A">
        <w:t>scaffolded</w:t>
      </w:r>
      <w:r>
        <w:t xml:space="preserve"> pedagogy</w:t>
      </w:r>
      <w:r w:rsidR="00B50757">
        <w:t>,</w:t>
      </w:r>
      <w:r>
        <w:t xml:space="preserve"> already detailed</w:t>
      </w:r>
      <w:r w:rsidR="00B50757">
        <w:t>,</w:t>
      </w:r>
      <w:r>
        <w:t xml:space="preserve"> </w:t>
      </w:r>
      <w:r w:rsidR="00B50757">
        <w:t>which moves in a steady</w:t>
      </w:r>
      <w:r w:rsidR="00F24668">
        <w:t>,</w:t>
      </w:r>
      <w:r>
        <w:t xml:space="preserve"> predictable pace from the elementary to the more complex</w:t>
      </w:r>
      <w:r w:rsidR="00B50757">
        <w:t>,</w:t>
      </w:r>
      <w:r>
        <w:t xml:space="preserve"> with frequent opportunities for practice and consolidation. The effect of the pedagogy on confidence was outlined by one of the local trainers: </w:t>
      </w:r>
    </w:p>
    <w:p w14:paraId="01BE1954" w14:textId="77777777" w:rsidR="00DB6F74" w:rsidRPr="00AF0D80" w:rsidRDefault="00DB6F74" w:rsidP="00D35E06">
      <w:pPr>
        <w:pStyle w:val="Quote"/>
      </w:pPr>
      <w:r w:rsidRPr="001C2561">
        <w:t>I think the way the lessons are set out, I think that gives them a little bit of confidence that it’s not hard to do and knowing that the encouragement by the facilitators and each other. It’s not too overwhelming for them or we explain it in that way</w:t>
      </w:r>
      <w:r w:rsidR="00B50757">
        <w:t>.</w:t>
      </w:r>
      <w:r w:rsidR="00B50757">
        <w:tab/>
        <w:t>(Aboriginal trainer, Bourke)</w:t>
      </w:r>
    </w:p>
    <w:p w14:paraId="01577EE5" w14:textId="77777777" w:rsidR="00A961ED" w:rsidRDefault="00A961ED">
      <w:pPr>
        <w:spacing w:before="0" w:line="240" w:lineRule="auto"/>
      </w:pPr>
      <w:r>
        <w:br w:type="page"/>
      </w:r>
    </w:p>
    <w:p w14:paraId="01BE1955" w14:textId="6634596C" w:rsidR="00DB6F74" w:rsidRDefault="00DB6F74" w:rsidP="00D35E06">
      <w:pPr>
        <w:pStyle w:val="Text"/>
      </w:pPr>
      <w:r>
        <w:t>A</w:t>
      </w:r>
      <w:r w:rsidRPr="00C313BD">
        <w:t xml:space="preserve">ttending </w:t>
      </w:r>
      <w:r w:rsidR="00A961ED">
        <w:t>Yes, I Can</w:t>
      </w:r>
      <w:r w:rsidRPr="00C313BD">
        <w:t xml:space="preserve"> </w:t>
      </w:r>
      <w:r>
        <w:t xml:space="preserve">also </w:t>
      </w:r>
      <w:proofErr w:type="spellStart"/>
      <w:r w:rsidRPr="00C313BD">
        <w:t>provided</w:t>
      </w:r>
      <w:proofErr w:type="spellEnd"/>
      <w:r w:rsidRPr="00C313BD">
        <w:t xml:space="preserve"> many with a sense of purpose</w:t>
      </w:r>
      <w:r>
        <w:t>:</w:t>
      </w:r>
    </w:p>
    <w:p w14:paraId="01BE1956" w14:textId="77777777" w:rsidR="00DB6F74" w:rsidRPr="0078127D" w:rsidRDefault="00DB6F74" w:rsidP="00D35E06">
      <w:pPr>
        <w:pStyle w:val="Quote"/>
      </w:pPr>
      <w:r w:rsidRPr="00364C1B">
        <w:t xml:space="preserve">What they </w:t>
      </w:r>
      <w:r>
        <w:t xml:space="preserve">[participants] </w:t>
      </w:r>
      <w:r w:rsidRPr="00364C1B">
        <w:t xml:space="preserve">always say is it’s a sense of purpose. It gives their life some structure and purpose that they otherwise don’t </w:t>
      </w:r>
      <w:r>
        <w:t xml:space="preserve">have. </w:t>
      </w:r>
      <w:r w:rsidRPr="00364C1B">
        <w:t xml:space="preserve">You get up and you shower and you get yourself nice because you’re going out and you’re going to something. I’ve had people in Wilcannia and Bourke, people would just start course in really unkempt and sort of, as time has gone on and very quickly, they then start grooming themselves and washing their shirts and not wearing torn clothes. Even one of our students in </w:t>
      </w:r>
      <w:proofErr w:type="spellStart"/>
      <w:r w:rsidRPr="00364C1B">
        <w:t>Bre</w:t>
      </w:r>
      <w:proofErr w:type="spellEnd"/>
      <w:r w:rsidRPr="00364C1B">
        <w:t>, it was so obvious, one of the other students said have you got a girlfriend, mate? He was suddenly really sprucing himself up. So you know, that’s a little thing but it’s about dignity; it gives people a sense of dignity. I think that’s the big thing. They have a purpose, they come together, they get an identity that gives them dignity. They're not the drunk or the most marginalised, they are the literacy people. I think there’s a strong belief in the possibility of a better life and I think that is what the literacy campaign gives its students</w:t>
      </w:r>
      <w:r w:rsidR="00B50757">
        <w:t>.</w:t>
      </w:r>
      <w:r w:rsidR="00B50757">
        <w:tab/>
      </w:r>
      <w:r w:rsidR="00B50757">
        <w:tab/>
        <w:t>(N</w:t>
      </w:r>
      <w:r w:rsidRPr="0078127D">
        <w:t>o</w:t>
      </w:r>
      <w:r w:rsidR="00B50757">
        <w:t>n-Aboriginal trainer, national)</w:t>
      </w:r>
    </w:p>
    <w:p w14:paraId="01BE1957" w14:textId="77777777" w:rsidR="00DB6F74" w:rsidRPr="005B3C29" w:rsidRDefault="00DB6F74" w:rsidP="007F3F0E">
      <w:pPr>
        <w:pStyle w:val="Heading3"/>
      </w:pPr>
      <w:r w:rsidRPr="005B3C29">
        <w:t>Conclusion</w:t>
      </w:r>
    </w:p>
    <w:p w14:paraId="01BE1958" w14:textId="695CAF72" w:rsidR="00DB6F74" w:rsidRDefault="00A961ED" w:rsidP="00D35E06">
      <w:pPr>
        <w:pStyle w:val="Text"/>
      </w:pPr>
      <w:r>
        <w:t>Yes, I Can</w:t>
      </w:r>
      <w:r w:rsidR="00DB6F74">
        <w:t xml:space="preserve"> is</w:t>
      </w:r>
      <w:r w:rsidR="00B50757">
        <w:t xml:space="preserve"> an example of a successful pre</w:t>
      </w:r>
      <w:r w:rsidR="00DB6F74">
        <w:t xml:space="preserve">vocational learning program. </w:t>
      </w:r>
      <w:r w:rsidR="00B50757">
        <w:t>Forty</w:t>
      </w:r>
      <w:r w:rsidR="00DB6F74">
        <w:t xml:space="preserve"> of 51 adult participants c</w:t>
      </w:r>
      <w:r w:rsidR="00B50757">
        <w:t>ompleted the Phase t</w:t>
      </w:r>
      <w:r w:rsidR="00DB6F74">
        <w:t xml:space="preserve">wo lessons in </w:t>
      </w:r>
      <w:r w:rsidR="00B50757">
        <w:t>Bourke and Brewarrina in 2014—</w:t>
      </w:r>
      <w:r w:rsidR="00DB6F74">
        <w:t>15, representing a retention rate of 78.4% compared with 13.4% for TAFE in the same region (</w:t>
      </w:r>
      <w:r w:rsidR="00B50757">
        <w:t>c</w:t>
      </w:r>
      <w:r w:rsidR="0073414E">
        <w:t>ertificate</w:t>
      </w:r>
      <w:r w:rsidR="00DB6F74">
        <w:t xml:space="preserve"> </w:t>
      </w:r>
      <w:r w:rsidR="00F24668">
        <w:t>I</w:t>
      </w:r>
      <w:r w:rsidR="00DB6F74">
        <w:t xml:space="preserve"> to diploma or higher). The level of community buy-in (a direct result of the socialisation and mobilisation activities and local delivery of the campaign model) and </w:t>
      </w:r>
      <w:r w:rsidR="00F24668">
        <w:t>a</w:t>
      </w:r>
      <w:r w:rsidR="00DB6F74">
        <w:t xml:space="preserve"> pedagogy of contingency, characterised by high degrees of support, flexibility, relevance and autonomy, are largely responsible for these figures. In terms of concrete outcomes, graduates typically raised their literacy from the equivalent of ACSF pre-level one to level one or two</w:t>
      </w:r>
      <w:r w:rsidR="00B50757">
        <w:t>,</w:t>
      </w:r>
      <w:r w:rsidR="00DB6F74">
        <w:t xml:space="preserve"> and a small num</w:t>
      </w:r>
      <w:r w:rsidR="00B50757">
        <w:t>ber went on to further training</w:t>
      </w:r>
      <w:r w:rsidR="00DB6F74">
        <w:t xml:space="preserve"> and work experience. While modest in terms of numbers, these results are set against a backdrop of communities with chronic and entrenched disadvantage and job scarcity. </w:t>
      </w:r>
    </w:p>
    <w:p w14:paraId="01BE1959" w14:textId="68E6C1F2" w:rsidR="00DB6F74" w:rsidRPr="005B3C29" w:rsidRDefault="00DB6F74" w:rsidP="00D35E06">
      <w:pPr>
        <w:pStyle w:val="Text"/>
      </w:pPr>
      <w:r>
        <w:t xml:space="preserve">The outcomes of </w:t>
      </w:r>
      <w:r w:rsidR="00A961ED">
        <w:t xml:space="preserve">Yes, I </w:t>
      </w:r>
      <w:proofErr w:type="gramStart"/>
      <w:r w:rsidR="00A961ED">
        <w:t>Can</w:t>
      </w:r>
      <w:proofErr w:type="gramEnd"/>
      <w:r>
        <w:t xml:space="preserve"> detailed in this case study present a strong argument for the measurement of success in adult education in remote Aboriginal communities beyond completion and employment rates. The many impacts of </w:t>
      </w:r>
      <w:r w:rsidR="00A961ED">
        <w:t>Yes, I Can</w:t>
      </w:r>
      <w:r w:rsidR="00B50757">
        <w:t xml:space="preserve"> </w:t>
      </w:r>
      <w:r>
        <w:t>in terms of the development of community capacity, engagement and cohesiveness suggest that a different perspective is warranted. This different perspective is best articulated by a community leader in Brewarrina:</w:t>
      </w:r>
    </w:p>
    <w:p w14:paraId="01BE195A" w14:textId="77777777" w:rsidR="00DB6F74" w:rsidRPr="00AD5EDF" w:rsidRDefault="00DB6F74" w:rsidP="00D35E06">
      <w:pPr>
        <w:pStyle w:val="Quote"/>
      </w:pPr>
      <w:r w:rsidRPr="00AD5EDF">
        <w:t xml:space="preserve">I think for the first time </w:t>
      </w:r>
      <w:r>
        <w:t>the people</w:t>
      </w:r>
      <w:r w:rsidRPr="00AD5EDF">
        <w:t xml:space="preserve"> have clear visions for themselves in their own mind, away from just waking up every day and going on drinking. I've seen one young guy down there that I've known all my life and you know, he was an alcoholic. Just to see the difference in him now even participating in the meeting and speaking out ab</w:t>
      </w:r>
      <w:r w:rsidR="00B50757">
        <w:t>out issues that affect them as A</w:t>
      </w:r>
      <w:r w:rsidRPr="00AD5EDF">
        <w:t>boriginal people, probably for the first time ever and feeling valued about what input they can have into it, it’s amazing and to see him write a story that you know, of his life and the way things have impacted on his life and things, they are empowered. Outside of that, who’s going to listen to those people?</w:t>
      </w:r>
    </w:p>
    <w:p w14:paraId="01BE195B" w14:textId="77777777" w:rsidR="00DB6F74" w:rsidRPr="00986B63" w:rsidRDefault="00DB6F74" w:rsidP="00DB6F74">
      <w:pPr>
        <w:pStyle w:val="Heading2"/>
      </w:pPr>
    </w:p>
    <w:p w14:paraId="01BE195C" w14:textId="77777777" w:rsidR="00217B4E" w:rsidRDefault="00217B4E">
      <w:pPr>
        <w:spacing w:before="0" w:line="240" w:lineRule="auto"/>
        <w:rPr>
          <w:rFonts w:ascii="Arial" w:hAnsi="Arial" w:cs="Tahoma"/>
          <w:color w:val="000000"/>
          <w:kern w:val="28"/>
          <w:sz w:val="56"/>
          <w:szCs w:val="56"/>
        </w:rPr>
      </w:pPr>
      <w:r>
        <w:br w:type="page"/>
      </w:r>
    </w:p>
    <w:p w14:paraId="1F879CE8" w14:textId="77777777" w:rsidR="00A961ED" w:rsidRDefault="00DB6F74" w:rsidP="00DB6F74">
      <w:pPr>
        <w:pStyle w:val="Heading1"/>
      </w:pPr>
      <w:bookmarkStart w:id="42" w:name="_Toc480296493"/>
      <w:r>
        <w:t xml:space="preserve">Case study </w:t>
      </w:r>
      <w:r w:rsidR="007F3F0E">
        <w:t>four</w:t>
      </w:r>
    </w:p>
    <w:p w14:paraId="01BE195D" w14:textId="309B2E49" w:rsidR="00DB6F74" w:rsidRPr="00C9724B" w:rsidRDefault="00DB6F74" w:rsidP="00DB6F74">
      <w:pPr>
        <w:pStyle w:val="Heading1"/>
      </w:pPr>
      <w:proofErr w:type="spellStart"/>
      <w:r w:rsidRPr="007F3F0E">
        <w:rPr>
          <w:rStyle w:val="Heading2Char"/>
        </w:rPr>
        <w:t>Karajarri</w:t>
      </w:r>
      <w:proofErr w:type="spellEnd"/>
      <w:r w:rsidRPr="007F3F0E">
        <w:rPr>
          <w:rStyle w:val="Heading2Char"/>
        </w:rPr>
        <w:t xml:space="preserve"> Ranger Training Program</w:t>
      </w:r>
      <w:bookmarkEnd w:id="42"/>
    </w:p>
    <w:p w14:paraId="01BE195E" w14:textId="77777777" w:rsidR="00DB6F74" w:rsidRPr="00C9724B" w:rsidRDefault="00DB6F74" w:rsidP="007F3F0E">
      <w:pPr>
        <w:pStyle w:val="Heading3"/>
      </w:pPr>
      <w:r w:rsidRPr="00C9724B">
        <w:t xml:space="preserve">Introduction </w:t>
      </w:r>
    </w:p>
    <w:p w14:paraId="01BE195F" w14:textId="77777777" w:rsidR="00DB6F74" w:rsidRDefault="00DB6F74" w:rsidP="00DB6F74">
      <w:pPr>
        <w:pStyle w:val="Text"/>
      </w:pPr>
      <w:r>
        <w:t>T</w:t>
      </w:r>
      <w:r w:rsidRPr="00581CA1">
        <w:t xml:space="preserve">he </w:t>
      </w:r>
      <w:proofErr w:type="spellStart"/>
      <w:r w:rsidRPr="00581CA1">
        <w:t>Karajarri</w:t>
      </w:r>
      <w:proofErr w:type="spellEnd"/>
      <w:r w:rsidRPr="00581CA1">
        <w:t xml:space="preserve"> people are the traditional owners of the area</w:t>
      </w:r>
      <w:r w:rsidR="00F24668">
        <w:t xml:space="preserve"> that</w:t>
      </w:r>
      <w:r w:rsidRPr="00581CA1">
        <w:t xml:space="preserve"> extends from the coast to the desert</w:t>
      </w:r>
      <w:r>
        <w:t xml:space="preserve"> in the west Kimberley region. P</w:t>
      </w:r>
      <w:r w:rsidRPr="00581CA1">
        <w:t>eople from four other language groups</w:t>
      </w:r>
      <w:r w:rsidR="00B50757">
        <w:t>,</w:t>
      </w:r>
      <w:r w:rsidRPr="00581CA1">
        <w:t xml:space="preserve"> </w:t>
      </w:r>
      <w:r>
        <w:t xml:space="preserve">the </w:t>
      </w:r>
      <w:proofErr w:type="spellStart"/>
      <w:r>
        <w:t>Karajarri</w:t>
      </w:r>
      <w:proofErr w:type="spellEnd"/>
      <w:r>
        <w:t xml:space="preserve"> people’s traditional neighbours</w:t>
      </w:r>
      <w:r w:rsidR="00B50757">
        <w:t>,</w:t>
      </w:r>
      <w:r>
        <w:t xml:space="preserve"> </w:t>
      </w:r>
      <w:r w:rsidRPr="00581CA1">
        <w:t xml:space="preserve">also live there, </w:t>
      </w:r>
      <w:r>
        <w:t xml:space="preserve">being the </w:t>
      </w:r>
      <w:proofErr w:type="spellStart"/>
      <w:r w:rsidRPr="00581CA1">
        <w:t>Nyangumarta</w:t>
      </w:r>
      <w:proofErr w:type="spellEnd"/>
      <w:r w:rsidRPr="00581CA1">
        <w:t xml:space="preserve">, </w:t>
      </w:r>
      <w:proofErr w:type="spellStart"/>
      <w:r w:rsidRPr="00581CA1">
        <w:t>Mangala</w:t>
      </w:r>
      <w:proofErr w:type="spellEnd"/>
      <w:r>
        <w:t xml:space="preserve">, </w:t>
      </w:r>
      <w:proofErr w:type="spellStart"/>
      <w:r>
        <w:t>Juwaliny</w:t>
      </w:r>
      <w:proofErr w:type="spellEnd"/>
      <w:r>
        <w:t xml:space="preserve"> and </w:t>
      </w:r>
      <w:proofErr w:type="spellStart"/>
      <w:r>
        <w:t>Yulparija</w:t>
      </w:r>
      <w:proofErr w:type="spellEnd"/>
      <w:r>
        <w:t>. People from these connected language groups</w:t>
      </w:r>
      <w:r w:rsidRPr="00581CA1">
        <w:t xml:space="preserve"> </w:t>
      </w:r>
      <w:r>
        <w:t xml:space="preserve">were welcomed to live as ‘one’ with </w:t>
      </w:r>
      <w:proofErr w:type="spellStart"/>
      <w:r>
        <w:t>Karajarri</w:t>
      </w:r>
      <w:proofErr w:type="spellEnd"/>
      <w:r>
        <w:t xml:space="preserve"> people on </w:t>
      </w:r>
      <w:proofErr w:type="spellStart"/>
      <w:r>
        <w:t>Karajarri</w:t>
      </w:r>
      <w:proofErr w:type="spellEnd"/>
      <w:r>
        <w:t xml:space="preserve"> country during the early days of colonial settlement of the Kimberley</w:t>
      </w:r>
      <w:r w:rsidRPr="00581CA1">
        <w:t xml:space="preserve">. </w:t>
      </w:r>
      <w:r>
        <w:t xml:space="preserve">The </w:t>
      </w:r>
      <w:proofErr w:type="spellStart"/>
      <w:r w:rsidRPr="00581CA1">
        <w:t>Karajarri</w:t>
      </w:r>
      <w:proofErr w:type="spellEnd"/>
      <w:r w:rsidRPr="00581CA1">
        <w:t xml:space="preserve"> people </w:t>
      </w:r>
      <w:r w:rsidR="00B50757">
        <w:t>care for C</w:t>
      </w:r>
      <w:r>
        <w:t>ountry, carry traditional</w:t>
      </w:r>
      <w:r w:rsidRPr="00581CA1">
        <w:t xml:space="preserve"> knowledge</w:t>
      </w:r>
      <w:r w:rsidR="00B50757">
        <w:t xml:space="preserve"> and monitor impacts on C</w:t>
      </w:r>
      <w:r>
        <w:t>ountry. As Traditional Ow</w:t>
      </w:r>
      <w:r w:rsidR="00971CEF">
        <w:t>ners, they are responsible for C</w:t>
      </w:r>
      <w:r>
        <w:t>ountry and the effective use of it to sustain life. The othe</w:t>
      </w:r>
      <w:r w:rsidR="00F24668">
        <w:t>r tribes also have traditional C</w:t>
      </w:r>
      <w:r>
        <w:t xml:space="preserve">aring for </w:t>
      </w:r>
      <w:r w:rsidR="00971CEF">
        <w:t>Country</w:t>
      </w:r>
      <w:r>
        <w:t xml:space="preserve"> knowledge</w:t>
      </w:r>
      <w:r w:rsidR="00971CEF">
        <w:t>,</w:t>
      </w:r>
      <w:r>
        <w:t xml:space="preserve"> which is carried in their language, kinship systems and worldview. </w:t>
      </w:r>
      <w:r w:rsidR="00C03A2A">
        <w:t>Therefore,</w:t>
      </w:r>
      <w:r>
        <w:t xml:space="preserve"> </w:t>
      </w:r>
      <w:r w:rsidRPr="00581CA1">
        <w:t xml:space="preserve">ranger positions are open to all residents of </w:t>
      </w:r>
      <w:proofErr w:type="spellStart"/>
      <w:r w:rsidRPr="00581CA1">
        <w:t>Karajarri</w:t>
      </w:r>
      <w:proofErr w:type="spellEnd"/>
      <w:r w:rsidRPr="00581CA1">
        <w:t xml:space="preserve"> lands</w:t>
      </w:r>
      <w:r w:rsidR="00971CEF">
        <w:t>,</w:t>
      </w:r>
      <w:r>
        <w:t xml:space="preserve"> including the traditional neighbours</w:t>
      </w:r>
      <w:r w:rsidR="00971CEF">
        <w:t>,</w:t>
      </w:r>
      <w:r>
        <w:t xml:space="preserve"> who are now residents of </w:t>
      </w:r>
      <w:proofErr w:type="spellStart"/>
      <w:r>
        <w:t>Bidyadanga</w:t>
      </w:r>
      <w:proofErr w:type="spellEnd"/>
      <w:r>
        <w:t xml:space="preserve"> community.</w:t>
      </w:r>
      <w:r w:rsidR="00F107E1" w:rsidRPr="00F107E1">
        <w:t xml:space="preserve"> </w:t>
      </w:r>
    </w:p>
    <w:p w14:paraId="01BE1960" w14:textId="77777777" w:rsidR="00DB6F74" w:rsidRDefault="00DB6F74" w:rsidP="00DB6F74">
      <w:pPr>
        <w:pStyle w:val="Text"/>
      </w:pPr>
      <w:r w:rsidRPr="00581CA1">
        <w:t xml:space="preserve">The </w:t>
      </w:r>
      <w:proofErr w:type="spellStart"/>
      <w:r w:rsidRPr="00581CA1">
        <w:t>Karajarri</w:t>
      </w:r>
      <w:proofErr w:type="spellEnd"/>
      <w:r w:rsidRPr="00581CA1">
        <w:t xml:space="preserve"> </w:t>
      </w:r>
      <w:r w:rsidR="00971CEF">
        <w:t>r</w:t>
      </w:r>
      <w:r w:rsidRPr="00581CA1">
        <w:t>angers</w:t>
      </w:r>
      <w:r w:rsidR="00971CEF">
        <w:t>,</w:t>
      </w:r>
      <w:r>
        <w:t xml:space="preserve"> with whom this study was undertaken,</w:t>
      </w:r>
      <w:r w:rsidRPr="00581CA1">
        <w:t xml:space="preserve"> are based in </w:t>
      </w:r>
      <w:proofErr w:type="spellStart"/>
      <w:r w:rsidRPr="00581CA1">
        <w:t>Bidyadanga</w:t>
      </w:r>
      <w:proofErr w:type="spellEnd"/>
      <w:r w:rsidRPr="00581CA1">
        <w:t xml:space="preserve"> Communi</w:t>
      </w:r>
      <w:r>
        <w:t xml:space="preserve">ty (formerly La Grange Mission), </w:t>
      </w:r>
      <w:r w:rsidRPr="00581CA1">
        <w:t>200</w:t>
      </w:r>
      <w:r w:rsidR="00971CEF">
        <w:t xml:space="preserve"> </w:t>
      </w:r>
      <w:r w:rsidRPr="00581CA1">
        <w:t xml:space="preserve">km south of Broome. The </w:t>
      </w:r>
      <w:proofErr w:type="spellStart"/>
      <w:r w:rsidRPr="00581CA1">
        <w:t>Karajarri</w:t>
      </w:r>
      <w:proofErr w:type="spellEnd"/>
      <w:r>
        <w:t xml:space="preserve"> </w:t>
      </w:r>
      <w:r w:rsidR="00971CEF">
        <w:t>Ranger Program</w:t>
      </w:r>
      <w:r w:rsidR="00971CEF" w:rsidRPr="00581CA1">
        <w:t xml:space="preserve"> </w:t>
      </w:r>
      <w:r w:rsidRPr="00581CA1">
        <w:t>is highly regarded</w:t>
      </w:r>
      <w:r>
        <w:t xml:space="preserve"> </w:t>
      </w:r>
      <w:r w:rsidR="00971CEF">
        <w:t>—</w:t>
      </w:r>
      <w:r>
        <w:t xml:space="preserve"> </w:t>
      </w:r>
      <w:r w:rsidRPr="00581CA1">
        <w:t xml:space="preserve">inside </w:t>
      </w:r>
      <w:proofErr w:type="spellStart"/>
      <w:r w:rsidRPr="00581CA1">
        <w:t>Bidyada</w:t>
      </w:r>
      <w:r w:rsidR="00971CEF">
        <w:t>nga</w:t>
      </w:r>
      <w:proofErr w:type="spellEnd"/>
      <w:r w:rsidR="00971CEF">
        <w:t xml:space="preserve"> and all over the Kimberley —</w:t>
      </w:r>
      <w:r w:rsidRPr="00581CA1">
        <w:t xml:space="preserve"> for the quality of ranger work and the ‘best practice’ </w:t>
      </w:r>
      <w:r w:rsidR="00971CEF" w:rsidRPr="00581CA1">
        <w:t xml:space="preserve">demonstrated </w:t>
      </w:r>
      <w:r w:rsidRPr="00581CA1">
        <w:t xml:space="preserve">in training. Additionally, the program </w:t>
      </w:r>
      <w:r w:rsidR="00F24668">
        <w:t>inspires</w:t>
      </w:r>
      <w:r w:rsidRPr="00581CA1">
        <w:t xml:space="preserve"> many children across the Ki</w:t>
      </w:r>
      <w:r w:rsidR="00971CEF">
        <w:t xml:space="preserve">mberley </w:t>
      </w:r>
      <w:r w:rsidR="00F24668">
        <w:t>— they</w:t>
      </w:r>
      <w:r w:rsidR="00971CEF">
        <w:t xml:space="preserve"> now want to become C</w:t>
      </w:r>
      <w:r w:rsidRPr="00581CA1">
        <w:t xml:space="preserve">aring for </w:t>
      </w:r>
      <w:r w:rsidR="00971CEF">
        <w:t>Country</w:t>
      </w:r>
      <w:r w:rsidRPr="00581CA1">
        <w:t xml:space="preserve"> professionals</w:t>
      </w:r>
      <w:r w:rsidR="00971CEF">
        <w:t xml:space="preserve"> —</w:t>
      </w:r>
      <w:r>
        <w:t xml:space="preserve"> as </w:t>
      </w:r>
      <w:r w:rsidRPr="00581CA1">
        <w:t>ranger</w:t>
      </w:r>
      <w:r>
        <w:t>s</w:t>
      </w:r>
      <w:r w:rsidRPr="00581CA1">
        <w:t xml:space="preserve">, </w:t>
      </w:r>
      <w:r>
        <w:t>on-</w:t>
      </w:r>
      <w:r w:rsidR="00971CEF">
        <w:t>Country</w:t>
      </w:r>
      <w:r w:rsidRPr="00581CA1">
        <w:t xml:space="preserve"> scientist</w:t>
      </w:r>
      <w:r>
        <w:t>s</w:t>
      </w:r>
      <w:r w:rsidRPr="00581CA1">
        <w:t xml:space="preserve">, linguists, and heritage practitioners or otherwise. The rangers are </w:t>
      </w:r>
      <w:r>
        <w:t xml:space="preserve">considered to be </w:t>
      </w:r>
      <w:r w:rsidRPr="00581CA1">
        <w:t xml:space="preserve">outstanding role models, and the intention of </w:t>
      </w:r>
      <w:r w:rsidRPr="00044A38">
        <w:t>this evaluation was to</w:t>
      </w:r>
      <w:r w:rsidRPr="00581CA1">
        <w:t xml:space="preserve"> </w:t>
      </w:r>
      <w:r w:rsidR="00F24668">
        <w:t>determine</w:t>
      </w:r>
      <w:r w:rsidRPr="00581CA1">
        <w:t xml:space="preserve"> why </w:t>
      </w:r>
      <w:r>
        <w:t>the program</w:t>
      </w:r>
      <w:r w:rsidRPr="00581CA1">
        <w:t xml:space="preserve"> is so successful. </w:t>
      </w:r>
    </w:p>
    <w:p w14:paraId="01BE1961" w14:textId="77777777" w:rsidR="00DB6F74" w:rsidRDefault="00DB6F74" w:rsidP="007F3F0E">
      <w:pPr>
        <w:pStyle w:val="Heading3"/>
      </w:pPr>
      <w:r w:rsidRPr="00C9724B">
        <w:t xml:space="preserve">The case study </w:t>
      </w:r>
    </w:p>
    <w:p w14:paraId="01BE1962" w14:textId="77777777" w:rsidR="00DB6F74" w:rsidRPr="00DB6F74" w:rsidRDefault="00DB6F74" w:rsidP="00DB6F74">
      <w:pPr>
        <w:pStyle w:val="Text"/>
      </w:pPr>
      <w:r w:rsidRPr="00DB6F74">
        <w:t xml:space="preserve">In this case study report we describe the overarching </w:t>
      </w:r>
      <w:r w:rsidR="00F24668">
        <w:t xml:space="preserve">research questions </w:t>
      </w:r>
      <w:r w:rsidRPr="00DB6F74">
        <w:t>and sub-questions, research design, and the arrangements for provision of training</w:t>
      </w:r>
      <w:r w:rsidR="00F24668">
        <w:t>,</w:t>
      </w:r>
      <w:r w:rsidRPr="00DB6F74">
        <w:t xml:space="preserve"> followed by the findings. Finally, we draw these together in a discussion which answers the overarching research questions and conclude by summarising the education concepts that are very clearly part of the success of the </w:t>
      </w:r>
      <w:proofErr w:type="spellStart"/>
      <w:r w:rsidRPr="00DB6F74">
        <w:t>Karajarri</w:t>
      </w:r>
      <w:proofErr w:type="spellEnd"/>
      <w:r w:rsidRPr="00DB6F74">
        <w:t xml:space="preserve"> </w:t>
      </w:r>
      <w:r w:rsidR="00971CEF" w:rsidRPr="00DB6F74">
        <w:t xml:space="preserve">Ranger Program. </w:t>
      </w:r>
    </w:p>
    <w:p w14:paraId="01BE1963" w14:textId="77777777" w:rsidR="00DB6F74" w:rsidRPr="00DB6F74" w:rsidRDefault="00DB6F74" w:rsidP="00DB6F74">
      <w:pPr>
        <w:pStyle w:val="Text"/>
      </w:pPr>
      <w:r w:rsidRPr="00DB6F74">
        <w:t>Two overarching questions are being addressed in this study. The first is: how can retention and completion in post-school training be improved (to improve employability) for Aboriginal and Torres Strait Islanders living in remote communities? The sub-questions are:</w:t>
      </w:r>
    </w:p>
    <w:p w14:paraId="01BE1964" w14:textId="77777777" w:rsidR="00DB6F74" w:rsidRPr="00DB6F74" w:rsidRDefault="00DB6F74" w:rsidP="007F3F0E">
      <w:pPr>
        <w:pStyle w:val="Dotpoint1"/>
      </w:pPr>
      <w:r w:rsidRPr="00DB6F74">
        <w:t>Which models of adult training work well (or not) to achieve completion and employability outcomes in each site?</w:t>
      </w:r>
    </w:p>
    <w:p w14:paraId="01BE1965" w14:textId="77777777" w:rsidR="00DB6F74" w:rsidRPr="00DB6F74" w:rsidRDefault="00DB6F74" w:rsidP="007F3F0E">
      <w:pPr>
        <w:pStyle w:val="Dotpoint1"/>
      </w:pPr>
      <w:r w:rsidRPr="00DB6F74">
        <w:t>How do factors of funding, andragogy, individual agency, cultural attachments, geography, employment service delivery, English language literacy, digital literacies, and job availability effect improved engagement, retention and completion of training?</w:t>
      </w:r>
    </w:p>
    <w:p w14:paraId="01BE1966" w14:textId="77777777" w:rsidR="00DB6F74" w:rsidRPr="008A13B4" w:rsidRDefault="00DB6F74" w:rsidP="00DB6F74">
      <w:pPr>
        <w:pStyle w:val="Text"/>
        <w:rPr>
          <w:rFonts w:cs="Arial"/>
        </w:rPr>
      </w:pPr>
      <w:r w:rsidRPr="00DB6F74">
        <w:t>The second overarching question is: what indicators of success other than completio</w:t>
      </w:r>
      <w:r w:rsidR="00971CEF">
        <w:t>n</w:t>
      </w:r>
      <w:r w:rsidRPr="00DB6F74">
        <w:t xml:space="preserve"> would be important for training in remote communities (to improve employability)?</w:t>
      </w:r>
    </w:p>
    <w:p w14:paraId="01BE1967" w14:textId="77777777" w:rsidR="00DB6F74" w:rsidRDefault="00DB6F74" w:rsidP="00DB6F74">
      <w:pPr>
        <w:pStyle w:val="Text"/>
      </w:pPr>
      <w:r>
        <w:t xml:space="preserve">The research design used five focus groups and </w:t>
      </w:r>
      <w:r w:rsidR="00971CEF">
        <w:t>12</w:t>
      </w:r>
      <w:r>
        <w:t xml:space="preserve"> individual interviews with the rangers. Data w</w:t>
      </w:r>
      <w:r w:rsidR="00971CEF">
        <w:t>ere</w:t>
      </w:r>
      <w:r>
        <w:t xml:space="preserve"> supplemented by conversations with senior rangers and coordinators to </w:t>
      </w:r>
      <w:r w:rsidR="00F24668">
        <w:t>augment</w:t>
      </w:r>
      <w:r>
        <w:t xml:space="preserve"> the limited quantitative data available from the training providers. The focus groups were conducted with the group of rangers</w:t>
      </w:r>
      <w:r w:rsidR="00971CEF">
        <w:t>,</w:t>
      </w:r>
      <w:r>
        <w:t xml:space="preserve"> divided into a </w:t>
      </w:r>
      <w:r w:rsidR="00F24668">
        <w:t>men’s group and a women’s group;</w:t>
      </w:r>
      <w:r>
        <w:t xml:space="preserve"> a group consisting </w:t>
      </w:r>
      <w:r w:rsidR="00F24668">
        <w:t>of the ranger cultural advisors;</w:t>
      </w:r>
      <w:r>
        <w:t xml:space="preserve"> a group of ranger coordinators and lecturers from the</w:t>
      </w:r>
      <w:r w:rsidR="00F24668">
        <w:t xml:space="preserve"> various training organisations;</w:t>
      </w:r>
      <w:r>
        <w:t xml:space="preserve"> a council office member</w:t>
      </w:r>
      <w:r w:rsidR="00F24668">
        <w:t>;</w:t>
      </w:r>
      <w:r>
        <w:t xml:space="preserve"> and a group of </w:t>
      </w:r>
      <w:proofErr w:type="spellStart"/>
      <w:r>
        <w:t>Bidyadanga</w:t>
      </w:r>
      <w:proofErr w:type="spellEnd"/>
      <w:r>
        <w:t xml:space="preserve"> community members who are not directly connected to the ranger training program. The intention was to gather information from a range of perspectives, </w:t>
      </w:r>
      <w:r w:rsidR="00971CEF">
        <w:t>thereby ensuring</w:t>
      </w:r>
      <w:r>
        <w:t xml:space="preserve"> comprehensive data to </w:t>
      </w:r>
      <w:r w:rsidR="00F24668">
        <w:t xml:space="preserve">identify </w:t>
      </w:r>
      <w:r>
        <w:t xml:space="preserve">the various elements contributing to the successful overarching program. </w:t>
      </w:r>
    </w:p>
    <w:p w14:paraId="01BE1968" w14:textId="77777777" w:rsidR="00DB6F74" w:rsidRPr="00565B34" w:rsidRDefault="00DB6F74" w:rsidP="00DB6F74">
      <w:pPr>
        <w:pStyle w:val="Text"/>
      </w:pPr>
      <w:r>
        <w:t xml:space="preserve">Lecturers from North Regional TAFE (formerly Kimberley Training Institute or KTI) </w:t>
      </w:r>
      <w:r w:rsidRPr="00565B34">
        <w:t xml:space="preserve">provide the training in </w:t>
      </w:r>
      <w:r w:rsidR="0073414E">
        <w:t>Certificate</w:t>
      </w:r>
      <w:r w:rsidRPr="00565B34">
        <w:t>s II and III in Conservation and Land Management, as well as literacy and numeracy support. The method of delivery is flexible</w:t>
      </w:r>
      <w:r w:rsidR="00971CEF">
        <w:t xml:space="preserve"> and</w:t>
      </w:r>
      <w:r w:rsidRPr="00565B34">
        <w:t xml:space="preserve"> involves lecturers predominantly coming to the rangers in the community, rather than the reverse. Much of the training is conducted ‘on </w:t>
      </w:r>
      <w:r w:rsidR="00971CEF">
        <w:t>Country</w:t>
      </w:r>
      <w:r w:rsidRPr="00565B34">
        <w:t xml:space="preserve">’ with ‘classrooms’ on site in the bush rather than at a desk in a building. </w:t>
      </w:r>
      <w:r>
        <w:t>T</w:t>
      </w:r>
      <w:r w:rsidRPr="00044A38">
        <w:t>he on-the-job training that is</w:t>
      </w:r>
      <w:r>
        <w:t xml:space="preserve"> provided to, and subsequently by, the rangers as part of the program is crucial to the program’s success.</w:t>
      </w:r>
    </w:p>
    <w:p w14:paraId="01BE1969" w14:textId="77777777" w:rsidR="00DB6F74" w:rsidRPr="00565B34" w:rsidRDefault="00DB6F74" w:rsidP="00DB6F74">
      <w:pPr>
        <w:pStyle w:val="Text"/>
      </w:pPr>
      <w:r w:rsidRPr="00565B34">
        <w:t xml:space="preserve">While lecturers are provided from North Regional TAFE </w:t>
      </w:r>
      <w:r w:rsidR="00C03A2A" w:rsidRPr="00565B34">
        <w:t>for</w:t>
      </w:r>
      <w:r w:rsidRPr="00565B34">
        <w:t xml:space="preserve"> teaching and certifying the skill base of the rangers, they are not the only educators in the program, nor are they central to it. Rather, </w:t>
      </w:r>
      <w:r w:rsidR="00C03A2A" w:rsidRPr="00565B34">
        <w:t xml:space="preserve">the cultural advisors and senior </w:t>
      </w:r>
      <w:proofErr w:type="spellStart"/>
      <w:r w:rsidR="00C03A2A" w:rsidRPr="00565B34">
        <w:t>Karajarri</w:t>
      </w:r>
      <w:proofErr w:type="spellEnd"/>
      <w:r w:rsidR="00C03A2A" w:rsidRPr="00565B34">
        <w:t xml:space="preserve"> Traditional Owners play this role</w:t>
      </w:r>
      <w:r w:rsidRPr="00565B34">
        <w:t>. These elders are involved in nearly all levels of training for the rangers, guiding and teaching the lecturers and rangers themselves in the bush settings. Throughout this evaluation, all parties identified the cultural guidance and teachings as one of the key success factors of the program. Thei</w:t>
      </w:r>
      <w:r w:rsidR="000A1E31">
        <w:t xml:space="preserve">r involvement at this level </w:t>
      </w:r>
      <w:r w:rsidRPr="00565B34">
        <w:t>in the ranger training program is one that is resourced through both the Working on Country (WOC) and Indigenous Protected Area (IP</w:t>
      </w:r>
      <w:r w:rsidR="00971CEF">
        <w:t>A) funding for the overarching C</w:t>
      </w:r>
      <w:r w:rsidRPr="00565B34">
        <w:t xml:space="preserve">aring for </w:t>
      </w:r>
      <w:r w:rsidR="00971CEF">
        <w:t>Country</w:t>
      </w:r>
      <w:r w:rsidRPr="00565B34">
        <w:t xml:space="preserve"> program.</w:t>
      </w:r>
    </w:p>
    <w:p w14:paraId="01BE196A" w14:textId="77777777" w:rsidR="00DB6F74" w:rsidRPr="00CF2690" w:rsidRDefault="00DB6F74" w:rsidP="00DB6F74">
      <w:pPr>
        <w:pStyle w:val="Text"/>
      </w:pPr>
      <w:r w:rsidRPr="00565B34">
        <w:t>Additional partnerships provide specialised training opportunities, all of which also involve the senior</w:t>
      </w:r>
      <w:r>
        <w:t xml:space="preserve"> cultural advisory group. This includes government agencies such as the WA Departm</w:t>
      </w:r>
      <w:r w:rsidR="00971CEF">
        <w:t>ent of Parks and Wildlife</w:t>
      </w:r>
      <w:r>
        <w:t>, Fire and Emergency Ser</w:t>
      </w:r>
      <w:r w:rsidR="00971CEF">
        <w:t>vices</w:t>
      </w:r>
      <w:r>
        <w:t xml:space="preserve">, </w:t>
      </w:r>
      <w:r w:rsidR="00971CEF">
        <w:t xml:space="preserve">the </w:t>
      </w:r>
      <w:r>
        <w:t>Department of Agriculture and Forestry Western Australia and the Australian Quar</w:t>
      </w:r>
      <w:r w:rsidR="00971CEF">
        <w:t>antine Inspection Service</w:t>
      </w:r>
      <w:r>
        <w:t xml:space="preserve">; research institutes such as Murdoch University, the University of Western Australia, and our own </w:t>
      </w:r>
      <w:proofErr w:type="spellStart"/>
      <w:r>
        <w:t>Nulungu</w:t>
      </w:r>
      <w:proofErr w:type="spellEnd"/>
      <w:r>
        <w:t xml:space="preserve"> Research Institute at the University of Notre Dame Australia; links with non-government organisatio</w:t>
      </w:r>
      <w:r w:rsidR="00971CEF">
        <w:t>ns such as World Wildlife Fund and Environs Kimberley</w:t>
      </w:r>
      <w:r>
        <w:t xml:space="preserve">; as well as shared training opportunities with the local community council and pastoral stations. In this </w:t>
      </w:r>
      <w:r w:rsidR="00C03A2A">
        <w:t>way,</w:t>
      </w:r>
      <w:r>
        <w:t xml:space="preserve"> additional courses are also made available to rangers and others in the community such as 4WD, first aid, coxswain/skippers tickets and the like.</w:t>
      </w:r>
    </w:p>
    <w:p w14:paraId="01BE196B" w14:textId="77777777" w:rsidR="00DB6F74" w:rsidRDefault="00DB6F74" w:rsidP="007F3F0E">
      <w:pPr>
        <w:pStyle w:val="Heading3"/>
      </w:pPr>
      <w:r w:rsidRPr="00C9724B">
        <w:t xml:space="preserve">Findings </w:t>
      </w:r>
    </w:p>
    <w:p w14:paraId="01BE196C" w14:textId="77777777" w:rsidR="00DB6F74" w:rsidRPr="00CC174C" w:rsidRDefault="00DB6F74" w:rsidP="00DB6F74">
      <w:pPr>
        <w:pStyle w:val="Text"/>
      </w:pPr>
      <w:r>
        <w:t xml:space="preserve">The </w:t>
      </w:r>
      <w:r w:rsidRPr="00743B70">
        <w:t>research findings</w:t>
      </w:r>
      <w:r>
        <w:t xml:space="preserve"> are presented here, beginning with enrolments and completions </w:t>
      </w:r>
      <w:r w:rsidR="00971CEF">
        <w:t xml:space="preserve">and </w:t>
      </w:r>
      <w:r>
        <w:t>followed by the emergent sub-themes</w:t>
      </w:r>
      <w:r w:rsidRPr="00743B70">
        <w:t xml:space="preserve"> </w:t>
      </w:r>
      <w:r>
        <w:t>gathered into three general themes</w:t>
      </w:r>
      <w:r w:rsidR="00971CEF">
        <w:t>,</w:t>
      </w:r>
      <w:r>
        <w:t xml:space="preserve"> which</w:t>
      </w:r>
      <w:r w:rsidRPr="00743B70">
        <w:t xml:space="preserve"> are </w:t>
      </w:r>
      <w:r w:rsidR="00C03A2A" w:rsidRPr="00743B70">
        <w:t>clear</w:t>
      </w:r>
      <w:r w:rsidRPr="00743B70">
        <w:t xml:space="preserve"> in the </w:t>
      </w:r>
      <w:r>
        <w:t xml:space="preserve">qualitative </w:t>
      </w:r>
      <w:r w:rsidRPr="00743B70">
        <w:t>information gathered.</w:t>
      </w:r>
    </w:p>
    <w:p w14:paraId="01BE196D" w14:textId="77777777" w:rsidR="00DB6F74" w:rsidRPr="00254967" w:rsidRDefault="00DB6F74" w:rsidP="007F3F0E">
      <w:pPr>
        <w:pStyle w:val="Heading4"/>
      </w:pPr>
      <w:r w:rsidRPr="00254967">
        <w:t xml:space="preserve">Enrolments and </w:t>
      </w:r>
      <w:r w:rsidRPr="00901B5D">
        <w:t>completions</w:t>
      </w:r>
    </w:p>
    <w:p w14:paraId="01BE196E" w14:textId="77777777" w:rsidR="00DB6F74" w:rsidRDefault="00DB6F74" w:rsidP="00DB6F74">
      <w:pPr>
        <w:pStyle w:val="Text"/>
      </w:pPr>
      <w:r w:rsidRPr="002D1A33">
        <w:t xml:space="preserve">Records of enrolments and completions have previously been kept across the entire </w:t>
      </w:r>
      <w:r w:rsidR="00971CEF">
        <w:t>Kimberley Ranger Network;</w:t>
      </w:r>
      <w:r w:rsidRPr="002D1A33">
        <w:t xml:space="preserve"> however</w:t>
      </w:r>
      <w:r w:rsidR="000A1E31">
        <w:t>,</w:t>
      </w:r>
      <w:r w:rsidRPr="002D1A33">
        <w:t xml:space="preserve"> this information has been misplaced rec</w:t>
      </w:r>
      <w:r w:rsidR="00971CEF">
        <w:t>ently as systems shifted. While</w:t>
      </w:r>
      <w:r>
        <w:t xml:space="preserve"> records are incomplete</w:t>
      </w:r>
      <w:r w:rsidRPr="00647287">
        <w:t xml:space="preserve">, </w:t>
      </w:r>
      <w:r w:rsidR="000A1E31">
        <w:t>some AVETMISS data were</w:t>
      </w:r>
      <w:r>
        <w:t xml:space="preserve"> made available and participants have advised researchers of </w:t>
      </w:r>
      <w:r w:rsidR="000A1E31">
        <w:t xml:space="preserve">the </w:t>
      </w:r>
      <w:r>
        <w:t xml:space="preserve">names of rangers since the program commenced in 2005. A synthesis of that information was used to compile the statistics referred to here. Since the program commenced in 2005, 35 </w:t>
      </w:r>
      <w:proofErr w:type="spellStart"/>
      <w:r>
        <w:t>Bidya</w:t>
      </w:r>
      <w:r w:rsidR="00971CEF">
        <w:t>danga</w:t>
      </w:r>
      <w:proofErr w:type="spellEnd"/>
      <w:r w:rsidR="00971CEF">
        <w:t xml:space="preserve"> rangers have enrolled in c</w:t>
      </w:r>
      <w:r>
        <w:t>ert</w:t>
      </w:r>
      <w:r w:rsidR="00971CEF">
        <w:t>ificate</w:t>
      </w:r>
      <w:r>
        <w:t xml:space="preserve"> II, 12 have enrolled in </w:t>
      </w:r>
      <w:r w:rsidR="00971CEF">
        <w:t>certificate</w:t>
      </w:r>
      <w:r>
        <w:t xml:space="preserve"> III and two have progressed to </w:t>
      </w:r>
      <w:r w:rsidR="00971CEF">
        <w:t>certificate</w:t>
      </w:r>
      <w:r>
        <w:t xml:space="preserve"> IV. Sadly, four long-term rangers have passed away since the first program started. </w:t>
      </w:r>
      <w:r w:rsidRPr="00647287">
        <w:t xml:space="preserve">Twelve rangers are currently employed and all </w:t>
      </w:r>
      <w:r w:rsidRPr="00356AAD">
        <w:t xml:space="preserve">are enrolled in courses. </w:t>
      </w:r>
      <w:r>
        <w:t>F</w:t>
      </w:r>
      <w:r w:rsidRPr="00356AAD">
        <w:t xml:space="preserve">our are </w:t>
      </w:r>
      <w:r>
        <w:t xml:space="preserve">enrolled in </w:t>
      </w:r>
      <w:r w:rsidR="00EB0283">
        <w:t>c</w:t>
      </w:r>
      <w:r w:rsidR="0073414E">
        <w:t>ertificate</w:t>
      </w:r>
      <w:r>
        <w:t xml:space="preserve"> </w:t>
      </w:r>
      <w:r w:rsidRPr="00356AAD">
        <w:t xml:space="preserve">II and six are enrolled in </w:t>
      </w:r>
      <w:r w:rsidR="00EB0283">
        <w:t>c</w:t>
      </w:r>
      <w:r w:rsidR="0073414E">
        <w:t>ertificate</w:t>
      </w:r>
      <w:r w:rsidRPr="00356AAD">
        <w:t xml:space="preserve"> II</w:t>
      </w:r>
      <w:r>
        <w:t>I</w:t>
      </w:r>
      <w:r w:rsidRPr="00356AAD">
        <w:t xml:space="preserve">. </w:t>
      </w:r>
      <w:r>
        <w:t>The remaining two</w:t>
      </w:r>
      <w:r w:rsidRPr="00356AAD">
        <w:t xml:space="preserve"> </w:t>
      </w:r>
      <w:r>
        <w:t>have been invited to participate in advanced group study</w:t>
      </w:r>
      <w:r w:rsidR="00EB0283">
        <w:t>,</w:t>
      </w:r>
      <w:r>
        <w:t xml:space="preserve"> which includes rangers from other programs and enrolment in </w:t>
      </w:r>
      <w:r w:rsidR="00EB0283">
        <w:t>certificate</w:t>
      </w:r>
      <w:r>
        <w:t xml:space="preserve"> IV. </w:t>
      </w:r>
      <w:r w:rsidRPr="00356AAD">
        <w:t xml:space="preserve">One ranger has been continuously employed since 2006, and </w:t>
      </w:r>
      <w:r>
        <w:t>she is a S</w:t>
      </w:r>
      <w:r w:rsidRPr="00356AAD">
        <w:t xml:space="preserve">enior </w:t>
      </w:r>
      <w:r>
        <w:t>Cultural R</w:t>
      </w:r>
      <w:r w:rsidRPr="00356AAD">
        <w:t xml:space="preserve">anger. </w:t>
      </w:r>
    </w:p>
    <w:p w14:paraId="01BE196F" w14:textId="77777777" w:rsidR="00DB6F74" w:rsidRDefault="00DB6F74" w:rsidP="00DB6F74">
      <w:pPr>
        <w:pStyle w:val="Text"/>
      </w:pPr>
      <w:r w:rsidRPr="00356AAD">
        <w:t xml:space="preserve">Of the current group three rangers are new this year, while one first enrolled in 2005, left in 2006 </w:t>
      </w:r>
      <w:r w:rsidR="000A1E31">
        <w:t>but</w:t>
      </w:r>
      <w:r w:rsidRPr="00356AAD">
        <w:t xml:space="preserve"> returned in 2011. Seven of the current group first enrolled in 2011 or 2012 and have maintained continuous enrolment. Of the four people who commenced in 2011</w:t>
      </w:r>
      <w:r>
        <w:t xml:space="preserve">, one has now completed </w:t>
      </w:r>
      <w:r w:rsidR="00EB0283">
        <w:t>certificate</w:t>
      </w:r>
      <w:r>
        <w:t xml:space="preserve"> III and the other three are making good progress towards completion.</w:t>
      </w:r>
    </w:p>
    <w:p w14:paraId="01BE1970" w14:textId="77777777" w:rsidR="00DB6F74" w:rsidRDefault="00DB6F74" w:rsidP="00DB6F74">
      <w:pPr>
        <w:pStyle w:val="Text"/>
      </w:pPr>
      <w:r w:rsidRPr="00F9515F">
        <w:t xml:space="preserve">From these </w:t>
      </w:r>
      <w:r w:rsidR="00C03A2A" w:rsidRPr="00F9515F">
        <w:t>statistics,</w:t>
      </w:r>
      <w:r w:rsidRPr="00F9515F">
        <w:t xml:space="preserve"> we can see that rangers can take variable lengths of time to complete certificates, but there is ongoing learning towards further qualifications. Over a third of the </w:t>
      </w:r>
      <w:proofErr w:type="spellStart"/>
      <w:r w:rsidRPr="00F9515F">
        <w:t>Karajarri</w:t>
      </w:r>
      <w:proofErr w:type="spellEnd"/>
      <w:r w:rsidRPr="00F9515F">
        <w:t xml:space="preserve"> rangers who have ever participated in the program are still employed</w:t>
      </w:r>
      <w:r>
        <w:t xml:space="preserve"> in it</w:t>
      </w:r>
      <w:r w:rsidRPr="00F9515F">
        <w:t xml:space="preserve">. Of the previous </w:t>
      </w:r>
      <w:proofErr w:type="spellStart"/>
      <w:r w:rsidRPr="00F9515F">
        <w:t>Karajarri</w:t>
      </w:r>
      <w:proofErr w:type="spellEnd"/>
      <w:r w:rsidRPr="00F9515F">
        <w:t xml:space="preserve"> rangers who are still alive, some</w:t>
      </w:r>
      <w:r w:rsidR="00EB0283">
        <w:t xml:space="preserve"> are now full-</w:t>
      </w:r>
      <w:r w:rsidRPr="00F9515F">
        <w:t xml:space="preserve">time mothers with young ones and most others are employed in a range of different positions in </w:t>
      </w:r>
      <w:proofErr w:type="spellStart"/>
      <w:r w:rsidRPr="00F9515F">
        <w:t>Bidyadanga</w:t>
      </w:r>
      <w:proofErr w:type="spellEnd"/>
      <w:r w:rsidRPr="00F9515F">
        <w:t xml:space="preserve"> or other communities. At least one previo</w:t>
      </w:r>
      <w:r w:rsidR="00EB0283">
        <w:t xml:space="preserve">us ranger is employed on a mine </w:t>
      </w:r>
      <w:r w:rsidRPr="00F9515F">
        <w:t>site. These statistics suggest that the training is satisfactory from the poin</w:t>
      </w:r>
      <w:r>
        <w:t xml:space="preserve">t of view of </w:t>
      </w:r>
      <w:r w:rsidR="000A1E31">
        <w:t xml:space="preserve">the </w:t>
      </w:r>
      <w:r>
        <w:t>employability of the rangers outside the ranger context.</w:t>
      </w:r>
    </w:p>
    <w:p w14:paraId="01BE1971" w14:textId="77777777" w:rsidR="00DB6F74" w:rsidRDefault="00DB6F74" w:rsidP="007F3F0E">
      <w:pPr>
        <w:pStyle w:val="Heading4"/>
      </w:pPr>
      <w:r>
        <w:t>Training model</w:t>
      </w:r>
    </w:p>
    <w:p w14:paraId="01BE1972" w14:textId="77777777" w:rsidR="00DB6F74" w:rsidRDefault="00DB6F74" w:rsidP="00DB6F74">
      <w:pPr>
        <w:pStyle w:val="Text"/>
      </w:pPr>
      <w:r>
        <w:t xml:space="preserve">In this </w:t>
      </w:r>
      <w:r w:rsidR="00C03A2A">
        <w:t>section,</w:t>
      </w:r>
      <w:r>
        <w:t xml:space="preserve"> we present and interpret information and perspectives about the training model from the focus group discussions and interviews, using </w:t>
      </w:r>
      <w:r w:rsidR="00EB0283">
        <w:t>the</w:t>
      </w:r>
      <w:r>
        <w:t xml:space="preserve"> themes that are common to each contributing group or individual. Of note is the fact that the rangers are employed prior to enrolling in the certificate courses.</w:t>
      </w:r>
    </w:p>
    <w:p w14:paraId="01BE1973" w14:textId="77777777" w:rsidR="00DB6F74" w:rsidRDefault="00DB6F74" w:rsidP="00DB6F74">
      <w:pPr>
        <w:pStyle w:val="Text"/>
      </w:pPr>
      <w:r>
        <w:t xml:space="preserve">The model of training which </w:t>
      </w:r>
      <w:r w:rsidR="000A1E31">
        <w:t xml:space="preserve">is effective for the </w:t>
      </w:r>
      <w:proofErr w:type="spellStart"/>
      <w:r w:rsidR="000A1E31">
        <w:t>Karajarri</w:t>
      </w:r>
      <w:proofErr w:type="spellEnd"/>
      <w:r w:rsidR="000A1E31">
        <w:t xml:space="preserve"> r</w:t>
      </w:r>
      <w:r>
        <w:t>angers comprises a collaborative two-way</w:t>
      </w:r>
      <w:r>
        <w:rPr>
          <w:rStyle w:val="FootnoteReference"/>
          <w:rFonts w:cs="Arial"/>
        </w:rPr>
        <w:footnoteReference w:id="1"/>
      </w:r>
      <w:r>
        <w:t xml:space="preserve"> learning model</w:t>
      </w:r>
      <w:r w:rsidR="00EB0283">
        <w:t>, which</w:t>
      </w:r>
      <w:r>
        <w:t xml:space="preserve"> is culturally aligned with Aboriginal traditional governance structures and involves substantial on-</w:t>
      </w:r>
      <w:r w:rsidR="00971CEF">
        <w:t>Country</w:t>
      </w:r>
      <w:r>
        <w:t xml:space="preserve"> work. Learning involves non-Aboriginal (</w:t>
      </w:r>
      <w:proofErr w:type="spellStart"/>
      <w:r>
        <w:rPr>
          <w:i/>
        </w:rPr>
        <w:t>kartiya</w:t>
      </w:r>
      <w:proofErr w:type="spellEnd"/>
      <w:r>
        <w:t xml:space="preserve">) science and administration, which includes English literacy and digital skills, alongside </w:t>
      </w:r>
      <w:r w:rsidR="00EB0283">
        <w:t xml:space="preserve">traditional ecological knowledge </w:t>
      </w:r>
      <w:r>
        <w:t xml:space="preserve">(TEK) and Indigenous </w:t>
      </w:r>
      <w:r w:rsidR="00EB0283">
        <w:t xml:space="preserve">technical knowledge </w:t>
      </w:r>
      <w:r>
        <w:t xml:space="preserve">(ITK). </w:t>
      </w:r>
      <w:r w:rsidR="000A1E31">
        <w:t>The latter</w:t>
      </w:r>
      <w:r w:rsidR="00EB0283">
        <w:t xml:space="preserve"> two are culturally </w:t>
      </w:r>
      <w:r>
        <w:t xml:space="preserve">based and provide a foundation on which the </w:t>
      </w:r>
      <w:proofErr w:type="spellStart"/>
      <w:r w:rsidRPr="00A3563E">
        <w:rPr>
          <w:i/>
        </w:rPr>
        <w:t>kartiya</w:t>
      </w:r>
      <w:proofErr w:type="spellEnd"/>
      <w:r>
        <w:t xml:space="preserve"> areas of study are laid, contributing greatly to the success observed. The training model comprises elders as authoritative teachers, rangers as knowledge holders and interpreters, education providers as equal learners,</w:t>
      </w:r>
      <w:r w:rsidRPr="00F77205">
        <w:t xml:space="preserve"> </w:t>
      </w:r>
      <w:r>
        <w:t>peer learning, and rangers as both-ways learners.</w:t>
      </w:r>
    </w:p>
    <w:p w14:paraId="01BE1974" w14:textId="77777777" w:rsidR="00DB6F74" w:rsidRDefault="00DB6F74" w:rsidP="007F3F0E">
      <w:pPr>
        <w:pStyle w:val="Heading5"/>
      </w:pPr>
      <w:r>
        <w:t xml:space="preserve">Elders as </w:t>
      </w:r>
      <w:r w:rsidR="009D0DA5">
        <w:t>a</w:t>
      </w:r>
      <w:r>
        <w:t xml:space="preserve">uthoritative </w:t>
      </w:r>
      <w:r w:rsidR="009D0DA5">
        <w:t>t</w:t>
      </w:r>
      <w:r>
        <w:t>eachers</w:t>
      </w:r>
    </w:p>
    <w:p w14:paraId="01BE1975" w14:textId="77777777" w:rsidR="00DB6F74" w:rsidRDefault="00DB6F74" w:rsidP="00DB6F74">
      <w:pPr>
        <w:pStyle w:val="Text"/>
      </w:pPr>
      <w:r>
        <w:t xml:space="preserve">The role of the elders as holders of ITK and TEK is one of the most significant elements of the </w:t>
      </w:r>
      <w:proofErr w:type="spellStart"/>
      <w:r>
        <w:t>Karajarri</w:t>
      </w:r>
      <w:proofErr w:type="spellEnd"/>
      <w:r>
        <w:t xml:space="preserve"> </w:t>
      </w:r>
      <w:r w:rsidR="000A1E31">
        <w:t xml:space="preserve">Ranger Training </w:t>
      </w:r>
      <w:r>
        <w:t>model. The elders</w:t>
      </w:r>
      <w:r w:rsidR="00EB0283">
        <w:t>,</w:t>
      </w:r>
      <w:r>
        <w:t xml:space="preserve"> who are respected cultural bosses, are regarded as auth</w:t>
      </w:r>
      <w:r w:rsidR="00EB0283">
        <w:t>oritative teachers by everyone —</w:t>
      </w:r>
      <w:r>
        <w:t xml:space="preserve"> rangers</w:t>
      </w:r>
      <w:r w:rsidR="00EB0283">
        <w:t xml:space="preserve"> and education providers alike —</w:t>
      </w:r>
      <w:r>
        <w:t xml:space="preserve"> because of their deep knowledge and understanding of Country</w:t>
      </w:r>
      <w:r w:rsidR="00EB0283">
        <w:t>.</w:t>
      </w:r>
      <w:r>
        <w:rPr>
          <w:rStyle w:val="FootnoteReference"/>
          <w:rFonts w:cs="Arial"/>
        </w:rPr>
        <w:footnoteReference w:id="2"/>
      </w:r>
      <w:r>
        <w:t xml:space="preserve"> For example: </w:t>
      </w:r>
    </w:p>
    <w:p w14:paraId="01BE1976" w14:textId="77777777" w:rsidR="00DB6F74" w:rsidRPr="000F58D7" w:rsidRDefault="00DB6F74" w:rsidP="00DB6F74">
      <w:pPr>
        <w:pStyle w:val="Quote"/>
        <w:rPr>
          <w:rFonts w:eastAsiaTheme="minorHAnsi"/>
        </w:rPr>
      </w:pPr>
      <w:r w:rsidRPr="000F58D7">
        <w:rPr>
          <w:rFonts w:eastAsiaTheme="minorHAnsi"/>
        </w:rPr>
        <w:t xml:space="preserve">That was learning two-ways, you know, when we took over, we tell them all the names of the </w:t>
      </w:r>
      <w:r>
        <w:rPr>
          <w:rFonts w:eastAsiaTheme="minorHAnsi"/>
        </w:rPr>
        <w:t>Country</w:t>
      </w:r>
      <w:r w:rsidRPr="000F58D7">
        <w:rPr>
          <w:rFonts w:eastAsiaTheme="minorHAnsi"/>
        </w:rPr>
        <w:t xml:space="preserve"> we learnt as kids, you know? It</w:t>
      </w:r>
      <w:r w:rsidR="00EB0283">
        <w:rPr>
          <w:rFonts w:eastAsiaTheme="minorHAnsi"/>
        </w:rPr>
        <w:t xml:space="preserve"> comes down to your grandmother</w:t>
      </w:r>
      <w:r w:rsidRPr="000F58D7">
        <w:rPr>
          <w:rFonts w:eastAsiaTheme="minorHAnsi"/>
        </w:rPr>
        <w:t xml:space="preserve"> </w:t>
      </w:r>
      <w:r>
        <w:rPr>
          <w:rFonts w:eastAsiaTheme="minorHAnsi"/>
        </w:rPr>
        <w:t xml:space="preserve">… </w:t>
      </w:r>
      <w:r w:rsidRPr="000F58D7">
        <w:rPr>
          <w:rFonts w:eastAsiaTheme="minorHAnsi"/>
        </w:rPr>
        <w:t xml:space="preserve">Yeah, because they're saying here cultural advisors play a bigger role to guide rangers on </w:t>
      </w:r>
      <w:r>
        <w:rPr>
          <w:rFonts w:eastAsiaTheme="minorHAnsi"/>
        </w:rPr>
        <w:t>Country</w:t>
      </w:r>
      <w:r w:rsidRPr="000F58D7">
        <w:rPr>
          <w:rFonts w:eastAsiaTheme="minorHAnsi"/>
        </w:rPr>
        <w:t xml:space="preserve">. Their role is also trainers, natural trainers, because of their knowledge, their cultural knowledge. They have to be the guidance, right through all this </w:t>
      </w:r>
      <w:r>
        <w:rPr>
          <w:rFonts w:eastAsiaTheme="minorHAnsi"/>
        </w:rPr>
        <w:t>Country</w:t>
      </w:r>
      <w:r w:rsidRPr="000F58D7">
        <w:rPr>
          <w:rFonts w:eastAsiaTheme="minorHAnsi"/>
        </w:rPr>
        <w:t xml:space="preserve"> here.</w:t>
      </w:r>
      <w:r>
        <w:rPr>
          <w:rFonts w:eastAsiaTheme="minorHAnsi"/>
        </w:rPr>
        <w:t xml:space="preserve"> </w:t>
      </w:r>
      <w:r w:rsidRPr="000F58D7">
        <w:rPr>
          <w:rFonts w:eastAsiaTheme="minorHAnsi"/>
        </w:rPr>
        <w:t>It’s big. Some of the important places, we’ve got a lot of sacred sites around here. These old people worry about that. Some people, they're just going anywhere, creating roads and stuff.</w:t>
      </w:r>
      <w:r>
        <w:rPr>
          <w:rFonts w:eastAsiaTheme="minorHAnsi"/>
        </w:rPr>
        <w:t xml:space="preserve"> </w:t>
      </w:r>
      <w:r w:rsidRPr="000F58D7">
        <w:rPr>
          <w:rFonts w:eastAsiaTheme="minorHAnsi"/>
        </w:rPr>
        <w:t xml:space="preserve">Why I know about this </w:t>
      </w:r>
      <w:r>
        <w:rPr>
          <w:rFonts w:eastAsiaTheme="minorHAnsi"/>
        </w:rPr>
        <w:t>Country</w:t>
      </w:r>
      <w:r w:rsidRPr="000F58D7">
        <w:rPr>
          <w:rFonts w:eastAsiaTheme="minorHAnsi"/>
        </w:rPr>
        <w:t xml:space="preserve"> with sacred places, I’ve been with my grandmother and my husband with his grandmother. He tells me not to go there; don’t take kids to that area. </w:t>
      </w:r>
      <w:r w:rsidR="00EB0283">
        <w:rPr>
          <w:rFonts w:eastAsiaTheme="minorHAnsi"/>
        </w:rPr>
        <w:tab/>
      </w:r>
      <w:r>
        <w:rPr>
          <w:rFonts w:eastAsiaTheme="minorHAnsi"/>
        </w:rPr>
        <w:t xml:space="preserve">(Cultural </w:t>
      </w:r>
      <w:r w:rsidR="000A1E31">
        <w:rPr>
          <w:rFonts w:eastAsiaTheme="minorHAnsi"/>
        </w:rPr>
        <w:t>advisor group</w:t>
      </w:r>
      <w:r>
        <w:rPr>
          <w:rFonts w:eastAsiaTheme="minorHAnsi"/>
        </w:rPr>
        <w:t>)</w:t>
      </w:r>
    </w:p>
    <w:p w14:paraId="01BE1977" w14:textId="77777777" w:rsidR="00DB6F74" w:rsidRDefault="00DB6F74" w:rsidP="00DB6F74">
      <w:pPr>
        <w:pStyle w:val="Text"/>
      </w:pPr>
      <w:r>
        <w:t xml:space="preserve">To reinforce the significance of the </w:t>
      </w:r>
      <w:r w:rsidR="000A1E31">
        <w:t xml:space="preserve">elders’ </w:t>
      </w:r>
      <w:r>
        <w:t xml:space="preserve">cultural knowledge to </w:t>
      </w:r>
      <w:proofErr w:type="spellStart"/>
      <w:r>
        <w:t>Karajarri</w:t>
      </w:r>
      <w:proofErr w:type="spellEnd"/>
      <w:r>
        <w:t xml:space="preserve"> </w:t>
      </w:r>
      <w:r w:rsidR="00EB0283">
        <w:t>Ranger Training, we elaborate on the term</w:t>
      </w:r>
      <w:r>
        <w:t xml:space="preserve"> </w:t>
      </w:r>
      <w:r w:rsidR="000A1E31">
        <w:t>‘</w:t>
      </w:r>
      <w:r>
        <w:t>Country</w:t>
      </w:r>
      <w:r w:rsidR="000A1E31">
        <w:t>’</w:t>
      </w:r>
      <w:r>
        <w:t xml:space="preserve">, which in the Kimberley is used in a different way </w:t>
      </w:r>
      <w:r w:rsidR="00EB0283">
        <w:t xml:space="preserve">from the standard </w:t>
      </w:r>
      <w:r>
        <w:t xml:space="preserve">English understanding of the word. In this </w:t>
      </w:r>
      <w:r w:rsidR="00C03A2A">
        <w:t>report,</w:t>
      </w:r>
      <w:r>
        <w:t xml:space="preserve"> Country (spelled </w:t>
      </w:r>
      <w:proofErr w:type="spellStart"/>
      <w:r w:rsidRPr="00ED43C0">
        <w:rPr>
          <w:i/>
        </w:rPr>
        <w:t>kandri</w:t>
      </w:r>
      <w:proofErr w:type="spellEnd"/>
      <w:r>
        <w:t xml:space="preserve"> in Kriol</w:t>
      </w:r>
      <w:r>
        <w:rPr>
          <w:rStyle w:val="FootnoteReference"/>
          <w:rFonts w:cs="Arial"/>
        </w:rPr>
        <w:footnoteReference w:id="3"/>
      </w:r>
      <w:r>
        <w:t xml:space="preserve"> contexts) carries Aboriginal meanings about the relationship between people and place. By comparison</w:t>
      </w:r>
      <w:r w:rsidR="00EB0283">
        <w:t xml:space="preserve">, </w:t>
      </w:r>
      <w:r>
        <w:t>in English the word ‘</w:t>
      </w:r>
      <w:r w:rsidR="00EB0283">
        <w:t>c</w:t>
      </w:r>
      <w:r w:rsidR="00971CEF">
        <w:t>ountry</w:t>
      </w:r>
      <w:r>
        <w:t xml:space="preserve">’ refers to </w:t>
      </w:r>
      <w:r w:rsidR="00EB0283">
        <w:t xml:space="preserve">the </w:t>
      </w:r>
      <w:r>
        <w:t>land itself</w:t>
      </w:r>
      <w:r w:rsidR="00EB0283">
        <w:t>,</w:t>
      </w:r>
      <w:r>
        <w:t xml:space="preserve"> irrespective of hu</w:t>
      </w:r>
      <w:r w:rsidR="000A1E31">
        <w:t>man activities in the landscape. I</w:t>
      </w:r>
      <w:r>
        <w:t>n Aboriginal languages</w:t>
      </w:r>
      <w:r w:rsidR="000A1E31">
        <w:t>,</w:t>
      </w:r>
      <w:r>
        <w:t xml:space="preserve"> people are understood to be in inalienable, mutually supportive relationships of care an</w:t>
      </w:r>
      <w:r w:rsidR="000A1E31">
        <w:t>d nurturing with the land;</w:t>
      </w:r>
      <w:r>
        <w:t xml:space="preserve"> Country is seen to be alive with spirit and soul; wholesome and reciprocally responsive with human and more-than-human animals. As such, stories, songs and rituals can explain and be explained by landscapes, and need to be cared for by highly qualified elders who are cultural knowledge-keepers. </w:t>
      </w:r>
    </w:p>
    <w:p w14:paraId="01BE1978" w14:textId="77777777" w:rsidR="00DB6F74" w:rsidRDefault="00DB6F74" w:rsidP="00DB6F74">
      <w:pPr>
        <w:pStyle w:val="Text"/>
      </w:pPr>
      <w:r>
        <w:t>Hence</w:t>
      </w:r>
      <w:r w:rsidR="00EB0283">
        <w:t>, the immutable people—place relationships</w:t>
      </w:r>
      <w:r>
        <w:t xml:space="preserve"> and the status of the elders </w:t>
      </w:r>
      <w:r w:rsidR="000A1E31">
        <w:t xml:space="preserve">that </w:t>
      </w:r>
      <w:r w:rsidR="00EB0283">
        <w:t>are</w:t>
      </w:r>
      <w:r>
        <w:t xml:space="preserve"> so significant to this study. Bird-Rose uses the term ‘nourishing terrain’ to explain this understanding of Country </w:t>
      </w:r>
      <w:r>
        <w:rPr>
          <w:noProof/>
        </w:rPr>
        <w:t>(1996)</w:t>
      </w:r>
      <w:r>
        <w:t xml:space="preserve">. Young people acquire this cultural </w:t>
      </w:r>
      <w:r w:rsidR="00EB0283">
        <w:t>knowledge about Country slowly — formally and informally — over a life</w:t>
      </w:r>
      <w:r>
        <w:t>time, and rangers are often known to have considerable cultural knowledge by the time they enrol in courses. Their knowledge is recognised by other rangers, elders and the training coordinators</w:t>
      </w:r>
      <w:r w:rsidR="000A1E31">
        <w:t>,</w:t>
      </w:r>
      <w:r>
        <w:t xml:space="preserve"> as the following quote shows: </w:t>
      </w:r>
    </w:p>
    <w:p w14:paraId="01BE1979" w14:textId="77777777" w:rsidR="00DB6F74" w:rsidRPr="00054374" w:rsidRDefault="00DB6F74" w:rsidP="00DB6F74">
      <w:pPr>
        <w:pStyle w:val="Quote"/>
      </w:pPr>
      <w:r w:rsidRPr="00054374">
        <w:t xml:space="preserve">Because we know when they're out on </w:t>
      </w:r>
      <w:r>
        <w:t>Country</w:t>
      </w:r>
      <w:r w:rsidRPr="00054374">
        <w:t>, they also want to be the front person because they carry a lot of knowledge. They find out, they wait there patiently and find out a time where it’s right for them to share. It’s not just the coordinators teaching them, it’s vice versa; you learn from that too. Some of them are like walking libraries but they don’t know how to speak their mind. That’s why the relationship between rangers and coordinators and training people and service delivery, they need to feel that and it takes time. Once they get to that time, you’re probably amazed what they can deliver.</w:t>
      </w:r>
      <w:r w:rsidR="00EB0283">
        <w:tab/>
        <w:t>(Cultural a</w:t>
      </w:r>
      <w:r>
        <w:t>dvisor</w:t>
      </w:r>
      <w:r w:rsidR="000A1E31">
        <w:t xml:space="preserve"> group</w:t>
      </w:r>
      <w:r>
        <w:t>)</w:t>
      </w:r>
    </w:p>
    <w:p w14:paraId="01BE197A" w14:textId="77777777" w:rsidR="00DB6F74" w:rsidRDefault="00DB6F74" w:rsidP="007F3F0E">
      <w:pPr>
        <w:pStyle w:val="Heading5"/>
      </w:pPr>
      <w:r>
        <w:t xml:space="preserve">Rangers as </w:t>
      </w:r>
      <w:r w:rsidR="009D0DA5">
        <w:t>knowledge h</w:t>
      </w:r>
      <w:r w:rsidR="00EB0283">
        <w:t>olders: b</w:t>
      </w:r>
      <w:r>
        <w:t>oth-</w:t>
      </w:r>
      <w:r w:rsidR="009D0DA5">
        <w:t>w</w:t>
      </w:r>
      <w:r>
        <w:t xml:space="preserve">ays </w:t>
      </w:r>
      <w:r w:rsidR="009D0DA5">
        <w:t>l</w:t>
      </w:r>
      <w:r>
        <w:t>earning</w:t>
      </w:r>
    </w:p>
    <w:p w14:paraId="01BE197B" w14:textId="77777777" w:rsidR="00DB6F74" w:rsidRDefault="00DB6F74" w:rsidP="00DB6F74">
      <w:pPr>
        <w:pStyle w:val="Text"/>
      </w:pPr>
      <w:r>
        <w:t>Of significance in this study about training models is the fact that the rangers are recognised by the TAFE teachers and e</w:t>
      </w:r>
      <w:r w:rsidR="00EB0283">
        <w:t xml:space="preserve">ducation providers as knowledge </w:t>
      </w:r>
      <w:r>
        <w:t xml:space="preserve">holders about Country. They </w:t>
      </w:r>
      <w:r w:rsidR="00C03A2A">
        <w:t>can</w:t>
      </w:r>
      <w:r>
        <w:t xml:space="preserve"> lead and teach, as </w:t>
      </w:r>
      <w:r w:rsidR="00EB0283">
        <w:t>well as follow and learn. In a Western society, which</w:t>
      </w:r>
      <w:r>
        <w:t xml:space="preserve"> is replete with reference to the deficit model of Aboriginal people and the education system, this position is powerful in the learning outcomes that the rangers thus achieve. The following vignette illustrates this from a cultural advisor perspective: </w:t>
      </w:r>
    </w:p>
    <w:p w14:paraId="01BE197C" w14:textId="77777777" w:rsidR="00DB6F74" w:rsidRDefault="00DB6F74" w:rsidP="00DB6F74">
      <w:pPr>
        <w:pStyle w:val="Quote"/>
        <w:rPr>
          <w:rFonts w:eastAsiaTheme="minorHAnsi"/>
        </w:rPr>
      </w:pPr>
      <w:r w:rsidRPr="007220CD">
        <w:rPr>
          <w:rFonts w:eastAsiaTheme="minorHAnsi"/>
        </w:rPr>
        <w:t>A lot of our rangers have knowledge culturally. Getting the skills and understanding of</w:t>
      </w:r>
      <w:r>
        <w:rPr>
          <w:rFonts w:eastAsiaTheme="minorHAnsi"/>
        </w:rPr>
        <w:t xml:space="preserve"> how land management works both-</w:t>
      </w:r>
      <w:r w:rsidRPr="007220CD">
        <w:rPr>
          <w:rFonts w:eastAsiaTheme="minorHAnsi"/>
        </w:rPr>
        <w:t xml:space="preserve">ways is very important and getting them to understand when they're going out bush, they know what you can do and some of the stuff, they’ve got the skills to learn from traditionally and the skills that they can work in with some of the </w:t>
      </w:r>
      <w:proofErr w:type="spellStart"/>
      <w:r w:rsidRPr="00A3563E">
        <w:rPr>
          <w:rFonts w:eastAsiaTheme="minorHAnsi"/>
          <w:i/>
        </w:rPr>
        <w:t>kardiya</w:t>
      </w:r>
      <w:proofErr w:type="spellEnd"/>
      <w:r w:rsidRPr="007220CD">
        <w:rPr>
          <w:rFonts w:eastAsiaTheme="minorHAnsi"/>
        </w:rPr>
        <w:t xml:space="preserve"> skills that come with that.</w:t>
      </w:r>
      <w:r w:rsidR="00EB0283">
        <w:rPr>
          <w:rFonts w:eastAsiaTheme="minorHAnsi"/>
        </w:rPr>
        <w:tab/>
        <w:t>(Cultural a</w:t>
      </w:r>
      <w:r>
        <w:rPr>
          <w:rFonts w:eastAsiaTheme="minorHAnsi"/>
        </w:rPr>
        <w:t>dvisor group)</w:t>
      </w:r>
    </w:p>
    <w:p w14:paraId="01BE197D" w14:textId="77777777" w:rsidR="00DB6F74" w:rsidRPr="001114C7" w:rsidRDefault="00DB6F74" w:rsidP="00DB6F74">
      <w:r>
        <w:rPr>
          <w:rFonts w:cs="Arial"/>
        </w:rPr>
        <w:t>The education prov</w:t>
      </w:r>
      <w:r w:rsidR="00EB0283">
        <w:rPr>
          <w:rFonts w:cs="Arial"/>
        </w:rPr>
        <w:t xml:space="preserve">iders are regarded as knowledge </w:t>
      </w:r>
      <w:r w:rsidRPr="00871991">
        <w:rPr>
          <w:rFonts w:cs="Arial"/>
        </w:rPr>
        <w:t xml:space="preserve">holders about </w:t>
      </w:r>
      <w:proofErr w:type="spellStart"/>
      <w:r w:rsidRPr="00871991">
        <w:rPr>
          <w:rFonts w:cs="Arial"/>
          <w:i/>
        </w:rPr>
        <w:t>kardiya</w:t>
      </w:r>
      <w:proofErr w:type="spellEnd"/>
      <w:r w:rsidRPr="00871991">
        <w:rPr>
          <w:rFonts w:cs="Arial"/>
        </w:rPr>
        <w:t xml:space="preserve"> way, and</w:t>
      </w:r>
      <w:r>
        <w:rPr>
          <w:rFonts w:cs="Arial"/>
        </w:rPr>
        <w:t xml:space="preserve"> it is acknowledged by everyone that the rangers need ‘both-ways’ knowledge to succeed as rangers.</w:t>
      </w:r>
    </w:p>
    <w:p w14:paraId="01BE197E" w14:textId="77777777" w:rsidR="00DB6F74" w:rsidRDefault="00C03A2A" w:rsidP="007F3F0E">
      <w:pPr>
        <w:pStyle w:val="Heading5"/>
      </w:pPr>
      <w:r>
        <w:t>Education p</w:t>
      </w:r>
      <w:r w:rsidR="00DB6F74">
        <w:t xml:space="preserve">roviders as </w:t>
      </w:r>
      <w:r>
        <w:t>l</w:t>
      </w:r>
      <w:r w:rsidR="00343672">
        <w:t>earners: t</w:t>
      </w:r>
      <w:r w:rsidR="00DB6F74">
        <w:t>wo-</w:t>
      </w:r>
      <w:r>
        <w:t>w</w:t>
      </w:r>
      <w:r w:rsidR="00DB6F74">
        <w:t xml:space="preserve">ay </w:t>
      </w:r>
      <w:r>
        <w:t>l</w:t>
      </w:r>
      <w:r w:rsidR="00DB6F74">
        <w:t>earning</w:t>
      </w:r>
    </w:p>
    <w:p w14:paraId="01BE197F" w14:textId="77777777" w:rsidR="00DB6F74" w:rsidRPr="00814A8C" w:rsidRDefault="00DB6F74" w:rsidP="00DB6F74">
      <w:pPr>
        <w:pStyle w:val="Text"/>
      </w:pPr>
      <w:r>
        <w:t xml:space="preserve">For this </w:t>
      </w:r>
      <w:r w:rsidR="00C03A2A">
        <w:t>reason,</w:t>
      </w:r>
      <w:r>
        <w:t xml:space="preserve"> it is important that the education providers acknowledge that they also have much to learn from the rangers and elders</w:t>
      </w:r>
      <w:r w:rsidR="00EB0283">
        <w:t>,</w:t>
      </w:r>
      <w:r>
        <w:t xml:space="preserve"> whether they are out on Country or in </w:t>
      </w:r>
      <w:proofErr w:type="spellStart"/>
      <w:r>
        <w:t>Bidyadanga</w:t>
      </w:r>
      <w:proofErr w:type="spellEnd"/>
      <w:r>
        <w:t xml:space="preserve"> community itself </w:t>
      </w:r>
      <w:r w:rsidRPr="00554847">
        <w:t xml:space="preserve">for training, and </w:t>
      </w:r>
      <w:r>
        <w:t>that the education providers</w:t>
      </w:r>
      <w:r w:rsidRPr="00554847">
        <w:t xml:space="preserve"> go on </w:t>
      </w:r>
      <w:r>
        <w:t>Country</w:t>
      </w:r>
      <w:r w:rsidRPr="00554847">
        <w:t xml:space="preserve"> to learn as well</w:t>
      </w:r>
      <w:r w:rsidR="00EB0283">
        <w:t xml:space="preserve"> is appreciated by all</w:t>
      </w:r>
      <w:r w:rsidRPr="00554847">
        <w:t>, as reflected in this quote:</w:t>
      </w:r>
    </w:p>
    <w:p w14:paraId="01BE1980" w14:textId="77777777" w:rsidR="00DB6F74" w:rsidRPr="007220CD" w:rsidRDefault="00EB0283" w:rsidP="00DB6F74">
      <w:pPr>
        <w:pStyle w:val="Quote"/>
        <w:rPr>
          <w:rFonts w:eastAsiaTheme="minorHAnsi"/>
        </w:rPr>
      </w:pPr>
      <w:r>
        <w:rPr>
          <w:rFonts w:eastAsiaTheme="minorHAnsi"/>
        </w:rPr>
        <w:t>[Education p</w:t>
      </w:r>
      <w:r w:rsidR="00DB6F74">
        <w:rPr>
          <w:rFonts w:eastAsiaTheme="minorHAnsi"/>
        </w:rPr>
        <w:t xml:space="preserve">roviders] </w:t>
      </w:r>
      <w:r w:rsidR="00DB6F74" w:rsidRPr="007220CD">
        <w:rPr>
          <w:rFonts w:eastAsiaTheme="minorHAnsi"/>
        </w:rPr>
        <w:t xml:space="preserve">also getting an understanding of what some of the stuff, the issues they’ve got here that we’re dealing with, you know, on </w:t>
      </w:r>
      <w:r w:rsidR="00DB6F74">
        <w:rPr>
          <w:rFonts w:eastAsiaTheme="minorHAnsi"/>
        </w:rPr>
        <w:t>Country</w:t>
      </w:r>
      <w:r w:rsidR="00DB6F74" w:rsidRPr="007220CD">
        <w:rPr>
          <w:rFonts w:eastAsiaTheme="minorHAnsi"/>
        </w:rPr>
        <w:t xml:space="preserve">. It’s good for them to come out and go on </w:t>
      </w:r>
      <w:r w:rsidR="00DB6F74">
        <w:rPr>
          <w:rFonts w:eastAsiaTheme="minorHAnsi"/>
        </w:rPr>
        <w:t>Country</w:t>
      </w:r>
      <w:r w:rsidR="00DB6F74" w:rsidRPr="007220CD">
        <w:rPr>
          <w:rFonts w:eastAsiaTheme="minorHAnsi"/>
        </w:rPr>
        <w:t xml:space="preserve">. I think it’s very important to come out and go on </w:t>
      </w:r>
      <w:r w:rsidR="00DB6F74">
        <w:rPr>
          <w:rFonts w:eastAsiaTheme="minorHAnsi"/>
        </w:rPr>
        <w:t>Country</w:t>
      </w:r>
      <w:r w:rsidR="00DB6F74" w:rsidRPr="007220CD">
        <w:rPr>
          <w:rFonts w:eastAsiaTheme="minorHAnsi"/>
        </w:rPr>
        <w:t xml:space="preserve">. If there are things they want to do here, it’s very important for the trainers to actually come out here and see what our trainers do for their </w:t>
      </w:r>
      <w:r w:rsidR="00DB6F74">
        <w:rPr>
          <w:rFonts w:eastAsiaTheme="minorHAnsi"/>
        </w:rPr>
        <w:t>Country</w:t>
      </w:r>
      <w:r w:rsidR="00DB6F74" w:rsidRPr="007220CD">
        <w:rPr>
          <w:rFonts w:eastAsiaTheme="minorHAnsi"/>
        </w:rPr>
        <w:t>.</w:t>
      </w:r>
      <w:r>
        <w:rPr>
          <w:rFonts w:eastAsiaTheme="minorHAnsi"/>
        </w:rPr>
        <w:tab/>
        <w:t>(Cultural a</w:t>
      </w:r>
      <w:r w:rsidR="00DB6F74">
        <w:rPr>
          <w:rFonts w:eastAsiaTheme="minorHAnsi"/>
        </w:rPr>
        <w:t>dvisor group)</w:t>
      </w:r>
    </w:p>
    <w:p w14:paraId="01BE1981" w14:textId="77777777" w:rsidR="00DB6F74" w:rsidRDefault="00EB0283" w:rsidP="00DB6F74">
      <w:pPr>
        <w:pStyle w:val="Text"/>
      </w:pPr>
      <w:r>
        <w:t>The data have</w:t>
      </w:r>
      <w:r w:rsidR="00DB6F74">
        <w:t xml:space="preserve"> many references to two-way learning</w:t>
      </w:r>
      <w:r>
        <w:t>,</w:t>
      </w:r>
      <w:r w:rsidR="00DB6F74">
        <w:t xml:space="preserve"> in the sense that both the education providers and the rangers are </w:t>
      </w:r>
      <w:r w:rsidR="000A1E31">
        <w:t>simultaneously</w:t>
      </w:r>
      <w:r w:rsidR="00DB6F74">
        <w:t xml:space="preserve"> learners and teachers, learning from and with each other. </w:t>
      </w:r>
      <w:r w:rsidR="000A1E31">
        <w:t>However, l</w:t>
      </w:r>
      <w:r>
        <w:t>earning two sets of knowledge — both-ways learning —</w:t>
      </w:r>
      <w:r w:rsidR="00DB6F74">
        <w:t xml:space="preserve"> is </w:t>
      </w:r>
      <w:r w:rsidR="00DB6F74" w:rsidRPr="00814A8C">
        <w:t xml:space="preserve">not </w:t>
      </w:r>
      <w:r w:rsidR="00DB6F74">
        <w:t xml:space="preserve">always </w:t>
      </w:r>
      <w:r w:rsidR="00DB6F74" w:rsidRPr="00814A8C">
        <w:t>easy for the rangers</w:t>
      </w:r>
      <w:r w:rsidR="00343672">
        <w:t>,</w:t>
      </w:r>
      <w:r w:rsidR="00DB6F74">
        <w:t xml:space="preserve"> </w:t>
      </w:r>
      <w:r w:rsidR="00DB6F74" w:rsidRPr="00814A8C">
        <w:t xml:space="preserve">many of whom have </w:t>
      </w:r>
      <w:r w:rsidR="00DB6F74">
        <w:t>taken some time to arrive at a</w:t>
      </w:r>
      <w:r w:rsidR="00DB6F74" w:rsidRPr="00814A8C">
        <w:t xml:space="preserve"> position of </w:t>
      </w:r>
      <w:r w:rsidR="00DB6F74" w:rsidRPr="00554847">
        <w:t>open-minded learner, as is reflected here:</w:t>
      </w:r>
      <w:r w:rsidR="00DB6F74">
        <w:t xml:space="preserve"> </w:t>
      </w:r>
    </w:p>
    <w:p w14:paraId="01BE1982" w14:textId="77777777" w:rsidR="00DB6F74" w:rsidRPr="00871991" w:rsidRDefault="00DB6F74" w:rsidP="00DB6F74">
      <w:pPr>
        <w:pStyle w:val="Quote"/>
        <w:rPr>
          <w:rFonts w:ascii="Calibri" w:eastAsiaTheme="minorHAnsi" w:hAnsi="Calibri" w:cs="Calibri"/>
          <w:szCs w:val="22"/>
        </w:rPr>
      </w:pPr>
      <w:r w:rsidRPr="00814A8C">
        <w:rPr>
          <w:rFonts w:eastAsiaTheme="minorHAnsi"/>
        </w:rPr>
        <w:t>He knew the land and he was, he had his own diploma</w:t>
      </w:r>
      <w:r>
        <w:rPr>
          <w:rFonts w:eastAsiaTheme="minorHAnsi"/>
        </w:rPr>
        <w:t>; advanced diploma, naturally, b</w:t>
      </w:r>
      <w:r w:rsidRPr="00814A8C">
        <w:rPr>
          <w:rFonts w:eastAsiaTheme="minorHAnsi"/>
        </w:rPr>
        <w:t xml:space="preserve">y acknowledging </w:t>
      </w:r>
      <w:r>
        <w:rPr>
          <w:rFonts w:eastAsiaTheme="minorHAnsi"/>
        </w:rPr>
        <w:t>Country</w:t>
      </w:r>
      <w:r w:rsidRPr="00814A8C">
        <w:rPr>
          <w:rFonts w:eastAsiaTheme="minorHAnsi"/>
        </w:rPr>
        <w:t xml:space="preserve">. That was his training and that was his way. It was the </w:t>
      </w:r>
      <w:proofErr w:type="spellStart"/>
      <w:r w:rsidRPr="00814A8C">
        <w:rPr>
          <w:rFonts w:eastAsiaTheme="minorHAnsi"/>
        </w:rPr>
        <w:t>Karajarri</w:t>
      </w:r>
      <w:proofErr w:type="spellEnd"/>
      <w:r w:rsidRPr="00814A8C">
        <w:rPr>
          <w:rFonts w:eastAsiaTheme="minorHAnsi"/>
        </w:rPr>
        <w:t xml:space="preserve"> way. He didn’t know </w:t>
      </w:r>
      <w:r w:rsidRPr="00871991">
        <w:rPr>
          <w:rFonts w:eastAsiaTheme="minorHAnsi"/>
        </w:rPr>
        <w:t xml:space="preserve">about the TAFE and other training coming in from Broome town to actually train him to do [both-way] learning. He had to build up a relationship to try and share, to find new skills of different ways, the </w:t>
      </w:r>
      <w:proofErr w:type="spellStart"/>
      <w:r w:rsidRPr="00871991">
        <w:rPr>
          <w:rFonts w:eastAsiaTheme="minorHAnsi"/>
          <w:i/>
        </w:rPr>
        <w:t>kardiya</w:t>
      </w:r>
      <w:proofErr w:type="spellEnd"/>
      <w:r w:rsidR="00343672" w:rsidRPr="00871991">
        <w:rPr>
          <w:rFonts w:eastAsiaTheme="minorHAnsi"/>
        </w:rPr>
        <w:t xml:space="preserve"> way and the </w:t>
      </w:r>
      <w:proofErr w:type="spellStart"/>
      <w:r w:rsidR="00343672" w:rsidRPr="00871991">
        <w:rPr>
          <w:rFonts w:eastAsiaTheme="minorHAnsi"/>
        </w:rPr>
        <w:t>black</w:t>
      </w:r>
      <w:r w:rsidRPr="00871991">
        <w:rPr>
          <w:rFonts w:eastAsiaTheme="minorHAnsi"/>
        </w:rPr>
        <w:t>fellow</w:t>
      </w:r>
      <w:proofErr w:type="spellEnd"/>
      <w:r w:rsidRPr="00871991">
        <w:rPr>
          <w:rFonts w:eastAsiaTheme="minorHAnsi"/>
        </w:rPr>
        <w:t xml:space="preserve"> way. He was a little bit headstrong, you know? Sometimes he was very stubborn and not going through the </w:t>
      </w:r>
      <w:proofErr w:type="spellStart"/>
      <w:r w:rsidRPr="00871991">
        <w:rPr>
          <w:rFonts w:eastAsiaTheme="minorHAnsi"/>
          <w:i/>
        </w:rPr>
        <w:t>kardiya</w:t>
      </w:r>
      <w:proofErr w:type="spellEnd"/>
      <w:r w:rsidRPr="00871991">
        <w:rPr>
          <w:rFonts w:eastAsiaTheme="minorHAnsi"/>
        </w:rPr>
        <w:t xml:space="preserve"> </w:t>
      </w:r>
      <w:r w:rsidRPr="00871991">
        <w:rPr>
          <w:rFonts w:eastAsiaTheme="minorHAnsi" w:cs="Arial"/>
        </w:rPr>
        <w:t xml:space="preserve">way. It took him a long time to eventually understand this [both-way] learning. </w:t>
      </w:r>
      <w:r w:rsidRPr="00871991">
        <w:rPr>
          <w:rFonts w:eastAsiaTheme="minorHAnsi" w:cs="Arial"/>
          <w:szCs w:val="22"/>
        </w:rPr>
        <w:t>I think in his mind, he wanted his skills to be recognised.</w:t>
      </w:r>
      <w:r w:rsidR="00343672" w:rsidRPr="00871991">
        <w:rPr>
          <w:rFonts w:eastAsiaTheme="minorHAnsi" w:cs="Arial"/>
          <w:szCs w:val="22"/>
        </w:rPr>
        <w:tab/>
      </w:r>
      <w:r w:rsidRPr="00871991">
        <w:rPr>
          <w:rFonts w:eastAsiaTheme="minorHAnsi" w:cs="Arial"/>
          <w:szCs w:val="22"/>
        </w:rPr>
        <w:t xml:space="preserve"> </w:t>
      </w:r>
      <w:r w:rsidRPr="00871991">
        <w:rPr>
          <w:rFonts w:eastAsiaTheme="minorHAnsi"/>
        </w:rPr>
        <w:t xml:space="preserve">(Cultural </w:t>
      </w:r>
      <w:r w:rsidR="00343672" w:rsidRPr="00871991">
        <w:rPr>
          <w:rFonts w:eastAsiaTheme="minorHAnsi"/>
        </w:rPr>
        <w:t>advisor group</w:t>
      </w:r>
      <w:r w:rsidRPr="00871991">
        <w:rPr>
          <w:rFonts w:eastAsiaTheme="minorHAnsi"/>
        </w:rPr>
        <w:t>)</w:t>
      </w:r>
    </w:p>
    <w:p w14:paraId="01BE1983" w14:textId="77777777" w:rsidR="00DB6F74" w:rsidRPr="00871991" w:rsidRDefault="00343672" w:rsidP="00DB6F74">
      <w:pPr>
        <w:pStyle w:val="Text"/>
      </w:pPr>
      <w:r w:rsidRPr="00871991">
        <w:t>This acknowledg</w:t>
      </w:r>
      <w:r w:rsidR="00DB6F74" w:rsidRPr="00871991">
        <w:t>ment of two-way learning was not always valued in the early days of the program by the education providers, with some rangers and elders expressing their frustration to this. An example below illustrates this perspective:</w:t>
      </w:r>
    </w:p>
    <w:p w14:paraId="01BE1984" w14:textId="77777777" w:rsidR="00DB6F74" w:rsidRPr="009F3C43" w:rsidRDefault="00DB6F74" w:rsidP="00DB6F74">
      <w:pPr>
        <w:pStyle w:val="Quote"/>
        <w:rPr>
          <w:rFonts w:ascii="Calibri" w:eastAsiaTheme="minorHAnsi" w:hAnsi="Calibri" w:cs="Calibri"/>
          <w:szCs w:val="22"/>
        </w:rPr>
      </w:pPr>
      <w:r w:rsidRPr="00871991">
        <w:rPr>
          <w:rFonts w:eastAsiaTheme="minorHAnsi"/>
        </w:rPr>
        <w:t xml:space="preserve">As a cultural land manager, </w:t>
      </w:r>
      <w:r w:rsidR="00C03A2A" w:rsidRPr="00871991">
        <w:rPr>
          <w:rFonts w:eastAsiaTheme="minorHAnsi"/>
        </w:rPr>
        <w:t>it’s</w:t>
      </w:r>
      <w:r w:rsidRPr="00871991">
        <w:rPr>
          <w:rFonts w:eastAsiaTheme="minorHAnsi"/>
        </w:rPr>
        <w:t xml:space="preserve"> part of our tradition, doing cultural land management before there was any ranger program. We were doing it naturally. He’s been doing it naturally. For myself, when I was studying to be a ranger, I had to do Aboriginal land management, you know? I didn’t really like to do it </w:t>
      </w:r>
      <w:r w:rsidRPr="00871991">
        <w:rPr>
          <w:rFonts w:eastAsiaTheme="minorHAnsi" w:cs="Arial"/>
        </w:rPr>
        <w:t xml:space="preserve">because it was talking about my skills, my cultural skills that I have to tick a box for. I didn’t find it appropriate for me, you know? We needed to recognise his skills, not the </w:t>
      </w:r>
      <w:proofErr w:type="spellStart"/>
      <w:r w:rsidRPr="00871991">
        <w:rPr>
          <w:rFonts w:eastAsiaTheme="minorHAnsi" w:cs="Arial"/>
          <w:i/>
        </w:rPr>
        <w:t>kardiya</w:t>
      </w:r>
      <w:proofErr w:type="spellEnd"/>
      <w:r w:rsidRPr="00871991">
        <w:rPr>
          <w:rFonts w:eastAsiaTheme="minorHAnsi" w:cs="Arial"/>
        </w:rPr>
        <w:t xml:space="preserve"> skills. </w:t>
      </w:r>
      <w:r w:rsidRPr="00871991">
        <w:rPr>
          <w:rFonts w:eastAsiaTheme="minorHAnsi" w:cs="Arial"/>
          <w:szCs w:val="22"/>
        </w:rPr>
        <w:t>You know what I mean? We’re always</w:t>
      </w:r>
      <w:r w:rsidRPr="009F3C43">
        <w:rPr>
          <w:rFonts w:eastAsiaTheme="minorHAnsi" w:cs="Arial"/>
          <w:szCs w:val="22"/>
        </w:rPr>
        <w:t xml:space="preserve"> the subject first before the other way around</w:t>
      </w:r>
      <w:r w:rsidR="00343672">
        <w:rPr>
          <w:rFonts w:eastAsiaTheme="minorHAnsi" w:cs="Arial"/>
          <w:szCs w:val="22"/>
        </w:rPr>
        <w:t>.</w:t>
      </w:r>
      <w:r w:rsidR="00343672">
        <w:rPr>
          <w:rFonts w:eastAsiaTheme="minorHAnsi" w:cs="Arial"/>
          <w:szCs w:val="22"/>
        </w:rPr>
        <w:tab/>
      </w:r>
      <w:r>
        <w:rPr>
          <w:rFonts w:eastAsiaTheme="minorHAnsi" w:cs="Arial"/>
          <w:szCs w:val="22"/>
        </w:rPr>
        <w:t xml:space="preserve">(Cultural </w:t>
      </w:r>
      <w:r w:rsidR="00343672">
        <w:rPr>
          <w:rFonts w:eastAsiaTheme="minorHAnsi" w:cs="Arial"/>
          <w:szCs w:val="22"/>
        </w:rPr>
        <w:t>advisor group</w:t>
      </w:r>
      <w:r>
        <w:rPr>
          <w:rFonts w:eastAsiaTheme="minorHAnsi" w:cs="Arial"/>
          <w:szCs w:val="22"/>
        </w:rPr>
        <w:t>)</w:t>
      </w:r>
    </w:p>
    <w:p w14:paraId="01BE1985" w14:textId="77777777" w:rsidR="00DB6F74" w:rsidRPr="00FC4220" w:rsidRDefault="00DB6F74" w:rsidP="00DB6F74">
      <w:pPr>
        <w:pStyle w:val="Text"/>
      </w:pPr>
      <w:r>
        <w:t>This has changed substantially</w:t>
      </w:r>
      <w:r w:rsidR="00343672">
        <w:t xml:space="preserve"> over the last decade and today</w:t>
      </w:r>
      <w:r w:rsidRPr="000F67C1">
        <w:t xml:space="preserve"> cultural knowledge in the rangers is acknowledged and respected by the education providers. </w:t>
      </w:r>
    </w:p>
    <w:p w14:paraId="01BE1986" w14:textId="77777777" w:rsidR="00DB6F74" w:rsidRDefault="00DB6F74" w:rsidP="007F3F0E">
      <w:pPr>
        <w:pStyle w:val="Heading5"/>
      </w:pPr>
      <w:r>
        <w:t xml:space="preserve">Peer </w:t>
      </w:r>
      <w:r w:rsidR="009D0DA5">
        <w:t>l</w:t>
      </w:r>
      <w:r>
        <w:t>earning</w:t>
      </w:r>
    </w:p>
    <w:p w14:paraId="01BE1987" w14:textId="77777777" w:rsidR="00DB6F74" w:rsidRDefault="00DB6F74" w:rsidP="00DB6F74">
      <w:pPr>
        <w:pStyle w:val="Text"/>
      </w:pPr>
      <w:r>
        <w:t>The importance of peer learning was described in eac</w:t>
      </w:r>
      <w:r w:rsidR="00343672">
        <w:t>h data</w:t>
      </w:r>
      <w:r>
        <w:t>set and</w:t>
      </w:r>
      <w:r w:rsidR="00343672">
        <w:t>,</w:t>
      </w:r>
      <w:r>
        <w:t xml:space="preserve"> in the case of the </w:t>
      </w:r>
      <w:proofErr w:type="spellStart"/>
      <w:r>
        <w:t>Karajarri</w:t>
      </w:r>
      <w:proofErr w:type="spellEnd"/>
      <w:r>
        <w:t xml:space="preserve"> rangers, peer learning is where more experienced rangers mentor junior rangers. The quotation below illustrates peer learning from an education provider point of view: </w:t>
      </w:r>
    </w:p>
    <w:p w14:paraId="01BE1988" w14:textId="77777777" w:rsidR="00DB6F74" w:rsidRPr="009F3C43" w:rsidRDefault="00DB6F74" w:rsidP="00343672">
      <w:pPr>
        <w:pStyle w:val="Quote"/>
        <w:rPr>
          <w:rFonts w:eastAsiaTheme="minorHAnsi"/>
        </w:rPr>
      </w:pPr>
      <w:r w:rsidRPr="009F3C43">
        <w:rPr>
          <w:rFonts w:eastAsiaTheme="minorHAnsi"/>
        </w:rPr>
        <w:t xml:space="preserve">Oh yeah, it definitely does, just hearing the same information, I hope it’s the same or very similar from different voices but very reassuring and just reinforces the safety aspects and also how to do it properly. It also, when they start to become mentors, they're also learning to be leaders as well. The fact that a lot of the </w:t>
      </w:r>
      <w:proofErr w:type="spellStart"/>
      <w:r w:rsidRPr="009F3C43">
        <w:rPr>
          <w:rFonts w:eastAsiaTheme="minorHAnsi"/>
        </w:rPr>
        <w:t>Karajarri</w:t>
      </w:r>
      <w:proofErr w:type="spellEnd"/>
      <w:r w:rsidRPr="009F3C43">
        <w:rPr>
          <w:rFonts w:eastAsiaTheme="minorHAnsi"/>
        </w:rPr>
        <w:t xml:space="preserve"> guys </w:t>
      </w:r>
      <w:r>
        <w:rPr>
          <w:rFonts w:eastAsiaTheme="minorHAnsi"/>
        </w:rPr>
        <w:t>…</w:t>
      </w:r>
      <w:r w:rsidRPr="009F3C43">
        <w:rPr>
          <w:rFonts w:eastAsiaTheme="minorHAnsi"/>
        </w:rPr>
        <w:t xml:space="preserve"> they do this </w:t>
      </w:r>
      <w:r w:rsidR="0073414E">
        <w:rPr>
          <w:rFonts w:eastAsiaTheme="minorHAnsi"/>
        </w:rPr>
        <w:t>certificate</w:t>
      </w:r>
      <w:r w:rsidRPr="009F3C43">
        <w:rPr>
          <w:rFonts w:eastAsiaTheme="minorHAnsi"/>
        </w:rPr>
        <w:t xml:space="preserve"> II, they do </w:t>
      </w:r>
      <w:r w:rsidR="0073414E">
        <w:rPr>
          <w:rFonts w:eastAsiaTheme="minorHAnsi"/>
        </w:rPr>
        <w:t>certificate</w:t>
      </w:r>
      <w:r w:rsidRPr="009F3C43">
        <w:rPr>
          <w:rFonts w:eastAsiaTheme="minorHAnsi"/>
        </w:rPr>
        <w:t xml:space="preserve"> III and they're up to abo</w:t>
      </w:r>
      <w:r w:rsidR="00343672">
        <w:rPr>
          <w:rFonts w:eastAsiaTheme="minorHAnsi"/>
        </w:rPr>
        <w:t xml:space="preserve">ut three and a half, four </w:t>
      </w:r>
      <w:proofErr w:type="spellStart"/>
      <w:r w:rsidR="00343672">
        <w:rPr>
          <w:rFonts w:eastAsiaTheme="minorHAnsi"/>
        </w:rPr>
        <w:t>years</w:t>
      </w:r>
      <w:r w:rsidRPr="009F3C43">
        <w:rPr>
          <w:rFonts w:eastAsiaTheme="minorHAnsi"/>
        </w:rPr>
        <w:t xml:space="preserve"> worth</w:t>
      </w:r>
      <w:proofErr w:type="spellEnd"/>
      <w:r w:rsidRPr="009F3C43">
        <w:rPr>
          <w:rFonts w:eastAsiaTheme="minorHAnsi"/>
        </w:rPr>
        <w:t xml:space="preserve"> of work. They’ve got the avenue or pathway to go into employment through KLC and just having that experience behind them allows the guys that are still doing their training as a pathway for them, moving forward.</w:t>
      </w:r>
      <w:r w:rsidR="00343672">
        <w:rPr>
          <w:rFonts w:eastAsiaTheme="minorHAnsi"/>
        </w:rPr>
        <w:tab/>
      </w:r>
      <w:r w:rsidR="00343672">
        <w:rPr>
          <w:rFonts w:eastAsiaTheme="minorHAnsi"/>
        </w:rPr>
        <w:tab/>
      </w:r>
      <w:r>
        <w:rPr>
          <w:rFonts w:eastAsiaTheme="minorHAnsi"/>
        </w:rPr>
        <w:t xml:space="preserve">(Education </w:t>
      </w:r>
      <w:r w:rsidR="00343672">
        <w:rPr>
          <w:rFonts w:eastAsiaTheme="minorHAnsi"/>
        </w:rPr>
        <w:t>provider group</w:t>
      </w:r>
      <w:r>
        <w:rPr>
          <w:rFonts w:eastAsiaTheme="minorHAnsi"/>
        </w:rPr>
        <w:t>)</w:t>
      </w:r>
    </w:p>
    <w:p w14:paraId="01BE1989" w14:textId="77777777" w:rsidR="00DB6F74" w:rsidRPr="00554847" w:rsidRDefault="00343672" w:rsidP="00DB6F74">
      <w:pPr>
        <w:pStyle w:val="Text"/>
      </w:pPr>
      <w:r>
        <w:t xml:space="preserve">In the </w:t>
      </w:r>
      <w:proofErr w:type="spellStart"/>
      <w:r>
        <w:t>Karajarri</w:t>
      </w:r>
      <w:proofErr w:type="spellEnd"/>
      <w:r>
        <w:t xml:space="preserve"> ranger case </w:t>
      </w:r>
      <w:r w:rsidR="00DB6F74">
        <w:t>study, p</w:t>
      </w:r>
      <w:r w:rsidR="00DB6F74" w:rsidRPr="009F3C43">
        <w:t xml:space="preserve">eer </w:t>
      </w:r>
      <w:r w:rsidR="00DB6F74" w:rsidRPr="00554847">
        <w:t>learning involves teaching by a more experienced mentor</w:t>
      </w:r>
      <w:r>
        <w:t>,</w:t>
      </w:r>
      <w:r w:rsidR="00DB6F74" w:rsidRPr="00554847">
        <w:t xml:space="preserve"> which supports the learner</w:t>
      </w:r>
      <w:r w:rsidR="00DB6F74">
        <w:t>,</w:t>
      </w:r>
      <w:r w:rsidR="00DB6F74" w:rsidRPr="00554847">
        <w:t xml:space="preserve"> as well as </w:t>
      </w:r>
      <w:r w:rsidR="00DB6F74">
        <w:t xml:space="preserve">learning by </w:t>
      </w:r>
      <w:r w:rsidR="00DB6F74" w:rsidRPr="00554847">
        <w:t>the mentor</w:t>
      </w:r>
      <w:r>
        <w:t>,</w:t>
      </w:r>
      <w:r w:rsidR="00DB6F74" w:rsidRPr="00554847">
        <w:t xml:space="preserve"> who </w:t>
      </w:r>
      <w:r w:rsidR="00C03A2A" w:rsidRPr="00554847">
        <w:t>can</w:t>
      </w:r>
      <w:r w:rsidR="00DB6F74" w:rsidRPr="00554847">
        <w:t xml:space="preserve"> review and revise information. A speaker in the men</w:t>
      </w:r>
      <w:r w:rsidR="00DB6F74">
        <w:t>’s</w:t>
      </w:r>
      <w:r w:rsidR="00DB6F74" w:rsidRPr="00554847">
        <w:t xml:space="preserve"> ranger focus group explained the advantages of peer learning and learning on-</w:t>
      </w:r>
      <w:r w:rsidR="00DB6F74">
        <w:t>Country</w:t>
      </w:r>
      <w:r w:rsidR="00DB6F74" w:rsidRPr="00554847">
        <w:t xml:space="preserve"> (</w:t>
      </w:r>
      <w:r w:rsidR="00DB6F74">
        <w:t xml:space="preserve">learning </w:t>
      </w:r>
      <w:r w:rsidR="00DB6F74" w:rsidRPr="00554847">
        <w:t>out of the classroom) this way:</w:t>
      </w:r>
    </w:p>
    <w:p w14:paraId="01BE198A" w14:textId="77777777" w:rsidR="00DB6F74" w:rsidRPr="009839E6" w:rsidRDefault="00DB6F74" w:rsidP="00DB6F74">
      <w:pPr>
        <w:pStyle w:val="Quote"/>
        <w:rPr>
          <w:rFonts w:eastAsiaTheme="minorHAnsi"/>
        </w:rPr>
      </w:pPr>
      <w:r w:rsidRPr="009839E6">
        <w:rPr>
          <w:rFonts w:eastAsiaTheme="minorHAnsi"/>
        </w:rPr>
        <w:t xml:space="preserve">When they're training you, you’re not allowed in the classroom doing it. You’re dozing off and you’re missing out on words. When you’re out there and they're showing you how to do it, you’re learning from the boys who were doing it before, they're showing </w:t>
      </w:r>
      <w:r w:rsidRPr="00A504C1">
        <w:rPr>
          <w:rFonts w:eastAsiaTheme="minorHAnsi"/>
        </w:rPr>
        <w:t>you</w:t>
      </w:r>
      <w:r w:rsidRPr="009839E6">
        <w:rPr>
          <w:rFonts w:eastAsiaTheme="minorHAnsi"/>
        </w:rPr>
        <w:t xml:space="preserve"> how and why to use something. It’s hard work.</w:t>
      </w:r>
      <w:r w:rsidR="00343672">
        <w:rPr>
          <w:rFonts w:eastAsiaTheme="minorHAnsi"/>
        </w:rPr>
        <w:tab/>
        <w:t>(Men r</w:t>
      </w:r>
      <w:r>
        <w:rPr>
          <w:rFonts w:eastAsiaTheme="minorHAnsi"/>
        </w:rPr>
        <w:t>anger group)</w:t>
      </w:r>
    </w:p>
    <w:p w14:paraId="01BE198C" w14:textId="77777777" w:rsidR="00DB6F74" w:rsidRPr="00343672" w:rsidRDefault="00DB6F74" w:rsidP="00A961ED">
      <w:pPr>
        <w:pStyle w:val="Text"/>
        <w:spacing w:after="240"/>
        <w:rPr>
          <w:rFonts w:cs="Arial"/>
        </w:rPr>
      </w:pPr>
      <w:r w:rsidRPr="00343672">
        <w:rPr>
          <w:rFonts w:cs="Arial"/>
        </w:rPr>
        <w:t xml:space="preserve">Thus, peer learning is a vital part of the </w:t>
      </w:r>
      <w:proofErr w:type="spellStart"/>
      <w:r w:rsidRPr="00343672">
        <w:rPr>
          <w:rFonts w:cs="Arial"/>
        </w:rPr>
        <w:t>Karajarri</w:t>
      </w:r>
      <w:proofErr w:type="spellEnd"/>
      <w:r w:rsidRPr="00343672">
        <w:rPr>
          <w:rFonts w:cs="Arial"/>
        </w:rPr>
        <w:t xml:space="preserve"> ranger training model.</w:t>
      </w:r>
    </w:p>
    <w:p w14:paraId="01BE198D" w14:textId="77777777" w:rsidR="00DB6F74" w:rsidRPr="00871991" w:rsidRDefault="00DB6F74" w:rsidP="00DB6F74">
      <w:pPr>
        <w:pStyle w:val="Text"/>
      </w:pPr>
      <w:r>
        <w:t>The information presented above illustrates elements of the training model</w:t>
      </w:r>
      <w:r w:rsidR="00343672">
        <w:t>, including</w:t>
      </w:r>
      <w:r>
        <w:t xml:space="preserve"> the essential role played by elders as authoritative teachers; the connected importance of the education providers recognising </w:t>
      </w:r>
      <w:r w:rsidRPr="00871991">
        <w:t>rangers as cultural knowledge holders and as ‘both-ways’ learners</w:t>
      </w:r>
      <w:r w:rsidR="00343672" w:rsidRPr="00871991">
        <w:t>,</w:t>
      </w:r>
      <w:r w:rsidRPr="00871991">
        <w:t xml:space="preserve"> where</w:t>
      </w:r>
      <w:r w:rsidR="00343672" w:rsidRPr="00871991">
        <w:t>by</w:t>
      </w:r>
      <w:r w:rsidRPr="00871991">
        <w:t xml:space="preserve"> they are learning </w:t>
      </w:r>
      <w:proofErr w:type="spellStart"/>
      <w:r w:rsidRPr="00871991">
        <w:rPr>
          <w:i/>
        </w:rPr>
        <w:t>kardiya</w:t>
      </w:r>
      <w:proofErr w:type="spellEnd"/>
      <w:r w:rsidRPr="00871991">
        <w:t xml:space="preserve"> sciences</w:t>
      </w:r>
      <w:r w:rsidR="00A66B40" w:rsidRPr="00871991">
        <w:t>,</w:t>
      </w:r>
      <w:r w:rsidRPr="00871991">
        <w:t xml:space="preserve"> as well as further cultural knowledge; the significance of the education providers being learners themselves through a two-way learning process</w:t>
      </w:r>
      <w:r w:rsidR="00343672" w:rsidRPr="00871991">
        <w:t>,</w:t>
      </w:r>
      <w:r w:rsidRPr="00871991">
        <w:t xml:space="preserve"> in which they learn cultural perspectives on caring for Country; and the effectiveness of peer learning. </w:t>
      </w:r>
    </w:p>
    <w:p w14:paraId="01BE198E" w14:textId="77777777" w:rsidR="00DB6F74" w:rsidRPr="00871991" w:rsidRDefault="00DB6F74" w:rsidP="007F3F0E">
      <w:pPr>
        <w:pStyle w:val="Heading4"/>
      </w:pPr>
      <w:r w:rsidRPr="00871991">
        <w:t xml:space="preserve">Adult </w:t>
      </w:r>
      <w:r w:rsidR="009D0DA5" w:rsidRPr="00871991">
        <w:t>l</w:t>
      </w:r>
      <w:r w:rsidRPr="00871991">
        <w:t xml:space="preserve">earning </w:t>
      </w:r>
      <w:r w:rsidR="009D0DA5" w:rsidRPr="00871991">
        <w:t>p</w:t>
      </w:r>
      <w:r w:rsidR="00343672" w:rsidRPr="00871991">
        <w:t>rinciples: p</w:t>
      </w:r>
      <w:r w:rsidRPr="00871991">
        <w:t xml:space="preserve">urpose and </w:t>
      </w:r>
      <w:r w:rsidR="009D0DA5" w:rsidRPr="00871991">
        <w:t>r</w:t>
      </w:r>
      <w:r w:rsidRPr="00871991">
        <w:t xml:space="preserve">elationships of </w:t>
      </w:r>
      <w:r w:rsidR="009D0DA5" w:rsidRPr="00871991">
        <w:t>c</w:t>
      </w:r>
      <w:r w:rsidRPr="00871991">
        <w:t>are</w:t>
      </w:r>
    </w:p>
    <w:p w14:paraId="01BE198F" w14:textId="77777777" w:rsidR="00DB6F74" w:rsidRPr="00871991" w:rsidRDefault="00DB6F74" w:rsidP="00DB6F74">
      <w:pPr>
        <w:widowControl w:val="0"/>
        <w:rPr>
          <w:rFonts w:cs="Arial"/>
        </w:rPr>
      </w:pPr>
      <w:r w:rsidRPr="00871991">
        <w:rPr>
          <w:rFonts w:cs="Arial"/>
        </w:rPr>
        <w:t xml:space="preserve">The following section distils key elements related to the concept of ‘relationships of care’ associated with the </w:t>
      </w:r>
      <w:r w:rsidR="00343672" w:rsidRPr="00871991">
        <w:rPr>
          <w:rFonts w:cs="Arial"/>
        </w:rPr>
        <w:t>adult learning</w:t>
      </w:r>
      <w:r w:rsidRPr="00871991">
        <w:rPr>
          <w:rFonts w:cs="Arial"/>
        </w:rPr>
        <w:t xml:space="preserve"> principles. To derive these, we have used material about the individual rangers’ experiences of learning. Each of these elements</w:t>
      </w:r>
      <w:r w:rsidR="00343672" w:rsidRPr="00871991">
        <w:rPr>
          <w:rFonts w:cs="Arial"/>
        </w:rPr>
        <w:t xml:space="preserve"> is</w:t>
      </w:r>
      <w:r w:rsidRPr="00871991">
        <w:rPr>
          <w:rFonts w:cs="Arial"/>
        </w:rPr>
        <w:t xml:space="preserve"> discussed below.</w:t>
      </w:r>
    </w:p>
    <w:p w14:paraId="01BE1990" w14:textId="77777777" w:rsidR="00DB6F74" w:rsidRPr="00871991" w:rsidRDefault="009D0DA5" w:rsidP="007F3F0E">
      <w:pPr>
        <w:pStyle w:val="Heading5"/>
      </w:pPr>
      <w:r w:rsidRPr="00871991">
        <w:t>Rangers as i</w:t>
      </w:r>
      <w:r w:rsidR="00DB6F74" w:rsidRPr="00871991">
        <w:t xml:space="preserve">ndividual </w:t>
      </w:r>
      <w:r w:rsidRPr="00871991">
        <w:t>l</w:t>
      </w:r>
      <w:r w:rsidR="00DB6F74" w:rsidRPr="00871991">
        <w:t xml:space="preserve">earners in a </w:t>
      </w:r>
      <w:r w:rsidRPr="00871991">
        <w:t>c</w:t>
      </w:r>
      <w:r w:rsidR="00DB6F74" w:rsidRPr="00871991">
        <w:t xml:space="preserve">ollaborative, </w:t>
      </w:r>
      <w:r w:rsidRPr="00871991">
        <w:t>s</w:t>
      </w:r>
      <w:r w:rsidR="00DB6F74" w:rsidRPr="00871991">
        <w:t xml:space="preserve">upportive </w:t>
      </w:r>
      <w:r w:rsidRPr="00871991">
        <w:t>s</w:t>
      </w:r>
      <w:r w:rsidR="00DB6F74" w:rsidRPr="00871991">
        <w:t>etting</w:t>
      </w:r>
    </w:p>
    <w:p w14:paraId="01BE1991" w14:textId="4D070F6E" w:rsidR="00DB6F74" w:rsidRPr="00554847" w:rsidRDefault="00DB6F74" w:rsidP="00DB6F74">
      <w:pPr>
        <w:pStyle w:val="Text"/>
      </w:pPr>
      <w:r w:rsidRPr="00871991">
        <w:t>Individual agency plays a significant role in the learning relationship</w:t>
      </w:r>
      <w:r w:rsidR="00343672" w:rsidRPr="00871991">
        <w:t>:</w:t>
      </w:r>
      <w:r w:rsidRPr="00871991">
        <w:t xml:space="preserve"> because it is a holistic learning program that encompasses cultural and </w:t>
      </w:r>
      <w:proofErr w:type="spellStart"/>
      <w:r w:rsidRPr="00871991">
        <w:rPr>
          <w:i/>
        </w:rPr>
        <w:t>kardiya</w:t>
      </w:r>
      <w:proofErr w:type="spellEnd"/>
      <w:r w:rsidRPr="00871991">
        <w:t xml:space="preserve"> elements</w:t>
      </w:r>
      <w:r w:rsidRPr="00554847">
        <w:t xml:space="preserve">, a safe framework for individual success and achievement is provided. For example, the outstanding achievement of the following ranger was described by the cultural advisor group: </w:t>
      </w:r>
    </w:p>
    <w:p w14:paraId="01BE1992" w14:textId="77777777" w:rsidR="00DB6F74" w:rsidRPr="007A7BCA" w:rsidRDefault="00343672" w:rsidP="00DB6F74">
      <w:pPr>
        <w:pStyle w:val="Quote"/>
        <w:rPr>
          <w:rFonts w:eastAsiaTheme="minorHAnsi"/>
        </w:rPr>
      </w:pPr>
      <w:r>
        <w:rPr>
          <w:rFonts w:eastAsiaTheme="minorHAnsi"/>
        </w:rPr>
        <w:t>[Name]</w:t>
      </w:r>
      <w:r w:rsidR="00DB6F74" w:rsidRPr="007A7BCA">
        <w:rPr>
          <w:rFonts w:eastAsiaTheme="minorHAnsi"/>
        </w:rPr>
        <w:t>, he got an award last year, trainee of the year award for safety ranger, the OH&amp;S award. He got sent to Kununurra to receive t</w:t>
      </w:r>
      <w:r>
        <w:rPr>
          <w:rFonts w:eastAsiaTheme="minorHAnsi"/>
        </w:rPr>
        <w:t>hat award and got a certificate</w:t>
      </w:r>
      <w:r w:rsidR="00DB6F74" w:rsidRPr="007A7BCA">
        <w:rPr>
          <w:rFonts w:eastAsiaTheme="minorHAnsi"/>
        </w:rPr>
        <w:t xml:space="preserve"> </w:t>
      </w:r>
      <w:r w:rsidR="00DB6F74">
        <w:rPr>
          <w:rFonts w:eastAsiaTheme="minorHAnsi"/>
        </w:rPr>
        <w:t>…</w:t>
      </w:r>
      <w:r w:rsidR="00DB6F74" w:rsidRPr="007A7BCA">
        <w:rPr>
          <w:rFonts w:eastAsiaTheme="minorHAnsi"/>
        </w:rPr>
        <w:t xml:space="preserve"> That was pretty good. He’s a quiet achiever. He doesn’t say much but he works hard and he’s been here for a long time.</w:t>
      </w:r>
      <w:r w:rsidR="00DB6F74">
        <w:rPr>
          <w:rFonts w:eastAsiaTheme="minorHAnsi"/>
        </w:rPr>
        <w:t xml:space="preserve"> </w:t>
      </w:r>
      <w:r w:rsidR="00DB6F74" w:rsidRPr="007A7BCA">
        <w:rPr>
          <w:rFonts w:eastAsiaTheme="minorHAnsi"/>
        </w:rPr>
        <w:t>He’s one of the longest.</w:t>
      </w:r>
      <w:r w:rsidR="00DB6F74">
        <w:rPr>
          <w:rFonts w:eastAsiaTheme="minorHAnsi"/>
        </w:rPr>
        <w:t xml:space="preserve"> </w:t>
      </w:r>
      <w:r w:rsidR="00DB6F74" w:rsidRPr="007A7BCA">
        <w:rPr>
          <w:rFonts w:eastAsiaTheme="minorHAnsi"/>
        </w:rPr>
        <w:t xml:space="preserve">Even </w:t>
      </w:r>
      <w:r w:rsidR="00DB6F74">
        <w:rPr>
          <w:rFonts w:eastAsiaTheme="minorHAnsi"/>
        </w:rPr>
        <w:t>[another name]</w:t>
      </w:r>
      <w:r w:rsidR="00DB6F74" w:rsidRPr="007A7BCA">
        <w:rPr>
          <w:rFonts w:eastAsiaTheme="minorHAnsi"/>
        </w:rPr>
        <w:t xml:space="preserve">, going around places like Darwin and with </w:t>
      </w:r>
      <w:r w:rsidR="00DB6F74">
        <w:rPr>
          <w:rFonts w:eastAsiaTheme="minorHAnsi"/>
        </w:rPr>
        <w:t>[company name]</w:t>
      </w:r>
      <w:r w:rsidR="00DB6F74" w:rsidRPr="007A7BCA">
        <w:rPr>
          <w:rFonts w:eastAsiaTheme="minorHAnsi"/>
        </w:rPr>
        <w:t>, as a young leader, you know? It’s good to see young leaders like that coming up. They’ll be up here one day.</w:t>
      </w:r>
      <w:r w:rsidR="00DB6F74">
        <w:rPr>
          <w:rFonts w:eastAsiaTheme="minorHAnsi"/>
        </w:rPr>
        <w:t xml:space="preserve"> </w:t>
      </w:r>
      <w:r w:rsidR="00DB6F74" w:rsidRPr="007A7BCA">
        <w:rPr>
          <w:rFonts w:eastAsiaTheme="minorHAnsi"/>
        </w:rPr>
        <w:t>He’ll never leave us.</w:t>
      </w:r>
      <w:r>
        <w:rPr>
          <w:rFonts w:eastAsiaTheme="minorHAnsi"/>
        </w:rPr>
        <w:tab/>
      </w:r>
      <w:r w:rsidR="00DB6F74" w:rsidRPr="007A7BCA">
        <w:rPr>
          <w:rFonts w:eastAsiaTheme="minorHAnsi"/>
        </w:rPr>
        <w:t xml:space="preserve"> </w:t>
      </w:r>
      <w:r w:rsidR="00DB6F74">
        <w:rPr>
          <w:rFonts w:eastAsiaTheme="minorHAnsi"/>
        </w:rPr>
        <w:t xml:space="preserve">(Cultural </w:t>
      </w:r>
      <w:r>
        <w:rPr>
          <w:rFonts w:eastAsiaTheme="minorHAnsi"/>
        </w:rPr>
        <w:t>advisor group</w:t>
      </w:r>
      <w:r w:rsidR="00DB6F74">
        <w:rPr>
          <w:rFonts w:eastAsiaTheme="minorHAnsi"/>
        </w:rPr>
        <w:t>)</w:t>
      </w:r>
    </w:p>
    <w:p w14:paraId="01BE1993" w14:textId="77777777" w:rsidR="00DB6F74" w:rsidRPr="007A7BCA" w:rsidRDefault="00DB6F74" w:rsidP="00A961ED">
      <w:pPr>
        <w:pStyle w:val="Quote"/>
        <w:spacing w:before="240"/>
        <w:rPr>
          <w:rFonts w:eastAsiaTheme="minorHAnsi"/>
        </w:rPr>
      </w:pPr>
      <w:r w:rsidRPr="007A7BCA">
        <w:rPr>
          <w:rFonts w:eastAsiaTheme="minorHAnsi"/>
        </w:rPr>
        <w:t xml:space="preserve">It makes them feel important, you know? </w:t>
      </w:r>
      <w:r>
        <w:rPr>
          <w:rFonts w:eastAsiaTheme="minorHAnsi"/>
        </w:rPr>
        <w:t>I</w:t>
      </w:r>
      <w:r w:rsidRPr="007A7BCA">
        <w:rPr>
          <w:rFonts w:eastAsiaTheme="minorHAnsi"/>
        </w:rPr>
        <w:t>t makes them feel they have a role to play. It makes t</w:t>
      </w:r>
      <w:r>
        <w:rPr>
          <w:rFonts w:eastAsiaTheme="minorHAnsi"/>
        </w:rPr>
        <w:t xml:space="preserve">hem feel like they're somebody; </w:t>
      </w:r>
      <w:r w:rsidRPr="007A7BCA">
        <w:rPr>
          <w:rFonts w:eastAsiaTheme="minorHAnsi"/>
        </w:rPr>
        <w:t xml:space="preserve">that they have a job to do. That’s where that leadership role comes in with their personality. They see them grow. They just grow to becoming a ranger. That will be a part of them for the rest of their life or even if they move along to other jobs, they still play a role at their station back home to work on </w:t>
      </w:r>
      <w:r>
        <w:rPr>
          <w:rFonts w:eastAsiaTheme="minorHAnsi"/>
        </w:rPr>
        <w:t>Country</w:t>
      </w:r>
      <w:r w:rsidRPr="007A7BCA">
        <w:rPr>
          <w:rFonts w:eastAsiaTheme="minorHAnsi"/>
        </w:rPr>
        <w:t xml:space="preserve"> no matter what they do.</w:t>
      </w:r>
      <w:r w:rsidR="00343672">
        <w:rPr>
          <w:rFonts w:eastAsiaTheme="minorHAnsi"/>
        </w:rPr>
        <w:tab/>
      </w:r>
      <w:r w:rsidR="00343672">
        <w:rPr>
          <w:rFonts w:eastAsiaTheme="minorHAnsi"/>
        </w:rPr>
        <w:tab/>
      </w:r>
      <w:r>
        <w:rPr>
          <w:rFonts w:eastAsiaTheme="minorHAnsi"/>
        </w:rPr>
        <w:t xml:space="preserve">(Cultural </w:t>
      </w:r>
      <w:r w:rsidR="00343672">
        <w:rPr>
          <w:rFonts w:eastAsiaTheme="minorHAnsi"/>
        </w:rPr>
        <w:t>advisor group</w:t>
      </w:r>
      <w:r>
        <w:rPr>
          <w:rFonts w:eastAsiaTheme="minorHAnsi"/>
        </w:rPr>
        <w:t>)</w:t>
      </w:r>
    </w:p>
    <w:p w14:paraId="01BE1994" w14:textId="77777777" w:rsidR="00DB6F74" w:rsidRDefault="00343672" w:rsidP="00DB6F74">
      <w:pPr>
        <w:pStyle w:val="Text"/>
      </w:pPr>
      <w:r>
        <w:t>While</w:t>
      </w:r>
      <w:r w:rsidR="00DB6F74" w:rsidRPr="00554847">
        <w:t xml:space="preserve"> the </w:t>
      </w:r>
      <w:r w:rsidR="00DB6F74">
        <w:t>training model</w:t>
      </w:r>
      <w:r w:rsidR="00DB6F74" w:rsidRPr="00554847">
        <w:t xml:space="preserve"> is collaborative in nature, individual success is enabled and encouraged by all participants</w:t>
      </w:r>
      <w:r>
        <w:t xml:space="preserve"> —</w:t>
      </w:r>
      <w:r w:rsidR="00DB6F74">
        <w:t xml:space="preserve"> elders, peers, education providers and cultural advisors</w:t>
      </w:r>
      <w:r w:rsidR="00DB6F74" w:rsidRPr="00554847">
        <w:t>. Some previously quiet young people have delighted and surprised their elders and families when they have shown their skills in delivering oral presentations at local events,</w:t>
      </w:r>
      <w:r>
        <w:t xml:space="preserve"> festivals and council meetings; t</w:t>
      </w:r>
      <w:r w:rsidR="00DB6F74" w:rsidRPr="00554847">
        <w:t xml:space="preserve">he rangers </w:t>
      </w:r>
      <w:r>
        <w:t xml:space="preserve">are confident </w:t>
      </w:r>
      <w:r w:rsidR="00DB6F74" w:rsidRPr="00554847">
        <w:t xml:space="preserve">of their knowledge and know what to say. Families are proud of their relatives who have become rangers, and urge them to stay with the job as it brings pride and respect. </w:t>
      </w:r>
    </w:p>
    <w:p w14:paraId="01BE1995" w14:textId="77777777" w:rsidR="00DB6F74" w:rsidRPr="00554847" w:rsidRDefault="00DB6F74" w:rsidP="007F3F0E">
      <w:pPr>
        <w:pStyle w:val="Heading5"/>
      </w:pPr>
      <w:r>
        <w:t xml:space="preserve">Culture, </w:t>
      </w:r>
      <w:r w:rsidR="009D0DA5">
        <w:t>e</w:t>
      </w:r>
      <w:r>
        <w:t xml:space="preserve">lders and </w:t>
      </w:r>
      <w:r w:rsidR="009D0DA5">
        <w:t>c</w:t>
      </w:r>
      <w:r>
        <w:t xml:space="preserve">ultural </w:t>
      </w:r>
      <w:r w:rsidR="009D0DA5">
        <w:t>a</w:t>
      </w:r>
      <w:r>
        <w:t xml:space="preserve">ttachment to Country: </w:t>
      </w:r>
      <w:proofErr w:type="spellStart"/>
      <w:r w:rsidRPr="00DC6073">
        <w:t>Mapu</w:t>
      </w:r>
      <w:proofErr w:type="spellEnd"/>
      <w:r>
        <w:t xml:space="preserve"> </w:t>
      </w:r>
      <w:proofErr w:type="spellStart"/>
      <w:r w:rsidRPr="00D059AB">
        <w:t>Ngarlu</w:t>
      </w:r>
      <w:proofErr w:type="spellEnd"/>
      <w:r>
        <w:t xml:space="preserve"> or </w:t>
      </w:r>
      <w:proofErr w:type="spellStart"/>
      <w:r w:rsidRPr="00D059AB">
        <w:t>Pilyurr</w:t>
      </w:r>
      <w:proofErr w:type="spellEnd"/>
    </w:p>
    <w:p w14:paraId="01BE1996" w14:textId="77777777" w:rsidR="00DB6F74" w:rsidRDefault="00DB6F74" w:rsidP="00DB6F74">
      <w:pPr>
        <w:pStyle w:val="Text"/>
      </w:pPr>
      <w:r w:rsidRPr="00554847">
        <w:t>Culture</w:t>
      </w:r>
      <w:r>
        <w:t>, elders</w:t>
      </w:r>
      <w:r w:rsidRPr="00554847">
        <w:t xml:space="preserve"> and cultural attachment to </w:t>
      </w:r>
      <w:r>
        <w:t>Country</w:t>
      </w:r>
      <w:r w:rsidRPr="00554847">
        <w:t xml:space="preserve"> </w:t>
      </w:r>
      <w:r>
        <w:t>are</w:t>
      </w:r>
      <w:r w:rsidRPr="00554847">
        <w:t xml:space="preserve"> key success factor</w:t>
      </w:r>
      <w:r>
        <w:t>s</w:t>
      </w:r>
      <w:r w:rsidR="00343672">
        <w:t xml:space="preserve"> in this case </w:t>
      </w:r>
      <w:r w:rsidRPr="00554847">
        <w:t xml:space="preserve">study. </w:t>
      </w:r>
      <w:r>
        <w:t>There were numerous references from the rangers and cultural ad</w:t>
      </w:r>
      <w:r w:rsidR="00343672">
        <w:t>visors relating to the importance of C</w:t>
      </w:r>
      <w:r>
        <w:t xml:space="preserve">aring for Country and </w:t>
      </w:r>
      <w:r w:rsidR="00343672">
        <w:t xml:space="preserve">the </w:t>
      </w:r>
      <w:r>
        <w:t xml:space="preserve">benefits to one’s own </w:t>
      </w:r>
      <w:proofErr w:type="spellStart"/>
      <w:r>
        <w:rPr>
          <w:i/>
        </w:rPr>
        <w:t>ngarlu</w:t>
      </w:r>
      <w:proofErr w:type="spellEnd"/>
      <w:r>
        <w:t xml:space="preserve"> (spiritual inner feelings or in </w:t>
      </w:r>
      <w:proofErr w:type="spellStart"/>
      <w:r>
        <w:t>Karajarri</w:t>
      </w:r>
      <w:proofErr w:type="spellEnd"/>
      <w:r>
        <w:t xml:space="preserve">, </w:t>
      </w:r>
      <w:proofErr w:type="spellStart"/>
      <w:r>
        <w:rPr>
          <w:i/>
        </w:rPr>
        <w:t>pilyurr</w:t>
      </w:r>
      <w:proofErr w:type="spellEnd"/>
      <w:r>
        <w:t>, heart). One of the cultural advisors explained it like this:</w:t>
      </w:r>
    </w:p>
    <w:p w14:paraId="01BE1997" w14:textId="77777777" w:rsidR="00DB6F74" w:rsidRDefault="00DB6F74" w:rsidP="00DB6F74">
      <w:pPr>
        <w:pStyle w:val="Quote"/>
      </w:pPr>
      <w:proofErr w:type="spellStart"/>
      <w:r>
        <w:t>Karajarri</w:t>
      </w:r>
      <w:proofErr w:type="spellEnd"/>
      <w:r>
        <w:t xml:space="preserve"> people have cultural obligations from one of our very senior elders who passed away, to do this type of work because our heart (our </w:t>
      </w:r>
      <w:proofErr w:type="spellStart"/>
      <w:r w:rsidRPr="00343672">
        <w:rPr>
          <w:i/>
        </w:rPr>
        <w:t>pilyurr</w:t>
      </w:r>
      <w:proofErr w:type="spellEnd"/>
      <w:r>
        <w:t>) is con</w:t>
      </w:r>
      <w:r w:rsidR="00343672">
        <w:t>nected to this country as well.</w:t>
      </w:r>
      <w:r w:rsidR="00343672">
        <w:tab/>
      </w:r>
      <w:r w:rsidR="00343672">
        <w:tab/>
      </w:r>
      <w:r>
        <w:t>(Cultural advisor interview)</w:t>
      </w:r>
    </w:p>
    <w:p w14:paraId="01BE1998" w14:textId="77777777" w:rsidR="00DB6F74" w:rsidRPr="00554847" w:rsidRDefault="00DB6F74" w:rsidP="00DB6F74">
      <w:pPr>
        <w:pStyle w:val="Text"/>
      </w:pPr>
      <w:r>
        <w:t>This was also explained by one ranger respondent during one of the individual interviews</w:t>
      </w:r>
      <w:r w:rsidRPr="00554847">
        <w:t xml:space="preserve">: </w:t>
      </w:r>
    </w:p>
    <w:p w14:paraId="01BE1999" w14:textId="77777777" w:rsidR="00DB6F74" w:rsidRPr="004B0CF4" w:rsidRDefault="00DB6F74" w:rsidP="00DB6F74">
      <w:pPr>
        <w:pStyle w:val="Quote"/>
        <w:rPr>
          <w:rFonts w:eastAsiaTheme="minorHAnsi"/>
        </w:rPr>
      </w:pPr>
      <w:r w:rsidRPr="004B0CF4">
        <w:rPr>
          <w:rFonts w:eastAsiaTheme="minorHAnsi"/>
        </w:rPr>
        <w:t>I feel good when I am out on Country, I feel really comfortable learning different things from the old people that is why I am always around the old people fr</w:t>
      </w:r>
      <w:r>
        <w:rPr>
          <w:rFonts w:eastAsiaTheme="minorHAnsi"/>
        </w:rPr>
        <w:t>om growing up from little time.</w:t>
      </w:r>
      <w:r w:rsidRPr="004B0CF4">
        <w:rPr>
          <w:rFonts w:eastAsiaTheme="minorHAnsi"/>
        </w:rPr>
        <w:t xml:space="preserve"> When I am working with the old girls and working with </w:t>
      </w:r>
      <w:r w:rsidR="00343672">
        <w:rPr>
          <w:rFonts w:eastAsiaTheme="minorHAnsi"/>
        </w:rPr>
        <w:t>[senior cultural woman ranger]</w:t>
      </w:r>
      <w:r w:rsidRPr="004B0CF4">
        <w:rPr>
          <w:rFonts w:eastAsiaTheme="minorHAnsi"/>
        </w:rPr>
        <w:t xml:space="preserve">, because when I am stuck with anything they help me, I get my little information what I need to know about things on </w:t>
      </w:r>
      <w:r>
        <w:rPr>
          <w:rFonts w:eastAsiaTheme="minorHAnsi"/>
        </w:rPr>
        <w:t>Country</w:t>
      </w:r>
      <w:r w:rsidRPr="004B0CF4">
        <w:rPr>
          <w:rFonts w:eastAsiaTheme="minorHAnsi"/>
        </w:rPr>
        <w:t xml:space="preserve"> and what I need to do.</w:t>
      </w:r>
      <w:r w:rsidR="00343672">
        <w:rPr>
          <w:rFonts w:eastAsiaTheme="minorHAnsi"/>
        </w:rPr>
        <w:tab/>
      </w:r>
      <w:r>
        <w:rPr>
          <w:rFonts w:eastAsiaTheme="minorHAnsi"/>
        </w:rPr>
        <w:t xml:space="preserve"> (Woman ranger interview)</w:t>
      </w:r>
    </w:p>
    <w:p w14:paraId="01BE199A" w14:textId="77777777" w:rsidR="00DB6F74" w:rsidRPr="008A3E37" w:rsidRDefault="00DB6F74" w:rsidP="00DB6F74">
      <w:pPr>
        <w:pStyle w:val="Text"/>
      </w:pPr>
      <w:r>
        <w:t>C</w:t>
      </w:r>
      <w:r w:rsidRPr="008A3E37">
        <w:t>ountry, cultural knowledge and old people are in</w:t>
      </w:r>
      <w:r w:rsidR="00343672">
        <w:t>tegral to</w:t>
      </w:r>
      <w:r>
        <w:t xml:space="preserve"> the rangers</w:t>
      </w:r>
      <w:r w:rsidR="00343672">
        <w:t xml:space="preserve"> —</w:t>
      </w:r>
      <w:r w:rsidRPr="008A3E37">
        <w:t xml:space="preserve"> it is an assumed connection. The cultural knowledge is what they are learning, and the place to learn it is on</w:t>
      </w:r>
      <w:r>
        <w:t xml:space="preserve"> Country</w:t>
      </w:r>
      <w:r w:rsidRPr="008A3E37">
        <w:t>. For instance</w:t>
      </w:r>
      <w:r>
        <w:t>, the quote below from a cultural advisor describes this information, and while doing so incorporate</w:t>
      </w:r>
      <w:r w:rsidR="00343672">
        <w:t>s the W</w:t>
      </w:r>
      <w:r>
        <w:t>estern science perspective into it</w:t>
      </w:r>
      <w:r w:rsidR="00343672">
        <w:t>,</w:t>
      </w:r>
      <w:r>
        <w:t xml:space="preserve"> which shows </w:t>
      </w:r>
      <w:r w:rsidR="009069E6">
        <w:t xml:space="preserve">a </w:t>
      </w:r>
      <w:r>
        <w:t xml:space="preserve">connection between </w:t>
      </w:r>
      <w:r w:rsidR="00A66B40">
        <w:t xml:space="preserve">the </w:t>
      </w:r>
      <w:r>
        <w:t xml:space="preserve">knowledge systems. </w:t>
      </w:r>
    </w:p>
    <w:p w14:paraId="01BE199B" w14:textId="77777777" w:rsidR="00DB6F74" w:rsidRDefault="00DB6F74" w:rsidP="00DB6F74">
      <w:pPr>
        <w:pStyle w:val="Quote"/>
      </w:pPr>
      <w:r>
        <w:t>This is their Country, they want to preserve and look after the environment and the culture, and look after their Country. It’s their obligation</w:t>
      </w:r>
      <w:r w:rsidR="009069E6">
        <w:t xml:space="preserve"> </w:t>
      </w:r>
      <w:r>
        <w:t>… One of the things that I really like when you were talking about archaeology before is not necessarily the dating stuff but when you can connect the stories with what you find on Country and you know, when there are stories about people moving through the landscape and that they stopped in certain places and then we find the evidence of that. It just kind of reinforces exactly what everyone is already talking about.</w:t>
      </w:r>
    </w:p>
    <w:p w14:paraId="01BE199C" w14:textId="77777777" w:rsidR="00DB6F74" w:rsidRDefault="00DB6F74" w:rsidP="00DB6F74">
      <w:pPr>
        <w:pStyle w:val="Quote"/>
      </w:pPr>
      <w:r>
        <w:t>It’s what old people did. They were living here. People are surprised to find paintings over there. That thing was just a little cave, a little hill and it goes down and they’ve got all the paintings there</w:t>
      </w:r>
      <w:r w:rsidR="009069E6">
        <w:t>. They’ve never seen it before.</w:t>
      </w:r>
      <w:r w:rsidR="009069E6">
        <w:tab/>
      </w:r>
      <w:r>
        <w:rPr>
          <w:rFonts w:eastAsiaTheme="minorHAnsi"/>
        </w:rPr>
        <w:t xml:space="preserve">(Cultural </w:t>
      </w:r>
      <w:r w:rsidR="009069E6">
        <w:rPr>
          <w:rFonts w:eastAsiaTheme="minorHAnsi"/>
        </w:rPr>
        <w:t>advisor group</w:t>
      </w:r>
      <w:r>
        <w:rPr>
          <w:rFonts w:eastAsiaTheme="minorHAnsi"/>
        </w:rPr>
        <w:t>)</w:t>
      </w:r>
    </w:p>
    <w:p w14:paraId="01BE199D" w14:textId="77777777" w:rsidR="00DB6F74" w:rsidRDefault="00DB6F74" w:rsidP="007F3F0E">
      <w:pPr>
        <w:pStyle w:val="Heading5"/>
      </w:pPr>
      <w:r>
        <w:t>Digital literacies</w:t>
      </w:r>
    </w:p>
    <w:p w14:paraId="01BE199E" w14:textId="77777777" w:rsidR="00DB6F74" w:rsidRPr="00E338BB" w:rsidRDefault="00DB6F74" w:rsidP="00DB6F74">
      <w:pPr>
        <w:pStyle w:val="Text"/>
      </w:pPr>
      <w:r w:rsidRPr="00E338BB">
        <w:t>Digital litera</w:t>
      </w:r>
      <w:r w:rsidR="009069E6">
        <w:t xml:space="preserve">cies </w:t>
      </w:r>
      <w:r w:rsidR="00A66B40">
        <w:t>represent</w:t>
      </w:r>
      <w:r w:rsidR="009069E6">
        <w:t xml:space="preserve"> an important work</w:t>
      </w:r>
      <w:r w:rsidRPr="00E338BB">
        <w:t xml:space="preserve">place skill for </w:t>
      </w:r>
      <w:r w:rsidR="009069E6">
        <w:t xml:space="preserve">the </w:t>
      </w:r>
      <w:r w:rsidRPr="00E338BB">
        <w:t>rangers, and is an essential part of ranger training.</w:t>
      </w:r>
      <w:r>
        <w:t xml:space="preserve"> A range of databases are used</w:t>
      </w:r>
      <w:r w:rsidR="009069E6">
        <w:t>,</w:t>
      </w:r>
      <w:r>
        <w:t xml:space="preserve"> such as </w:t>
      </w:r>
      <w:proofErr w:type="spellStart"/>
      <w:r>
        <w:t>Cybertracker</w:t>
      </w:r>
      <w:proofErr w:type="spellEnd"/>
      <w:r>
        <w:t xml:space="preserve"> and </w:t>
      </w:r>
      <w:proofErr w:type="spellStart"/>
      <w:r>
        <w:t>Karajarri’s</w:t>
      </w:r>
      <w:proofErr w:type="spellEnd"/>
      <w:r>
        <w:t xml:space="preserve"> own cultural database, both capturing information which needs to be transferred into other computer programs for archival </w:t>
      </w:r>
      <w:r w:rsidR="009069E6">
        <w:t xml:space="preserve">purposes </w:t>
      </w:r>
      <w:r>
        <w:t xml:space="preserve">and analysis. For example, </w:t>
      </w:r>
      <w:r w:rsidR="009069E6">
        <w:t>the</w:t>
      </w:r>
      <w:r>
        <w:t xml:space="preserve"> clear purpose for learning digital literacies </w:t>
      </w:r>
      <w:r w:rsidR="009069E6">
        <w:t xml:space="preserve">is described </w:t>
      </w:r>
      <w:r>
        <w:t xml:space="preserve">in this quote from the men’s ranger group: </w:t>
      </w:r>
    </w:p>
    <w:p w14:paraId="01BE199F" w14:textId="77777777" w:rsidR="00DB6F74" w:rsidRPr="008A3E37" w:rsidRDefault="00DB6F74" w:rsidP="00DB6F74">
      <w:pPr>
        <w:pStyle w:val="Quote"/>
        <w:rPr>
          <w:rFonts w:cs="Arial"/>
        </w:rPr>
      </w:pPr>
      <w:r>
        <w:t>We do database training. They only just started recently and what we do is get the data, subtract and put it into the computer like for future reference or for traditional owners to look at. Some of us rangers, we go out, mainly the women rangers go out and take photos of plants and that that they also record on the database. They're working on a booklet.</w:t>
      </w:r>
      <w:r w:rsidR="009069E6">
        <w:tab/>
      </w:r>
      <w:r>
        <w:t xml:space="preserve"> (Men ranger group)</w:t>
      </w:r>
    </w:p>
    <w:p w14:paraId="01BE19A0" w14:textId="77777777" w:rsidR="00DB6F74" w:rsidRDefault="00A66B40" w:rsidP="00DB6F74">
      <w:pPr>
        <w:pStyle w:val="Text"/>
      </w:pPr>
      <w:r>
        <w:t xml:space="preserve">As far as </w:t>
      </w:r>
      <w:r w:rsidR="00DB6F74" w:rsidRPr="008A3E37">
        <w:t>the rangers and participants</w:t>
      </w:r>
      <w:r w:rsidR="00DB6F74">
        <w:t xml:space="preserve"> involved in the research project</w:t>
      </w:r>
      <w:r>
        <w:t xml:space="preserve"> are concerned</w:t>
      </w:r>
      <w:r w:rsidR="00DB6F74" w:rsidRPr="008A3E37">
        <w:t>, the reason the rangers are</w:t>
      </w:r>
      <w:r w:rsidR="00DB6F74">
        <w:t xml:space="preserve"> engaged in</w:t>
      </w:r>
      <w:r w:rsidR="00DB6F74" w:rsidRPr="008A3E37">
        <w:t xml:space="preserve"> </w:t>
      </w:r>
      <w:r w:rsidR="009069E6" w:rsidRPr="008A3E37">
        <w:t xml:space="preserve">cultural natural resource management </w:t>
      </w:r>
      <w:r w:rsidR="00DB6F74" w:rsidRPr="008A3E37">
        <w:t>(</w:t>
      </w:r>
      <w:r w:rsidR="009069E6" w:rsidRPr="008A3E37">
        <w:t>CNRM</w:t>
      </w:r>
      <w:r w:rsidR="00DB6F74" w:rsidRPr="008A3E37">
        <w:t>)</w:t>
      </w:r>
      <w:r w:rsidR="00DB6F74">
        <w:t xml:space="preserve"> learning </w:t>
      </w:r>
      <w:r w:rsidR="00DB6F74" w:rsidRPr="008A3E37">
        <w:t>is to</w:t>
      </w:r>
      <w:r w:rsidR="00DB6F74">
        <w:t xml:space="preserve"> further assist them to</w:t>
      </w:r>
      <w:r w:rsidR="00DB6F74" w:rsidRPr="008A3E37">
        <w:t xml:space="preserve"> care for </w:t>
      </w:r>
      <w:r w:rsidR="009069E6">
        <w:t>Country</w:t>
      </w:r>
      <w:r w:rsidR="00DB6F74" w:rsidRPr="008A3E37">
        <w:t xml:space="preserve"> in the ways that their ancestors and elders have done for millennia. The driving force of ranger work is highly significant</w:t>
      </w:r>
      <w:r w:rsidR="009069E6">
        <w:t xml:space="preserve"> —</w:t>
      </w:r>
      <w:r w:rsidR="00DB6F74" w:rsidRPr="008A3E37">
        <w:t xml:space="preserve"> </w:t>
      </w:r>
      <w:r w:rsidR="00DB6F74">
        <w:t>i</w:t>
      </w:r>
      <w:r w:rsidR="00DB6F74" w:rsidRPr="008A3E37">
        <w:t xml:space="preserve">t is the protection of </w:t>
      </w:r>
      <w:r w:rsidR="00DB6F74">
        <w:t>Country</w:t>
      </w:r>
      <w:r w:rsidR="00DB6F74" w:rsidRPr="008A3E37">
        <w:t xml:space="preserve">, stories, culture and place to link past, present and future. The importance of this </w:t>
      </w:r>
      <w:r w:rsidR="00DB6F74">
        <w:t xml:space="preserve">purpose for ranger training </w:t>
      </w:r>
      <w:r w:rsidR="00DB6F74" w:rsidRPr="008A3E37">
        <w:t xml:space="preserve">cannot be overstated. </w:t>
      </w:r>
    </w:p>
    <w:p w14:paraId="01BE19A1" w14:textId="77777777" w:rsidR="00DB6F74" w:rsidRDefault="00DB6F74" w:rsidP="00DB6F74">
      <w:pPr>
        <w:pStyle w:val="Text"/>
      </w:pPr>
      <w:r>
        <w:t xml:space="preserve">Thus, in relation to </w:t>
      </w:r>
      <w:r w:rsidR="009069E6">
        <w:t>the adult learning</w:t>
      </w:r>
      <w:r>
        <w:t xml:space="preserve"> principles that apply to the </w:t>
      </w:r>
      <w:proofErr w:type="spellStart"/>
      <w:r>
        <w:t>Karajarri</w:t>
      </w:r>
      <w:proofErr w:type="spellEnd"/>
      <w:r>
        <w:t xml:space="preserve"> ranger training program, six principles are adhered to. The first is relational learning, specifically</w:t>
      </w:r>
      <w:r w:rsidR="009069E6">
        <w:t>,</w:t>
      </w:r>
      <w:r>
        <w:t xml:space="preserve"> relatio</w:t>
      </w:r>
      <w:r w:rsidR="00A66B40">
        <w:t>nships of care in the sense of C</w:t>
      </w:r>
      <w:r>
        <w:t xml:space="preserve">aring for Country and peers, while being cared for by elders, cultural advisors and education providers. The second principle is a clear </w:t>
      </w:r>
      <w:r w:rsidR="00A66B40">
        <w:t>purpose for learning, which is C</w:t>
      </w:r>
      <w:r>
        <w:t>aring for Country through culture. In line with Aboriginal ways, this purpose is understood by everyone and this learning is ongoing and lifelong</w:t>
      </w:r>
      <w:r w:rsidRPr="00554847">
        <w:t>.</w:t>
      </w:r>
      <w:r>
        <w:t xml:space="preserve"> The third principle is that individual learners are collaboratively supported</w:t>
      </w:r>
      <w:r w:rsidR="009069E6">
        <w:t>,</w:t>
      </w:r>
      <w:r>
        <w:t xml:space="preserve"> which provides a safe environment for individual success. The fou</w:t>
      </w:r>
      <w:r w:rsidR="009069E6">
        <w:t>r</w:t>
      </w:r>
      <w:r w:rsidR="00A66B40">
        <w:t>th is learning by doing,</w:t>
      </w:r>
      <w:r w:rsidR="009069E6">
        <w:t xml:space="preserve"> in a C</w:t>
      </w:r>
      <w:r>
        <w:t>aring for Country cultural knowledge con</w:t>
      </w:r>
      <w:r w:rsidR="009069E6">
        <w:t xml:space="preserve">text. The final </w:t>
      </w:r>
      <w:r w:rsidR="00A66B40">
        <w:t xml:space="preserve">and </w:t>
      </w:r>
      <w:r w:rsidR="009069E6">
        <w:t>fifth principle</w:t>
      </w:r>
      <w:r>
        <w:t xml:space="preserve"> is learning at the time of need: to undertake a task which needs doing. Digital literacies support on-Country activities by producing data suitable </w:t>
      </w:r>
      <w:r w:rsidR="009069E6">
        <w:t>for</w:t>
      </w:r>
      <w:r>
        <w:t xml:space="preserve"> convey</w:t>
      </w:r>
      <w:r w:rsidR="009069E6">
        <w:t>ing</w:t>
      </w:r>
      <w:r>
        <w:t xml:space="preserve"> information to traditional owners.</w:t>
      </w:r>
    </w:p>
    <w:p w14:paraId="01BE19A2" w14:textId="77777777" w:rsidR="00DB6F74" w:rsidRPr="00E338BB" w:rsidRDefault="00DB6F74" w:rsidP="007F3F0E">
      <w:pPr>
        <w:pStyle w:val="Heading4"/>
      </w:pPr>
      <w:r w:rsidRPr="00B2393F">
        <w:t xml:space="preserve">Indicators for </w:t>
      </w:r>
      <w:r w:rsidR="009D0DA5">
        <w:t>e</w:t>
      </w:r>
      <w:r w:rsidRPr="00B2393F">
        <w:t>mployability</w:t>
      </w:r>
    </w:p>
    <w:p w14:paraId="01BE19A3" w14:textId="77777777" w:rsidR="00DB6F74" w:rsidRDefault="00DB6F74" w:rsidP="00DB6F74">
      <w:pPr>
        <w:pStyle w:val="Text"/>
      </w:pPr>
      <w:r>
        <w:t xml:space="preserve">Within the caring relationships theme embedded in the </w:t>
      </w:r>
      <w:proofErr w:type="spellStart"/>
      <w:r>
        <w:t>Karajarri</w:t>
      </w:r>
      <w:proofErr w:type="spellEnd"/>
      <w:r>
        <w:t xml:space="preserve"> </w:t>
      </w:r>
      <w:r w:rsidR="00A66B40">
        <w:t xml:space="preserve">Ranger Training </w:t>
      </w:r>
      <w:r>
        <w:t xml:space="preserve">model, </w:t>
      </w:r>
      <w:r w:rsidR="00A66B40">
        <w:t xml:space="preserve">the </w:t>
      </w:r>
      <w:r>
        <w:t xml:space="preserve">indicators </w:t>
      </w:r>
      <w:r w:rsidR="009069E6">
        <w:t>that</w:t>
      </w:r>
      <w:r>
        <w:t xml:space="preserve"> </w:t>
      </w:r>
      <w:r w:rsidR="009069E6">
        <w:t xml:space="preserve">demonstrate </w:t>
      </w:r>
      <w:r>
        <w:t xml:space="preserve">the employability of rangers trained in the </w:t>
      </w:r>
      <w:proofErr w:type="spellStart"/>
      <w:r>
        <w:t>Karajarri</w:t>
      </w:r>
      <w:proofErr w:type="spellEnd"/>
      <w:r>
        <w:t xml:space="preserve"> program across </w:t>
      </w:r>
      <w:r w:rsidR="007E5041">
        <w:t>several</w:t>
      </w:r>
      <w:r w:rsidR="009069E6">
        <w:t xml:space="preserve"> professions have</w:t>
      </w:r>
      <w:r>
        <w:t xml:space="preserve"> been elaborated. These include self-confid</w:t>
      </w:r>
      <w:r w:rsidR="009069E6">
        <w:t>ence, knowledge of Country and C</w:t>
      </w:r>
      <w:r w:rsidR="00A66B40">
        <w:t>aring for Country skills;</w:t>
      </w:r>
      <w:r>
        <w:t xml:space="preserve"> the relationship these elements have with indicators for employability </w:t>
      </w:r>
      <w:r w:rsidR="00A66B40">
        <w:t>is</w:t>
      </w:r>
      <w:r>
        <w:t xml:space="preserve"> briefly presented below.</w:t>
      </w:r>
    </w:p>
    <w:p w14:paraId="01BE19A4" w14:textId="77777777" w:rsidR="00DB6F74" w:rsidRPr="007A6D33" w:rsidRDefault="00DB6F74" w:rsidP="007F3F0E">
      <w:pPr>
        <w:pStyle w:val="Heading5"/>
      </w:pPr>
      <w:r>
        <w:t>Increased self-confidence</w:t>
      </w:r>
    </w:p>
    <w:p w14:paraId="01BE19A5" w14:textId="77777777" w:rsidR="00DB6F74" w:rsidRDefault="00A66B40" w:rsidP="00DB6F74">
      <w:r>
        <w:t xml:space="preserve">Increased self-confidence, </w:t>
      </w:r>
      <w:r w:rsidR="00DB6F74">
        <w:t xml:space="preserve">a key indicator </w:t>
      </w:r>
      <w:r>
        <w:t>for employability, is recognised</w:t>
      </w:r>
      <w:r w:rsidR="00DB6F74">
        <w:t xml:space="preserve"> throughout this study, for example: </w:t>
      </w:r>
    </w:p>
    <w:p w14:paraId="01BE19A6" w14:textId="77777777" w:rsidR="00DB6F74" w:rsidRDefault="00DB6F74" w:rsidP="00DB6F74">
      <w:pPr>
        <w:pStyle w:val="Quote"/>
      </w:pPr>
      <w:r>
        <w:t>You’re sharing that knowledge too with each other. We don’t have any shame, we don’t feel shame. We just do it. There’s confidence. Yeah, we’re confident, we build our confidence every w</w:t>
      </w:r>
      <w:r w:rsidR="009069E6">
        <w:t>eek, every day we come to work.</w:t>
      </w:r>
      <w:r w:rsidR="009069E6">
        <w:tab/>
      </w:r>
      <w:r>
        <w:t xml:space="preserve">(Men’s </w:t>
      </w:r>
      <w:r w:rsidR="009069E6">
        <w:t>ranger group</w:t>
      </w:r>
      <w:r>
        <w:t>)</w:t>
      </w:r>
    </w:p>
    <w:p w14:paraId="01BE19A7" w14:textId="77777777" w:rsidR="00DB6F74" w:rsidRPr="00E94825" w:rsidRDefault="00DB6F74" w:rsidP="00DB6F74">
      <w:pPr>
        <w:pStyle w:val="Text"/>
      </w:pPr>
      <w:r w:rsidRPr="001716DB">
        <w:t xml:space="preserve">Increased personal confidence </w:t>
      </w:r>
      <w:r>
        <w:t xml:space="preserve">was widely reported and discussed throughout the interview process. It undoubtedly contributes to an individual’s employability, leading to skills such as public speaking through chairing meetings and delivering public presentations, in addition to an understanding of and participation in cultural governance structures. These workplace skills lead to employability across a </w:t>
      </w:r>
      <w:r w:rsidRPr="00E94825">
        <w:t xml:space="preserve">range of occupations in remote communities. </w:t>
      </w:r>
    </w:p>
    <w:p w14:paraId="01BE19A8" w14:textId="77777777" w:rsidR="00DB6F74" w:rsidRPr="00E94825" w:rsidRDefault="00DB6F74" w:rsidP="007F3F0E">
      <w:pPr>
        <w:pStyle w:val="Heading5"/>
      </w:pPr>
      <w:r w:rsidRPr="00E94825">
        <w:t>Knowledge of C</w:t>
      </w:r>
      <w:r w:rsidR="009069E6">
        <w:t>ountry, C</w:t>
      </w:r>
      <w:r w:rsidRPr="00E94825">
        <w:t xml:space="preserve">aring for Country </w:t>
      </w:r>
      <w:r>
        <w:t>s</w:t>
      </w:r>
      <w:r w:rsidRPr="00E94825">
        <w:t>kills</w:t>
      </w:r>
    </w:p>
    <w:p w14:paraId="01BE19A9" w14:textId="77777777" w:rsidR="00DB6F74" w:rsidRPr="00E94825" w:rsidRDefault="00DB6F74" w:rsidP="00DB6F74">
      <w:pPr>
        <w:pStyle w:val="Text"/>
      </w:pPr>
      <w:r w:rsidRPr="00E94825">
        <w:t>Across the region</w:t>
      </w:r>
      <w:r w:rsidR="005C71EC">
        <w:t>,</w:t>
      </w:r>
      <w:r w:rsidRPr="00E94825">
        <w:t xml:space="preserve"> and no</w:t>
      </w:r>
      <w:r w:rsidR="009069E6">
        <w:t>rthern Australia more generally</w:t>
      </w:r>
      <w:r w:rsidR="005C71EC">
        <w:t>,</w:t>
      </w:r>
      <w:r w:rsidRPr="00E94825">
        <w:t xml:space="preserve"> knowled</w:t>
      </w:r>
      <w:r w:rsidR="009069E6">
        <w:t>ge of Country and C</w:t>
      </w:r>
      <w:r w:rsidRPr="00E94825">
        <w:t xml:space="preserve">aring for Country skills add significantly to a person’s employability in such industries as tourism, environmental science and heritage protection, </w:t>
      </w:r>
      <w:r w:rsidR="005C71EC">
        <w:t>and in</w:t>
      </w:r>
      <w:r w:rsidRPr="00E94825">
        <w:t xml:space="preserve"> other positions requiring </w:t>
      </w:r>
      <w:r w:rsidR="009069E6" w:rsidRPr="008A3E37">
        <w:t>cultural natural resource management</w:t>
      </w:r>
      <w:r w:rsidR="005C71EC">
        <w:t>,</w:t>
      </w:r>
      <w:r w:rsidRPr="00E94825">
        <w:t xml:space="preserve"> such as mining companies, as well as </w:t>
      </w:r>
      <w:r w:rsidR="005C71EC">
        <w:t xml:space="preserve">in </w:t>
      </w:r>
      <w:r w:rsidRPr="00E94825">
        <w:t>local employment opportunities</w:t>
      </w:r>
      <w:r w:rsidR="005C71EC">
        <w:t>,</w:t>
      </w:r>
      <w:r w:rsidRPr="00E94825">
        <w:t xml:space="preserve"> such as </w:t>
      </w:r>
      <w:r w:rsidR="005C71EC">
        <w:t xml:space="preserve">in </w:t>
      </w:r>
      <w:r w:rsidRPr="00E94825">
        <w:t>schools</w:t>
      </w:r>
      <w:r w:rsidR="009069E6">
        <w:t>,</w:t>
      </w:r>
      <w:r w:rsidRPr="00E94825">
        <w:t xml:space="preserve"> which value on-Country knowledge.</w:t>
      </w:r>
    </w:p>
    <w:p w14:paraId="01BE19AA" w14:textId="77777777" w:rsidR="00DB6F74" w:rsidRPr="00E94825" w:rsidRDefault="00DB6F74" w:rsidP="007F3F0E">
      <w:pPr>
        <w:pStyle w:val="Heading5"/>
      </w:pPr>
      <w:r w:rsidRPr="00E94825">
        <w:t xml:space="preserve">Cultural </w:t>
      </w:r>
      <w:r>
        <w:t>k</w:t>
      </w:r>
      <w:r w:rsidRPr="00E94825">
        <w:t>nowledge</w:t>
      </w:r>
    </w:p>
    <w:p w14:paraId="01BE19AB" w14:textId="77777777" w:rsidR="00DB6F74" w:rsidRDefault="00DB6F74" w:rsidP="00DB6F74">
      <w:pPr>
        <w:pStyle w:val="Text"/>
      </w:pPr>
      <w:r w:rsidRPr="00E94825">
        <w:t xml:space="preserve">Cultural knowledge is highly valued in remote communities and is </w:t>
      </w:r>
      <w:r w:rsidR="009069E6">
        <w:t xml:space="preserve">a </w:t>
      </w:r>
      <w:r w:rsidRPr="00E94825">
        <w:t xml:space="preserve">crucial central element </w:t>
      </w:r>
      <w:r w:rsidR="005C71EC">
        <w:t>in</w:t>
      </w:r>
      <w:r w:rsidRPr="00E94825">
        <w:t xml:space="preserve"> any succ</w:t>
      </w:r>
      <w:r w:rsidR="009069E6">
        <w:t>essful program</w:t>
      </w:r>
      <w:r w:rsidR="003243AC">
        <w:t xml:space="preserve">. </w:t>
      </w:r>
      <w:r w:rsidR="003243AC" w:rsidRPr="00E94825">
        <w:t xml:space="preserve">With growing interest in sustainable and cultural conservation economies </w:t>
      </w:r>
      <w:r w:rsidR="003243AC">
        <w:t>— in addition to this context —</w:t>
      </w:r>
      <w:r w:rsidR="003243AC" w:rsidRPr="00E94825">
        <w:t xml:space="preserve"> cultural knowledge is essential and transfer</w:t>
      </w:r>
      <w:r w:rsidR="003243AC">
        <w:t xml:space="preserve">able across employment pathways </w:t>
      </w:r>
      <w:r w:rsidR="009069E6">
        <w:t>and</w:t>
      </w:r>
      <w:r w:rsidRPr="00E94825">
        <w:t xml:space="preserve"> increases employability in other traditional Western positions in these locations</w:t>
      </w:r>
      <w:r w:rsidR="009069E6">
        <w:t>,</w:t>
      </w:r>
      <w:r w:rsidRPr="00E94825">
        <w:t xml:space="preserve"> such as </w:t>
      </w:r>
      <w:r w:rsidR="009069E6">
        <w:t xml:space="preserve">in </w:t>
      </w:r>
      <w:r w:rsidRPr="00E94825">
        <w:t xml:space="preserve">schools and councils, where employees need cultural </w:t>
      </w:r>
      <w:r w:rsidR="003243AC">
        <w:t>governance knowledge and skills and</w:t>
      </w:r>
      <w:r w:rsidRPr="00E94825">
        <w:t xml:space="preserve"> community lia</w:t>
      </w:r>
      <w:r w:rsidR="003243AC">
        <w:t>ison experience</w:t>
      </w:r>
      <w:r w:rsidRPr="00E94825">
        <w:t>.</w:t>
      </w:r>
      <w:r>
        <w:t xml:space="preserve"> </w:t>
      </w:r>
    </w:p>
    <w:p w14:paraId="01BE19AC" w14:textId="77777777" w:rsidR="00DB6F74" w:rsidRPr="00384E1C" w:rsidRDefault="00DB6F74" w:rsidP="00DB6F74">
      <w:pPr>
        <w:pStyle w:val="Text"/>
      </w:pPr>
      <w:r>
        <w:t>This study shows that increased self-confidence, knowledge of C</w:t>
      </w:r>
      <w:r w:rsidR="009069E6">
        <w:t>ountry, C</w:t>
      </w:r>
      <w:r>
        <w:t xml:space="preserve">aring for Country </w:t>
      </w:r>
      <w:r w:rsidR="009069E6">
        <w:t>skills and cultural knowledge —</w:t>
      </w:r>
      <w:r>
        <w:t xml:space="preserve"> together with the sharing </w:t>
      </w:r>
      <w:r w:rsidR="003243AC">
        <w:t>of this knowledge</w:t>
      </w:r>
      <w:r w:rsidR="009069E6">
        <w:t xml:space="preserve"> and skills —</w:t>
      </w:r>
      <w:r>
        <w:t xml:space="preserve"> are seen by the various participant groups to be key employability skills in this trainee group. These indicators are essential for ranger work, and are highly valued by community members and </w:t>
      </w:r>
      <w:r w:rsidR="003243AC">
        <w:t xml:space="preserve">the </w:t>
      </w:r>
      <w:r>
        <w:t xml:space="preserve">other agencies who have employed program graduates. </w:t>
      </w:r>
    </w:p>
    <w:p w14:paraId="01BE19AD" w14:textId="77777777" w:rsidR="00DB6F74" w:rsidRDefault="00DB6F74" w:rsidP="007F3F0E">
      <w:pPr>
        <w:pStyle w:val="Heading4"/>
      </w:pPr>
      <w:r>
        <w:t>Literacies and the funding challenge</w:t>
      </w:r>
    </w:p>
    <w:p w14:paraId="01BE19AE" w14:textId="77777777" w:rsidR="00DB6F74" w:rsidRDefault="00DB6F74" w:rsidP="00DB6F74">
      <w:pPr>
        <w:pStyle w:val="Text"/>
      </w:pPr>
      <w:r>
        <w:t xml:space="preserve">Acknowledged throughout the process were the issues faced by all in relation to both English language literacy and the ever-present problem of funding. While literacy was identified as a challenge in the training programs, support is constantly garnered and the obstacle is addressed in </w:t>
      </w:r>
      <w:r w:rsidR="003243AC">
        <w:t>various</w:t>
      </w:r>
      <w:r>
        <w:t xml:space="preserve"> ways. </w:t>
      </w:r>
      <w:r w:rsidR="007E5041">
        <w:t>However,</w:t>
      </w:r>
      <w:r>
        <w:t xml:space="preserve"> fundi</w:t>
      </w:r>
      <w:r w:rsidR="009069E6">
        <w:t>ng shortfalls are less straight</w:t>
      </w:r>
      <w:r>
        <w:t>forward to</w:t>
      </w:r>
      <w:r w:rsidRPr="00C4109D">
        <w:t xml:space="preserve"> </w:t>
      </w:r>
      <w:r>
        <w:t>deal with.</w:t>
      </w:r>
    </w:p>
    <w:p w14:paraId="01BE19AF" w14:textId="77777777" w:rsidR="00DB6F74" w:rsidRDefault="00DB6F74" w:rsidP="007F3F0E">
      <w:pPr>
        <w:pStyle w:val="Heading5"/>
      </w:pPr>
      <w:r>
        <w:t xml:space="preserve">English </w:t>
      </w:r>
      <w:r w:rsidR="009D0DA5">
        <w:t>l</w:t>
      </w:r>
      <w:r>
        <w:t xml:space="preserve">iteracy </w:t>
      </w:r>
    </w:p>
    <w:p w14:paraId="01BE19B0" w14:textId="77777777" w:rsidR="00DB6F74" w:rsidRPr="008A3E37" w:rsidRDefault="00DB6F74" w:rsidP="00DB6F74">
      <w:pPr>
        <w:rPr>
          <w:rFonts w:cs="Arial"/>
        </w:rPr>
      </w:pPr>
      <w:r>
        <w:rPr>
          <w:rFonts w:cs="Arial"/>
        </w:rPr>
        <w:t>For thes</w:t>
      </w:r>
      <w:r w:rsidR="009069E6">
        <w:rPr>
          <w:rFonts w:cs="Arial"/>
        </w:rPr>
        <w:t>e Kriol and Aboriginal English s</w:t>
      </w:r>
      <w:r>
        <w:rPr>
          <w:rFonts w:cs="Arial"/>
        </w:rPr>
        <w:t xml:space="preserve">peakers, </w:t>
      </w:r>
      <w:r w:rsidRPr="008A3E37">
        <w:rPr>
          <w:rFonts w:cs="Arial"/>
        </w:rPr>
        <w:t xml:space="preserve">English language literacy is acquired formally and informally as part of the </w:t>
      </w:r>
      <w:r>
        <w:rPr>
          <w:rFonts w:cs="Arial"/>
        </w:rPr>
        <w:t>learning program</w:t>
      </w:r>
      <w:r w:rsidRPr="008A3E37">
        <w:rPr>
          <w:rFonts w:cs="Arial"/>
        </w:rPr>
        <w:t xml:space="preserve">. TAFE lecturers visit </w:t>
      </w:r>
      <w:proofErr w:type="spellStart"/>
      <w:r w:rsidRPr="008A3E37">
        <w:rPr>
          <w:rFonts w:cs="Arial"/>
        </w:rPr>
        <w:t>Bidyadanga</w:t>
      </w:r>
      <w:proofErr w:type="spellEnd"/>
      <w:r w:rsidRPr="008A3E37">
        <w:rPr>
          <w:rFonts w:cs="Arial"/>
        </w:rPr>
        <w:t xml:space="preserve"> to deliver units of work formally, </w:t>
      </w:r>
      <w:r>
        <w:rPr>
          <w:rFonts w:cs="Arial"/>
        </w:rPr>
        <w:t>as well as</w:t>
      </w:r>
      <w:r w:rsidRPr="008A3E37">
        <w:rPr>
          <w:rFonts w:cs="Arial"/>
        </w:rPr>
        <w:t xml:space="preserve"> </w:t>
      </w:r>
      <w:r w:rsidR="003243AC">
        <w:rPr>
          <w:rFonts w:cs="Arial"/>
        </w:rPr>
        <w:t xml:space="preserve">provide </w:t>
      </w:r>
      <w:r w:rsidRPr="008A3E37">
        <w:rPr>
          <w:rFonts w:cs="Arial"/>
        </w:rPr>
        <w:t xml:space="preserve">a range of less formal opportunities to develop skills. The extra literacy needed can be problematic, as the following quote shows: </w:t>
      </w:r>
    </w:p>
    <w:p w14:paraId="01BE19B1" w14:textId="77777777" w:rsidR="00DB6F74" w:rsidRPr="00224BCC" w:rsidRDefault="00DB6F74" w:rsidP="00DB6F74">
      <w:pPr>
        <w:pStyle w:val="Quote"/>
        <w:rPr>
          <w:rFonts w:eastAsiaTheme="minorHAnsi"/>
        </w:rPr>
      </w:pPr>
      <w:r w:rsidRPr="00224BCC">
        <w:rPr>
          <w:rFonts w:eastAsiaTheme="minorHAnsi"/>
        </w:rPr>
        <w:t xml:space="preserve">They need to be enrolled in a unit in order for the literacy and numeracy lecturers to get out there. That’s hard to attach. We’ve actually had to enrol people in kind of units, not necessarily, the </w:t>
      </w:r>
      <w:proofErr w:type="spellStart"/>
      <w:r w:rsidRPr="00224BCC">
        <w:rPr>
          <w:rFonts w:eastAsiaTheme="minorHAnsi"/>
        </w:rPr>
        <w:t>done</w:t>
      </w:r>
      <w:proofErr w:type="spellEnd"/>
      <w:r w:rsidRPr="00224BCC">
        <w:rPr>
          <w:rFonts w:eastAsiaTheme="minorHAnsi"/>
        </w:rPr>
        <w:t xml:space="preserve"> thing but in order for them to get their literacy and numeracy support.</w:t>
      </w:r>
      <w:r w:rsidR="009069E6">
        <w:rPr>
          <w:rFonts w:eastAsiaTheme="minorHAnsi"/>
        </w:rPr>
        <w:tab/>
      </w:r>
      <w:r w:rsidR="009069E6">
        <w:rPr>
          <w:rFonts w:eastAsiaTheme="minorHAnsi"/>
        </w:rPr>
        <w:tab/>
      </w:r>
      <w:r>
        <w:rPr>
          <w:rFonts w:eastAsiaTheme="minorHAnsi"/>
        </w:rPr>
        <w:t xml:space="preserve">(Education </w:t>
      </w:r>
      <w:r w:rsidR="009069E6">
        <w:rPr>
          <w:rFonts w:eastAsiaTheme="minorHAnsi"/>
        </w:rPr>
        <w:t>provider group</w:t>
      </w:r>
      <w:r>
        <w:rPr>
          <w:rFonts w:eastAsiaTheme="minorHAnsi"/>
        </w:rPr>
        <w:t>)</w:t>
      </w:r>
    </w:p>
    <w:p w14:paraId="01BE19B2" w14:textId="77777777" w:rsidR="00DB6F74" w:rsidRDefault="00DB6F74" w:rsidP="00DB6F74">
      <w:pPr>
        <w:pStyle w:val="Text"/>
      </w:pPr>
      <w:r>
        <w:t>According to the education provider group, l</w:t>
      </w:r>
      <w:r w:rsidRPr="00E338BB">
        <w:t xml:space="preserve">iteracy levels can hold back </w:t>
      </w:r>
      <w:r>
        <w:t xml:space="preserve">a ranger from progressing past </w:t>
      </w:r>
      <w:r w:rsidR="0073414E">
        <w:t>certificate</w:t>
      </w:r>
      <w:r w:rsidRPr="00E338BB">
        <w:t xml:space="preserve"> </w:t>
      </w:r>
      <w:r>
        <w:t>III</w:t>
      </w:r>
      <w:r w:rsidRPr="00E338BB">
        <w:t xml:space="preserve"> and onto </w:t>
      </w:r>
      <w:r w:rsidR="0073414E">
        <w:t>certificate</w:t>
      </w:r>
      <w:r>
        <w:t xml:space="preserve"> IV. One of the interviewee</w:t>
      </w:r>
      <w:r w:rsidRPr="00E338BB">
        <w:t xml:space="preserve">s explained that visual learning of literacy worked effectively for </w:t>
      </w:r>
      <w:r>
        <w:t>them.</w:t>
      </w:r>
      <w:r w:rsidRPr="00E338BB">
        <w:t xml:space="preserve"> </w:t>
      </w:r>
      <w:r>
        <w:t xml:space="preserve">In </w:t>
      </w:r>
      <w:r w:rsidR="00703CC2">
        <w:t>general,</w:t>
      </w:r>
      <w:r w:rsidR="009069E6">
        <w:t xml:space="preserve"> it seems that literacy </w:t>
      </w:r>
      <w:r>
        <w:t xml:space="preserve">learning </w:t>
      </w:r>
      <w:r w:rsidR="003243AC">
        <w:t xml:space="preserve">is conducted on an as-needs basis. </w:t>
      </w:r>
      <w:r w:rsidR="009069E6">
        <w:t>While</w:t>
      </w:r>
      <w:r>
        <w:t xml:space="preserve"> this is a challenge, there are rangers in the overarching Kimberley Ranger Program who have now passed or are about to pass </w:t>
      </w:r>
      <w:r w:rsidR="0073414E">
        <w:t>certificate</w:t>
      </w:r>
      <w:r>
        <w:t xml:space="preserve"> IV, and some of these are now preparing to continue their studies at university in areas such as environmental science.</w:t>
      </w:r>
    </w:p>
    <w:p w14:paraId="01BE19B3" w14:textId="77777777" w:rsidR="00DB6F74" w:rsidRPr="00453CBC" w:rsidRDefault="00DB6F74" w:rsidP="00DB6F74">
      <w:pPr>
        <w:pStyle w:val="Text"/>
      </w:pPr>
      <w:r>
        <w:t xml:space="preserve">Literacy </w:t>
      </w:r>
      <w:r w:rsidR="003243AC">
        <w:t>is a component of a</w:t>
      </w:r>
      <w:r w:rsidRPr="00B2393F">
        <w:t xml:space="preserve"> </w:t>
      </w:r>
      <w:r w:rsidR="00456294">
        <w:t xml:space="preserve">successful </w:t>
      </w:r>
      <w:r w:rsidRPr="00B2393F">
        <w:t>learning context</w:t>
      </w:r>
      <w:r w:rsidR="00456294">
        <w:t xml:space="preserve">. </w:t>
      </w:r>
      <w:r w:rsidRPr="00B2393F">
        <w:t>Interestingly</w:t>
      </w:r>
      <w:r w:rsidR="00456294">
        <w:t>,</w:t>
      </w:r>
      <w:r w:rsidRPr="00B2393F">
        <w:t xml:space="preserve"> during the interviews, there were discussions with both the cultural advisor</w:t>
      </w:r>
      <w:r w:rsidR="00456294">
        <w:t>y group and the educators group</w:t>
      </w:r>
      <w:r w:rsidRPr="00B2393F">
        <w:t xml:space="preserve"> </w:t>
      </w:r>
      <w:r w:rsidR="00456294">
        <w:t xml:space="preserve">indicating </w:t>
      </w:r>
      <w:r w:rsidRPr="00B2393F">
        <w:t>that</w:t>
      </w:r>
      <w:r w:rsidR="00456294">
        <w:t>,</w:t>
      </w:r>
      <w:r>
        <w:t xml:space="preserve"> in addition to overcoming th</w:t>
      </w:r>
      <w:r w:rsidR="00456294">
        <w:t>e literacy hurdle</w:t>
      </w:r>
      <w:r w:rsidRPr="00B2393F">
        <w:t xml:space="preserve">, some thought needs to be </w:t>
      </w:r>
      <w:r w:rsidR="00456294">
        <w:t>given to</w:t>
      </w:r>
      <w:r w:rsidRPr="00B2393F">
        <w:t xml:space="preserve"> turning the learning model upside down, so that literacy and Western learning frameworks are on the per</w:t>
      </w:r>
      <w:r w:rsidR="00456294">
        <w:t>iphery and Aboriginal knowledge</w:t>
      </w:r>
      <w:r w:rsidRPr="00B2393F">
        <w:t xml:space="preserve"> and frameworks are central.</w:t>
      </w:r>
    </w:p>
    <w:p w14:paraId="01BE19B4" w14:textId="77777777" w:rsidR="00DB6F74" w:rsidRDefault="00DB6F74" w:rsidP="007F3F0E">
      <w:pPr>
        <w:pStyle w:val="Heading5"/>
      </w:pPr>
      <w:r>
        <w:t>Funding</w:t>
      </w:r>
    </w:p>
    <w:p w14:paraId="01BE19B5" w14:textId="77777777" w:rsidR="00DB6F74" w:rsidRPr="00554847" w:rsidRDefault="00DB6F74" w:rsidP="00DB6F74">
      <w:pPr>
        <w:pStyle w:val="Text"/>
      </w:pPr>
      <w:r w:rsidRPr="00554847">
        <w:t xml:space="preserve">Funding appears to be an ongoing issue in </w:t>
      </w:r>
      <w:r>
        <w:t xml:space="preserve">both the </w:t>
      </w:r>
      <w:r w:rsidRPr="00554847">
        <w:t>ranger</w:t>
      </w:r>
      <w:r>
        <w:t xml:space="preserve"> program itself and in some areas of the provision of</w:t>
      </w:r>
      <w:r w:rsidRPr="00554847">
        <w:t xml:space="preserve"> training</w:t>
      </w:r>
      <w:r w:rsidR="00456294">
        <w:t>, a similar situation</w:t>
      </w:r>
      <w:r>
        <w:t xml:space="preserve"> to </w:t>
      </w:r>
      <w:r w:rsidR="00456294">
        <w:t>other</w:t>
      </w:r>
      <w:r>
        <w:t xml:space="preserve"> remote contexts</w:t>
      </w:r>
      <w:r w:rsidRPr="00554847">
        <w:t xml:space="preserve">. The following quote illustrates the creativity that has arisen </w:t>
      </w:r>
      <w:r w:rsidR="00703CC2" w:rsidRPr="00554847">
        <w:t>because of</w:t>
      </w:r>
      <w:r w:rsidRPr="00554847">
        <w:t xml:space="preserve"> funds scarcity:</w:t>
      </w:r>
    </w:p>
    <w:p w14:paraId="01BE19B6" w14:textId="77777777" w:rsidR="00DB6F74" w:rsidRDefault="00DB6F74" w:rsidP="00DB6F74">
      <w:pPr>
        <w:pStyle w:val="Quote"/>
        <w:rPr>
          <w:rFonts w:eastAsiaTheme="minorHAnsi"/>
        </w:rPr>
      </w:pPr>
      <w:r w:rsidRPr="007A7BCA">
        <w:rPr>
          <w:rFonts w:eastAsiaTheme="minorHAnsi"/>
        </w:rPr>
        <w:t>Funding can stop that happening out of the community. We need resources and funds to actually fund positions.</w:t>
      </w:r>
      <w:r>
        <w:rPr>
          <w:rFonts w:eastAsiaTheme="minorHAnsi"/>
        </w:rPr>
        <w:t xml:space="preserve"> </w:t>
      </w:r>
      <w:r w:rsidRPr="007A7BCA">
        <w:rPr>
          <w:rFonts w:eastAsiaTheme="minorHAnsi"/>
        </w:rPr>
        <w:t xml:space="preserve">I guess at the most basic level, funding and the equals is a barrier and more so for some groups. I think we’re getting better at partnerships. That </w:t>
      </w:r>
      <w:r w:rsidR="00456294">
        <w:rPr>
          <w:rFonts w:eastAsiaTheme="minorHAnsi"/>
        </w:rPr>
        <w:t>…</w:t>
      </w:r>
      <w:r w:rsidRPr="007A7BCA">
        <w:rPr>
          <w:rFonts w:eastAsiaTheme="minorHAnsi"/>
        </w:rPr>
        <w:t xml:space="preserve"> mob over there with resources, there will always be some kind of </w:t>
      </w:r>
      <w:r w:rsidR="00456294">
        <w:rPr>
          <w:rFonts w:eastAsiaTheme="minorHAnsi"/>
        </w:rPr>
        <w:t xml:space="preserve">… </w:t>
      </w:r>
      <w:r w:rsidRPr="007A7BCA">
        <w:rPr>
          <w:rFonts w:eastAsiaTheme="minorHAnsi"/>
        </w:rPr>
        <w:t xml:space="preserve">in </w:t>
      </w:r>
      <w:proofErr w:type="spellStart"/>
      <w:r w:rsidRPr="007A7BCA">
        <w:rPr>
          <w:rFonts w:eastAsiaTheme="minorHAnsi"/>
        </w:rPr>
        <w:t>Bidyadanga</w:t>
      </w:r>
      <w:proofErr w:type="spellEnd"/>
      <w:r w:rsidRPr="007A7BCA">
        <w:rPr>
          <w:rFonts w:eastAsiaTheme="minorHAnsi"/>
        </w:rPr>
        <w:t>. It will change names but if that means there’s always a potential source of rangers there, if we can strike up a partnership.</w:t>
      </w:r>
      <w:r>
        <w:rPr>
          <w:rFonts w:eastAsiaTheme="minorHAnsi"/>
        </w:rPr>
        <w:t xml:space="preserve"> </w:t>
      </w:r>
      <w:r w:rsidRPr="007A7BCA">
        <w:rPr>
          <w:rFonts w:eastAsiaTheme="minorHAnsi"/>
        </w:rPr>
        <w:t>You can strike up a partnership with the school. People want to do work experience to become a ranger for a couple of weeks, like that.</w:t>
      </w:r>
      <w:r>
        <w:rPr>
          <w:rFonts w:eastAsiaTheme="minorHAnsi"/>
        </w:rPr>
        <w:t xml:space="preserve"> </w:t>
      </w:r>
      <w:r w:rsidRPr="007A7BCA">
        <w:rPr>
          <w:rFonts w:eastAsiaTheme="minorHAnsi"/>
        </w:rPr>
        <w:t>It’s just about us having the capacity to host people in a good way. We need to keep them interested.</w:t>
      </w:r>
      <w:r w:rsidR="00456294">
        <w:rPr>
          <w:rFonts w:eastAsiaTheme="minorHAnsi"/>
        </w:rPr>
        <w:tab/>
      </w:r>
      <w:r>
        <w:rPr>
          <w:rFonts w:eastAsiaTheme="minorHAnsi"/>
        </w:rPr>
        <w:t xml:space="preserve">(Cultural </w:t>
      </w:r>
      <w:r w:rsidR="00456294">
        <w:rPr>
          <w:rFonts w:eastAsiaTheme="minorHAnsi"/>
        </w:rPr>
        <w:t>advisor group</w:t>
      </w:r>
      <w:r>
        <w:rPr>
          <w:rFonts w:eastAsiaTheme="minorHAnsi"/>
        </w:rPr>
        <w:t>)</w:t>
      </w:r>
    </w:p>
    <w:p w14:paraId="01BE19B7" w14:textId="77777777" w:rsidR="00DB6F74" w:rsidRPr="007A7BCA" w:rsidRDefault="00DB6F74" w:rsidP="00DB6F74">
      <w:pPr>
        <w:pStyle w:val="Text"/>
        <w:rPr>
          <w:rFonts w:eastAsiaTheme="minorHAnsi"/>
        </w:rPr>
      </w:pPr>
      <w:r w:rsidRPr="00554847">
        <w:t>Clearly, there would be many more ranger</w:t>
      </w:r>
      <w:r w:rsidR="00456294">
        <w:t>s if funds for ranger training —</w:t>
      </w:r>
      <w:r w:rsidRPr="00554847">
        <w:t xml:space="preserve"> and ranger positions </w:t>
      </w:r>
      <w:r w:rsidR="00456294">
        <w:t>—</w:t>
      </w:r>
      <w:r w:rsidRPr="00554847">
        <w:t xml:space="preserve"> were more readily available.</w:t>
      </w:r>
    </w:p>
    <w:p w14:paraId="01BE19B8" w14:textId="77777777" w:rsidR="00DB6F74" w:rsidRPr="007F3F0E" w:rsidRDefault="00DB6F74" w:rsidP="007F3F0E">
      <w:pPr>
        <w:pStyle w:val="Heading3"/>
      </w:pPr>
      <w:r w:rsidRPr="007F3F0E">
        <w:t>Discussion</w:t>
      </w:r>
    </w:p>
    <w:p w14:paraId="01BE19B9" w14:textId="77777777" w:rsidR="00DB6F74" w:rsidRDefault="00DB6F74" w:rsidP="00DB6F74">
      <w:pPr>
        <w:pStyle w:val="Text"/>
      </w:pPr>
      <w:r w:rsidRPr="008A3E37">
        <w:t>The close relationship</w:t>
      </w:r>
      <w:r>
        <w:t>s</w:t>
      </w:r>
      <w:r w:rsidRPr="008A3E37">
        <w:t xml:space="preserve"> </w:t>
      </w:r>
      <w:r>
        <w:t xml:space="preserve">observed </w:t>
      </w:r>
      <w:r w:rsidRPr="008A3E37">
        <w:t xml:space="preserve">between the education providers </w:t>
      </w:r>
      <w:r>
        <w:t xml:space="preserve">and rangers </w:t>
      </w:r>
      <w:r w:rsidR="00456294">
        <w:t>has not always been smooth;</w:t>
      </w:r>
      <w:r w:rsidRPr="008A3E37">
        <w:t xml:space="preserve"> </w:t>
      </w:r>
      <w:r w:rsidRPr="00044A38">
        <w:t>however</w:t>
      </w:r>
      <w:r w:rsidR="00456294">
        <w:t>,</w:t>
      </w:r>
      <w:r w:rsidRPr="00044A38">
        <w:t xml:space="preserve"> these connections now underpin the success of the project. Some of this ‘corporate’ knowledge about ranger training has been built up over the decade since the </w:t>
      </w:r>
      <w:proofErr w:type="spellStart"/>
      <w:r w:rsidRPr="00044A38">
        <w:t>Karajarri</w:t>
      </w:r>
      <w:proofErr w:type="spellEnd"/>
      <w:r w:rsidRPr="00044A38">
        <w:t xml:space="preserve"> program started and the decade prior as they endeavoured to secure a program. The accumulation of knowledge about ranger training in the community held by the rangers and</w:t>
      </w:r>
      <w:r w:rsidR="00456294">
        <w:t xml:space="preserve"> the education providers</w:t>
      </w:r>
      <w:r w:rsidRPr="00044A38">
        <w:t xml:space="preserve"> is both a </w:t>
      </w:r>
      <w:r w:rsidR="00456294">
        <w:t>testimony to all those involved</w:t>
      </w:r>
      <w:r w:rsidRPr="00044A38">
        <w:t xml:space="preserve"> and </w:t>
      </w:r>
      <w:r w:rsidR="00456294">
        <w:t>an indicator of</w:t>
      </w:r>
      <w:r w:rsidRPr="00044A38">
        <w:t xml:space="preserve"> the time </w:t>
      </w:r>
      <w:r w:rsidR="00456294">
        <w:t xml:space="preserve">needed by </w:t>
      </w:r>
      <w:r w:rsidRPr="00044A38">
        <w:t>programs to demonstrate success and imp</w:t>
      </w:r>
      <w:r w:rsidR="00456294">
        <w:t>act. Learning to work together —</w:t>
      </w:r>
      <w:r w:rsidRPr="00044A38">
        <w:t xml:space="preserve"> two-ways at the organisational level using methods that align with cultural gove</w:t>
      </w:r>
      <w:r w:rsidR="00456294">
        <w:t>rnance —</w:t>
      </w:r>
      <w:r w:rsidRPr="00044A38">
        <w:t xml:space="preserve"> takes time and considerable process.</w:t>
      </w:r>
      <w:r>
        <w:t xml:space="preserve"> Put simply, it takes time to work out the ‘right way’.</w:t>
      </w:r>
    </w:p>
    <w:p w14:paraId="01BE19BA" w14:textId="77777777" w:rsidR="00DB6F74" w:rsidRDefault="00DB6F74" w:rsidP="00DB6F74">
      <w:pPr>
        <w:pStyle w:val="Text"/>
      </w:pPr>
      <w:r>
        <w:t xml:space="preserve">We now return to the key questions </w:t>
      </w:r>
      <w:r w:rsidRPr="00B56CDC">
        <w:t xml:space="preserve">being addressed in this </w:t>
      </w:r>
      <w:r>
        <w:t xml:space="preserve">case </w:t>
      </w:r>
      <w:r w:rsidRPr="00B56CDC">
        <w:t xml:space="preserve">study. The first is: how can retention and completion in post-school training be improved (to improve employability) for Aboriginal and Torres Strait Islanders living in remote communities? </w:t>
      </w:r>
    </w:p>
    <w:p w14:paraId="01BE19BB" w14:textId="77777777" w:rsidR="00DB6F74" w:rsidRPr="0055140F" w:rsidRDefault="00DB6F74" w:rsidP="00DB6F74">
      <w:pPr>
        <w:pStyle w:val="Text"/>
      </w:pPr>
      <w:r>
        <w:t xml:space="preserve">The </w:t>
      </w:r>
      <w:proofErr w:type="spellStart"/>
      <w:r>
        <w:t>Karajarri</w:t>
      </w:r>
      <w:proofErr w:type="spellEnd"/>
      <w:r>
        <w:t xml:space="preserve"> </w:t>
      </w:r>
      <w:r w:rsidR="00456294">
        <w:t xml:space="preserve">Ranger Training </w:t>
      </w:r>
      <w:r>
        <w:t xml:space="preserve">model is holistic, culturally aligned and collaborative, so </w:t>
      </w:r>
      <w:r w:rsidR="00CE73DC">
        <w:t>extracting</w:t>
      </w:r>
      <w:r>
        <w:t xml:space="preserve"> single elements to improve employability is not </w:t>
      </w:r>
      <w:r w:rsidR="00456294">
        <w:t>valid;</w:t>
      </w:r>
      <w:r>
        <w:t xml:space="preserve"> nonetheless</w:t>
      </w:r>
      <w:r w:rsidR="00456294">
        <w:t>,</w:t>
      </w:r>
      <w:r w:rsidRPr="00554847">
        <w:t xml:space="preserve"> </w:t>
      </w:r>
      <w:r>
        <w:t>relationships of care seem to be</w:t>
      </w:r>
      <w:r w:rsidRPr="00554847">
        <w:t xml:space="preserve"> a fundamental part of the success of the program. </w:t>
      </w:r>
      <w:r>
        <w:t>The real-life, practical purpose of</w:t>
      </w:r>
      <w:r w:rsidRPr="00554847">
        <w:t xml:space="preserve"> </w:t>
      </w:r>
      <w:r w:rsidR="00456294">
        <w:t>C</w:t>
      </w:r>
      <w:r>
        <w:t xml:space="preserve">aring for Country, responsibility for which is enacted through a commitment to effective sharing and receiving </w:t>
      </w:r>
      <w:r w:rsidR="00CE73DC">
        <w:t xml:space="preserve">both </w:t>
      </w:r>
      <w:r>
        <w:t>cu</w:t>
      </w:r>
      <w:r w:rsidR="00CE73DC">
        <w:t>ltural and scientific knowledge</w:t>
      </w:r>
      <w:r>
        <w:t xml:space="preserve">, </w:t>
      </w:r>
      <w:r w:rsidR="00456294">
        <w:t>is</w:t>
      </w:r>
      <w:r>
        <w:t xml:space="preserve"> also highly significant to the success of the project. This is because rangers themselves are collaboratively supported within</w:t>
      </w:r>
      <w:r w:rsidRPr="00554847">
        <w:t xml:space="preserve"> a safe framework for </w:t>
      </w:r>
      <w:r>
        <w:t xml:space="preserve">their </w:t>
      </w:r>
      <w:r w:rsidRPr="00554847">
        <w:t>individual success and achievement</w:t>
      </w:r>
      <w:r w:rsidR="00456294">
        <w:t>,</w:t>
      </w:r>
      <w:r w:rsidRPr="00554847">
        <w:t xml:space="preserve"> </w:t>
      </w:r>
      <w:r>
        <w:t xml:space="preserve">which is recognised and acknowledged by family and community members. An </w:t>
      </w:r>
      <w:r w:rsidRPr="0055140F">
        <w:t xml:space="preserve">important component of the answer to this question of improving retention, completion and employability is that of the time it takes to properly refine a culturally aligned program. In other words, </w:t>
      </w:r>
      <w:r w:rsidR="00CE73DC">
        <w:t xml:space="preserve">improving </w:t>
      </w:r>
      <w:r w:rsidRPr="0055140F">
        <w:t>employability in remote communities needs culturally aligned community participation, which needs time, resources, cultural knowledge and funds to establish.</w:t>
      </w:r>
    </w:p>
    <w:p w14:paraId="01BE19BC" w14:textId="77777777" w:rsidR="00DB6F74" w:rsidRPr="0055140F" w:rsidRDefault="00DB6F74" w:rsidP="00DB6F74">
      <w:pPr>
        <w:widowControl w:val="0"/>
        <w:rPr>
          <w:rFonts w:cs="Arial"/>
        </w:rPr>
      </w:pPr>
      <w:r w:rsidRPr="0055140F">
        <w:rPr>
          <w:rFonts w:cs="Arial"/>
        </w:rPr>
        <w:t>There were two sub-questions, as follows:</w:t>
      </w:r>
    </w:p>
    <w:p w14:paraId="01BE19BD" w14:textId="77777777" w:rsidR="00DB6F74" w:rsidRPr="0055140F" w:rsidRDefault="00DB6F74" w:rsidP="00A961ED">
      <w:pPr>
        <w:pStyle w:val="Dotpoint1"/>
      </w:pPr>
      <w:r w:rsidRPr="0055140F">
        <w:t>Which models of adult training work well (or not) to achieve completion and employability outcomes in each site?</w:t>
      </w:r>
    </w:p>
    <w:p w14:paraId="01BE19BE" w14:textId="77777777" w:rsidR="00DB6F74" w:rsidRPr="0055140F" w:rsidRDefault="00DB6F74" w:rsidP="00DB6F74">
      <w:pPr>
        <w:pStyle w:val="Text"/>
      </w:pPr>
      <w:r w:rsidRPr="0055140F">
        <w:t>This</w:t>
      </w:r>
      <w:r w:rsidR="00CE73DC">
        <w:t xml:space="preserve"> study of the </w:t>
      </w:r>
      <w:proofErr w:type="spellStart"/>
      <w:r w:rsidR="00CE73DC">
        <w:t>Karajarri</w:t>
      </w:r>
      <w:proofErr w:type="spellEnd"/>
      <w:r w:rsidR="00CE73DC">
        <w:t xml:space="preserve"> Ranger P</w:t>
      </w:r>
      <w:r w:rsidRPr="0055140F">
        <w:t>rogram shows that</w:t>
      </w:r>
      <w:r w:rsidR="00456294">
        <w:t>,</w:t>
      </w:r>
      <w:r w:rsidRPr="0055140F">
        <w:t xml:space="preserve"> in remote communities such as </w:t>
      </w:r>
      <w:proofErr w:type="spellStart"/>
      <w:r w:rsidRPr="0055140F">
        <w:t>Bidyadanga</w:t>
      </w:r>
      <w:proofErr w:type="spellEnd"/>
      <w:r w:rsidRPr="0055140F">
        <w:t>, retention and completion can be improved with an effective on-the-job training model based upon collaborative, supportive two-way learning. The model is aligned with cultural governance in terms of cultural purpose</w:t>
      </w:r>
      <w:r w:rsidR="00456294">
        <w:t>, which is C</w:t>
      </w:r>
      <w:r w:rsidR="00CE73DC">
        <w:t>aring for Country. A</w:t>
      </w:r>
      <w:r w:rsidRPr="0055140F">
        <w:t xml:space="preserve">n essential element is the recognition by the education providers of </w:t>
      </w:r>
      <w:r w:rsidR="00456294">
        <w:t xml:space="preserve">the </w:t>
      </w:r>
      <w:r w:rsidRPr="0055140F">
        <w:t>cultural knowledge of the trainees. Within this model, elders are teachers of cultural knowledge. Rang</w:t>
      </w:r>
      <w:r w:rsidR="00CE73DC">
        <w:t xml:space="preserve">ers learn ‘both-ways’ </w:t>
      </w:r>
      <w:r w:rsidR="00CE73DC" w:rsidRPr="00871991">
        <w:t>knowledge:</w:t>
      </w:r>
      <w:r w:rsidRPr="00871991">
        <w:t xml:space="preserve"> </w:t>
      </w:r>
      <w:proofErr w:type="spellStart"/>
      <w:r w:rsidRPr="00871991">
        <w:rPr>
          <w:i/>
        </w:rPr>
        <w:t>kardiya</w:t>
      </w:r>
      <w:proofErr w:type="spellEnd"/>
      <w:r w:rsidRPr="00871991">
        <w:t xml:space="preserve"> knowledge</w:t>
      </w:r>
      <w:r w:rsidR="00CE73DC">
        <w:t>,</w:t>
      </w:r>
      <w:r w:rsidRPr="0055140F">
        <w:t xml:space="preserve"> such as science</w:t>
      </w:r>
      <w:r w:rsidR="00CE73DC">
        <w:t>,</w:t>
      </w:r>
      <w:r w:rsidRPr="0055140F">
        <w:t xml:space="preserve"> and cultural knowledge of Country as c</w:t>
      </w:r>
      <w:r w:rsidR="00456294">
        <w:t>ore content for learning. While</w:t>
      </w:r>
      <w:r w:rsidRPr="0055140F">
        <w:t xml:space="preserve"> we call it a training model, it is really a facilitation model of learning and the incorporation of knowledge that is valued by all.</w:t>
      </w:r>
    </w:p>
    <w:p w14:paraId="01BE19BF" w14:textId="77777777" w:rsidR="00DB6F74" w:rsidRPr="0055140F" w:rsidRDefault="00DB6F74" w:rsidP="00A961ED">
      <w:pPr>
        <w:pStyle w:val="Dotpoint1"/>
      </w:pPr>
      <w:r w:rsidRPr="0055140F">
        <w:t>How do factors of funding, andragogy, individual agency, cultural attachments, geography, employment service delivery, English language literacy, digital literacies, and job availability effect improved engagement, retention and completion of training?</w:t>
      </w:r>
    </w:p>
    <w:p w14:paraId="01BE19C0" w14:textId="3948C82A" w:rsidR="00DB6F74" w:rsidRPr="0055140F" w:rsidRDefault="00DB6F74" w:rsidP="00DB6F74">
      <w:pPr>
        <w:pStyle w:val="Text"/>
      </w:pPr>
      <w:r w:rsidRPr="0055140F">
        <w:t>In summary, these factors each form part of a holistic, culturally aligned adult learning approach. Thus, individual learning within a collaborative suppo</w:t>
      </w:r>
      <w:r w:rsidR="00456294">
        <w:t xml:space="preserve">rt structure </w:t>
      </w:r>
      <w:r w:rsidR="00CE73DC">
        <w:t>and which</w:t>
      </w:r>
      <w:r w:rsidR="00456294">
        <w:t xml:space="preserve"> is culturally </w:t>
      </w:r>
      <w:r w:rsidRPr="0055140F">
        <w:t xml:space="preserve">based </w:t>
      </w:r>
      <w:r w:rsidR="00122B7A">
        <w:br/>
      </w:r>
      <w:bookmarkStart w:id="43" w:name="_GoBack"/>
      <w:bookmarkEnd w:id="43"/>
      <w:r w:rsidRPr="0055140F">
        <w:t>on-Country is expected to bring about improved engagement, retention and completion.</w:t>
      </w:r>
    </w:p>
    <w:p w14:paraId="01BE19C1" w14:textId="77777777" w:rsidR="00DB6F74" w:rsidRPr="00604245" w:rsidRDefault="00DB6F74" w:rsidP="00DB6F74">
      <w:pPr>
        <w:pStyle w:val="Text"/>
      </w:pPr>
      <w:r w:rsidRPr="0055140F">
        <w:t>The second overarching question asked: what indicators o</w:t>
      </w:r>
      <w:r w:rsidR="00CE73DC">
        <w:t>f success other than completion</w:t>
      </w:r>
      <w:r w:rsidRPr="0055140F">
        <w:t xml:space="preserve"> would be important for training in remote communities</w:t>
      </w:r>
      <w:r>
        <w:t xml:space="preserve"> (to improve employability)? In this instance, the </w:t>
      </w:r>
      <w:proofErr w:type="spellStart"/>
      <w:r>
        <w:t>Karajarri</w:t>
      </w:r>
      <w:proofErr w:type="spellEnd"/>
      <w:r>
        <w:t xml:space="preserve"> </w:t>
      </w:r>
      <w:r w:rsidR="00CE73DC">
        <w:t xml:space="preserve">Ranger Training </w:t>
      </w:r>
      <w:r>
        <w:t>study showed that</w:t>
      </w:r>
      <w:r w:rsidR="00456294">
        <w:t>,</w:t>
      </w:r>
      <w:r>
        <w:t xml:space="preserve"> in the </w:t>
      </w:r>
      <w:proofErr w:type="spellStart"/>
      <w:r>
        <w:t>Bidyadanga</w:t>
      </w:r>
      <w:proofErr w:type="spellEnd"/>
      <w:r>
        <w:t xml:space="preserve"> remote community, success factors other than completion include increased personal confidence, knowledge of C</w:t>
      </w:r>
      <w:r w:rsidR="00456294">
        <w:t>ountry, cultural knowledge and C</w:t>
      </w:r>
      <w:r>
        <w:t>aring for Country skills, as well as the transmission and sharing of this cultural knowledge, language, skills and responsibilities.</w:t>
      </w:r>
    </w:p>
    <w:p w14:paraId="01BE19C2" w14:textId="77777777" w:rsidR="00DB6F74" w:rsidRDefault="00DB6F74" w:rsidP="007F3F0E">
      <w:pPr>
        <w:pStyle w:val="Heading3"/>
      </w:pPr>
      <w:r w:rsidRPr="005B3C29">
        <w:t>Conclusion</w:t>
      </w:r>
    </w:p>
    <w:p w14:paraId="01BE19C3" w14:textId="77777777" w:rsidR="00DB6F74" w:rsidRDefault="00DB6F74" w:rsidP="00DB6F74">
      <w:pPr>
        <w:pStyle w:val="Text"/>
      </w:pPr>
      <w:r>
        <w:t xml:space="preserve">A study of </w:t>
      </w:r>
      <w:r w:rsidR="00456294">
        <w:t xml:space="preserve">the </w:t>
      </w:r>
      <w:r>
        <w:t xml:space="preserve">data from five focus groups and </w:t>
      </w:r>
      <w:r w:rsidR="00456294">
        <w:t>the 12</w:t>
      </w:r>
      <w:r>
        <w:t xml:space="preserve"> individual </w:t>
      </w:r>
      <w:r w:rsidR="00456294">
        <w:t xml:space="preserve">recorded </w:t>
      </w:r>
      <w:r>
        <w:t xml:space="preserve">interviews </w:t>
      </w:r>
      <w:r w:rsidR="00456294">
        <w:t>for the purposes of evaluating</w:t>
      </w:r>
      <w:r>
        <w:t xml:space="preserve"> the </w:t>
      </w:r>
      <w:proofErr w:type="spellStart"/>
      <w:r>
        <w:t>Karajarri</w:t>
      </w:r>
      <w:proofErr w:type="spellEnd"/>
      <w:r>
        <w:t xml:space="preserve"> </w:t>
      </w:r>
      <w:r w:rsidR="00CE73DC">
        <w:t>Ranger Training Program highlights the operation of a strong</w:t>
      </w:r>
      <w:r>
        <w:t xml:space="preserve"> culturally aligned on-the</w:t>
      </w:r>
      <w:r w:rsidR="00EF14E4">
        <w:t>-job ranger training model, compris</w:t>
      </w:r>
      <w:r w:rsidR="00CE73DC">
        <w:t>ed</w:t>
      </w:r>
      <w:r>
        <w:t xml:space="preserve"> peer learning, two-way learning by all parties, both-ways learning by rangers, elders as authoritative teachers and education providers being regarded as learners when on-Country. </w:t>
      </w:r>
    </w:p>
    <w:p w14:paraId="01BE19C4" w14:textId="77777777" w:rsidR="00DB6F74" w:rsidRDefault="00DB6F74" w:rsidP="00DB6F74">
      <w:pPr>
        <w:pStyle w:val="Text"/>
      </w:pPr>
      <w:r>
        <w:t>Key elements of the adult learning methodology include: relation</w:t>
      </w:r>
      <w:r w:rsidR="00EF14E4">
        <w:t>ships of care that encapsulate C</w:t>
      </w:r>
      <w:r>
        <w:t>aring for Country through culture; a clear, shared purpose for learning; individual learners being supported collaboratively, thus providing an encouraging env</w:t>
      </w:r>
      <w:r w:rsidR="00CE73DC">
        <w:t>ironment for individual success;</w:t>
      </w:r>
      <w:r w:rsidR="00EF14E4">
        <w:t xml:space="preserve"> learning by doing in a C</w:t>
      </w:r>
      <w:r>
        <w:t xml:space="preserve">aring for Country cultural knowledge context; and learning on an as-needed basis when the job needs doing. </w:t>
      </w:r>
    </w:p>
    <w:p w14:paraId="01BE19C5" w14:textId="77777777" w:rsidR="00DB6F74" w:rsidRPr="00604245" w:rsidRDefault="002114D8" w:rsidP="00DB6F74">
      <w:pPr>
        <w:pStyle w:val="Text"/>
      </w:pPr>
      <w:r>
        <w:t>Beyond</w:t>
      </w:r>
      <w:r w:rsidR="00DB6F74">
        <w:t xml:space="preserve"> the answers to the questions asked as part of this study, the program </w:t>
      </w:r>
      <w:r>
        <w:t>has</w:t>
      </w:r>
      <w:r w:rsidR="00DB6F74">
        <w:t xml:space="preserve"> benefits in and of itself to the community, to participants, to elders and to Country. By virtue of the training model and </w:t>
      </w:r>
      <w:r w:rsidR="00CE73DC">
        <w:t xml:space="preserve">the </w:t>
      </w:r>
      <w:r w:rsidR="00DB6F74">
        <w:t>learning principles that are implemented in such a way th</w:t>
      </w:r>
      <w:r w:rsidR="00EF14E4">
        <w:t>at enables Aboriginal knowledge</w:t>
      </w:r>
      <w:r w:rsidR="00DB6F74">
        <w:t xml:space="preserve"> from the past to inform the present and create future pathways, this program has </w:t>
      </w:r>
      <w:r w:rsidR="00CE73DC">
        <w:t xml:space="preserve">a </w:t>
      </w:r>
      <w:r w:rsidR="00DB6F74">
        <w:t xml:space="preserve">massive impact. It </w:t>
      </w:r>
      <w:r w:rsidR="00EF14E4">
        <w:t xml:space="preserve">demonstrates </w:t>
      </w:r>
      <w:r w:rsidR="00DB6F74">
        <w:t>what can happen withi</w:t>
      </w:r>
      <w:r w:rsidR="00EF14E4">
        <w:t>n government program provisions</w:t>
      </w:r>
      <w:r w:rsidR="00DB6F74">
        <w:t xml:space="preserve"> when elders and communities are empowered to incorporate cultural governance principl</w:t>
      </w:r>
      <w:r w:rsidR="00EF14E4">
        <w:t xml:space="preserve">es, and when cultural knowledge </w:t>
      </w:r>
      <w:r w:rsidR="00FB124B">
        <w:t>is</w:t>
      </w:r>
      <w:r w:rsidR="00EF14E4">
        <w:t xml:space="preserve"> valued alongside W</w:t>
      </w:r>
      <w:r w:rsidR="00DB6F74">
        <w:t>ester</w:t>
      </w:r>
      <w:r w:rsidR="00EF14E4">
        <w:t>n science</w:t>
      </w:r>
      <w:r w:rsidR="00DB6F74">
        <w:t>. Beyond narrow goals relating to retention and completion of training and employability, this strengths-based approach builds upon learning models that have been successful since time immemorial</w:t>
      </w:r>
      <w:r w:rsidR="00EF14E4">
        <w:t>:</w:t>
      </w:r>
      <w:r w:rsidR="00DB6F74">
        <w:t xml:space="preserve"> this case-study demonstrates what success can look like when programs are implemented ‘Aboriginal Way’.</w:t>
      </w:r>
    </w:p>
    <w:p w14:paraId="01BE19C6" w14:textId="77777777" w:rsidR="00DB6F74" w:rsidRDefault="00DB6F74" w:rsidP="00EF14E4">
      <w:pPr>
        <w:pStyle w:val="Heading2"/>
        <w:sectPr w:rsidR="00DB6F74" w:rsidSect="009775C7">
          <w:pgSz w:w="11907" w:h="16840" w:code="9"/>
          <w:pgMar w:top="1276" w:right="1701" w:bottom="1276" w:left="1418" w:header="709" w:footer="556" w:gutter="0"/>
          <w:cols w:space="708" w:equalWidth="0">
            <w:col w:w="8788"/>
          </w:cols>
          <w:docGrid w:linePitch="360"/>
        </w:sectPr>
      </w:pPr>
    </w:p>
    <w:p w14:paraId="03FB08E3" w14:textId="77777777" w:rsidR="00753427" w:rsidRDefault="007F3F0E" w:rsidP="00D35E06">
      <w:pPr>
        <w:pStyle w:val="Heading1"/>
      </w:pPr>
      <w:bookmarkStart w:id="44" w:name="_Toc475529857"/>
      <w:bookmarkStart w:id="45" w:name="_Toc480296494"/>
      <w:r>
        <w:t>Case study five</w:t>
      </w:r>
    </w:p>
    <w:p w14:paraId="01BE19C7" w14:textId="50909813" w:rsidR="00D35E06" w:rsidRPr="004018C9" w:rsidRDefault="00D35E06" w:rsidP="00D35E06">
      <w:pPr>
        <w:pStyle w:val="Heading1"/>
        <w:rPr>
          <w:sz w:val="28"/>
        </w:rPr>
      </w:pPr>
      <w:r w:rsidRPr="007F3F0E">
        <w:rPr>
          <w:rStyle w:val="Heading2Char"/>
        </w:rPr>
        <w:t>Training in Indigenous Mental Health (Suicide Prevention): the work of a Cairns-based Aboriginal College</w:t>
      </w:r>
      <w:bookmarkEnd w:id="44"/>
      <w:bookmarkEnd w:id="45"/>
    </w:p>
    <w:p w14:paraId="01BE19C8" w14:textId="77777777" w:rsidR="00D35E06" w:rsidRDefault="00D35E06" w:rsidP="007F3F0E">
      <w:pPr>
        <w:pStyle w:val="Heading3"/>
      </w:pPr>
      <w:bookmarkStart w:id="46" w:name="_Toc475529859"/>
      <w:r>
        <w:t>Introduction</w:t>
      </w:r>
      <w:bookmarkEnd w:id="46"/>
    </w:p>
    <w:p w14:paraId="01BE19C9" w14:textId="77777777" w:rsidR="00D35E06" w:rsidRDefault="00D35E06" w:rsidP="00D35E06">
      <w:pPr>
        <w:pStyle w:val="Text"/>
      </w:pPr>
      <w:r>
        <w:t>This is a case study of</w:t>
      </w:r>
      <w:r w:rsidR="002114D8">
        <w:t xml:space="preserve"> a </w:t>
      </w:r>
      <w:r w:rsidR="00EF14E4">
        <w:t>Cairns-</w:t>
      </w:r>
      <w:r w:rsidR="009D0DA5">
        <w:t>based Aboriginal training college’s</w:t>
      </w:r>
      <w:r>
        <w:t xml:space="preserve"> delivery </w:t>
      </w:r>
      <w:r w:rsidR="00EF14E4">
        <w:t xml:space="preserve">in 2015 </w:t>
      </w:r>
      <w:r>
        <w:t>of the Certificate IV in Indigenous Mental Health (Suicide Prevention) (IMH)</w:t>
      </w:r>
      <w:r w:rsidR="00EF14E4">
        <w:t>.</w:t>
      </w:r>
      <w:r>
        <w:t xml:space="preserve"> </w:t>
      </w:r>
      <w:r w:rsidR="00EF14E4">
        <w:t>The c</w:t>
      </w:r>
      <w:r w:rsidR="009D0DA5">
        <w:t>ollege</w:t>
      </w:r>
      <w:r>
        <w:t xml:space="preserve"> is located in far north Queensland. It is </w:t>
      </w:r>
      <w:r w:rsidR="00FB124B">
        <w:t xml:space="preserve">an </w:t>
      </w:r>
      <w:r>
        <w:t>Aborigi</w:t>
      </w:r>
      <w:r w:rsidR="00EF14E4">
        <w:t>nal and Torres Straits Islander-</w:t>
      </w:r>
      <w:r>
        <w:t xml:space="preserve">founded and </w:t>
      </w:r>
      <w:r w:rsidR="00EF14E4">
        <w:t>-</w:t>
      </w:r>
      <w:r>
        <w:t>controlled registered training organisation and has been providing a</w:t>
      </w:r>
      <w:r w:rsidR="00EF14E4">
        <w:t>dult education since 1983. The c</w:t>
      </w:r>
      <w:r>
        <w:t>ollege was originally established to deliver theological courses but diversified in 1992 to community development studies. Today it proudly promotes courses that train people to work in front-line community service roles.</w:t>
      </w:r>
      <w:r w:rsidR="00F107E1" w:rsidRPr="00F107E1">
        <w:t xml:space="preserve"> </w:t>
      </w:r>
      <w:r>
        <w:t>Courses have included the Community Organising and Development Certificate III, Alcohol and Other Addictions, Certificate III; Alcohol and Other Addictions Counselling, Certificate IV, and presently, Addictions Management and Community Development, Certificate IV.</w:t>
      </w:r>
      <w:r w:rsidR="00F107E1" w:rsidRPr="00F107E1">
        <w:t xml:space="preserve"> </w:t>
      </w:r>
      <w:r>
        <w:t xml:space="preserve">The addition of the </w:t>
      </w:r>
      <w:r w:rsidR="00D70D98">
        <w:t>Indigenous Mental Health</w:t>
      </w:r>
      <w:r>
        <w:t xml:space="preserve"> course complements the r</w:t>
      </w:r>
      <w:r w:rsidR="00D70D98">
        <w:t>epertoire</w:t>
      </w:r>
      <w:r>
        <w:t xml:space="preserve"> of skills and trainin</w:t>
      </w:r>
      <w:r w:rsidR="00D70D98">
        <w:t>g opportunities offered at the college. The course is an ASQA-</w:t>
      </w:r>
      <w:r>
        <w:t xml:space="preserve">accredited program and is approved for ABSTUDY under the </w:t>
      </w:r>
      <w:r w:rsidRPr="00D70D98">
        <w:rPr>
          <w:i/>
        </w:rPr>
        <w:t>Indigenous Tertiary Programs Team: Indigenous Education (Targeted Assistance) Act 2000</w:t>
      </w:r>
      <w:r>
        <w:t>.</w:t>
      </w:r>
    </w:p>
    <w:p w14:paraId="01BE19CA" w14:textId="77777777" w:rsidR="00D35E06" w:rsidRDefault="00D35E06" w:rsidP="00D35E06">
      <w:pPr>
        <w:pStyle w:val="Text"/>
      </w:pPr>
      <w:r>
        <w:t xml:space="preserve">This case study reports upon the retention and </w:t>
      </w:r>
      <w:r w:rsidR="00FB124B">
        <w:t xml:space="preserve">the </w:t>
      </w:r>
      <w:r>
        <w:t xml:space="preserve">learning outcomes for employment of </w:t>
      </w:r>
      <w:r w:rsidR="00D70D98">
        <w:t>c</w:t>
      </w:r>
      <w:r w:rsidR="009D0DA5">
        <w:t>ollege</w:t>
      </w:r>
      <w:r>
        <w:t xml:space="preserve"> graduates. The enrolment data of the 2015 cohort w</w:t>
      </w:r>
      <w:r w:rsidR="00D70D98">
        <w:t>ere audited and</w:t>
      </w:r>
      <w:r>
        <w:t xml:space="preserve"> seven interviews with students conducted, as well as interviews </w:t>
      </w:r>
      <w:r w:rsidR="00FB124B">
        <w:t>with employers, trainers and one withdrawn student (</w:t>
      </w:r>
      <w:r>
        <w:t>in person and by tel</w:t>
      </w:r>
      <w:r w:rsidR="00FB124B">
        <w:t>ephone</w:t>
      </w:r>
      <w:r>
        <w:t xml:space="preserve"> and </w:t>
      </w:r>
      <w:r w:rsidR="00FB124B">
        <w:t xml:space="preserve">via </w:t>
      </w:r>
      <w:r>
        <w:t>one focus group</w:t>
      </w:r>
      <w:r w:rsidR="00FB124B">
        <w:t>)</w:t>
      </w:r>
      <w:r>
        <w:t xml:space="preserve">. </w:t>
      </w:r>
    </w:p>
    <w:p w14:paraId="01BE19CB" w14:textId="77777777" w:rsidR="00D35E06" w:rsidRDefault="00D35E06" w:rsidP="00D35E06">
      <w:pPr>
        <w:pStyle w:val="Text"/>
      </w:pPr>
      <w:r>
        <w:t>The case study found higher than national average course completion rates</w:t>
      </w:r>
      <w:r w:rsidR="00D70D98">
        <w:t>,</w:t>
      </w:r>
      <w:r>
        <w:t xml:space="preserve"> with 65% of 2015 </w:t>
      </w:r>
      <w:r w:rsidR="00EF14E4">
        <w:t xml:space="preserve">Indigenous Mental Health </w:t>
      </w:r>
      <w:r>
        <w:t xml:space="preserve">graduates completing the course. The study also found employers in the human service sector regard </w:t>
      </w:r>
      <w:r w:rsidR="00D70D98">
        <w:t>c</w:t>
      </w:r>
      <w:r w:rsidR="009D0DA5">
        <w:t>ollege</w:t>
      </w:r>
      <w:r>
        <w:t xml:space="preserve"> graduates</w:t>
      </w:r>
      <w:r w:rsidR="00D70D98">
        <w:t xml:space="preserve"> as both well </w:t>
      </w:r>
      <w:r>
        <w:t xml:space="preserve">trained and job-ready. </w:t>
      </w:r>
      <w:r w:rsidR="00D70D98">
        <w:t>The</w:t>
      </w:r>
      <w:r>
        <w:t xml:space="preserve"> students </w:t>
      </w:r>
      <w:r w:rsidR="00D70D98">
        <w:t>who commenced the course</w:t>
      </w:r>
      <w:r>
        <w:t xml:space="preserve"> reported having and maintaining high levels of m</w:t>
      </w:r>
      <w:r w:rsidR="00D70D98">
        <w:t>otivation to undertake training and</w:t>
      </w:r>
      <w:r>
        <w:t xml:space="preserve"> receivi</w:t>
      </w:r>
      <w:r w:rsidR="00FB124B">
        <w:t>ng relevant and engaging course</w:t>
      </w:r>
      <w:r>
        <w:t>work materials from supportive and culturally sensitive trainers. The causes of early withdrawal most commonly pertained to family respo</w:t>
      </w:r>
      <w:r w:rsidR="00D70D98">
        <w:t>nsibilities and health concerns</w:t>
      </w:r>
      <w:r>
        <w:t xml:space="preserve"> and</w:t>
      </w:r>
      <w:r w:rsidR="00D70D98">
        <w:t>,</w:t>
      </w:r>
      <w:r>
        <w:t xml:space="preserve"> as such, were beyond the influence of the </w:t>
      </w:r>
      <w:r w:rsidR="00D70D98">
        <w:t>college</w:t>
      </w:r>
      <w:r>
        <w:t xml:space="preserve"> trainers or support staff to remedy.</w:t>
      </w:r>
    </w:p>
    <w:p w14:paraId="01BE19CC" w14:textId="77777777" w:rsidR="00D35E06" w:rsidRDefault="00D35E06" w:rsidP="007F3F0E">
      <w:pPr>
        <w:pStyle w:val="Heading3"/>
      </w:pPr>
      <w:r>
        <w:t>Retention and completion</w:t>
      </w:r>
    </w:p>
    <w:p w14:paraId="01BE19CD" w14:textId="77777777" w:rsidR="00D35E06" w:rsidRDefault="00D35E06" w:rsidP="00D35E06">
      <w:pPr>
        <w:pStyle w:val="Text"/>
        <w:rPr>
          <w:sz w:val="22"/>
          <w:szCs w:val="22"/>
        </w:rPr>
      </w:pPr>
      <w:r>
        <w:t>Suicide accounts for a much higher proportion of all Indigenous deaths than in the Australian population</w:t>
      </w:r>
      <w:r w:rsidR="00FB124B">
        <w:t>,</w:t>
      </w:r>
      <w:r>
        <w:t xml:space="preserve"> up to 2.5 times the rate for non-Indigenous people in some Australian regions.</w:t>
      </w:r>
      <w:r w:rsidR="00F107E1" w:rsidRPr="00F107E1">
        <w:t xml:space="preserve"> </w:t>
      </w:r>
      <w:r>
        <w:t>The rates for Indigenous females are higher than for females in the general populati</w:t>
      </w:r>
      <w:r w:rsidR="00D70D98">
        <w:t>on;</w:t>
      </w:r>
      <w:r>
        <w:t xml:space="preserve"> Indigenous pe</w:t>
      </w:r>
      <w:r w:rsidR="00D70D98">
        <w:t>ople</w:t>
      </w:r>
      <w:r>
        <w:t xml:space="preserve"> commit suicide at much younger ages</w:t>
      </w:r>
      <w:r w:rsidR="00D70D98">
        <w:t>,</w:t>
      </w:r>
      <w:r>
        <w:t xml:space="preserve"> with more cases involving children and youth</w:t>
      </w:r>
      <w:r w:rsidR="00D70D98">
        <w:t xml:space="preserve"> reported</w:t>
      </w:r>
      <w:r>
        <w:t xml:space="preserve">. While rates vary over time and across Australia, some locations are known to have a marked cluster </w:t>
      </w:r>
      <w:r>
        <w:rPr>
          <w:noProof/>
        </w:rPr>
        <w:t>(D</w:t>
      </w:r>
      <w:r w:rsidR="00D70D98">
        <w:rPr>
          <w:noProof/>
        </w:rPr>
        <w:t xml:space="preserve">epartment of Health </w:t>
      </w:r>
      <w:r>
        <w:rPr>
          <w:noProof/>
        </w:rPr>
        <w:t>2011)</w:t>
      </w:r>
      <w:r>
        <w:t xml:space="preserve"> and these include communities located in far north Queensland.</w:t>
      </w:r>
      <w:r w:rsidR="00F107E1" w:rsidRPr="00F107E1">
        <w:t xml:space="preserve"> </w:t>
      </w:r>
      <w:r>
        <w:t xml:space="preserve">Against this background, the students and </w:t>
      </w:r>
      <w:r w:rsidR="00D70D98">
        <w:t>college</w:t>
      </w:r>
      <w:r w:rsidR="009D0DA5">
        <w:t xml:space="preserve"> </w:t>
      </w:r>
      <w:r>
        <w:t>staff were highly motivated to generate greater personal, community and professional awareness of ment</w:t>
      </w:r>
      <w:r w:rsidR="00D70D98">
        <w:t>al health illness and disorder —</w:t>
      </w:r>
      <w:r>
        <w:t xml:space="preserve"> ident</w:t>
      </w:r>
      <w:r w:rsidR="00FB124B">
        <w:t>ification and treatment options,</w:t>
      </w:r>
      <w:r>
        <w:t xml:space="preserve"> as well as suicide prevention strategies.</w:t>
      </w:r>
    </w:p>
    <w:p w14:paraId="01BE19CE" w14:textId="77777777" w:rsidR="00D35E06" w:rsidRDefault="00D70D98" w:rsidP="00D35E06">
      <w:pPr>
        <w:pStyle w:val="Text"/>
      </w:pPr>
      <w:r>
        <w:t>The course c</w:t>
      </w:r>
      <w:r w:rsidR="00D35E06">
        <w:t xml:space="preserve">ompletion rates </w:t>
      </w:r>
      <w:r w:rsidR="00FB124B">
        <w:t xml:space="preserve">of 65% </w:t>
      </w:r>
      <w:r w:rsidR="00D35E06">
        <w:t>well exceede</w:t>
      </w:r>
      <w:r w:rsidR="00FB124B">
        <w:t>d the national average.</w:t>
      </w:r>
      <w:r>
        <w:t xml:space="preserve"> </w:t>
      </w:r>
      <w:r w:rsidR="00FB124B">
        <w:t>Twenty-six</w:t>
      </w:r>
      <w:r w:rsidR="00D35E06">
        <w:t xml:space="preserve"> </w:t>
      </w:r>
      <w:r w:rsidR="00FB124B">
        <w:t>students commenced the course; o</w:t>
      </w:r>
      <w:r w:rsidR="00D35E06">
        <w:t xml:space="preserve">f these 20 </w:t>
      </w:r>
      <w:r w:rsidR="00FB124B">
        <w:t xml:space="preserve">were </w:t>
      </w:r>
      <w:r w:rsidR="00D35E06">
        <w:t xml:space="preserve">women and </w:t>
      </w:r>
      <w:r w:rsidR="00FB124B">
        <w:t>six were</w:t>
      </w:r>
      <w:r w:rsidR="00D35E06">
        <w:t xml:space="preserve"> men</w:t>
      </w:r>
      <w:r w:rsidR="00FB124B">
        <w:t>;</w:t>
      </w:r>
      <w:r w:rsidR="00D35E06">
        <w:t xml:space="preserve"> 17 completed. The profile of the cohort is typical for </w:t>
      </w:r>
      <w:r w:rsidR="009D0DA5">
        <w:t xml:space="preserve">the </w:t>
      </w:r>
      <w:r>
        <w:t>college</w:t>
      </w:r>
      <w:r w:rsidR="009D0DA5">
        <w:t>’s</w:t>
      </w:r>
      <w:r w:rsidR="00D35E06">
        <w:t xml:space="preserve"> intake.</w:t>
      </w:r>
      <w:r w:rsidR="00F107E1" w:rsidRPr="00F107E1">
        <w:t xml:space="preserve"> </w:t>
      </w:r>
      <w:r w:rsidR="00D35E06">
        <w:t xml:space="preserve">The </w:t>
      </w:r>
      <w:r>
        <w:t>college attracts on average mature-</w:t>
      </w:r>
      <w:r w:rsidR="00D35E06">
        <w:t>age students.</w:t>
      </w:r>
      <w:r w:rsidR="00F107E1" w:rsidRPr="00F107E1">
        <w:t xml:space="preserve"> </w:t>
      </w:r>
      <w:r w:rsidR="00D35E06">
        <w:t>The age average age of this cohort was 49 years. Ten people identified as employed in full</w:t>
      </w:r>
      <w:r>
        <w:t>-</w:t>
      </w:r>
      <w:r w:rsidR="00D35E06">
        <w:t xml:space="preserve"> or part-time occupations</w:t>
      </w:r>
      <w:r>
        <w:t xml:space="preserve"> at the time of their enrolment;</w:t>
      </w:r>
      <w:r w:rsidR="00D35E06">
        <w:t xml:space="preserve"> half the cohort had a post-secondary </w:t>
      </w:r>
      <w:r>
        <w:t>qualification and one person had</w:t>
      </w:r>
      <w:r w:rsidR="00D35E06">
        <w:t xml:space="preserve"> a bachelor degree. </w:t>
      </w:r>
    </w:p>
    <w:p w14:paraId="01BE19CF" w14:textId="77777777" w:rsidR="00D35E06" w:rsidRDefault="00D35E06" w:rsidP="00D35E06">
      <w:pPr>
        <w:pStyle w:val="Text"/>
        <w:rPr>
          <w:rFonts w:eastAsia="Calibri"/>
        </w:rPr>
      </w:pPr>
      <w:r>
        <w:t xml:space="preserve">The course attracted enrolees from across Australia, with </w:t>
      </w:r>
      <w:r w:rsidR="00D70D98">
        <w:t>the majority</w:t>
      </w:r>
      <w:r>
        <w:t xml:space="preserve"> of students derived from the </w:t>
      </w:r>
      <w:r w:rsidR="00D70D98">
        <w:t>college</w:t>
      </w:r>
      <w:r>
        <w:t>’s principal service areas, Cape York, the Torres Straits, Western and regional Queensland.</w:t>
      </w:r>
      <w:r w:rsidR="00F107E1" w:rsidRPr="00F107E1">
        <w:t xml:space="preserve"> </w:t>
      </w:r>
      <w:r>
        <w:t xml:space="preserve">Students travel to Cairns for </w:t>
      </w:r>
      <w:r>
        <w:rPr>
          <w:rFonts w:eastAsia="Calibri"/>
        </w:rPr>
        <w:t>four two-week residential blocks. They complete individual modules between block</w:t>
      </w:r>
      <w:r w:rsidR="00D70D98">
        <w:rPr>
          <w:rFonts w:eastAsia="Calibri"/>
        </w:rPr>
        <w:t>s</w:t>
      </w:r>
      <w:r w:rsidR="00FB124B">
        <w:rPr>
          <w:rFonts w:eastAsia="Calibri"/>
        </w:rPr>
        <w:t>,</w:t>
      </w:r>
      <w:r w:rsidR="00D70D98">
        <w:rPr>
          <w:rFonts w:eastAsia="Calibri"/>
        </w:rPr>
        <w:t xml:space="preserve"> representing a total of 500—</w:t>
      </w:r>
      <w:r>
        <w:rPr>
          <w:rFonts w:eastAsia="Calibri"/>
        </w:rPr>
        <w:t>550 hours of study over one year.</w:t>
      </w:r>
    </w:p>
    <w:p w14:paraId="01BE19D0" w14:textId="77777777" w:rsidR="00D35E06" w:rsidRDefault="00D35E06" w:rsidP="00D35E06">
      <w:pPr>
        <w:pStyle w:val="Text"/>
        <w:rPr>
          <w:rFonts w:eastAsiaTheme="minorEastAsia"/>
        </w:rPr>
      </w:pPr>
      <w:r>
        <w:t>The students demonstrated high levels of motivation to complete the training.</w:t>
      </w:r>
      <w:r w:rsidR="00F107E1" w:rsidRPr="00F107E1">
        <w:t xml:space="preserve"> </w:t>
      </w:r>
      <w:r>
        <w:t>Several students reported needing certification to retain their positions in the service organisations in which they were currently empl</w:t>
      </w:r>
      <w:r w:rsidR="00D70D98">
        <w:t>oyed. Others were wanting to up</w:t>
      </w:r>
      <w:r>
        <w:t>skill as part of their professional development.</w:t>
      </w:r>
      <w:r w:rsidR="00F107E1" w:rsidRPr="00F107E1">
        <w:t xml:space="preserve"> </w:t>
      </w:r>
      <w:r>
        <w:t>Nine students were unemployed and seeking full</w:t>
      </w:r>
      <w:r w:rsidR="00D70D98">
        <w:t>-</w:t>
      </w:r>
      <w:r>
        <w:t xml:space="preserve"> or part-time work at the time of </w:t>
      </w:r>
      <w:r w:rsidR="00D70D98">
        <w:t>enrolment; there were also mature-</w:t>
      </w:r>
      <w:r>
        <w:t>age women who wished to improve their understanding of suicide and mental health to be better equipped to serve th</w:t>
      </w:r>
      <w:r w:rsidR="00D70D98">
        <w:t>eir community (as a volunteer, e</w:t>
      </w:r>
      <w:r>
        <w:t>lder, or through their church).</w:t>
      </w:r>
    </w:p>
    <w:p w14:paraId="01BE19D1" w14:textId="77777777" w:rsidR="00D35E06" w:rsidRPr="00CB65EE" w:rsidRDefault="00D35E06" w:rsidP="00CB65EE">
      <w:pPr>
        <w:pStyle w:val="Text"/>
        <w:rPr>
          <w:rFonts w:eastAsia="Calibri"/>
        </w:rPr>
      </w:pPr>
      <w:r>
        <w:t>Students reported wanting to develop their skills and knowledge to respond to mental health and suicide issues in a cul</w:t>
      </w:r>
      <w:r w:rsidR="00D70D98">
        <w:t>turally appropriate manner and this</w:t>
      </w:r>
      <w:r>
        <w:t xml:space="preserve"> includes having a greater understanding of their young, </w:t>
      </w:r>
      <w:r w:rsidR="0018129B">
        <w:t xml:space="preserve">the </w:t>
      </w:r>
      <w:r>
        <w:t xml:space="preserve">causes of self-harm and </w:t>
      </w:r>
      <w:r w:rsidR="00D70D98">
        <w:t xml:space="preserve">contemplation of </w:t>
      </w:r>
      <w:r>
        <w:t>suicide</w:t>
      </w:r>
      <w:r w:rsidR="0018129B">
        <w:t>,</w:t>
      </w:r>
      <w:r>
        <w:t xml:space="preserve"> and where to refer people for professional help</w:t>
      </w:r>
      <w:r w:rsidR="00CB65EE">
        <w:t>: ‘</w:t>
      </w:r>
      <w:r>
        <w:t>I need to know more about suicidal prevention in our youth.</w:t>
      </w:r>
      <w:r w:rsidR="00F107E1" w:rsidRPr="00F107E1">
        <w:t xml:space="preserve"> </w:t>
      </w:r>
      <w:r>
        <w:t>As much knowledge as possible</w:t>
      </w:r>
      <w:r w:rsidR="00CB65EE">
        <w:t>’</w:t>
      </w:r>
      <w:r>
        <w:t>.</w:t>
      </w:r>
    </w:p>
    <w:p w14:paraId="01BE19D2" w14:textId="77777777" w:rsidR="00D35E06" w:rsidRDefault="00CB65EE" w:rsidP="00D35E06">
      <w:pPr>
        <w:pStyle w:val="Text"/>
        <w:rPr>
          <w:rFonts w:eastAsia="Calibri"/>
        </w:rPr>
      </w:pPr>
      <w:r>
        <w:rPr>
          <w:rFonts w:eastAsia="Calibri"/>
        </w:rPr>
        <w:t xml:space="preserve">Table 6 </w:t>
      </w:r>
      <w:r w:rsidR="00D35E06">
        <w:rPr>
          <w:rFonts w:eastAsia="Calibri"/>
        </w:rPr>
        <w:t>presents an overview of the course structure.</w:t>
      </w:r>
      <w:r w:rsidR="00F107E1" w:rsidRPr="00F107E1">
        <w:rPr>
          <w:rFonts w:eastAsia="Calibri"/>
        </w:rPr>
        <w:t xml:space="preserve"> </w:t>
      </w:r>
      <w:r w:rsidR="00D35E06">
        <w:rPr>
          <w:rFonts w:eastAsia="Calibri"/>
        </w:rPr>
        <w:t xml:space="preserve">Upon completion, students had an introduction to suicide cause and prevention, alcohol, tobacco and other drug misuse, community and domestic violence, industry skills development in counselling and relationship support, research skills and </w:t>
      </w:r>
      <w:r w:rsidR="0018129B">
        <w:rPr>
          <w:rFonts w:eastAsia="Calibri"/>
        </w:rPr>
        <w:t>first-aid</w:t>
      </w:r>
      <w:r>
        <w:rPr>
          <w:rFonts w:eastAsia="Calibri"/>
        </w:rPr>
        <w:t>. Several local Aboriginal h</w:t>
      </w:r>
      <w:r w:rsidR="00D35E06">
        <w:rPr>
          <w:rFonts w:eastAsia="Calibri"/>
        </w:rPr>
        <w:t>ealth services were visited to speak to staff ab</w:t>
      </w:r>
      <w:r>
        <w:rPr>
          <w:rFonts w:eastAsia="Calibri"/>
        </w:rPr>
        <w:t>out the management of community-</w:t>
      </w:r>
      <w:r w:rsidR="00D35E06">
        <w:rPr>
          <w:rFonts w:eastAsia="Calibri"/>
        </w:rPr>
        <w:t>contro</w:t>
      </w:r>
      <w:r w:rsidR="0018129B">
        <w:rPr>
          <w:rFonts w:eastAsia="Calibri"/>
        </w:rPr>
        <w:t>lled Indigenous health services</w:t>
      </w:r>
      <w:r w:rsidR="00D35E06">
        <w:rPr>
          <w:rFonts w:eastAsia="Calibri"/>
        </w:rPr>
        <w:t xml:space="preserve"> and the primary care of community mental health </w:t>
      </w:r>
      <w:r>
        <w:rPr>
          <w:rFonts w:eastAsia="Calibri"/>
          <w:noProof/>
        </w:rPr>
        <w:t>(Stephens</w:t>
      </w:r>
      <w:r w:rsidR="00D35E06">
        <w:rPr>
          <w:rFonts w:eastAsia="Calibri"/>
          <w:noProof/>
        </w:rPr>
        <w:t xml:space="preserve"> 2015)</w:t>
      </w:r>
      <w:r w:rsidR="00D35E06">
        <w:rPr>
          <w:rFonts w:eastAsia="Calibri"/>
        </w:rPr>
        <w:t>.</w:t>
      </w:r>
    </w:p>
    <w:p w14:paraId="01BE19D3" w14:textId="4A84AC2B" w:rsidR="009D0DA5" w:rsidRDefault="009D0DA5" w:rsidP="00B2067C">
      <w:pPr>
        <w:pStyle w:val="tabletitle"/>
        <w:keepNext/>
        <w:rPr>
          <w:rFonts w:eastAsiaTheme="minorEastAsia"/>
        </w:rPr>
      </w:pPr>
      <w:bookmarkStart w:id="47" w:name="_Toc476305807"/>
      <w:r>
        <w:t xml:space="preserve">Table </w:t>
      </w:r>
      <w:r w:rsidR="006436A1">
        <w:fldChar w:fldCharType="begin"/>
      </w:r>
      <w:r>
        <w:instrText xml:space="preserve"> SEQ Table \* ARABIC </w:instrText>
      </w:r>
      <w:r w:rsidR="006436A1">
        <w:fldChar w:fldCharType="separate"/>
      </w:r>
      <w:r w:rsidR="0073414E">
        <w:rPr>
          <w:noProof/>
        </w:rPr>
        <w:t>6</w:t>
      </w:r>
      <w:r w:rsidR="006436A1">
        <w:fldChar w:fldCharType="end"/>
      </w:r>
      <w:r w:rsidR="00753427">
        <w:tab/>
      </w:r>
      <w:r>
        <w:t>Course structure for the Indigenous Mental Health (Suicide Prevention) program</w:t>
      </w:r>
      <w:bookmarkEnd w:id="47"/>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6772"/>
      </w:tblGrid>
      <w:tr w:rsidR="00D35E06" w14:paraId="01BE19D6" w14:textId="77777777" w:rsidTr="00753427">
        <w:tc>
          <w:tcPr>
            <w:tcW w:w="1733" w:type="dxa"/>
            <w:tcBorders>
              <w:top w:val="single" w:sz="4" w:space="0" w:color="auto"/>
              <w:right w:val="single" w:sz="4" w:space="0" w:color="auto"/>
            </w:tcBorders>
            <w:hideMark/>
          </w:tcPr>
          <w:p w14:paraId="01BE19D4" w14:textId="77777777" w:rsidR="00D35E06" w:rsidRDefault="00D35E06" w:rsidP="00B2067C">
            <w:pPr>
              <w:pStyle w:val="Tabletext"/>
              <w:keepNext/>
              <w:rPr>
                <w:lang w:val="en-US"/>
              </w:rPr>
            </w:pPr>
            <w:r>
              <w:rPr>
                <w:lang w:val="en-US"/>
              </w:rPr>
              <w:t>BLOCK 1</w:t>
            </w:r>
          </w:p>
        </w:tc>
        <w:tc>
          <w:tcPr>
            <w:tcW w:w="6772" w:type="dxa"/>
            <w:tcBorders>
              <w:top w:val="single" w:sz="4" w:space="0" w:color="auto"/>
              <w:left w:val="single" w:sz="4" w:space="0" w:color="auto"/>
            </w:tcBorders>
            <w:hideMark/>
          </w:tcPr>
          <w:p w14:paraId="01BE19D5" w14:textId="77777777" w:rsidR="00D35E06" w:rsidRDefault="00D35E06" w:rsidP="00B2067C">
            <w:pPr>
              <w:pStyle w:val="Tabletext"/>
              <w:keepNext/>
              <w:rPr>
                <w:lang w:val="en-US"/>
              </w:rPr>
            </w:pPr>
            <w:r>
              <w:rPr>
                <w:lang w:val="en-US"/>
              </w:rPr>
              <w:t>Introduce hope and healing: moving beyond trauma</w:t>
            </w:r>
          </w:p>
        </w:tc>
      </w:tr>
      <w:tr w:rsidR="00D35E06" w14:paraId="01BE19D9" w14:textId="77777777" w:rsidTr="00753427">
        <w:tc>
          <w:tcPr>
            <w:tcW w:w="1733" w:type="dxa"/>
            <w:tcBorders>
              <w:bottom w:val="single" w:sz="4" w:space="0" w:color="auto"/>
              <w:right w:val="single" w:sz="4" w:space="0" w:color="auto"/>
            </w:tcBorders>
          </w:tcPr>
          <w:p w14:paraId="01BE19D7" w14:textId="77777777" w:rsidR="00D35E06" w:rsidRDefault="00D35E06" w:rsidP="00B2067C">
            <w:pPr>
              <w:pStyle w:val="Tabletext"/>
              <w:keepNext/>
              <w:rPr>
                <w:lang w:val="en-US"/>
              </w:rPr>
            </w:pPr>
          </w:p>
        </w:tc>
        <w:tc>
          <w:tcPr>
            <w:tcW w:w="6772" w:type="dxa"/>
            <w:tcBorders>
              <w:left w:val="single" w:sz="4" w:space="0" w:color="auto"/>
              <w:bottom w:val="single" w:sz="4" w:space="0" w:color="auto"/>
            </w:tcBorders>
            <w:hideMark/>
          </w:tcPr>
          <w:p w14:paraId="01BE19D8" w14:textId="77777777" w:rsidR="00D35E06" w:rsidRDefault="00D35E06" w:rsidP="00B2067C">
            <w:pPr>
              <w:pStyle w:val="Tabletext"/>
              <w:keepNext/>
              <w:rPr>
                <w:lang w:val="en-US"/>
              </w:rPr>
            </w:pPr>
            <w:r>
              <w:rPr>
                <w:lang w:val="en-US"/>
              </w:rPr>
              <w:t>Support adult children of alcoholics</w:t>
            </w:r>
          </w:p>
        </w:tc>
      </w:tr>
      <w:tr w:rsidR="00D35E06" w14:paraId="01BE19DC" w14:textId="77777777" w:rsidTr="00753427">
        <w:tc>
          <w:tcPr>
            <w:tcW w:w="1733" w:type="dxa"/>
            <w:tcBorders>
              <w:top w:val="single" w:sz="4" w:space="0" w:color="auto"/>
              <w:right w:val="single" w:sz="4" w:space="0" w:color="auto"/>
            </w:tcBorders>
            <w:hideMark/>
          </w:tcPr>
          <w:p w14:paraId="01BE19DA" w14:textId="77777777" w:rsidR="00D35E06" w:rsidRDefault="00D35E06" w:rsidP="00B2067C">
            <w:pPr>
              <w:pStyle w:val="Tabletext"/>
              <w:keepNext/>
              <w:rPr>
                <w:lang w:val="en-US"/>
              </w:rPr>
            </w:pPr>
            <w:r>
              <w:rPr>
                <w:lang w:val="en-US"/>
              </w:rPr>
              <w:t>Local study</w:t>
            </w:r>
          </w:p>
        </w:tc>
        <w:tc>
          <w:tcPr>
            <w:tcW w:w="6772" w:type="dxa"/>
            <w:tcBorders>
              <w:top w:val="single" w:sz="4" w:space="0" w:color="auto"/>
              <w:left w:val="single" w:sz="4" w:space="0" w:color="auto"/>
            </w:tcBorders>
            <w:hideMark/>
          </w:tcPr>
          <w:p w14:paraId="01BE19DB" w14:textId="77777777" w:rsidR="00D35E06" w:rsidRDefault="00D35E06" w:rsidP="00B2067C">
            <w:pPr>
              <w:pStyle w:val="Tabletext"/>
              <w:keepNext/>
              <w:rPr>
                <w:lang w:val="en-US"/>
              </w:rPr>
            </w:pPr>
            <w:r>
              <w:rPr>
                <w:lang w:val="en-US"/>
              </w:rPr>
              <w:t>Project 1: Research adult children of alcoholics</w:t>
            </w:r>
          </w:p>
        </w:tc>
      </w:tr>
      <w:tr w:rsidR="00D35E06" w14:paraId="01BE19DF" w14:textId="77777777" w:rsidTr="00753427">
        <w:tc>
          <w:tcPr>
            <w:tcW w:w="1733" w:type="dxa"/>
            <w:tcBorders>
              <w:right w:val="single" w:sz="4" w:space="0" w:color="auto"/>
            </w:tcBorders>
          </w:tcPr>
          <w:p w14:paraId="01BE19DD" w14:textId="77777777" w:rsidR="00D35E06" w:rsidRDefault="00D35E06" w:rsidP="00B2067C">
            <w:pPr>
              <w:pStyle w:val="Tabletext"/>
              <w:keepNext/>
              <w:rPr>
                <w:lang w:val="en-US"/>
              </w:rPr>
            </w:pPr>
          </w:p>
        </w:tc>
        <w:tc>
          <w:tcPr>
            <w:tcW w:w="6772" w:type="dxa"/>
            <w:tcBorders>
              <w:left w:val="single" w:sz="4" w:space="0" w:color="auto"/>
            </w:tcBorders>
            <w:hideMark/>
          </w:tcPr>
          <w:p w14:paraId="01BE19DE" w14:textId="77777777" w:rsidR="00D35E06" w:rsidRDefault="00D35E06" w:rsidP="00B2067C">
            <w:pPr>
              <w:pStyle w:val="Tabletext"/>
              <w:keepNext/>
              <w:rPr>
                <w:lang w:val="en-US"/>
              </w:rPr>
            </w:pPr>
            <w:r>
              <w:rPr>
                <w:lang w:val="en-US"/>
              </w:rPr>
              <w:t>Project 2: Research addiction</w:t>
            </w:r>
          </w:p>
        </w:tc>
      </w:tr>
      <w:tr w:rsidR="00D35E06" w14:paraId="01BE19E2" w14:textId="77777777" w:rsidTr="00753427">
        <w:tc>
          <w:tcPr>
            <w:tcW w:w="1733" w:type="dxa"/>
            <w:tcBorders>
              <w:bottom w:val="single" w:sz="4" w:space="0" w:color="auto"/>
              <w:right w:val="single" w:sz="4" w:space="0" w:color="auto"/>
            </w:tcBorders>
          </w:tcPr>
          <w:p w14:paraId="01BE19E0" w14:textId="77777777" w:rsidR="00D35E06" w:rsidRDefault="00D35E06" w:rsidP="00B2067C">
            <w:pPr>
              <w:pStyle w:val="Tabletext"/>
              <w:keepNext/>
              <w:rPr>
                <w:lang w:val="en-US"/>
              </w:rPr>
            </w:pPr>
          </w:p>
        </w:tc>
        <w:tc>
          <w:tcPr>
            <w:tcW w:w="6772" w:type="dxa"/>
            <w:tcBorders>
              <w:left w:val="single" w:sz="4" w:space="0" w:color="auto"/>
              <w:bottom w:val="single" w:sz="4" w:space="0" w:color="auto"/>
            </w:tcBorders>
            <w:hideMark/>
          </w:tcPr>
          <w:p w14:paraId="01BE19E1" w14:textId="77777777" w:rsidR="00D35E06" w:rsidRDefault="00D35E06" w:rsidP="00B2067C">
            <w:pPr>
              <w:pStyle w:val="Tabletext"/>
              <w:keepNext/>
              <w:rPr>
                <w:lang w:val="en-US"/>
              </w:rPr>
            </w:pPr>
            <w:r>
              <w:rPr>
                <w:lang w:val="en-US"/>
              </w:rPr>
              <w:t>Apply first aid</w:t>
            </w:r>
          </w:p>
        </w:tc>
      </w:tr>
      <w:tr w:rsidR="00D35E06" w14:paraId="01BE19E5" w14:textId="77777777" w:rsidTr="00753427">
        <w:tc>
          <w:tcPr>
            <w:tcW w:w="1733" w:type="dxa"/>
            <w:tcBorders>
              <w:top w:val="single" w:sz="4" w:space="0" w:color="auto"/>
              <w:right w:val="single" w:sz="4" w:space="0" w:color="auto"/>
            </w:tcBorders>
            <w:hideMark/>
          </w:tcPr>
          <w:p w14:paraId="01BE19E3" w14:textId="77777777" w:rsidR="00D35E06" w:rsidRDefault="00D35E06" w:rsidP="00B2067C">
            <w:pPr>
              <w:pStyle w:val="Tabletext"/>
              <w:keepNext/>
              <w:rPr>
                <w:lang w:val="en-US"/>
              </w:rPr>
            </w:pPr>
            <w:r>
              <w:rPr>
                <w:lang w:val="en-US"/>
              </w:rPr>
              <w:t>BLOCK 2</w:t>
            </w:r>
          </w:p>
        </w:tc>
        <w:tc>
          <w:tcPr>
            <w:tcW w:w="6772" w:type="dxa"/>
            <w:tcBorders>
              <w:top w:val="single" w:sz="4" w:space="0" w:color="auto"/>
              <w:left w:val="single" w:sz="4" w:space="0" w:color="auto"/>
            </w:tcBorders>
            <w:hideMark/>
          </w:tcPr>
          <w:p w14:paraId="01BE19E4" w14:textId="77777777" w:rsidR="00D35E06" w:rsidRDefault="00D35E06" w:rsidP="00B2067C">
            <w:pPr>
              <w:pStyle w:val="Tabletext"/>
              <w:keepNext/>
              <w:rPr>
                <w:lang w:val="en-US"/>
              </w:rPr>
            </w:pPr>
            <w:r>
              <w:rPr>
                <w:lang w:val="en-US"/>
              </w:rPr>
              <w:t>Work effectively in mental health settings</w:t>
            </w:r>
          </w:p>
        </w:tc>
      </w:tr>
      <w:tr w:rsidR="00D35E06" w14:paraId="01BE19E8" w14:textId="77777777" w:rsidTr="00753427">
        <w:tc>
          <w:tcPr>
            <w:tcW w:w="1733" w:type="dxa"/>
            <w:tcBorders>
              <w:bottom w:val="single" w:sz="4" w:space="0" w:color="auto"/>
              <w:right w:val="single" w:sz="4" w:space="0" w:color="auto"/>
            </w:tcBorders>
          </w:tcPr>
          <w:p w14:paraId="01BE19E6" w14:textId="77777777" w:rsidR="00D35E06" w:rsidRDefault="00D35E06" w:rsidP="00B2067C">
            <w:pPr>
              <w:pStyle w:val="Tabletext"/>
              <w:keepNext/>
              <w:rPr>
                <w:lang w:val="en-US"/>
              </w:rPr>
            </w:pPr>
          </w:p>
        </w:tc>
        <w:tc>
          <w:tcPr>
            <w:tcW w:w="6772" w:type="dxa"/>
            <w:tcBorders>
              <w:left w:val="single" w:sz="4" w:space="0" w:color="auto"/>
              <w:bottom w:val="single" w:sz="4" w:space="0" w:color="auto"/>
            </w:tcBorders>
            <w:hideMark/>
          </w:tcPr>
          <w:p w14:paraId="01BE19E7" w14:textId="77777777" w:rsidR="00D35E06" w:rsidRDefault="00D35E06" w:rsidP="00B2067C">
            <w:pPr>
              <w:pStyle w:val="Tabletext"/>
              <w:keepNext/>
              <w:rPr>
                <w:lang w:val="en-US"/>
              </w:rPr>
            </w:pPr>
            <w:r>
              <w:rPr>
                <w:lang w:val="en-US"/>
              </w:rPr>
              <w:t xml:space="preserve">Apply understanding of mental health issues </w:t>
            </w:r>
          </w:p>
        </w:tc>
      </w:tr>
      <w:tr w:rsidR="00D35E06" w14:paraId="01BE19EB" w14:textId="77777777" w:rsidTr="00753427">
        <w:tc>
          <w:tcPr>
            <w:tcW w:w="1733" w:type="dxa"/>
            <w:tcBorders>
              <w:top w:val="single" w:sz="4" w:space="0" w:color="auto"/>
              <w:right w:val="single" w:sz="4" w:space="0" w:color="auto"/>
            </w:tcBorders>
            <w:hideMark/>
          </w:tcPr>
          <w:p w14:paraId="01BE19E9" w14:textId="77777777" w:rsidR="00D35E06" w:rsidRDefault="00D35E06" w:rsidP="00B2067C">
            <w:pPr>
              <w:pStyle w:val="Tabletext"/>
              <w:keepNext/>
              <w:rPr>
                <w:lang w:val="en-US"/>
              </w:rPr>
            </w:pPr>
            <w:r>
              <w:rPr>
                <w:lang w:val="en-US"/>
              </w:rPr>
              <w:t>Local Study</w:t>
            </w:r>
          </w:p>
        </w:tc>
        <w:tc>
          <w:tcPr>
            <w:tcW w:w="6772" w:type="dxa"/>
            <w:tcBorders>
              <w:top w:val="single" w:sz="4" w:space="0" w:color="auto"/>
              <w:left w:val="single" w:sz="4" w:space="0" w:color="auto"/>
            </w:tcBorders>
            <w:hideMark/>
          </w:tcPr>
          <w:p w14:paraId="01BE19EA" w14:textId="77777777" w:rsidR="00D35E06" w:rsidRDefault="00D35E06" w:rsidP="00B2067C">
            <w:pPr>
              <w:pStyle w:val="Tabletext"/>
              <w:keepNext/>
              <w:rPr>
                <w:lang w:val="en-US"/>
              </w:rPr>
            </w:pPr>
            <w:r>
              <w:rPr>
                <w:lang w:val="en-US"/>
              </w:rPr>
              <w:t xml:space="preserve">Research Mental Health Issues </w:t>
            </w:r>
          </w:p>
        </w:tc>
      </w:tr>
      <w:tr w:rsidR="00D35E06" w14:paraId="01BE19EE" w14:textId="77777777" w:rsidTr="00753427">
        <w:tc>
          <w:tcPr>
            <w:tcW w:w="1733" w:type="dxa"/>
            <w:tcBorders>
              <w:right w:val="single" w:sz="4" w:space="0" w:color="auto"/>
            </w:tcBorders>
          </w:tcPr>
          <w:p w14:paraId="01BE19EC" w14:textId="77777777" w:rsidR="00D35E06" w:rsidRDefault="00D35E06" w:rsidP="00B2067C">
            <w:pPr>
              <w:pStyle w:val="Tabletext"/>
              <w:keepNext/>
              <w:rPr>
                <w:lang w:val="en-US"/>
              </w:rPr>
            </w:pPr>
          </w:p>
        </w:tc>
        <w:tc>
          <w:tcPr>
            <w:tcW w:w="6772" w:type="dxa"/>
            <w:tcBorders>
              <w:left w:val="single" w:sz="4" w:space="0" w:color="auto"/>
            </w:tcBorders>
            <w:hideMark/>
          </w:tcPr>
          <w:p w14:paraId="01BE19ED" w14:textId="77777777" w:rsidR="00D35E06" w:rsidRDefault="00D35E06" w:rsidP="00B2067C">
            <w:pPr>
              <w:pStyle w:val="Tabletext"/>
              <w:keepNext/>
              <w:rPr>
                <w:lang w:val="en-US"/>
              </w:rPr>
            </w:pPr>
            <w:r>
              <w:rPr>
                <w:lang w:val="en-US"/>
              </w:rPr>
              <w:t>Research recovery processes</w:t>
            </w:r>
          </w:p>
        </w:tc>
      </w:tr>
      <w:tr w:rsidR="00D35E06" w14:paraId="01BE19F1" w14:textId="77777777" w:rsidTr="00753427">
        <w:tc>
          <w:tcPr>
            <w:tcW w:w="1733" w:type="dxa"/>
            <w:tcBorders>
              <w:bottom w:val="single" w:sz="4" w:space="0" w:color="auto"/>
              <w:right w:val="single" w:sz="4" w:space="0" w:color="auto"/>
            </w:tcBorders>
          </w:tcPr>
          <w:p w14:paraId="01BE19EF" w14:textId="77777777" w:rsidR="00D35E06" w:rsidRDefault="00D35E06" w:rsidP="00B2067C">
            <w:pPr>
              <w:pStyle w:val="Tabletext"/>
              <w:keepNext/>
              <w:rPr>
                <w:lang w:val="en-US"/>
              </w:rPr>
            </w:pPr>
          </w:p>
        </w:tc>
        <w:tc>
          <w:tcPr>
            <w:tcW w:w="6772" w:type="dxa"/>
            <w:tcBorders>
              <w:left w:val="single" w:sz="4" w:space="0" w:color="auto"/>
              <w:bottom w:val="single" w:sz="4" w:space="0" w:color="auto"/>
            </w:tcBorders>
            <w:hideMark/>
          </w:tcPr>
          <w:p w14:paraId="01BE19F0" w14:textId="77777777" w:rsidR="00D35E06" w:rsidRDefault="00D35E06" w:rsidP="00B2067C">
            <w:pPr>
              <w:pStyle w:val="Tabletext"/>
              <w:keepNext/>
              <w:rPr>
                <w:lang w:val="en-US"/>
              </w:rPr>
            </w:pPr>
            <w:r>
              <w:rPr>
                <w:lang w:val="en-US"/>
              </w:rPr>
              <w:t>Engage respectfully with young people B</w:t>
            </w:r>
          </w:p>
        </w:tc>
      </w:tr>
      <w:tr w:rsidR="00D35E06" w14:paraId="01BE19F4" w14:textId="77777777" w:rsidTr="00753427">
        <w:tc>
          <w:tcPr>
            <w:tcW w:w="1733" w:type="dxa"/>
            <w:tcBorders>
              <w:top w:val="single" w:sz="4" w:space="0" w:color="auto"/>
              <w:right w:val="single" w:sz="4" w:space="0" w:color="auto"/>
            </w:tcBorders>
            <w:hideMark/>
          </w:tcPr>
          <w:p w14:paraId="01BE19F2" w14:textId="77777777" w:rsidR="00D35E06" w:rsidRDefault="00D35E06" w:rsidP="00B2067C">
            <w:pPr>
              <w:pStyle w:val="Tabletext"/>
              <w:keepNext/>
              <w:rPr>
                <w:lang w:val="en-US"/>
              </w:rPr>
            </w:pPr>
            <w:r>
              <w:rPr>
                <w:lang w:val="en-US"/>
              </w:rPr>
              <w:t>BLOCK 3</w:t>
            </w:r>
          </w:p>
        </w:tc>
        <w:tc>
          <w:tcPr>
            <w:tcW w:w="6772" w:type="dxa"/>
            <w:tcBorders>
              <w:top w:val="single" w:sz="4" w:space="0" w:color="auto"/>
              <w:left w:val="single" w:sz="4" w:space="0" w:color="auto"/>
            </w:tcBorders>
            <w:hideMark/>
          </w:tcPr>
          <w:p w14:paraId="01BE19F3" w14:textId="77777777" w:rsidR="00D35E06" w:rsidRDefault="00D35E06" w:rsidP="00B2067C">
            <w:pPr>
              <w:pStyle w:val="Tabletext"/>
              <w:keepNext/>
              <w:rPr>
                <w:lang w:val="en-US"/>
              </w:rPr>
            </w:pPr>
            <w:r>
              <w:rPr>
                <w:lang w:val="en-US"/>
              </w:rPr>
              <w:t>Establish and maintain communication and relationships to support the recovery process</w:t>
            </w:r>
          </w:p>
        </w:tc>
      </w:tr>
      <w:tr w:rsidR="00D35E06" w14:paraId="01BE19F7" w14:textId="77777777" w:rsidTr="00753427">
        <w:tc>
          <w:tcPr>
            <w:tcW w:w="1733" w:type="dxa"/>
            <w:tcBorders>
              <w:bottom w:val="single" w:sz="4" w:space="0" w:color="auto"/>
              <w:right w:val="single" w:sz="4" w:space="0" w:color="auto"/>
            </w:tcBorders>
          </w:tcPr>
          <w:p w14:paraId="01BE19F5" w14:textId="77777777" w:rsidR="00D35E06" w:rsidRDefault="00D35E06" w:rsidP="00B2067C">
            <w:pPr>
              <w:pStyle w:val="Tabletext"/>
              <w:keepNext/>
              <w:rPr>
                <w:lang w:val="en-US"/>
              </w:rPr>
            </w:pPr>
          </w:p>
        </w:tc>
        <w:tc>
          <w:tcPr>
            <w:tcW w:w="6772" w:type="dxa"/>
            <w:tcBorders>
              <w:left w:val="single" w:sz="4" w:space="0" w:color="auto"/>
              <w:bottom w:val="single" w:sz="4" w:space="0" w:color="auto"/>
            </w:tcBorders>
            <w:hideMark/>
          </w:tcPr>
          <w:p w14:paraId="01BE19F6" w14:textId="77777777" w:rsidR="00D35E06" w:rsidRDefault="00D35E06" w:rsidP="00B2067C">
            <w:pPr>
              <w:pStyle w:val="Tabletext"/>
              <w:keepNext/>
              <w:rPr>
                <w:lang w:val="en-US"/>
              </w:rPr>
            </w:pPr>
            <w:r>
              <w:rPr>
                <w:lang w:val="en-US"/>
              </w:rPr>
              <w:t>Assess and respond to individuals at risk of suicide</w:t>
            </w:r>
          </w:p>
        </w:tc>
      </w:tr>
      <w:tr w:rsidR="00D35E06" w14:paraId="01BE19FA" w14:textId="77777777" w:rsidTr="00753427">
        <w:tc>
          <w:tcPr>
            <w:tcW w:w="1733" w:type="dxa"/>
            <w:tcBorders>
              <w:top w:val="single" w:sz="4" w:space="0" w:color="auto"/>
              <w:right w:val="single" w:sz="4" w:space="0" w:color="auto"/>
            </w:tcBorders>
            <w:hideMark/>
          </w:tcPr>
          <w:p w14:paraId="01BE19F8" w14:textId="77777777" w:rsidR="00D35E06" w:rsidRDefault="00D35E06" w:rsidP="00B2067C">
            <w:pPr>
              <w:pStyle w:val="Tabletext"/>
              <w:keepNext/>
              <w:rPr>
                <w:lang w:val="en-US"/>
              </w:rPr>
            </w:pPr>
            <w:r>
              <w:rPr>
                <w:lang w:val="en-US"/>
              </w:rPr>
              <w:t>Local Study</w:t>
            </w:r>
          </w:p>
        </w:tc>
        <w:tc>
          <w:tcPr>
            <w:tcW w:w="6772" w:type="dxa"/>
            <w:tcBorders>
              <w:top w:val="single" w:sz="4" w:space="0" w:color="auto"/>
              <w:left w:val="single" w:sz="4" w:space="0" w:color="auto"/>
            </w:tcBorders>
            <w:hideMark/>
          </w:tcPr>
          <w:p w14:paraId="01BE19F9" w14:textId="77777777" w:rsidR="00D35E06" w:rsidRDefault="00D35E06" w:rsidP="00B2067C">
            <w:pPr>
              <w:pStyle w:val="Tabletext"/>
              <w:keepNext/>
              <w:rPr>
                <w:lang w:val="en-US"/>
              </w:rPr>
            </w:pPr>
            <w:r>
              <w:rPr>
                <w:lang w:val="en-US"/>
              </w:rPr>
              <w:t>Establish and maintain communication and relationships</w:t>
            </w:r>
          </w:p>
        </w:tc>
      </w:tr>
      <w:tr w:rsidR="00D35E06" w14:paraId="01BE19FD" w14:textId="77777777" w:rsidTr="00753427">
        <w:tc>
          <w:tcPr>
            <w:tcW w:w="1733" w:type="dxa"/>
            <w:tcBorders>
              <w:right w:val="single" w:sz="4" w:space="0" w:color="auto"/>
            </w:tcBorders>
          </w:tcPr>
          <w:p w14:paraId="01BE19FB" w14:textId="77777777" w:rsidR="00D35E06" w:rsidRDefault="00D35E06" w:rsidP="00B2067C">
            <w:pPr>
              <w:pStyle w:val="Tabletext"/>
              <w:keepNext/>
              <w:rPr>
                <w:lang w:val="en-US"/>
              </w:rPr>
            </w:pPr>
          </w:p>
        </w:tc>
        <w:tc>
          <w:tcPr>
            <w:tcW w:w="6772" w:type="dxa"/>
            <w:tcBorders>
              <w:left w:val="single" w:sz="4" w:space="0" w:color="auto"/>
            </w:tcBorders>
            <w:hideMark/>
          </w:tcPr>
          <w:p w14:paraId="01BE19FC" w14:textId="77777777" w:rsidR="00D35E06" w:rsidRDefault="00D35E06" w:rsidP="00B2067C">
            <w:pPr>
              <w:pStyle w:val="Tabletext"/>
              <w:keepNext/>
              <w:rPr>
                <w:lang w:val="en-US"/>
              </w:rPr>
            </w:pPr>
            <w:r>
              <w:rPr>
                <w:lang w:val="en-US"/>
              </w:rPr>
              <w:t>Community Project 4: Research/Support DFV needs</w:t>
            </w:r>
            <w:r w:rsidR="009D0DA5">
              <w:rPr>
                <w:lang w:val="en-US"/>
              </w:rPr>
              <w:t>, or Project 5: AOD work experience 2</w:t>
            </w:r>
          </w:p>
        </w:tc>
      </w:tr>
      <w:tr w:rsidR="00D35E06" w14:paraId="01BE1A00" w14:textId="77777777" w:rsidTr="00753427">
        <w:tc>
          <w:tcPr>
            <w:tcW w:w="1733" w:type="dxa"/>
            <w:tcBorders>
              <w:bottom w:val="single" w:sz="4" w:space="0" w:color="auto"/>
              <w:right w:val="single" w:sz="4" w:space="0" w:color="auto"/>
            </w:tcBorders>
          </w:tcPr>
          <w:p w14:paraId="01BE19FE" w14:textId="77777777" w:rsidR="00D35E06" w:rsidRDefault="00D35E06" w:rsidP="00B2067C">
            <w:pPr>
              <w:pStyle w:val="Tabletext"/>
              <w:keepNext/>
              <w:rPr>
                <w:lang w:val="en-US"/>
              </w:rPr>
            </w:pPr>
          </w:p>
        </w:tc>
        <w:tc>
          <w:tcPr>
            <w:tcW w:w="6772" w:type="dxa"/>
            <w:tcBorders>
              <w:left w:val="single" w:sz="4" w:space="0" w:color="auto"/>
              <w:bottom w:val="single" w:sz="4" w:space="0" w:color="auto"/>
            </w:tcBorders>
            <w:hideMark/>
          </w:tcPr>
          <w:p w14:paraId="01BE19FF" w14:textId="77777777" w:rsidR="00D35E06" w:rsidRDefault="00D35E06" w:rsidP="00B2067C">
            <w:pPr>
              <w:pStyle w:val="Tabletext"/>
              <w:keepNext/>
              <w:rPr>
                <w:lang w:val="en-US"/>
              </w:rPr>
            </w:pPr>
            <w:r>
              <w:rPr>
                <w:lang w:val="en-US"/>
              </w:rPr>
              <w:t>Assess and respond to individuals at risk of suicide B (110)</w:t>
            </w:r>
          </w:p>
        </w:tc>
      </w:tr>
      <w:tr w:rsidR="00D35E06" w14:paraId="01BE1A03" w14:textId="77777777" w:rsidTr="00753427">
        <w:tc>
          <w:tcPr>
            <w:tcW w:w="1733" w:type="dxa"/>
            <w:tcBorders>
              <w:top w:val="single" w:sz="4" w:space="0" w:color="auto"/>
              <w:right w:val="single" w:sz="4" w:space="0" w:color="auto"/>
            </w:tcBorders>
            <w:hideMark/>
          </w:tcPr>
          <w:p w14:paraId="01BE1A01" w14:textId="77777777" w:rsidR="00D35E06" w:rsidRDefault="00D35E06" w:rsidP="00B2067C">
            <w:pPr>
              <w:pStyle w:val="Tabletext"/>
              <w:keepNext/>
              <w:rPr>
                <w:lang w:val="en-US"/>
              </w:rPr>
            </w:pPr>
            <w:r>
              <w:rPr>
                <w:lang w:val="en-US"/>
              </w:rPr>
              <w:t>BLOCK 4</w:t>
            </w:r>
          </w:p>
        </w:tc>
        <w:tc>
          <w:tcPr>
            <w:tcW w:w="6772" w:type="dxa"/>
            <w:tcBorders>
              <w:top w:val="single" w:sz="4" w:space="0" w:color="auto"/>
              <w:left w:val="single" w:sz="4" w:space="0" w:color="auto"/>
            </w:tcBorders>
            <w:hideMark/>
          </w:tcPr>
          <w:p w14:paraId="01BE1A02" w14:textId="77777777" w:rsidR="00D35E06" w:rsidRDefault="00D35E06" w:rsidP="00B2067C">
            <w:pPr>
              <w:pStyle w:val="Tabletext"/>
              <w:keepNext/>
              <w:rPr>
                <w:lang w:val="en-US"/>
              </w:rPr>
            </w:pPr>
            <w:r>
              <w:rPr>
                <w:lang w:val="en-US"/>
              </w:rPr>
              <w:t>Conduct assessment and planning as part of the recovery process</w:t>
            </w:r>
          </w:p>
        </w:tc>
      </w:tr>
      <w:tr w:rsidR="00D35E06" w14:paraId="01BE1A06" w14:textId="77777777" w:rsidTr="00753427">
        <w:tc>
          <w:tcPr>
            <w:tcW w:w="1733" w:type="dxa"/>
            <w:tcBorders>
              <w:right w:val="single" w:sz="4" w:space="0" w:color="auto"/>
            </w:tcBorders>
          </w:tcPr>
          <w:p w14:paraId="01BE1A04" w14:textId="77777777" w:rsidR="00D35E06" w:rsidRDefault="00D35E06" w:rsidP="00B2067C">
            <w:pPr>
              <w:pStyle w:val="Tabletext"/>
              <w:keepNext/>
              <w:rPr>
                <w:lang w:val="en-US"/>
              </w:rPr>
            </w:pPr>
          </w:p>
        </w:tc>
        <w:tc>
          <w:tcPr>
            <w:tcW w:w="6772" w:type="dxa"/>
            <w:tcBorders>
              <w:left w:val="single" w:sz="4" w:space="0" w:color="auto"/>
            </w:tcBorders>
            <w:hideMark/>
          </w:tcPr>
          <w:p w14:paraId="01BE1A05" w14:textId="77777777" w:rsidR="00D35E06" w:rsidRDefault="00D35E06" w:rsidP="00B2067C">
            <w:pPr>
              <w:pStyle w:val="Tabletext"/>
              <w:keepNext/>
              <w:rPr>
                <w:lang w:val="en-US"/>
              </w:rPr>
            </w:pPr>
            <w:r>
              <w:rPr>
                <w:lang w:val="en-US"/>
              </w:rPr>
              <w:t>Assess and respond to individuals at risk of suicide</w:t>
            </w:r>
          </w:p>
        </w:tc>
      </w:tr>
      <w:tr w:rsidR="00D35E06" w14:paraId="01BE1A09" w14:textId="77777777" w:rsidTr="00753427">
        <w:tc>
          <w:tcPr>
            <w:tcW w:w="1733" w:type="dxa"/>
            <w:tcBorders>
              <w:right w:val="single" w:sz="4" w:space="0" w:color="auto"/>
            </w:tcBorders>
          </w:tcPr>
          <w:p w14:paraId="01BE1A07" w14:textId="77777777" w:rsidR="00D35E06" w:rsidRDefault="00D35E06" w:rsidP="00B2067C">
            <w:pPr>
              <w:pStyle w:val="Tabletext"/>
              <w:keepNext/>
              <w:rPr>
                <w:lang w:val="en-US"/>
              </w:rPr>
            </w:pPr>
          </w:p>
        </w:tc>
        <w:tc>
          <w:tcPr>
            <w:tcW w:w="6772" w:type="dxa"/>
            <w:tcBorders>
              <w:left w:val="single" w:sz="4" w:space="0" w:color="auto"/>
            </w:tcBorders>
            <w:hideMark/>
          </w:tcPr>
          <w:p w14:paraId="01BE1A08" w14:textId="77777777" w:rsidR="00D35E06" w:rsidRDefault="00D35E06" w:rsidP="00B2067C">
            <w:pPr>
              <w:pStyle w:val="Tabletext"/>
              <w:keepNext/>
              <w:rPr>
                <w:lang w:val="en-US"/>
              </w:rPr>
            </w:pPr>
            <w:r>
              <w:rPr>
                <w:lang w:val="en-US"/>
              </w:rPr>
              <w:t>Provide crisis intervention and support to those experiencing domestic and family violence</w:t>
            </w:r>
          </w:p>
        </w:tc>
      </w:tr>
      <w:tr w:rsidR="00D35E06" w14:paraId="01BE1A0C" w14:textId="77777777" w:rsidTr="00753427">
        <w:tc>
          <w:tcPr>
            <w:tcW w:w="1733" w:type="dxa"/>
            <w:tcBorders>
              <w:bottom w:val="single" w:sz="4" w:space="0" w:color="auto"/>
              <w:right w:val="single" w:sz="4" w:space="0" w:color="auto"/>
            </w:tcBorders>
          </w:tcPr>
          <w:p w14:paraId="01BE1A0A" w14:textId="77777777" w:rsidR="00D35E06" w:rsidRDefault="00D35E06" w:rsidP="00B2067C">
            <w:pPr>
              <w:pStyle w:val="Tabletext"/>
              <w:keepNext/>
              <w:rPr>
                <w:lang w:val="en-US"/>
              </w:rPr>
            </w:pPr>
          </w:p>
        </w:tc>
        <w:tc>
          <w:tcPr>
            <w:tcW w:w="6772" w:type="dxa"/>
            <w:tcBorders>
              <w:left w:val="single" w:sz="4" w:space="0" w:color="auto"/>
              <w:bottom w:val="single" w:sz="4" w:space="0" w:color="auto"/>
            </w:tcBorders>
            <w:hideMark/>
          </w:tcPr>
          <w:p w14:paraId="01BE1A0B" w14:textId="77777777" w:rsidR="00D35E06" w:rsidRDefault="00D35E06" w:rsidP="00B2067C">
            <w:pPr>
              <w:pStyle w:val="Tabletext"/>
              <w:keepNext/>
              <w:rPr>
                <w:lang w:val="en-US"/>
              </w:rPr>
            </w:pPr>
            <w:r>
              <w:rPr>
                <w:lang w:val="en-US"/>
              </w:rPr>
              <w:t>Work effectively in the alcohol and other drugs sector</w:t>
            </w:r>
          </w:p>
        </w:tc>
      </w:tr>
      <w:tr w:rsidR="00D35E06" w14:paraId="01BE1A0F" w14:textId="77777777" w:rsidTr="00753427">
        <w:tc>
          <w:tcPr>
            <w:tcW w:w="1733" w:type="dxa"/>
            <w:tcBorders>
              <w:top w:val="single" w:sz="4" w:space="0" w:color="auto"/>
              <w:right w:val="single" w:sz="4" w:space="0" w:color="auto"/>
            </w:tcBorders>
            <w:hideMark/>
          </w:tcPr>
          <w:p w14:paraId="01BE1A0D" w14:textId="77777777" w:rsidR="00D35E06" w:rsidRDefault="00D35E06" w:rsidP="00B2067C">
            <w:pPr>
              <w:pStyle w:val="Tabletext"/>
              <w:keepNext/>
              <w:rPr>
                <w:lang w:val="en-US"/>
              </w:rPr>
            </w:pPr>
            <w:r>
              <w:rPr>
                <w:lang w:val="en-US"/>
              </w:rPr>
              <w:t xml:space="preserve">Local Study </w:t>
            </w:r>
          </w:p>
        </w:tc>
        <w:tc>
          <w:tcPr>
            <w:tcW w:w="6772" w:type="dxa"/>
            <w:tcBorders>
              <w:top w:val="single" w:sz="4" w:space="0" w:color="auto"/>
              <w:left w:val="single" w:sz="4" w:space="0" w:color="auto"/>
            </w:tcBorders>
            <w:hideMark/>
          </w:tcPr>
          <w:p w14:paraId="01BE1A0E" w14:textId="77777777" w:rsidR="00D35E06" w:rsidRDefault="00D35E06" w:rsidP="00B2067C">
            <w:pPr>
              <w:pStyle w:val="Tabletext"/>
              <w:keepNext/>
              <w:rPr>
                <w:lang w:val="en-US"/>
              </w:rPr>
            </w:pPr>
            <w:r>
              <w:rPr>
                <w:lang w:val="en-US"/>
              </w:rPr>
              <w:t>Conduct assessment and planning as part of the recovery process</w:t>
            </w:r>
          </w:p>
        </w:tc>
      </w:tr>
      <w:tr w:rsidR="00D35E06" w14:paraId="01BE1A12" w14:textId="77777777" w:rsidTr="00753427">
        <w:tc>
          <w:tcPr>
            <w:tcW w:w="1733" w:type="dxa"/>
            <w:tcBorders>
              <w:bottom w:val="single" w:sz="4" w:space="0" w:color="auto"/>
              <w:right w:val="single" w:sz="4" w:space="0" w:color="auto"/>
            </w:tcBorders>
          </w:tcPr>
          <w:p w14:paraId="01BE1A10" w14:textId="77777777" w:rsidR="00D35E06" w:rsidRDefault="00D35E06" w:rsidP="00B2067C">
            <w:pPr>
              <w:pStyle w:val="Tabletext"/>
              <w:keepNext/>
              <w:rPr>
                <w:lang w:val="en-US"/>
              </w:rPr>
            </w:pPr>
          </w:p>
        </w:tc>
        <w:tc>
          <w:tcPr>
            <w:tcW w:w="6772" w:type="dxa"/>
            <w:tcBorders>
              <w:left w:val="single" w:sz="4" w:space="0" w:color="auto"/>
              <w:bottom w:val="single" w:sz="4" w:space="0" w:color="auto"/>
            </w:tcBorders>
            <w:hideMark/>
          </w:tcPr>
          <w:p w14:paraId="01BE1A11" w14:textId="77777777" w:rsidR="00D35E06" w:rsidRDefault="00D35E06" w:rsidP="00B2067C">
            <w:pPr>
              <w:pStyle w:val="Tabletext"/>
              <w:keepNext/>
              <w:rPr>
                <w:lang w:val="en-US"/>
              </w:rPr>
            </w:pPr>
            <w:r>
              <w:rPr>
                <w:lang w:val="en-US"/>
              </w:rPr>
              <w:t>Assess and respond to individuals at risk of suicide</w:t>
            </w:r>
          </w:p>
        </w:tc>
      </w:tr>
      <w:tr w:rsidR="00D35E06" w14:paraId="01BE1A15" w14:textId="77777777" w:rsidTr="00753427">
        <w:tc>
          <w:tcPr>
            <w:tcW w:w="1733" w:type="dxa"/>
            <w:tcBorders>
              <w:top w:val="single" w:sz="4" w:space="0" w:color="auto"/>
              <w:right w:val="single" w:sz="4" w:space="0" w:color="auto"/>
            </w:tcBorders>
            <w:hideMark/>
          </w:tcPr>
          <w:p w14:paraId="01BE1A13" w14:textId="77777777" w:rsidR="00D35E06" w:rsidRDefault="00D35E06" w:rsidP="00B2067C">
            <w:pPr>
              <w:pStyle w:val="Tabletext"/>
              <w:keepNext/>
              <w:rPr>
                <w:lang w:val="en-US"/>
              </w:rPr>
            </w:pPr>
            <w:r>
              <w:rPr>
                <w:lang w:val="en-US"/>
              </w:rPr>
              <w:t>Elective units</w:t>
            </w:r>
          </w:p>
        </w:tc>
        <w:tc>
          <w:tcPr>
            <w:tcW w:w="6772" w:type="dxa"/>
            <w:tcBorders>
              <w:top w:val="single" w:sz="4" w:space="0" w:color="auto"/>
              <w:left w:val="single" w:sz="4" w:space="0" w:color="auto"/>
            </w:tcBorders>
            <w:hideMark/>
          </w:tcPr>
          <w:p w14:paraId="01BE1A14" w14:textId="77777777" w:rsidR="00D35E06" w:rsidRDefault="00D35E06" w:rsidP="00B2067C">
            <w:pPr>
              <w:pStyle w:val="Tabletext"/>
              <w:keepNext/>
              <w:rPr>
                <w:lang w:val="en-US"/>
              </w:rPr>
            </w:pPr>
            <w:r>
              <w:rPr>
                <w:lang w:val="en-US"/>
              </w:rPr>
              <w:t>Work effectively in the alcohol and other drugs sector</w:t>
            </w:r>
          </w:p>
        </w:tc>
      </w:tr>
      <w:tr w:rsidR="00D35E06" w14:paraId="01BE1A18" w14:textId="77777777" w:rsidTr="00753427">
        <w:tc>
          <w:tcPr>
            <w:tcW w:w="1733" w:type="dxa"/>
            <w:tcBorders>
              <w:right w:val="single" w:sz="4" w:space="0" w:color="auto"/>
            </w:tcBorders>
          </w:tcPr>
          <w:p w14:paraId="01BE1A16" w14:textId="77777777" w:rsidR="00D35E06" w:rsidRDefault="00D35E06" w:rsidP="00B2067C">
            <w:pPr>
              <w:pStyle w:val="Tabletext"/>
              <w:keepNext/>
              <w:rPr>
                <w:lang w:val="en-US"/>
              </w:rPr>
            </w:pPr>
          </w:p>
        </w:tc>
        <w:tc>
          <w:tcPr>
            <w:tcW w:w="6772" w:type="dxa"/>
            <w:tcBorders>
              <w:left w:val="single" w:sz="4" w:space="0" w:color="auto"/>
            </w:tcBorders>
            <w:hideMark/>
          </w:tcPr>
          <w:p w14:paraId="01BE1A17" w14:textId="77777777" w:rsidR="00D35E06" w:rsidRDefault="00D35E06" w:rsidP="00B2067C">
            <w:pPr>
              <w:pStyle w:val="Tabletext"/>
              <w:keepNext/>
              <w:rPr>
                <w:lang w:val="en-US"/>
              </w:rPr>
            </w:pPr>
            <w:r>
              <w:rPr>
                <w:lang w:val="en-US"/>
              </w:rPr>
              <w:t xml:space="preserve">Support community action </w:t>
            </w:r>
          </w:p>
        </w:tc>
      </w:tr>
      <w:tr w:rsidR="00D35E06" w14:paraId="01BE1A1B" w14:textId="77777777" w:rsidTr="00753427">
        <w:tc>
          <w:tcPr>
            <w:tcW w:w="1733" w:type="dxa"/>
            <w:tcBorders>
              <w:right w:val="single" w:sz="4" w:space="0" w:color="auto"/>
            </w:tcBorders>
          </w:tcPr>
          <w:p w14:paraId="01BE1A19" w14:textId="77777777" w:rsidR="00D35E06" w:rsidRDefault="00D35E06" w:rsidP="00B2067C">
            <w:pPr>
              <w:pStyle w:val="Tabletext"/>
              <w:keepNext/>
              <w:rPr>
                <w:lang w:val="en-US"/>
              </w:rPr>
            </w:pPr>
          </w:p>
        </w:tc>
        <w:tc>
          <w:tcPr>
            <w:tcW w:w="6772" w:type="dxa"/>
            <w:tcBorders>
              <w:left w:val="single" w:sz="4" w:space="0" w:color="auto"/>
            </w:tcBorders>
            <w:hideMark/>
          </w:tcPr>
          <w:p w14:paraId="01BE1A1A" w14:textId="77777777" w:rsidR="00D35E06" w:rsidRDefault="00D35E06" w:rsidP="00B2067C">
            <w:pPr>
              <w:pStyle w:val="Tabletext"/>
              <w:keepNext/>
              <w:rPr>
                <w:lang w:val="en-US"/>
              </w:rPr>
            </w:pPr>
            <w:proofErr w:type="spellStart"/>
            <w:r>
              <w:rPr>
                <w:lang w:val="en-US"/>
              </w:rPr>
              <w:t>Recognise</w:t>
            </w:r>
            <w:proofErr w:type="spellEnd"/>
            <w:r>
              <w:rPr>
                <w:lang w:val="en-US"/>
              </w:rPr>
              <w:t xml:space="preserve"> and respond appropriately to domestic and family violence</w:t>
            </w:r>
          </w:p>
        </w:tc>
      </w:tr>
      <w:tr w:rsidR="00D35E06" w14:paraId="01BE1A1E" w14:textId="77777777" w:rsidTr="00753427">
        <w:tc>
          <w:tcPr>
            <w:tcW w:w="1733" w:type="dxa"/>
            <w:tcBorders>
              <w:right w:val="single" w:sz="4" w:space="0" w:color="auto"/>
            </w:tcBorders>
          </w:tcPr>
          <w:p w14:paraId="01BE1A1C" w14:textId="77777777" w:rsidR="00D35E06" w:rsidRDefault="00D35E06" w:rsidP="00B2067C">
            <w:pPr>
              <w:pStyle w:val="Tabletext"/>
              <w:keepNext/>
              <w:rPr>
                <w:lang w:val="en-US"/>
              </w:rPr>
            </w:pPr>
          </w:p>
        </w:tc>
        <w:tc>
          <w:tcPr>
            <w:tcW w:w="6772" w:type="dxa"/>
            <w:tcBorders>
              <w:left w:val="single" w:sz="4" w:space="0" w:color="auto"/>
            </w:tcBorders>
            <w:hideMark/>
          </w:tcPr>
          <w:p w14:paraId="01BE1A1D" w14:textId="77777777" w:rsidR="00D35E06" w:rsidRDefault="00D35E06" w:rsidP="00B2067C">
            <w:pPr>
              <w:pStyle w:val="Tabletext"/>
              <w:keepNext/>
              <w:rPr>
                <w:lang w:val="en-US"/>
              </w:rPr>
            </w:pPr>
            <w:r>
              <w:rPr>
                <w:lang w:val="en-US"/>
              </w:rPr>
              <w:t>Work effectively with young people and their families</w:t>
            </w:r>
          </w:p>
        </w:tc>
      </w:tr>
      <w:tr w:rsidR="00D35E06" w14:paraId="01BE1A21" w14:textId="77777777" w:rsidTr="00753427">
        <w:tc>
          <w:tcPr>
            <w:tcW w:w="1733" w:type="dxa"/>
            <w:tcBorders>
              <w:bottom w:val="single" w:sz="4" w:space="0" w:color="auto"/>
              <w:right w:val="single" w:sz="4" w:space="0" w:color="auto"/>
            </w:tcBorders>
          </w:tcPr>
          <w:p w14:paraId="01BE1A1F" w14:textId="77777777" w:rsidR="00D35E06" w:rsidRDefault="00D35E06" w:rsidP="00B2067C">
            <w:pPr>
              <w:pStyle w:val="Tabletext"/>
              <w:keepNext/>
              <w:rPr>
                <w:lang w:val="en-US"/>
              </w:rPr>
            </w:pPr>
          </w:p>
        </w:tc>
        <w:tc>
          <w:tcPr>
            <w:tcW w:w="6772" w:type="dxa"/>
            <w:tcBorders>
              <w:left w:val="single" w:sz="4" w:space="0" w:color="auto"/>
              <w:bottom w:val="single" w:sz="4" w:space="0" w:color="auto"/>
            </w:tcBorders>
            <w:hideMark/>
          </w:tcPr>
          <w:p w14:paraId="01BE1A20" w14:textId="77777777" w:rsidR="00D35E06" w:rsidRDefault="00D35E06" w:rsidP="00B2067C">
            <w:pPr>
              <w:pStyle w:val="Tabletext"/>
              <w:keepNext/>
              <w:rPr>
                <w:lang w:val="en-US"/>
              </w:rPr>
            </w:pPr>
            <w:r>
              <w:rPr>
                <w:lang w:val="en-US"/>
              </w:rPr>
              <w:t>Work with clients with complex alcohol and-or Other drugs issues</w:t>
            </w:r>
          </w:p>
        </w:tc>
      </w:tr>
    </w:tbl>
    <w:p w14:paraId="01BE1A22" w14:textId="77777777" w:rsidR="00D35E06" w:rsidRDefault="00D35E06" w:rsidP="00D35E06">
      <w:pPr>
        <w:pStyle w:val="NoSpacing"/>
        <w:spacing w:line="276" w:lineRule="auto"/>
        <w:jc w:val="both"/>
        <w:rPr>
          <w:rFonts w:ascii="Arial" w:hAnsi="Arial" w:cs="Arial"/>
        </w:rPr>
      </w:pPr>
    </w:p>
    <w:p w14:paraId="01BE1A23" w14:textId="77777777" w:rsidR="00D35E06" w:rsidRDefault="00D35E06" w:rsidP="00D35E06">
      <w:pPr>
        <w:pStyle w:val="Text"/>
      </w:pPr>
      <w:r>
        <w:t xml:space="preserve">The modules were carefully selected by </w:t>
      </w:r>
      <w:r w:rsidR="002114D8">
        <w:t xml:space="preserve">the </w:t>
      </w:r>
      <w:r w:rsidR="00D70D98">
        <w:t>college</w:t>
      </w:r>
      <w:r>
        <w:t xml:space="preserve"> and modified to meet the </w:t>
      </w:r>
      <w:r w:rsidR="00D2080F">
        <w:t>needs</w:t>
      </w:r>
      <w:r>
        <w:t xml:space="preserve"> of the Indigenous cohorts </w:t>
      </w:r>
      <w:r w:rsidR="002114D8">
        <w:t xml:space="preserve">the </w:t>
      </w:r>
      <w:r w:rsidR="00D70D98">
        <w:t>college</w:t>
      </w:r>
      <w:r>
        <w:t xml:space="preserve"> expected to enrol.</w:t>
      </w:r>
      <w:r w:rsidR="00F107E1" w:rsidRPr="00F107E1">
        <w:t xml:space="preserve"> </w:t>
      </w:r>
      <w:r>
        <w:t xml:space="preserve">As such, the course content met students’ expectations and they in turn reported high levels of engagement and support. The regularity of residential blocks enabled students to seek additional learning support from </w:t>
      </w:r>
      <w:r w:rsidR="00D70D98">
        <w:t>college</w:t>
      </w:r>
      <w:r>
        <w:t xml:space="preserve"> staff. The authenticity of learning activities, </w:t>
      </w:r>
      <w:r w:rsidR="00CB65EE">
        <w:t xml:space="preserve">the </w:t>
      </w:r>
      <w:r>
        <w:t>relationships formed betw</w:t>
      </w:r>
      <w:r w:rsidR="0018129B">
        <w:t>een students and their trainers</w:t>
      </w:r>
      <w:r>
        <w:t xml:space="preserve"> and the serious and personal nature of the content t</w:t>
      </w:r>
      <w:r w:rsidR="00CB65EE">
        <w:t>hey were examining</w:t>
      </w:r>
      <w:r>
        <w:t xml:space="preserve"> </w:t>
      </w:r>
      <w:r w:rsidR="00CB65EE">
        <w:t>encouraged</w:t>
      </w:r>
      <w:r>
        <w:t xml:space="preserve"> higher levels of determination to complete the course. Many students reported changes in personal self-awareness, as the following students attest:</w:t>
      </w:r>
    </w:p>
    <w:p w14:paraId="01BE1A24" w14:textId="77777777" w:rsidR="00D35E06" w:rsidRDefault="00D35E06" w:rsidP="00D35E06">
      <w:pPr>
        <w:pStyle w:val="Quote"/>
      </w:pPr>
      <w:r>
        <w:t>I’m just blown away. I’m learning about myself.</w:t>
      </w:r>
      <w:r w:rsidR="00F107E1" w:rsidRPr="00F107E1">
        <w:t xml:space="preserve"> </w:t>
      </w:r>
      <w:r>
        <w:t>My past. My dysfunction. Addictions. Domestic violence. I already knew from experience but now I’m actually doing the work.</w:t>
      </w:r>
      <w:r w:rsidR="00F107E1" w:rsidRPr="00F107E1">
        <w:t xml:space="preserve"> </w:t>
      </w:r>
      <w:r>
        <w:t>My life changes after every time I go to Cairns</w:t>
      </w:r>
      <w:r w:rsidR="00CB65EE">
        <w:t xml:space="preserve"> </w:t>
      </w:r>
      <w:r>
        <w:t>… My life had to change as well so I can help others. So my whole life has changed.</w:t>
      </w:r>
      <w:r w:rsidR="00F107E1" w:rsidRPr="00F107E1">
        <w:t xml:space="preserve"> </w:t>
      </w:r>
      <w:r>
        <w:t>More limits but amazing freedom and a different world has opened to me.</w:t>
      </w:r>
      <w:r w:rsidR="00F107E1" w:rsidRPr="00F107E1">
        <w:t xml:space="preserve"> </w:t>
      </w:r>
      <w:r>
        <w:t>My mind has expanded.</w:t>
      </w:r>
    </w:p>
    <w:p w14:paraId="01BE1A25" w14:textId="77777777" w:rsidR="00D35E06" w:rsidRDefault="00D35E06" w:rsidP="00D35E06">
      <w:pPr>
        <w:pStyle w:val="Quote"/>
      </w:pPr>
      <w:r>
        <w:t>At first I thought this</w:t>
      </w:r>
      <w:r w:rsidR="00CB65EE">
        <w:t xml:space="preserve"> hasn’t got much to do with MH …</w:t>
      </w:r>
      <w:r>
        <w:t xml:space="preserve"> At the end I could see there’s so much more about MH. After working in it for 12 years I knew I was good working with people. The information was</w:t>
      </w:r>
      <w:r w:rsidR="00CB65EE">
        <w:t xml:space="preserve"> new and things I hadn’t heard —</w:t>
      </w:r>
      <w:r>
        <w:t xml:space="preserve"> opened up a whole new thing to me. I was inspired. The knowledge of what the students all b</w:t>
      </w:r>
      <w:r w:rsidR="00CB65EE">
        <w:t>r</w:t>
      </w:r>
      <w:r>
        <w:t>ought in, doing, I was inspired by everyone and the teachers. And I was motivated by my passion to see people with MH issues/illness get the right support and care they need.</w:t>
      </w:r>
      <w:r w:rsidR="00F107E1" w:rsidRPr="00F107E1">
        <w:t xml:space="preserve"> </w:t>
      </w:r>
      <w:r>
        <w:t xml:space="preserve">That’s what motivates me to be trained and stay in this field. </w:t>
      </w:r>
    </w:p>
    <w:p w14:paraId="01BE1A26" w14:textId="77777777" w:rsidR="00D35E06" w:rsidRDefault="00D35E06" w:rsidP="00D35E06">
      <w:pPr>
        <w:pStyle w:val="Text"/>
        <w:rPr>
          <w:lang w:eastAsia="en-AU"/>
        </w:rPr>
      </w:pPr>
      <w:r>
        <w:rPr>
          <w:lang w:eastAsia="en-AU"/>
        </w:rPr>
        <w:t>The primary reasons for early withdrawal were due to family and cultural commitments, health issues, or course relevance and literacy demands. According to the Australian Institute of Health and Welfare, Australian Aboriginal and Torres Strait Islander</w:t>
      </w:r>
      <w:r w:rsidR="002114D8">
        <w:t xml:space="preserve"> people are three</w:t>
      </w:r>
      <w:r>
        <w:t xml:space="preserve"> times more likely to report diabetes than the general Australian population. Other chronic diseases</w:t>
      </w:r>
      <w:r w:rsidR="0018129B">
        <w:t>,</w:t>
      </w:r>
      <w:r>
        <w:t xml:space="preserve"> including end-stage kidney disease, heart disease and asthma</w:t>
      </w:r>
      <w:r w:rsidR="0018129B">
        <w:t>,</w:t>
      </w:r>
      <w:r>
        <w:t xml:space="preserve"> result in higher rates of hospitalisation and death than non-Indigenous Australians </w:t>
      </w:r>
      <w:r>
        <w:rPr>
          <w:noProof/>
        </w:rPr>
        <w:t>(</w:t>
      </w:r>
      <w:r w:rsidR="00CB65EE">
        <w:rPr>
          <w:lang w:eastAsia="en-AU"/>
        </w:rPr>
        <w:t>Australian Institute of Health and Welfare</w:t>
      </w:r>
      <w:r w:rsidR="00CB65EE">
        <w:rPr>
          <w:noProof/>
        </w:rPr>
        <w:t xml:space="preserve"> </w:t>
      </w:r>
      <w:r>
        <w:rPr>
          <w:noProof/>
        </w:rPr>
        <w:t>2014)</w:t>
      </w:r>
      <w:r>
        <w:t>. The families of people living with chronic disease, which at times</w:t>
      </w:r>
      <w:r w:rsidR="0018129B">
        <w:t xml:space="preserve"> is highly intrusive i</w:t>
      </w:r>
      <w:r>
        <w:t>n their lives, carry this burden.</w:t>
      </w:r>
      <w:r w:rsidR="00F107E1" w:rsidRPr="00F107E1">
        <w:t xml:space="preserve"> </w:t>
      </w:r>
      <w:r w:rsidR="002114D8">
        <w:t xml:space="preserve">The </w:t>
      </w:r>
      <w:r w:rsidR="00D70D98">
        <w:t>college</w:t>
      </w:r>
      <w:r>
        <w:t xml:space="preserve"> report</w:t>
      </w:r>
      <w:r w:rsidR="002114D8">
        <w:t>s</w:t>
      </w:r>
      <w:r>
        <w:t xml:space="preserve"> frequent occasions where ‘sorry business’ disrupts students’ progress and learning. Traditional funeral arrangements in some communities can last for weeks. The administrators report such events </w:t>
      </w:r>
      <w:r w:rsidR="0018129B">
        <w:t xml:space="preserve">as </w:t>
      </w:r>
      <w:r>
        <w:t>delaying t</w:t>
      </w:r>
      <w:r w:rsidR="0018129B">
        <w:t>he start dates of other courses and causing</w:t>
      </w:r>
      <w:r>
        <w:t xml:space="preserve"> pos</w:t>
      </w:r>
      <w:r w:rsidR="0018129B">
        <w:t>tponement of residential blocks</w:t>
      </w:r>
      <w:r>
        <w:t xml:space="preserve"> or </w:t>
      </w:r>
      <w:r w:rsidR="0018129B">
        <w:t xml:space="preserve">the </w:t>
      </w:r>
      <w:r>
        <w:t xml:space="preserve">forced early withdrawal of students who were unable to attend. An interviewee for this case study reported attempting the </w:t>
      </w:r>
      <w:r w:rsidR="00EF14E4">
        <w:t xml:space="preserve">Indigenous Mental Health </w:t>
      </w:r>
      <w:r>
        <w:t>course in 2014 but had withdrawn due to th</w:t>
      </w:r>
      <w:r w:rsidR="0018129B">
        <w:t>e double burden of providing in-</w:t>
      </w:r>
      <w:r>
        <w:t>home care for a loved one</w:t>
      </w:r>
      <w:r w:rsidR="0018129B">
        <w:t>,</w:t>
      </w:r>
      <w:r>
        <w:t xml:space="preserve"> as well as managing her own chronic disease. She reported her progress in 2015 as being better and was determined to complete the course, but her success remained contingent upon good health and managing family commitments.</w:t>
      </w:r>
    </w:p>
    <w:p w14:paraId="01BE1A27" w14:textId="77777777" w:rsidR="00D35E06" w:rsidRDefault="00D35E06" w:rsidP="00D35E06">
      <w:pPr>
        <w:pStyle w:val="Quote"/>
      </w:pPr>
      <w:r>
        <w:t>I attended all the session and work at home. It is self-paced so I do a little in th</w:t>
      </w:r>
      <w:r w:rsidR="00CB65EE">
        <w:t>e morning but mostly at night …</w:t>
      </w:r>
      <w:r>
        <w:t xml:space="preserve"> I work at my own pace. It will take me a while as I’m a carer for my husband and I’m a diabetic and not been very well.</w:t>
      </w:r>
      <w:r w:rsidR="00F107E1" w:rsidRPr="00F107E1">
        <w:t xml:space="preserve"> </w:t>
      </w:r>
    </w:p>
    <w:p w14:paraId="01BE1A28" w14:textId="77777777" w:rsidR="00D35E06" w:rsidRDefault="00D35E06" w:rsidP="00D35E06">
      <w:pPr>
        <w:pStyle w:val="Text"/>
      </w:pPr>
      <w:r>
        <w:t xml:space="preserve">On principle, students are welcome, and encouraged, to return to study. As one employer interviewed commented: </w:t>
      </w:r>
    </w:p>
    <w:p w14:paraId="01BE1A29" w14:textId="77777777" w:rsidR="00D35E06" w:rsidRDefault="00D35E06" w:rsidP="00D35E06">
      <w:pPr>
        <w:pStyle w:val="Quote"/>
      </w:pPr>
      <w:r>
        <w:t xml:space="preserve">People drop out due to family conditions. They are told they have the opportunity to come back when things get better. An example of a family condition: Child-minding. People might try but have to defer training, and wait till their child is in school. </w:t>
      </w:r>
      <w:r w:rsidR="00CB65EE">
        <w:tab/>
        <w:t>(</w:t>
      </w:r>
      <w:r>
        <w:t>Employer</w:t>
      </w:r>
      <w:r w:rsidR="00CB65EE">
        <w:t>)</w:t>
      </w:r>
    </w:p>
    <w:p w14:paraId="01BE1A2A" w14:textId="3909EE48" w:rsidR="00D35E06" w:rsidRDefault="00D35E06" w:rsidP="00D35E06">
      <w:pPr>
        <w:pStyle w:val="Text"/>
      </w:pPr>
      <w:r>
        <w:t xml:space="preserve">Literacy and pastoral support </w:t>
      </w:r>
      <w:r w:rsidR="0018129B">
        <w:t>are</w:t>
      </w:r>
      <w:r>
        <w:t xml:space="preserve"> strong component</w:t>
      </w:r>
      <w:r w:rsidR="0018129B">
        <w:t>s</w:t>
      </w:r>
      <w:r>
        <w:t xml:space="preserve"> of </w:t>
      </w:r>
      <w:r w:rsidR="002114D8">
        <w:t xml:space="preserve">the </w:t>
      </w:r>
      <w:r w:rsidR="00D70D98">
        <w:t>college</w:t>
      </w:r>
      <w:r w:rsidR="002114D8">
        <w:t>’s</w:t>
      </w:r>
      <w:r>
        <w:t xml:space="preserve"> course delivery mode. A literacy support teacher is available during all residential teaching blocks. Similarly, peer-to-peer learning is modelled and encouraged. When asked what additional support could be provided, students largely felt that the support provided was adequate in Cai</w:t>
      </w:r>
      <w:r w:rsidR="0018129B">
        <w:t>rns</w:t>
      </w:r>
      <w:r>
        <w:t xml:space="preserve"> </w:t>
      </w:r>
      <w:r w:rsidR="00871991" w:rsidRPr="00871991">
        <w:t xml:space="preserve">but </w:t>
      </w:r>
      <w:r w:rsidR="00871991">
        <w:t xml:space="preserve">they </w:t>
      </w:r>
      <w:r w:rsidR="00871991" w:rsidRPr="00871991">
        <w:t xml:space="preserve">required additional support from peers or tutors </w:t>
      </w:r>
      <w:r w:rsidR="00871991">
        <w:t xml:space="preserve">when </w:t>
      </w:r>
      <w:r w:rsidR="00871991" w:rsidRPr="00871991">
        <w:t xml:space="preserve">in </w:t>
      </w:r>
      <w:r w:rsidR="00871991">
        <w:t xml:space="preserve">their </w:t>
      </w:r>
      <w:r w:rsidR="00871991" w:rsidRPr="00871991">
        <w:t>home communities</w:t>
      </w:r>
      <w:r>
        <w:t>.</w:t>
      </w:r>
    </w:p>
    <w:p w14:paraId="01BE1A2B" w14:textId="77777777" w:rsidR="00D35E06" w:rsidRDefault="00D35E06" w:rsidP="00D35E06">
      <w:pPr>
        <w:pStyle w:val="Quote"/>
      </w:pPr>
      <w:r>
        <w:t>People felt they couldn’t complete course they couldn’t understand the written stuff. So I’d help them …</w:t>
      </w:r>
      <w:r w:rsidR="00F107E1" w:rsidRPr="00F107E1">
        <w:t xml:space="preserve"> </w:t>
      </w:r>
      <w:r>
        <w:t>The knowledge is all there but they just couldn’t do the literacy skills. If they didn’t have anyone back at home to support them they’d have problems finishing the workbooks.</w:t>
      </w:r>
      <w:r w:rsidR="00F107E1" w:rsidRPr="00F107E1">
        <w:t xml:space="preserve"> </w:t>
      </w:r>
      <w:r>
        <w:t xml:space="preserve">I don’t know if they had tutors in the remote communities. </w:t>
      </w:r>
      <w:r w:rsidR="00CB65EE">
        <w:tab/>
        <w:t>(</w:t>
      </w:r>
      <w:r>
        <w:t>Employer</w:t>
      </w:r>
      <w:r w:rsidR="00CB65EE">
        <w:t>)</w:t>
      </w:r>
    </w:p>
    <w:p w14:paraId="01BE1A2C" w14:textId="77777777" w:rsidR="00D35E06" w:rsidRDefault="002114D8" w:rsidP="00D35E06">
      <w:pPr>
        <w:pStyle w:val="Quote"/>
      </w:pPr>
      <w:r>
        <w:t xml:space="preserve">[The </w:t>
      </w:r>
      <w:r w:rsidR="00D70D98">
        <w:t>college</w:t>
      </w:r>
      <w:r>
        <w:t>]</w:t>
      </w:r>
      <w:r w:rsidR="00D35E06">
        <w:t xml:space="preserve"> support</w:t>
      </w:r>
      <w:r>
        <w:t>s</w:t>
      </w:r>
      <w:r w:rsidR="00D35E06">
        <w:t xml:space="preserve"> numeracy and literacy issues really well. In my experience of supporting students to do the training, it is normally </w:t>
      </w:r>
      <w:r w:rsidR="00CB65EE">
        <w:t>unresolved issues of their own —</w:t>
      </w:r>
      <w:r w:rsidR="00D35E06">
        <w:t xml:space="preserve"> addiction or mental illness that is not managed.</w:t>
      </w:r>
      <w:r w:rsidR="00F107E1" w:rsidRPr="00F107E1">
        <w:t xml:space="preserve"> </w:t>
      </w:r>
      <w:r w:rsidR="00D35E06">
        <w:t>Bamaga is 1000 km from Cairns.</w:t>
      </w:r>
      <w:r w:rsidR="00F107E1" w:rsidRPr="00F107E1">
        <w:t xml:space="preserve"> </w:t>
      </w:r>
      <w:r w:rsidR="00D35E06">
        <w:t xml:space="preserve">It’s the big smoke and a </w:t>
      </w:r>
      <w:r>
        <w:t>2-week</w:t>
      </w:r>
      <w:r w:rsidR="00D35E06">
        <w:t xml:space="preserve"> block there is exciting. Some get carried away doing other things and are not ready to study so they might muck around for a couple of weeks. It’s been their own personal troubles </w:t>
      </w:r>
      <w:r w:rsidR="00CB65EE">
        <w:t>— drug, alcohol, jail.</w:t>
      </w:r>
      <w:r w:rsidR="00CB65EE">
        <w:tab/>
        <w:t>(</w:t>
      </w:r>
      <w:r w:rsidR="00D35E06">
        <w:t>Employer</w:t>
      </w:r>
      <w:r w:rsidR="00CB65EE">
        <w:t>)</w:t>
      </w:r>
    </w:p>
    <w:p w14:paraId="01BE1A2D" w14:textId="77777777" w:rsidR="00D35E06" w:rsidRDefault="00CB65EE" w:rsidP="00D35E06">
      <w:pPr>
        <w:pStyle w:val="Text"/>
      </w:pPr>
      <w:r>
        <w:t>C</w:t>
      </w:r>
      <w:r w:rsidR="00D70D98">
        <w:t>ollege</w:t>
      </w:r>
      <w:r w:rsidR="00D35E06">
        <w:t xml:space="preserve"> staff understand</w:t>
      </w:r>
      <w:r w:rsidR="0018129B">
        <w:t xml:space="preserve"> their students and their needs</w:t>
      </w:r>
      <w:r w:rsidR="00D35E06">
        <w:t xml:space="preserve"> and are particularly concerned to support students through difficult and challenging times. As </w:t>
      </w:r>
      <w:r w:rsidR="00D70D98">
        <w:t>college</w:t>
      </w:r>
      <w:r w:rsidR="00D35E06">
        <w:t xml:space="preserve"> staff at a focus group interview for this study stated:</w:t>
      </w:r>
    </w:p>
    <w:p w14:paraId="01BE1A2E" w14:textId="77777777" w:rsidR="00D35E06" w:rsidRDefault="00D35E06" w:rsidP="00D35E06">
      <w:pPr>
        <w:pStyle w:val="Quote"/>
      </w:pPr>
      <w:r>
        <w:t xml:space="preserve">The teachers, and the </w:t>
      </w:r>
      <w:r w:rsidR="00D70D98">
        <w:t>college</w:t>
      </w:r>
      <w:r>
        <w:t xml:space="preserve"> is Indigenous controlled. We are flexible with students and they are comfortable to come here. We know the community people and the issues they face i.e. funerals. Our students have issues. If they get it in their head that they’re going to take off, they just do.</w:t>
      </w:r>
      <w:r w:rsidR="00F107E1" w:rsidRPr="00F107E1">
        <w:t xml:space="preserve"> </w:t>
      </w:r>
      <w:r>
        <w:t xml:space="preserve">It is really </w:t>
      </w:r>
      <w:r w:rsidR="00CB65EE">
        <w:t>hard to talk them into staying —</w:t>
      </w:r>
      <w:r>
        <w:t xml:space="preserve"> we often try and do that. We spend hours with th</w:t>
      </w:r>
      <w:r w:rsidR="00CB65EE">
        <w:t>em to help them get through it …</w:t>
      </w:r>
      <w:r w:rsidR="00CB65EE">
        <w:tab/>
      </w:r>
      <w:r>
        <w:t xml:space="preserve"> (Trainers</w:t>
      </w:r>
      <w:r w:rsidR="0018129B">
        <w:t>’</w:t>
      </w:r>
      <w:r>
        <w:t xml:space="preserve"> focus group)</w:t>
      </w:r>
    </w:p>
    <w:p w14:paraId="01BE1A2F" w14:textId="77777777" w:rsidR="00D35E06" w:rsidRDefault="00D35E06" w:rsidP="007F3F0E">
      <w:pPr>
        <w:pStyle w:val="Heading3"/>
      </w:pPr>
      <w:r>
        <w:t>Indicators of success</w:t>
      </w:r>
    </w:p>
    <w:p w14:paraId="01BE1A30" w14:textId="77777777" w:rsidR="00D35E06" w:rsidRDefault="00D35E06" w:rsidP="00D35E06">
      <w:pPr>
        <w:pStyle w:val="Quote"/>
      </w:pPr>
      <w:r>
        <w:t xml:space="preserve">In my view the training at </w:t>
      </w:r>
      <w:r w:rsidR="00D2080F">
        <w:t xml:space="preserve">[the </w:t>
      </w:r>
      <w:r w:rsidR="00D70D98">
        <w:t>college</w:t>
      </w:r>
      <w:r w:rsidR="00D2080F">
        <w:t>]</w:t>
      </w:r>
      <w:r>
        <w:t xml:space="preserve"> is very good</w:t>
      </w:r>
      <w:r w:rsidR="00CB65EE">
        <w:t xml:space="preserve"> …</w:t>
      </w:r>
      <w:r>
        <w:t xml:space="preserve"> The trainers are very good. It works for 4 reasons. 1. The environment</w:t>
      </w:r>
      <w:r w:rsidR="00CB65EE">
        <w:t>.</w:t>
      </w:r>
      <w:r w:rsidR="00352794">
        <w:t xml:space="preserve"> </w:t>
      </w:r>
      <w:r>
        <w:t>2. The lecturers accommodate learning styles.</w:t>
      </w:r>
      <w:r w:rsidR="00F107E1" w:rsidRPr="00F107E1">
        <w:t xml:space="preserve"> </w:t>
      </w:r>
      <w:r>
        <w:t>3. They meet individual needs.</w:t>
      </w:r>
      <w:r w:rsidR="00F107E1" w:rsidRPr="00F107E1">
        <w:t xml:space="preserve"> </w:t>
      </w:r>
      <w:r>
        <w:t>4. Most importantly, people don’t get disconnected from their community. Sometimes people leave here to go to a residential block or the trainer comes here but either way the comm</w:t>
      </w:r>
      <w:r w:rsidR="00CB65EE">
        <w:t>unity connection is maintained.</w:t>
      </w:r>
      <w:r w:rsidR="00CB65EE">
        <w:tab/>
        <w:t>(</w:t>
      </w:r>
      <w:r>
        <w:t>Employer</w:t>
      </w:r>
      <w:r w:rsidR="00CB65EE">
        <w:t>)</w:t>
      </w:r>
    </w:p>
    <w:p w14:paraId="01BE1A31" w14:textId="77777777" w:rsidR="00D35E06" w:rsidRDefault="00D35E06" w:rsidP="00D35E06">
      <w:pPr>
        <w:pStyle w:val="Text"/>
      </w:pPr>
      <w:r>
        <w:t xml:space="preserve">With evidence of widespread support for the </w:t>
      </w:r>
      <w:r w:rsidR="00EF14E4">
        <w:t xml:space="preserve">Indigenous Mental Health </w:t>
      </w:r>
      <w:r>
        <w:t xml:space="preserve">course from employers and students, and a completion rate of 65%, the delivery of the training at </w:t>
      </w:r>
      <w:r w:rsidR="00D2080F">
        <w:t xml:space="preserve">the </w:t>
      </w:r>
      <w:r w:rsidR="00D70D98">
        <w:t>college</w:t>
      </w:r>
      <w:r w:rsidR="00CB65EE">
        <w:t xml:space="preserve"> is regarded as successful</w:t>
      </w:r>
      <w:r>
        <w:t>.</w:t>
      </w:r>
      <w:r w:rsidR="00F107E1" w:rsidRPr="00F107E1">
        <w:rPr>
          <w:i/>
        </w:rPr>
        <w:t xml:space="preserve"> </w:t>
      </w:r>
      <w:r>
        <w:t xml:space="preserve">Table </w:t>
      </w:r>
      <w:r w:rsidR="00CB65EE">
        <w:t>7</w:t>
      </w:r>
      <w:r>
        <w:t xml:space="preserve"> presents a summary of the core skills developed during the training.</w:t>
      </w:r>
      <w:r w:rsidR="00F107E1" w:rsidRPr="00F107E1">
        <w:t xml:space="preserve"> </w:t>
      </w:r>
      <w:r>
        <w:t>Employers have confidence in the trainers and seek trained Indigenous people to fill commun</w:t>
      </w:r>
      <w:r w:rsidR="00CB65EE">
        <w:t>ity-based positions. They bring:</w:t>
      </w:r>
      <w:r>
        <w:t xml:space="preserve"> knowledge of the communities in which they are working; community spirit and engagement with community; professionalism</w:t>
      </w:r>
      <w:r w:rsidR="0018129B">
        <w:t>;</w:t>
      </w:r>
      <w:r>
        <w:t xml:space="preserve"> and an understanding of the requirement to maintain patient confidentiality. </w:t>
      </w:r>
    </w:p>
    <w:p w14:paraId="01BE1A32" w14:textId="77777777" w:rsidR="00D35E06" w:rsidRDefault="00D35E06" w:rsidP="00D35E06">
      <w:pPr>
        <w:pStyle w:val="Quote"/>
      </w:pPr>
      <w:r>
        <w:t xml:space="preserve">Students can fit right into a range of services that are now opening up for Indigenous people to tackle issues of mental health, suicide, community and domestic violence, and family dysfunction generally. </w:t>
      </w:r>
    </w:p>
    <w:p w14:paraId="01BE1A33" w14:textId="77777777" w:rsidR="00D35E06" w:rsidRDefault="00D35E06" w:rsidP="00D35E06">
      <w:pPr>
        <w:pStyle w:val="Text"/>
      </w:pPr>
      <w:r>
        <w:t xml:space="preserve">The </w:t>
      </w:r>
      <w:r w:rsidR="00603F0B">
        <w:t>students return to their communities</w:t>
      </w:r>
      <w:r>
        <w:t xml:space="preserve"> with vision and passion. They stay connected to community. They don’t disconnect. They can function well and offer </w:t>
      </w:r>
      <w:r w:rsidR="00603F0B">
        <w:t xml:space="preserve">the </w:t>
      </w:r>
      <w:r>
        <w:t xml:space="preserve">services they have learnt. They get answers to their communities’ specific issues and they </w:t>
      </w:r>
      <w:r w:rsidR="00603F0B">
        <w:t>respond to them immediately on their return</w:t>
      </w:r>
      <w:r>
        <w:t xml:space="preserve">. Other training might give people big ideas but they are not relevant to this community. </w:t>
      </w:r>
      <w:r w:rsidR="00D2080F">
        <w:t xml:space="preserve">The </w:t>
      </w:r>
      <w:r w:rsidR="00D70D98">
        <w:t>college</w:t>
      </w:r>
      <w:r w:rsidR="00D2080F">
        <w:t>’s</w:t>
      </w:r>
      <w:r>
        <w:t xml:space="preserve"> training enables people to apply exactly what they have learnt. </w:t>
      </w:r>
    </w:p>
    <w:p w14:paraId="01BE1A34" w14:textId="2732C245" w:rsidR="009D0DA5" w:rsidRDefault="00753427" w:rsidP="00753427">
      <w:pPr>
        <w:pStyle w:val="tabletitle"/>
        <w:ind w:left="709" w:hanging="709"/>
      </w:pPr>
      <w:r>
        <w:t>Box 1</w:t>
      </w:r>
      <w:r>
        <w:tab/>
      </w:r>
      <w:r w:rsidR="009D0DA5">
        <w:t xml:space="preserve">Summary of core skills gained through the </w:t>
      </w:r>
      <w:r w:rsidR="00EF14E4">
        <w:t>Indigenous Mental Health</w:t>
      </w:r>
      <w:r w:rsidR="009D0DA5">
        <w:t xml:space="preserve"> Certificate IV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778"/>
      </w:tblGrid>
      <w:tr w:rsidR="00D35E06" w14:paraId="01BE1A46" w14:textId="77777777" w:rsidTr="00753427">
        <w:tc>
          <w:tcPr>
            <w:tcW w:w="8778" w:type="dxa"/>
            <w:shd w:val="clear" w:color="auto" w:fill="D9D9D9" w:themeFill="background1" w:themeFillShade="D9"/>
          </w:tcPr>
          <w:p w14:paraId="01BE1A35" w14:textId="77777777" w:rsidR="00D35E06" w:rsidRDefault="00D35E06" w:rsidP="00D35E06">
            <w:pPr>
              <w:pStyle w:val="Tabletext"/>
              <w:ind w:left="720"/>
              <w:rPr>
                <w:rFonts w:eastAsiaTheme="minorEastAsia"/>
                <w:lang w:val="en-US"/>
              </w:rPr>
            </w:pPr>
          </w:p>
          <w:p w14:paraId="01BE1A36" w14:textId="77777777" w:rsidR="00D35E06" w:rsidRDefault="00D35E06" w:rsidP="00DA7379">
            <w:pPr>
              <w:pStyle w:val="Tabletext"/>
              <w:numPr>
                <w:ilvl w:val="0"/>
                <w:numId w:val="47"/>
              </w:numPr>
              <w:rPr>
                <w:lang w:val="en-US"/>
              </w:rPr>
            </w:pPr>
            <w:r>
              <w:rPr>
                <w:lang w:val="en-US"/>
              </w:rPr>
              <w:t>An overview of mental health illness and disorders and common treatments</w:t>
            </w:r>
          </w:p>
          <w:p w14:paraId="01BE1A37" w14:textId="77777777" w:rsidR="00D35E06" w:rsidRDefault="00D35E06" w:rsidP="00DA7379">
            <w:pPr>
              <w:pStyle w:val="Tabletext"/>
              <w:numPr>
                <w:ilvl w:val="0"/>
                <w:numId w:val="47"/>
              </w:numPr>
              <w:rPr>
                <w:lang w:val="en-US"/>
              </w:rPr>
            </w:pPr>
            <w:r>
              <w:rPr>
                <w:lang w:val="en-US"/>
              </w:rPr>
              <w:t xml:space="preserve">Legislation and governance of service </w:t>
            </w:r>
            <w:proofErr w:type="spellStart"/>
            <w:r>
              <w:rPr>
                <w:lang w:val="en-US"/>
              </w:rPr>
              <w:t>organisations</w:t>
            </w:r>
            <w:proofErr w:type="spellEnd"/>
          </w:p>
          <w:p w14:paraId="01BE1A38" w14:textId="77777777" w:rsidR="00D35E06" w:rsidRDefault="00D35E06" w:rsidP="00DA7379">
            <w:pPr>
              <w:pStyle w:val="Tabletext"/>
              <w:numPr>
                <w:ilvl w:val="0"/>
                <w:numId w:val="47"/>
              </w:numPr>
              <w:rPr>
                <w:lang w:val="en-US"/>
              </w:rPr>
            </w:pPr>
            <w:r>
              <w:rPr>
                <w:lang w:val="en-US"/>
              </w:rPr>
              <w:t>Workplace health and safety</w:t>
            </w:r>
            <w:r w:rsidR="00603F0B">
              <w:rPr>
                <w:lang w:val="en-US"/>
              </w:rPr>
              <w:t>,</w:t>
            </w:r>
            <w:r>
              <w:rPr>
                <w:lang w:val="en-US"/>
              </w:rPr>
              <w:t xml:space="preserve"> including the mental health of service sector workers</w:t>
            </w:r>
          </w:p>
          <w:p w14:paraId="01BE1A39" w14:textId="77777777" w:rsidR="00D35E06" w:rsidRDefault="00D35E06" w:rsidP="00DA7379">
            <w:pPr>
              <w:pStyle w:val="Tabletext"/>
              <w:numPr>
                <w:ilvl w:val="0"/>
                <w:numId w:val="47"/>
              </w:numPr>
              <w:rPr>
                <w:lang w:val="en-US"/>
              </w:rPr>
            </w:pPr>
            <w:r>
              <w:rPr>
                <w:lang w:val="en-US"/>
              </w:rPr>
              <w:t>An overview of counsell</w:t>
            </w:r>
            <w:r w:rsidR="00603F0B">
              <w:rPr>
                <w:lang w:val="en-US"/>
              </w:rPr>
              <w:t>ing skills – group therapy, one-on-</w:t>
            </w:r>
            <w:r>
              <w:rPr>
                <w:lang w:val="en-US"/>
              </w:rPr>
              <w:t>one interview techniques, active listening</w:t>
            </w:r>
          </w:p>
          <w:p w14:paraId="01BE1A3A" w14:textId="77777777" w:rsidR="00D35E06" w:rsidRDefault="00D35E06" w:rsidP="00DA7379">
            <w:pPr>
              <w:pStyle w:val="Tabletext"/>
              <w:numPr>
                <w:ilvl w:val="0"/>
                <w:numId w:val="47"/>
              </w:numPr>
              <w:rPr>
                <w:lang w:val="en-US"/>
              </w:rPr>
            </w:pPr>
            <w:r>
              <w:rPr>
                <w:lang w:val="en-US"/>
              </w:rPr>
              <w:t xml:space="preserve">How to identify addictive personality types </w:t>
            </w:r>
          </w:p>
          <w:p w14:paraId="01BE1A3B" w14:textId="77777777" w:rsidR="00D35E06" w:rsidRDefault="00D35E06" w:rsidP="00DA7379">
            <w:pPr>
              <w:pStyle w:val="Tabletext"/>
              <w:numPr>
                <w:ilvl w:val="0"/>
                <w:numId w:val="47"/>
              </w:numPr>
              <w:rPr>
                <w:lang w:val="en-US"/>
              </w:rPr>
            </w:pPr>
            <w:r>
              <w:rPr>
                <w:lang w:val="en-US"/>
              </w:rPr>
              <w:t>How to identify people at risk of suicide</w:t>
            </w:r>
          </w:p>
          <w:p w14:paraId="01BE1A3C" w14:textId="77777777" w:rsidR="00D35E06" w:rsidRDefault="00D35E06" w:rsidP="00DA7379">
            <w:pPr>
              <w:pStyle w:val="Tabletext"/>
              <w:numPr>
                <w:ilvl w:val="0"/>
                <w:numId w:val="47"/>
              </w:numPr>
              <w:rPr>
                <w:lang w:val="en-US"/>
              </w:rPr>
            </w:pPr>
            <w:r>
              <w:rPr>
                <w:lang w:val="en-US"/>
              </w:rPr>
              <w:t>Knowledge of where to refer people for support</w:t>
            </w:r>
          </w:p>
          <w:p w14:paraId="01BE1A3D" w14:textId="77777777" w:rsidR="00D35E06" w:rsidRDefault="00D35E06" w:rsidP="00DA7379">
            <w:pPr>
              <w:pStyle w:val="Tabletext"/>
              <w:numPr>
                <w:ilvl w:val="0"/>
                <w:numId w:val="47"/>
              </w:numPr>
              <w:rPr>
                <w:lang w:val="en-US"/>
              </w:rPr>
            </w:pPr>
            <w:r>
              <w:rPr>
                <w:lang w:val="en-US"/>
              </w:rPr>
              <w:t>How to talk to community leaders, council, Elders and government agencies</w:t>
            </w:r>
          </w:p>
          <w:p w14:paraId="01BE1A3E" w14:textId="77777777" w:rsidR="00D35E06" w:rsidRDefault="00D35E06" w:rsidP="00DA7379">
            <w:pPr>
              <w:pStyle w:val="Tabletext"/>
              <w:numPr>
                <w:ilvl w:val="0"/>
                <w:numId w:val="47"/>
              </w:numPr>
              <w:rPr>
                <w:lang w:val="en-US"/>
              </w:rPr>
            </w:pPr>
            <w:r>
              <w:rPr>
                <w:lang w:val="en-US"/>
              </w:rPr>
              <w:t>Project planning, research and evaluation skills</w:t>
            </w:r>
          </w:p>
          <w:p w14:paraId="01BE1A3F" w14:textId="77777777" w:rsidR="00D35E06" w:rsidRDefault="00D35E06" w:rsidP="00DA7379">
            <w:pPr>
              <w:pStyle w:val="Tabletext"/>
              <w:numPr>
                <w:ilvl w:val="0"/>
                <w:numId w:val="47"/>
              </w:numPr>
              <w:rPr>
                <w:lang w:val="en-US"/>
              </w:rPr>
            </w:pPr>
            <w:r>
              <w:rPr>
                <w:lang w:val="en-US"/>
              </w:rPr>
              <w:t>Public speaking, reading aloud and teaching</w:t>
            </w:r>
          </w:p>
          <w:p w14:paraId="01BE1A40" w14:textId="77777777" w:rsidR="00D35E06" w:rsidRDefault="00D35E06" w:rsidP="00DA7379">
            <w:pPr>
              <w:pStyle w:val="Tabletext"/>
              <w:numPr>
                <w:ilvl w:val="0"/>
                <w:numId w:val="47"/>
              </w:numPr>
              <w:rPr>
                <w:lang w:val="en-US"/>
              </w:rPr>
            </w:pPr>
            <w:r>
              <w:rPr>
                <w:lang w:val="en-US"/>
              </w:rPr>
              <w:t>In-class leadership and mentoring roles</w:t>
            </w:r>
          </w:p>
          <w:p w14:paraId="01BE1A41" w14:textId="77777777" w:rsidR="00D35E06" w:rsidRDefault="00D35E06" w:rsidP="00DA7379">
            <w:pPr>
              <w:pStyle w:val="Tabletext"/>
              <w:numPr>
                <w:ilvl w:val="0"/>
                <w:numId w:val="47"/>
              </w:numPr>
              <w:rPr>
                <w:lang w:val="en-US"/>
              </w:rPr>
            </w:pPr>
            <w:r>
              <w:rPr>
                <w:lang w:val="en-US"/>
              </w:rPr>
              <w:t>Conducting interviews</w:t>
            </w:r>
          </w:p>
          <w:p w14:paraId="01BE1A42" w14:textId="77777777" w:rsidR="00D35E06" w:rsidRDefault="00D35E06" w:rsidP="00DA7379">
            <w:pPr>
              <w:pStyle w:val="Tabletext"/>
              <w:numPr>
                <w:ilvl w:val="0"/>
                <w:numId w:val="47"/>
              </w:numPr>
              <w:rPr>
                <w:lang w:val="en-US"/>
              </w:rPr>
            </w:pPr>
            <w:r>
              <w:rPr>
                <w:lang w:val="en-US"/>
              </w:rPr>
              <w:t>Short answer writing</w:t>
            </w:r>
          </w:p>
          <w:p w14:paraId="01BE1A43" w14:textId="77777777" w:rsidR="00D35E06" w:rsidRDefault="00D35E06" w:rsidP="00DA7379">
            <w:pPr>
              <w:pStyle w:val="Tabletext"/>
              <w:numPr>
                <w:ilvl w:val="0"/>
                <w:numId w:val="47"/>
              </w:numPr>
              <w:rPr>
                <w:lang w:val="en-US"/>
              </w:rPr>
            </w:pPr>
            <w:r>
              <w:rPr>
                <w:lang w:val="en-US"/>
              </w:rPr>
              <w:t>Consultation – community and target group</w:t>
            </w:r>
          </w:p>
          <w:p w14:paraId="01BE1A44" w14:textId="77777777" w:rsidR="00D35E06" w:rsidRDefault="00D35E06" w:rsidP="00DA7379">
            <w:pPr>
              <w:pStyle w:val="Tabletext"/>
              <w:numPr>
                <w:ilvl w:val="0"/>
                <w:numId w:val="47"/>
              </w:numPr>
              <w:rPr>
                <w:lang w:val="en-US"/>
              </w:rPr>
            </w:pPr>
            <w:r>
              <w:rPr>
                <w:lang w:val="en-US"/>
              </w:rPr>
              <w:t>Conflict negotiation</w:t>
            </w:r>
            <w:r w:rsidR="00603F0B">
              <w:rPr>
                <w:lang w:val="en-US"/>
              </w:rPr>
              <w:t>.</w:t>
            </w:r>
          </w:p>
          <w:p w14:paraId="01BE1A45" w14:textId="77777777" w:rsidR="00D35E06" w:rsidRDefault="00D35E06" w:rsidP="00D35E06">
            <w:pPr>
              <w:pStyle w:val="Tabletext"/>
              <w:rPr>
                <w:lang w:val="en-US"/>
              </w:rPr>
            </w:pPr>
          </w:p>
        </w:tc>
      </w:tr>
    </w:tbl>
    <w:p w14:paraId="01BE1A47" w14:textId="77777777" w:rsidR="00D35E06" w:rsidRDefault="00D35E06" w:rsidP="00D35E06">
      <w:pPr>
        <w:pStyle w:val="Text"/>
      </w:pPr>
      <w:r>
        <w:t xml:space="preserve">Returning to communities </w:t>
      </w:r>
      <w:r w:rsidR="0018129B">
        <w:t>which have</w:t>
      </w:r>
      <w:r>
        <w:t xml:space="preserve"> rates of unemployment beyond the national average</w:t>
      </w:r>
      <w:r w:rsidR="0018129B">
        <w:t>,</w:t>
      </w:r>
      <w:r>
        <w:t xml:space="preserve"> at 12.6% across Cape York </w:t>
      </w:r>
      <w:r w:rsidR="00603F0B">
        <w:rPr>
          <w:noProof/>
        </w:rPr>
        <w:t>(ABS</w:t>
      </w:r>
      <w:r>
        <w:rPr>
          <w:noProof/>
        </w:rPr>
        <w:t xml:space="preserve"> 2016)</w:t>
      </w:r>
      <w:r>
        <w:t xml:space="preserve">, graduates from </w:t>
      </w:r>
      <w:r w:rsidR="00D2080F">
        <w:t xml:space="preserve">the </w:t>
      </w:r>
      <w:r w:rsidR="00D70D98">
        <w:t>college</w:t>
      </w:r>
      <w:r>
        <w:t xml:space="preserve"> were regarded by employers to have an ‘edge’. However, as one interviewee for this case study explained, in a small Cape York community she had 17 </w:t>
      </w:r>
      <w:r w:rsidR="00D70D98">
        <w:t>college</w:t>
      </w:r>
      <w:r>
        <w:t xml:space="preserve"> graduates apply for </w:t>
      </w:r>
      <w:r w:rsidR="00603F0B">
        <w:t>a single</w:t>
      </w:r>
      <w:r>
        <w:t xml:space="preserve"> </w:t>
      </w:r>
      <w:r w:rsidR="0018129B">
        <w:t>three</w:t>
      </w:r>
      <w:r>
        <w:t xml:space="preserve">-month contract position. The impact of the </w:t>
      </w:r>
      <w:r w:rsidR="00EF14E4">
        <w:t>Indigenous Mental Health</w:t>
      </w:r>
      <w:r>
        <w:t xml:space="preserve"> course is intended to go beyond employment measures alone. According to the course coordinator, </w:t>
      </w:r>
      <w:r w:rsidR="00603F0B">
        <w:t xml:space="preserve">the </w:t>
      </w:r>
      <w:r w:rsidR="00D70D98">
        <w:t>college</w:t>
      </w:r>
      <w:r>
        <w:t xml:space="preserve"> is committed to providing a holistic approach to community-based amelioration of </w:t>
      </w:r>
      <w:r w:rsidR="00603F0B">
        <w:t xml:space="preserve">the harm caused by mental ill </w:t>
      </w:r>
      <w:r>
        <w:t xml:space="preserve">health and to </w:t>
      </w:r>
      <w:r w:rsidR="0018129B">
        <w:t>reducing</w:t>
      </w:r>
      <w:r>
        <w:t xml:space="preserve"> the incidence </w:t>
      </w:r>
      <w:r w:rsidR="00603F0B">
        <w:t xml:space="preserve">of suicide by providing </w:t>
      </w:r>
      <w:r w:rsidR="0018129B">
        <w:t>communities with well-</w:t>
      </w:r>
      <w:r>
        <w:t>trained and qualified people to work for their communities in paid and voluntary capacities.</w:t>
      </w:r>
    </w:p>
    <w:p w14:paraId="01BE1A48" w14:textId="77777777" w:rsidR="00D35E06" w:rsidRDefault="00D35E06" w:rsidP="00D35E06">
      <w:pPr>
        <w:pStyle w:val="Quote"/>
      </w:pPr>
      <w:r>
        <w:t>[The course has been] challenging for some but it has to be for some.</w:t>
      </w:r>
      <w:r w:rsidR="00F107E1" w:rsidRPr="00F107E1">
        <w:t xml:space="preserve"> </w:t>
      </w:r>
      <w:r>
        <w:t>We need the right people who are qualified.</w:t>
      </w:r>
      <w:r w:rsidR="00F107E1" w:rsidRPr="00F107E1">
        <w:t xml:space="preserve"> </w:t>
      </w:r>
      <w:r>
        <w:t>If it’s too easy we’ll be damaging our communities by sending out anyone to communities.</w:t>
      </w:r>
      <w:r w:rsidR="00F107E1" w:rsidRPr="00F107E1">
        <w:t xml:space="preserve"> </w:t>
      </w:r>
      <w:r>
        <w:t>We pushed each other and supported each other.</w:t>
      </w:r>
      <w:r w:rsidR="00F107E1" w:rsidRPr="00F107E1">
        <w:t xml:space="preserve"> </w:t>
      </w:r>
      <w:r>
        <w:t>Want</w:t>
      </w:r>
      <w:r w:rsidR="00603F0B">
        <w:t xml:space="preserve"> people whose hearts are in it.</w:t>
      </w:r>
      <w:r w:rsidR="00603F0B">
        <w:tab/>
      </w:r>
      <w:r w:rsidR="00603F0B">
        <w:rPr>
          <w:noProof/>
        </w:rPr>
        <w:t>(Stephens 2015, p.</w:t>
      </w:r>
      <w:r>
        <w:rPr>
          <w:noProof/>
        </w:rPr>
        <w:t>25)</w:t>
      </w:r>
    </w:p>
    <w:p w14:paraId="01BE1A49" w14:textId="77777777" w:rsidR="00D35E06" w:rsidRDefault="00D35E06" w:rsidP="00D35E06">
      <w:pPr>
        <w:pStyle w:val="Text"/>
      </w:pPr>
      <w:r>
        <w:t xml:space="preserve">Beyond these practical skill outcomes, students graduate with an enhanced sense of personal empowerment, control and mastery over </w:t>
      </w:r>
      <w:r w:rsidR="00603F0B">
        <w:t>their lives,</w:t>
      </w:r>
      <w:r>
        <w:t xml:space="preserve"> environment and circumstances. This feature of </w:t>
      </w:r>
      <w:r w:rsidR="002114D8">
        <w:t xml:space="preserve">the </w:t>
      </w:r>
      <w:r w:rsidR="00D70D98">
        <w:t>college</w:t>
      </w:r>
      <w:r w:rsidR="002114D8">
        <w:t>’s</w:t>
      </w:r>
      <w:r w:rsidR="00467918">
        <w:t xml:space="preserve"> pedagogy is a core factor, which </w:t>
      </w:r>
      <w:r>
        <w:t xml:space="preserve">contributes to the success of student learning and course completion and is prevalent throughout the </w:t>
      </w:r>
      <w:r w:rsidR="00D70D98">
        <w:t>college</w:t>
      </w:r>
      <w:r>
        <w:t xml:space="preserve">’s model of training delivery </w:t>
      </w:r>
      <w:r w:rsidR="00603F0B">
        <w:rPr>
          <w:noProof/>
        </w:rPr>
        <w:t xml:space="preserve">(Stephens, Baird &amp; Tsey </w:t>
      </w:r>
      <w:r>
        <w:rPr>
          <w:noProof/>
        </w:rPr>
        <w:t>2012)</w:t>
      </w:r>
      <w:r>
        <w:t xml:space="preserve">. </w:t>
      </w:r>
    </w:p>
    <w:p w14:paraId="01BE1A4A" w14:textId="77777777" w:rsidR="00D35E06" w:rsidRDefault="00D35E06" w:rsidP="00D35E06">
      <w:pPr>
        <w:pStyle w:val="Text"/>
      </w:pPr>
      <w:r>
        <w:t xml:space="preserve">Several key indicators of success can be observed. Firstly, the mature age of the cohort, at 49 years, translates into a learning community </w:t>
      </w:r>
      <w:r w:rsidR="00603F0B">
        <w:t xml:space="preserve">of </w:t>
      </w:r>
      <w:r>
        <w:t>concerned citizens, who are already in, or on</w:t>
      </w:r>
      <w:r w:rsidR="00603F0B">
        <w:t xml:space="preserve"> the cusp of being, community</w:t>
      </w:r>
      <w:r>
        <w:t xml:space="preserve"> leaders and mentors.</w:t>
      </w:r>
      <w:r w:rsidR="00F107E1" w:rsidRPr="00F107E1">
        <w:t xml:space="preserve"> </w:t>
      </w:r>
      <w:r>
        <w:t xml:space="preserve">In addition to this, a third of the students occupy professional or quasi-professional community service positions </w:t>
      </w:r>
      <w:r w:rsidR="00603F0B">
        <w:t xml:space="preserve">and </w:t>
      </w:r>
      <w:r>
        <w:t>bring their experience and knowledge of the course material into the classroom discussions.</w:t>
      </w:r>
      <w:r w:rsidR="00F107E1" w:rsidRPr="00F107E1">
        <w:t xml:space="preserve"> </w:t>
      </w:r>
      <w:r>
        <w:t xml:space="preserve">Several students were highly motivated </w:t>
      </w:r>
      <w:r w:rsidR="00603F0B">
        <w:t>to be more effective community e</w:t>
      </w:r>
      <w:r>
        <w:t>lders, leaders and youth mentors and have multiple community roles, such as parents, grandparents, church leaders, or volunteer</w:t>
      </w:r>
      <w:r w:rsidR="00467918">
        <w:t>s</w:t>
      </w:r>
      <w:r>
        <w:t xml:space="preserve"> in the community organisations</w:t>
      </w:r>
      <w:r w:rsidR="00603F0B">
        <w:t>,</w:t>
      </w:r>
      <w:r>
        <w:t xml:space="preserve"> including </w:t>
      </w:r>
      <w:r w:rsidR="00467918">
        <w:t>in the school and</w:t>
      </w:r>
      <w:r>
        <w:t xml:space="preserve"> health centre and with the local justice groups. Motivated by an imperative to act, one </w:t>
      </w:r>
      <w:r w:rsidR="00EF14E4">
        <w:t>Indigenous Mental Health</w:t>
      </w:r>
      <w:r>
        <w:t xml:space="preserve"> graduate stated that:</w:t>
      </w:r>
    </w:p>
    <w:p w14:paraId="01BE1A4B" w14:textId="77777777" w:rsidR="00D35E06" w:rsidRDefault="00D35E06" w:rsidP="00D35E06">
      <w:pPr>
        <w:pStyle w:val="Quote"/>
        <w:rPr>
          <w:sz w:val="22"/>
          <w:szCs w:val="22"/>
        </w:rPr>
      </w:pPr>
      <w:r>
        <w:t>I’ve been working on a plan that’ll take a couple of years.</w:t>
      </w:r>
      <w:r w:rsidR="00F107E1" w:rsidRPr="00F107E1">
        <w:t xml:space="preserve"> </w:t>
      </w:r>
      <w:r>
        <w:t>I’m working with my generation.</w:t>
      </w:r>
      <w:r w:rsidR="00F107E1" w:rsidRPr="00F107E1">
        <w:t xml:space="preserve"> </w:t>
      </w:r>
      <w:r>
        <w:t>We need to be role models and mentors.</w:t>
      </w:r>
      <w:r w:rsidR="00F107E1" w:rsidRPr="00F107E1">
        <w:t xml:space="preserve"> </w:t>
      </w:r>
      <w:r>
        <w:t>It’s up to us.</w:t>
      </w:r>
      <w:r w:rsidR="00F107E1" w:rsidRPr="00F107E1">
        <w:t xml:space="preserve"> </w:t>
      </w:r>
      <w:r>
        <w:t>Some of our Elders aren’t doing it</w:t>
      </w:r>
      <w:r w:rsidR="00603F0B">
        <w:t xml:space="preserve"> </w:t>
      </w:r>
      <w:r>
        <w:t>… The elders are dying fast.</w:t>
      </w:r>
      <w:r w:rsidR="00F107E1" w:rsidRPr="00F107E1">
        <w:t xml:space="preserve"> </w:t>
      </w:r>
      <w:r>
        <w:t>We need to find the culture, dance, language, song.</w:t>
      </w:r>
      <w:r w:rsidR="00F107E1" w:rsidRPr="00F107E1">
        <w:t xml:space="preserve"> </w:t>
      </w:r>
      <w:r>
        <w:t>And we need to reach out to our youth.</w:t>
      </w:r>
      <w:r w:rsidR="00F107E1" w:rsidRPr="00F107E1">
        <w:t xml:space="preserve"> </w:t>
      </w:r>
      <w:r>
        <w:t>They realise they are not the babies but they are not the role models.</w:t>
      </w:r>
      <w:r w:rsidR="00F107E1" w:rsidRPr="00F107E1">
        <w:t xml:space="preserve"> </w:t>
      </w:r>
      <w:r w:rsidR="00603F0B">
        <w:t>It’s a shock to many.</w:t>
      </w:r>
      <w:r w:rsidR="00603F0B">
        <w:tab/>
      </w:r>
      <w:r w:rsidR="00603F0B">
        <w:rPr>
          <w:noProof/>
        </w:rPr>
        <w:t>(Student interview in Stephens 2015, p.</w:t>
      </w:r>
      <w:r>
        <w:rPr>
          <w:noProof/>
        </w:rPr>
        <w:t>26)</w:t>
      </w:r>
    </w:p>
    <w:p w14:paraId="01BE1A4C" w14:textId="77777777" w:rsidR="00D35E06" w:rsidRDefault="00D35E06" w:rsidP="00D35E06">
      <w:pPr>
        <w:pStyle w:val="Text"/>
      </w:pPr>
      <w:r>
        <w:t xml:space="preserve">A second indicator of success is attributable to the focus on literacy as a core skill </w:t>
      </w:r>
      <w:r w:rsidR="00467918">
        <w:t>to be developed</w:t>
      </w:r>
      <w:r>
        <w:t xml:space="preserve"> through training. </w:t>
      </w:r>
      <w:proofErr w:type="spellStart"/>
      <w:r>
        <w:t>Boughton</w:t>
      </w:r>
      <w:proofErr w:type="spellEnd"/>
      <w:r>
        <w:t xml:space="preserve"> (2000) makes the link between literacy</w:t>
      </w:r>
      <w:r w:rsidR="00603F0B">
        <w:t xml:space="preserve"> and health outcomes. </w:t>
      </w:r>
      <w:proofErr w:type="spellStart"/>
      <w:r w:rsidR="00603F0B">
        <w:t>Durnan</w:t>
      </w:r>
      <w:proofErr w:type="spellEnd"/>
      <w:r w:rsidR="00603F0B">
        <w:t xml:space="preserve">, </w:t>
      </w:r>
      <w:proofErr w:type="spellStart"/>
      <w:r w:rsidR="00603F0B">
        <w:t>Beetson</w:t>
      </w:r>
      <w:proofErr w:type="spellEnd"/>
      <w:r w:rsidR="00603F0B">
        <w:t xml:space="preserve"> and </w:t>
      </w:r>
      <w:proofErr w:type="spellStart"/>
      <w:r w:rsidR="00603F0B">
        <w:t>Boughton</w:t>
      </w:r>
      <w:proofErr w:type="spellEnd"/>
      <w:r w:rsidR="00603F0B">
        <w:t xml:space="preserve"> </w:t>
      </w:r>
      <w:r>
        <w:rPr>
          <w:noProof/>
        </w:rPr>
        <w:t>(2013)</w:t>
      </w:r>
      <w:r>
        <w:t xml:space="preserve"> argue that literacy education is a socially transformative practice: how people learn to read, speak and write words gives people power.</w:t>
      </w:r>
    </w:p>
    <w:p w14:paraId="01BE1A4D" w14:textId="77777777" w:rsidR="00D35E06" w:rsidRDefault="00D35E06" w:rsidP="00D35E06">
      <w:pPr>
        <w:pStyle w:val="Text"/>
      </w:pPr>
      <w:r>
        <w:t>Thirdly</w:t>
      </w:r>
      <w:r w:rsidR="00603F0B">
        <w:t>,</w:t>
      </w:r>
      <w:r>
        <w:t xml:space="preserve"> </w:t>
      </w:r>
      <w:r w:rsidR="002114D8">
        <w:t>the trainers establish a functional and genuine community of learners</w:t>
      </w:r>
      <w:r w:rsidR="00603F0B">
        <w:t>, which</w:t>
      </w:r>
      <w:r>
        <w:t xml:space="preserve"> inv</w:t>
      </w:r>
      <w:r w:rsidR="00603F0B">
        <w:t>olves highly respectful student—</w:t>
      </w:r>
      <w:r>
        <w:t>trainer relationships and a</w:t>
      </w:r>
      <w:r w:rsidR="00603F0B">
        <w:t xml:space="preserve"> ‘two-way’ approach to teaching, which is heuristic and student-focu</w:t>
      </w:r>
      <w:r>
        <w:t xml:space="preserve">sed. Such a culture fosters the peer-to-peer teaching and mentoring. This is a skill set required for work in the service sectors. </w:t>
      </w:r>
    </w:p>
    <w:p w14:paraId="01BE1A4E" w14:textId="77777777" w:rsidR="00D35E06" w:rsidRDefault="00D35E06" w:rsidP="00D35E06">
      <w:pPr>
        <w:pStyle w:val="Text"/>
      </w:pPr>
      <w:r>
        <w:t xml:space="preserve">Fourthly, the student support provided during the residential blocks is a strong factor in helping struggling students resist </w:t>
      </w:r>
      <w:r w:rsidR="00603F0B">
        <w:t>the urge to withdraw. B</w:t>
      </w:r>
      <w:r>
        <w:t xml:space="preserve">eyond the classroom, the </w:t>
      </w:r>
      <w:r w:rsidR="00D70D98">
        <w:t>college</w:t>
      </w:r>
      <w:r w:rsidR="00603F0B">
        <w:t xml:space="preserve"> maintains communication</w:t>
      </w:r>
      <w:r>
        <w:t xml:space="preserve"> and relationships with students past and present. This includes alumni communities, the return of students to</w:t>
      </w:r>
      <w:r w:rsidR="00603F0B">
        <w:t xml:space="preserve"> undertake other course</w:t>
      </w:r>
      <w:r>
        <w:t>s</w:t>
      </w:r>
      <w:r w:rsidR="00467918">
        <w:t>,</w:t>
      </w:r>
      <w:r>
        <w:t xml:space="preserve"> and graduates </w:t>
      </w:r>
      <w:r w:rsidR="002114D8">
        <w:t xml:space="preserve">as </w:t>
      </w:r>
      <w:r>
        <w:t xml:space="preserve">trainee-trainers. Additionally, the </w:t>
      </w:r>
      <w:r w:rsidR="00D70D98">
        <w:t>college</w:t>
      </w:r>
      <w:r>
        <w:t xml:space="preserve"> staff will provide: </w:t>
      </w:r>
    </w:p>
    <w:p w14:paraId="01BE1A4F" w14:textId="77777777" w:rsidR="00D35E06" w:rsidRDefault="00603F0B" w:rsidP="00D35E06">
      <w:pPr>
        <w:pStyle w:val="Dotpoint1"/>
      </w:pPr>
      <w:r>
        <w:t>graduate and student advocacy:</w:t>
      </w:r>
      <w:r w:rsidR="00D35E06">
        <w:t xml:space="preserve"> the provision of references on request and character references for court appearances </w:t>
      </w:r>
    </w:p>
    <w:p w14:paraId="01BE1A50" w14:textId="77777777" w:rsidR="00D35E06" w:rsidRDefault="00603F0B" w:rsidP="00D35E06">
      <w:pPr>
        <w:pStyle w:val="Dotpoint1"/>
      </w:pPr>
      <w:r>
        <w:t>m</w:t>
      </w:r>
      <w:r w:rsidR="00D35E06">
        <w:t xml:space="preserve">entoring and support to </w:t>
      </w:r>
      <w:r w:rsidR="00467918">
        <w:t>pursue u</w:t>
      </w:r>
      <w:r>
        <w:t>niversity pathways, with all</w:t>
      </w:r>
      <w:r w:rsidR="00D35E06">
        <w:t xml:space="preserve"> trainers </w:t>
      </w:r>
      <w:r>
        <w:t>committed to life</w:t>
      </w:r>
      <w:r w:rsidR="00D35E06">
        <w:t xml:space="preserve">long learning (several staff have or are working towards higher research degrees) </w:t>
      </w:r>
    </w:p>
    <w:p w14:paraId="01BE1A51" w14:textId="77777777" w:rsidR="00D35E06" w:rsidRDefault="00603F0B" w:rsidP="00D35E06">
      <w:pPr>
        <w:pStyle w:val="Dotpoint1"/>
      </w:pPr>
      <w:r>
        <w:t>s</w:t>
      </w:r>
      <w:r w:rsidR="00D35E06">
        <w:t>tudent assistance to access community funding, grants or other sources of project start-up capital</w:t>
      </w:r>
      <w:r w:rsidR="002114D8">
        <w:t>.</w:t>
      </w:r>
    </w:p>
    <w:p w14:paraId="01BE1A52" w14:textId="77777777" w:rsidR="00D35E06" w:rsidRDefault="00D35E06" w:rsidP="007F3F0E">
      <w:pPr>
        <w:pStyle w:val="Heading3"/>
      </w:pPr>
      <w:r>
        <w:t>Critical learnings</w:t>
      </w:r>
    </w:p>
    <w:p w14:paraId="01BE1A53" w14:textId="77777777" w:rsidR="00D35E06" w:rsidRDefault="00D2080F" w:rsidP="00D35E06">
      <w:pPr>
        <w:pStyle w:val="Text"/>
      </w:pPr>
      <w:r>
        <w:t xml:space="preserve">The </w:t>
      </w:r>
      <w:r w:rsidR="00D70D98">
        <w:t>college</w:t>
      </w:r>
      <w:r w:rsidR="00D35E06">
        <w:t xml:space="preserve"> is an Indigenous-controlled RTO employing Indigenous trainers and staff.</w:t>
      </w:r>
      <w:r w:rsidR="00F107E1" w:rsidRPr="00F107E1">
        <w:t xml:space="preserve"> </w:t>
      </w:r>
      <w:r w:rsidR="00D35E06">
        <w:t xml:space="preserve">The trainers are well liked and trusted by the students </w:t>
      </w:r>
      <w:r w:rsidR="004F7C9D">
        <w:t>and</w:t>
      </w:r>
      <w:r w:rsidR="00D35E06">
        <w:t xml:space="preserve"> </w:t>
      </w:r>
      <w:r w:rsidR="00467918">
        <w:t xml:space="preserve">they </w:t>
      </w:r>
      <w:r w:rsidR="00D35E06">
        <w:t xml:space="preserve">present and deliver culturally relevant and appropriate training from an Australian Indigenous perspective. The </w:t>
      </w:r>
      <w:r w:rsidR="00D70D98">
        <w:t>college</w:t>
      </w:r>
      <w:r w:rsidR="00D35E06">
        <w:t xml:space="preserve"> has established a strong reputation for providing supportive training relevant to the needs of Indigenous Australians. It has been operating for over 30 years.</w:t>
      </w:r>
    </w:p>
    <w:p w14:paraId="01BE1A54" w14:textId="77777777" w:rsidR="00D35E06" w:rsidRDefault="00D35E06" w:rsidP="00D35E06">
      <w:pPr>
        <w:pStyle w:val="Text"/>
      </w:pPr>
      <w:r>
        <w:t xml:space="preserve">Despite its experience in the sector, the </w:t>
      </w:r>
      <w:r w:rsidR="00D70D98">
        <w:t>college</w:t>
      </w:r>
      <w:r>
        <w:t xml:space="preserve"> report</w:t>
      </w:r>
      <w:r w:rsidR="00467918">
        <w:t>s</w:t>
      </w:r>
      <w:r>
        <w:t xml:space="preserve"> ongoing constraints to </w:t>
      </w:r>
      <w:r w:rsidR="004F7C9D">
        <w:t>its</w:t>
      </w:r>
      <w:r>
        <w:t xml:space="preserve"> capacity to fulfil </w:t>
      </w:r>
      <w:r w:rsidR="004F7C9D">
        <w:t>its</w:t>
      </w:r>
      <w:r>
        <w:t xml:space="preserve"> training potential for Indigenous students residing in the remote and very remote communities of northern Australia. Funding is sourced from across the </w:t>
      </w:r>
      <w:r w:rsidR="004F7C9D">
        <w:t>Australian</w:t>
      </w:r>
      <w:r>
        <w:t xml:space="preserve"> Government, </w:t>
      </w:r>
      <w:r w:rsidR="004F7C9D">
        <w:t xml:space="preserve">although </w:t>
      </w:r>
      <w:r>
        <w:t>the physical constraints of course delivery imposed by seasons and the topography of places like Cape York, the Torres Strait Islands and other remote locations</w:t>
      </w:r>
      <w:r w:rsidR="004F7C9D">
        <w:t xml:space="preserve"> is often ignored by the government funding</w:t>
      </w:r>
      <w:r>
        <w:t xml:space="preserve"> </w:t>
      </w:r>
      <w:r w:rsidR="004F7C9D">
        <w:rPr>
          <w:noProof/>
        </w:rPr>
        <w:t xml:space="preserve">(Zoellner et al. </w:t>
      </w:r>
      <w:r>
        <w:rPr>
          <w:noProof/>
        </w:rPr>
        <w:t>2016)</w:t>
      </w:r>
      <w:r>
        <w:t>.</w:t>
      </w:r>
    </w:p>
    <w:p w14:paraId="01BE1A55" w14:textId="77777777" w:rsidR="00D35E06" w:rsidRDefault="00D35E06" w:rsidP="00D35E06">
      <w:pPr>
        <w:pStyle w:val="Text"/>
      </w:pPr>
      <w:r>
        <w:t xml:space="preserve">As </w:t>
      </w:r>
      <w:r w:rsidR="00467918">
        <w:t>noted</w:t>
      </w:r>
      <w:r>
        <w:t xml:space="preserve">, many students </w:t>
      </w:r>
      <w:r w:rsidR="00467918">
        <w:t>undertake</w:t>
      </w:r>
      <w:r>
        <w:t xml:space="preserve"> the training to be better community role models, </w:t>
      </w:r>
      <w:r w:rsidR="004F7C9D">
        <w:t>recognising from</w:t>
      </w:r>
      <w:r>
        <w:t xml:space="preserve"> the outset that they will work in a voluntary capacity. </w:t>
      </w:r>
      <w:r w:rsidR="004F7C9D">
        <w:t>Although</w:t>
      </w:r>
      <w:r>
        <w:t xml:space="preserve"> </w:t>
      </w:r>
      <w:r w:rsidR="002114D8">
        <w:t xml:space="preserve">the </w:t>
      </w:r>
      <w:r w:rsidR="00D70D98">
        <w:t>college</w:t>
      </w:r>
      <w:r>
        <w:t xml:space="preserve"> welcomes returning stud</w:t>
      </w:r>
      <w:r w:rsidR="004F7C9D">
        <w:t>ents,</w:t>
      </w:r>
      <w:r>
        <w:t xml:space="preserve"> </w:t>
      </w:r>
      <w:r w:rsidR="004F7C9D">
        <w:t xml:space="preserve">the </w:t>
      </w:r>
      <w:r>
        <w:t xml:space="preserve">current policy may preclude individuals returning after previously failed efforts. An evaluation of the </w:t>
      </w:r>
      <w:r w:rsidR="00EF14E4">
        <w:t>Indigenous Mental Health</w:t>
      </w:r>
      <w:r>
        <w:t xml:space="preserve"> delivery </w:t>
      </w:r>
      <w:r w:rsidR="004F7C9D">
        <w:rPr>
          <w:noProof/>
        </w:rPr>
        <w:t xml:space="preserve">(Stephens </w:t>
      </w:r>
      <w:r>
        <w:rPr>
          <w:noProof/>
        </w:rPr>
        <w:t>2015)</w:t>
      </w:r>
      <w:r>
        <w:t xml:space="preserve"> over a two-year period also </w:t>
      </w:r>
      <w:r w:rsidR="004F7C9D">
        <w:t>identified</w:t>
      </w:r>
      <w:r>
        <w:t xml:space="preserve"> concerns with funding to support long-term plans </w:t>
      </w:r>
      <w:r w:rsidR="004F7C9D">
        <w:t>for course delivery: t</w:t>
      </w:r>
      <w:r w:rsidR="002114D8">
        <w:t xml:space="preserve">he </w:t>
      </w:r>
      <w:r w:rsidR="00D70D98">
        <w:t>college</w:t>
      </w:r>
      <w:r>
        <w:t xml:space="preserve"> has reported difficulty in providing certainty of employment to its own staff or security of cours</w:t>
      </w:r>
      <w:r w:rsidR="004F7C9D">
        <w:t>e delivery for the sector. The e</w:t>
      </w:r>
      <w:r>
        <w:t>valuation recommended that funding be allocated to ensure the provision of travel and accommodation for all enrolled students attending from remote areas.</w:t>
      </w:r>
      <w:r w:rsidR="00F107E1" w:rsidRPr="00F107E1">
        <w:t xml:space="preserve"> </w:t>
      </w:r>
      <w:r w:rsidR="004F7C9D">
        <w:t>The e</w:t>
      </w:r>
      <w:r>
        <w:t xml:space="preserve">valuation also recommended that flexible funding arrangements be put in place to enable </w:t>
      </w:r>
      <w:r w:rsidR="00D2080F">
        <w:t xml:space="preserve">the </w:t>
      </w:r>
      <w:r w:rsidR="00D70D98">
        <w:t>college</w:t>
      </w:r>
      <w:r>
        <w:t xml:space="preserve"> to travel to clusters of students in remote locations or regional hubs (</w:t>
      </w:r>
      <w:r w:rsidR="004F7C9D">
        <w:t>for example,</w:t>
      </w:r>
      <w:r>
        <w:t xml:space="preserve"> Thursday Island). </w:t>
      </w:r>
      <w:r w:rsidR="004F7C9D">
        <w:t>In relation to literacy</w:t>
      </w:r>
      <w:r>
        <w:t xml:space="preserve">, a recommendation was also made </w:t>
      </w:r>
      <w:r w:rsidR="004F7C9D">
        <w:t>for</w:t>
      </w:r>
      <w:r>
        <w:t xml:space="preserve"> additional literacy support personnel for the periods of the residential modules </w:t>
      </w:r>
      <w:r w:rsidR="004F7C9D">
        <w:rPr>
          <w:noProof/>
        </w:rPr>
        <w:t>(Stephens</w:t>
      </w:r>
      <w:r>
        <w:rPr>
          <w:noProof/>
        </w:rPr>
        <w:t xml:space="preserve"> 2015)</w:t>
      </w:r>
      <w:r>
        <w:t xml:space="preserve">. In </w:t>
      </w:r>
      <w:r w:rsidR="00D2080F">
        <w:t xml:space="preserve">the </w:t>
      </w:r>
      <w:r w:rsidR="00D70D98">
        <w:t>college</w:t>
      </w:r>
      <w:r w:rsidR="00D2080F">
        <w:t>’s</w:t>
      </w:r>
      <w:r>
        <w:t xml:space="preserve"> present arrangements</w:t>
      </w:r>
      <w:r w:rsidR="004F7C9D">
        <w:t>,</w:t>
      </w:r>
      <w:r>
        <w:t xml:space="preserve"> literacy support is often provided by volunteer retired teachers drawn from the Cairns community. </w:t>
      </w:r>
    </w:p>
    <w:p w14:paraId="01BE1A56" w14:textId="77777777" w:rsidR="00D35E06" w:rsidRDefault="004F7C9D" w:rsidP="00D35E06">
      <w:pPr>
        <w:pStyle w:val="Text"/>
        <w:rPr>
          <w:lang w:eastAsia="en-AU"/>
        </w:rPr>
      </w:pPr>
      <w:r>
        <w:t>S</w:t>
      </w:r>
      <w:r w:rsidR="00D35E06">
        <w:t xml:space="preserve">tudent-fee support to induce students to </w:t>
      </w:r>
      <w:r>
        <w:t xml:space="preserve">pay more for VET certification </w:t>
      </w:r>
      <w:r w:rsidR="00D35E06">
        <w:t>(</w:t>
      </w:r>
      <w:r w:rsidR="00467918">
        <w:t>that is,</w:t>
      </w:r>
      <w:r w:rsidR="00D35E06">
        <w:t xml:space="preserve"> </w:t>
      </w:r>
      <w:r w:rsidR="00D35E06">
        <w:rPr>
          <w:lang w:eastAsia="en-AU"/>
        </w:rPr>
        <w:t xml:space="preserve">VET FEE-HELP) will not be introduced at </w:t>
      </w:r>
      <w:r w:rsidR="00D2080F">
        <w:rPr>
          <w:lang w:eastAsia="en-AU"/>
        </w:rPr>
        <w:t xml:space="preserve">the </w:t>
      </w:r>
      <w:r w:rsidR="00D70D98">
        <w:rPr>
          <w:lang w:eastAsia="en-AU"/>
        </w:rPr>
        <w:t>college</w:t>
      </w:r>
      <w:r>
        <w:rPr>
          <w:lang w:eastAsia="en-AU"/>
        </w:rPr>
        <w:t>, with</w:t>
      </w:r>
      <w:r w:rsidR="00D35E06">
        <w:rPr>
          <w:lang w:eastAsia="en-AU"/>
        </w:rPr>
        <w:t xml:space="preserve"> </w:t>
      </w:r>
      <w:r>
        <w:rPr>
          <w:lang w:eastAsia="en-AU"/>
        </w:rPr>
        <w:t>c</w:t>
      </w:r>
      <w:r w:rsidR="00D2080F">
        <w:rPr>
          <w:lang w:eastAsia="en-AU"/>
        </w:rPr>
        <w:t>ollege</w:t>
      </w:r>
      <w:r w:rsidR="00D35E06">
        <w:rPr>
          <w:lang w:eastAsia="en-AU"/>
        </w:rPr>
        <w:t xml:space="preserve"> staff express</w:t>
      </w:r>
      <w:r>
        <w:rPr>
          <w:lang w:eastAsia="en-AU"/>
        </w:rPr>
        <w:t>ing</w:t>
      </w:r>
      <w:r w:rsidR="00D35E06">
        <w:rPr>
          <w:lang w:eastAsia="en-AU"/>
        </w:rPr>
        <w:t xml:space="preserve"> concerns </w:t>
      </w:r>
      <w:r>
        <w:rPr>
          <w:lang w:eastAsia="en-AU"/>
        </w:rPr>
        <w:t xml:space="preserve">about </w:t>
      </w:r>
      <w:r w:rsidR="00D35E06">
        <w:rPr>
          <w:lang w:eastAsia="en-AU"/>
        </w:rPr>
        <w:t xml:space="preserve">the social and financial impact of income-contingent loans for training at the </w:t>
      </w:r>
      <w:r w:rsidR="00D70D98">
        <w:rPr>
          <w:lang w:eastAsia="en-AU"/>
        </w:rPr>
        <w:t>college</w:t>
      </w:r>
      <w:r w:rsidR="00D35E06">
        <w:rPr>
          <w:lang w:eastAsia="en-AU"/>
        </w:rPr>
        <w:t xml:space="preserve"> </w:t>
      </w:r>
      <w:r>
        <w:rPr>
          <w:noProof/>
          <w:lang w:eastAsia="en-AU"/>
        </w:rPr>
        <w:t>(Zoellner et al.</w:t>
      </w:r>
      <w:r w:rsidR="00D35E06">
        <w:rPr>
          <w:noProof/>
          <w:lang w:eastAsia="en-AU"/>
        </w:rPr>
        <w:t xml:space="preserve"> 2016)</w:t>
      </w:r>
      <w:r w:rsidR="00D35E06">
        <w:rPr>
          <w:lang w:eastAsia="en-AU"/>
        </w:rPr>
        <w:t>.</w:t>
      </w:r>
      <w:r w:rsidR="00F107E1" w:rsidRPr="00F107E1">
        <w:rPr>
          <w:lang w:eastAsia="en-AU"/>
        </w:rPr>
        <w:t xml:space="preserve"> </w:t>
      </w:r>
      <w:r w:rsidR="00D35E06">
        <w:rPr>
          <w:lang w:eastAsia="en-AU"/>
        </w:rPr>
        <w:t xml:space="preserve">The </w:t>
      </w:r>
      <w:r w:rsidR="00D70D98">
        <w:rPr>
          <w:lang w:eastAsia="en-AU"/>
        </w:rPr>
        <w:t>college</w:t>
      </w:r>
      <w:r w:rsidR="00D35E06">
        <w:rPr>
          <w:lang w:eastAsia="en-AU"/>
        </w:rPr>
        <w:t xml:space="preserve"> staff will work with students, the community and </w:t>
      </w:r>
      <w:r w:rsidR="00D70D98">
        <w:rPr>
          <w:lang w:eastAsia="en-AU"/>
        </w:rPr>
        <w:t>college</w:t>
      </w:r>
      <w:r w:rsidR="00D35E06">
        <w:rPr>
          <w:lang w:eastAsia="en-AU"/>
        </w:rPr>
        <w:t xml:space="preserve"> stakeholders to find other sources of funding to support the participation of students with particular barriers.</w:t>
      </w:r>
    </w:p>
    <w:p w14:paraId="01BE1A57" w14:textId="77777777" w:rsidR="00D35E06" w:rsidRDefault="00D35E06" w:rsidP="00D35E06">
      <w:pPr>
        <w:pStyle w:val="Text"/>
      </w:pPr>
      <w:r>
        <w:t xml:space="preserve">Clearly, the </w:t>
      </w:r>
      <w:r w:rsidR="00EF14E4">
        <w:t>Indigenous Mental Health</w:t>
      </w:r>
      <w:r>
        <w:t xml:space="preserve"> course</w:t>
      </w:r>
      <w:r w:rsidR="004F7C9D">
        <w:t xml:space="preserve"> is providing highly beneficial</w:t>
      </w:r>
      <w:r>
        <w:t xml:space="preserve"> individualised learning.</w:t>
      </w:r>
      <w:r w:rsidR="00F107E1" w:rsidRPr="00F107E1">
        <w:t xml:space="preserve"> </w:t>
      </w:r>
      <w:r>
        <w:t xml:space="preserve">Students are likely to make an impact </w:t>
      </w:r>
      <w:r w:rsidR="00467918">
        <w:t>on</w:t>
      </w:r>
      <w:r>
        <w:t xml:space="preserve"> their places of work and </w:t>
      </w:r>
      <w:r w:rsidR="004F7C9D">
        <w:t xml:space="preserve">in their </w:t>
      </w:r>
      <w:r>
        <w:t xml:space="preserve">communities, reducing the stigma and shame of mental health illness and disorder in both Indigenous and the Australian populations. </w:t>
      </w:r>
      <w:r w:rsidR="004F7C9D">
        <w:t>C</w:t>
      </w:r>
      <w:r w:rsidR="00D70D98">
        <w:t>ollege</w:t>
      </w:r>
      <w:r>
        <w:t xml:space="preserve"> staff are acutely aware that these issues are entangled with post-colonial trauma, social marginalisation and contemporary manifestations of racism.</w:t>
      </w:r>
      <w:r w:rsidR="00F107E1" w:rsidRPr="00F107E1">
        <w:t xml:space="preserve"> </w:t>
      </w:r>
      <w:r>
        <w:t xml:space="preserve">The following comments </w:t>
      </w:r>
      <w:r w:rsidR="00467918">
        <w:t>by</w:t>
      </w:r>
      <w:r>
        <w:t xml:space="preserve"> students capture the extent of the problem facing graduates as they return with the intent to enacting change.</w:t>
      </w:r>
    </w:p>
    <w:p w14:paraId="01BE1A58" w14:textId="77777777" w:rsidR="00D35E06" w:rsidRDefault="00D35E06" w:rsidP="00D35E06">
      <w:pPr>
        <w:pStyle w:val="Quote"/>
      </w:pPr>
      <w:r>
        <w:t>[I’ve learnt] new stuff.</w:t>
      </w:r>
      <w:r w:rsidR="00F107E1" w:rsidRPr="00F107E1">
        <w:t xml:space="preserve"> </w:t>
      </w:r>
      <w:r>
        <w:t xml:space="preserve">About mental health. I was working with </w:t>
      </w:r>
      <w:r w:rsidR="00467918">
        <w:t>alcohol and other addictions training</w:t>
      </w:r>
      <w:r w:rsidR="004F7C9D">
        <w:t xml:space="preserve"> on …</w:t>
      </w:r>
      <w:r>
        <w:t xml:space="preserve"> but I didn’t know about mental [illness and disorders] and </w:t>
      </w:r>
      <w:r w:rsidR="00467918">
        <w:t>alcohol and other disorders</w:t>
      </w:r>
      <w:r>
        <w:t xml:space="preserve"> and I need more knowledge about it [and its link to suicide].</w:t>
      </w:r>
      <w:r w:rsidR="00F107E1" w:rsidRPr="00F107E1">
        <w:t xml:space="preserve"> </w:t>
      </w:r>
      <w:r>
        <w:t>Our kids are causing a ruckus. In hospitals [there is] often not a liaison officer and [they] rely on the family and Aunties and need to follow up that this child’s in danger.</w:t>
      </w:r>
      <w:r w:rsidR="00F107E1" w:rsidRPr="00F107E1">
        <w:t xml:space="preserve"> </w:t>
      </w:r>
      <w:r>
        <w:t>I had an incident with a nephew.</w:t>
      </w:r>
      <w:r w:rsidR="00F107E1" w:rsidRPr="00F107E1">
        <w:t xml:space="preserve"> </w:t>
      </w:r>
      <w:r>
        <w:t>But we had no knowledge with him.</w:t>
      </w:r>
      <w:r w:rsidR="00F107E1" w:rsidRPr="00F107E1">
        <w:t xml:space="preserve"> </w:t>
      </w:r>
      <w:r>
        <w:t>We need to get to the core issue.</w:t>
      </w:r>
      <w:r w:rsidR="00F107E1" w:rsidRPr="00F107E1">
        <w:t xml:space="preserve"> </w:t>
      </w:r>
      <w:r>
        <w:t>But [the course has] helped me. But I can’t explain it to Aunties.</w:t>
      </w:r>
      <w:r w:rsidR="00F107E1" w:rsidRPr="00F107E1">
        <w:t xml:space="preserve"> </w:t>
      </w:r>
      <w:r>
        <w:t>It can be really damaging [talking about suicide and mental health]. They deal with it their way which means that they don’t talk about stuff and are in denial and don’t face their own core issues and we have to bring it out and work on that.</w:t>
      </w:r>
      <w:r w:rsidR="00F107E1" w:rsidRPr="00F107E1">
        <w:t xml:space="preserve"> </w:t>
      </w:r>
      <w:r>
        <w:t>The pain of going way back to colonisation and finding out where we come from, it hurts and we’re fighting to keep our language and song.</w:t>
      </w:r>
      <w:r w:rsidR="00F107E1" w:rsidRPr="00F107E1">
        <w:t xml:space="preserve"> </w:t>
      </w:r>
      <w:r>
        <w:t>I learnt about my Grandmother fighting to stay on her land and trying to teach her language and song to children and couldn’t. It got lost.</w:t>
      </w:r>
      <w:r w:rsidR="00F107E1" w:rsidRPr="00F107E1">
        <w:t xml:space="preserve"> </w:t>
      </w:r>
      <w:r>
        <w:t>We identify through our last names and who is married to who etc., but we don’t know all of who we are.</w:t>
      </w:r>
      <w:r w:rsidR="00F107E1" w:rsidRPr="00F107E1">
        <w:t xml:space="preserve"> </w:t>
      </w:r>
      <w:r>
        <w:t xml:space="preserve">If affects us in public ways. </w:t>
      </w:r>
      <w:r w:rsidR="004F7C9D">
        <w:tab/>
      </w:r>
      <w:r w:rsidR="004F7C9D">
        <w:rPr>
          <w:noProof/>
        </w:rPr>
        <w:t>(</w:t>
      </w:r>
      <w:r w:rsidR="00467918">
        <w:rPr>
          <w:noProof/>
        </w:rPr>
        <w:t xml:space="preserve">Quoted in </w:t>
      </w:r>
      <w:r w:rsidR="004F7C9D">
        <w:rPr>
          <w:noProof/>
        </w:rPr>
        <w:t>Stephens 2015, p.</w:t>
      </w:r>
      <w:r>
        <w:rPr>
          <w:noProof/>
        </w:rPr>
        <w:t>26)</w:t>
      </w:r>
    </w:p>
    <w:p w14:paraId="01BE1A59" w14:textId="77777777" w:rsidR="00D35E06" w:rsidRDefault="00D35E06" w:rsidP="00D35E06">
      <w:pPr>
        <w:pStyle w:val="Quote"/>
      </w:pPr>
      <w:r>
        <w:t>Our men in our communities were big staunch warriors.</w:t>
      </w:r>
      <w:r w:rsidR="00F107E1" w:rsidRPr="00F107E1">
        <w:t xml:space="preserve"> </w:t>
      </w:r>
      <w:r>
        <w:t>In Western society they are nothing.</w:t>
      </w:r>
      <w:r w:rsidR="00F107E1" w:rsidRPr="00F107E1">
        <w:t xml:space="preserve"> </w:t>
      </w:r>
      <w:r>
        <w:t>I grew up in a white home.</w:t>
      </w:r>
      <w:r w:rsidR="00F107E1" w:rsidRPr="00F107E1">
        <w:t xml:space="preserve"> </w:t>
      </w:r>
      <w:r>
        <w:t>I grew up racist because I was not educated in aboriginal culture.</w:t>
      </w:r>
      <w:r w:rsidR="00F107E1" w:rsidRPr="00F107E1">
        <w:t xml:space="preserve"> </w:t>
      </w:r>
      <w:r>
        <w:t>Western culture is very individualistic and the communities are not.</w:t>
      </w:r>
      <w:r w:rsidR="00F107E1" w:rsidRPr="00F107E1">
        <w:t xml:space="preserve"> </w:t>
      </w:r>
      <w:r>
        <w:t>It’s a completely different ball park.</w:t>
      </w:r>
      <w:r w:rsidR="00F107E1" w:rsidRPr="00F107E1">
        <w:t xml:space="preserve"> </w:t>
      </w:r>
      <w:r>
        <w:t>We have to live in both cultures and educate people to live in both.</w:t>
      </w:r>
      <w:r w:rsidR="00F107E1" w:rsidRPr="00F107E1">
        <w:t xml:space="preserve"> </w:t>
      </w:r>
      <w:r>
        <w:t>In our eyes we see them, who they are, when they have culture, song and dance.</w:t>
      </w:r>
      <w:r w:rsidR="00F107E1" w:rsidRPr="00F107E1">
        <w:t xml:space="preserve"> </w:t>
      </w:r>
      <w:r>
        <w:t>We see them for who they are.</w:t>
      </w:r>
      <w:r w:rsidR="00F107E1" w:rsidRPr="00F107E1">
        <w:t xml:space="preserve"> </w:t>
      </w:r>
      <w:r>
        <w:t>They don’t have to have the shame.</w:t>
      </w:r>
      <w:r w:rsidR="00F107E1" w:rsidRPr="00F107E1">
        <w:t xml:space="preserve"> </w:t>
      </w:r>
      <w:r w:rsidR="004F7C9D">
        <w:tab/>
      </w:r>
      <w:r w:rsidR="004F7C9D">
        <w:rPr>
          <w:noProof/>
        </w:rPr>
        <w:t>(</w:t>
      </w:r>
      <w:r w:rsidR="00467918">
        <w:rPr>
          <w:noProof/>
        </w:rPr>
        <w:t xml:space="preserve">Quoted in </w:t>
      </w:r>
      <w:r w:rsidR="004F7C9D">
        <w:rPr>
          <w:noProof/>
        </w:rPr>
        <w:t>Stephens 2015, p.</w:t>
      </w:r>
      <w:r>
        <w:rPr>
          <w:noProof/>
        </w:rPr>
        <w:t>27)</w:t>
      </w:r>
    </w:p>
    <w:p w14:paraId="01BE1A5A" w14:textId="77777777" w:rsidR="00D35E06" w:rsidRDefault="004F7C9D" w:rsidP="00D35E06">
      <w:pPr>
        <w:pStyle w:val="Quote"/>
      </w:pPr>
      <w:r>
        <w:t>Government W</w:t>
      </w:r>
      <w:r w:rsidR="00D35E06">
        <w:t>estern law.</w:t>
      </w:r>
      <w:r w:rsidR="00F107E1" w:rsidRPr="00F107E1">
        <w:t xml:space="preserve"> </w:t>
      </w:r>
      <w:r w:rsidR="00D35E06">
        <w:t>Children wouldn’t be doing this if they abide by the cultural lore.</w:t>
      </w:r>
      <w:r w:rsidR="00F107E1" w:rsidRPr="00F107E1">
        <w:t xml:space="preserve"> </w:t>
      </w:r>
      <w:r>
        <w:t>The W</w:t>
      </w:r>
      <w:r w:rsidR="00D35E06">
        <w:t>estern law has taken our power away to handle our own youth.</w:t>
      </w:r>
      <w:r w:rsidR="00F107E1" w:rsidRPr="00F107E1">
        <w:t xml:space="preserve"> </w:t>
      </w:r>
      <w:r w:rsidR="00D35E06">
        <w:t>So the children are lost cause they know they can work it.</w:t>
      </w:r>
      <w:r w:rsidR="00F107E1" w:rsidRPr="00F107E1">
        <w:t xml:space="preserve"> </w:t>
      </w:r>
      <w:r w:rsidR="00D35E06">
        <w:t>But they really want those boundaries.</w:t>
      </w:r>
      <w:r w:rsidR="00F107E1" w:rsidRPr="00F107E1">
        <w:t xml:space="preserve"> </w:t>
      </w:r>
      <w:r w:rsidR="00D35E06">
        <w:t>Trying to live by spirit and the conflict in each of us is abiding by one Western law and the cultural lore is amazing a</w:t>
      </w:r>
      <w:r w:rsidR="00376A20">
        <w:t>nd we could put a stop to this.</w:t>
      </w:r>
      <w:r w:rsidR="00376A20">
        <w:tab/>
      </w:r>
      <w:r w:rsidR="00376A20">
        <w:rPr>
          <w:noProof/>
        </w:rPr>
        <w:t>(</w:t>
      </w:r>
      <w:r w:rsidR="00467918">
        <w:rPr>
          <w:noProof/>
        </w:rPr>
        <w:t xml:space="preserve">Quoted in </w:t>
      </w:r>
      <w:r w:rsidR="00376A20">
        <w:rPr>
          <w:noProof/>
        </w:rPr>
        <w:t>Stephens 2015, p.</w:t>
      </w:r>
      <w:r w:rsidR="00D35E06">
        <w:rPr>
          <w:noProof/>
        </w:rPr>
        <w:t>27)</w:t>
      </w:r>
    </w:p>
    <w:p w14:paraId="01BE1A5B" w14:textId="77777777" w:rsidR="00D35E06" w:rsidRDefault="00D35E06" w:rsidP="00D35E06">
      <w:pPr>
        <w:pStyle w:val="Text"/>
      </w:pPr>
      <w:r>
        <w:t xml:space="preserve">Despite the challenges of a complex milieu, the </w:t>
      </w:r>
      <w:r w:rsidR="00D70D98">
        <w:t>college</w:t>
      </w:r>
      <w:r>
        <w:t xml:space="preserve"> courses are in high demand, and their graduates enjoy employer respect.</w:t>
      </w:r>
      <w:r w:rsidR="00F107E1" w:rsidRPr="00F107E1">
        <w:t xml:space="preserve"> </w:t>
      </w:r>
      <w:r>
        <w:t xml:space="preserve">The last word is a message to the </w:t>
      </w:r>
      <w:r w:rsidR="00D70D98">
        <w:t>college</w:t>
      </w:r>
      <w:r>
        <w:t xml:space="preserve"> itself from an employer:</w:t>
      </w:r>
      <w:r w:rsidR="00F107E1" w:rsidRPr="00F107E1">
        <w:t xml:space="preserve"> </w:t>
      </w:r>
    </w:p>
    <w:p w14:paraId="01BE1A5C" w14:textId="77777777" w:rsidR="00D35E06" w:rsidRDefault="00D35E06" w:rsidP="00D35E06">
      <w:pPr>
        <w:pStyle w:val="Quote"/>
      </w:pPr>
      <w:r>
        <w:t>Don’t stop doing what you are doing. They are doing a good job. Some of our students are hard. They have a lot of trauma and issues but the lecturers are doing a great job with them. Keep going don’t give up.</w:t>
      </w:r>
    </w:p>
    <w:p w14:paraId="01BE1A5D" w14:textId="77777777" w:rsidR="00D35E06" w:rsidRDefault="00D35E06" w:rsidP="00D35E06">
      <w:pPr>
        <w:spacing w:before="0" w:line="276" w:lineRule="auto"/>
        <w:jc w:val="both"/>
        <w:rPr>
          <w:rFonts w:ascii="Arial" w:hAnsi="Arial" w:cs="Arial"/>
          <w:sz w:val="22"/>
          <w:szCs w:val="22"/>
        </w:rPr>
      </w:pPr>
      <w:r>
        <w:rPr>
          <w:rFonts w:ascii="Arial" w:hAnsi="Arial" w:cs="Arial"/>
          <w:sz w:val="22"/>
          <w:szCs w:val="22"/>
        </w:rPr>
        <w:br w:type="page"/>
      </w:r>
    </w:p>
    <w:p w14:paraId="01BE1A5E" w14:textId="77777777" w:rsidR="00D35E06" w:rsidRDefault="00D35E06" w:rsidP="00753427">
      <w:pPr>
        <w:pStyle w:val="Heading1"/>
      </w:pPr>
      <w:bookmarkStart w:id="48" w:name="_Toc480296495"/>
      <w:r>
        <w:t>References</w:t>
      </w:r>
      <w:bookmarkEnd w:id="48"/>
    </w:p>
    <w:p w14:paraId="01BE1A5F" w14:textId="77777777" w:rsidR="00E351C5" w:rsidRDefault="00920B1C" w:rsidP="007F3F0E">
      <w:pPr>
        <w:pStyle w:val="References"/>
      </w:pPr>
      <w:r>
        <w:t>ABS (Australian Bureau of Statistics) 2016,</w:t>
      </w:r>
      <w:r w:rsidR="00D35E06" w:rsidRPr="007F3F0E">
        <w:t xml:space="preserve"> </w:t>
      </w:r>
      <w:r w:rsidR="00D35E06" w:rsidRPr="00920B1C">
        <w:rPr>
          <w:i/>
        </w:rPr>
        <w:t xml:space="preserve">Local </w:t>
      </w:r>
      <w:r w:rsidRPr="00920B1C">
        <w:rPr>
          <w:i/>
        </w:rPr>
        <w:t xml:space="preserve">government areas, statistical areas levels </w:t>
      </w:r>
      <w:r w:rsidR="00D35E06" w:rsidRPr="00920B1C">
        <w:rPr>
          <w:i/>
        </w:rPr>
        <w:t>2: Cape York (SA2) National Regional Profile (NRP)</w:t>
      </w:r>
      <w:r>
        <w:t xml:space="preserve">, ABS, </w:t>
      </w:r>
      <w:proofErr w:type="gramStart"/>
      <w:r>
        <w:t>Canberra</w:t>
      </w:r>
      <w:proofErr w:type="gramEnd"/>
      <w:r>
        <w:t>.</w:t>
      </w:r>
    </w:p>
    <w:p w14:paraId="01BE1A60" w14:textId="77777777" w:rsidR="00E351C5" w:rsidRPr="00FC48FE" w:rsidRDefault="00E351C5" w:rsidP="00E351C5">
      <w:pPr>
        <w:pStyle w:val="References"/>
      </w:pPr>
      <w:r>
        <w:t>Anderson, I 2011,</w:t>
      </w:r>
      <w:r w:rsidRPr="00FC48FE">
        <w:t xml:space="preserve"> </w:t>
      </w:r>
      <w:r w:rsidRPr="00E351C5">
        <w:rPr>
          <w:i/>
        </w:rPr>
        <w:t>Indigenous pathways into the professions,</w:t>
      </w:r>
      <w:r w:rsidRPr="00FC48FE">
        <w:t xml:space="preserve"> University of Melbourne.</w:t>
      </w:r>
    </w:p>
    <w:p w14:paraId="01BE1A61" w14:textId="77777777" w:rsidR="00D35E06" w:rsidRDefault="00CB65EE" w:rsidP="007F3F0E">
      <w:pPr>
        <w:pStyle w:val="References"/>
      </w:pPr>
      <w:r>
        <w:rPr>
          <w:lang w:eastAsia="en-AU"/>
        </w:rPr>
        <w:t>Australian Institute of Health and Welfare</w:t>
      </w:r>
      <w:r w:rsidRPr="007F3F0E">
        <w:t xml:space="preserve"> </w:t>
      </w:r>
      <w:r w:rsidR="00920B1C">
        <w:t>2014,</w:t>
      </w:r>
      <w:r w:rsidR="00D35E06" w:rsidRPr="007F3F0E">
        <w:t xml:space="preserve"> </w:t>
      </w:r>
      <w:r w:rsidR="00D35E06" w:rsidRPr="00920B1C">
        <w:rPr>
          <w:i/>
        </w:rPr>
        <w:t>Australia’s health 2014</w:t>
      </w:r>
      <w:r w:rsidR="00920B1C">
        <w:t>, AIHW, Canberra.</w:t>
      </w:r>
      <w:r w:rsidR="00D35E06" w:rsidRPr="007F3F0E">
        <w:t xml:space="preserve"> </w:t>
      </w:r>
    </w:p>
    <w:p w14:paraId="01BE1A62" w14:textId="77777777" w:rsidR="00EF14E4" w:rsidRPr="007F3F0E" w:rsidRDefault="00920B1C" w:rsidP="00EF14E4">
      <w:pPr>
        <w:pStyle w:val="References"/>
      </w:pPr>
      <w:bookmarkStart w:id="49" w:name="_ENREF_1"/>
      <w:r>
        <w:t>Bird Rose, D 1996,</w:t>
      </w:r>
      <w:r w:rsidR="00EF14E4" w:rsidRPr="007F3F0E">
        <w:t xml:space="preserve"> </w:t>
      </w:r>
      <w:r w:rsidR="00EF14E4" w:rsidRPr="00920B1C">
        <w:rPr>
          <w:i/>
        </w:rPr>
        <w:t>Nourishing terrains: Australian Aboriginal views of landscape and wilderness</w:t>
      </w:r>
      <w:r>
        <w:t>,</w:t>
      </w:r>
      <w:r w:rsidR="00EF14E4" w:rsidRPr="007F3F0E">
        <w:t xml:space="preserve"> Australian Heritage Commission</w:t>
      </w:r>
      <w:r>
        <w:t>,</w:t>
      </w:r>
      <w:r w:rsidRPr="00920B1C">
        <w:t xml:space="preserve"> </w:t>
      </w:r>
      <w:r>
        <w:t>Canberra</w:t>
      </w:r>
      <w:r w:rsidR="00EF14E4" w:rsidRPr="007F3F0E">
        <w:t>.</w:t>
      </w:r>
      <w:bookmarkEnd w:id="49"/>
    </w:p>
    <w:p w14:paraId="01BE1A63" w14:textId="77777777" w:rsidR="00920B1C" w:rsidRDefault="00920B1C" w:rsidP="007F3F0E">
      <w:pPr>
        <w:pStyle w:val="References"/>
      </w:pPr>
      <w:proofErr w:type="spellStart"/>
      <w:r>
        <w:t>Boughton</w:t>
      </w:r>
      <w:proofErr w:type="spellEnd"/>
      <w:r>
        <w:t>, B 2000,</w:t>
      </w:r>
      <w:r w:rsidR="00D35E06" w:rsidRPr="007F3F0E">
        <w:t xml:space="preserve"> </w:t>
      </w:r>
      <w:r w:rsidR="00D35E06" w:rsidRPr="00920B1C">
        <w:rPr>
          <w:i/>
        </w:rPr>
        <w:t>What is the connection between Aboriginal education and</w:t>
      </w:r>
      <w:r w:rsidRPr="00920B1C">
        <w:rPr>
          <w:i/>
        </w:rPr>
        <w:t xml:space="preserve"> Aboriginal health?</w:t>
      </w:r>
      <w:r>
        <w:t>, Occasional p</w:t>
      </w:r>
      <w:r w:rsidR="00D35E06" w:rsidRPr="007F3F0E">
        <w:t>a</w:t>
      </w:r>
      <w:r>
        <w:t>per s</w:t>
      </w:r>
      <w:r w:rsidR="00D35E06" w:rsidRPr="007F3F0E">
        <w:t xml:space="preserve">eries, 2, </w:t>
      </w:r>
      <w:r>
        <w:t>CRC for Aboriginal and Tropical Health, Casuarina, NT</w:t>
      </w:r>
      <w:r w:rsidR="00D35E06" w:rsidRPr="007F3F0E">
        <w:t>.</w:t>
      </w:r>
    </w:p>
    <w:p w14:paraId="01BE1A64" w14:textId="77777777" w:rsidR="00920B1C" w:rsidRPr="007F3F0E" w:rsidRDefault="00920B1C" w:rsidP="00920B1C">
      <w:pPr>
        <w:pStyle w:val="References"/>
      </w:pPr>
      <w:r>
        <w:t>——2009,</w:t>
      </w:r>
      <w:r w:rsidRPr="007F3F0E">
        <w:t xml:space="preserve"> </w:t>
      </w:r>
      <w:r>
        <w:t>‘</w:t>
      </w:r>
      <w:r w:rsidRPr="007F3F0E">
        <w:t>Challenging donor agendas in adult &amp; wor</w:t>
      </w:r>
      <w:r>
        <w:t>kplace education in Timor-Leste’, in</w:t>
      </w:r>
      <w:r w:rsidRPr="007F3F0E">
        <w:t xml:space="preserve"> </w:t>
      </w:r>
      <w:r>
        <w:t>L</w:t>
      </w:r>
      <w:r w:rsidRPr="007F3F0E">
        <w:t xml:space="preserve"> Cooper </w:t>
      </w:r>
      <w:r>
        <w:t>&amp; S</w:t>
      </w:r>
      <w:r w:rsidRPr="007F3F0E">
        <w:t xml:space="preserve"> Walters </w:t>
      </w:r>
      <w:r>
        <w:t>(</w:t>
      </w:r>
      <w:proofErr w:type="spellStart"/>
      <w:r>
        <w:t>eds</w:t>
      </w:r>
      <w:proofErr w:type="spellEnd"/>
      <w:r>
        <w:t xml:space="preserve">), </w:t>
      </w:r>
      <w:r w:rsidRPr="00920B1C">
        <w:rPr>
          <w:i/>
        </w:rPr>
        <w:t>Learning/work: critical perspectives on lifelong learning and work</w:t>
      </w:r>
      <w:r>
        <w:t>,</w:t>
      </w:r>
      <w:r w:rsidRPr="007F3F0E">
        <w:t xml:space="preserve"> Human Science Research Council Press</w:t>
      </w:r>
      <w:r>
        <w:t>,</w:t>
      </w:r>
      <w:r w:rsidRPr="007F3F0E">
        <w:t xml:space="preserve"> </w:t>
      </w:r>
      <w:proofErr w:type="spellStart"/>
      <w:r w:rsidRPr="007F3F0E">
        <w:t>C</w:t>
      </w:r>
      <w:r>
        <w:t>apetown</w:t>
      </w:r>
      <w:proofErr w:type="spellEnd"/>
      <w:r>
        <w:t>, South Africa, pp.74—</w:t>
      </w:r>
      <w:r w:rsidRPr="007F3F0E">
        <w:t>87.</w:t>
      </w:r>
    </w:p>
    <w:p w14:paraId="01BE1A65" w14:textId="77777777" w:rsidR="00920B1C" w:rsidRPr="007F3F0E" w:rsidRDefault="00920B1C" w:rsidP="00920B1C">
      <w:pPr>
        <w:pStyle w:val="References"/>
      </w:pPr>
      <w:r>
        <w:t>——2010, ‘</w:t>
      </w:r>
      <w:r w:rsidRPr="007F3F0E">
        <w:t>Back to the future? Timor-Leste, Cuba and the return</w:t>
      </w:r>
      <w:r>
        <w:t xml:space="preserve"> of the mass literacy campaign’,</w:t>
      </w:r>
      <w:r w:rsidRPr="007F3F0E">
        <w:t xml:space="preserve"> </w:t>
      </w:r>
      <w:r w:rsidRPr="00920B1C">
        <w:rPr>
          <w:i/>
        </w:rPr>
        <w:t>Literacy and Numeracy Studies</w:t>
      </w:r>
      <w:r>
        <w:t>, vol.18, no.2, pp.23—</w:t>
      </w:r>
      <w:r w:rsidRPr="007F3F0E">
        <w:t>40.</w:t>
      </w:r>
    </w:p>
    <w:p w14:paraId="01BE1A66" w14:textId="77777777" w:rsidR="00CF57B7" w:rsidRPr="007F3F0E" w:rsidRDefault="00CF57B7" w:rsidP="00CF57B7">
      <w:pPr>
        <w:pStyle w:val="References"/>
      </w:pPr>
      <w:proofErr w:type="spellStart"/>
      <w:r>
        <w:t>Boughton</w:t>
      </w:r>
      <w:proofErr w:type="spellEnd"/>
      <w:r>
        <w:t xml:space="preserve">, B &amp; </w:t>
      </w:r>
      <w:proofErr w:type="spellStart"/>
      <w:r>
        <w:t>Durnan</w:t>
      </w:r>
      <w:proofErr w:type="spellEnd"/>
      <w:r>
        <w:t>, D 2014, ‘</w:t>
      </w:r>
      <w:r w:rsidRPr="007F3F0E">
        <w:t xml:space="preserve">Cuba’s “Yes, I Can” mass adult literacy campaign model in Timor-Leste and Aboriginal </w:t>
      </w:r>
      <w:r>
        <w:t>Australia: A comparative study’,</w:t>
      </w:r>
      <w:r w:rsidRPr="007F3F0E">
        <w:t xml:space="preserve"> </w:t>
      </w:r>
      <w:r w:rsidRPr="00CF57B7">
        <w:rPr>
          <w:i/>
        </w:rPr>
        <w:t>International Review of Education</w:t>
      </w:r>
      <w:r>
        <w:t>, vol.60, no.4,</w:t>
      </w:r>
      <w:r w:rsidRPr="007F3F0E">
        <w:t xml:space="preserve"> </w:t>
      </w:r>
      <w:r>
        <w:t>pp.559—</w:t>
      </w:r>
      <w:r w:rsidRPr="007F3F0E">
        <w:t>80.</w:t>
      </w:r>
    </w:p>
    <w:p w14:paraId="01BE1A67" w14:textId="77777777" w:rsidR="00920B1C" w:rsidRDefault="00920B1C" w:rsidP="00920B1C">
      <w:pPr>
        <w:pStyle w:val="References"/>
      </w:pPr>
      <w:proofErr w:type="spellStart"/>
      <w:r>
        <w:t>Boughton</w:t>
      </w:r>
      <w:proofErr w:type="spellEnd"/>
      <w:r>
        <w:t xml:space="preserve">, B, Ah Chee, D, </w:t>
      </w:r>
      <w:proofErr w:type="spellStart"/>
      <w:r>
        <w:t>Beetson</w:t>
      </w:r>
      <w:proofErr w:type="spellEnd"/>
      <w:r>
        <w:t>, J</w:t>
      </w:r>
      <w:r w:rsidRPr="007F3F0E">
        <w:t>,</w:t>
      </w:r>
      <w:r>
        <w:t xml:space="preserve"> </w:t>
      </w:r>
      <w:proofErr w:type="spellStart"/>
      <w:r>
        <w:t>Durnan</w:t>
      </w:r>
      <w:proofErr w:type="spellEnd"/>
      <w:r>
        <w:t xml:space="preserve">, D &amp; </w:t>
      </w:r>
      <w:proofErr w:type="spellStart"/>
      <w:r>
        <w:t>LeBlanch</w:t>
      </w:r>
      <w:proofErr w:type="spellEnd"/>
      <w:r>
        <w:t>, J 2013,</w:t>
      </w:r>
      <w:r w:rsidRPr="007F3F0E">
        <w:t xml:space="preserve"> </w:t>
      </w:r>
      <w:r w:rsidR="00CF57B7">
        <w:t>‘</w:t>
      </w:r>
      <w:r w:rsidRPr="007F3F0E">
        <w:t xml:space="preserve">An Aboriginal </w:t>
      </w:r>
      <w:r w:rsidR="00CF57B7" w:rsidRPr="007F3F0E">
        <w:t xml:space="preserve">adult literacy campaign pilot study </w:t>
      </w:r>
      <w:r w:rsidR="00CF57B7">
        <w:t>in Australia using Yes I Can’,</w:t>
      </w:r>
      <w:r w:rsidRPr="007F3F0E">
        <w:t xml:space="preserve"> </w:t>
      </w:r>
      <w:r w:rsidRPr="00CF57B7">
        <w:rPr>
          <w:i/>
        </w:rPr>
        <w:t>Literacy and Numeracy Studies</w:t>
      </w:r>
      <w:r w:rsidR="00CF57B7">
        <w:t>, vol.</w:t>
      </w:r>
      <w:r w:rsidRPr="007F3F0E">
        <w:t>21</w:t>
      </w:r>
      <w:r>
        <w:t xml:space="preserve">, </w:t>
      </w:r>
      <w:r w:rsidR="00CF57B7">
        <w:t xml:space="preserve">no.1, </w:t>
      </w:r>
      <w:r>
        <w:t>viewed 1 April 2017,</w:t>
      </w:r>
      <w:r w:rsidR="00352794">
        <w:t xml:space="preserve"> </w:t>
      </w:r>
      <w:r w:rsidR="00CF57B7">
        <w:t>&lt;</w:t>
      </w:r>
      <w:r w:rsidRPr="007F3F0E">
        <w:t>https://epress.lib.uts.edu.au/journals/index.php/lnj/article/view/3328</w:t>
      </w:r>
      <w:r w:rsidR="00CF57B7">
        <w:t>&gt;</w:t>
      </w:r>
      <w:r w:rsidRPr="007F3F0E">
        <w:t>.</w:t>
      </w:r>
    </w:p>
    <w:p w14:paraId="01BE1A68" w14:textId="77777777" w:rsidR="0013395E" w:rsidRPr="007F3F0E" w:rsidRDefault="0013395E" w:rsidP="0013395E">
      <w:pPr>
        <w:pStyle w:val="References"/>
      </w:pPr>
      <w:proofErr w:type="spellStart"/>
      <w:r>
        <w:t>Cowlishaw</w:t>
      </w:r>
      <w:proofErr w:type="spellEnd"/>
      <w:r>
        <w:t xml:space="preserve">, G 2004, </w:t>
      </w:r>
      <w:r w:rsidRPr="0013395E">
        <w:rPr>
          <w:i/>
        </w:rPr>
        <w:t xml:space="preserve">Blackfellas, </w:t>
      </w:r>
      <w:proofErr w:type="spellStart"/>
      <w:r w:rsidRPr="0013395E">
        <w:rPr>
          <w:i/>
        </w:rPr>
        <w:t>whitefellas</w:t>
      </w:r>
      <w:proofErr w:type="spellEnd"/>
      <w:r w:rsidRPr="0013395E">
        <w:rPr>
          <w:i/>
        </w:rPr>
        <w:t>, and the hidden injuries of race</w:t>
      </w:r>
      <w:r w:rsidRPr="007F3F0E">
        <w:t>, Blackwell</w:t>
      </w:r>
      <w:r>
        <w:t>,</w:t>
      </w:r>
      <w:r w:rsidRPr="007F3F0E">
        <w:t xml:space="preserve"> Malden, M</w:t>
      </w:r>
      <w:r>
        <w:t>A</w:t>
      </w:r>
      <w:r w:rsidRPr="007F3F0E">
        <w:t>.</w:t>
      </w:r>
    </w:p>
    <w:p w14:paraId="01BE1A69" w14:textId="77777777" w:rsidR="00D35E06" w:rsidRDefault="00920B1C" w:rsidP="007F3F0E">
      <w:pPr>
        <w:pStyle w:val="References"/>
      </w:pPr>
      <w:r>
        <w:t>Department of Health 2011,</w:t>
      </w:r>
      <w:r w:rsidR="00D35E06" w:rsidRPr="007F3F0E">
        <w:t xml:space="preserve"> </w:t>
      </w:r>
      <w:r w:rsidR="00D35E06" w:rsidRPr="00E351C5">
        <w:rPr>
          <w:i/>
        </w:rPr>
        <w:t xml:space="preserve">National Aboriginal and Torres Strait Islander </w:t>
      </w:r>
      <w:r w:rsidRPr="00E351C5">
        <w:rPr>
          <w:i/>
        </w:rPr>
        <w:t>suicide prevention strategy: consultation paper</w:t>
      </w:r>
      <w:r>
        <w:t>, DOH, Canberra.</w:t>
      </w:r>
    </w:p>
    <w:p w14:paraId="01BE1A6A" w14:textId="77777777" w:rsidR="00E351C5" w:rsidRPr="00FC48FE" w:rsidRDefault="00E351C5" w:rsidP="00E351C5">
      <w:pPr>
        <w:pStyle w:val="References"/>
      </w:pPr>
      <w:proofErr w:type="spellStart"/>
      <w:r>
        <w:t>D'Aprano</w:t>
      </w:r>
      <w:proofErr w:type="spellEnd"/>
      <w:r>
        <w:t>, A,</w:t>
      </w:r>
      <w:r w:rsidRPr="00FC48FE">
        <w:t xml:space="preserve"> </w:t>
      </w:r>
      <w:proofErr w:type="spellStart"/>
      <w:r w:rsidRPr="00FC48FE">
        <w:t>Silburn</w:t>
      </w:r>
      <w:proofErr w:type="spellEnd"/>
      <w:r w:rsidRPr="00FC48FE">
        <w:t>,</w:t>
      </w:r>
      <w:r>
        <w:t xml:space="preserve"> S,</w:t>
      </w:r>
      <w:r w:rsidRPr="00FC48FE">
        <w:t xml:space="preserve"> Johnston, </w:t>
      </w:r>
      <w:r>
        <w:t>V,</w:t>
      </w:r>
      <w:r w:rsidRPr="00FC48FE">
        <w:t xml:space="preserve"> </w:t>
      </w:r>
      <w:proofErr w:type="spellStart"/>
      <w:r w:rsidRPr="00FC48FE">
        <w:t>Oberklaid</w:t>
      </w:r>
      <w:proofErr w:type="spellEnd"/>
      <w:r>
        <w:t>, F</w:t>
      </w:r>
      <w:r w:rsidRPr="00FC48FE">
        <w:t xml:space="preserve"> </w:t>
      </w:r>
      <w:r>
        <w:t>&amp;</w:t>
      </w:r>
      <w:r w:rsidRPr="00FC48FE">
        <w:t xml:space="preserve"> Tayler</w:t>
      </w:r>
      <w:r>
        <w:t>, C 2015, ‘</w:t>
      </w:r>
      <w:r w:rsidRPr="00FC48FE">
        <w:t xml:space="preserve">Culturally appropriate training for remote Australian Aboriginal health workers: evaluation of an early child development training </w:t>
      </w:r>
      <w:r>
        <w:t>intervention’,</w:t>
      </w:r>
      <w:r w:rsidRPr="00FC48FE">
        <w:t xml:space="preserve"> </w:t>
      </w:r>
      <w:r w:rsidRPr="00E351C5">
        <w:rPr>
          <w:i/>
        </w:rPr>
        <w:t>Journal</w:t>
      </w:r>
      <w:r>
        <w:rPr>
          <w:i/>
        </w:rPr>
        <w:t xml:space="preserve"> of</w:t>
      </w:r>
      <w:r w:rsidRPr="00E351C5">
        <w:rPr>
          <w:i/>
        </w:rPr>
        <w:t xml:space="preserve"> Developmental &amp; </w:t>
      </w:r>
      <w:proofErr w:type="spellStart"/>
      <w:r w:rsidRPr="00E351C5">
        <w:rPr>
          <w:i/>
        </w:rPr>
        <w:t>Behavioral</w:t>
      </w:r>
      <w:proofErr w:type="spellEnd"/>
      <w:r w:rsidRPr="00E351C5">
        <w:rPr>
          <w:i/>
        </w:rPr>
        <w:t xml:space="preserve"> </w:t>
      </w:r>
      <w:proofErr w:type="spellStart"/>
      <w:r w:rsidRPr="00E351C5">
        <w:rPr>
          <w:i/>
        </w:rPr>
        <w:t>Pediatrics</w:t>
      </w:r>
      <w:proofErr w:type="spellEnd"/>
      <w:r>
        <w:t>,</w:t>
      </w:r>
      <w:r w:rsidRPr="00FC48FE">
        <w:t xml:space="preserve"> </w:t>
      </w:r>
      <w:r>
        <w:t>vol.36, no.7, pp.503—</w:t>
      </w:r>
      <w:r w:rsidRPr="00FC48FE">
        <w:t>11.</w:t>
      </w:r>
    </w:p>
    <w:p w14:paraId="01BE1A6B" w14:textId="77777777" w:rsidR="00CF57B7" w:rsidRDefault="00920B1C" w:rsidP="00CF57B7">
      <w:pPr>
        <w:pStyle w:val="References"/>
      </w:pPr>
      <w:proofErr w:type="spellStart"/>
      <w:r>
        <w:t>Durnan</w:t>
      </w:r>
      <w:proofErr w:type="spellEnd"/>
      <w:r>
        <w:t xml:space="preserve">, D, </w:t>
      </w:r>
      <w:proofErr w:type="spellStart"/>
      <w:r>
        <w:t>Beetson</w:t>
      </w:r>
      <w:proofErr w:type="spellEnd"/>
      <w:r>
        <w:t>,</w:t>
      </w:r>
      <w:r w:rsidR="00CF57B7">
        <w:t xml:space="preserve"> </w:t>
      </w:r>
      <w:r>
        <w:t>J &amp; </w:t>
      </w:r>
      <w:proofErr w:type="spellStart"/>
      <w:r>
        <w:t>Boughton</w:t>
      </w:r>
      <w:proofErr w:type="spellEnd"/>
      <w:r>
        <w:t>,</w:t>
      </w:r>
      <w:r w:rsidR="00CF57B7">
        <w:t xml:space="preserve"> </w:t>
      </w:r>
      <w:r>
        <w:t>B 2013,</w:t>
      </w:r>
      <w:r w:rsidR="00D35E06" w:rsidRPr="007F3F0E">
        <w:t xml:space="preserve"> </w:t>
      </w:r>
      <w:r>
        <w:t>‘</w:t>
      </w:r>
      <w:r w:rsidR="00D35E06" w:rsidRPr="007F3F0E">
        <w:t xml:space="preserve">Using </w:t>
      </w:r>
      <w:r w:rsidRPr="007F3F0E">
        <w:t xml:space="preserve">popular education in development work: some experiences </w:t>
      </w:r>
      <w:r>
        <w:t>from Aboriginal Australia’,</w:t>
      </w:r>
      <w:r w:rsidR="00D35E06" w:rsidRPr="007F3F0E">
        <w:t xml:space="preserve"> </w:t>
      </w:r>
      <w:r w:rsidR="00D35E06" w:rsidRPr="00920B1C">
        <w:rPr>
          <w:i/>
        </w:rPr>
        <w:t xml:space="preserve">Rhizome </w:t>
      </w:r>
      <w:proofErr w:type="spellStart"/>
      <w:r w:rsidR="00D35E06" w:rsidRPr="00920B1C">
        <w:rPr>
          <w:i/>
        </w:rPr>
        <w:t>freirean</w:t>
      </w:r>
      <w:proofErr w:type="spellEnd"/>
      <w:r w:rsidR="00CF57B7">
        <w:t>, 14.</w:t>
      </w:r>
    </w:p>
    <w:p w14:paraId="01BE1A6C" w14:textId="77777777" w:rsidR="00CF57B7" w:rsidRDefault="00CF57B7" w:rsidP="00CF57B7">
      <w:pPr>
        <w:pStyle w:val="References"/>
      </w:pPr>
      <w:proofErr w:type="spellStart"/>
      <w:r>
        <w:t>Fredman</w:t>
      </w:r>
      <w:proofErr w:type="spellEnd"/>
      <w:r>
        <w:t>, N 2014, ‘U</w:t>
      </w:r>
      <w:r w:rsidRPr="00166A7E">
        <w:t>nderstanding motivation for study: Hum</w:t>
      </w:r>
      <w:r>
        <w:t>an capital or human capability?’,</w:t>
      </w:r>
      <w:r w:rsidRPr="00166A7E">
        <w:t xml:space="preserve"> </w:t>
      </w:r>
      <w:r w:rsidRPr="00166A7E">
        <w:rPr>
          <w:i/>
        </w:rPr>
        <w:t>International Journal of Training Research</w:t>
      </w:r>
      <w:r>
        <w:t>, vol.12, no.2, pp.93—</w:t>
      </w:r>
      <w:r w:rsidRPr="00166A7E">
        <w:t>105.</w:t>
      </w:r>
    </w:p>
    <w:p w14:paraId="01BE1A6D" w14:textId="77777777" w:rsidR="0013395E" w:rsidRPr="007F3F0E" w:rsidRDefault="0013395E" w:rsidP="0013395E">
      <w:pPr>
        <w:pStyle w:val="References"/>
      </w:pPr>
      <w:proofErr w:type="spellStart"/>
      <w:r>
        <w:t>Kral</w:t>
      </w:r>
      <w:proofErr w:type="spellEnd"/>
      <w:r>
        <w:t>, I &amp; Falk, I 2004,</w:t>
      </w:r>
      <w:r w:rsidRPr="007F3F0E">
        <w:t xml:space="preserve"> </w:t>
      </w:r>
      <w:r w:rsidRPr="0013395E">
        <w:rPr>
          <w:i/>
        </w:rPr>
        <w:t>What is all that learning for? Indigenous adult literacy practices, training, community capacity and health</w:t>
      </w:r>
      <w:r w:rsidRPr="007F3F0E">
        <w:t xml:space="preserve">, </w:t>
      </w:r>
      <w:r>
        <w:t>NCVER,</w:t>
      </w:r>
      <w:r w:rsidRPr="007F3F0E">
        <w:t xml:space="preserve"> Adelaide.</w:t>
      </w:r>
    </w:p>
    <w:p w14:paraId="01BE1A6E" w14:textId="77777777" w:rsidR="00CF57B7" w:rsidRDefault="00CF57B7" w:rsidP="00CF57B7">
      <w:pPr>
        <w:pStyle w:val="References"/>
      </w:pPr>
      <w:r>
        <w:t>Miller, C 2005,</w:t>
      </w:r>
      <w:r w:rsidRPr="00166A7E">
        <w:rPr>
          <w:i/>
        </w:rPr>
        <w:t xml:space="preserve"> Aspects of training that meet Indige</w:t>
      </w:r>
      <w:r>
        <w:rPr>
          <w:i/>
        </w:rPr>
        <w:t>nous Australians’ aspirations: a</w:t>
      </w:r>
      <w:r w:rsidRPr="00166A7E">
        <w:rPr>
          <w:i/>
        </w:rPr>
        <w:t xml:space="preserve"> systematic review of research</w:t>
      </w:r>
      <w:r>
        <w:t>, NCVER, Adelaide</w:t>
      </w:r>
      <w:r w:rsidRPr="00166A7E">
        <w:t>.</w:t>
      </w:r>
    </w:p>
    <w:p w14:paraId="01BE1A6F" w14:textId="77777777" w:rsidR="0013395E" w:rsidRPr="007F3F0E" w:rsidRDefault="0013395E" w:rsidP="0013395E">
      <w:pPr>
        <w:pStyle w:val="References"/>
      </w:pPr>
      <w:r>
        <w:t>Morris, B 2013,</w:t>
      </w:r>
      <w:r w:rsidRPr="007F3F0E">
        <w:t xml:space="preserve"> </w:t>
      </w:r>
      <w:r w:rsidRPr="00E351C5">
        <w:rPr>
          <w:i/>
        </w:rPr>
        <w:t>Protests, land rights and riots: postcolonial politics in Australia in the 1980s</w:t>
      </w:r>
      <w:r>
        <w:t>,</w:t>
      </w:r>
      <w:r w:rsidRPr="007F3F0E">
        <w:t xml:space="preserve"> Aboriginal Studies Press</w:t>
      </w:r>
      <w:r>
        <w:t>,</w:t>
      </w:r>
      <w:r w:rsidRPr="0013395E">
        <w:t xml:space="preserve"> </w:t>
      </w:r>
      <w:r>
        <w:t>Canberra</w:t>
      </w:r>
      <w:r w:rsidRPr="007F3F0E">
        <w:t>.</w:t>
      </w:r>
    </w:p>
    <w:p w14:paraId="01BE1A70" w14:textId="77777777" w:rsidR="0013395E" w:rsidRDefault="0013395E" w:rsidP="0013395E">
      <w:pPr>
        <w:pStyle w:val="References"/>
      </w:pPr>
      <w:r>
        <w:t>NCVER (</w:t>
      </w:r>
      <w:r w:rsidRPr="007F3F0E">
        <w:t>National Centre for Vocational Education Research</w:t>
      </w:r>
      <w:r>
        <w:t>) 2016,</w:t>
      </w:r>
      <w:r w:rsidRPr="007F3F0E">
        <w:t xml:space="preserve"> </w:t>
      </w:r>
      <w:r w:rsidRPr="0013395E">
        <w:rPr>
          <w:i/>
        </w:rPr>
        <w:t>Total VET students and courses 2015</w:t>
      </w:r>
      <w:r>
        <w:t>,</w:t>
      </w:r>
      <w:r w:rsidRPr="007F3F0E">
        <w:t xml:space="preserve"> NCVER, Adelaide</w:t>
      </w:r>
      <w:r>
        <w:t>, viewed</w:t>
      </w:r>
      <w:r w:rsidRPr="007F3F0E">
        <w:t xml:space="preserve"> October 2016 </w:t>
      </w:r>
      <w:r>
        <w:t>&lt;</w:t>
      </w:r>
      <w:hyperlink r:id="rId24" w:history="1">
        <w:r w:rsidRPr="009A6620">
          <w:rPr>
            <w:rStyle w:val="Hyperlink"/>
            <w:sz w:val="18"/>
          </w:rPr>
          <w:t>https://www.ncver.edu.au/__data/assets/pdf_file/0031/59584/Total-VET-students-and-courses-2015.pdf</w:t>
        </w:r>
      </w:hyperlink>
      <w:r>
        <w:t>&gt;</w:t>
      </w:r>
      <w:r w:rsidRPr="007F3F0E">
        <w:t>.</w:t>
      </w:r>
    </w:p>
    <w:p w14:paraId="01BE1A71" w14:textId="77777777" w:rsidR="00CF57B7" w:rsidRDefault="00CF57B7" w:rsidP="00CF57B7">
      <w:pPr>
        <w:pStyle w:val="References"/>
      </w:pPr>
      <w:proofErr w:type="spellStart"/>
      <w:r>
        <w:t>Pocock</w:t>
      </w:r>
      <w:proofErr w:type="spellEnd"/>
      <w:r>
        <w:t>, B</w:t>
      </w:r>
      <w:r w:rsidRPr="00166A7E">
        <w:t xml:space="preserve">, Skinner, </w:t>
      </w:r>
      <w:r>
        <w:t xml:space="preserve">N, </w:t>
      </w:r>
      <w:r w:rsidRPr="00166A7E">
        <w:t>McMahon</w:t>
      </w:r>
      <w:r>
        <w:t xml:space="preserve"> C</w:t>
      </w:r>
      <w:r w:rsidRPr="00166A7E">
        <w:t xml:space="preserve"> </w:t>
      </w:r>
      <w:r>
        <w:t>&amp; Pritchard, S 2011,</w:t>
      </w:r>
      <w:r w:rsidRPr="00166A7E">
        <w:t xml:space="preserve"> </w:t>
      </w:r>
      <w:r>
        <w:rPr>
          <w:i/>
        </w:rPr>
        <w:t>Work, life and VET p</w:t>
      </w:r>
      <w:r w:rsidRPr="00166A7E">
        <w:rPr>
          <w:i/>
        </w:rPr>
        <w:t>articipation amongst lower-paid workers</w:t>
      </w:r>
      <w:r w:rsidRPr="00166A7E">
        <w:t>, NCVER</w:t>
      </w:r>
      <w:r>
        <w:t>, Adelaide</w:t>
      </w:r>
      <w:r w:rsidRPr="00166A7E">
        <w:t>.</w:t>
      </w:r>
    </w:p>
    <w:p w14:paraId="01BE1A72" w14:textId="77777777" w:rsidR="00E351C5" w:rsidRPr="00FC48FE" w:rsidRDefault="00E351C5" w:rsidP="00E351C5">
      <w:pPr>
        <w:pStyle w:val="References"/>
      </w:pPr>
      <w:r>
        <w:t>Productivity Commission 2005,</w:t>
      </w:r>
      <w:r w:rsidRPr="00FC48FE">
        <w:t xml:space="preserve"> </w:t>
      </w:r>
      <w:r w:rsidRPr="00E351C5">
        <w:rPr>
          <w:i/>
        </w:rPr>
        <w:t>Australia's health workforce</w:t>
      </w:r>
      <w:r>
        <w:t>, PC, Canberra.</w:t>
      </w:r>
    </w:p>
    <w:p w14:paraId="01BE1A73" w14:textId="77777777" w:rsidR="00CF57B7" w:rsidRDefault="00CF57B7" w:rsidP="00CF57B7">
      <w:pPr>
        <w:pStyle w:val="References"/>
      </w:pPr>
      <w:proofErr w:type="spellStart"/>
      <w:r>
        <w:t>Shomos</w:t>
      </w:r>
      <w:proofErr w:type="spellEnd"/>
      <w:r>
        <w:t>, A 2010,</w:t>
      </w:r>
      <w:r w:rsidRPr="00166A7E">
        <w:t xml:space="preserve"> </w:t>
      </w:r>
      <w:r w:rsidRPr="00166A7E">
        <w:rPr>
          <w:i/>
        </w:rPr>
        <w:t>Links between literacy and numeracy skills and labour market outcomes</w:t>
      </w:r>
      <w:r w:rsidRPr="00166A7E">
        <w:t>, Product</w:t>
      </w:r>
      <w:r>
        <w:t>ivity Commission, Canberra</w:t>
      </w:r>
      <w:r w:rsidRPr="00166A7E">
        <w:t>.</w:t>
      </w:r>
    </w:p>
    <w:p w14:paraId="01BE1A74" w14:textId="77777777" w:rsidR="00CF57B7" w:rsidRDefault="00CF57B7" w:rsidP="007F3F0E">
      <w:pPr>
        <w:pStyle w:val="References"/>
      </w:pPr>
      <w:r>
        <w:t>Stephens, A 2015,</w:t>
      </w:r>
      <w:r w:rsidR="00D35E06" w:rsidRPr="007F3F0E">
        <w:t xml:space="preserve"> </w:t>
      </w:r>
      <w:r>
        <w:t>‘</w:t>
      </w:r>
      <w:r w:rsidR="00D35E06" w:rsidRPr="007F3F0E">
        <w:t xml:space="preserve">Training </w:t>
      </w:r>
      <w:r w:rsidRPr="007F3F0E">
        <w:t>for life: supporting communitie</w:t>
      </w:r>
      <w:r w:rsidR="00E351C5">
        <w:t>s to reduce the risk of suicide:</w:t>
      </w:r>
      <w:r w:rsidRPr="007F3F0E">
        <w:t xml:space="preserve"> the delivery </w:t>
      </w:r>
      <w:r w:rsidR="00D35E06" w:rsidRPr="007F3F0E">
        <w:t>of Certificate IV in Indigenous Men</w:t>
      </w:r>
      <w:r>
        <w:t>tal Health (Suicide Prevention)’,</w:t>
      </w:r>
      <w:r w:rsidR="00D35E06" w:rsidRPr="007F3F0E">
        <w:t xml:space="preserve"> </w:t>
      </w:r>
      <w:proofErr w:type="spellStart"/>
      <w:r w:rsidR="00D35E06" w:rsidRPr="007F3F0E">
        <w:t>Wontulp</w:t>
      </w:r>
      <w:proofErr w:type="spellEnd"/>
      <w:r w:rsidR="00D35E06" w:rsidRPr="007F3F0E">
        <w:t xml:space="preserve"> Bi-</w:t>
      </w:r>
      <w:proofErr w:type="spellStart"/>
      <w:r w:rsidR="00D35E06" w:rsidRPr="007F3F0E">
        <w:t>Buya</w:t>
      </w:r>
      <w:proofErr w:type="spellEnd"/>
      <w:r w:rsidR="00D35E06" w:rsidRPr="007F3F0E">
        <w:t xml:space="preserve"> College, </w:t>
      </w:r>
      <w:r>
        <w:t>Cairns</w:t>
      </w:r>
      <w:r w:rsidR="00D35E06" w:rsidRPr="007F3F0E">
        <w:t xml:space="preserve">. </w:t>
      </w:r>
    </w:p>
    <w:p w14:paraId="01BE1A75" w14:textId="77777777" w:rsidR="00D35E06" w:rsidRPr="007F3F0E" w:rsidRDefault="00CF57B7" w:rsidP="007F3F0E">
      <w:pPr>
        <w:pStyle w:val="References"/>
      </w:pPr>
      <w:r>
        <w:t xml:space="preserve">Stephens, A, Baird, L &amp; </w:t>
      </w:r>
      <w:proofErr w:type="spellStart"/>
      <w:r>
        <w:t>Tsey</w:t>
      </w:r>
      <w:proofErr w:type="spellEnd"/>
      <w:r>
        <w:t>, K 2012,</w:t>
      </w:r>
      <w:r w:rsidR="00D35E06" w:rsidRPr="007F3F0E">
        <w:t xml:space="preserve"> </w:t>
      </w:r>
      <w:r w:rsidR="0013395E">
        <w:t>‘</w:t>
      </w:r>
      <w:r w:rsidR="00D35E06" w:rsidRPr="007F3F0E">
        <w:t>Australian Indigenous community development: making the link between community development training and</w:t>
      </w:r>
      <w:r w:rsidR="0013395E">
        <w:t xml:space="preserve"> community development practice’,</w:t>
      </w:r>
      <w:r w:rsidR="00D35E06" w:rsidRPr="007F3F0E">
        <w:t xml:space="preserve"> Community Development, </w:t>
      </w:r>
      <w:r w:rsidR="0013395E">
        <w:t>vol.44, no.3, pp.277—</w:t>
      </w:r>
      <w:r w:rsidR="00D35E06" w:rsidRPr="007F3F0E">
        <w:t xml:space="preserve">91. </w:t>
      </w:r>
    </w:p>
    <w:p w14:paraId="01BE1A76" w14:textId="77777777" w:rsidR="00D35E06" w:rsidRPr="007F3F0E" w:rsidRDefault="0013395E" w:rsidP="007F3F0E">
      <w:pPr>
        <w:pStyle w:val="References"/>
      </w:pPr>
      <w:proofErr w:type="spellStart"/>
      <w:r>
        <w:t>Zoellner</w:t>
      </w:r>
      <w:proofErr w:type="spellEnd"/>
      <w:r>
        <w:t xml:space="preserve">, D, Stephens, A, Joseph, V &amp; </w:t>
      </w:r>
      <w:proofErr w:type="spellStart"/>
      <w:r>
        <w:t>Monro</w:t>
      </w:r>
      <w:proofErr w:type="spellEnd"/>
      <w:r>
        <w:t>, D 2016, ‘Mission-d</w:t>
      </w:r>
      <w:r w:rsidR="00D35E06" w:rsidRPr="007F3F0E">
        <w:t xml:space="preserve">riven </w:t>
      </w:r>
      <w:r w:rsidRPr="007F3F0E">
        <w:t>adaptability in a changing national training system</w:t>
      </w:r>
      <w:r>
        <w:t>’,</w:t>
      </w:r>
      <w:r w:rsidR="00D35E06" w:rsidRPr="007F3F0E">
        <w:t xml:space="preserve"> </w:t>
      </w:r>
      <w:r w:rsidR="00D35E06" w:rsidRPr="0013395E">
        <w:rPr>
          <w:i/>
        </w:rPr>
        <w:t>The Australian Journal of Indigenous Education</w:t>
      </w:r>
      <w:r w:rsidR="00D35E06" w:rsidRPr="007F3F0E">
        <w:t xml:space="preserve">, </w:t>
      </w:r>
      <w:r>
        <w:t>pp.1—</w:t>
      </w:r>
      <w:r w:rsidR="00D35E06" w:rsidRPr="007F3F0E">
        <w:t xml:space="preserve">10. </w:t>
      </w:r>
    </w:p>
    <w:p w14:paraId="01BE1A77" w14:textId="77777777" w:rsidR="00217B4E" w:rsidRPr="00166A7E" w:rsidRDefault="00217B4E" w:rsidP="0073414E">
      <w:pPr>
        <w:pStyle w:val="References"/>
      </w:pPr>
    </w:p>
    <w:p w14:paraId="01BE1A78" w14:textId="77777777" w:rsidR="00D35E06" w:rsidRDefault="00D35E06" w:rsidP="00D35E06">
      <w:pPr>
        <w:pStyle w:val="References"/>
        <w:rPr>
          <w:rFonts w:cs="Arial"/>
          <w:sz w:val="22"/>
          <w:szCs w:val="22"/>
        </w:rPr>
      </w:pPr>
    </w:p>
    <w:p w14:paraId="01BE1A79" w14:textId="77777777" w:rsidR="00D35E06" w:rsidRPr="00D35E06" w:rsidRDefault="00D35E06" w:rsidP="00D35E06">
      <w:pPr>
        <w:pStyle w:val="Text"/>
      </w:pPr>
    </w:p>
    <w:sectPr w:rsidR="00D35E06" w:rsidRPr="00D35E06" w:rsidSect="009775C7">
      <w:pgSz w:w="11907" w:h="16840" w:code="9"/>
      <w:pgMar w:top="1276" w:right="1701" w:bottom="1276" w:left="1418" w:header="709" w:footer="556" w:gutter="0"/>
      <w:cols w:space="708" w:equalWidth="0">
        <w:col w:w="8788"/>
      </w:cols>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BE1A7F" w15:done="0"/>
  <w15:commentEx w15:paraId="01BE1A80" w15:done="0"/>
  <w15:commentEx w15:paraId="179B15FD" w15:paraIdParent="01BE1A80" w15:done="0"/>
  <w15:commentEx w15:paraId="01BE1A81" w15:done="0"/>
  <w15:commentEx w15:paraId="3CAFF58B" w15:paraIdParent="01BE1A81" w15:done="0"/>
  <w15:commentEx w15:paraId="60691B94" w15:done="0"/>
  <w15:commentEx w15:paraId="4EF9DC6C" w15:paraIdParent="60691B94" w15:done="0"/>
  <w15:commentEx w15:paraId="01BE1A83" w15:done="0"/>
  <w15:commentEx w15:paraId="311E01F3" w15:paraIdParent="01BE1A83" w15:done="0"/>
  <w15:commentEx w15:paraId="01BE1A84" w15:done="0"/>
  <w15:commentEx w15:paraId="74502B35" w15:paraIdParent="01BE1A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E1A87" w14:textId="77777777" w:rsidR="00E1636A" w:rsidRDefault="00E1636A">
      <w:r>
        <w:separator/>
      </w:r>
    </w:p>
  </w:endnote>
  <w:endnote w:type="continuationSeparator" w:id="0">
    <w:p w14:paraId="01BE1A88" w14:textId="77777777" w:rsidR="00E1636A" w:rsidRDefault="00E1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1A89" w14:textId="1EAF5D22" w:rsidR="00E1636A" w:rsidRDefault="00E1636A">
    <w:pPr>
      <w:pStyle w:val="Footer"/>
    </w:pPr>
    <w:r>
      <w:rPr>
        <w:noProof/>
        <w:lang w:eastAsia="en-AU"/>
      </w:rPr>
      <mc:AlternateContent>
        <mc:Choice Requires="wps">
          <w:drawing>
            <wp:anchor distT="0" distB="0" distL="114300" distR="114300" simplePos="0" relativeHeight="251664384" behindDoc="0" locked="0" layoutInCell="1" allowOverlap="1" wp14:anchorId="01BE1A8C" wp14:editId="6E0DB395">
              <wp:simplePos x="0" y="0"/>
              <wp:positionH relativeFrom="column">
                <wp:posOffset>-264160</wp:posOffset>
              </wp:positionH>
              <wp:positionV relativeFrom="paragraph">
                <wp:posOffset>-10161270</wp:posOffset>
              </wp:positionV>
              <wp:extent cx="1104900" cy="10769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E1AA6" w14:textId="77777777" w:rsidR="00E1636A" w:rsidRPr="00A9334E" w:rsidRDefault="00E1636A"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01BE1AA7" w14:textId="77777777" w:rsidR="00E1636A" w:rsidRDefault="00E1636A"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" filled="f" stroked="f">
              <v:textbox style="layout-flow:vertical;mso-layout-flow-alt:bottom-to-top">
                <w:txbxContent>
                  <w:p w14:paraId="01BE1AA6" w14:textId="77777777" w:rsidR="00E1636A" w:rsidRPr="00A9334E" w:rsidRDefault="00E1636A"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01BE1AA7" w14:textId="77777777" w:rsidR="00E1636A" w:rsidRDefault="00E1636A" w:rsidP="00940830"/>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1A8A" w14:textId="19F2A23A" w:rsidR="00E1636A" w:rsidRPr="008C0A74" w:rsidRDefault="00E1636A" w:rsidP="00991FDC">
    <w:pPr>
      <w:pStyle w:val="Footer"/>
      <w:tabs>
        <w:tab w:val="clear" w:pos="8505"/>
        <w:tab w:val="right" w:pos="9498"/>
      </w:tabs>
      <w:ind w:left="-851"/>
      <w:rPr>
        <w:b/>
      </w:rPr>
    </w:pPr>
    <w:r w:rsidRPr="00991FDC">
      <w:rPr>
        <w:b/>
        <w:color w:val="000000" w:themeColor="text1"/>
      </w:rPr>
      <w:fldChar w:fldCharType="begin"/>
    </w:r>
    <w:r w:rsidRPr="00991FDC">
      <w:rPr>
        <w:b/>
        <w:color w:val="000000" w:themeColor="text1"/>
      </w:rPr>
      <w:instrText xml:space="preserve"> PAGE </w:instrText>
    </w:r>
    <w:r w:rsidRPr="00991FDC">
      <w:rPr>
        <w:b/>
        <w:color w:val="000000" w:themeColor="text1"/>
      </w:rPr>
      <w:fldChar w:fldCharType="separate"/>
    </w:r>
    <w:r w:rsidR="00122B7A">
      <w:rPr>
        <w:b/>
        <w:noProof/>
        <w:color w:val="000000" w:themeColor="text1"/>
      </w:rPr>
      <w:t>42</w:t>
    </w:r>
    <w:r w:rsidRPr="00991FDC">
      <w:rPr>
        <w:b/>
        <w:color w:val="000000" w:themeColor="text1"/>
      </w:rPr>
      <w:fldChar w:fldCharType="end"/>
    </w:r>
    <w:r w:rsidRPr="008C0A74">
      <w:rPr>
        <w:b/>
        <w:color w:val="FFFFFF" w:themeColor="background1"/>
      </w:rPr>
      <w:tab/>
    </w:r>
    <w:r w:rsidRPr="00991FDC">
      <w:rPr>
        <w:b/>
      </w:rPr>
      <w:t>Case studies of training advantage for remote Aboriginal and Torres Strait Island learners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1A8B" w14:textId="6FE79392" w:rsidR="00E1636A" w:rsidRPr="00991FDC" w:rsidRDefault="00E1636A" w:rsidP="00991FDC">
    <w:pPr>
      <w:pStyle w:val="Footer"/>
      <w:tabs>
        <w:tab w:val="clear" w:pos="8505"/>
        <w:tab w:val="right" w:pos="8789"/>
      </w:tabs>
      <w:ind w:left="-567"/>
      <w:rPr>
        <w:color w:val="000000" w:themeColor="text1"/>
      </w:rPr>
    </w:pPr>
    <w:r>
      <w:rPr>
        <w:b/>
        <w:color w:val="000000" w:themeColor="text1"/>
      </w:rPr>
      <w:t>NCVER</w:t>
    </w:r>
    <w:r>
      <w:rPr>
        <w:b/>
        <w:color w:val="000000" w:themeColor="text1"/>
      </w:rPr>
      <w:tab/>
    </w:r>
    <w:r w:rsidRPr="00991FDC">
      <w:rPr>
        <w:color w:val="000000" w:themeColor="text1"/>
      </w:rPr>
      <w:tab/>
    </w:r>
    <w:r w:rsidRPr="00991FDC">
      <w:rPr>
        <w:rStyle w:val="PageNumber"/>
        <w:rFonts w:cs="Tahoma"/>
        <w:b/>
        <w:color w:val="000000" w:themeColor="text1"/>
        <w:sz w:val="17"/>
      </w:rPr>
      <w:fldChar w:fldCharType="begin"/>
    </w:r>
    <w:r w:rsidRPr="00991FDC">
      <w:rPr>
        <w:rStyle w:val="PageNumber"/>
        <w:rFonts w:cs="Tahoma"/>
        <w:b/>
        <w:color w:val="000000" w:themeColor="text1"/>
        <w:sz w:val="17"/>
      </w:rPr>
      <w:instrText xml:space="preserve"> PAGE </w:instrText>
    </w:r>
    <w:r w:rsidRPr="00991FDC">
      <w:rPr>
        <w:rStyle w:val="PageNumber"/>
        <w:rFonts w:cs="Tahoma"/>
        <w:b/>
        <w:color w:val="000000" w:themeColor="text1"/>
        <w:sz w:val="17"/>
      </w:rPr>
      <w:fldChar w:fldCharType="separate"/>
    </w:r>
    <w:r w:rsidR="00122B7A">
      <w:rPr>
        <w:rStyle w:val="PageNumber"/>
        <w:rFonts w:cs="Tahoma"/>
        <w:b/>
        <w:noProof/>
        <w:color w:val="000000" w:themeColor="text1"/>
        <w:sz w:val="17"/>
      </w:rPr>
      <w:t>43</w:t>
    </w:r>
    <w:r w:rsidRPr="00991FDC">
      <w:rPr>
        <w:rStyle w:val="PageNumber"/>
        <w:rFonts w:cs="Tahoma"/>
        <w:b/>
        <w:color w:val="000000" w:themeColor="text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E1A85" w14:textId="77777777" w:rsidR="00E1636A" w:rsidRDefault="00E1636A">
      <w:r>
        <w:separator/>
      </w:r>
    </w:p>
  </w:footnote>
  <w:footnote w:type="continuationSeparator" w:id="0">
    <w:p w14:paraId="01BE1A86" w14:textId="77777777" w:rsidR="00E1636A" w:rsidRDefault="00E1636A">
      <w:r>
        <w:continuationSeparator/>
      </w:r>
    </w:p>
  </w:footnote>
  <w:footnote w:id="1">
    <w:p w14:paraId="01BE1A8F" w14:textId="1FEC3C3E" w:rsidR="00E1636A" w:rsidRDefault="00E1636A" w:rsidP="00DB6F74">
      <w:pPr>
        <w:pStyle w:val="FootnoteText"/>
      </w:pPr>
      <w:r w:rsidRPr="00A961ED">
        <w:rPr>
          <w:rStyle w:val="FootnoteReference"/>
          <w:vertAlign w:val="baseline"/>
        </w:rPr>
        <w:footnoteRef/>
      </w:r>
      <w:r w:rsidRPr="00A961ED">
        <w:t xml:space="preserve"> </w:t>
      </w:r>
      <w:r w:rsidRPr="00A961ED">
        <w:tab/>
      </w:r>
      <w:r>
        <w:t xml:space="preserve">We refer to ‘two-way’ learning in the sense that the education providers and the rangers are both learning. That is, learning goes two ways and it is a reciprocal relationship. We also use the term ‘both-ways’, where we recognise that the rangers need to learn Aboriginal cultural knowledge and Western scientific knowledge. </w:t>
      </w:r>
    </w:p>
  </w:footnote>
  <w:footnote w:id="2">
    <w:p w14:paraId="01BE1A90" w14:textId="44CFC9D9" w:rsidR="00E1636A" w:rsidRDefault="00E1636A" w:rsidP="00DB6F74">
      <w:pPr>
        <w:pStyle w:val="FootnoteText"/>
      </w:pPr>
      <w:r w:rsidRPr="00A961ED">
        <w:rPr>
          <w:rStyle w:val="FootnoteReference"/>
          <w:vertAlign w:val="baseline"/>
        </w:rPr>
        <w:footnoteRef/>
      </w:r>
      <w:r w:rsidRPr="00A961ED">
        <w:t xml:space="preserve"> </w:t>
      </w:r>
      <w:r w:rsidRPr="00A961ED">
        <w:tab/>
      </w:r>
      <w:r>
        <w:t xml:space="preserve">Country is written with capital C when referring to an Aboriginal meaning of country, to convey depth of respect. </w:t>
      </w:r>
    </w:p>
  </w:footnote>
  <w:footnote w:id="3">
    <w:p w14:paraId="01BE1A91" w14:textId="37609224" w:rsidR="00E1636A" w:rsidRDefault="00E1636A" w:rsidP="00DB6F74">
      <w:pPr>
        <w:pStyle w:val="FootnoteText"/>
      </w:pPr>
      <w:r w:rsidRPr="00A961ED">
        <w:rPr>
          <w:rStyle w:val="FootnoteReference"/>
          <w:vertAlign w:val="baseline"/>
        </w:rPr>
        <w:footnoteRef/>
      </w:r>
      <w:r>
        <w:t xml:space="preserve"> </w:t>
      </w:r>
      <w:r>
        <w:tab/>
        <w:t xml:space="preserve">Kriol is a Kimberley creole language derived over generations by Aboriginal language speakers using English in Aboriginal contexts.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A383973"/>
    <w:multiLevelType w:val="hybridMultilevel"/>
    <w:tmpl w:val="80129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0AF86B77"/>
    <w:multiLevelType w:val="hybridMultilevel"/>
    <w:tmpl w:val="B7E676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1261F5E"/>
    <w:multiLevelType w:val="hybridMultilevel"/>
    <w:tmpl w:val="8FE4BAE2"/>
    <w:lvl w:ilvl="0" w:tplc="E83492C6">
      <w:start w:val="1"/>
      <w:numFmt w:val="bullet"/>
      <w:pStyle w:val="H1"/>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2A62A70"/>
    <w:multiLevelType w:val="hybridMultilevel"/>
    <w:tmpl w:val="9E48A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59A69BE"/>
    <w:multiLevelType w:val="hybridMultilevel"/>
    <w:tmpl w:val="F4E22872"/>
    <w:lvl w:ilvl="0" w:tplc="A96AE3F0">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9">
    <w:nsid w:val="215D30A0"/>
    <w:multiLevelType w:val="hybridMultilevel"/>
    <w:tmpl w:val="D62AB8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4A45C29"/>
    <w:multiLevelType w:val="hybridMultilevel"/>
    <w:tmpl w:val="39DE4D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nsid w:val="29137221"/>
    <w:multiLevelType w:val="hybridMultilevel"/>
    <w:tmpl w:val="3FBC87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2A869C5"/>
    <w:multiLevelType w:val="hybridMultilevel"/>
    <w:tmpl w:val="DE2A6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D597687"/>
    <w:multiLevelType w:val="hybridMultilevel"/>
    <w:tmpl w:val="33024F1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F7A1FAA"/>
    <w:multiLevelType w:val="hybridMultilevel"/>
    <w:tmpl w:val="CD82785A"/>
    <w:lvl w:ilvl="0" w:tplc="0C090003">
      <w:start w:val="1"/>
      <w:numFmt w:val="bullet"/>
      <w:lvlText w:val="o"/>
      <w:lvlJc w:val="left"/>
      <w:pPr>
        <w:ind w:left="1121" w:hanging="360"/>
      </w:pPr>
      <w:rPr>
        <w:rFonts w:ascii="Courier New" w:hAnsi="Courier New" w:cs="Courier New" w:hint="default"/>
      </w:rPr>
    </w:lvl>
    <w:lvl w:ilvl="1" w:tplc="0C090003">
      <w:start w:val="1"/>
      <w:numFmt w:val="bullet"/>
      <w:lvlText w:val="o"/>
      <w:lvlJc w:val="left"/>
      <w:pPr>
        <w:ind w:left="1841" w:hanging="360"/>
      </w:pPr>
      <w:rPr>
        <w:rFonts w:ascii="Courier New" w:hAnsi="Courier New" w:cs="Courier New" w:hint="default"/>
      </w:rPr>
    </w:lvl>
    <w:lvl w:ilvl="2" w:tplc="0C090005" w:tentative="1">
      <w:start w:val="1"/>
      <w:numFmt w:val="bullet"/>
      <w:lvlText w:val=""/>
      <w:lvlJc w:val="left"/>
      <w:pPr>
        <w:ind w:left="2561" w:hanging="360"/>
      </w:pPr>
      <w:rPr>
        <w:rFonts w:ascii="Wingdings" w:hAnsi="Wingdings" w:hint="default"/>
      </w:rPr>
    </w:lvl>
    <w:lvl w:ilvl="3" w:tplc="0C090001" w:tentative="1">
      <w:start w:val="1"/>
      <w:numFmt w:val="bullet"/>
      <w:lvlText w:val=""/>
      <w:lvlJc w:val="left"/>
      <w:pPr>
        <w:ind w:left="3281" w:hanging="360"/>
      </w:pPr>
      <w:rPr>
        <w:rFonts w:ascii="Symbol" w:hAnsi="Symbol" w:hint="default"/>
      </w:rPr>
    </w:lvl>
    <w:lvl w:ilvl="4" w:tplc="0C090003" w:tentative="1">
      <w:start w:val="1"/>
      <w:numFmt w:val="bullet"/>
      <w:lvlText w:val="o"/>
      <w:lvlJc w:val="left"/>
      <w:pPr>
        <w:ind w:left="4001" w:hanging="360"/>
      </w:pPr>
      <w:rPr>
        <w:rFonts w:ascii="Courier New" w:hAnsi="Courier New" w:cs="Courier New" w:hint="default"/>
      </w:rPr>
    </w:lvl>
    <w:lvl w:ilvl="5" w:tplc="0C090005" w:tentative="1">
      <w:start w:val="1"/>
      <w:numFmt w:val="bullet"/>
      <w:lvlText w:val=""/>
      <w:lvlJc w:val="left"/>
      <w:pPr>
        <w:ind w:left="4721" w:hanging="360"/>
      </w:pPr>
      <w:rPr>
        <w:rFonts w:ascii="Wingdings" w:hAnsi="Wingdings" w:hint="default"/>
      </w:rPr>
    </w:lvl>
    <w:lvl w:ilvl="6" w:tplc="0C090001" w:tentative="1">
      <w:start w:val="1"/>
      <w:numFmt w:val="bullet"/>
      <w:lvlText w:val=""/>
      <w:lvlJc w:val="left"/>
      <w:pPr>
        <w:ind w:left="5441" w:hanging="360"/>
      </w:pPr>
      <w:rPr>
        <w:rFonts w:ascii="Symbol" w:hAnsi="Symbol" w:hint="default"/>
      </w:rPr>
    </w:lvl>
    <w:lvl w:ilvl="7" w:tplc="0C090003" w:tentative="1">
      <w:start w:val="1"/>
      <w:numFmt w:val="bullet"/>
      <w:lvlText w:val="o"/>
      <w:lvlJc w:val="left"/>
      <w:pPr>
        <w:ind w:left="6161" w:hanging="360"/>
      </w:pPr>
      <w:rPr>
        <w:rFonts w:ascii="Courier New" w:hAnsi="Courier New" w:cs="Courier New" w:hint="default"/>
      </w:rPr>
    </w:lvl>
    <w:lvl w:ilvl="8" w:tplc="0C090005" w:tentative="1">
      <w:start w:val="1"/>
      <w:numFmt w:val="bullet"/>
      <w:lvlText w:val=""/>
      <w:lvlJc w:val="left"/>
      <w:pPr>
        <w:ind w:left="6881" w:hanging="360"/>
      </w:pPr>
      <w:rPr>
        <w:rFonts w:ascii="Wingdings" w:hAnsi="Wingdings" w:hint="default"/>
      </w:rPr>
    </w:lvl>
  </w:abstractNum>
  <w:abstractNum w:abstractNumId="36">
    <w:nsid w:val="5F840BCF"/>
    <w:multiLevelType w:val="hybridMultilevel"/>
    <w:tmpl w:val="D62AB8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CA12BA3"/>
    <w:multiLevelType w:val="hybridMultilevel"/>
    <w:tmpl w:val="C0F04DD6"/>
    <w:lvl w:ilvl="0" w:tplc="0C090001">
      <w:start w:val="1"/>
      <w:numFmt w:val="bullet"/>
      <w:lvlText w:val=""/>
      <w:lvlJc w:val="left"/>
      <w:pPr>
        <w:ind w:left="761" w:hanging="360"/>
      </w:pPr>
      <w:rPr>
        <w:rFonts w:ascii="Symbol" w:hAnsi="Symbol" w:hint="default"/>
      </w:rPr>
    </w:lvl>
    <w:lvl w:ilvl="1" w:tplc="0C090003">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0">
    <w:nsid w:val="6E6568BB"/>
    <w:multiLevelType w:val="hybridMultilevel"/>
    <w:tmpl w:val="7D744170"/>
    <w:lvl w:ilvl="0" w:tplc="E8267DE4">
      <w:start w:val="1"/>
      <w:numFmt w:val="bullet"/>
      <w:pStyle w:val="Dotpoint1"/>
      <w:lvlText w:val=""/>
      <w:lvlJc w:val="left"/>
      <w:pPr>
        <w:ind w:left="2064" w:hanging="360"/>
      </w:pPr>
      <w:rPr>
        <w:rFonts w:ascii="Wingdings" w:hAnsi="Wingdings" w:hint="default"/>
      </w:rPr>
    </w:lvl>
    <w:lvl w:ilvl="1" w:tplc="4410AFD6">
      <w:start w:val="1"/>
      <w:numFmt w:val="bullet"/>
      <w:lvlText w:val="o"/>
      <w:lvlJc w:val="left"/>
      <w:pPr>
        <w:ind w:left="3144" w:hanging="360"/>
      </w:pPr>
      <w:rPr>
        <w:rFonts w:ascii="Courier New" w:hAnsi="Courier New" w:cs="Courier New" w:hint="default"/>
      </w:rPr>
    </w:lvl>
    <w:lvl w:ilvl="2" w:tplc="0C090005" w:tentative="1">
      <w:start w:val="1"/>
      <w:numFmt w:val="bullet"/>
      <w:lvlText w:val=""/>
      <w:lvlJc w:val="left"/>
      <w:pPr>
        <w:ind w:left="3864" w:hanging="360"/>
      </w:pPr>
      <w:rPr>
        <w:rFonts w:ascii="Wingdings" w:hAnsi="Wingdings" w:hint="default"/>
      </w:rPr>
    </w:lvl>
    <w:lvl w:ilvl="3" w:tplc="0C090001" w:tentative="1">
      <w:start w:val="1"/>
      <w:numFmt w:val="bullet"/>
      <w:lvlText w:val=""/>
      <w:lvlJc w:val="left"/>
      <w:pPr>
        <w:ind w:left="4584" w:hanging="360"/>
      </w:pPr>
      <w:rPr>
        <w:rFonts w:ascii="Symbol" w:hAnsi="Symbol" w:hint="default"/>
      </w:rPr>
    </w:lvl>
    <w:lvl w:ilvl="4" w:tplc="0C090003" w:tentative="1">
      <w:start w:val="1"/>
      <w:numFmt w:val="bullet"/>
      <w:lvlText w:val="o"/>
      <w:lvlJc w:val="left"/>
      <w:pPr>
        <w:ind w:left="5304" w:hanging="360"/>
      </w:pPr>
      <w:rPr>
        <w:rFonts w:ascii="Courier New" w:hAnsi="Courier New" w:cs="Courier New" w:hint="default"/>
      </w:rPr>
    </w:lvl>
    <w:lvl w:ilvl="5" w:tplc="0C090005" w:tentative="1">
      <w:start w:val="1"/>
      <w:numFmt w:val="bullet"/>
      <w:lvlText w:val=""/>
      <w:lvlJc w:val="left"/>
      <w:pPr>
        <w:ind w:left="6024" w:hanging="360"/>
      </w:pPr>
      <w:rPr>
        <w:rFonts w:ascii="Wingdings" w:hAnsi="Wingdings" w:hint="default"/>
      </w:rPr>
    </w:lvl>
    <w:lvl w:ilvl="6" w:tplc="0C090001" w:tentative="1">
      <w:start w:val="1"/>
      <w:numFmt w:val="bullet"/>
      <w:lvlText w:val=""/>
      <w:lvlJc w:val="left"/>
      <w:pPr>
        <w:ind w:left="6744" w:hanging="360"/>
      </w:pPr>
      <w:rPr>
        <w:rFonts w:ascii="Symbol" w:hAnsi="Symbol" w:hint="default"/>
      </w:rPr>
    </w:lvl>
    <w:lvl w:ilvl="7" w:tplc="0C090003" w:tentative="1">
      <w:start w:val="1"/>
      <w:numFmt w:val="bullet"/>
      <w:lvlText w:val="o"/>
      <w:lvlJc w:val="left"/>
      <w:pPr>
        <w:ind w:left="7464" w:hanging="360"/>
      </w:pPr>
      <w:rPr>
        <w:rFonts w:ascii="Courier New" w:hAnsi="Courier New" w:cs="Courier New" w:hint="default"/>
      </w:rPr>
    </w:lvl>
    <w:lvl w:ilvl="8" w:tplc="0C090005" w:tentative="1">
      <w:start w:val="1"/>
      <w:numFmt w:val="bullet"/>
      <w:lvlText w:val=""/>
      <w:lvlJc w:val="left"/>
      <w:pPr>
        <w:ind w:left="8184" w:hanging="360"/>
      </w:pPr>
      <w:rPr>
        <w:rFonts w:ascii="Wingdings" w:hAnsi="Wingdings" w:hint="default"/>
      </w:rPr>
    </w:lvl>
  </w:abstractNum>
  <w:num w:numId="1">
    <w:abstractNumId w:val="11"/>
  </w:num>
  <w:num w:numId="2">
    <w:abstractNumId w:val="18"/>
  </w:num>
  <w:num w:numId="3">
    <w:abstractNumId w:val="10"/>
  </w:num>
  <w:num w:numId="4">
    <w:abstractNumId w:val="27"/>
  </w:num>
  <w:num w:numId="5">
    <w:abstractNumId w:val="12"/>
  </w:num>
  <w:num w:numId="6">
    <w:abstractNumId w:val="31"/>
  </w:num>
  <w:num w:numId="7">
    <w:abstractNumId w:val="34"/>
  </w:num>
  <w:num w:numId="8">
    <w:abstractNumId w:val="32"/>
  </w:num>
  <w:num w:numId="9">
    <w:abstractNumId w:val="38"/>
  </w:num>
  <w:num w:numId="10">
    <w:abstractNumId w:val="28"/>
  </w:num>
  <w:num w:numId="11">
    <w:abstractNumId w:val="24"/>
  </w:num>
  <w:num w:numId="12">
    <w:abstractNumId w:val="29"/>
  </w:num>
  <w:num w:numId="13">
    <w:abstractNumId w:val="30"/>
  </w:num>
  <w:num w:numId="14">
    <w:abstractNumId w:val="21"/>
  </w:num>
  <w:num w:numId="15">
    <w:abstractNumId w:val="25"/>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8"/>
  </w:num>
  <w:num w:numId="24">
    <w:abstractNumId w:val="11"/>
  </w:num>
  <w:num w:numId="25">
    <w:abstractNumId w:val="18"/>
  </w:num>
  <w:num w:numId="26">
    <w:abstractNumId w:val="40"/>
  </w:num>
  <w:num w:numId="27">
    <w:abstractNumId w:val="37"/>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36"/>
  </w:num>
  <w:num w:numId="35">
    <w:abstractNumId w:val="14"/>
  </w:num>
  <w:num w:numId="36">
    <w:abstractNumId w:val="26"/>
  </w:num>
  <w:num w:numId="37">
    <w:abstractNumId w:val="13"/>
  </w:num>
  <w:num w:numId="38">
    <w:abstractNumId w:val="13"/>
  </w:num>
  <w:num w:numId="39">
    <w:abstractNumId w:val="16"/>
  </w:num>
  <w:num w:numId="40">
    <w:abstractNumId w:val="15"/>
  </w:num>
  <w:num w:numId="41">
    <w:abstractNumId w:val="20"/>
  </w:num>
  <w:num w:numId="42">
    <w:abstractNumId w:val="19"/>
  </w:num>
  <w:num w:numId="43">
    <w:abstractNumId w:val="17"/>
  </w:num>
  <w:num w:numId="44">
    <w:abstractNumId w:val="39"/>
  </w:num>
  <w:num w:numId="45">
    <w:abstractNumId w:val="35"/>
  </w:num>
  <w:num w:numId="46">
    <w:abstractNumId w:val="33"/>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Guenther">
    <w15:presenceInfo w15:providerId="Windows Live" w15:userId="d42fd3a27c7854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ea225awwf0r6er22m5s0fc5tztfaxdaea9&quot;&gt;references&lt;record-ids&gt;&lt;item&gt;1776&lt;/item&gt;&lt;item&gt;3292&lt;/item&gt;&lt;item&gt;4358&lt;/item&gt;&lt;item&gt;4359&lt;/item&gt;&lt;/record-ids&gt;&lt;/item&gt;&lt;/Libraries&gt;"/>
  </w:docVars>
  <w:rsids>
    <w:rsidRoot w:val="00405E3C"/>
    <w:rsid w:val="000108B2"/>
    <w:rsid w:val="00013265"/>
    <w:rsid w:val="00022290"/>
    <w:rsid w:val="000315D7"/>
    <w:rsid w:val="0006125F"/>
    <w:rsid w:val="00074BD4"/>
    <w:rsid w:val="00093BC2"/>
    <w:rsid w:val="000A1E31"/>
    <w:rsid w:val="000C1642"/>
    <w:rsid w:val="000C3B4C"/>
    <w:rsid w:val="000C4549"/>
    <w:rsid w:val="000F317A"/>
    <w:rsid w:val="000F641C"/>
    <w:rsid w:val="0010761A"/>
    <w:rsid w:val="00116D1E"/>
    <w:rsid w:val="00122B7A"/>
    <w:rsid w:val="00123B5C"/>
    <w:rsid w:val="0013395E"/>
    <w:rsid w:val="00135C75"/>
    <w:rsid w:val="00137D1E"/>
    <w:rsid w:val="00144202"/>
    <w:rsid w:val="00150874"/>
    <w:rsid w:val="001509F3"/>
    <w:rsid w:val="00155839"/>
    <w:rsid w:val="00166281"/>
    <w:rsid w:val="00166A7E"/>
    <w:rsid w:val="00177827"/>
    <w:rsid w:val="0018129B"/>
    <w:rsid w:val="00184504"/>
    <w:rsid w:val="001B43CF"/>
    <w:rsid w:val="001F6A2F"/>
    <w:rsid w:val="001F7D84"/>
    <w:rsid w:val="002114D8"/>
    <w:rsid w:val="00217B4E"/>
    <w:rsid w:val="002277A9"/>
    <w:rsid w:val="00233BFA"/>
    <w:rsid w:val="00233C8D"/>
    <w:rsid w:val="002366B4"/>
    <w:rsid w:val="00284FCB"/>
    <w:rsid w:val="002E196B"/>
    <w:rsid w:val="003243AC"/>
    <w:rsid w:val="00334CE3"/>
    <w:rsid w:val="00340B4D"/>
    <w:rsid w:val="00343672"/>
    <w:rsid w:val="00352794"/>
    <w:rsid w:val="00361E46"/>
    <w:rsid w:val="00376A20"/>
    <w:rsid w:val="003B16DA"/>
    <w:rsid w:val="003B483E"/>
    <w:rsid w:val="003E67CB"/>
    <w:rsid w:val="004018C9"/>
    <w:rsid w:val="00405E3C"/>
    <w:rsid w:val="004529EB"/>
    <w:rsid w:val="00456294"/>
    <w:rsid w:val="00457C3A"/>
    <w:rsid w:val="00467918"/>
    <w:rsid w:val="0048643A"/>
    <w:rsid w:val="00490B68"/>
    <w:rsid w:val="0049453B"/>
    <w:rsid w:val="00494E7C"/>
    <w:rsid w:val="004C4063"/>
    <w:rsid w:val="004D2F84"/>
    <w:rsid w:val="004D4802"/>
    <w:rsid w:val="004E166C"/>
    <w:rsid w:val="004E7227"/>
    <w:rsid w:val="004F7C9D"/>
    <w:rsid w:val="00520315"/>
    <w:rsid w:val="0052276C"/>
    <w:rsid w:val="0053722E"/>
    <w:rsid w:val="00552451"/>
    <w:rsid w:val="00560C71"/>
    <w:rsid w:val="00560D1B"/>
    <w:rsid w:val="00570758"/>
    <w:rsid w:val="00576997"/>
    <w:rsid w:val="00581546"/>
    <w:rsid w:val="005878C6"/>
    <w:rsid w:val="0059747E"/>
    <w:rsid w:val="005C277E"/>
    <w:rsid w:val="005C5FFD"/>
    <w:rsid w:val="005C61F8"/>
    <w:rsid w:val="005C71EC"/>
    <w:rsid w:val="005E4764"/>
    <w:rsid w:val="00603F0B"/>
    <w:rsid w:val="006436A1"/>
    <w:rsid w:val="00652973"/>
    <w:rsid w:val="00656679"/>
    <w:rsid w:val="00670C05"/>
    <w:rsid w:val="0067712D"/>
    <w:rsid w:val="00696A48"/>
    <w:rsid w:val="00697A30"/>
    <w:rsid w:val="006A3125"/>
    <w:rsid w:val="006A702B"/>
    <w:rsid w:val="006C5DA9"/>
    <w:rsid w:val="007037A4"/>
    <w:rsid w:val="00703CC2"/>
    <w:rsid w:val="00731EC8"/>
    <w:rsid w:val="0073414E"/>
    <w:rsid w:val="00753427"/>
    <w:rsid w:val="00783F44"/>
    <w:rsid w:val="007A2079"/>
    <w:rsid w:val="007C3281"/>
    <w:rsid w:val="007C50A7"/>
    <w:rsid w:val="007D669B"/>
    <w:rsid w:val="007D79E4"/>
    <w:rsid w:val="007E2D8C"/>
    <w:rsid w:val="007E5041"/>
    <w:rsid w:val="007E52E6"/>
    <w:rsid w:val="007F3F0E"/>
    <w:rsid w:val="007F7784"/>
    <w:rsid w:val="00800A2B"/>
    <w:rsid w:val="00806C1C"/>
    <w:rsid w:val="00826757"/>
    <w:rsid w:val="00832CF7"/>
    <w:rsid w:val="00871991"/>
    <w:rsid w:val="00874DA5"/>
    <w:rsid w:val="008842C6"/>
    <w:rsid w:val="008923B6"/>
    <w:rsid w:val="00894271"/>
    <w:rsid w:val="00894C3D"/>
    <w:rsid w:val="008A3D48"/>
    <w:rsid w:val="008C0A74"/>
    <w:rsid w:val="008E03B1"/>
    <w:rsid w:val="008F20BA"/>
    <w:rsid w:val="009058B5"/>
    <w:rsid w:val="009069E6"/>
    <w:rsid w:val="00920B1C"/>
    <w:rsid w:val="00933317"/>
    <w:rsid w:val="00940830"/>
    <w:rsid w:val="009461ED"/>
    <w:rsid w:val="00951EB5"/>
    <w:rsid w:val="009538E6"/>
    <w:rsid w:val="009704E4"/>
    <w:rsid w:val="00970DDB"/>
    <w:rsid w:val="00971CEF"/>
    <w:rsid w:val="00973EFB"/>
    <w:rsid w:val="009775C7"/>
    <w:rsid w:val="00991FDC"/>
    <w:rsid w:val="009C22BE"/>
    <w:rsid w:val="009D0DA5"/>
    <w:rsid w:val="009E17EF"/>
    <w:rsid w:val="009E231A"/>
    <w:rsid w:val="009E2F64"/>
    <w:rsid w:val="00A10A6B"/>
    <w:rsid w:val="00A10E2B"/>
    <w:rsid w:val="00A30084"/>
    <w:rsid w:val="00A50895"/>
    <w:rsid w:val="00A566CC"/>
    <w:rsid w:val="00A65C7A"/>
    <w:rsid w:val="00A66B40"/>
    <w:rsid w:val="00A73318"/>
    <w:rsid w:val="00A9334E"/>
    <w:rsid w:val="00A93867"/>
    <w:rsid w:val="00A961ED"/>
    <w:rsid w:val="00AA44D4"/>
    <w:rsid w:val="00AB7E26"/>
    <w:rsid w:val="00AF1005"/>
    <w:rsid w:val="00B05F5C"/>
    <w:rsid w:val="00B2067C"/>
    <w:rsid w:val="00B40F74"/>
    <w:rsid w:val="00B41272"/>
    <w:rsid w:val="00B426FE"/>
    <w:rsid w:val="00B50757"/>
    <w:rsid w:val="00B57CC9"/>
    <w:rsid w:val="00B77043"/>
    <w:rsid w:val="00B86D06"/>
    <w:rsid w:val="00BB113D"/>
    <w:rsid w:val="00BC265D"/>
    <w:rsid w:val="00BC770A"/>
    <w:rsid w:val="00BC7C47"/>
    <w:rsid w:val="00BD00B7"/>
    <w:rsid w:val="00BE0DB4"/>
    <w:rsid w:val="00BF690E"/>
    <w:rsid w:val="00C03A2A"/>
    <w:rsid w:val="00C053D5"/>
    <w:rsid w:val="00C54125"/>
    <w:rsid w:val="00C55D39"/>
    <w:rsid w:val="00C63294"/>
    <w:rsid w:val="00C77DC6"/>
    <w:rsid w:val="00C801DA"/>
    <w:rsid w:val="00C926F0"/>
    <w:rsid w:val="00C9656D"/>
    <w:rsid w:val="00CA4AFC"/>
    <w:rsid w:val="00CB65EE"/>
    <w:rsid w:val="00CD0BFB"/>
    <w:rsid w:val="00CD5F32"/>
    <w:rsid w:val="00CE73DC"/>
    <w:rsid w:val="00CF57B7"/>
    <w:rsid w:val="00D076F0"/>
    <w:rsid w:val="00D2080F"/>
    <w:rsid w:val="00D35E06"/>
    <w:rsid w:val="00D40BE1"/>
    <w:rsid w:val="00D42A61"/>
    <w:rsid w:val="00D43B5F"/>
    <w:rsid w:val="00D51E6C"/>
    <w:rsid w:val="00D70D98"/>
    <w:rsid w:val="00DA7379"/>
    <w:rsid w:val="00DB599C"/>
    <w:rsid w:val="00DB6791"/>
    <w:rsid w:val="00DB6F74"/>
    <w:rsid w:val="00DC5F5C"/>
    <w:rsid w:val="00E06B95"/>
    <w:rsid w:val="00E110EA"/>
    <w:rsid w:val="00E11DB3"/>
    <w:rsid w:val="00E123CB"/>
    <w:rsid w:val="00E14FA9"/>
    <w:rsid w:val="00E15573"/>
    <w:rsid w:val="00E1636A"/>
    <w:rsid w:val="00E2122A"/>
    <w:rsid w:val="00E236D0"/>
    <w:rsid w:val="00E351C5"/>
    <w:rsid w:val="00E365F8"/>
    <w:rsid w:val="00E52313"/>
    <w:rsid w:val="00E56EC1"/>
    <w:rsid w:val="00E60466"/>
    <w:rsid w:val="00E81A91"/>
    <w:rsid w:val="00E92B8B"/>
    <w:rsid w:val="00E95812"/>
    <w:rsid w:val="00E95948"/>
    <w:rsid w:val="00EB0283"/>
    <w:rsid w:val="00EB0532"/>
    <w:rsid w:val="00ED4D6D"/>
    <w:rsid w:val="00EE42D9"/>
    <w:rsid w:val="00EE67B3"/>
    <w:rsid w:val="00EF14E4"/>
    <w:rsid w:val="00F107E1"/>
    <w:rsid w:val="00F24668"/>
    <w:rsid w:val="00F33199"/>
    <w:rsid w:val="00F61739"/>
    <w:rsid w:val="00F93048"/>
    <w:rsid w:val="00FA79F7"/>
    <w:rsid w:val="00FB124B"/>
    <w:rsid w:val="00FC48FE"/>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BE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List 2" w:unhideWhenUsed="0"/>
    <w:lsdException w:name="List 3" w:unhideWhenUsed="0"/>
    <w:lsdException w:name="Title" w:semiHidden="0" w:uiPriority="10" w:unhideWhenUsed="0" w:qFormat="1"/>
    <w:lsdException w:name="Default Paragraph Font" w:uiPriority="1"/>
    <w:lsdException w:name="Body Text" w:uiPriority="0"/>
    <w:lsdException w:name="Body Text Indent" w:uiPriority="0"/>
    <w:lsdException w:name="List Continue 5" w:unhideWhenUsed="0"/>
    <w:lsdException w:name="Message Header" w:unhideWhenUsed="0"/>
    <w:lsdException w:name="Subtitle" w:uiPriority="11" w:unhideWhenUsed="0" w:qFormat="1"/>
    <w:lsdException w:name="Salutation" w:unhideWhenUsed="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link w:val="Heading1Char"/>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A961ED"/>
    <w:pPr>
      <w:keepNext/>
      <w:outlineLvl w:val="4"/>
    </w:pPr>
    <w:rPr>
      <w:rFonts w:ascii="Arial" w:hAnsi="Arial"/>
      <w:b/>
    </w:rPr>
  </w:style>
  <w:style w:type="paragraph" w:styleId="Heading6">
    <w:name w:val="heading 6"/>
    <w:basedOn w:val="Normal"/>
    <w:next w:val="Normal"/>
    <w:qFormat/>
    <w:rsid w:val="00A961ED"/>
    <w:pPr>
      <w:keepNext/>
      <w:ind w:left="2977"/>
      <w:outlineLvl w:val="5"/>
    </w:pPr>
    <w:rPr>
      <w:rFonts w:ascii="Arial" w:hAnsi="Arial"/>
      <w:sz w:val="20"/>
    </w:rPr>
  </w:style>
  <w:style w:type="paragraph" w:styleId="Heading7">
    <w:name w:val="heading 7"/>
    <w:basedOn w:val="Normal"/>
    <w:next w:val="Normal"/>
    <w:qFormat/>
    <w:rsid w:val="00A961ED"/>
    <w:pPr>
      <w:keepNext/>
      <w:jc w:val="center"/>
      <w:outlineLvl w:val="6"/>
    </w:pPr>
    <w:rPr>
      <w:rFonts w:ascii="Arial" w:hAnsi="Arial"/>
      <w:spacing w:val="20"/>
      <w:sz w:val="20"/>
    </w:rPr>
  </w:style>
  <w:style w:type="paragraph" w:styleId="Heading8">
    <w:name w:val="heading 8"/>
    <w:basedOn w:val="Normal"/>
    <w:next w:val="Normal"/>
    <w:qFormat/>
    <w:rsid w:val="00A961ED"/>
    <w:pPr>
      <w:keepNext/>
      <w:jc w:val="center"/>
      <w:outlineLvl w:val="7"/>
    </w:pPr>
    <w:rPr>
      <w:rFonts w:ascii="Arial" w:hAnsi="Arial"/>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uiPriority w:val="29"/>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53722E"/>
    <w:pPr>
      <w:spacing w:after="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Heading1Char">
    <w:name w:val="Heading 1 Char"/>
    <w:basedOn w:val="DefaultParagraphFont"/>
    <w:link w:val="Heading1"/>
    <w:rsid w:val="00DB6F74"/>
    <w:rPr>
      <w:rFonts w:ascii="Arial" w:hAnsi="Arial" w:cs="Tahoma"/>
      <w:color w:val="000000"/>
      <w:kern w:val="28"/>
      <w:sz w:val="56"/>
      <w:szCs w:val="56"/>
      <w:lang w:val="en-AU"/>
    </w:rPr>
  </w:style>
  <w:style w:type="character" w:customStyle="1" w:styleId="Heading2Char">
    <w:name w:val="Heading 2 Char"/>
    <w:basedOn w:val="DefaultParagraphFont"/>
    <w:link w:val="Heading2"/>
    <w:rsid w:val="00DB6F74"/>
    <w:rPr>
      <w:rFonts w:ascii="Arial" w:hAnsi="Arial" w:cs="Tahoma"/>
      <w:sz w:val="28"/>
      <w:lang w:val="en-AU"/>
    </w:rPr>
  </w:style>
  <w:style w:type="character" w:customStyle="1" w:styleId="QuoteChar">
    <w:name w:val="Quote Char"/>
    <w:basedOn w:val="DefaultParagraphFont"/>
    <w:link w:val="Quote"/>
    <w:uiPriority w:val="29"/>
    <w:rsid w:val="00DB6F74"/>
    <w:rPr>
      <w:rFonts w:ascii="Trebuchet MS" w:hAnsi="Trebuchet MS"/>
      <w:sz w:val="17"/>
      <w:lang w:val="en-AU"/>
    </w:rPr>
  </w:style>
  <w:style w:type="table" w:customStyle="1" w:styleId="PlainTable21">
    <w:name w:val="Plain Table 21"/>
    <w:basedOn w:val="TableNormal"/>
    <w:uiPriority w:val="99"/>
    <w:rsid w:val="00DB6F74"/>
    <w:rPr>
      <w:rFonts w:asciiTheme="minorHAnsi" w:eastAsiaTheme="minorEastAsia" w:hAnsiTheme="minorHAnsi" w:cstheme="minorBid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
    <w:name w:val="tablehead"/>
    <w:basedOn w:val="Normal"/>
    <w:uiPriority w:val="1"/>
    <w:qFormat/>
    <w:rsid w:val="00991FDC"/>
    <w:rPr>
      <w:rFonts w:ascii="Arial" w:eastAsiaTheme="minorEastAsia" w:hAnsi="Arial" w:cstheme="minorBidi"/>
      <w:b/>
      <w:color w:val="000000"/>
      <w:sz w:val="16"/>
      <w:szCs w:val="22"/>
    </w:rPr>
  </w:style>
  <w:style w:type="character" w:customStyle="1" w:styleId="FootnoteTextChar">
    <w:name w:val="Footnote Text Char"/>
    <w:basedOn w:val="DefaultParagraphFont"/>
    <w:link w:val="FootnoteText"/>
    <w:uiPriority w:val="99"/>
    <w:rsid w:val="00DB6F74"/>
    <w:rPr>
      <w:rFonts w:ascii="Trebuchet MS" w:hAnsi="Trebuchet MS"/>
      <w:sz w:val="16"/>
      <w:lang w:val="en-AU"/>
    </w:rPr>
  </w:style>
  <w:style w:type="character" w:styleId="FootnoteReference">
    <w:name w:val="footnote reference"/>
    <w:basedOn w:val="DefaultParagraphFont"/>
    <w:uiPriority w:val="99"/>
    <w:unhideWhenUsed/>
    <w:rsid w:val="00DB6F74"/>
    <w:rPr>
      <w:vertAlign w:val="superscript"/>
    </w:rPr>
  </w:style>
  <w:style w:type="paragraph" w:styleId="Caption">
    <w:name w:val="caption"/>
    <w:basedOn w:val="Normal"/>
    <w:next w:val="Normal"/>
    <w:uiPriority w:val="35"/>
    <w:unhideWhenUsed/>
    <w:qFormat/>
    <w:rsid w:val="00D35E06"/>
    <w:pPr>
      <w:spacing w:before="0" w:after="200" w:line="240" w:lineRule="auto"/>
    </w:pPr>
    <w:rPr>
      <w:rFonts w:asciiTheme="minorHAnsi" w:eastAsiaTheme="minorEastAsia" w:hAnsiTheme="minorHAnsi" w:cstheme="minorBidi"/>
      <w:b/>
      <w:bCs/>
      <w:color w:val="4F81BD" w:themeColor="accent1"/>
      <w:sz w:val="18"/>
      <w:szCs w:val="18"/>
      <w:lang w:eastAsia="en-AU"/>
    </w:rPr>
  </w:style>
  <w:style w:type="character" w:customStyle="1" w:styleId="NoSpacingChar">
    <w:name w:val="No Spacing Char"/>
    <w:basedOn w:val="DefaultParagraphFont"/>
    <w:link w:val="NoSpacing"/>
    <w:uiPriority w:val="1"/>
    <w:locked/>
    <w:rsid w:val="00D35E06"/>
    <w:rPr>
      <w:rFonts w:asciiTheme="minorHAnsi" w:eastAsiaTheme="minorEastAsia" w:hAnsiTheme="minorHAnsi" w:cstheme="minorBidi"/>
      <w:sz w:val="22"/>
      <w:szCs w:val="22"/>
      <w:lang w:val="en-AU" w:eastAsia="en-AU"/>
    </w:rPr>
  </w:style>
  <w:style w:type="paragraph" w:styleId="NoSpacing">
    <w:name w:val="No Spacing"/>
    <w:link w:val="NoSpacingChar"/>
    <w:uiPriority w:val="1"/>
    <w:qFormat/>
    <w:rsid w:val="00D35E06"/>
    <w:rPr>
      <w:rFonts w:asciiTheme="minorHAnsi" w:eastAsiaTheme="minorEastAsia" w:hAnsiTheme="minorHAnsi" w:cstheme="minorBidi"/>
      <w:sz w:val="22"/>
      <w:szCs w:val="22"/>
      <w:lang w:val="en-AU" w:eastAsia="en-AU"/>
    </w:rPr>
  </w:style>
  <w:style w:type="character" w:customStyle="1" w:styleId="EndNoteBibliographyChar">
    <w:name w:val="EndNote Bibliography Char"/>
    <w:basedOn w:val="NoSpacingChar"/>
    <w:link w:val="EndNoteBibliography"/>
    <w:locked/>
    <w:rsid w:val="00D35E06"/>
    <w:rPr>
      <w:rFonts w:ascii="Arial" w:eastAsiaTheme="minorEastAsia" w:hAnsi="Arial" w:cs="Arial"/>
      <w:noProof/>
      <w:sz w:val="24"/>
      <w:szCs w:val="22"/>
      <w:lang w:val="en-AU" w:eastAsia="en-AU"/>
    </w:rPr>
  </w:style>
  <w:style w:type="paragraph" w:customStyle="1" w:styleId="EndNoteBibliography">
    <w:name w:val="EndNote Bibliography"/>
    <w:basedOn w:val="Normal"/>
    <w:link w:val="EndNoteBibliographyChar"/>
    <w:rsid w:val="00D35E06"/>
    <w:pPr>
      <w:spacing w:line="240" w:lineRule="exact"/>
    </w:pPr>
    <w:rPr>
      <w:rFonts w:ascii="Arial" w:eastAsiaTheme="minorEastAsia" w:hAnsi="Arial" w:cs="Arial"/>
      <w:noProof/>
      <w:sz w:val="24"/>
      <w:szCs w:val="22"/>
      <w:lang w:eastAsia="en-AU"/>
    </w:rPr>
  </w:style>
  <w:style w:type="paragraph" w:customStyle="1" w:styleId="H1">
    <w:name w:val="H1"/>
    <w:basedOn w:val="Text"/>
    <w:qFormat/>
    <w:rsid w:val="004529EB"/>
    <w:pPr>
      <w:numPr>
        <w:numId w:val="40"/>
      </w:numPr>
      <w:tabs>
        <w:tab w:val="clear" w:pos="720"/>
        <w:tab w:val="num" w:pos="284"/>
      </w:tabs>
      <w:spacing w:before="120" w:after="120" w:line="240" w:lineRule="auto"/>
      <w:ind w:left="284" w:right="0" w:hanging="284"/>
    </w:pPr>
    <w:rPr>
      <w:rFonts w:ascii="Arial" w:hAnsi="Arial" w:cs="Arial"/>
      <w:b/>
      <w:i/>
      <w:sz w:val="22"/>
      <w:lang w:eastAsia="en-AU"/>
    </w:rPr>
  </w:style>
  <w:style w:type="character" w:customStyle="1" w:styleId="fn">
    <w:name w:val="fn"/>
    <w:basedOn w:val="DefaultParagraphFont"/>
    <w:rsid w:val="00552451"/>
  </w:style>
  <w:style w:type="paragraph" w:customStyle="1" w:styleId="EndNoteBibliographyTitle">
    <w:name w:val="EndNote Bibliography Title"/>
    <w:basedOn w:val="Normal"/>
    <w:link w:val="EndNoteBibliographyTitleChar"/>
    <w:rsid w:val="00552451"/>
    <w:pPr>
      <w:jc w:val="center"/>
    </w:pPr>
    <w:rPr>
      <w:rFonts w:ascii="Arial" w:hAnsi="Arial" w:cs="Arial"/>
      <w:noProof/>
      <w:sz w:val="24"/>
      <w:lang w:val="en-US"/>
    </w:rPr>
  </w:style>
  <w:style w:type="character" w:customStyle="1" w:styleId="EndNoteBibliographyTitleChar">
    <w:name w:val="EndNote Bibliography Title Char"/>
    <w:basedOn w:val="TextChar"/>
    <w:link w:val="EndNoteBibliographyTitle"/>
    <w:rsid w:val="00552451"/>
    <w:rPr>
      <w:rFonts w:ascii="Arial" w:hAnsi="Arial" w:cs="Arial"/>
      <w:noProof/>
      <w:sz w:val="24"/>
      <w:lang w:val="en-AU"/>
    </w:rPr>
  </w:style>
  <w:style w:type="character" w:styleId="CommentReference">
    <w:name w:val="annotation reference"/>
    <w:basedOn w:val="DefaultParagraphFont"/>
    <w:uiPriority w:val="99"/>
    <w:semiHidden/>
    <w:unhideWhenUsed/>
    <w:rsid w:val="0073414E"/>
    <w:rPr>
      <w:sz w:val="16"/>
      <w:szCs w:val="16"/>
    </w:rPr>
  </w:style>
  <w:style w:type="paragraph" w:styleId="CommentText">
    <w:name w:val="annotation text"/>
    <w:basedOn w:val="Normal"/>
    <w:link w:val="CommentTextChar"/>
    <w:uiPriority w:val="99"/>
    <w:semiHidden/>
    <w:unhideWhenUsed/>
    <w:rsid w:val="0073414E"/>
    <w:pPr>
      <w:spacing w:line="240" w:lineRule="auto"/>
    </w:pPr>
    <w:rPr>
      <w:sz w:val="20"/>
    </w:rPr>
  </w:style>
  <w:style w:type="character" w:customStyle="1" w:styleId="CommentTextChar">
    <w:name w:val="Comment Text Char"/>
    <w:basedOn w:val="DefaultParagraphFont"/>
    <w:link w:val="CommentText"/>
    <w:uiPriority w:val="99"/>
    <w:semiHidden/>
    <w:rsid w:val="0073414E"/>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73414E"/>
    <w:rPr>
      <w:b/>
      <w:bCs/>
    </w:rPr>
  </w:style>
  <w:style w:type="character" w:customStyle="1" w:styleId="CommentSubjectChar">
    <w:name w:val="Comment Subject Char"/>
    <w:basedOn w:val="CommentTextChar"/>
    <w:link w:val="CommentSubject"/>
    <w:uiPriority w:val="99"/>
    <w:semiHidden/>
    <w:rsid w:val="0073414E"/>
    <w:rPr>
      <w:rFonts w:ascii="Trebuchet MS" w:hAnsi="Trebuchet MS"/>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List 2" w:unhideWhenUsed="0"/>
    <w:lsdException w:name="List 3" w:unhideWhenUsed="0"/>
    <w:lsdException w:name="Title" w:semiHidden="0" w:uiPriority="10" w:unhideWhenUsed="0" w:qFormat="1"/>
    <w:lsdException w:name="Default Paragraph Font" w:uiPriority="1"/>
    <w:lsdException w:name="Body Text" w:uiPriority="0"/>
    <w:lsdException w:name="Body Text Indent" w:uiPriority="0"/>
    <w:lsdException w:name="List Continue 5" w:unhideWhenUsed="0"/>
    <w:lsdException w:name="Message Header" w:unhideWhenUsed="0"/>
    <w:lsdException w:name="Subtitle" w:uiPriority="11" w:unhideWhenUsed="0" w:qFormat="1"/>
    <w:lsdException w:name="Salutation" w:unhideWhenUsed="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link w:val="Heading1Char"/>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A961ED"/>
    <w:pPr>
      <w:keepNext/>
      <w:outlineLvl w:val="4"/>
    </w:pPr>
    <w:rPr>
      <w:rFonts w:ascii="Arial" w:hAnsi="Arial"/>
      <w:b/>
    </w:rPr>
  </w:style>
  <w:style w:type="paragraph" w:styleId="Heading6">
    <w:name w:val="heading 6"/>
    <w:basedOn w:val="Normal"/>
    <w:next w:val="Normal"/>
    <w:qFormat/>
    <w:rsid w:val="00A961ED"/>
    <w:pPr>
      <w:keepNext/>
      <w:ind w:left="2977"/>
      <w:outlineLvl w:val="5"/>
    </w:pPr>
    <w:rPr>
      <w:rFonts w:ascii="Arial" w:hAnsi="Arial"/>
      <w:sz w:val="20"/>
    </w:rPr>
  </w:style>
  <w:style w:type="paragraph" w:styleId="Heading7">
    <w:name w:val="heading 7"/>
    <w:basedOn w:val="Normal"/>
    <w:next w:val="Normal"/>
    <w:qFormat/>
    <w:rsid w:val="00A961ED"/>
    <w:pPr>
      <w:keepNext/>
      <w:jc w:val="center"/>
      <w:outlineLvl w:val="6"/>
    </w:pPr>
    <w:rPr>
      <w:rFonts w:ascii="Arial" w:hAnsi="Arial"/>
      <w:spacing w:val="20"/>
      <w:sz w:val="20"/>
    </w:rPr>
  </w:style>
  <w:style w:type="paragraph" w:styleId="Heading8">
    <w:name w:val="heading 8"/>
    <w:basedOn w:val="Normal"/>
    <w:next w:val="Normal"/>
    <w:qFormat/>
    <w:rsid w:val="00A961ED"/>
    <w:pPr>
      <w:keepNext/>
      <w:jc w:val="center"/>
      <w:outlineLvl w:val="7"/>
    </w:pPr>
    <w:rPr>
      <w:rFonts w:ascii="Arial" w:hAnsi="Arial"/>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uiPriority w:val="29"/>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uiPriority w:val="99"/>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53722E"/>
    <w:pPr>
      <w:spacing w:after="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Heading1Char">
    <w:name w:val="Heading 1 Char"/>
    <w:basedOn w:val="DefaultParagraphFont"/>
    <w:link w:val="Heading1"/>
    <w:rsid w:val="00DB6F74"/>
    <w:rPr>
      <w:rFonts w:ascii="Arial" w:hAnsi="Arial" w:cs="Tahoma"/>
      <w:color w:val="000000"/>
      <w:kern w:val="28"/>
      <w:sz w:val="56"/>
      <w:szCs w:val="56"/>
      <w:lang w:val="en-AU"/>
    </w:rPr>
  </w:style>
  <w:style w:type="character" w:customStyle="1" w:styleId="Heading2Char">
    <w:name w:val="Heading 2 Char"/>
    <w:basedOn w:val="DefaultParagraphFont"/>
    <w:link w:val="Heading2"/>
    <w:rsid w:val="00DB6F74"/>
    <w:rPr>
      <w:rFonts w:ascii="Arial" w:hAnsi="Arial" w:cs="Tahoma"/>
      <w:sz w:val="28"/>
      <w:lang w:val="en-AU"/>
    </w:rPr>
  </w:style>
  <w:style w:type="character" w:customStyle="1" w:styleId="QuoteChar">
    <w:name w:val="Quote Char"/>
    <w:basedOn w:val="DefaultParagraphFont"/>
    <w:link w:val="Quote"/>
    <w:uiPriority w:val="29"/>
    <w:rsid w:val="00DB6F74"/>
    <w:rPr>
      <w:rFonts w:ascii="Trebuchet MS" w:hAnsi="Trebuchet MS"/>
      <w:sz w:val="17"/>
      <w:lang w:val="en-AU"/>
    </w:rPr>
  </w:style>
  <w:style w:type="table" w:customStyle="1" w:styleId="PlainTable21">
    <w:name w:val="Plain Table 21"/>
    <w:basedOn w:val="TableNormal"/>
    <w:uiPriority w:val="99"/>
    <w:rsid w:val="00DB6F74"/>
    <w:rPr>
      <w:rFonts w:asciiTheme="minorHAnsi" w:eastAsiaTheme="minorEastAsia" w:hAnsiTheme="minorHAnsi" w:cstheme="minorBid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head">
    <w:name w:val="tablehead"/>
    <w:basedOn w:val="Normal"/>
    <w:uiPriority w:val="1"/>
    <w:qFormat/>
    <w:rsid w:val="00991FDC"/>
    <w:rPr>
      <w:rFonts w:ascii="Arial" w:eastAsiaTheme="minorEastAsia" w:hAnsi="Arial" w:cstheme="minorBidi"/>
      <w:b/>
      <w:color w:val="000000"/>
      <w:sz w:val="16"/>
      <w:szCs w:val="22"/>
    </w:rPr>
  </w:style>
  <w:style w:type="character" w:customStyle="1" w:styleId="FootnoteTextChar">
    <w:name w:val="Footnote Text Char"/>
    <w:basedOn w:val="DefaultParagraphFont"/>
    <w:link w:val="FootnoteText"/>
    <w:uiPriority w:val="99"/>
    <w:rsid w:val="00DB6F74"/>
    <w:rPr>
      <w:rFonts w:ascii="Trebuchet MS" w:hAnsi="Trebuchet MS"/>
      <w:sz w:val="16"/>
      <w:lang w:val="en-AU"/>
    </w:rPr>
  </w:style>
  <w:style w:type="character" w:styleId="FootnoteReference">
    <w:name w:val="footnote reference"/>
    <w:basedOn w:val="DefaultParagraphFont"/>
    <w:uiPriority w:val="99"/>
    <w:unhideWhenUsed/>
    <w:rsid w:val="00DB6F74"/>
    <w:rPr>
      <w:vertAlign w:val="superscript"/>
    </w:rPr>
  </w:style>
  <w:style w:type="paragraph" w:styleId="Caption">
    <w:name w:val="caption"/>
    <w:basedOn w:val="Normal"/>
    <w:next w:val="Normal"/>
    <w:uiPriority w:val="35"/>
    <w:unhideWhenUsed/>
    <w:qFormat/>
    <w:rsid w:val="00D35E06"/>
    <w:pPr>
      <w:spacing w:before="0" w:after="200" w:line="240" w:lineRule="auto"/>
    </w:pPr>
    <w:rPr>
      <w:rFonts w:asciiTheme="minorHAnsi" w:eastAsiaTheme="minorEastAsia" w:hAnsiTheme="minorHAnsi" w:cstheme="minorBidi"/>
      <w:b/>
      <w:bCs/>
      <w:color w:val="4F81BD" w:themeColor="accent1"/>
      <w:sz w:val="18"/>
      <w:szCs w:val="18"/>
      <w:lang w:eastAsia="en-AU"/>
    </w:rPr>
  </w:style>
  <w:style w:type="character" w:customStyle="1" w:styleId="NoSpacingChar">
    <w:name w:val="No Spacing Char"/>
    <w:basedOn w:val="DefaultParagraphFont"/>
    <w:link w:val="NoSpacing"/>
    <w:uiPriority w:val="1"/>
    <w:locked/>
    <w:rsid w:val="00D35E06"/>
    <w:rPr>
      <w:rFonts w:asciiTheme="minorHAnsi" w:eastAsiaTheme="minorEastAsia" w:hAnsiTheme="minorHAnsi" w:cstheme="minorBidi"/>
      <w:sz w:val="22"/>
      <w:szCs w:val="22"/>
      <w:lang w:val="en-AU" w:eastAsia="en-AU"/>
    </w:rPr>
  </w:style>
  <w:style w:type="paragraph" w:styleId="NoSpacing">
    <w:name w:val="No Spacing"/>
    <w:link w:val="NoSpacingChar"/>
    <w:uiPriority w:val="1"/>
    <w:qFormat/>
    <w:rsid w:val="00D35E06"/>
    <w:rPr>
      <w:rFonts w:asciiTheme="minorHAnsi" w:eastAsiaTheme="minorEastAsia" w:hAnsiTheme="minorHAnsi" w:cstheme="minorBidi"/>
      <w:sz w:val="22"/>
      <w:szCs w:val="22"/>
      <w:lang w:val="en-AU" w:eastAsia="en-AU"/>
    </w:rPr>
  </w:style>
  <w:style w:type="character" w:customStyle="1" w:styleId="EndNoteBibliographyChar">
    <w:name w:val="EndNote Bibliography Char"/>
    <w:basedOn w:val="NoSpacingChar"/>
    <w:link w:val="EndNoteBibliography"/>
    <w:locked/>
    <w:rsid w:val="00D35E06"/>
    <w:rPr>
      <w:rFonts w:ascii="Arial" w:eastAsiaTheme="minorEastAsia" w:hAnsi="Arial" w:cs="Arial"/>
      <w:noProof/>
      <w:sz w:val="24"/>
      <w:szCs w:val="22"/>
      <w:lang w:val="en-AU" w:eastAsia="en-AU"/>
    </w:rPr>
  </w:style>
  <w:style w:type="paragraph" w:customStyle="1" w:styleId="EndNoteBibliography">
    <w:name w:val="EndNote Bibliography"/>
    <w:basedOn w:val="Normal"/>
    <w:link w:val="EndNoteBibliographyChar"/>
    <w:rsid w:val="00D35E06"/>
    <w:pPr>
      <w:spacing w:line="240" w:lineRule="exact"/>
    </w:pPr>
    <w:rPr>
      <w:rFonts w:ascii="Arial" w:eastAsiaTheme="minorEastAsia" w:hAnsi="Arial" w:cs="Arial"/>
      <w:noProof/>
      <w:sz w:val="24"/>
      <w:szCs w:val="22"/>
      <w:lang w:eastAsia="en-AU"/>
    </w:rPr>
  </w:style>
  <w:style w:type="paragraph" w:customStyle="1" w:styleId="H1">
    <w:name w:val="H1"/>
    <w:basedOn w:val="Text"/>
    <w:qFormat/>
    <w:rsid w:val="004529EB"/>
    <w:pPr>
      <w:numPr>
        <w:numId w:val="40"/>
      </w:numPr>
      <w:tabs>
        <w:tab w:val="clear" w:pos="720"/>
        <w:tab w:val="num" w:pos="284"/>
      </w:tabs>
      <w:spacing w:before="120" w:after="120" w:line="240" w:lineRule="auto"/>
      <w:ind w:left="284" w:right="0" w:hanging="284"/>
    </w:pPr>
    <w:rPr>
      <w:rFonts w:ascii="Arial" w:hAnsi="Arial" w:cs="Arial"/>
      <w:b/>
      <w:i/>
      <w:sz w:val="22"/>
      <w:lang w:eastAsia="en-AU"/>
    </w:rPr>
  </w:style>
  <w:style w:type="character" w:customStyle="1" w:styleId="fn">
    <w:name w:val="fn"/>
    <w:basedOn w:val="DefaultParagraphFont"/>
    <w:rsid w:val="00552451"/>
  </w:style>
  <w:style w:type="paragraph" w:customStyle="1" w:styleId="EndNoteBibliographyTitle">
    <w:name w:val="EndNote Bibliography Title"/>
    <w:basedOn w:val="Normal"/>
    <w:link w:val="EndNoteBibliographyTitleChar"/>
    <w:rsid w:val="00552451"/>
    <w:pPr>
      <w:jc w:val="center"/>
    </w:pPr>
    <w:rPr>
      <w:rFonts w:ascii="Arial" w:hAnsi="Arial" w:cs="Arial"/>
      <w:noProof/>
      <w:sz w:val="24"/>
      <w:lang w:val="en-US"/>
    </w:rPr>
  </w:style>
  <w:style w:type="character" w:customStyle="1" w:styleId="EndNoteBibliographyTitleChar">
    <w:name w:val="EndNote Bibliography Title Char"/>
    <w:basedOn w:val="TextChar"/>
    <w:link w:val="EndNoteBibliographyTitle"/>
    <w:rsid w:val="00552451"/>
    <w:rPr>
      <w:rFonts w:ascii="Arial" w:hAnsi="Arial" w:cs="Arial"/>
      <w:noProof/>
      <w:sz w:val="24"/>
      <w:lang w:val="en-AU"/>
    </w:rPr>
  </w:style>
  <w:style w:type="character" w:styleId="CommentReference">
    <w:name w:val="annotation reference"/>
    <w:basedOn w:val="DefaultParagraphFont"/>
    <w:uiPriority w:val="99"/>
    <w:semiHidden/>
    <w:unhideWhenUsed/>
    <w:rsid w:val="0073414E"/>
    <w:rPr>
      <w:sz w:val="16"/>
      <w:szCs w:val="16"/>
    </w:rPr>
  </w:style>
  <w:style w:type="paragraph" w:styleId="CommentText">
    <w:name w:val="annotation text"/>
    <w:basedOn w:val="Normal"/>
    <w:link w:val="CommentTextChar"/>
    <w:uiPriority w:val="99"/>
    <w:semiHidden/>
    <w:unhideWhenUsed/>
    <w:rsid w:val="0073414E"/>
    <w:pPr>
      <w:spacing w:line="240" w:lineRule="auto"/>
    </w:pPr>
    <w:rPr>
      <w:sz w:val="20"/>
    </w:rPr>
  </w:style>
  <w:style w:type="character" w:customStyle="1" w:styleId="CommentTextChar">
    <w:name w:val="Comment Text Char"/>
    <w:basedOn w:val="DefaultParagraphFont"/>
    <w:link w:val="CommentText"/>
    <w:uiPriority w:val="99"/>
    <w:semiHidden/>
    <w:rsid w:val="0073414E"/>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73414E"/>
    <w:rPr>
      <w:b/>
      <w:bCs/>
    </w:rPr>
  </w:style>
  <w:style w:type="character" w:customStyle="1" w:styleId="CommentSubjectChar">
    <w:name w:val="Comment Subject Char"/>
    <w:basedOn w:val="CommentTextChar"/>
    <w:link w:val="CommentSubject"/>
    <w:uiPriority w:val="99"/>
    <w:semiHidden/>
    <w:rsid w:val="0073414E"/>
    <w:rPr>
      <w:rFonts w:ascii="Trebuchet MS" w:hAnsi="Trebuchet MS"/>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63962">
      <w:bodyDiv w:val="1"/>
      <w:marLeft w:val="0"/>
      <w:marRight w:val="0"/>
      <w:marTop w:val="0"/>
      <w:marBottom w:val="0"/>
      <w:divBdr>
        <w:top w:val="none" w:sz="0" w:space="0" w:color="auto"/>
        <w:left w:val="none" w:sz="0" w:space="0" w:color="auto"/>
        <w:bottom w:val="none" w:sz="0" w:space="0" w:color="auto"/>
        <w:right w:val="none" w:sz="0" w:space="0" w:color="auto"/>
      </w:divBdr>
    </w:div>
    <w:div w:id="133191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cver@ncver.edu.au" TargetMode="External"/><Relationship Id="rId18" Type="http://schemas.openxmlformats.org/officeDocument/2006/relationships/hyperlink" Target="mailto:ncver@ncver.edu.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ncver" TargetMode="External"/><Relationship Id="rId20" Type="http://schemas.openxmlformats.org/officeDocument/2006/relationships/hyperlink" Target="https://twitter.com/ncver"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ver.edu.au" TargetMode="External"/><Relationship Id="rId24" Type="http://schemas.openxmlformats.org/officeDocument/2006/relationships/hyperlink" Target="https://www.ncver.edu.au/__data/assets/pdf_file/0031/59584/Total-VET-students-and-courses-2015.pdf"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3.xml"/><Relationship Id="rId28" Type="http://schemas.microsoft.com/office/2011/relationships/commentsExtended" Target="commentsExtended.xml"/><Relationship Id="rId10" Type="http://schemas.openxmlformats.org/officeDocument/2006/relationships/hyperlink" Target="http://www.ncver.edu.au" TargetMode="External"/><Relationship Id="rId19" Type="http://schemas.openxmlformats.org/officeDocument/2006/relationships/hyperlink" Target="http://www.lsay.edu.a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lsay.edu.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C9BD-DB76-456A-9495-61C831A2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43</Pages>
  <Words>18513</Words>
  <Characters>108119</Characters>
  <Application>Microsoft Office Word</Application>
  <DocSecurity>0</DocSecurity>
  <Lines>1832</Lines>
  <Paragraphs>666</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125966</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Prerna Ashok</dc:creator>
  <cp:lastModifiedBy>Elise Rivett</cp:lastModifiedBy>
  <cp:revision>5</cp:revision>
  <cp:lastPrinted>2017-03-31T23:19:00Z</cp:lastPrinted>
  <dcterms:created xsi:type="dcterms:W3CDTF">2017-04-18T06:52:00Z</dcterms:created>
  <dcterms:modified xsi:type="dcterms:W3CDTF">2017-04-19T01:01:00Z</dcterms:modified>
</cp:coreProperties>
</file>