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theme/themeOverride2.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theme/themeOverride3.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01914074"/>
    <w:bookmarkStart w:id="1" w:name="_Toc416260885"/>
    <w:bookmarkStart w:id="2" w:name="_Toc98394872"/>
    <w:p w:rsidR="00EB0AD7" w:rsidRPr="00DA7709" w:rsidRDefault="00F05268" w:rsidP="00AC6E16">
      <w:pPr>
        <w:sectPr w:rsidR="00EB0AD7" w:rsidRPr="00DA7709" w:rsidSect="005E46E9">
          <w:pgSz w:w="11907" w:h="16840" w:code="9"/>
          <w:pgMar w:top="1418" w:right="1701" w:bottom="1134" w:left="1418" w:header="709" w:footer="556" w:gutter="0"/>
          <w:cols w:space="708"/>
          <w:docGrid w:linePitch="360"/>
        </w:sectPr>
      </w:pPr>
      <w:r>
        <w:rPr>
          <w:noProof/>
          <w:lang w:eastAsia="en-AU"/>
        </w:rPr>
        <mc:AlternateContent>
          <mc:Choice Requires="wps">
            <w:drawing>
              <wp:anchor distT="0" distB="0" distL="114300" distR="114300" simplePos="0" relativeHeight="251760640" behindDoc="0" locked="0" layoutInCell="1" allowOverlap="1">
                <wp:simplePos x="0" y="0"/>
                <wp:positionH relativeFrom="column">
                  <wp:posOffset>-681355</wp:posOffset>
                </wp:positionH>
                <wp:positionV relativeFrom="paragraph">
                  <wp:posOffset>1078230</wp:posOffset>
                </wp:positionV>
                <wp:extent cx="6257925" cy="2292985"/>
                <wp:effectExtent l="0" t="0" r="0" b="12065"/>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292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3E4B" w:rsidRPr="00704F86" w:rsidRDefault="00883E4B" w:rsidP="004E3573">
                            <w:pPr>
                              <w:pStyle w:val="Titlepage"/>
                              <w:spacing w:after="0"/>
                              <w:ind w:left="0"/>
                              <w:rPr>
                                <w:b/>
                                <w:color w:val="0081C6"/>
                              </w:rPr>
                            </w:pPr>
                            <w:r>
                              <w:rPr>
                                <w:b/>
                                <w:color w:val="0081C6"/>
                              </w:rPr>
                              <w:t>Uptake and utility of VET qualifications</w:t>
                            </w:r>
                          </w:p>
                          <w:p w:rsidR="00883E4B" w:rsidRDefault="00883E4B" w:rsidP="004E3573">
                            <w:pPr>
                              <w:pStyle w:val="Titlepage"/>
                              <w:spacing w:before="120" w:after="0"/>
                              <w:ind w:left="0"/>
                              <w:rPr>
                                <w:b/>
                                <w:color w:val="595959" w:themeColor="text1" w:themeTint="A6"/>
                                <w:sz w:val="27"/>
                                <w:szCs w:val="27"/>
                              </w:rPr>
                            </w:pPr>
                          </w:p>
                          <w:p w:rsidR="00883E4B" w:rsidRPr="006475E3" w:rsidRDefault="00883E4B" w:rsidP="004E3573">
                            <w:pPr>
                              <w:pStyle w:val="Titlepage"/>
                              <w:spacing w:before="120" w:after="0"/>
                              <w:ind w:left="0"/>
                              <w:rPr>
                                <w:b/>
                                <w:color w:val="595959" w:themeColor="text1" w:themeTint="A6"/>
                                <w:sz w:val="27"/>
                                <w:szCs w:val="27"/>
                              </w:rPr>
                            </w:pPr>
                            <w:r>
                              <w:rPr>
                                <w:color w:val="595959" w:themeColor="text1" w:themeTint="A6"/>
                                <w:sz w:val="27"/>
                                <w:szCs w:val="27"/>
                              </w:rPr>
                              <w:br/>
                            </w:r>
                            <w:r>
                              <w:rPr>
                                <w:color w:val="595959" w:themeColor="text1" w:themeTint="A6"/>
                                <w:sz w:val="27"/>
                                <w:szCs w:val="27"/>
                              </w:rPr>
                              <w:br/>
                              <w:t>Patrick Korbel</w:t>
                            </w:r>
                            <w:r w:rsidRPr="00311BCB">
                              <w:rPr>
                                <w:color w:val="595959" w:themeColor="text1" w:themeTint="A6"/>
                                <w:sz w:val="27"/>
                                <w:szCs w:val="27"/>
                              </w:rPr>
                              <w:t xml:space="preserve"> </w:t>
                            </w:r>
                            <w:r>
                              <w:rPr>
                                <w:color w:val="595959" w:themeColor="text1" w:themeTint="A6"/>
                                <w:sz w:val="27"/>
                                <w:szCs w:val="27"/>
                              </w:rPr>
                              <w:br/>
                              <w:t>Josie Misko</w:t>
                            </w:r>
                            <w:r>
                              <w:rPr>
                                <w:b/>
                                <w:color w:val="595959" w:themeColor="text1" w:themeTint="A6"/>
                                <w:sz w:val="27"/>
                                <w:szCs w:val="27"/>
                              </w:rPr>
                              <w:br/>
                              <w:t>National Centre for Vocational Education Research</w:t>
                            </w:r>
                          </w:p>
                          <w:p w:rsidR="00883E4B" w:rsidRPr="006475E3" w:rsidRDefault="00883E4B" w:rsidP="006475E3">
                            <w:pPr>
                              <w:pStyle w:val="Titlepage"/>
                              <w:spacing w:before="120" w:after="0"/>
                              <w:ind w:left="0"/>
                              <w:rPr>
                                <w:b/>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3.65pt;margin-top:84.9pt;width:492.75pt;height:180.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" filled="f" stroked="f" strokeweight=".5pt">
                <v:path arrowok="t"/>
                <v:textbox inset=",,,0">
                  <w:txbxContent>
                    <w:p w:rsidR="00883E4B" w:rsidRPr="00704F86" w:rsidRDefault="00883E4B" w:rsidP="004E3573">
                      <w:pPr>
                        <w:pStyle w:val="Titlepage"/>
                        <w:spacing w:after="0"/>
                        <w:ind w:left="0"/>
                        <w:rPr>
                          <w:b/>
                          <w:color w:val="0081C6"/>
                        </w:rPr>
                      </w:pPr>
                      <w:r>
                        <w:rPr>
                          <w:b/>
                          <w:color w:val="0081C6"/>
                        </w:rPr>
                        <w:t>Uptake and utility of VET qualifications</w:t>
                      </w:r>
                    </w:p>
                    <w:p w:rsidR="00883E4B" w:rsidRDefault="00883E4B" w:rsidP="004E3573">
                      <w:pPr>
                        <w:pStyle w:val="Titlepage"/>
                        <w:spacing w:before="120" w:after="0"/>
                        <w:ind w:left="0"/>
                        <w:rPr>
                          <w:b/>
                          <w:color w:val="595959" w:themeColor="text1" w:themeTint="A6"/>
                          <w:sz w:val="27"/>
                          <w:szCs w:val="27"/>
                        </w:rPr>
                      </w:pPr>
                    </w:p>
                    <w:p w:rsidR="00883E4B" w:rsidRPr="006475E3" w:rsidRDefault="00883E4B" w:rsidP="004E3573">
                      <w:pPr>
                        <w:pStyle w:val="Titlepage"/>
                        <w:spacing w:before="120" w:after="0"/>
                        <w:ind w:left="0"/>
                        <w:rPr>
                          <w:b/>
                          <w:color w:val="595959" w:themeColor="text1" w:themeTint="A6"/>
                          <w:sz w:val="27"/>
                          <w:szCs w:val="27"/>
                        </w:rPr>
                      </w:pPr>
                      <w:r>
                        <w:rPr>
                          <w:color w:val="595959" w:themeColor="text1" w:themeTint="A6"/>
                          <w:sz w:val="27"/>
                          <w:szCs w:val="27"/>
                        </w:rPr>
                        <w:br/>
                      </w:r>
                      <w:r>
                        <w:rPr>
                          <w:color w:val="595959" w:themeColor="text1" w:themeTint="A6"/>
                          <w:sz w:val="27"/>
                          <w:szCs w:val="27"/>
                        </w:rPr>
                        <w:br/>
                        <w:t>Patrick Korbel</w:t>
                      </w:r>
                      <w:r w:rsidRPr="00311BCB">
                        <w:rPr>
                          <w:color w:val="595959" w:themeColor="text1" w:themeTint="A6"/>
                          <w:sz w:val="27"/>
                          <w:szCs w:val="27"/>
                        </w:rPr>
                        <w:t xml:space="preserve"> </w:t>
                      </w:r>
                      <w:r>
                        <w:rPr>
                          <w:color w:val="595959" w:themeColor="text1" w:themeTint="A6"/>
                          <w:sz w:val="27"/>
                          <w:szCs w:val="27"/>
                        </w:rPr>
                        <w:br/>
                        <w:t>Josie Misko</w:t>
                      </w:r>
                      <w:r>
                        <w:rPr>
                          <w:b/>
                          <w:color w:val="595959" w:themeColor="text1" w:themeTint="A6"/>
                          <w:sz w:val="27"/>
                          <w:szCs w:val="27"/>
                        </w:rPr>
                        <w:br/>
                        <w:t>National Centre for Vocational Education Research</w:t>
                      </w:r>
                    </w:p>
                    <w:p w:rsidR="00883E4B" w:rsidRPr="006475E3" w:rsidRDefault="00883E4B" w:rsidP="006475E3">
                      <w:pPr>
                        <w:pStyle w:val="Titlepage"/>
                        <w:spacing w:before="120" w:after="0"/>
                        <w:ind w:left="0"/>
                        <w:rPr>
                          <w:b/>
                          <w:color w:val="595959" w:themeColor="text1" w:themeTint="A6"/>
                          <w:sz w:val="27"/>
                          <w:szCs w:val="27"/>
                        </w:rPr>
                      </w:pPr>
                    </w:p>
                  </w:txbxContent>
                </v:textbox>
              </v:shape>
            </w:pict>
          </mc:Fallback>
        </mc:AlternateContent>
      </w:r>
      <w:r>
        <w:rPr>
          <w:noProof/>
          <w:lang w:eastAsia="en-AU"/>
        </w:rPr>
        <mc:AlternateContent>
          <mc:Choice Requires="wps">
            <w:drawing>
              <wp:anchor distT="4294967295" distB="4294967295" distL="114300" distR="114300" simplePos="0" relativeHeight="251762688" behindDoc="0" locked="0" layoutInCell="1" allowOverlap="1">
                <wp:simplePos x="0" y="0"/>
                <wp:positionH relativeFrom="column">
                  <wp:posOffset>-582295</wp:posOffset>
                </wp:positionH>
                <wp:positionV relativeFrom="paragraph">
                  <wp:posOffset>2347594</wp:posOffset>
                </wp:positionV>
                <wp:extent cx="2115820" cy="0"/>
                <wp:effectExtent l="0" t="0" r="17780" b="19050"/>
                <wp:wrapNone/>
                <wp:docPr id="3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184.85pt" to="120.7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" strokecolor="black [3213]" strokeweight="1pt">
                <o:lock v:ext="edit" shapetype="f"/>
              </v:line>
            </w:pict>
          </mc:Fallback>
        </mc:AlternateContent>
      </w:r>
      <w:r>
        <w:rPr>
          <w:noProof/>
          <w:lang w:eastAsia="en-AU"/>
        </w:rPr>
        <mc:AlternateContent>
          <mc:Choice Requires="wps">
            <w:drawing>
              <wp:anchor distT="0" distB="0" distL="114300" distR="114300" simplePos="0" relativeHeight="251756544" behindDoc="0" locked="0" layoutInCell="1" allowOverlap="1">
                <wp:simplePos x="0" y="0"/>
                <wp:positionH relativeFrom="column">
                  <wp:posOffset>4662170</wp:posOffset>
                </wp:positionH>
                <wp:positionV relativeFrom="paragraph">
                  <wp:posOffset>-538480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3E4B" w:rsidRPr="0088361A" w:rsidRDefault="00883E4B"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2.4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" filled="f" stroked="f" strokeweight=".5pt">
                <v:path arrowok="t"/>
                <v:textbox inset="1mm,0,1mm,0">
                  <w:txbxContent>
                    <w:p w:rsidR="00883E4B" w:rsidRPr="0088361A" w:rsidRDefault="00883E4B"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4E3573">
        <w:rPr>
          <w:noProof/>
          <w:lang w:eastAsia="en-AU"/>
        </w:rPr>
        <w:drawing>
          <wp:anchor distT="0" distB="0" distL="114300" distR="114300" simplePos="0" relativeHeight="251999232" behindDoc="0" locked="0" layoutInCell="1" allowOverlap="1" wp14:anchorId="0200D4EF" wp14:editId="74F5902A">
            <wp:simplePos x="0" y="0"/>
            <wp:positionH relativeFrom="column">
              <wp:posOffset>-624205</wp:posOffset>
            </wp:positionH>
            <wp:positionV relativeFrom="paragraph">
              <wp:posOffset>3538415</wp:posOffset>
            </wp:positionV>
            <wp:extent cx="7029450" cy="5686230"/>
            <wp:effectExtent l="0" t="0" r="0" b="0"/>
            <wp:wrapNone/>
            <wp:docPr id="11" name="Picture 11" descr="P:\photos\StockPhotosUsed\iStock\iStock_90660987_XX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hotos\StockPhotosUsed\iStock\iStock_90660987_XXXLARG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73" r="2453"/>
                    <a:stretch/>
                  </pic:blipFill>
                  <pic:spPr bwMode="auto">
                    <a:xfrm>
                      <a:off x="0" y="0"/>
                      <a:ext cx="7029450" cy="5686230"/>
                    </a:xfrm>
                    <a:prstGeom prst="rect">
                      <a:avLst/>
                    </a:prstGeom>
                    <a:noFill/>
                    <a:ln>
                      <a:noFill/>
                    </a:ln>
                    <a:extLst>
                      <a:ext uri="{53640926-AAD7-44D8-BBD7-CCE9431645EC}">
                        <a14:shadowObscured xmlns:a14="http://schemas.microsoft.com/office/drawing/2010/main"/>
                      </a:ext>
                    </a:extLst>
                  </pic:spPr>
                </pic:pic>
              </a:graphicData>
            </a:graphic>
          </wp:anchor>
        </w:drawing>
      </w:r>
      <w:r w:rsidR="00970694">
        <w:rPr>
          <w:noProof/>
          <w:lang w:eastAsia="en-AU"/>
        </w:rPr>
        <w:drawing>
          <wp:anchor distT="0" distB="0" distL="114300" distR="114300" simplePos="0" relativeHeight="251979776" behindDoc="1" locked="0" layoutInCell="1" allowOverlap="1" wp14:anchorId="0BA89612" wp14:editId="5D91EFDA">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6475E3">
        <w:rPr>
          <w:noProof/>
          <w:lang w:eastAsia="en-AU"/>
        </w:rPr>
        <w:drawing>
          <wp:anchor distT="0" distB="0" distL="114300" distR="114300" simplePos="0" relativeHeight="251797504" behindDoc="0" locked="0" layoutInCell="1" allowOverlap="1">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D056F3">
        <w:br w:type="page"/>
      </w:r>
      <w:bookmarkStart w:id="3" w:name="_Toc495748330"/>
      <w:bookmarkStart w:id="4" w:name="_Toc495810630"/>
      <w:bookmarkStart w:id="5" w:name="_Toc6031787"/>
      <w:bookmarkStart w:id="6" w:name="_Toc6031844"/>
      <w:bookmarkEnd w:id="2"/>
    </w:p>
    <w:p w:rsidR="004E3573" w:rsidRPr="005C2FCF" w:rsidRDefault="004E3573" w:rsidP="004E3573">
      <w:pPr>
        <w:pStyle w:val="Heading3"/>
        <w:ind w:right="-1"/>
      </w:pPr>
      <w:bookmarkStart w:id="7" w:name="_Toc98394880"/>
      <w:bookmarkStart w:id="8" w:name="_Toc296423683"/>
      <w:bookmarkStart w:id="9" w:name="_Toc296497514"/>
      <w:r w:rsidRPr="005C2FCF">
        <w:lastRenderedPageBreak/>
        <w:t>Publisher’s note</w:t>
      </w:r>
    </w:p>
    <w:p w:rsidR="004E3573" w:rsidRPr="007C667B" w:rsidRDefault="004E3573" w:rsidP="0095734E">
      <w:pPr>
        <w:pStyle w:val="Imprint"/>
      </w:pPr>
      <w:r w:rsidRPr="007C667B">
        <w:t xml:space="preserve">The views and opinions expressed in this document are those of the author/project team and do not necessarily reflect the views of the Australian Government, </w:t>
      </w:r>
      <w:r>
        <w:t xml:space="preserve">or </w:t>
      </w:r>
      <w:r w:rsidRPr="007C667B">
        <w:t xml:space="preserve">state and territory </w:t>
      </w:r>
      <w:r w:rsidRPr="00CE248F">
        <w:t>governments</w:t>
      </w:r>
      <w:r w:rsidRPr="007C667B">
        <w:t>.</w:t>
      </w:r>
      <w:r>
        <w:t xml:space="preserve"> </w:t>
      </w:r>
      <w:r w:rsidRPr="007C667B">
        <w:t>Any interpretation of data is the responsibility of the author/project team.</w:t>
      </w:r>
    </w:p>
    <w:p w:rsidR="0095734E" w:rsidRDefault="004E3573" w:rsidP="0095734E">
      <w:pPr>
        <w:pStyle w:val="Imprint"/>
        <w:rPr>
          <w:color w:val="1F497D"/>
        </w:rPr>
      </w:pPr>
      <w:r>
        <w:t xml:space="preserve">To find other material of interest, search </w:t>
      </w:r>
      <w:proofErr w:type="spellStart"/>
      <w:r>
        <w:t>VOCEDplus</w:t>
      </w:r>
      <w:proofErr w:type="spellEnd"/>
      <w:r>
        <w:t xml:space="preserve"> (the UNESCO/NCVER international database </w:t>
      </w:r>
      <w:r w:rsidRPr="00CE248F">
        <w:t>&lt;</w:t>
      </w:r>
      <w:hyperlink r:id="rId12" w:history="1">
        <w:r w:rsidRPr="00CE248F">
          <w:t>http://www.voced.edu.au</w:t>
        </w:r>
      </w:hyperlink>
      <w:r w:rsidRPr="00CE248F">
        <w:t>&gt;)</w:t>
      </w:r>
      <w:r>
        <w:t xml:space="preserve"> using the following k</w:t>
      </w:r>
      <w:r w:rsidRPr="0095734E">
        <w:rPr>
          <w:color w:val="000000" w:themeColor="text1"/>
        </w:rPr>
        <w:t xml:space="preserve">eywords: </w:t>
      </w:r>
      <w:r w:rsidR="0095734E" w:rsidRPr="0095734E">
        <w:rPr>
          <w:color w:val="000000" w:themeColor="text1"/>
        </w:rPr>
        <w:t xml:space="preserve"> education and training reform; enrolment; participation; providers of education and training; qualifications; training package; vocational education and training.</w:t>
      </w:r>
    </w:p>
    <w:p w:rsidR="0095734E" w:rsidRDefault="0095734E" w:rsidP="0095734E">
      <w:pPr>
        <w:rPr>
          <w:color w:val="1F497D"/>
        </w:rPr>
      </w:pPr>
    </w:p>
    <w:p w:rsidR="004E3573" w:rsidRDefault="004E3573" w:rsidP="004E3573">
      <w:pPr>
        <w:pStyle w:val="Imprint"/>
        <w:ind w:right="-1"/>
      </w:pPr>
    </w:p>
    <w:p w:rsidR="00C83D73" w:rsidRDefault="00122486" w:rsidP="007C667B">
      <w:r>
        <w:rPr>
          <w:noProof/>
          <w:lang w:eastAsia="en-AU"/>
        </w:rPr>
        <w:drawing>
          <wp:anchor distT="0" distB="0" distL="114300" distR="114300" simplePos="0" relativeHeight="251769856" behindDoc="0" locked="0" layoutInCell="1" allowOverlap="1" wp14:anchorId="79A5C946" wp14:editId="68276C3A">
            <wp:simplePos x="0" y="0"/>
            <wp:positionH relativeFrom="column">
              <wp:posOffset>544830</wp:posOffset>
            </wp:positionH>
            <wp:positionV relativeFrom="paragraph">
              <wp:posOffset>7209155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8832" behindDoc="0" locked="0" layoutInCell="1" allowOverlap="1" wp14:anchorId="4B6FD931" wp14:editId="1CEC0AC3">
            <wp:simplePos x="0" y="0"/>
            <wp:positionH relativeFrom="column">
              <wp:posOffset>2122805</wp:posOffset>
            </wp:positionH>
            <wp:positionV relativeFrom="paragraph">
              <wp:posOffset>7207250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765760" behindDoc="0" locked="0" layoutInCell="1" allowOverlap="1" wp14:anchorId="2665AC24" wp14:editId="258997A1">
                <wp:simplePos x="0" y="0"/>
                <wp:positionH relativeFrom="column">
                  <wp:posOffset>0</wp:posOffset>
                </wp:positionH>
                <wp:positionV relativeFrom="paragraph">
                  <wp:posOffset>1617980</wp:posOffset>
                </wp:positionV>
                <wp:extent cx="5596890" cy="5791200"/>
                <wp:effectExtent l="0" t="0" r="3810" b="0"/>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E4B" w:rsidRPr="00A021FC" w:rsidRDefault="00883E4B" w:rsidP="004E3573">
                            <w:pPr>
                              <w:pStyle w:val="Imprint"/>
                              <w:rPr>
                                <w:b/>
                              </w:rPr>
                            </w:pPr>
                            <w:r w:rsidRPr="00A021FC">
                              <w:rPr>
                                <w:b/>
                              </w:rPr>
                              <w:t xml:space="preserve">© </w:t>
                            </w:r>
                            <w:r w:rsidRPr="009158E1">
                              <w:rPr>
                                <w:b/>
                              </w:rPr>
                              <w:t>National Centre for Vocational Education Research, 2016</w:t>
                            </w:r>
                          </w:p>
                          <w:p w:rsidR="00883E4B" w:rsidRDefault="00883E4B" w:rsidP="004E3573">
                            <w:pPr>
                              <w:pStyle w:val="Imprint"/>
                              <w:rPr>
                                <w:sz w:val="20"/>
                              </w:rPr>
                            </w:pPr>
                            <w:r w:rsidRPr="00E80270">
                              <w:rPr>
                                <w:noProof/>
                                <w:sz w:val="20"/>
                                <w:lang w:eastAsia="en-AU"/>
                              </w:rPr>
                              <w:drawing>
                                <wp:inline distT="0" distB="0" distL="0" distR="0" wp14:anchorId="5754E11D" wp14:editId="6E4CFA16">
                                  <wp:extent cx="850265" cy="302895"/>
                                  <wp:effectExtent l="19050" t="0" r="6985" b="0"/>
                                  <wp:docPr id="4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5"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883E4B" w:rsidRPr="00C44A16" w:rsidRDefault="00883E4B" w:rsidP="004E3573">
                            <w:pPr>
                              <w:pStyle w:val="Imprint"/>
                              <w:rPr>
                                <w:b/>
                              </w:rPr>
                            </w:pPr>
                            <w:r w:rsidRPr="00C44A16">
                              <w:t xml:space="preserve">With the exception of cover design, artwork, photographs, all logos, and any other material where copyright is owned by a third party, all material presented in this document </w:t>
                            </w:r>
                            <w:proofErr w:type="gramStart"/>
                            <w:r w:rsidRPr="00C44A16">
                              <w:t>is</w:t>
                            </w:r>
                            <w:proofErr w:type="gramEnd"/>
                            <w:r w:rsidRPr="00C44A16">
                              <w:t xml:space="preserve"> provided under a Creative Commons Attribution 3.0 Australia &lt;http://creativecommons.org/licenses/by/3.0/au&gt;. </w:t>
                            </w:r>
                          </w:p>
                          <w:p w:rsidR="00883E4B" w:rsidRPr="00C44A16" w:rsidRDefault="00883E4B" w:rsidP="004E3573">
                            <w:pPr>
                              <w:pStyle w:val="Imprint"/>
                              <w:rPr>
                                <w:b/>
                              </w:rPr>
                            </w:pPr>
                            <w:r w:rsidRPr="00C44A16">
                              <w:t xml:space="preserve">This document should be attributed as </w:t>
                            </w:r>
                            <w:r w:rsidRPr="009158E1">
                              <w:t>Korbel</w:t>
                            </w:r>
                            <w:r>
                              <w:t>,</w:t>
                            </w:r>
                            <w:r w:rsidRPr="009158E1">
                              <w:t xml:space="preserve"> P &amp; Misko</w:t>
                            </w:r>
                            <w:r>
                              <w:t>,</w:t>
                            </w:r>
                            <w:r w:rsidRPr="009158E1">
                              <w:t xml:space="preserve"> J 2016, </w:t>
                            </w:r>
                            <w:r w:rsidRPr="009158E1">
                              <w:rPr>
                                <w:i/>
                              </w:rPr>
                              <w:t xml:space="preserve">Uptake and utility of </w:t>
                            </w:r>
                            <w:r>
                              <w:rPr>
                                <w:i/>
                              </w:rPr>
                              <w:t xml:space="preserve">VET </w:t>
                            </w:r>
                            <w:r w:rsidRPr="009158E1">
                              <w:rPr>
                                <w:i/>
                              </w:rPr>
                              <w:t>qualifications</w:t>
                            </w:r>
                            <w:r w:rsidRPr="00C44A16">
                              <w:t>, NCVER</w:t>
                            </w:r>
                            <w:r>
                              <w:t>, Adelaide</w:t>
                            </w:r>
                            <w:r w:rsidRPr="00C44A16">
                              <w:t>.</w:t>
                            </w:r>
                          </w:p>
                          <w:p w:rsidR="00883E4B" w:rsidRPr="00C44A16" w:rsidRDefault="00883E4B" w:rsidP="004E3573">
                            <w:pPr>
                              <w:pStyle w:val="Imprint"/>
                              <w:rPr>
                                <w:b/>
                              </w:rPr>
                            </w:pPr>
                            <w:r w:rsidRPr="00C44A16">
                              <w:t>NCVER is an independent body responsible for collecting, managing and analysing, evaluating and communicating research and statistics about vocational education and training (VET).</w:t>
                            </w:r>
                          </w:p>
                          <w:p w:rsidR="00883E4B" w:rsidRDefault="00883E4B" w:rsidP="004E3573">
                            <w:pPr>
                              <w:pStyle w:val="Imprint"/>
                            </w:pPr>
                            <w:r w:rsidRPr="00C44A16">
                              <w:t>NCVER’s in</w:t>
                            </w:r>
                            <w:r>
                              <w:t>-</w:t>
                            </w:r>
                            <w:r w:rsidRPr="00C44A16">
                              <w:t>house research and evaluation program undertakes projects which are strategic to the VET sector. These projects are developed and conducted by NCVER’s research staff and are funded by NCVER. This research aims to improve policy and practice in the VET sector.</w:t>
                            </w:r>
                          </w:p>
                          <w:p w:rsidR="00883E4B" w:rsidRPr="00C9777B" w:rsidRDefault="00883E4B" w:rsidP="004E3573">
                            <w:pPr>
                              <w:pStyle w:val="Imprint"/>
                              <w:ind w:right="1700"/>
                              <w:rPr>
                                <w:color w:val="000000"/>
                              </w:rPr>
                            </w:pPr>
                            <w:r>
                              <w:rPr>
                                <w:smallCaps/>
                                <w:color w:val="000000"/>
                              </w:rPr>
                              <w:t>COVER IMAGE: GETTY IMAGES/</w:t>
                            </w:r>
                            <w:proofErr w:type="spellStart"/>
                            <w:r>
                              <w:rPr>
                                <w:color w:val="000000"/>
                              </w:rPr>
                              <w:t>iStock</w:t>
                            </w:r>
                            <w:proofErr w:type="spellEnd"/>
                          </w:p>
                          <w:p w:rsidR="00883E4B" w:rsidRDefault="00883E4B" w:rsidP="004E3573">
                            <w:pPr>
                              <w:pStyle w:val="Imprint"/>
                              <w:rPr>
                                <w:color w:val="000000"/>
                              </w:rPr>
                            </w:pPr>
                            <w:r w:rsidRPr="005C2FCF">
                              <w:rPr>
                                <w:color w:val="000000"/>
                              </w:rPr>
                              <w:t>ISBN</w:t>
                            </w:r>
                            <w:r>
                              <w:rPr>
                                <w:color w:val="000000"/>
                              </w:rPr>
                              <w:t xml:space="preserve"> </w:t>
                            </w:r>
                            <w:r w:rsidRPr="005C2FCF">
                              <w:rPr>
                                <w:color w:val="000000"/>
                              </w:rPr>
                              <w:tab/>
                            </w:r>
                            <w:r w:rsidRPr="009158E1">
                              <w:rPr>
                                <w:color w:val="000000"/>
                              </w:rPr>
                              <w:t>978 1 925173 67 3</w:t>
                            </w:r>
                          </w:p>
                          <w:p w:rsidR="00883E4B" w:rsidRPr="005C2FCF" w:rsidRDefault="00883E4B" w:rsidP="004E3573">
                            <w:pPr>
                              <w:pStyle w:val="Imprint"/>
                              <w:spacing w:before="0"/>
                              <w:rPr>
                                <w:color w:val="000000"/>
                              </w:rPr>
                            </w:pPr>
                            <w:r w:rsidRPr="005C2FCF">
                              <w:rPr>
                                <w:color w:val="000000"/>
                              </w:rPr>
                              <w:t>TD/TNC</w:t>
                            </w:r>
                            <w:r w:rsidRPr="005C2FCF">
                              <w:rPr>
                                <w:color w:val="000000"/>
                              </w:rPr>
                              <w:tab/>
                            </w:r>
                            <w:r>
                              <w:rPr>
                                <w:color w:val="000000"/>
                              </w:rPr>
                              <w:t>126.01</w:t>
                            </w:r>
                          </w:p>
                          <w:p w:rsidR="00883E4B" w:rsidRPr="005C2FCF" w:rsidRDefault="00883E4B" w:rsidP="004E3573">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883E4B" w:rsidRPr="005C2FCF" w:rsidRDefault="00883E4B" w:rsidP="004E3573">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883E4B" w:rsidRDefault="00883E4B" w:rsidP="004E3573">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883E4B" w:rsidRPr="002C3573" w:rsidRDefault="00883E4B" w:rsidP="004E3573">
                            <w:pPr>
                              <w:pStyle w:val="Imprint"/>
                              <w:tabs>
                                <w:tab w:val="left" w:pos="2127"/>
                              </w:tabs>
                              <w:spacing w:before="0"/>
                            </w:pPr>
                            <w:r w:rsidRPr="002C3573">
                              <w:rPr>
                                <w:b/>
                              </w:rPr>
                              <w:t>Email</w:t>
                            </w:r>
                            <w:r w:rsidRPr="002C3573">
                              <w:t xml:space="preserve"> </w:t>
                            </w:r>
                            <w:hyperlink r:id="rId16" w:history="1">
                              <w:r w:rsidRPr="004B031A">
                                <w:rPr>
                                  <w:rStyle w:val="Hyperlink"/>
                                  <w:sz w:val="16"/>
                                  <w:szCs w:val="16"/>
                                </w:rPr>
                                <w:t>ncver@ncver.edu.au</w:t>
                              </w:r>
                            </w:hyperlink>
                            <w:r w:rsidRPr="002C3573">
                              <w:t xml:space="preserve">    </w:t>
                            </w:r>
                            <w:r w:rsidRPr="002C3573">
                              <w:rPr>
                                <w:b/>
                              </w:rPr>
                              <w:t>Web</w:t>
                            </w:r>
                            <w:r w:rsidRPr="002C3573">
                              <w:t xml:space="preserve"> &lt;http</w:t>
                            </w:r>
                            <w:r w:rsidR="00E56BB0">
                              <w:t>s</w:t>
                            </w:r>
                            <w:r w:rsidRPr="002C3573">
                              <w:t>://www.ncver.edu.au</w:t>
                            </w:r>
                            <w:proofErr w:type="gramStart"/>
                            <w:r w:rsidRPr="002C3573">
                              <w:t>&gt;  &lt;</w:t>
                            </w:r>
                            <w:proofErr w:type="gramEnd"/>
                            <w:r w:rsidR="00B043CA">
                              <w:fldChar w:fldCharType="begin"/>
                            </w:r>
                            <w:r w:rsidR="00B043CA">
                              <w:instrText xml:space="preserve"> HYPERLINK "http://www.lsay.edu.au" </w:instrText>
                            </w:r>
                            <w:r w:rsidR="00B043CA">
                              <w:fldChar w:fldCharType="separate"/>
                            </w:r>
                            <w:r w:rsidRPr="004B031A">
                              <w:rPr>
                                <w:rStyle w:val="Hyperlink"/>
                                <w:sz w:val="16"/>
                                <w:szCs w:val="16"/>
                              </w:rPr>
                              <w:t>http://www.lsay.edu.au</w:t>
                            </w:r>
                            <w:r w:rsidR="00B043CA">
                              <w:rPr>
                                <w:rStyle w:val="Hyperlink"/>
                                <w:sz w:val="16"/>
                                <w:szCs w:val="16"/>
                              </w:rPr>
                              <w:fldChar w:fldCharType="end"/>
                            </w:r>
                            <w:r w:rsidRPr="002C3573">
                              <w:t>&gt;</w:t>
                            </w:r>
                          </w:p>
                          <w:p w:rsidR="00883E4B" w:rsidRPr="00D212FA" w:rsidRDefault="00883E4B" w:rsidP="004E3573">
                            <w:pPr>
                              <w:pStyle w:val="Imprint"/>
                              <w:tabs>
                                <w:tab w:val="left" w:pos="993"/>
                                <w:tab w:val="left" w:pos="3686"/>
                              </w:tabs>
                              <w:spacing w:before="0"/>
                            </w:pPr>
                            <w:r w:rsidRPr="00E65C3B">
                              <w:rPr>
                                <w:b/>
                              </w:rPr>
                              <w:t>Follow us:</w:t>
                            </w:r>
                            <w:r>
                              <w:t xml:space="preserve"> </w:t>
                            </w:r>
                            <w:r>
                              <w:tab/>
                              <w:t xml:space="preserve">   &lt;http</w:t>
                            </w:r>
                            <w:r w:rsidR="00E56BB0">
                              <w:t>s</w:t>
                            </w:r>
                            <w:r>
                              <w:t>://twitter.com/ncver&gt;</w:t>
                            </w:r>
                            <w:r>
                              <w:tab/>
                              <w:t>&lt;http</w:t>
                            </w:r>
                            <w:r w:rsidR="00E56BB0">
                              <w:t>s</w:t>
                            </w:r>
                            <w:bookmarkStart w:id="10" w:name="_GoBack"/>
                            <w:bookmarkEnd w:id="10"/>
                            <w:r>
                              <w:t>://www.linkedin.com/company/ncver&gt;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0;margin-top:127.4pt;width:440.7pt;height:4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" filled="f" stroked="f">
                <v:textbox inset="0,,0">
                  <w:txbxContent>
                    <w:p w:rsidR="00883E4B" w:rsidRPr="00A021FC" w:rsidRDefault="00883E4B" w:rsidP="004E3573">
                      <w:pPr>
                        <w:pStyle w:val="Imprint"/>
                        <w:rPr>
                          <w:b/>
                        </w:rPr>
                      </w:pPr>
                      <w:r w:rsidRPr="00A021FC">
                        <w:rPr>
                          <w:b/>
                        </w:rPr>
                        <w:t xml:space="preserve">© </w:t>
                      </w:r>
                      <w:r w:rsidRPr="009158E1">
                        <w:rPr>
                          <w:b/>
                        </w:rPr>
                        <w:t>National Centre for Vocational Education Research, 2016</w:t>
                      </w:r>
                    </w:p>
                    <w:p w:rsidR="00883E4B" w:rsidRDefault="00883E4B" w:rsidP="004E3573">
                      <w:pPr>
                        <w:pStyle w:val="Imprint"/>
                        <w:rPr>
                          <w:sz w:val="20"/>
                        </w:rPr>
                      </w:pPr>
                      <w:r w:rsidRPr="00E80270">
                        <w:rPr>
                          <w:noProof/>
                          <w:sz w:val="20"/>
                          <w:lang w:eastAsia="en-AU"/>
                        </w:rPr>
                        <w:drawing>
                          <wp:inline distT="0" distB="0" distL="0" distR="0" wp14:anchorId="5754E11D" wp14:editId="6E4CFA16">
                            <wp:extent cx="850265" cy="302895"/>
                            <wp:effectExtent l="19050" t="0" r="6985" b="0"/>
                            <wp:docPr id="4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5"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883E4B" w:rsidRPr="00C44A16" w:rsidRDefault="00883E4B" w:rsidP="004E3573">
                      <w:pPr>
                        <w:pStyle w:val="Imprint"/>
                        <w:rPr>
                          <w:b/>
                        </w:rPr>
                      </w:pPr>
                      <w:r w:rsidRPr="00C44A16">
                        <w:t xml:space="preserve">With the exception of cover design, artwork, photographs, all logos, and any other material where copyright is owned by a third party, all material presented in this document </w:t>
                      </w:r>
                      <w:proofErr w:type="gramStart"/>
                      <w:r w:rsidRPr="00C44A16">
                        <w:t>is</w:t>
                      </w:r>
                      <w:proofErr w:type="gramEnd"/>
                      <w:r w:rsidRPr="00C44A16">
                        <w:t xml:space="preserve"> provided under a Creative Commons Attribution 3.0 Australia &lt;http://creativecommons.org/licenses/by/3.0/au&gt;. </w:t>
                      </w:r>
                    </w:p>
                    <w:p w:rsidR="00883E4B" w:rsidRPr="00C44A16" w:rsidRDefault="00883E4B" w:rsidP="004E3573">
                      <w:pPr>
                        <w:pStyle w:val="Imprint"/>
                        <w:rPr>
                          <w:b/>
                        </w:rPr>
                      </w:pPr>
                      <w:r w:rsidRPr="00C44A16">
                        <w:t xml:space="preserve">This document should be attributed as </w:t>
                      </w:r>
                      <w:r w:rsidRPr="009158E1">
                        <w:t>Korbel</w:t>
                      </w:r>
                      <w:r>
                        <w:t>,</w:t>
                      </w:r>
                      <w:r w:rsidRPr="009158E1">
                        <w:t xml:space="preserve"> P &amp; Misko</w:t>
                      </w:r>
                      <w:r>
                        <w:t>,</w:t>
                      </w:r>
                      <w:r w:rsidRPr="009158E1">
                        <w:t xml:space="preserve"> J 2016, </w:t>
                      </w:r>
                      <w:r w:rsidRPr="009158E1">
                        <w:rPr>
                          <w:i/>
                        </w:rPr>
                        <w:t xml:space="preserve">Uptake and utility of </w:t>
                      </w:r>
                      <w:r>
                        <w:rPr>
                          <w:i/>
                        </w:rPr>
                        <w:t xml:space="preserve">VET </w:t>
                      </w:r>
                      <w:r w:rsidRPr="009158E1">
                        <w:rPr>
                          <w:i/>
                        </w:rPr>
                        <w:t>qualifications</w:t>
                      </w:r>
                      <w:r w:rsidRPr="00C44A16">
                        <w:t>, NCVER</w:t>
                      </w:r>
                      <w:r>
                        <w:t>, Adelaide</w:t>
                      </w:r>
                      <w:r w:rsidRPr="00C44A16">
                        <w:t>.</w:t>
                      </w:r>
                    </w:p>
                    <w:p w:rsidR="00883E4B" w:rsidRPr="00C44A16" w:rsidRDefault="00883E4B" w:rsidP="004E3573">
                      <w:pPr>
                        <w:pStyle w:val="Imprint"/>
                        <w:rPr>
                          <w:b/>
                        </w:rPr>
                      </w:pPr>
                      <w:r w:rsidRPr="00C44A16">
                        <w:t>NCVER is an independent body responsible for collecting, managing and analysing, evaluating and communicating research and statistics about vocational education and training (VET).</w:t>
                      </w:r>
                    </w:p>
                    <w:p w:rsidR="00883E4B" w:rsidRDefault="00883E4B" w:rsidP="004E3573">
                      <w:pPr>
                        <w:pStyle w:val="Imprint"/>
                      </w:pPr>
                      <w:r w:rsidRPr="00C44A16">
                        <w:t>NCVER’s in</w:t>
                      </w:r>
                      <w:r>
                        <w:t>-</w:t>
                      </w:r>
                      <w:r w:rsidRPr="00C44A16">
                        <w:t>house research and evaluation program undertakes projects which are strategic to the VET sector. These projects are developed and conducted by NCVER’s research staff and are funded by NCVER. This research aims to improve policy and practice in the VET sector.</w:t>
                      </w:r>
                    </w:p>
                    <w:p w:rsidR="00883E4B" w:rsidRPr="00C9777B" w:rsidRDefault="00883E4B" w:rsidP="004E3573">
                      <w:pPr>
                        <w:pStyle w:val="Imprint"/>
                        <w:ind w:right="1700"/>
                        <w:rPr>
                          <w:color w:val="000000"/>
                        </w:rPr>
                      </w:pPr>
                      <w:r>
                        <w:rPr>
                          <w:smallCaps/>
                          <w:color w:val="000000"/>
                        </w:rPr>
                        <w:t>COVER IMAGE: GETTY IMAGES/</w:t>
                      </w:r>
                      <w:proofErr w:type="spellStart"/>
                      <w:r>
                        <w:rPr>
                          <w:color w:val="000000"/>
                        </w:rPr>
                        <w:t>iStock</w:t>
                      </w:r>
                      <w:proofErr w:type="spellEnd"/>
                    </w:p>
                    <w:p w:rsidR="00883E4B" w:rsidRDefault="00883E4B" w:rsidP="004E3573">
                      <w:pPr>
                        <w:pStyle w:val="Imprint"/>
                        <w:rPr>
                          <w:color w:val="000000"/>
                        </w:rPr>
                      </w:pPr>
                      <w:r w:rsidRPr="005C2FCF">
                        <w:rPr>
                          <w:color w:val="000000"/>
                        </w:rPr>
                        <w:t>ISBN</w:t>
                      </w:r>
                      <w:r>
                        <w:rPr>
                          <w:color w:val="000000"/>
                        </w:rPr>
                        <w:t xml:space="preserve"> </w:t>
                      </w:r>
                      <w:r w:rsidRPr="005C2FCF">
                        <w:rPr>
                          <w:color w:val="000000"/>
                        </w:rPr>
                        <w:tab/>
                      </w:r>
                      <w:r w:rsidRPr="009158E1">
                        <w:rPr>
                          <w:color w:val="000000"/>
                        </w:rPr>
                        <w:t>978 1 925173 67 3</w:t>
                      </w:r>
                    </w:p>
                    <w:p w:rsidR="00883E4B" w:rsidRPr="005C2FCF" w:rsidRDefault="00883E4B" w:rsidP="004E3573">
                      <w:pPr>
                        <w:pStyle w:val="Imprint"/>
                        <w:spacing w:before="0"/>
                        <w:rPr>
                          <w:color w:val="000000"/>
                        </w:rPr>
                      </w:pPr>
                      <w:r w:rsidRPr="005C2FCF">
                        <w:rPr>
                          <w:color w:val="000000"/>
                        </w:rPr>
                        <w:t>TD/TNC</w:t>
                      </w:r>
                      <w:r w:rsidRPr="005C2FCF">
                        <w:rPr>
                          <w:color w:val="000000"/>
                        </w:rPr>
                        <w:tab/>
                      </w:r>
                      <w:r>
                        <w:rPr>
                          <w:color w:val="000000"/>
                        </w:rPr>
                        <w:t>126.01</w:t>
                      </w:r>
                    </w:p>
                    <w:p w:rsidR="00883E4B" w:rsidRPr="005C2FCF" w:rsidRDefault="00883E4B" w:rsidP="004E3573">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883E4B" w:rsidRPr="005C2FCF" w:rsidRDefault="00883E4B" w:rsidP="004E3573">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883E4B" w:rsidRDefault="00883E4B" w:rsidP="004E3573">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883E4B" w:rsidRPr="002C3573" w:rsidRDefault="00883E4B" w:rsidP="004E3573">
                      <w:pPr>
                        <w:pStyle w:val="Imprint"/>
                        <w:tabs>
                          <w:tab w:val="left" w:pos="2127"/>
                        </w:tabs>
                        <w:spacing w:before="0"/>
                      </w:pP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rsidRPr="002C3573">
                        <w:rPr>
                          <w:b/>
                        </w:rPr>
                        <w:t>Web</w:t>
                      </w:r>
                      <w:r w:rsidRPr="002C3573">
                        <w:t xml:space="preserve"> &lt;http</w:t>
                      </w:r>
                      <w:r w:rsidR="00E56BB0">
                        <w:t>s</w:t>
                      </w:r>
                      <w:r w:rsidRPr="002C3573">
                        <w:t>://www.ncver.edu.au</w:t>
                      </w:r>
                      <w:proofErr w:type="gramStart"/>
                      <w:r w:rsidRPr="002C3573">
                        <w:t>&gt;  &lt;</w:t>
                      </w:r>
                      <w:proofErr w:type="gramEnd"/>
                      <w:r w:rsidR="00B043CA">
                        <w:fldChar w:fldCharType="begin"/>
                      </w:r>
                      <w:r w:rsidR="00B043CA">
                        <w:instrText xml:space="preserve"> HYPERLINK "http://www.lsay.edu.au" </w:instrText>
                      </w:r>
                      <w:r w:rsidR="00B043CA">
                        <w:fldChar w:fldCharType="separate"/>
                      </w:r>
                      <w:r w:rsidRPr="004B031A">
                        <w:rPr>
                          <w:rStyle w:val="Hyperlink"/>
                          <w:sz w:val="16"/>
                          <w:szCs w:val="16"/>
                        </w:rPr>
                        <w:t>http://www.lsay.edu.au</w:t>
                      </w:r>
                      <w:r w:rsidR="00B043CA">
                        <w:rPr>
                          <w:rStyle w:val="Hyperlink"/>
                          <w:sz w:val="16"/>
                          <w:szCs w:val="16"/>
                        </w:rPr>
                        <w:fldChar w:fldCharType="end"/>
                      </w:r>
                      <w:r w:rsidRPr="002C3573">
                        <w:t>&gt;</w:t>
                      </w:r>
                    </w:p>
                    <w:p w:rsidR="00883E4B" w:rsidRPr="00D212FA" w:rsidRDefault="00883E4B" w:rsidP="004E3573">
                      <w:pPr>
                        <w:pStyle w:val="Imprint"/>
                        <w:tabs>
                          <w:tab w:val="left" w:pos="993"/>
                          <w:tab w:val="left" w:pos="3686"/>
                        </w:tabs>
                        <w:spacing w:before="0"/>
                      </w:pPr>
                      <w:r w:rsidRPr="00E65C3B">
                        <w:rPr>
                          <w:b/>
                        </w:rPr>
                        <w:t>Follow us:</w:t>
                      </w:r>
                      <w:r>
                        <w:t xml:space="preserve"> </w:t>
                      </w:r>
                      <w:r>
                        <w:tab/>
                        <w:t xml:space="preserve">   &lt;http</w:t>
                      </w:r>
                      <w:r w:rsidR="00E56BB0">
                        <w:t>s</w:t>
                      </w:r>
                      <w:r>
                        <w:t>://twitter.com/ncver&gt;</w:t>
                      </w:r>
                      <w:r>
                        <w:tab/>
                        <w:t>&lt;http</w:t>
                      </w:r>
                      <w:r w:rsidR="00E56BB0">
                        <w:t>s</w:t>
                      </w:r>
                      <w:bookmarkStart w:id="11" w:name="_GoBack"/>
                      <w:bookmarkEnd w:id="11"/>
                      <w:r>
                        <w:t>://www.linkedin.com/company/ncver&gt;</w:t>
                      </w:r>
                    </w:p>
                  </w:txbxContent>
                </v:textbox>
              </v:shape>
            </w:pict>
          </mc:Fallback>
        </mc:AlternateContent>
      </w:r>
      <w:r w:rsidR="007C667B" w:rsidRPr="005C2FCF">
        <w:br w:type="page"/>
      </w:r>
    </w:p>
    <w:p w:rsidR="008E28B3" w:rsidRDefault="008E28B3" w:rsidP="007C667B">
      <w:pPr>
        <w:sectPr w:rsidR="008E28B3" w:rsidSect="00CE248F">
          <w:footerReference w:type="even" r:id="rId18"/>
          <w:footerReference w:type="default" r:id="rId19"/>
          <w:pgSz w:w="11907" w:h="16840" w:code="9"/>
          <w:pgMar w:top="1276" w:right="1701" w:bottom="1276" w:left="1418" w:header="709" w:footer="556" w:gutter="0"/>
          <w:cols w:space="708"/>
          <w:docGrid w:linePitch="360"/>
        </w:sectPr>
      </w:pPr>
    </w:p>
    <w:p w:rsidR="00257F95" w:rsidRPr="000E691E" w:rsidRDefault="00257F95" w:rsidP="00E56BB0">
      <w:pPr>
        <w:pStyle w:val="Heading1"/>
        <w:spacing w:after="240"/>
      </w:pPr>
      <w:bookmarkStart w:id="12" w:name="_Toc416260892"/>
      <w:bookmarkStart w:id="13" w:name="_Toc416421648"/>
      <w:bookmarkStart w:id="14" w:name="_Toc421789465"/>
      <w:bookmarkStart w:id="15" w:name="_Toc461107658"/>
      <w:bookmarkStart w:id="16" w:name="_Toc465162146"/>
      <w:r>
        <w:lastRenderedPageBreak/>
        <w:t>About the research</w:t>
      </w:r>
      <w:bookmarkEnd w:id="12"/>
      <w:bookmarkEnd w:id="13"/>
      <w:bookmarkEnd w:id="14"/>
      <w:bookmarkEnd w:id="15"/>
      <w:bookmarkEnd w:id="16"/>
      <w:r>
        <w:t xml:space="preserve"> </w:t>
      </w:r>
    </w:p>
    <w:p w:rsidR="00257F95" w:rsidRPr="004E3573" w:rsidRDefault="00257F95" w:rsidP="00E56BB0">
      <w:pPr>
        <w:pStyle w:val="Abouttheresearchpubtitle"/>
        <w:spacing w:before="240"/>
        <w:rPr>
          <w:rFonts w:ascii="Arial" w:hAnsi="Arial" w:cs="Arial"/>
        </w:rPr>
      </w:pPr>
      <w:bookmarkStart w:id="17" w:name="_Toc296423681"/>
      <w:bookmarkStart w:id="18" w:name="_Toc296497512"/>
      <w:bookmarkStart w:id="19" w:name="_Toc98394878"/>
      <w:bookmarkStart w:id="20" w:name="_Toc296423682"/>
      <w:bookmarkStart w:id="21" w:name="_Toc296497513"/>
      <w:r w:rsidRPr="004E3573">
        <w:rPr>
          <w:rFonts w:ascii="Arial" w:hAnsi="Arial" w:cs="Arial"/>
        </w:rPr>
        <w:t xml:space="preserve">Uptake and utility of </w:t>
      </w:r>
      <w:r>
        <w:rPr>
          <w:rFonts w:ascii="Arial" w:hAnsi="Arial" w:cs="Arial"/>
        </w:rPr>
        <w:t xml:space="preserve">VET </w:t>
      </w:r>
      <w:r w:rsidRPr="004E3573">
        <w:rPr>
          <w:rFonts w:ascii="Arial" w:hAnsi="Arial" w:cs="Arial"/>
        </w:rPr>
        <w:t>qualifications</w:t>
      </w:r>
    </w:p>
    <w:p w:rsidR="00257F95" w:rsidRPr="001B43CF" w:rsidRDefault="00257F95" w:rsidP="00257F95">
      <w:pPr>
        <w:pStyle w:val="Heading3"/>
        <w:spacing w:before="240"/>
      </w:pPr>
      <w:r>
        <w:t>Patrick Korbel and Josie Misko</w:t>
      </w:r>
      <w:r w:rsidRPr="005C2FCF">
        <w:t xml:space="preserve">, </w:t>
      </w:r>
      <w:bookmarkEnd w:id="17"/>
      <w:bookmarkEnd w:id="18"/>
      <w:r>
        <w:t>National Centre for Vocational Education Research</w:t>
      </w:r>
    </w:p>
    <w:p w:rsidR="00257F95" w:rsidRDefault="00257F95" w:rsidP="00257F95">
      <w:pPr>
        <w:pStyle w:val="Text"/>
        <w:spacing w:before="100"/>
        <w:rPr>
          <w:color w:val="000000"/>
        </w:rPr>
      </w:pPr>
      <w:r>
        <w:rPr>
          <w:color w:val="000000"/>
        </w:rPr>
        <w:t xml:space="preserve">Training packages and accredited courses are the core training products of the nationally accredited vocational education and training (VET) system in Australia. Developed in consultation with industry, they define the units of competency, the qualifications and the guidelines against which competency performance can be assessed. </w:t>
      </w:r>
    </w:p>
    <w:p w:rsidR="00257F95" w:rsidRDefault="00257F95" w:rsidP="00E56BB0">
      <w:pPr>
        <w:pStyle w:val="Text"/>
        <w:spacing w:before="80"/>
        <w:rPr>
          <w:color w:val="000000"/>
        </w:rPr>
      </w:pPr>
      <w:r>
        <w:t>Review and reform of national training products has been actively pursued by training ministers through the</w:t>
      </w:r>
      <w:r>
        <w:rPr>
          <w:color w:val="000000"/>
        </w:rPr>
        <w:t xml:space="preserve"> Council of Australian Governments (COAG) Industry and Skills Council (CISC). </w:t>
      </w:r>
      <w:r w:rsidR="00E56BB0" w:rsidRPr="00E56BB0">
        <w:rPr>
          <w:color w:val="000000"/>
        </w:rPr>
        <w:t xml:space="preserve">There has also been the implementation of reforms to VET governance arrangements, including the updating of </w:t>
      </w:r>
      <w:r w:rsidR="00E56BB0">
        <w:rPr>
          <w:color w:val="000000"/>
        </w:rPr>
        <w:t>training p</w:t>
      </w:r>
      <w:r w:rsidR="00E56BB0" w:rsidRPr="00E56BB0">
        <w:rPr>
          <w:color w:val="000000"/>
        </w:rPr>
        <w:t>ackages and their associated qualifications</w:t>
      </w:r>
      <w:r w:rsidR="00E56BB0">
        <w:rPr>
          <w:color w:val="000000"/>
        </w:rPr>
        <w:t>, and</w:t>
      </w:r>
      <w:r w:rsidR="00E56BB0" w:rsidRPr="00E56BB0">
        <w:rPr>
          <w:color w:val="000000"/>
        </w:rPr>
        <w:t xml:space="preserve"> the 2015 Standards for RTO registrations. These initiatives have been designed to support the ability of these products to keep pace with changing industry needs.</w:t>
      </w:r>
    </w:p>
    <w:p w:rsidR="00257F95" w:rsidRPr="001C055F" w:rsidRDefault="00257F95" w:rsidP="00E56BB0">
      <w:pPr>
        <w:pStyle w:val="Text"/>
        <w:spacing w:before="80"/>
      </w:pPr>
      <w:r w:rsidRPr="001C055F">
        <w:rPr>
          <w:color w:val="000000"/>
        </w:rPr>
        <w:t>A</w:t>
      </w:r>
      <w:r w:rsidRPr="001C055F">
        <w:t>t the request of the National Training Product Reform Working Group, the National Centre for Vocational Education Research (NCVER) recently convened a symposium on training products reform. This symposium (held in September 2016) gathered a range of expert voices from across the sector to reflect on and provide suggestions for how the system could be improved. This research report complements the symposium discussions.</w:t>
      </w:r>
    </w:p>
    <w:p w:rsidR="00257F95" w:rsidRPr="00793CEA" w:rsidRDefault="00257F95" w:rsidP="00E56BB0">
      <w:pPr>
        <w:pStyle w:val="Text"/>
        <w:spacing w:before="80"/>
      </w:pPr>
      <w:r>
        <w:t xml:space="preserve">The research findings build on the picture of the Australian VET sector provided by the recent NCVER reports, </w:t>
      </w:r>
      <w:proofErr w:type="gramStart"/>
      <w:r>
        <w:rPr>
          <w:i/>
        </w:rPr>
        <w:t>Making</w:t>
      </w:r>
      <w:proofErr w:type="gramEnd"/>
      <w:r>
        <w:rPr>
          <w:i/>
        </w:rPr>
        <w:t xml:space="preserve"> sense of total VET activity: an initial market analysis </w:t>
      </w:r>
      <w:r>
        <w:t xml:space="preserve">(Anlezark &amp; Foley 2016) and </w:t>
      </w:r>
      <w:r>
        <w:rPr>
          <w:i/>
        </w:rPr>
        <w:t>VET provider market structures: history, growth and change</w:t>
      </w:r>
      <w:r>
        <w:t xml:space="preserve"> (Korbel &amp; Misko 2016). Together, these three reports provide analysis of the national VET system, the diversity and growth of training providers, and the uptake and use of qualifications. </w:t>
      </w:r>
    </w:p>
    <w:p w:rsidR="00257F95" w:rsidRPr="003C45BD" w:rsidRDefault="00257F95" w:rsidP="00E56BB0">
      <w:pPr>
        <w:pStyle w:val="Keymessages"/>
        <w:spacing w:before="200"/>
      </w:pPr>
      <w:r w:rsidRPr="003C45BD">
        <w:t>Key messages</w:t>
      </w:r>
    </w:p>
    <w:p w:rsidR="00257F95" w:rsidRDefault="00257F95" w:rsidP="00257F95">
      <w:pPr>
        <w:pStyle w:val="Dotpoint1"/>
        <w:spacing w:before="80"/>
      </w:pPr>
      <w:r>
        <w:t xml:space="preserve">Analysis of </w:t>
      </w:r>
      <w:r w:rsidRPr="001C055F">
        <w:rPr>
          <w:i/>
        </w:rPr>
        <w:t xml:space="preserve">Total VET </w:t>
      </w:r>
      <w:r>
        <w:rPr>
          <w:i/>
        </w:rPr>
        <w:t>s</w:t>
      </w:r>
      <w:r w:rsidRPr="001C055F">
        <w:rPr>
          <w:i/>
        </w:rPr>
        <w:t xml:space="preserve">tudents and </w:t>
      </w:r>
      <w:r>
        <w:rPr>
          <w:i/>
        </w:rPr>
        <w:t>c</w:t>
      </w:r>
      <w:r w:rsidRPr="001C055F">
        <w:rPr>
          <w:i/>
        </w:rPr>
        <w:t>ourses 2015</w:t>
      </w:r>
      <w:r>
        <w:t xml:space="preserve"> shows 20 training packages supported 90% of the enrolments and the remaining 57 training packages had 10% of all enrolments. Two training packages accounted for around 30% of enrolments.</w:t>
      </w:r>
    </w:p>
    <w:p w:rsidR="00257F95" w:rsidRDefault="00257F95" w:rsidP="00E56BB0">
      <w:pPr>
        <w:pStyle w:val="Dotpoint1"/>
        <w:spacing w:before="0"/>
      </w:pPr>
      <w:r>
        <w:t>Analysis also shows that enrolments in training package qualifications are heavily concentrated in relatively few qualifications. In 2015, 200 qualifications (12%) accounted for 85% of the enrolments, while the remaining group of 1444 qualifications (88%) had some 15% of enrolments. Some 14 qualifications accounted for 25% of all enrolments.</w:t>
      </w:r>
    </w:p>
    <w:p w:rsidR="00257F95" w:rsidRDefault="00257F95" w:rsidP="00E56BB0">
      <w:pPr>
        <w:pStyle w:val="Dotpoint1"/>
        <w:spacing w:before="0"/>
      </w:pPr>
      <w:r>
        <w:t xml:space="preserve">There were 283 qualifications that recorded no enrolments over a two-year period (2014—15), with these </w:t>
      </w:r>
      <w:r w:rsidRPr="00045371">
        <w:t>spread across 49 training</w:t>
      </w:r>
      <w:r>
        <w:t xml:space="preserve"> packages.</w:t>
      </w:r>
    </w:p>
    <w:p w:rsidR="00257F95" w:rsidRDefault="00257F95" w:rsidP="00E56BB0">
      <w:pPr>
        <w:pStyle w:val="Dotpoint1"/>
        <w:spacing w:before="0"/>
      </w:pPr>
      <w:r>
        <w:t xml:space="preserve">The results show that enrolments in training packages and their related qualifications exhibit very wide extremes in their uptake (based on training provider submissions to the National VET Provider Collection). This dispersion is a reflection of student </w:t>
      </w:r>
      <w:r w:rsidR="004951EE">
        <w:t>choice</w:t>
      </w:r>
      <w:r>
        <w:t>,</w:t>
      </w:r>
      <w:r w:rsidR="004951EE">
        <w:t xml:space="preserve"> training </w:t>
      </w:r>
      <w:r>
        <w:t xml:space="preserve">provider offerings and also the complexity of present arrangements in establishing and managing training package qualifications, which imposes significant administrative burden across the VET sector. </w:t>
      </w:r>
    </w:p>
    <w:p w:rsidR="00257F95" w:rsidRPr="001C055F" w:rsidRDefault="00257F95" w:rsidP="00E56BB0">
      <w:pPr>
        <w:pStyle w:val="Dotpoint1"/>
        <w:spacing w:before="0"/>
        <w:rPr>
          <w:spacing w:val="-2"/>
        </w:rPr>
      </w:pPr>
      <w:r w:rsidRPr="001C055F">
        <w:rPr>
          <w:spacing w:val="-2"/>
        </w:rPr>
        <w:t xml:space="preserve">Other nations have implemented policy </w:t>
      </w:r>
      <w:r>
        <w:rPr>
          <w:spacing w:val="-2"/>
        </w:rPr>
        <w:t xml:space="preserve">regarding </w:t>
      </w:r>
      <w:r w:rsidRPr="001C055F">
        <w:rPr>
          <w:spacing w:val="-2"/>
        </w:rPr>
        <w:t xml:space="preserve">more rigorously reviewing and rationalising their equivalent training products and qualifications. Such policies help to reinforce </w:t>
      </w:r>
      <w:r w:rsidR="004951EE">
        <w:rPr>
          <w:spacing w:val="-2"/>
        </w:rPr>
        <w:t xml:space="preserve">qualifications that are </w:t>
      </w:r>
      <w:r w:rsidRPr="001C055F">
        <w:rPr>
          <w:spacing w:val="-2"/>
        </w:rPr>
        <w:t>valued and contemporary, as well as limiting their number. Policies are also directed at improving overall design, such that related occupations have meaningful commonality and utility in qualifications, the aim being to provide students greater flexibility in preparing for an uncertain labour market.</w:t>
      </w:r>
    </w:p>
    <w:p w:rsidR="00F33784" w:rsidRDefault="00257F95" w:rsidP="00E56BB0">
      <w:pPr>
        <w:pStyle w:val="Text"/>
        <w:spacing w:before="200"/>
        <w:sectPr w:rsidR="00F33784" w:rsidSect="00E56BB0">
          <w:headerReference w:type="default" r:id="rId20"/>
          <w:footerReference w:type="even" r:id="rId21"/>
          <w:footerReference w:type="default" r:id="rId22"/>
          <w:pgSz w:w="11907" w:h="16840" w:code="9"/>
          <w:pgMar w:top="1276" w:right="1418" w:bottom="709" w:left="1418" w:header="709" w:footer="420" w:gutter="0"/>
          <w:cols w:space="708"/>
          <w:docGrid w:linePitch="360"/>
        </w:sectPr>
      </w:pPr>
      <w:r>
        <w:t>Dr Craig Fowler</w:t>
      </w:r>
      <w:r>
        <w:br/>
      </w:r>
      <w:r w:rsidRPr="005C2FCF">
        <w:t>Managing Director, NCVER</w:t>
      </w:r>
      <w:bookmarkEnd w:id="19"/>
      <w:bookmarkEnd w:id="20"/>
      <w:bookmarkEnd w:id="21"/>
    </w:p>
    <w:p w:rsidR="00A071F8" w:rsidRDefault="00A071F8" w:rsidP="005955B2">
      <w:pPr>
        <w:pStyle w:val="Text"/>
        <w:rPr>
          <w:noProof/>
        </w:rPr>
        <w:sectPr w:rsidR="00A071F8" w:rsidSect="00543BFF">
          <w:headerReference w:type="default" r:id="rId23"/>
          <w:footerReference w:type="even" r:id="rId24"/>
          <w:footerReference w:type="default" r:id="rId25"/>
          <w:pgSz w:w="11907" w:h="16840" w:code="9"/>
          <w:pgMar w:top="1276" w:right="2552" w:bottom="992" w:left="1418" w:header="709" w:footer="556" w:gutter="0"/>
          <w:cols w:space="708"/>
          <w:docGrid w:linePitch="360"/>
        </w:sectPr>
      </w:pPr>
    </w:p>
    <w:p w:rsidR="00EB0AD7" w:rsidRPr="003813E4" w:rsidRDefault="00643564" w:rsidP="003813E4">
      <w:pPr>
        <w:pStyle w:val="Contents"/>
      </w:pPr>
      <w:r w:rsidRPr="006A0A1F">
        <w:rPr>
          <w:noProof/>
          <w:lang w:eastAsia="en-AU"/>
        </w:rPr>
        <w:lastRenderedPageBreak/>
        <w:drawing>
          <wp:anchor distT="0" distB="0" distL="114300" distR="114300" simplePos="0" relativeHeight="252004352" behindDoc="0" locked="0" layoutInCell="1" allowOverlap="1" wp14:anchorId="2A8AB7F5" wp14:editId="26BFFBE3">
            <wp:simplePos x="0" y="0"/>
            <wp:positionH relativeFrom="column">
              <wp:posOffset>3406664</wp:posOffset>
            </wp:positionH>
            <wp:positionV relativeFrom="paragraph">
              <wp:posOffset>534035</wp:posOffset>
            </wp:positionV>
            <wp:extent cx="419100" cy="419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References_Green.emf"/>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A1F">
        <w:rPr>
          <w:noProof/>
          <w:lang w:eastAsia="en-AU"/>
        </w:rPr>
        <w:drawing>
          <wp:anchor distT="0" distB="0" distL="114300" distR="114300" simplePos="0" relativeHeight="252005376" behindDoc="0" locked="0" layoutInCell="1" allowOverlap="1" wp14:anchorId="2E2EEAB0" wp14:editId="58EE36C1">
            <wp:simplePos x="0" y="0"/>
            <wp:positionH relativeFrom="column">
              <wp:posOffset>2926604</wp:posOffset>
            </wp:positionH>
            <wp:positionV relativeFrom="paragraph">
              <wp:posOffset>543560</wp:posOffset>
            </wp:positionV>
            <wp:extent cx="419100" cy="419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References_Green.em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A1F">
        <w:rPr>
          <w:noProof/>
          <w:lang w:eastAsia="en-AU"/>
        </w:rPr>
        <w:drawing>
          <wp:anchor distT="0" distB="0" distL="114300" distR="114300" simplePos="0" relativeHeight="252006400" behindDoc="0" locked="0" layoutInCell="1" allowOverlap="1" wp14:anchorId="45B77BA1" wp14:editId="2B0EB072">
            <wp:simplePos x="0" y="0"/>
            <wp:positionH relativeFrom="column">
              <wp:posOffset>2444750</wp:posOffset>
            </wp:positionH>
            <wp:positionV relativeFrom="paragraph">
              <wp:posOffset>543560</wp:posOffset>
            </wp:positionV>
            <wp:extent cx="419100" cy="4191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TargetWithArrowFindings_CorpBlue.em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A1F">
        <w:rPr>
          <w:noProof/>
          <w:lang w:eastAsia="en-AU"/>
        </w:rPr>
        <w:drawing>
          <wp:anchor distT="0" distB="0" distL="114300" distR="114300" simplePos="0" relativeHeight="252009472" behindDoc="0" locked="0" layoutInCell="1" allowOverlap="1" wp14:anchorId="6D93E0E6" wp14:editId="5D27CF70">
            <wp:simplePos x="0" y="0"/>
            <wp:positionH relativeFrom="column">
              <wp:posOffset>1955054</wp:posOffset>
            </wp:positionH>
            <wp:positionV relativeFrom="paragraph">
              <wp:posOffset>543560</wp:posOffset>
            </wp:positionV>
            <wp:extent cx="426085" cy="4819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TargetWithArrowFindings_CorpBlue.e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2608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A1F">
        <w:rPr>
          <w:noProof/>
          <w:lang w:eastAsia="en-AU"/>
        </w:rPr>
        <w:drawing>
          <wp:anchor distT="0" distB="0" distL="114300" distR="114300" simplePos="0" relativeHeight="252008448" behindDoc="0" locked="0" layoutInCell="1" allowOverlap="1" wp14:anchorId="5B4DED81" wp14:editId="579D4454">
            <wp:simplePos x="0" y="0"/>
            <wp:positionH relativeFrom="column">
              <wp:posOffset>1466850</wp:posOffset>
            </wp:positionH>
            <wp:positionV relativeFrom="paragraph">
              <wp:posOffset>542925</wp:posOffset>
            </wp:positionV>
            <wp:extent cx="423545" cy="4457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TargetWithArrowFindings_CorpBlue.em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2354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A1F" w:rsidRPr="006A0A1F">
        <w:rPr>
          <w:noProof/>
          <w:lang w:eastAsia="en-AU"/>
        </w:rPr>
        <w:drawing>
          <wp:anchor distT="0" distB="0" distL="114300" distR="114300" simplePos="0" relativeHeight="252003328" behindDoc="0" locked="0" layoutInCell="1" allowOverlap="1" wp14:anchorId="47533BE2" wp14:editId="5F2D201F">
            <wp:simplePos x="0" y="0"/>
            <wp:positionH relativeFrom="column">
              <wp:posOffset>481330</wp:posOffset>
            </wp:positionH>
            <wp:positionV relativeFrom="paragraph">
              <wp:posOffset>540385</wp:posOffset>
            </wp:positionV>
            <wp:extent cx="419100" cy="447675"/>
            <wp:effectExtent l="0" t="0" r="0" b="0"/>
            <wp:wrapNone/>
            <wp:docPr id="2" name="Picture 2"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Intro_Gree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A1F" w:rsidRPr="006A0A1F">
        <w:rPr>
          <w:noProof/>
          <w:lang w:eastAsia="en-AU"/>
        </w:rPr>
        <w:drawing>
          <wp:anchor distT="0" distB="0" distL="114300" distR="114300" simplePos="0" relativeHeight="252007424" behindDoc="0" locked="0" layoutInCell="1" allowOverlap="1" wp14:anchorId="613628FD" wp14:editId="75CF690B">
            <wp:simplePos x="0" y="0"/>
            <wp:positionH relativeFrom="column">
              <wp:posOffset>970280</wp:posOffset>
            </wp:positionH>
            <wp:positionV relativeFrom="paragraph">
              <wp:posOffset>540385</wp:posOffset>
            </wp:positionV>
            <wp:extent cx="419100" cy="4191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TargetWithArrowFindings_CorpBlue.emf"/>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43936" behindDoc="0" locked="0" layoutInCell="1" allowOverlap="1" wp14:anchorId="30FDC3DB" wp14:editId="124F81F3">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EB0AD7" w:rsidRPr="00BE5DCB">
        <w:t>Contents</w:t>
      </w:r>
      <w:bookmarkEnd w:id="7"/>
      <w:bookmarkEnd w:id="8"/>
      <w:bookmarkEnd w:id="9"/>
    </w:p>
    <w:p w:rsidR="00122486" w:rsidRDefault="00497266">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122486">
        <w:t>About the research</w:t>
      </w:r>
      <w:r w:rsidR="00122486">
        <w:tab/>
      </w:r>
      <w:r w:rsidR="00122486">
        <w:fldChar w:fldCharType="begin"/>
      </w:r>
      <w:r w:rsidR="00122486">
        <w:instrText xml:space="preserve"> PAGEREF _Toc465162146 \h </w:instrText>
      </w:r>
      <w:r w:rsidR="00122486">
        <w:fldChar w:fldCharType="separate"/>
      </w:r>
      <w:r w:rsidR="00E56BB0">
        <w:t>3</w:t>
      </w:r>
      <w:r w:rsidR="00122486">
        <w:fldChar w:fldCharType="end"/>
      </w:r>
    </w:p>
    <w:p w:rsidR="00122486" w:rsidRDefault="00122486">
      <w:pPr>
        <w:pStyle w:val="TOC1"/>
        <w:rPr>
          <w:rFonts w:asciiTheme="minorHAnsi" w:eastAsiaTheme="minorEastAsia" w:hAnsiTheme="minorHAnsi" w:cstheme="minorBidi"/>
          <w:color w:val="auto"/>
          <w:sz w:val="22"/>
          <w:szCs w:val="22"/>
          <w:lang w:eastAsia="en-AU"/>
        </w:rPr>
      </w:pPr>
      <w:r>
        <w:t>Tables and figures</w:t>
      </w:r>
      <w:r>
        <w:tab/>
      </w:r>
      <w:r>
        <w:fldChar w:fldCharType="begin"/>
      </w:r>
      <w:r>
        <w:instrText xml:space="preserve"> PAGEREF _Toc465162147 \h </w:instrText>
      </w:r>
      <w:r>
        <w:fldChar w:fldCharType="separate"/>
      </w:r>
      <w:r w:rsidR="00E56BB0">
        <w:t>6</w:t>
      </w:r>
      <w:r>
        <w:fldChar w:fldCharType="end"/>
      </w:r>
    </w:p>
    <w:p w:rsidR="00122486" w:rsidRDefault="00122486">
      <w:pPr>
        <w:pStyle w:val="TOC1"/>
        <w:rPr>
          <w:rFonts w:asciiTheme="minorHAnsi" w:eastAsiaTheme="minorEastAsia" w:hAnsiTheme="minorHAnsi" w:cstheme="minorBidi"/>
          <w:color w:val="auto"/>
          <w:sz w:val="22"/>
          <w:szCs w:val="22"/>
          <w:lang w:eastAsia="en-AU"/>
        </w:rPr>
      </w:pPr>
      <w:r>
        <w:t xml:space="preserve">Executive summary </w:t>
      </w:r>
      <w:r>
        <w:tab/>
      </w:r>
      <w:r>
        <w:fldChar w:fldCharType="begin"/>
      </w:r>
      <w:r>
        <w:instrText xml:space="preserve"> PAGEREF _Toc465162150 \h </w:instrText>
      </w:r>
      <w:r>
        <w:fldChar w:fldCharType="separate"/>
      </w:r>
      <w:r w:rsidR="00E56BB0">
        <w:t>7</w:t>
      </w:r>
      <w:r>
        <w:fldChar w:fldCharType="end"/>
      </w:r>
    </w:p>
    <w:p w:rsidR="00122486" w:rsidRDefault="00122486">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_Toc465162151 \h </w:instrText>
      </w:r>
      <w:r>
        <w:fldChar w:fldCharType="separate"/>
      </w:r>
      <w:r w:rsidR="00E56BB0">
        <w:t>10</w:t>
      </w:r>
      <w:r>
        <w:fldChar w:fldCharType="end"/>
      </w:r>
    </w:p>
    <w:p w:rsidR="00122486" w:rsidRDefault="00122486">
      <w:pPr>
        <w:pStyle w:val="TOC2"/>
        <w:rPr>
          <w:rFonts w:asciiTheme="minorHAnsi" w:eastAsiaTheme="minorEastAsia" w:hAnsiTheme="minorHAnsi" w:cstheme="minorBidi"/>
          <w:color w:val="auto"/>
          <w:sz w:val="22"/>
          <w:szCs w:val="22"/>
          <w:lang w:eastAsia="en-AU"/>
        </w:rPr>
      </w:pPr>
      <w:r>
        <w:t>Context</w:t>
      </w:r>
      <w:r>
        <w:tab/>
      </w:r>
      <w:r>
        <w:fldChar w:fldCharType="begin"/>
      </w:r>
      <w:r>
        <w:instrText xml:space="preserve"> PAGEREF _Toc465162152 \h </w:instrText>
      </w:r>
      <w:r>
        <w:fldChar w:fldCharType="separate"/>
      </w:r>
      <w:r w:rsidR="00E56BB0">
        <w:t>10</w:t>
      </w:r>
      <w:r>
        <w:fldChar w:fldCharType="end"/>
      </w:r>
    </w:p>
    <w:p w:rsidR="00122486" w:rsidRDefault="00122486">
      <w:pPr>
        <w:pStyle w:val="TOC1"/>
        <w:rPr>
          <w:rFonts w:asciiTheme="minorHAnsi" w:eastAsiaTheme="minorEastAsia" w:hAnsiTheme="minorHAnsi" w:cstheme="minorBidi"/>
          <w:color w:val="auto"/>
          <w:sz w:val="22"/>
          <w:szCs w:val="22"/>
          <w:lang w:eastAsia="en-AU"/>
        </w:rPr>
      </w:pPr>
      <w:r>
        <w:t>Uptake of qualifications</w:t>
      </w:r>
      <w:r>
        <w:tab/>
      </w:r>
      <w:r>
        <w:fldChar w:fldCharType="begin"/>
      </w:r>
      <w:r>
        <w:instrText xml:space="preserve"> PAGEREF _Toc465162153 \h </w:instrText>
      </w:r>
      <w:r>
        <w:fldChar w:fldCharType="separate"/>
      </w:r>
      <w:r w:rsidR="00E56BB0">
        <w:t>13</w:t>
      </w:r>
      <w:r>
        <w:fldChar w:fldCharType="end"/>
      </w:r>
    </w:p>
    <w:p w:rsidR="00122486" w:rsidRDefault="00122486">
      <w:pPr>
        <w:pStyle w:val="TOC2"/>
        <w:rPr>
          <w:rFonts w:asciiTheme="minorHAnsi" w:eastAsiaTheme="minorEastAsia" w:hAnsiTheme="minorHAnsi" w:cstheme="minorBidi"/>
          <w:color w:val="auto"/>
          <w:sz w:val="22"/>
          <w:szCs w:val="22"/>
          <w:lang w:eastAsia="en-AU"/>
        </w:rPr>
      </w:pPr>
      <w:r>
        <w:t>Overview of VET enrolments</w:t>
      </w:r>
      <w:r>
        <w:tab/>
      </w:r>
      <w:r>
        <w:fldChar w:fldCharType="begin"/>
      </w:r>
      <w:r>
        <w:instrText xml:space="preserve"> PAGEREF _Toc465162154 \h </w:instrText>
      </w:r>
      <w:r>
        <w:fldChar w:fldCharType="separate"/>
      </w:r>
      <w:r w:rsidR="00E56BB0">
        <w:t>13</w:t>
      </w:r>
      <w:r>
        <w:fldChar w:fldCharType="end"/>
      </w:r>
    </w:p>
    <w:p w:rsidR="00122486" w:rsidRDefault="00122486">
      <w:pPr>
        <w:pStyle w:val="TOC2"/>
        <w:rPr>
          <w:rFonts w:asciiTheme="minorHAnsi" w:eastAsiaTheme="minorEastAsia" w:hAnsiTheme="minorHAnsi" w:cstheme="minorBidi"/>
          <w:color w:val="auto"/>
          <w:sz w:val="22"/>
          <w:szCs w:val="22"/>
          <w:lang w:eastAsia="en-AU"/>
        </w:rPr>
      </w:pPr>
      <w:r>
        <w:t>Analysis of training package qualifications</w:t>
      </w:r>
      <w:r>
        <w:tab/>
      </w:r>
      <w:r>
        <w:fldChar w:fldCharType="begin"/>
      </w:r>
      <w:r>
        <w:instrText xml:space="preserve"> PAGEREF _Toc465162155 \h </w:instrText>
      </w:r>
      <w:r>
        <w:fldChar w:fldCharType="separate"/>
      </w:r>
      <w:r w:rsidR="00E56BB0">
        <w:t>14</w:t>
      </w:r>
      <w:r>
        <w:fldChar w:fldCharType="end"/>
      </w:r>
    </w:p>
    <w:p w:rsidR="00122486" w:rsidRDefault="00122486">
      <w:pPr>
        <w:pStyle w:val="TOC2"/>
        <w:rPr>
          <w:rFonts w:asciiTheme="minorHAnsi" w:eastAsiaTheme="minorEastAsia" w:hAnsiTheme="minorHAnsi" w:cstheme="minorBidi"/>
          <w:color w:val="auto"/>
          <w:sz w:val="22"/>
          <w:szCs w:val="22"/>
          <w:lang w:eastAsia="en-AU"/>
        </w:rPr>
      </w:pPr>
      <w:r>
        <w:t>Consolidating the qualifications</w:t>
      </w:r>
      <w:r>
        <w:tab/>
      </w:r>
      <w:r>
        <w:fldChar w:fldCharType="begin"/>
      </w:r>
      <w:r>
        <w:instrText xml:space="preserve"> PAGEREF _Toc465162156 \h </w:instrText>
      </w:r>
      <w:r>
        <w:fldChar w:fldCharType="separate"/>
      </w:r>
      <w:r w:rsidR="00E56BB0">
        <w:t>15</w:t>
      </w:r>
      <w:r>
        <w:fldChar w:fldCharType="end"/>
      </w:r>
    </w:p>
    <w:p w:rsidR="00122486" w:rsidRDefault="00122486">
      <w:pPr>
        <w:pStyle w:val="TOC2"/>
        <w:rPr>
          <w:rFonts w:asciiTheme="minorHAnsi" w:eastAsiaTheme="minorEastAsia" w:hAnsiTheme="minorHAnsi" w:cstheme="minorBidi"/>
          <w:color w:val="auto"/>
          <w:sz w:val="22"/>
          <w:szCs w:val="22"/>
          <w:lang w:eastAsia="en-AU"/>
        </w:rPr>
      </w:pPr>
      <w:r>
        <w:t>Analysis of the consolidated list</w:t>
      </w:r>
      <w:r>
        <w:tab/>
      </w:r>
      <w:r>
        <w:fldChar w:fldCharType="begin"/>
      </w:r>
      <w:r>
        <w:instrText xml:space="preserve"> PAGEREF _Toc465162157 \h </w:instrText>
      </w:r>
      <w:r>
        <w:fldChar w:fldCharType="separate"/>
      </w:r>
      <w:r w:rsidR="00E56BB0">
        <w:t>16</w:t>
      </w:r>
      <w:r>
        <w:fldChar w:fldCharType="end"/>
      </w:r>
    </w:p>
    <w:p w:rsidR="00122486" w:rsidRDefault="00122486">
      <w:pPr>
        <w:pStyle w:val="TOC1"/>
        <w:rPr>
          <w:rFonts w:asciiTheme="minorHAnsi" w:eastAsiaTheme="minorEastAsia" w:hAnsiTheme="minorHAnsi" w:cstheme="minorBidi"/>
          <w:color w:val="auto"/>
          <w:sz w:val="22"/>
          <w:szCs w:val="22"/>
          <w:lang w:eastAsia="en-AU"/>
        </w:rPr>
      </w:pPr>
      <w:r>
        <w:t>Identifying qualifications with zero enrolments</w:t>
      </w:r>
      <w:r>
        <w:tab/>
      </w:r>
      <w:r>
        <w:fldChar w:fldCharType="begin"/>
      </w:r>
      <w:r>
        <w:instrText xml:space="preserve"> PAGEREF _Toc465162158 \h </w:instrText>
      </w:r>
      <w:r>
        <w:fldChar w:fldCharType="separate"/>
      </w:r>
      <w:r w:rsidR="00E56BB0">
        <w:t>22</w:t>
      </w:r>
      <w:r>
        <w:fldChar w:fldCharType="end"/>
      </w:r>
    </w:p>
    <w:p w:rsidR="00122486" w:rsidRDefault="00122486">
      <w:pPr>
        <w:pStyle w:val="TOC2"/>
        <w:rPr>
          <w:rFonts w:asciiTheme="minorHAnsi" w:eastAsiaTheme="minorEastAsia" w:hAnsiTheme="minorHAnsi" w:cstheme="minorBidi"/>
          <w:color w:val="auto"/>
          <w:sz w:val="22"/>
          <w:szCs w:val="22"/>
          <w:lang w:eastAsia="en-AU"/>
        </w:rPr>
      </w:pPr>
      <w:r>
        <w:t>Qualifications with zero enrolments</w:t>
      </w:r>
      <w:r>
        <w:tab/>
      </w:r>
      <w:r>
        <w:fldChar w:fldCharType="begin"/>
      </w:r>
      <w:r>
        <w:instrText xml:space="preserve"> PAGEREF _Toc465162159 \h </w:instrText>
      </w:r>
      <w:r>
        <w:fldChar w:fldCharType="separate"/>
      </w:r>
      <w:r w:rsidR="00E56BB0">
        <w:t>22</w:t>
      </w:r>
      <w:r>
        <w:fldChar w:fldCharType="end"/>
      </w:r>
    </w:p>
    <w:p w:rsidR="00122486" w:rsidRDefault="00122486">
      <w:pPr>
        <w:pStyle w:val="TOC2"/>
        <w:rPr>
          <w:rFonts w:asciiTheme="minorHAnsi" w:eastAsiaTheme="minorEastAsia" w:hAnsiTheme="minorHAnsi" w:cstheme="minorBidi"/>
          <w:color w:val="auto"/>
          <w:sz w:val="22"/>
          <w:szCs w:val="22"/>
          <w:lang w:eastAsia="en-AU"/>
        </w:rPr>
      </w:pPr>
      <w:r>
        <w:t>Training packages with zero enrolments</w:t>
      </w:r>
      <w:r>
        <w:tab/>
      </w:r>
      <w:r>
        <w:fldChar w:fldCharType="begin"/>
      </w:r>
      <w:r>
        <w:instrText xml:space="preserve"> PAGEREF _Toc465162160 \h </w:instrText>
      </w:r>
      <w:r>
        <w:fldChar w:fldCharType="separate"/>
      </w:r>
      <w:r w:rsidR="00E56BB0">
        <w:t>24</w:t>
      </w:r>
      <w:r>
        <w:fldChar w:fldCharType="end"/>
      </w:r>
    </w:p>
    <w:p w:rsidR="00122486" w:rsidRDefault="00122486">
      <w:pPr>
        <w:pStyle w:val="TOC1"/>
        <w:rPr>
          <w:rFonts w:asciiTheme="minorHAnsi" w:eastAsiaTheme="minorEastAsia" w:hAnsiTheme="minorHAnsi" w:cstheme="minorBidi"/>
          <w:color w:val="auto"/>
          <w:sz w:val="22"/>
          <w:szCs w:val="22"/>
          <w:lang w:eastAsia="en-AU"/>
        </w:rPr>
      </w:pPr>
      <w:r>
        <w:t>Vocational scope of qualifications</w:t>
      </w:r>
      <w:r>
        <w:tab/>
      </w:r>
      <w:r>
        <w:fldChar w:fldCharType="begin"/>
      </w:r>
      <w:r>
        <w:instrText xml:space="preserve"> PAGEREF _Toc465162161 \h </w:instrText>
      </w:r>
      <w:r>
        <w:fldChar w:fldCharType="separate"/>
      </w:r>
      <w:r w:rsidR="00E56BB0">
        <w:t>25</w:t>
      </w:r>
      <w:r>
        <w:fldChar w:fldCharType="end"/>
      </w:r>
    </w:p>
    <w:p w:rsidR="00122486" w:rsidRDefault="00122486">
      <w:pPr>
        <w:pStyle w:val="TOC2"/>
        <w:rPr>
          <w:rFonts w:asciiTheme="minorHAnsi" w:eastAsiaTheme="minorEastAsia" w:hAnsiTheme="minorHAnsi" w:cstheme="minorBidi"/>
          <w:color w:val="auto"/>
          <w:sz w:val="22"/>
          <w:szCs w:val="22"/>
          <w:lang w:eastAsia="en-AU"/>
        </w:rPr>
      </w:pPr>
      <w:r>
        <w:t>Applying this broad approach to the Australian context</w:t>
      </w:r>
      <w:r>
        <w:tab/>
      </w:r>
      <w:r>
        <w:fldChar w:fldCharType="begin"/>
      </w:r>
      <w:r>
        <w:instrText xml:space="preserve"> PAGEREF _Toc465162162 \h </w:instrText>
      </w:r>
      <w:r>
        <w:fldChar w:fldCharType="separate"/>
      </w:r>
      <w:r w:rsidR="00E56BB0">
        <w:t>26</w:t>
      </w:r>
      <w:r>
        <w:fldChar w:fldCharType="end"/>
      </w:r>
    </w:p>
    <w:p w:rsidR="00122486" w:rsidRDefault="00122486">
      <w:pPr>
        <w:pStyle w:val="TOC1"/>
        <w:rPr>
          <w:rFonts w:asciiTheme="minorHAnsi" w:eastAsiaTheme="minorEastAsia" w:hAnsiTheme="minorHAnsi" w:cstheme="minorBidi"/>
          <w:color w:val="auto"/>
          <w:sz w:val="22"/>
          <w:szCs w:val="22"/>
          <w:lang w:eastAsia="en-AU"/>
        </w:rPr>
      </w:pPr>
      <w:r>
        <w:t>Conclusions</w:t>
      </w:r>
      <w:r>
        <w:tab/>
      </w:r>
      <w:r>
        <w:fldChar w:fldCharType="begin"/>
      </w:r>
      <w:r>
        <w:instrText xml:space="preserve"> PAGEREF _Toc465162163 \h </w:instrText>
      </w:r>
      <w:r>
        <w:fldChar w:fldCharType="separate"/>
      </w:r>
      <w:r w:rsidR="00E56BB0">
        <w:t>31</w:t>
      </w:r>
      <w:r>
        <w:fldChar w:fldCharType="end"/>
      </w:r>
    </w:p>
    <w:p w:rsidR="00122486" w:rsidRDefault="00122486">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_Toc465162164 \h </w:instrText>
      </w:r>
      <w:r>
        <w:fldChar w:fldCharType="separate"/>
      </w:r>
      <w:r w:rsidR="00E56BB0">
        <w:t>35</w:t>
      </w:r>
      <w:r>
        <w:fldChar w:fldCharType="end"/>
      </w:r>
    </w:p>
    <w:p w:rsidR="00122486" w:rsidRDefault="00122486">
      <w:pPr>
        <w:pStyle w:val="TOC1"/>
        <w:rPr>
          <w:rFonts w:asciiTheme="minorHAnsi" w:eastAsiaTheme="minorEastAsia" w:hAnsiTheme="minorHAnsi" w:cstheme="minorBidi"/>
          <w:color w:val="auto"/>
          <w:sz w:val="22"/>
          <w:szCs w:val="22"/>
          <w:lang w:eastAsia="en-AU"/>
        </w:rPr>
      </w:pPr>
      <w:r>
        <w:t xml:space="preserve">Appendix </w:t>
      </w:r>
      <w:r w:rsidR="000C37F3">
        <w:t>—</w:t>
      </w:r>
      <w:r>
        <w:t xml:space="preserve"> Overseas approaches to the removal of qualifications</w:t>
      </w:r>
      <w:r>
        <w:tab/>
      </w:r>
      <w:r>
        <w:fldChar w:fldCharType="begin"/>
      </w:r>
      <w:r>
        <w:instrText xml:space="preserve"> PAGEREF _Toc465162165 \h </w:instrText>
      </w:r>
      <w:r>
        <w:fldChar w:fldCharType="separate"/>
      </w:r>
      <w:r w:rsidR="00E56BB0">
        <w:t>36</w:t>
      </w:r>
      <w:r>
        <w:fldChar w:fldCharType="end"/>
      </w:r>
    </w:p>
    <w:p w:rsidR="00ED0C08" w:rsidRDefault="00497266" w:rsidP="00ED0C08">
      <w:pPr>
        <w:pStyle w:val="Text"/>
        <w:rPr>
          <w:b/>
        </w:rPr>
      </w:pPr>
      <w:r>
        <w:rPr>
          <w:rFonts w:ascii="Avant Garde" w:hAnsi="Avant Garde"/>
          <w:noProof/>
          <w:color w:val="000000"/>
          <w:szCs w:val="19"/>
        </w:rPr>
        <w:fldChar w:fldCharType="end"/>
      </w:r>
    </w:p>
    <w:p w:rsidR="00ED0C08" w:rsidRPr="00156177" w:rsidRDefault="00ED0C08">
      <w:pPr>
        <w:rPr>
          <w:b/>
          <w:color w:val="C00000"/>
        </w:rPr>
      </w:pPr>
      <w:r w:rsidRPr="00156177">
        <w:rPr>
          <w:b/>
          <w:color w:val="C00000"/>
        </w:rPr>
        <w:br w:type="page"/>
      </w:r>
    </w:p>
    <w:p w:rsidR="00ED0C08" w:rsidRDefault="00ED0C08" w:rsidP="00ED0C08">
      <w:pPr>
        <w:pStyle w:val="Heading1"/>
      </w:pPr>
      <w:bookmarkStart w:id="22" w:name="_Toc316371579"/>
      <w:bookmarkStart w:id="23" w:name="_Toc465162147"/>
      <w:r>
        <w:lastRenderedPageBreak/>
        <w:t>Tables and figures</w:t>
      </w:r>
      <w:bookmarkEnd w:id="22"/>
      <w:bookmarkEnd w:id="23"/>
    </w:p>
    <w:p w:rsidR="00ED0C08" w:rsidRDefault="00ED0C08" w:rsidP="00ED0C08">
      <w:pPr>
        <w:pStyle w:val="Heading2"/>
      </w:pPr>
      <w:bookmarkStart w:id="24" w:name="_Toc296497516"/>
      <w:bookmarkStart w:id="25" w:name="_Toc298162801"/>
      <w:bookmarkStart w:id="26" w:name="_Toc316371580"/>
      <w:bookmarkStart w:id="27" w:name="_Toc465064087"/>
      <w:bookmarkStart w:id="28" w:name="_Toc465162148"/>
      <w:r>
        <w:t>Tables</w:t>
      </w:r>
      <w:bookmarkEnd w:id="24"/>
      <w:bookmarkEnd w:id="25"/>
      <w:bookmarkEnd w:id="26"/>
      <w:bookmarkEnd w:id="27"/>
      <w:bookmarkEnd w:id="28"/>
    </w:p>
    <w:p w:rsidR="00122486" w:rsidRDefault="00497266" w:rsidP="00122486">
      <w:pPr>
        <w:pStyle w:val="TableofFigures"/>
        <w:tabs>
          <w:tab w:val="clear" w:pos="6804"/>
          <w:tab w:val="left" w:pos="950"/>
          <w:tab w:val="right" w:pos="7088"/>
        </w:tabs>
        <w:rPr>
          <w:rFonts w:asciiTheme="minorHAnsi" w:eastAsiaTheme="minorEastAsia" w:hAnsiTheme="minorHAnsi" w:cstheme="minorBidi"/>
          <w:color w:val="auto"/>
          <w:sz w:val="22"/>
          <w:szCs w:val="22"/>
          <w:lang w:eastAsia="en-AU"/>
        </w:rPr>
      </w:pPr>
      <w:r>
        <w:fldChar w:fldCharType="begin"/>
      </w:r>
      <w:r w:rsidR="00ED0C08">
        <w:instrText xml:space="preserve"> TOC \f F \t "tabletitle" \c </w:instrText>
      </w:r>
      <w:r>
        <w:fldChar w:fldCharType="separate"/>
      </w:r>
      <w:r w:rsidR="00122486">
        <w:t>1</w:t>
      </w:r>
      <w:r w:rsidR="00122486">
        <w:rPr>
          <w:rFonts w:asciiTheme="minorHAnsi" w:eastAsiaTheme="minorEastAsia" w:hAnsiTheme="minorHAnsi" w:cstheme="minorBidi"/>
          <w:color w:val="auto"/>
          <w:sz w:val="22"/>
          <w:szCs w:val="22"/>
          <w:lang w:eastAsia="en-AU"/>
        </w:rPr>
        <w:tab/>
      </w:r>
      <w:r w:rsidR="00122486">
        <w:t>VET programs, 2015</w:t>
      </w:r>
      <w:r w:rsidR="00122486">
        <w:tab/>
      </w:r>
      <w:r w:rsidR="00122486">
        <w:fldChar w:fldCharType="begin"/>
      </w:r>
      <w:r w:rsidR="00122486">
        <w:instrText xml:space="preserve"> PAGEREF _Toc465162104 \h </w:instrText>
      </w:r>
      <w:r w:rsidR="00122486">
        <w:fldChar w:fldCharType="separate"/>
      </w:r>
      <w:r w:rsidR="00E56BB0">
        <w:t>13</w:t>
      </w:r>
      <w:r w:rsidR="00122486">
        <w:fldChar w:fldCharType="end"/>
      </w:r>
    </w:p>
    <w:p w:rsidR="00122486" w:rsidRDefault="00122486" w:rsidP="00122486">
      <w:pPr>
        <w:pStyle w:val="TableofFigures"/>
        <w:tabs>
          <w:tab w:val="clear" w:pos="6804"/>
          <w:tab w:val="left" w:pos="950"/>
          <w:tab w:val="right" w:pos="7088"/>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Superseded qualifications with enrolments, 2015</w:t>
      </w:r>
      <w:r>
        <w:tab/>
      </w:r>
      <w:r>
        <w:fldChar w:fldCharType="begin"/>
      </w:r>
      <w:r>
        <w:instrText xml:space="preserve"> PAGEREF _Toc465162105 \h </w:instrText>
      </w:r>
      <w:r>
        <w:fldChar w:fldCharType="separate"/>
      </w:r>
      <w:r w:rsidR="00E56BB0">
        <w:t>14</w:t>
      </w:r>
      <w:r>
        <w:fldChar w:fldCharType="end"/>
      </w:r>
    </w:p>
    <w:p w:rsidR="00122486" w:rsidRDefault="00122486" w:rsidP="00122486">
      <w:pPr>
        <w:pStyle w:val="TableofFigures"/>
        <w:tabs>
          <w:tab w:val="clear" w:pos="6804"/>
          <w:tab w:val="left" w:pos="950"/>
          <w:tab w:val="right" w:pos="7088"/>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First three quartiles of training packages by enrolments, 2015</w:t>
      </w:r>
      <w:r>
        <w:tab/>
      </w:r>
      <w:r>
        <w:fldChar w:fldCharType="begin"/>
      </w:r>
      <w:r>
        <w:instrText xml:space="preserve"> PAGEREF _Toc465162106 \h </w:instrText>
      </w:r>
      <w:r>
        <w:fldChar w:fldCharType="separate"/>
      </w:r>
      <w:r w:rsidR="00E56BB0">
        <w:t>21</w:t>
      </w:r>
      <w:r>
        <w:fldChar w:fldCharType="end"/>
      </w:r>
    </w:p>
    <w:p w:rsidR="00122486" w:rsidRDefault="00122486" w:rsidP="00122486">
      <w:pPr>
        <w:pStyle w:val="TableofFigures"/>
        <w:tabs>
          <w:tab w:val="clear" w:pos="6804"/>
          <w:tab w:val="left" w:pos="950"/>
          <w:tab w:val="right" w:pos="7088"/>
        </w:tabs>
        <w:ind w:left="284"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Number of qualifications with zero enrolments by qualification level, 2015</w:t>
      </w:r>
      <w:r>
        <w:tab/>
      </w:r>
      <w:r>
        <w:fldChar w:fldCharType="begin"/>
      </w:r>
      <w:r>
        <w:instrText xml:space="preserve"> PAGEREF _Toc465162107 \h </w:instrText>
      </w:r>
      <w:r>
        <w:fldChar w:fldCharType="separate"/>
      </w:r>
      <w:r w:rsidR="00E56BB0">
        <w:t>23</w:t>
      </w:r>
      <w:r>
        <w:fldChar w:fldCharType="end"/>
      </w:r>
    </w:p>
    <w:p w:rsidR="00122486" w:rsidRDefault="00122486" w:rsidP="00122486">
      <w:pPr>
        <w:pStyle w:val="TableofFigures"/>
        <w:tabs>
          <w:tab w:val="clear" w:pos="6804"/>
          <w:tab w:val="right" w:pos="7088"/>
        </w:tabs>
        <w:rPr>
          <w:rFonts w:asciiTheme="minorHAnsi" w:eastAsiaTheme="minorEastAsia" w:hAnsiTheme="minorHAnsi" w:cstheme="minorBidi"/>
          <w:color w:val="auto"/>
          <w:sz w:val="22"/>
          <w:szCs w:val="22"/>
          <w:lang w:eastAsia="en-AU"/>
        </w:rPr>
      </w:pPr>
      <w:r>
        <w:t xml:space="preserve">5 </w:t>
      </w:r>
      <w:r>
        <w:tab/>
        <w:t>The proposed United Kingdom Post-16 Skills Plan technical routes</w:t>
      </w:r>
      <w:r>
        <w:tab/>
      </w:r>
      <w:r>
        <w:fldChar w:fldCharType="begin"/>
      </w:r>
      <w:r>
        <w:instrText xml:space="preserve"> PAGEREF _Toc465162108 \h </w:instrText>
      </w:r>
      <w:r>
        <w:fldChar w:fldCharType="separate"/>
      </w:r>
      <w:r w:rsidR="00E56BB0">
        <w:t>26</w:t>
      </w:r>
      <w:r>
        <w:fldChar w:fldCharType="end"/>
      </w:r>
    </w:p>
    <w:p w:rsidR="00122486" w:rsidRDefault="00122486" w:rsidP="00122486">
      <w:pPr>
        <w:pStyle w:val="TableofFigures"/>
        <w:tabs>
          <w:tab w:val="clear" w:pos="6804"/>
          <w:tab w:val="left" w:pos="950"/>
          <w:tab w:val="right" w:pos="7088"/>
        </w:tabs>
        <w:ind w:left="284" w:hanging="284"/>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Number of qualifications after grouping by ANZSCO levels by ANZSCO major group, 2015</w:t>
      </w:r>
      <w:r>
        <w:tab/>
      </w:r>
      <w:r>
        <w:fldChar w:fldCharType="begin"/>
      </w:r>
      <w:r>
        <w:instrText xml:space="preserve"> PAGEREF _Toc465162109 \h </w:instrText>
      </w:r>
      <w:r>
        <w:fldChar w:fldCharType="separate"/>
      </w:r>
      <w:r w:rsidR="00E56BB0">
        <w:t>27</w:t>
      </w:r>
      <w:r>
        <w:fldChar w:fldCharType="end"/>
      </w:r>
    </w:p>
    <w:p w:rsidR="00122486" w:rsidRDefault="00122486" w:rsidP="00122486">
      <w:pPr>
        <w:pStyle w:val="TableofFigures"/>
        <w:tabs>
          <w:tab w:val="clear" w:pos="6804"/>
          <w:tab w:val="left" w:pos="950"/>
          <w:tab w:val="right" w:pos="7088"/>
        </w:tabs>
        <w:ind w:left="284" w:hanging="284"/>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Mean enrolments per group after grouping by ANZSCO levels by ANZSCO major group, 2015</w:t>
      </w:r>
      <w:r>
        <w:tab/>
      </w:r>
      <w:r>
        <w:fldChar w:fldCharType="begin"/>
      </w:r>
      <w:r>
        <w:instrText xml:space="preserve"> PAGEREF _Toc465162110 \h </w:instrText>
      </w:r>
      <w:r>
        <w:fldChar w:fldCharType="separate"/>
      </w:r>
      <w:r w:rsidR="00E56BB0">
        <w:t>28</w:t>
      </w:r>
      <w:r>
        <w:fldChar w:fldCharType="end"/>
      </w:r>
    </w:p>
    <w:p w:rsidR="00122486" w:rsidRDefault="00122486" w:rsidP="00122486">
      <w:pPr>
        <w:pStyle w:val="TableofFigures"/>
        <w:tabs>
          <w:tab w:val="clear" w:pos="6804"/>
          <w:tab w:val="left" w:pos="950"/>
          <w:tab w:val="right" w:pos="7088"/>
        </w:tabs>
        <w:ind w:left="284" w:hanging="284"/>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Number of groups with zero enrolments after grouping by ANZSCO levels by ANZSCO major group, 2015</w:t>
      </w:r>
      <w:r>
        <w:tab/>
      </w:r>
      <w:r>
        <w:fldChar w:fldCharType="begin"/>
      </w:r>
      <w:r>
        <w:instrText xml:space="preserve"> PAGEREF _Toc465162111 \h </w:instrText>
      </w:r>
      <w:r>
        <w:fldChar w:fldCharType="separate"/>
      </w:r>
      <w:r w:rsidR="00E56BB0">
        <w:t>29</w:t>
      </w:r>
      <w:r>
        <w:fldChar w:fldCharType="end"/>
      </w:r>
    </w:p>
    <w:p w:rsidR="00122486" w:rsidRDefault="00122486" w:rsidP="00122486">
      <w:pPr>
        <w:pStyle w:val="TableofFigures"/>
        <w:tabs>
          <w:tab w:val="clear" w:pos="6804"/>
          <w:tab w:val="left" w:pos="950"/>
          <w:tab w:val="right" w:pos="7088"/>
        </w:tabs>
        <w:ind w:left="284" w:hanging="284"/>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 xml:space="preserve">ANZSCO occupations within the minor group </w:t>
      </w:r>
      <w:r w:rsidR="00D4102C">
        <w:t>‘</w:t>
      </w:r>
      <w:r>
        <w:t>423 Personal carers and assistants’</w:t>
      </w:r>
      <w:r>
        <w:tab/>
      </w:r>
      <w:r>
        <w:fldChar w:fldCharType="begin"/>
      </w:r>
      <w:r>
        <w:instrText xml:space="preserve"> PAGEREF _Toc465162112 \h </w:instrText>
      </w:r>
      <w:r>
        <w:fldChar w:fldCharType="separate"/>
      </w:r>
      <w:r w:rsidR="00E56BB0">
        <w:t>29</w:t>
      </w:r>
      <w:r>
        <w:fldChar w:fldCharType="end"/>
      </w:r>
    </w:p>
    <w:p w:rsidR="00122486" w:rsidRDefault="00122486" w:rsidP="00122486">
      <w:pPr>
        <w:pStyle w:val="TableofFigures"/>
        <w:tabs>
          <w:tab w:val="clear" w:pos="6804"/>
          <w:tab w:val="left" w:pos="1140"/>
          <w:tab w:val="right" w:pos="7088"/>
        </w:tabs>
        <w:ind w:left="284" w:right="1275" w:hanging="284"/>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Qualifications within minor group ‘423 Personal carers and assistants’</w:t>
      </w:r>
      <w:r>
        <w:tab/>
      </w:r>
      <w:r>
        <w:fldChar w:fldCharType="begin"/>
      </w:r>
      <w:r>
        <w:instrText xml:space="preserve"> PAGEREF _Toc465162113 \h </w:instrText>
      </w:r>
      <w:r>
        <w:fldChar w:fldCharType="separate"/>
      </w:r>
      <w:r w:rsidR="00E56BB0">
        <w:t>30</w:t>
      </w:r>
      <w:r>
        <w:fldChar w:fldCharType="end"/>
      </w:r>
    </w:p>
    <w:p w:rsidR="00122486" w:rsidRDefault="00497266" w:rsidP="00122486">
      <w:pPr>
        <w:pStyle w:val="Heading2"/>
        <w:ind w:left="340" w:hanging="340"/>
        <w:rPr>
          <w:noProof/>
        </w:rPr>
      </w:pPr>
      <w:r>
        <w:fldChar w:fldCharType="end"/>
      </w:r>
      <w:bookmarkStart w:id="29" w:name="_Toc296497517"/>
      <w:bookmarkStart w:id="30" w:name="_Toc298162802"/>
      <w:bookmarkStart w:id="31" w:name="_Toc316371581"/>
      <w:bookmarkStart w:id="32" w:name="_Toc465064088"/>
      <w:bookmarkStart w:id="33" w:name="_Toc465162149"/>
      <w:r w:rsidR="00ED0C08">
        <w:t>Figures</w:t>
      </w:r>
      <w:bookmarkEnd w:id="29"/>
      <w:bookmarkEnd w:id="30"/>
      <w:bookmarkEnd w:id="31"/>
      <w:bookmarkEnd w:id="32"/>
      <w:bookmarkEnd w:id="33"/>
      <w:r>
        <w:rPr>
          <w:rFonts w:ascii="Garamond" w:hAnsi="Garamond"/>
          <w:sz w:val="22"/>
        </w:rPr>
        <w:fldChar w:fldCharType="begin"/>
      </w:r>
      <w:r w:rsidR="00ED0C08">
        <w:instrText xml:space="preserve"> TOC \t "Figuretitle" \c </w:instrText>
      </w:r>
      <w:r>
        <w:rPr>
          <w:rFonts w:ascii="Garamond" w:hAnsi="Garamond"/>
          <w:sz w:val="22"/>
        </w:rPr>
        <w:fldChar w:fldCharType="separate"/>
      </w:r>
    </w:p>
    <w:p w:rsidR="00122486" w:rsidRDefault="00122486" w:rsidP="00122486">
      <w:pPr>
        <w:pStyle w:val="TableofFigures"/>
        <w:tabs>
          <w:tab w:val="clear" w:pos="6804"/>
          <w:tab w:val="left" w:pos="950"/>
          <w:tab w:val="right" w:pos="7088"/>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Program enrolments by type of accreditation, 2015</w:t>
      </w:r>
      <w:r>
        <w:tab/>
      </w:r>
      <w:r>
        <w:fldChar w:fldCharType="begin"/>
      </w:r>
      <w:r>
        <w:instrText xml:space="preserve"> PAGEREF _Toc465161927 \h </w:instrText>
      </w:r>
      <w:r>
        <w:fldChar w:fldCharType="separate"/>
      </w:r>
      <w:r w:rsidR="00E56BB0">
        <w:t>13</w:t>
      </w:r>
      <w:r>
        <w:fldChar w:fldCharType="end"/>
      </w:r>
    </w:p>
    <w:p w:rsidR="00122486" w:rsidRDefault="00122486" w:rsidP="00122486">
      <w:pPr>
        <w:pStyle w:val="TableofFigures"/>
        <w:tabs>
          <w:tab w:val="clear" w:pos="6804"/>
          <w:tab w:val="left" w:pos="950"/>
          <w:tab w:val="right" w:pos="7088"/>
        </w:tabs>
        <w:ind w:left="284" w:right="1417"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Number of current and superseded qualifications and enrolments, original and consolidated lists, 2015</w:t>
      </w:r>
      <w:r>
        <w:tab/>
      </w:r>
      <w:r>
        <w:fldChar w:fldCharType="begin"/>
      </w:r>
      <w:r>
        <w:instrText xml:space="preserve"> PAGEREF _Toc465161928 \h </w:instrText>
      </w:r>
      <w:r>
        <w:fldChar w:fldCharType="separate"/>
      </w:r>
      <w:r w:rsidR="00E56BB0">
        <w:t>15</w:t>
      </w:r>
      <w:r>
        <w:fldChar w:fldCharType="end"/>
      </w:r>
    </w:p>
    <w:p w:rsidR="00122486" w:rsidRDefault="00122486" w:rsidP="00122486">
      <w:pPr>
        <w:pStyle w:val="TableofFigures"/>
        <w:tabs>
          <w:tab w:val="clear" w:pos="6804"/>
          <w:tab w:val="left" w:pos="950"/>
          <w:tab w:val="right" w:pos="7088"/>
        </w:tabs>
        <w:ind w:right="1417"/>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Percentage of qualifications and enrolments by enrolment bands, 2015</w:t>
      </w:r>
      <w:r>
        <w:tab/>
      </w:r>
      <w:r>
        <w:fldChar w:fldCharType="begin"/>
      </w:r>
      <w:r>
        <w:instrText xml:space="preserve"> PAGEREF _Toc465161929 \h </w:instrText>
      </w:r>
      <w:r>
        <w:fldChar w:fldCharType="separate"/>
      </w:r>
      <w:r w:rsidR="00E56BB0">
        <w:t>16</w:t>
      </w:r>
      <w:r>
        <w:fldChar w:fldCharType="end"/>
      </w:r>
    </w:p>
    <w:p w:rsidR="00122486" w:rsidRDefault="00122486" w:rsidP="00122486">
      <w:pPr>
        <w:pStyle w:val="TableofFigures"/>
        <w:tabs>
          <w:tab w:val="clear" w:pos="6804"/>
          <w:tab w:val="left" w:pos="950"/>
          <w:tab w:val="right" w:pos="7088"/>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Number of enrolments in each qualification, 2015</w:t>
      </w:r>
      <w:r>
        <w:tab/>
      </w:r>
      <w:r>
        <w:fldChar w:fldCharType="begin"/>
      </w:r>
      <w:r>
        <w:instrText xml:space="preserve"> PAGEREF _Toc465161930 \h </w:instrText>
      </w:r>
      <w:r>
        <w:fldChar w:fldCharType="separate"/>
      </w:r>
      <w:r w:rsidR="00E56BB0">
        <w:t>17</w:t>
      </w:r>
      <w:r>
        <w:fldChar w:fldCharType="end"/>
      </w:r>
    </w:p>
    <w:p w:rsidR="00122486" w:rsidRDefault="00122486" w:rsidP="00122486">
      <w:pPr>
        <w:pStyle w:val="TableofFigures"/>
        <w:tabs>
          <w:tab w:val="clear" w:pos="6804"/>
          <w:tab w:val="left" w:pos="950"/>
          <w:tab w:val="right" w:pos="7088"/>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Number of enrolments in the first 200 qualifications, 2015</w:t>
      </w:r>
      <w:r>
        <w:tab/>
      </w:r>
      <w:r>
        <w:fldChar w:fldCharType="begin"/>
      </w:r>
      <w:r>
        <w:instrText xml:space="preserve"> PAGEREF _Toc465161931 \h </w:instrText>
      </w:r>
      <w:r>
        <w:fldChar w:fldCharType="separate"/>
      </w:r>
      <w:r w:rsidR="00E56BB0">
        <w:t>18</w:t>
      </w:r>
      <w:r>
        <w:fldChar w:fldCharType="end"/>
      </w:r>
    </w:p>
    <w:p w:rsidR="00122486" w:rsidRDefault="00122486" w:rsidP="00122486">
      <w:pPr>
        <w:pStyle w:val="TableofFigures"/>
        <w:tabs>
          <w:tab w:val="clear" w:pos="6804"/>
          <w:tab w:val="left" w:pos="950"/>
          <w:tab w:val="right" w:pos="7088"/>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Number of enrolments in the remaining qualifications, 2015</w:t>
      </w:r>
      <w:r>
        <w:tab/>
      </w:r>
      <w:r>
        <w:fldChar w:fldCharType="begin"/>
      </w:r>
      <w:r>
        <w:instrText xml:space="preserve"> PAGEREF _Toc465161932 \h </w:instrText>
      </w:r>
      <w:r>
        <w:fldChar w:fldCharType="separate"/>
      </w:r>
      <w:r w:rsidR="00E56BB0">
        <w:t>18</w:t>
      </w:r>
      <w:r>
        <w:fldChar w:fldCharType="end"/>
      </w:r>
    </w:p>
    <w:p w:rsidR="00122486" w:rsidRDefault="00122486" w:rsidP="00122486">
      <w:pPr>
        <w:pStyle w:val="TableofFigures"/>
        <w:tabs>
          <w:tab w:val="clear" w:pos="6804"/>
          <w:tab w:val="left" w:pos="950"/>
          <w:tab w:val="right" w:pos="7088"/>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Number of enrolments in each training package, 2015</w:t>
      </w:r>
      <w:r>
        <w:tab/>
      </w:r>
      <w:r>
        <w:fldChar w:fldCharType="begin"/>
      </w:r>
      <w:r>
        <w:instrText xml:space="preserve"> PAGEREF _Toc465161933 \h </w:instrText>
      </w:r>
      <w:r>
        <w:fldChar w:fldCharType="separate"/>
      </w:r>
      <w:r w:rsidR="00E56BB0">
        <w:t>19</w:t>
      </w:r>
      <w:r>
        <w:fldChar w:fldCharType="end"/>
      </w:r>
    </w:p>
    <w:p w:rsidR="00122486" w:rsidRDefault="00122486" w:rsidP="00122486">
      <w:pPr>
        <w:pStyle w:val="TableofFigures"/>
        <w:tabs>
          <w:tab w:val="clear" w:pos="6804"/>
          <w:tab w:val="left" w:pos="950"/>
          <w:tab w:val="right" w:pos="7088"/>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Number of enrolments in the first 20 training packages, 2015</w:t>
      </w:r>
      <w:r>
        <w:tab/>
      </w:r>
      <w:r>
        <w:fldChar w:fldCharType="begin"/>
      </w:r>
      <w:r>
        <w:instrText xml:space="preserve"> PAGEREF _Toc465161934 \h </w:instrText>
      </w:r>
      <w:r>
        <w:fldChar w:fldCharType="separate"/>
      </w:r>
      <w:r w:rsidR="00E56BB0">
        <w:t>20</w:t>
      </w:r>
      <w:r>
        <w:fldChar w:fldCharType="end"/>
      </w:r>
    </w:p>
    <w:p w:rsidR="00122486" w:rsidRDefault="00122486" w:rsidP="00122486">
      <w:pPr>
        <w:pStyle w:val="TableofFigures"/>
        <w:tabs>
          <w:tab w:val="clear" w:pos="6804"/>
          <w:tab w:val="left" w:pos="950"/>
          <w:tab w:val="right" w:pos="7088"/>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Number of enrolments in the remaining training packages, 2015</w:t>
      </w:r>
      <w:r>
        <w:tab/>
      </w:r>
      <w:r>
        <w:fldChar w:fldCharType="begin"/>
      </w:r>
      <w:r>
        <w:instrText xml:space="preserve"> PAGEREF _Toc465161935 \h </w:instrText>
      </w:r>
      <w:r>
        <w:fldChar w:fldCharType="separate"/>
      </w:r>
      <w:r w:rsidR="00E56BB0">
        <w:t>20</w:t>
      </w:r>
      <w:r>
        <w:fldChar w:fldCharType="end"/>
      </w:r>
    </w:p>
    <w:p w:rsidR="00122486" w:rsidRDefault="00122486" w:rsidP="00122486">
      <w:pPr>
        <w:pStyle w:val="TableofFigures"/>
        <w:tabs>
          <w:tab w:val="clear" w:pos="6804"/>
          <w:tab w:val="left" w:pos="1140"/>
          <w:tab w:val="right" w:pos="7088"/>
        </w:tabs>
        <w:ind w:left="284" w:hanging="284"/>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Number of qualifications with zero enrolments in 2015 by year of initial release</w:t>
      </w:r>
      <w:r>
        <w:tab/>
      </w:r>
      <w:r>
        <w:fldChar w:fldCharType="begin"/>
      </w:r>
      <w:r>
        <w:instrText xml:space="preserve"> PAGEREF _Toc465161936 \h </w:instrText>
      </w:r>
      <w:r>
        <w:fldChar w:fldCharType="separate"/>
      </w:r>
      <w:r w:rsidR="00E56BB0">
        <w:t>23</w:t>
      </w:r>
      <w:r>
        <w:fldChar w:fldCharType="end"/>
      </w:r>
    </w:p>
    <w:p w:rsidR="00122486" w:rsidRDefault="00122486" w:rsidP="00122486">
      <w:pPr>
        <w:pStyle w:val="TableofFigures"/>
        <w:tabs>
          <w:tab w:val="clear" w:pos="6804"/>
          <w:tab w:val="left" w:pos="1140"/>
          <w:tab w:val="right" w:pos="7088"/>
        </w:tabs>
        <w:ind w:left="284" w:hanging="284"/>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Percentage of qualifications with zero enrolments by field of education, 2015</w:t>
      </w:r>
      <w:r>
        <w:tab/>
      </w:r>
      <w:r>
        <w:fldChar w:fldCharType="begin"/>
      </w:r>
      <w:r>
        <w:instrText xml:space="preserve"> PAGEREF _Toc465161937 \h </w:instrText>
      </w:r>
      <w:r>
        <w:fldChar w:fldCharType="separate"/>
      </w:r>
      <w:r w:rsidR="00E56BB0">
        <w:t>24</w:t>
      </w:r>
      <w:r>
        <w:fldChar w:fldCharType="end"/>
      </w:r>
    </w:p>
    <w:p w:rsidR="00122486" w:rsidRDefault="00122486" w:rsidP="00122486">
      <w:pPr>
        <w:pStyle w:val="TableofFigures"/>
        <w:tabs>
          <w:tab w:val="clear" w:pos="6804"/>
          <w:tab w:val="left" w:pos="1140"/>
          <w:tab w:val="right" w:pos="7088"/>
        </w:tabs>
        <w:ind w:left="284" w:right="1134" w:hanging="284"/>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Number of qualifications with zero enrolments by training package, 2015</w:t>
      </w:r>
      <w:r>
        <w:tab/>
      </w:r>
      <w:r>
        <w:fldChar w:fldCharType="begin"/>
      </w:r>
      <w:r>
        <w:instrText xml:space="preserve"> PAGEREF _Toc465161938 \h </w:instrText>
      </w:r>
      <w:r>
        <w:fldChar w:fldCharType="separate"/>
      </w:r>
      <w:r w:rsidR="00E56BB0">
        <w:t>24</w:t>
      </w:r>
      <w:r>
        <w:fldChar w:fldCharType="end"/>
      </w:r>
    </w:p>
    <w:p w:rsidR="00ED0C08" w:rsidRDefault="00497266" w:rsidP="00122486">
      <w:pPr>
        <w:pStyle w:val="TableofFigures"/>
        <w:tabs>
          <w:tab w:val="clear" w:pos="6804"/>
        </w:tabs>
        <w:ind w:left="284" w:hanging="284"/>
      </w:pPr>
      <w:r>
        <w:fldChar w:fldCharType="end"/>
      </w:r>
    </w:p>
    <w:p w:rsidR="00366E4E" w:rsidRDefault="00366E4E" w:rsidP="00606061">
      <w:pPr>
        <w:rPr>
          <w:noProof/>
        </w:rPr>
        <w:sectPr w:rsidR="00366E4E" w:rsidSect="005955B2">
          <w:headerReference w:type="default" r:id="rId34"/>
          <w:footerReference w:type="even" r:id="rId35"/>
          <w:footerReference w:type="default" r:id="rId36"/>
          <w:pgSz w:w="11907" w:h="16840" w:code="9"/>
          <w:pgMar w:top="1276" w:right="2835" w:bottom="992" w:left="1134" w:header="709" w:footer="556" w:gutter="0"/>
          <w:cols w:space="708"/>
          <w:docGrid w:linePitch="360"/>
        </w:sectPr>
      </w:pPr>
      <w:bookmarkStart w:id="34" w:name="_Toc416260886"/>
      <w:bookmarkEnd w:id="3"/>
      <w:bookmarkEnd w:id="4"/>
      <w:bookmarkEnd w:id="5"/>
      <w:bookmarkEnd w:id="6"/>
    </w:p>
    <w:p w:rsidR="00324917" w:rsidRPr="00B86D06" w:rsidRDefault="00606061" w:rsidP="00A16557">
      <w:pPr>
        <w:pStyle w:val="Heading1"/>
        <w:ind w:firstLine="720"/>
      </w:pPr>
      <w:r>
        <w:rPr>
          <w:noProof/>
        </w:rPr>
        <w:lastRenderedPageBreak/>
        <w:br w:type="page"/>
      </w:r>
      <w:bookmarkStart w:id="35" w:name="_Toc275542999"/>
      <w:bookmarkStart w:id="36" w:name="_Toc465162150"/>
      <w:r w:rsidR="00324917">
        <w:lastRenderedPageBreak/>
        <w:t>Executive s</w:t>
      </w:r>
      <w:r w:rsidR="00324917" w:rsidRPr="00B86D06">
        <w:t>ummary</w:t>
      </w:r>
      <w:bookmarkEnd w:id="35"/>
      <w:r w:rsidR="00324917">
        <w:t xml:space="preserve"> </w:t>
      </w:r>
      <w:r w:rsidR="00F05268">
        <w:rPr>
          <w:noProof/>
          <w:lang w:eastAsia="en-AU"/>
        </w:rPr>
        <mc:AlternateContent>
          <mc:Choice Requires="wps">
            <w:drawing>
              <wp:anchor distT="0" distB="0" distL="114300" distR="114300" simplePos="0" relativeHeight="251986944" behindDoc="0" locked="1" layoutInCell="1" allowOverlap="1" wp14:anchorId="0F391581" wp14:editId="1BFAC19E">
                <wp:simplePos x="0" y="0"/>
                <wp:positionH relativeFrom="outsideMargin">
                  <wp:posOffset>117475</wp:posOffset>
                </wp:positionH>
                <wp:positionV relativeFrom="page">
                  <wp:posOffset>828675</wp:posOffset>
                </wp:positionV>
                <wp:extent cx="1320800" cy="1333500"/>
                <wp:effectExtent l="0" t="0" r="0" b="0"/>
                <wp:wrapNone/>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83E4B" w:rsidRPr="00543BFF" w:rsidRDefault="00883E4B" w:rsidP="00BE5DCB">
                            <w:pPr>
                              <w:pStyle w:val="PullQuote"/>
                            </w:pPr>
                            <w:r>
                              <w:t>Total VET activity data allow a comprehensive view of enrolments across the sector.</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left:0;text-align:left;margin-left:9.25pt;margin-top:65.25pt;width:104pt;height:105pt;z-index:2519869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" filled="f" stroked="f" strokeweight=".5pt">
                <v:shadow on="t" type="perspective" color="black" opacity="9830f" origin=",.5" offset="0,25pt" matrix="58982f,,,-12452f"/>
                <v:path arrowok="t"/>
                <v:textbox inset="10mm">
                  <w:txbxContent>
                    <w:p w:rsidR="00883E4B" w:rsidRPr="00543BFF" w:rsidRDefault="00883E4B" w:rsidP="00BE5DCB">
                      <w:pPr>
                        <w:pStyle w:val="PullQuote"/>
                      </w:pPr>
                      <w:r>
                        <w:t>Total VET activity data allow a comprehensive view of enrolments across the sector.</w:t>
                      </w:r>
                    </w:p>
                  </w:txbxContent>
                </v:textbox>
                <w10:wrap anchorx="margin" anchory="page"/>
                <w10:anchorlock/>
              </v:shape>
            </w:pict>
          </mc:Fallback>
        </mc:AlternateContent>
      </w:r>
      <w:bookmarkEnd w:id="36"/>
    </w:p>
    <w:p w:rsidR="00266512" w:rsidRDefault="00A16557" w:rsidP="00266512">
      <w:pPr>
        <w:pStyle w:val="Text"/>
      </w:pPr>
      <w:r>
        <w:rPr>
          <w:noProof/>
          <w:lang w:eastAsia="en-AU"/>
        </w:rPr>
        <w:drawing>
          <wp:anchor distT="0" distB="0" distL="114300" distR="114300" simplePos="0" relativeHeight="251952128" behindDoc="0" locked="0" layoutInCell="1" allowOverlap="1" wp14:anchorId="7DE2965F" wp14:editId="78AFC1C1">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rsidR="00DF5E72">
        <w:t>Nationally recognised v</w:t>
      </w:r>
      <w:r w:rsidR="00266512">
        <w:t xml:space="preserve">ocational education and training (VET) in Australia is mainly </w:t>
      </w:r>
      <w:r w:rsidR="00F134EF">
        <w:t>constituted by</w:t>
      </w:r>
      <w:r w:rsidR="00266512">
        <w:t xml:space="preserve"> enrolments in </w:t>
      </w:r>
      <w:r w:rsidR="00DF5E72">
        <w:t xml:space="preserve">qualifications or </w:t>
      </w:r>
      <w:r w:rsidR="00266B4C">
        <w:t>skill sets</w:t>
      </w:r>
      <w:r w:rsidR="00F134EF">
        <w:t>,</w:t>
      </w:r>
      <w:r w:rsidR="00266512">
        <w:t xml:space="preserve"> </w:t>
      </w:r>
      <w:r w:rsidR="00F134EF">
        <w:t xml:space="preserve">as </w:t>
      </w:r>
      <w:r w:rsidR="00266512">
        <w:t xml:space="preserve">defined </w:t>
      </w:r>
      <w:r w:rsidR="009C12B4">
        <w:t>in</w:t>
      </w:r>
      <w:r w:rsidR="00F134EF">
        <w:t xml:space="preserve"> the various</w:t>
      </w:r>
      <w:r w:rsidR="00266512">
        <w:t xml:space="preserve"> training product</w:t>
      </w:r>
      <w:r w:rsidR="00DF5E72">
        <w:t>s</w:t>
      </w:r>
      <w:r w:rsidR="00F134EF">
        <w:t>.</w:t>
      </w:r>
      <w:r w:rsidR="00266512">
        <w:t xml:space="preserve"> </w:t>
      </w:r>
      <w:r w:rsidR="00DF5E72">
        <w:t xml:space="preserve">Qualifications and </w:t>
      </w:r>
      <w:r w:rsidR="0054258A">
        <w:t>skill set</w:t>
      </w:r>
      <w:r w:rsidR="00266B4C">
        <w:t>s</w:t>
      </w:r>
      <w:r w:rsidR="00DF5E72">
        <w:t xml:space="preserve"> </w:t>
      </w:r>
      <w:r w:rsidR="00261114">
        <w:t xml:space="preserve">themselves </w:t>
      </w:r>
      <w:r w:rsidR="00DF5E72">
        <w:t>are comprised of</w:t>
      </w:r>
      <w:r w:rsidR="00266512">
        <w:t xml:space="preserve"> units of c</w:t>
      </w:r>
      <w:r w:rsidR="00261114">
        <w:t>ompetency, which</w:t>
      </w:r>
      <w:r w:rsidR="00266512">
        <w:t xml:space="preserve"> are nationally agreed statements of the skills and knowledge required for effective performance in a particular job or function. </w:t>
      </w:r>
      <w:r w:rsidR="00DF5E72">
        <w:t>Qualifications are aligned to the Australian Qualifications Framework (AQF) and are developed through nation-wide industry consultations.</w:t>
      </w:r>
    </w:p>
    <w:p w:rsidR="00893718" w:rsidRDefault="00261114" w:rsidP="00266512">
      <w:pPr>
        <w:pStyle w:val="Text"/>
      </w:pPr>
      <w:r>
        <w:t>The r</w:t>
      </w:r>
      <w:r w:rsidR="00363557">
        <w:t xml:space="preserve">esponsibility for ensuring </w:t>
      </w:r>
      <w:r w:rsidR="009F0C48">
        <w:t>that</w:t>
      </w:r>
      <w:r w:rsidR="00DF5E72">
        <w:t xml:space="preserve"> training products meet the skills needs of industry rests with the Australian Indu</w:t>
      </w:r>
      <w:r w:rsidR="009C12B4">
        <w:t>stry and Skills Committee (AISC</w:t>
      </w:r>
      <w:proofErr w:type="gramStart"/>
      <w:r w:rsidR="009C12B4">
        <w:t>)</w:t>
      </w:r>
      <w:r w:rsidR="00DF5E72">
        <w:t>,</w:t>
      </w:r>
      <w:proofErr w:type="gramEnd"/>
      <w:r w:rsidR="00DF5E72">
        <w:t xml:space="preserve"> supported by advice from </w:t>
      </w:r>
      <w:r w:rsidR="009F0C48">
        <w:t>industry reference committees</w:t>
      </w:r>
      <w:r w:rsidR="00DF5E72">
        <w:t xml:space="preserve"> (IRCs) and development services provided by </w:t>
      </w:r>
      <w:r w:rsidR="009F0C48">
        <w:t>skills service organisations</w:t>
      </w:r>
      <w:r w:rsidR="00DF5E72">
        <w:t xml:space="preserve"> (SSOs).</w:t>
      </w:r>
      <w:r w:rsidR="00893718">
        <w:t xml:space="preserve"> </w:t>
      </w:r>
    </w:p>
    <w:p w:rsidR="000A3EB2" w:rsidRDefault="00A41CAB" w:rsidP="009B2B31">
      <w:pPr>
        <w:pStyle w:val="Text"/>
        <w:rPr>
          <w:color w:val="000000"/>
        </w:rPr>
      </w:pPr>
      <w:r>
        <w:rPr>
          <w:color w:val="000000"/>
        </w:rPr>
        <w:t xml:space="preserve">The </w:t>
      </w:r>
      <w:r w:rsidR="009F0C48">
        <w:rPr>
          <w:color w:val="000000"/>
        </w:rPr>
        <w:t>Council of Australian Governments (COAG)</w:t>
      </w:r>
      <w:r>
        <w:rPr>
          <w:color w:val="000000"/>
        </w:rPr>
        <w:t xml:space="preserve"> Industry and Skills Council (CISC)</w:t>
      </w:r>
      <w:r w:rsidR="009F0C48">
        <w:rPr>
          <w:color w:val="000000"/>
        </w:rPr>
        <w:t xml:space="preserve"> </w:t>
      </w:r>
      <w:r w:rsidR="009B2B31">
        <w:rPr>
          <w:color w:val="000000"/>
        </w:rPr>
        <w:t>commissioned a review of training packages and accredited courses in October 2014. At the November 2015 m</w:t>
      </w:r>
      <w:r w:rsidR="00F54F8A">
        <w:rPr>
          <w:color w:val="000000"/>
        </w:rPr>
        <w:t xml:space="preserve">eeting of </w:t>
      </w:r>
      <w:r w:rsidR="009F0C48">
        <w:rPr>
          <w:color w:val="000000"/>
        </w:rPr>
        <w:t>the Industry and Skills Council</w:t>
      </w:r>
      <w:r w:rsidR="009B2B31">
        <w:rPr>
          <w:color w:val="000000"/>
        </w:rPr>
        <w:t>, Ministers agreed to a suite of reforms to the system. These reforms focus on areas such as</w:t>
      </w:r>
      <w:r w:rsidR="000A3EB2">
        <w:rPr>
          <w:color w:val="000000"/>
        </w:rPr>
        <w:t>:</w:t>
      </w:r>
    </w:p>
    <w:p w:rsidR="000A3EB2" w:rsidRDefault="00A41CAB" w:rsidP="000A3EB2">
      <w:pPr>
        <w:pStyle w:val="Dotpoint1"/>
      </w:pPr>
      <w:r>
        <w:t>improving information available about qualifications as well as removing those that may be obsolete or superfluous</w:t>
      </w:r>
    </w:p>
    <w:p w:rsidR="000A3EB2" w:rsidRDefault="009B2B31" w:rsidP="000A3EB2">
      <w:pPr>
        <w:pStyle w:val="Dotpoint1"/>
      </w:pPr>
      <w:r>
        <w:t>easing transitions between related occupations</w:t>
      </w:r>
    </w:p>
    <w:p w:rsidR="000A3EB2" w:rsidRDefault="009B2B31" w:rsidP="000A3EB2">
      <w:pPr>
        <w:pStyle w:val="Dotpoint1"/>
      </w:pPr>
      <w:r>
        <w:t xml:space="preserve">creating units of training </w:t>
      </w:r>
      <w:r w:rsidR="009F0C48">
        <w:t xml:space="preserve">that are </w:t>
      </w:r>
      <w:r>
        <w:t>shared between industries</w:t>
      </w:r>
    </w:p>
    <w:p w:rsidR="000A3EB2" w:rsidRDefault="009B2B31" w:rsidP="000A3EB2">
      <w:pPr>
        <w:pStyle w:val="Dotpoint1"/>
      </w:pPr>
      <w:r>
        <w:t xml:space="preserve">improving recognition of </w:t>
      </w:r>
      <w:r w:rsidR="0054258A">
        <w:t>skill set</w:t>
      </w:r>
      <w:r w:rsidR="00266B4C">
        <w:t>s</w:t>
      </w:r>
    </w:p>
    <w:p w:rsidR="009B2B31" w:rsidRDefault="009B2B31" w:rsidP="000A3EB2">
      <w:pPr>
        <w:pStyle w:val="Dotpoint1"/>
      </w:pPr>
      <w:proofErr w:type="gramStart"/>
      <w:r>
        <w:t>making</w:t>
      </w:r>
      <w:proofErr w:type="gramEnd"/>
      <w:r>
        <w:t xml:space="preserve"> better use of accredited courses.</w:t>
      </w:r>
    </w:p>
    <w:p w:rsidR="00EC2178" w:rsidRDefault="00266512" w:rsidP="00266512">
      <w:pPr>
        <w:pStyle w:val="Text"/>
      </w:pPr>
      <w:r>
        <w:t xml:space="preserve">This report contributes </w:t>
      </w:r>
      <w:r w:rsidR="009F0C48">
        <w:t>data and analyse</w:t>
      </w:r>
      <w:r w:rsidR="00261114">
        <w:t>s in regard</w:t>
      </w:r>
      <w:r w:rsidR="00353E90">
        <w:t xml:space="preserve"> </w:t>
      </w:r>
      <w:r>
        <w:t>to these ongoing reforms</w:t>
      </w:r>
      <w:r w:rsidR="00353E90">
        <w:t xml:space="preserve">. </w:t>
      </w:r>
      <w:r w:rsidR="00893718">
        <w:t xml:space="preserve">In the past, </w:t>
      </w:r>
      <w:r>
        <w:t>analyses of the uptake of qualifications could only use data on government-funded training activity</w:t>
      </w:r>
      <w:r w:rsidR="00261114">
        <w:t>, which</w:t>
      </w:r>
      <w:r>
        <w:t xml:space="preserve"> did not provide a holistic view of the </w:t>
      </w:r>
      <w:r w:rsidR="00893718">
        <w:t xml:space="preserve">training occurring in the </w:t>
      </w:r>
      <w:r>
        <w:t>sector</w:t>
      </w:r>
      <w:r w:rsidR="00893718">
        <w:t>,</w:t>
      </w:r>
      <w:r>
        <w:t xml:space="preserve"> </w:t>
      </w:r>
      <w:r w:rsidR="00893718">
        <w:t xml:space="preserve">especially </w:t>
      </w:r>
      <w:r>
        <w:t xml:space="preserve">the use of qualifications. </w:t>
      </w:r>
    </w:p>
    <w:p w:rsidR="00266512" w:rsidRDefault="00EC2178" w:rsidP="00266512">
      <w:pPr>
        <w:pStyle w:val="Text"/>
      </w:pPr>
      <w:r>
        <w:t xml:space="preserve">This research </w:t>
      </w:r>
      <w:r w:rsidR="000C37F3">
        <w:t>report</w:t>
      </w:r>
      <w:r>
        <w:t xml:space="preserve"> focuses on the uptake and utility of enrolments in training package qualifica</w:t>
      </w:r>
      <w:r w:rsidR="00363557">
        <w:t>tions</w:t>
      </w:r>
      <w:r w:rsidR="009F0C48">
        <w:t>,</w:t>
      </w:r>
      <w:r w:rsidR="00363557">
        <w:t xml:space="preserve"> as reported in </w:t>
      </w:r>
      <w:r w:rsidR="00363557" w:rsidRPr="00363557">
        <w:rPr>
          <w:i/>
        </w:rPr>
        <w:t>Total VET s</w:t>
      </w:r>
      <w:r w:rsidRPr="00363557">
        <w:rPr>
          <w:i/>
        </w:rPr>
        <w:t xml:space="preserve">tudents and </w:t>
      </w:r>
      <w:r w:rsidR="00363557" w:rsidRPr="00363557">
        <w:rPr>
          <w:i/>
        </w:rPr>
        <w:t xml:space="preserve">courses </w:t>
      </w:r>
      <w:r w:rsidRPr="00363557">
        <w:rPr>
          <w:i/>
        </w:rPr>
        <w:t>2015</w:t>
      </w:r>
      <w:r w:rsidR="00363557">
        <w:t xml:space="preserve"> (NCVER 2016)</w:t>
      </w:r>
      <w:r>
        <w:t xml:space="preserve">. </w:t>
      </w:r>
      <w:r w:rsidR="00261114">
        <w:t xml:space="preserve">Access to total VET activity </w:t>
      </w:r>
      <w:r w:rsidR="00266512">
        <w:t xml:space="preserve">allows </w:t>
      </w:r>
      <w:r w:rsidR="0034733C">
        <w:t xml:space="preserve">us to conduct a more comprehensive </w:t>
      </w:r>
      <w:r w:rsidR="00266512">
        <w:t>analysis, including government-funded and fee-for-service training activity.</w:t>
      </w:r>
    </w:p>
    <w:p w:rsidR="00EC2178" w:rsidRDefault="00266512" w:rsidP="00266512">
      <w:pPr>
        <w:pStyle w:val="Text"/>
      </w:pPr>
      <w:r>
        <w:t xml:space="preserve">Among the 4.5 million </w:t>
      </w:r>
      <w:r w:rsidR="0034733C">
        <w:t xml:space="preserve">VET </w:t>
      </w:r>
      <w:r>
        <w:t xml:space="preserve">students </w:t>
      </w:r>
      <w:r w:rsidR="00363557">
        <w:t>enrolled in training with an Australian training provider in 2015</w:t>
      </w:r>
      <w:r>
        <w:t xml:space="preserve"> were 3.5 </w:t>
      </w:r>
      <w:r w:rsidR="0034733C">
        <w:t>million program enrolments (that is,</w:t>
      </w:r>
      <w:r>
        <w:t xml:space="preserve"> enrolments in recognised programs such as </w:t>
      </w:r>
      <w:r w:rsidR="0054258A">
        <w:t>skill set</w:t>
      </w:r>
      <w:r>
        <w:t>s or qualifications) and 29.4 million subject enrolments (</w:t>
      </w:r>
      <w:r w:rsidR="009F0C48">
        <w:t xml:space="preserve">for example, </w:t>
      </w:r>
      <w:r>
        <w:t>enrolments in units of competency). There were 2.7 million program enrolments in training pa</w:t>
      </w:r>
      <w:r w:rsidR="009F0C48">
        <w:t>ckage qualifications (77%</w:t>
      </w:r>
      <w:r>
        <w:t xml:space="preserve"> of program enrolments) and 23.0 million subject enrolments in training pa</w:t>
      </w:r>
      <w:r w:rsidR="006B0C55">
        <w:t>ckage qualifications (78%</w:t>
      </w:r>
      <w:r>
        <w:t xml:space="preserve"> of subject enrolments). </w:t>
      </w:r>
    </w:p>
    <w:p w:rsidR="00F3619F" w:rsidRDefault="009C12B4" w:rsidP="00F3619F">
      <w:pPr>
        <w:pStyle w:val="Text"/>
      </w:pPr>
      <w:r>
        <w:lastRenderedPageBreak/>
        <w:t xml:space="preserve">From </w:t>
      </w:r>
      <w:r w:rsidR="00261114">
        <w:t>training.gov.au</w:t>
      </w:r>
      <w:r>
        <w:rPr>
          <w:rStyle w:val="FootnoteReference"/>
        </w:rPr>
        <w:footnoteReference w:id="1"/>
      </w:r>
      <w:r w:rsidR="00261114">
        <w:t xml:space="preserve"> w</w:t>
      </w:r>
      <w:r w:rsidR="00EC2178">
        <w:t>e</w:t>
      </w:r>
      <w:r w:rsidR="0034733C">
        <w:t xml:space="preserve"> obtained </w:t>
      </w:r>
      <w:r w:rsidR="00261114">
        <w:t>a</w:t>
      </w:r>
      <w:r w:rsidR="00266512">
        <w:t xml:space="preserve"> list of qualifications and </w:t>
      </w:r>
      <w:r w:rsidR="0034733C">
        <w:t>information</w:t>
      </w:r>
      <w:r w:rsidR="00266512">
        <w:t xml:space="preserve"> on how the</w:t>
      </w:r>
      <w:r w:rsidR="00F96FE7">
        <w:t>se</w:t>
      </w:r>
      <w:r w:rsidR="00266512">
        <w:t xml:space="preserve"> map to each other</w:t>
      </w:r>
      <w:r w:rsidR="006B0C55">
        <w:t>. We then</w:t>
      </w:r>
      <w:r w:rsidR="00266512">
        <w:t xml:space="preserve"> combined </w:t>
      </w:r>
      <w:r w:rsidR="00363557">
        <w:t>these</w:t>
      </w:r>
      <w:r w:rsidR="006458A2">
        <w:t xml:space="preserve"> data </w:t>
      </w:r>
      <w:r w:rsidR="00363557">
        <w:t>with VET</w:t>
      </w:r>
      <w:r w:rsidR="00266512">
        <w:t xml:space="preserve"> enrolment data</w:t>
      </w:r>
      <w:r w:rsidR="006458A2">
        <w:t xml:space="preserve"> held by </w:t>
      </w:r>
      <w:r>
        <w:t>the National Centre for Vocational Education Research (</w:t>
      </w:r>
      <w:r w:rsidR="006458A2">
        <w:t>NCVER</w:t>
      </w:r>
      <w:r>
        <w:t>)</w:t>
      </w:r>
      <w:r w:rsidR="00266512">
        <w:t xml:space="preserve">. </w:t>
      </w:r>
      <w:r w:rsidR="006458A2">
        <w:t>To obtain a more accur</w:t>
      </w:r>
      <w:r w:rsidR="00440EDC">
        <w:t xml:space="preserve">ate picture of the distribution </w:t>
      </w:r>
      <w:r w:rsidR="006458A2">
        <w:t xml:space="preserve">of enrolments across qualifications, </w:t>
      </w:r>
      <w:r w:rsidR="00BF0058">
        <w:t xml:space="preserve">recently </w:t>
      </w:r>
      <w:r w:rsidR="006458A2">
        <w:t>s</w:t>
      </w:r>
      <w:r w:rsidR="00266512">
        <w:t xml:space="preserve">uperseded qualifications </w:t>
      </w:r>
      <w:r w:rsidR="00BF0058">
        <w:t xml:space="preserve">had to be </w:t>
      </w:r>
      <w:r w:rsidR="00266512">
        <w:t xml:space="preserve">identified and their enrolments </w:t>
      </w:r>
      <w:r w:rsidR="00363557">
        <w:t xml:space="preserve">assigned to </w:t>
      </w:r>
      <w:r w:rsidR="00266512">
        <w:t xml:space="preserve">the current qualifications to which they </w:t>
      </w:r>
      <w:r w:rsidR="00363557">
        <w:t xml:space="preserve">now </w:t>
      </w:r>
      <w:r w:rsidR="00266512">
        <w:t>relate</w:t>
      </w:r>
      <w:r w:rsidR="006458A2">
        <w:t>d.</w:t>
      </w:r>
      <w:r w:rsidR="00266512">
        <w:t xml:space="preserve"> </w:t>
      </w:r>
      <w:r w:rsidR="00D35C93">
        <w:t xml:space="preserve">Superseded qualifications with no recorded enrolments were then eliminated. </w:t>
      </w:r>
      <w:r w:rsidR="006458A2">
        <w:t xml:space="preserve">This </w:t>
      </w:r>
      <w:r w:rsidR="00EC2178">
        <w:t xml:space="preserve">consolidation </w:t>
      </w:r>
      <w:r w:rsidR="006458A2">
        <w:t xml:space="preserve">enabled us </w:t>
      </w:r>
      <w:r w:rsidR="00266512">
        <w:t xml:space="preserve">to produce a list of </w:t>
      </w:r>
      <w:r w:rsidR="00440EDC">
        <w:t>around 1</w:t>
      </w:r>
      <w:r w:rsidR="006458A2">
        <w:t xml:space="preserve">600 </w:t>
      </w:r>
      <w:r w:rsidR="00EC2178">
        <w:t xml:space="preserve">‘in use’ </w:t>
      </w:r>
      <w:r w:rsidR="00266512">
        <w:t xml:space="preserve">qualifications. </w:t>
      </w:r>
    </w:p>
    <w:p w:rsidR="00266512" w:rsidRDefault="00500BBA" w:rsidP="00266512">
      <w:pPr>
        <w:pStyle w:val="Text"/>
      </w:pPr>
      <w:r>
        <w:t xml:space="preserve">We used this </w:t>
      </w:r>
      <w:r w:rsidR="00266512">
        <w:t>consolidated list to analyse the distribution of enrolments across qualifications and training packages</w:t>
      </w:r>
      <w:r w:rsidR="006B0C55">
        <w:t>, this process</w:t>
      </w:r>
      <w:r w:rsidR="00440EDC">
        <w:t xml:space="preserve"> </w:t>
      </w:r>
      <w:r w:rsidR="00266512">
        <w:t>reveal</w:t>
      </w:r>
      <w:r w:rsidR="006B0C55">
        <w:t>ing</w:t>
      </w:r>
      <w:r w:rsidR="00266512">
        <w:t xml:space="preserve"> a </w:t>
      </w:r>
      <w:r w:rsidR="00DD13F6">
        <w:t xml:space="preserve">very </w:t>
      </w:r>
      <w:r w:rsidR="00266512">
        <w:t>strong concentration of enro</w:t>
      </w:r>
      <w:r w:rsidR="00363557">
        <w:t xml:space="preserve">lments in relatively few </w:t>
      </w:r>
      <w:r w:rsidR="00266512">
        <w:t xml:space="preserve">qualifications. </w:t>
      </w:r>
      <w:r w:rsidR="00261114">
        <w:t>Two hundred</w:t>
      </w:r>
      <w:r w:rsidR="00266512">
        <w:t xml:space="preserve"> qualifications </w:t>
      </w:r>
      <w:r w:rsidR="00261114">
        <w:t>attract</w:t>
      </w:r>
      <w:r w:rsidR="00D35C93">
        <w:t>ed</w:t>
      </w:r>
      <w:r w:rsidR="00BF0058">
        <w:t xml:space="preserve"> some</w:t>
      </w:r>
      <w:r w:rsidR="00266512">
        <w:t xml:space="preserve"> 85</w:t>
      </w:r>
      <w:r w:rsidR="00440EDC">
        <w:t>%</w:t>
      </w:r>
      <w:r w:rsidR="00266512">
        <w:t xml:space="preserve"> of all enrolments, </w:t>
      </w:r>
      <w:r w:rsidR="00363557">
        <w:t>with the remaining 15% of enrolments spread around 1400 qualifications</w:t>
      </w:r>
      <w:r w:rsidR="00261114">
        <w:t>;</w:t>
      </w:r>
      <w:r w:rsidR="00266512">
        <w:t xml:space="preserve"> 1</w:t>
      </w:r>
      <w:r w:rsidR="00440EDC">
        <w:t xml:space="preserve">4 qualifications </w:t>
      </w:r>
      <w:r w:rsidR="00261114">
        <w:t>account for</w:t>
      </w:r>
      <w:r w:rsidR="00440EDC">
        <w:t xml:space="preserve"> around 25% </w:t>
      </w:r>
      <w:r w:rsidR="00266512">
        <w:t>of all enrolments</w:t>
      </w:r>
      <w:r w:rsidR="00D35C93">
        <w:t>,</w:t>
      </w:r>
      <w:r w:rsidR="00266512">
        <w:t xml:space="preserve"> while, at the other end of the scale, there were 11</w:t>
      </w:r>
      <w:r w:rsidR="00F47A0E">
        <w:t>0</w:t>
      </w:r>
      <w:r w:rsidR="00440EDC">
        <w:t xml:space="preserve"> enrolments in </w:t>
      </w:r>
      <w:r w:rsidR="00261114">
        <w:t>this</w:t>
      </w:r>
      <w:r w:rsidR="00440EDC">
        <w:t xml:space="preserve"> 25% </w:t>
      </w:r>
      <w:r w:rsidR="00266512">
        <w:t xml:space="preserve">of qualifications. This pattern is also </w:t>
      </w:r>
      <w:r w:rsidR="006B0C55">
        <w:t>evident among</w:t>
      </w:r>
      <w:r w:rsidR="006458A2">
        <w:t xml:space="preserve"> enrolments in training packages</w:t>
      </w:r>
      <w:r w:rsidR="006B0C55">
        <w:t>, whereby</w:t>
      </w:r>
      <w:r w:rsidR="006458A2">
        <w:t xml:space="preserve"> </w:t>
      </w:r>
      <w:r w:rsidR="00266512">
        <w:t xml:space="preserve">20 </w:t>
      </w:r>
      <w:r w:rsidR="00363557">
        <w:t xml:space="preserve">training </w:t>
      </w:r>
      <w:r w:rsidR="006458A2">
        <w:t>packages accounted for</w:t>
      </w:r>
      <w:r w:rsidR="00266512">
        <w:t xml:space="preserve"> </w:t>
      </w:r>
      <w:r w:rsidR="00440EDC">
        <w:t>90%</w:t>
      </w:r>
      <w:r w:rsidR="00266512">
        <w:t xml:space="preserve"> </w:t>
      </w:r>
      <w:r w:rsidR="006458A2">
        <w:t>of all enrolments and 26</w:t>
      </w:r>
      <w:r w:rsidR="00363557">
        <w:t xml:space="preserve"> training</w:t>
      </w:r>
      <w:r w:rsidR="006458A2">
        <w:t xml:space="preserve"> packages had</w:t>
      </w:r>
      <w:r w:rsidR="00266512">
        <w:t xml:space="preserve"> fewer than 1000 enrolments.</w:t>
      </w:r>
    </w:p>
    <w:p w:rsidR="00BF0058" w:rsidRDefault="00266512" w:rsidP="00266512">
      <w:pPr>
        <w:pStyle w:val="Text"/>
      </w:pPr>
      <w:r>
        <w:t xml:space="preserve">This concentration of enrolments in </w:t>
      </w:r>
      <w:r w:rsidR="006458A2">
        <w:t>relative</w:t>
      </w:r>
      <w:r w:rsidR="00F711E7">
        <w:rPr>
          <w:noProof/>
          <w:lang w:eastAsia="en-AU"/>
        </w:rPr>
        <mc:AlternateContent>
          <mc:Choice Requires="wps">
            <w:drawing>
              <wp:anchor distT="0" distB="0" distL="114300" distR="114300" simplePos="0" relativeHeight="252038144" behindDoc="0" locked="1" layoutInCell="1" allowOverlap="1" wp14:anchorId="09A90413" wp14:editId="340E033A">
                <wp:simplePos x="0" y="0"/>
                <wp:positionH relativeFrom="outsideMargin">
                  <wp:posOffset>171450</wp:posOffset>
                </wp:positionH>
                <wp:positionV relativeFrom="page">
                  <wp:posOffset>828675</wp:posOffset>
                </wp:positionV>
                <wp:extent cx="1320800" cy="1628775"/>
                <wp:effectExtent l="0" t="0" r="0" b="0"/>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287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83E4B" w:rsidRPr="00543BFF" w:rsidRDefault="00883E4B" w:rsidP="00F711E7">
                            <w:pPr>
                              <w:pStyle w:val="PullQuote"/>
                            </w:pPr>
                            <w:r>
                              <w:t>There is a very strong concentration of enrolments in relatively few qualifications with 85% of enrolments concentrated in 200 qualifications.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5pt;margin-top:65.25pt;width:104pt;height:128.25pt;z-index:2520381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" filled="f" stroked="f" strokeweight=".5pt">
                <v:shadow on="t" type="perspective" color="black" opacity="9830f" origin=",.5" offset="0,25pt" matrix="58982f,,,-12452f"/>
                <v:path arrowok="t"/>
                <v:textbox inset="10mm">
                  <w:txbxContent>
                    <w:p w:rsidR="00883E4B" w:rsidRPr="00543BFF" w:rsidRDefault="00883E4B" w:rsidP="00F711E7">
                      <w:pPr>
                        <w:pStyle w:val="PullQuote"/>
                      </w:pPr>
                      <w:r>
                        <w:t>There is a very strong concentration of enrolments in relatively few qualifications with 85% of enrolments concentrated in 200 qualifications.</w:t>
                      </w:r>
                    </w:p>
                  </w:txbxContent>
                </v:textbox>
                <w10:wrap anchorx="margin" anchory="page"/>
                <w10:anchorlock/>
              </v:shape>
            </w:pict>
          </mc:Fallback>
        </mc:AlternateContent>
      </w:r>
      <w:r w:rsidR="006458A2">
        <w:t xml:space="preserve">ly few </w:t>
      </w:r>
      <w:r>
        <w:t xml:space="preserve">qualifications and training packages </w:t>
      </w:r>
      <w:r w:rsidR="00BF0058">
        <w:t xml:space="preserve">reinforces </w:t>
      </w:r>
      <w:r w:rsidR="00261114">
        <w:t xml:space="preserve">the need for </w:t>
      </w:r>
      <w:r>
        <w:t>one of the agreed refo</w:t>
      </w:r>
      <w:r w:rsidR="006458A2">
        <w:t xml:space="preserve">rms arising from </w:t>
      </w:r>
      <w:r w:rsidR="006B0C55">
        <w:t xml:space="preserve">the </w:t>
      </w:r>
      <w:r w:rsidR="006B0C55">
        <w:rPr>
          <w:color w:val="000000"/>
        </w:rPr>
        <w:t>Industry and Skills Council</w:t>
      </w:r>
      <w:r w:rsidR="006458A2">
        <w:t xml:space="preserve"> review</w:t>
      </w:r>
      <w:r w:rsidR="00500BBA">
        <w:t>;</w:t>
      </w:r>
      <w:r w:rsidR="00261114">
        <w:t xml:space="preserve"> that is,</w:t>
      </w:r>
      <w:r w:rsidR="006458A2">
        <w:t xml:space="preserve"> </w:t>
      </w:r>
      <w:r w:rsidR="006B0C55">
        <w:t>to identify and</w:t>
      </w:r>
      <w:r>
        <w:t xml:space="preserve"> remov</w:t>
      </w:r>
      <w:r w:rsidR="006B0C55">
        <w:t>e</w:t>
      </w:r>
      <w:r>
        <w:t xml:space="preserve"> obsolete and superfluous qualifications</w:t>
      </w:r>
      <w:r w:rsidR="006B0C55">
        <w:t>, with the aim of</w:t>
      </w:r>
      <w:r>
        <w:t xml:space="preserve"> </w:t>
      </w:r>
      <w:r w:rsidR="006B0C55">
        <w:t>simplifying</w:t>
      </w:r>
      <w:r>
        <w:t xml:space="preserve"> engage</w:t>
      </w:r>
      <w:r w:rsidR="006B0C55">
        <w:t>ment</w:t>
      </w:r>
      <w:r>
        <w:t xml:space="preserve"> with the training system.</w:t>
      </w:r>
      <w:r w:rsidR="00EF5398">
        <w:t xml:space="preserve"> </w:t>
      </w:r>
    </w:p>
    <w:p w:rsidR="00B034AA" w:rsidRDefault="00500BBA" w:rsidP="00BF0058">
      <w:pPr>
        <w:pStyle w:val="Text"/>
      </w:pPr>
      <w:r>
        <w:t>However, it is i</w:t>
      </w:r>
      <w:r w:rsidR="00EF5398">
        <w:t xml:space="preserve">mportant to note </w:t>
      </w:r>
      <w:r w:rsidR="006B0C55">
        <w:t xml:space="preserve">that </w:t>
      </w:r>
      <w:r w:rsidR="00EF5398">
        <w:t>l</w:t>
      </w:r>
      <w:r w:rsidR="00266512">
        <w:t>ow enrolment</w:t>
      </w:r>
      <w:r w:rsidR="00C42C48">
        <w:t>s in</w:t>
      </w:r>
      <w:r w:rsidR="00266512">
        <w:t xml:space="preserve"> qualifications and packages </w:t>
      </w:r>
      <w:r w:rsidR="009D2D22">
        <w:t xml:space="preserve">do not </w:t>
      </w:r>
      <w:r w:rsidR="006B0C55">
        <w:t>automatically</w:t>
      </w:r>
      <w:r w:rsidR="009D2D22">
        <w:t xml:space="preserve"> imply</w:t>
      </w:r>
      <w:r w:rsidR="00266512">
        <w:t xml:space="preserve"> </w:t>
      </w:r>
      <w:r w:rsidR="00363557">
        <w:t>obsolescence</w:t>
      </w:r>
      <w:r w:rsidR="006B0C55">
        <w:t>, although</w:t>
      </w:r>
      <w:r w:rsidR="00EF5398">
        <w:t xml:space="preserve"> questions</w:t>
      </w:r>
      <w:r w:rsidR="006B0C55">
        <w:t xml:space="preserve"> do arise</w:t>
      </w:r>
      <w:r w:rsidR="00B034AA">
        <w:t>:</w:t>
      </w:r>
    </w:p>
    <w:p w:rsidR="00B034AA" w:rsidRDefault="00266512" w:rsidP="00B034AA">
      <w:pPr>
        <w:pStyle w:val="Dotpoint1"/>
      </w:pPr>
      <w:r>
        <w:t>If these qualifications are genuinely obsolete or superfluous, can they be removed or consolidat</w:t>
      </w:r>
      <w:r w:rsidR="00EF5398">
        <w:t xml:space="preserve">ed into other qualifications? </w:t>
      </w:r>
    </w:p>
    <w:p w:rsidR="00B034AA" w:rsidRDefault="00EF5398" w:rsidP="00B034AA">
      <w:pPr>
        <w:pStyle w:val="Dotpoint1"/>
      </w:pPr>
      <w:r>
        <w:t>Are</w:t>
      </w:r>
      <w:r w:rsidR="00266512">
        <w:t xml:space="preserve"> training needs in </w:t>
      </w:r>
      <w:r w:rsidR="00DD13F6">
        <w:t xml:space="preserve">such </w:t>
      </w:r>
      <w:r>
        <w:t xml:space="preserve">areas being met </w:t>
      </w:r>
      <w:r w:rsidR="00DD13F6">
        <w:t xml:space="preserve">by other means </w:t>
      </w:r>
      <w:r>
        <w:t>(for example,</w:t>
      </w:r>
      <w:r w:rsidR="00266512">
        <w:t xml:space="preserve"> by non-accredited training</w:t>
      </w:r>
      <w:r w:rsidR="00BF0058">
        <w:t xml:space="preserve"> or by </w:t>
      </w:r>
      <w:r w:rsidR="00363557">
        <w:t xml:space="preserve">nationally and locally recognised </w:t>
      </w:r>
      <w:r w:rsidR="00BF0058">
        <w:t>courses</w:t>
      </w:r>
      <w:r w:rsidR="00266512">
        <w:t xml:space="preserve">)? </w:t>
      </w:r>
    </w:p>
    <w:p w:rsidR="00266512" w:rsidRDefault="00266512" w:rsidP="00B034AA">
      <w:pPr>
        <w:pStyle w:val="Dotpoint1"/>
      </w:pPr>
      <w:r>
        <w:t xml:space="preserve">Are they </w:t>
      </w:r>
      <w:r w:rsidR="00DD13F6">
        <w:t xml:space="preserve">important </w:t>
      </w:r>
      <w:r>
        <w:t xml:space="preserve">qualifications </w:t>
      </w:r>
      <w:r w:rsidR="00DD13F6">
        <w:t xml:space="preserve">valued </w:t>
      </w:r>
      <w:r w:rsidR="00F14974">
        <w:t>for low-</w:t>
      </w:r>
      <w:r>
        <w:t>demand occupations</w:t>
      </w:r>
      <w:r w:rsidR="00F14974">
        <w:t>, which</w:t>
      </w:r>
      <w:r>
        <w:t xml:space="preserve"> nevertheless require specific and specialised training?</w:t>
      </w:r>
    </w:p>
    <w:p w:rsidR="00266512" w:rsidRDefault="00266512" w:rsidP="00266512">
      <w:pPr>
        <w:pStyle w:val="Text"/>
      </w:pPr>
      <w:r>
        <w:t xml:space="preserve">In New Zealand, Scotland and the United Kingdom, qualifications are flagged for review and potential removal if they </w:t>
      </w:r>
      <w:r w:rsidR="00D35C93">
        <w:t>attract</w:t>
      </w:r>
      <w:r>
        <w:t xml:space="preserve"> no enrolments over a period of two years. This test</w:t>
      </w:r>
      <w:r w:rsidR="00363557">
        <w:t>,</w:t>
      </w:r>
      <w:r>
        <w:t xml:space="preserve"> </w:t>
      </w:r>
      <w:r w:rsidR="00DD13F6">
        <w:t xml:space="preserve">if </w:t>
      </w:r>
      <w:r>
        <w:t>applied to the Australian data</w:t>
      </w:r>
      <w:r w:rsidR="00363557">
        <w:t>,</w:t>
      </w:r>
      <w:r>
        <w:t xml:space="preserve"> reveals there were 283 qualifications that had no recorded enrolments o</w:t>
      </w:r>
      <w:r w:rsidR="00F14974">
        <w:t>ver a two-</w:t>
      </w:r>
      <w:r w:rsidR="00214DFC">
        <w:t>year period (</w:t>
      </w:r>
      <w:r w:rsidR="00F14974">
        <w:t>2014—</w:t>
      </w:r>
      <w:r w:rsidR="00440EDC">
        <w:t>15</w:t>
      </w:r>
      <w:r w:rsidR="00214DFC">
        <w:t>)</w:t>
      </w:r>
      <w:r w:rsidR="00440EDC">
        <w:t xml:space="preserve"> </w:t>
      </w:r>
      <w:r w:rsidR="00F14974">
        <w:t>—</w:t>
      </w:r>
      <w:r w:rsidR="00214DFC">
        <w:t xml:space="preserve"> </w:t>
      </w:r>
      <w:r w:rsidR="00440EDC" w:rsidRPr="00C42C48">
        <w:t>around 17%</w:t>
      </w:r>
      <w:r w:rsidRPr="00C42C48">
        <w:t xml:space="preserve"> of the </w:t>
      </w:r>
      <w:r w:rsidR="00C42C48" w:rsidRPr="00C42C48">
        <w:t xml:space="preserve">current or ‘in use’ </w:t>
      </w:r>
      <w:r w:rsidRPr="00C42C48">
        <w:t>qualifications</w:t>
      </w:r>
      <w:r>
        <w:t>. Furthermore, there were 336 qualifications with no enrolments in 2015</w:t>
      </w:r>
      <w:r w:rsidR="00363557">
        <w:t>,</w:t>
      </w:r>
      <w:r>
        <w:t xml:space="preserve"> about a third of which were released in 2015 and a third of which were released in 2012. The </w:t>
      </w:r>
      <w:r w:rsidR="0054258A">
        <w:t>qualifications with zero enrolments</w:t>
      </w:r>
      <w:r>
        <w:t xml:space="preserve"> in 2015 were spread across a range of qualification levels, fields of education and training packages.</w:t>
      </w:r>
    </w:p>
    <w:p w:rsidR="00266512" w:rsidRDefault="00266512" w:rsidP="00266512">
      <w:pPr>
        <w:pStyle w:val="Text"/>
      </w:pPr>
      <w:r>
        <w:t>Recently</w:t>
      </w:r>
      <w:r w:rsidR="00D35C93">
        <w:t>,</w:t>
      </w:r>
      <w:r>
        <w:t xml:space="preserve"> research </w:t>
      </w:r>
      <w:r w:rsidR="00F14974">
        <w:t xml:space="preserve">has also been </w:t>
      </w:r>
      <w:r>
        <w:t>published on the concept of broader qualifications</w:t>
      </w:r>
      <w:r w:rsidR="00F14974">
        <w:t>, those with the potential to</w:t>
      </w:r>
      <w:r>
        <w:t xml:space="preserve"> form streams or routes into </w:t>
      </w:r>
      <w:r w:rsidR="00EF5398">
        <w:t xml:space="preserve">related </w:t>
      </w:r>
      <w:r>
        <w:t xml:space="preserve">occupational areas, </w:t>
      </w:r>
      <w:r w:rsidR="00DD13F6">
        <w:t>the argument</w:t>
      </w:r>
      <w:r w:rsidR="00440EDC">
        <w:t xml:space="preserve"> </w:t>
      </w:r>
      <w:r w:rsidR="00DD13F6">
        <w:t xml:space="preserve">being </w:t>
      </w:r>
      <w:r w:rsidR="00196C5B">
        <w:t xml:space="preserve">that </w:t>
      </w:r>
      <w:r w:rsidR="00DD13F6">
        <w:t xml:space="preserve">such design </w:t>
      </w:r>
      <w:r>
        <w:t>allow</w:t>
      </w:r>
      <w:r w:rsidR="00DD13F6">
        <w:t>s</w:t>
      </w:r>
      <w:r>
        <w:t xml:space="preserve"> extra flexibility and transitions between occupations and training. This has been examined in Australia by</w:t>
      </w:r>
      <w:r w:rsidR="00EF5398">
        <w:t xml:space="preserve"> </w:t>
      </w:r>
      <w:proofErr w:type="spellStart"/>
      <w:r>
        <w:t>Wheelahan</w:t>
      </w:r>
      <w:proofErr w:type="spellEnd"/>
      <w:r>
        <w:t xml:space="preserve">, Buchanan and Yu (2015) and </w:t>
      </w:r>
      <w:r w:rsidR="00EF5398">
        <w:t>has been flagged for</w:t>
      </w:r>
      <w:r>
        <w:t xml:space="preserve"> impleme</w:t>
      </w:r>
      <w:r w:rsidR="00EF5398">
        <w:t xml:space="preserve">ntation in the United Kingdom’s </w:t>
      </w:r>
      <w:r>
        <w:t>Post-16 Skills Plan</w:t>
      </w:r>
      <w:r w:rsidR="00F54F8A">
        <w:t xml:space="preserve"> (</w:t>
      </w:r>
      <w:r w:rsidR="00970417">
        <w:t xml:space="preserve">UK </w:t>
      </w:r>
      <w:r w:rsidR="00F54F8A">
        <w:t xml:space="preserve">Department for Business, Innovation &amp; Skills &amp; Department for Education 2016). </w:t>
      </w:r>
      <w:r>
        <w:t xml:space="preserve">The idea is </w:t>
      </w:r>
      <w:r>
        <w:lastRenderedPageBreak/>
        <w:t xml:space="preserve">also reflected </w:t>
      </w:r>
      <w:r w:rsidR="00363557">
        <w:t>in the reforms agreed to by</w:t>
      </w:r>
      <w:r>
        <w:t xml:space="preserve"> Ministers to ease transitions between occupations and to improve the efficiency of the training system by creating units that can be shared across industry sectors.</w:t>
      </w:r>
    </w:p>
    <w:p w:rsidR="00266512" w:rsidRDefault="000F378C" w:rsidP="000F378C">
      <w:pPr>
        <w:pStyle w:val="Text"/>
      </w:pPr>
      <w:r>
        <w:t>To see how these concepts for creating broader qualification streams</w:t>
      </w:r>
      <w:r w:rsidR="00266512">
        <w:t xml:space="preserve"> might apply </w:t>
      </w:r>
      <w:r w:rsidR="00C42C48">
        <w:t xml:space="preserve">in </w:t>
      </w:r>
      <w:r w:rsidR="00266512">
        <w:t>practic</w:t>
      </w:r>
      <w:r w:rsidR="00C42C48">
        <w:t>e</w:t>
      </w:r>
      <w:r w:rsidR="00266512">
        <w:t xml:space="preserve"> in the current Australian context, </w:t>
      </w:r>
      <w:r>
        <w:t xml:space="preserve">we </w:t>
      </w:r>
      <w:r w:rsidR="00C42C48">
        <w:t>consolidated</w:t>
      </w:r>
      <w:r>
        <w:t xml:space="preserve"> qualifications according to their intended occupation </w:t>
      </w:r>
      <w:r w:rsidR="00C42C48">
        <w:t xml:space="preserve">and used this </w:t>
      </w:r>
      <w:r>
        <w:t>as a framework.</w:t>
      </w:r>
      <w:r w:rsidR="00970417">
        <w:t xml:space="preserve"> Because m</w:t>
      </w:r>
      <w:r w:rsidR="00266512">
        <w:t>ost qualifications are assigned an ANZSCO (Australia</w:t>
      </w:r>
      <w:r w:rsidR="00970417">
        <w:t>n</w:t>
      </w:r>
      <w:r w:rsidR="00266512">
        <w:t xml:space="preserve"> and New Zealand Standard Classification of Occupations) occupation</w:t>
      </w:r>
      <w:r w:rsidR="00301F57">
        <w:t>, we used the hierarchical groupings in ANZSCO to create groups of related occupations</w:t>
      </w:r>
      <w:r w:rsidR="00266512">
        <w:t>.</w:t>
      </w:r>
      <w:r w:rsidR="00301F57">
        <w:t xml:space="preserve"> For example,</w:t>
      </w:r>
      <w:r w:rsidR="00266512">
        <w:t xml:space="preserve"> </w:t>
      </w:r>
      <w:r w:rsidR="00301F57">
        <w:t xml:space="preserve">our grouping of </w:t>
      </w:r>
      <w:r w:rsidR="00266512">
        <w:t>qualifications by occupation (</w:t>
      </w:r>
      <w:r w:rsidR="00301F57">
        <w:t>with</w:t>
      </w:r>
      <w:r w:rsidR="00266512">
        <w:t xml:space="preserve"> only one qualification assigned to each occupation) </w:t>
      </w:r>
      <w:r w:rsidR="00301F57">
        <w:t xml:space="preserve">identified how different streams could be formed. </w:t>
      </w:r>
      <w:proofErr w:type="gramStart"/>
      <w:r w:rsidR="007E5D35">
        <w:t>The approach,</w:t>
      </w:r>
      <w:r w:rsidR="00301F57">
        <w:t xml:space="preserve"> </w:t>
      </w:r>
      <w:r w:rsidR="007E5D35">
        <w:t xml:space="preserve">which </w:t>
      </w:r>
      <w:r w:rsidR="00301F57">
        <w:t xml:space="preserve">reduced </w:t>
      </w:r>
      <w:r w:rsidR="00266512">
        <w:t xml:space="preserve">the number </w:t>
      </w:r>
      <w:r w:rsidR="00970417">
        <w:t>of qualifications by around two-</w:t>
      </w:r>
      <w:r w:rsidR="00266512">
        <w:t>thirds</w:t>
      </w:r>
      <w:r w:rsidR="007E5D35">
        <w:t xml:space="preserve"> (to 500 qualifications), </w:t>
      </w:r>
      <w:r w:rsidR="00301F57">
        <w:t xml:space="preserve">is a </w:t>
      </w:r>
      <w:r w:rsidR="00DD13F6">
        <w:t xml:space="preserve">potential </w:t>
      </w:r>
      <w:r w:rsidR="00266512">
        <w:t xml:space="preserve">tool </w:t>
      </w:r>
      <w:r w:rsidR="00970417">
        <w:t xml:space="preserve">for </w:t>
      </w:r>
      <w:r w:rsidR="00C42C48">
        <w:t>guiding</w:t>
      </w:r>
      <w:r w:rsidR="00266512">
        <w:t xml:space="preserve"> the consolidation of qualifications (similar to flagging</w:t>
      </w:r>
      <w:r w:rsidR="00301F57">
        <w:t xml:space="preserve"> </w:t>
      </w:r>
      <w:r w:rsidR="0054258A">
        <w:t>qualifications with zero enrolments</w:t>
      </w:r>
      <w:r w:rsidR="00301F57">
        <w:t>).</w:t>
      </w:r>
      <w:proofErr w:type="gramEnd"/>
    </w:p>
    <w:p w:rsidR="00DD13F6" w:rsidRDefault="00440EDC" w:rsidP="00266512">
      <w:pPr>
        <w:pStyle w:val="Text"/>
      </w:pPr>
      <w:r>
        <w:t>The example of the C</w:t>
      </w:r>
      <w:r w:rsidR="00266512">
        <w:t>ertificate III in Individual Support was examined in particular because it demonstrates how three related occupations (providing aged care, disability and home or community support) can be packaged into one qualification with separate specialisation</w:t>
      </w:r>
      <w:r w:rsidR="00301F57">
        <w:t>s</w:t>
      </w:r>
      <w:r w:rsidR="00266512">
        <w:t>.</w:t>
      </w:r>
      <w:r w:rsidR="00301F57">
        <w:t xml:space="preserve"> Using our system, we identified </w:t>
      </w:r>
      <w:r w:rsidR="00266512">
        <w:t>10 qualifications with 129 466 enrolments between</w:t>
      </w:r>
      <w:r>
        <w:t xml:space="preserve"> them</w:t>
      </w:r>
      <w:r w:rsidR="00363557">
        <w:t>,</w:t>
      </w:r>
      <w:r w:rsidR="00970417">
        <w:t xml:space="preserve"> in areas related to that c</w:t>
      </w:r>
      <w:r>
        <w:t>ertificate III over two</w:t>
      </w:r>
      <w:r w:rsidR="00266512">
        <w:t xml:space="preserve"> training packages. Using the occupational classification as a guide</w:t>
      </w:r>
      <w:r w:rsidR="00970417">
        <w:t>,</w:t>
      </w:r>
      <w:r w:rsidR="00266512">
        <w:t xml:space="preserve"> this concept could </w:t>
      </w:r>
      <w:r w:rsidR="00F711E7">
        <w:rPr>
          <w:noProof/>
          <w:lang w:eastAsia="en-AU"/>
        </w:rPr>
        <mc:AlternateContent>
          <mc:Choice Requires="wps">
            <w:drawing>
              <wp:anchor distT="0" distB="0" distL="114300" distR="114300" simplePos="0" relativeHeight="252040192" behindDoc="0" locked="1" layoutInCell="1" allowOverlap="1" wp14:anchorId="189E9600" wp14:editId="16ED2DE2">
                <wp:simplePos x="0" y="0"/>
                <wp:positionH relativeFrom="outsideMargin">
                  <wp:posOffset>184150</wp:posOffset>
                </wp:positionH>
                <wp:positionV relativeFrom="page">
                  <wp:posOffset>762000</wp:posOffset>
                </wp:positionV>
                <wp:extent cx="1320800" cy="1628775"/>
                <wp:effectExtent l="0" t="0" r="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287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83E4B" w:rsidRPr="00543BFF" w:rsidRDefault="00883E4B" w:rsidP="00F711E7">
                            <w:pPr>
                              <w:pStyle w:val="PullQuote"/>
                            </w:pPr>
                            <w:r>
                              <w:t>Many qualifications can be linked to one occupation.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5pt;margin-top:60pt;width:104pt;height:128.25pt;z-index:2520401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" filled="f" stroked="f" strokeweight=".5pt">
                <v:shadow on="t" type="perspective" color="black" opacity="9830f" origin=",.5" offset="0,25pt" matrix="58982f,,,-12452f"/>
                <v:path arrowok="t"/>
                <v:textbox inset="10mm">
                  <w:txbxContent>
                    <w:p w:rsidR="00883E4B" w:rsidRPr="00543BFF" w:rsidRDefault="00883E4B" w:rsidP="00F711E7">
                      <w:pPr>
                        <w:pStyle w:val="PullQuote"/>
                      </w:pPr>
                      <w:r>
                        <w:t>Many qualifications can be linked to one occupation.</w:t>
                      </w:r>
                    </w:p>
                  </w:txbxContent>
                </v:textbox>
                <w10:wrap anchorx="margin" anchory="page"/>
                <w10:anchorlock/>
              </v:shape>
            </w:pict>
          </mc:Fallback>
        </mc:AlternateContent>
      </w:r>
      <w:r w:rsidR="00266512">
        <w:t>be applied to other areas and other qualifications</w:t>
      </w:r>
      <w:r w:rsidR="00DD13F6">
        <w:t>.</w:t>
      </w:r>
      <w:r w:rsidR="00932F20">
        <w:t xml:space="preserve"> </w:t>
      </w:r>
    </w:p>
    <w:p w:rsidR="00266512" w:rsidRDefault="00DD13F6" w:rsidP="00266512">
      <w:pPr>
        <w:pStyle w:val="Text"/>
      </w:pPr>
      <w:r>
        <w:t xml:space="preserve">The approaches </w:t>
      </w:r>
      <w:r w:rsidR="0022302F">
        <w:t>di</w:t>
      </w:r>
      <w:r w:rsidR="00440EDC">
        <w:t xml:space="preserve">scussed in this </w:t>
      </w:r>
      <w:r w:rsidR="000C37F3">
        <w:t>report</w:t>
      </w:r>
      <w:r w:rsidR="00440EDC">
        <w:t xml:space="preserve"> to ration</w:t>
      </w:r>
      <w:r w:rsidR="0022302F">
        <w:t>alise qualifications</w:t>
      </w:r>
      <w:r w:rsidR="00440EDC">
        <w:t>,</w:t>
      </w:r>
      <w:r w:rsidR="0022302F">
        <w:t xml:space="preserve"> by either </w:t>
      </w:r>
      <w:r w:rsidR="004B6CA2">
        <w:t>removal or des</w:t>
      </w:r>
      <w:r w:rsidR="00C42C48">
        <w:t>ign incorporating greater cross-</w:t>
      </w:r>
      <w:r w:rsidR="004B6CA2">
        <w:t>relationship by occupation groups</w:t>
      </w:r>
      <w:r w:rsidR="00440EDC">
        <w:t>,</w:t>
      </w:r>
      <w:r w:rsidR="004B6CA2">
        <w:t xml:space="preserve"> are models</w:t>
      </w:r>
      <w:r w:rsidR="00440EDC">
        <w:t>.</w:t>
      </w:r>
      <w:r w:rsidR="004B6CA2">
        <w:t xml:space="preserve"> </w:t>
      </w:r>
      <w:r w:rsidR="00440EDC">
        <w:t>A</w:t>
      </w:r>
      <w:r w:rsidR="004B6CA2">
        <w:t xml:space="preserve">ny application </w:t>
      </w:r>
      <w:r w:rsidR="00440EDC">
        <w:t xml:space="preserve">of these approaches </w:t>
      </w:r>
      <w:r w:rsidR="00266512">
        <w:t xml:space="preserve">would require </w:t>
      </w:r>
      <w:r>
        <w:t xml:space="preserve">widespread </w:t>
      </w:r>
      <w:r w:rsidR="00266512">
        <w:t>consultation with relevant stakeholders.</w:t>
      </w:r>
    </w:p>
    <w:p w:rsidR="00F740B0" w:rsidRPr="00266512" w:rsidRDefault="00F740B0" w:rsidP="00266512">
      <w:pPr>
        <w:pStyle w:val="Text"/>
      </w:pPr>
    </w:p>
    <w:p w:rsidR="00324917" w:rsidRPr="00712C5C" w:rsidRDefault="00324917" w:rsidP="000A1881">
      <w:pPr>
        <w:pStyle w:val="Text"/>
        <w:rPr>
          <w:b/>
        </w:rPr>
      </w:pPr>
      <w:r w:rsidRPr="00712C5C">
        <w:rPr>
          <w:b/>
        </w:rPr>
        <w:br w:type="page"/>
      </w:r>
    </w:p>
    <w:p w:rsidR="004E4DE9" w:rsidRDefault="00510A67" w:rsidP="004E4DE9">
      <w:pPr>
        <w:pStyle w:val="Heading1"/>
      </w:pPr>
      <w:bookmarkStart w:id="37" w:name="_Toc465162151"/>
      <w:bookmarkStart w:id="38" w:name="_Toc316371585"/>
      <w:r w:rsidRPr="00510A67">
        <w:rPr>
          <w:noProof/>
          <w:lang w:eastAsia="en-AU"/>
        </w:rPr>
        <w:lastRenderedPageBreak/>
        <w:drawing>
          <wp:anchor distT="0" distB="0" distL="114300" distR="114300" simplePos="0" relativeHeight="252011520" behindDoc="1" locked="0" layoutInCell="1" allowOverlap="1" wp14:anchorId="2405ED34" wp14:editId="12699CEA">
            <wp:simplePos x="0" y="0"/>
            <wp:positionH relativeFrom="column">
              <wp:posOffset>-26035</wp:posOffset>
            </wp:positionH>
            <wp:positionV relativeFrom="paragraph">
              <wp:posOffset>-8255</wp:posOffset>
            </wp:positionV>
            <wp:extent cx="419100" cy="447675"/>
            <wp:effectExtent l="0" t="0" r="0" b="0"/>
            <wp:wrapTight wrapText="bothSides">
              <wp:wrapPolygon edited="0">
                <wp:start x="4909" y="0"/>
                <wp:lineTo x="0" y="5515"/>
                <wp:lineTo x="0" y="11949"/>
                <wp:lineTo x="982" y="15626"/>
                <wp:lineTo x="5891" y="19302"/>
                <wp:lineTo x="6873" y="21140"/>
                <wp:lineTo x="13745" y="21140"/>
                <wp:lineTo x="14727" y="19302"/>
                <wp:lineTo x="20618" y="15626"/>
                <wp:lineTo x="20618" y="5515"/>
                <wp:lineTo x="15709" y="0"/>
                <wp:lineTo x="4909" y="0"/>
              </wp:wrapPolygon>
            </wp:wrapTight>
            <wp:docPr id="3" name="Picture 3"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Intro_Gree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DE9" w:rsidRPr="004E4DE9">
        <w:t>Introduction</w:t>
      </w:r>
      <w:bookmarkEnd w:id="37"/>
      <w:r w:rsidR="004E4DE9" w:rsidRPr="004E4DE9">
        <w:t xml:space="preserve"> </w:t>
      </w:r>
      <w:bookmarkStart w:id="39" w:name="_Toc188077642"/>
      <w:bookmarkStart w:id="40" w:name="_Toc316371586"/>
      <w:bookmarkEnd w:id="38"/>
    </w:p>
    <w:p w:rsidR="00D62112" w:rsidRDefault="00BC2686" w:rsidP="0008621B">
      <w:pPr>
        <w:pStyle w:val="Text"/>
      </w:pPr>
      <w:r>
        <w:t xml:space="preserve">This </w:t>
      </w:r>
      <w:r w:rsidR="000C37F3">
        <w:t>report</w:t>
      </w:r>
      <w:r>
        <w:t xml:space="preserve"> investigates the </w:t>
      </w:r>
      <w:r w:rsidR="00CE4486">
        <w:t xml:space="preserve">current </w:t>
      </w:r>
      <w:r>
        <w:t>uptake and utility of VET qualifications in Australia</w:t>
      </w:r>
      <w:r w:rsidR="00CE4486">
        <w:t xml:space="preserve">, and specifically the use of </w:t>
      </w:r>
      <w:r w:rsidR="003C454C">
        <w:t xml:space="preserve">the </w:t>
      </w:r>
      <w:r w:rsidR="00CE4486">
        <w:t>training packages and qualifications</w:t>
      </w:r>
      <w:r w:rsidR="00E04758">
        <w:t xml:space="preserve"> contained within them</w:t>
      </w:r>
      <w:r>
        <w:t>.</w:t>
      </w:r>
      <w:r w:rsidR="00932F20">
        <w:t xml:space="preserve"> </w:t>
      </w:r>
      <w:r w:rsidR="000B19B2">
        <w:t>It</w:t>
      </w:r>
      <w:r w:rsidR="0008621B">
        <w:t xml:space="preserve"> is</w:t>
      </w:r>
      <w:r w:rsidR="0008621B" w:rsidRPr="000C44CD">
        <w:t xml:space="preserve"> the third in a series </w:t>
      </w:r>
      <w:r w:rsidR="0008621B">
        <w:t xml:space="preserve">of </w:t>
      </w:r>
      <w:r w:rsidR="000C37F3">
        <w:t>report</w:t>
      </w:r>
      <w:r w:rsidR="0008621B">
        <w:t xml:space="preserve">s </w:t>
      </w:r>
      <w:r w:rsidR="00A90161">
        <w:t>which</w:t>
      </w:r>
      <w:r w:rsidR="003C454C">
        <w:t xml:space="preserve"> aim </w:t>
      </w:r>
      <w:r w:rsidR="0008621B" w:rsidRPr="000C44CD">
        <w:t xml:space="preserve">to inform the </w:t>
      </w:r>
      <w:r w:rsidR="00D04D48">
        <w:t xml:space="preserve">VET </w:t>
      </w:r>
      <w:r w:rsidR="0008621B" w:rsidRPr="000C44CD">
        <w:t>sector about the quantum and natu</w:t>
      </w:r>
      <w:r w:rsidR="0008621B">
        <w:t xml:space="preserve">re </w:t>
      </w:r>
      <w:r w:rsidR="0008621B" w:rsidRPr="000C44CD">
        <w:t xml:space="preserve">of </w:t>
      </w:r>
      <w:r w:rsidR="003C454C">
        <w:t xml:space="preserve">the </w:t>
      </w:r>
      <w:r w:rsidR="0008621B" w:rsidRPr="000C44CD">
        <w:t>nationally</w:t>
      </w:r>
      <w:r w:rsidR="003C454C">
        <w:t xml:space="preserve"> </w:t>
      </w:r>
      <w:r w:rsidR="0008621B" w:rsidRPr="000C44CD">
        <w:t xml:space="preserve">recognised VET </w:t>
      </w:r>
      <w:r w:rsidR="0008621B">
        <w:t xml:space="preserve">qualifications </w:t>
      </w:r>
      <w:r w:rsidR="00A8285B">
        <w:t>contained</w:t>
      </w:r>
      <w:r w:rsidR="00D04D48">
        <w:t xml:space="preserve"> </w:t>
      </w:r>
      <w:r w:rsidR="00C42C48">
        <w:t>in</w:t>
      </w:r>
      <w:r w:rsidR="00D04D48">
        <w:t xml:space="preserve"> the </w:t>
      </w:r>
      <w:r w:rsidR="00440EDC">
        <w:t>N</w:t>
      </w:r>
      <w:r w:rsidR="00D04D48">
        <w:t>ational VET Provider Colle</w:t>
      </w:r>
      <w:r w:rsidR="00440EDC">
        <w:t>c</w:t>
      </w:r>
      <w:r w:rsidR="00D04D48">
        <w:t>tion</w:t>
      </w:r>
      <w:r w:rsidR="00CE4486">
        <w:t xml:space="preserve"> and reported under </w:t>
      </w:r>
      <w:r w:rsidR="00CE4486" w:rsidRPr="00363557">
        <w:rPr>
          <w:i/>
        </w:rPr>
        <w:t xml:space="preserve">Total VET </w:t>
      </w:r>
      <w:r w:rsidR="00363557" w:rsidRPr="00363557">
        <w:rPr>
          <w:i/>
        </w:rPr>
        <w:t>s</w:t>
      </w:r>
      <w:r w:rsidR="00440EDC" w:rsidRPr="00363557">
        <w:rPr>
          <w:i/>
        </w:rPr>
        <w:t xml:space="preserve">tudents and </w:t>
      </w:r>
      <w:r w:rsidR="00363557" w:rsidRPr="00363557">
        <w:rPr>
          <w:i/>
        </w:rPr>
        <w:t>c</w:t>
      </w:r>
      <w:r w:rsidR="00440EDC" w:rsidRPr="00363557">
        <w:rPr>
          <w:i/>
        </w:rPr>
        <w:t>ours</w:t>
      </w:r>
      <w:r w:rsidR="00363557" w:rsidRPr="00363557">
        <w:rPr>
          <w:i/>
        </w:rPr>
        <w:t>es</w:t>
      </w:r>
      <w:r w:rsidR="00CE4486">
        <w:t>, the most recent publication being that for 2015</w:t>
      </w:r>
      <w:r w:rsidR="00363557">
        <w:t xml:space="preserve"> </w:t>
      </w:r>
      <w:r w:rsidR="00FE073F">
        <w:t xml:space="preserve">training activity </w:t>
      </w:r>
      <w:r w:rsidR="00363557">
        <w:t>(</w:t>
      </w:r>
      <w:r w:rsidR="003C454C">
        <w:t xml:space="preserve">NCVER </w:t>
      </w:r>
      <w:r w:rsidR="00363557">
        <w:t>2016)</w:t>
      </w:r>
      <w:r w:rsidR="00CE4486">
        <w:t>.</w:t>
      </w:r>
      <w:r w:rsidR="000B19B2">
        <w:t xml:space="preserve"> </w:t>
      </w:r>
    </w:p>
    <w:p w:rsidR="00E04758" w:rsidRDefault="004665BF" w:rsidP="0008621B">
      <w:pPr>
        <w:pStyle w:val="Text"/>
      </w:pPr>
      <w:r w:rsidRPr="000C44CD">
        <w:t>The first</w:t>
      </w:r>
      <w:r w:rsidR="000C44CD">
        <w:t xml:space="preserve"> of these</w:t>
      </w:r>
      <w:r w:rsidRPr="000C44CD">
        <w:t xml:space="preserve"> publication</w:t>
      </w:r>
      <w:r w:rsidR="000C44CD">
        <w:t>s</w:t>
      </w:r>
      <w:r w:rsidR="003C454C">
        <w:t>,</w:t>
      </w:r>
      <w:r w:rsidRPr="000C44CD">
        <w:t xml:space="preserve"> </w:t>
      </w:r>
      <w:r w:rsidR="00E04758">
        <w:rPr>
          <w:i/>
        </w:rPr>
        <w:t>Making sense of total VET a</w:t>
      </w:r>
      <w:r w:rsidRPr="000C44CD">
        <w:rPr>
          <w:i/>
        </w:rPr>
        <w:t>ctivity: an initial market analysis</w:t>
      </w:r>
      <w:r w:rsidR="00C56C8E">
        <w:t xml:space="preserve"> (Anlezark &amp; Foley</w:t>
      </w:r>
      <w:r w:rsidRPr="000C44CD">
        <w:t xml:space="preserve"> </w:t>
      </w:r>
      <w:r w:rsidR="00C56C8E">
        <w:t>2016</w:t>
      </w:r>
      <w:r w:rsidRPr="00F54F8A">
        <w:t>)</w:t>
      </w:r>
      <w:r w:rsidR="003C454C">
        <w:t>,</w:t>
      </w:r>
      <w:r w:rsidRPr="000C44CD">
        <w:t xml:space="preserve"> </w:t>
      </w:r>
      <w:r w:rsidR="00CE4486">
        <w:t xml:space="preserve">used information from the </w:t>
      </w:r>
      <w:r w:rsidR="00FE073F">
        <w:t>first transitional</w:t>
      </w:r>
      <w:r w:rsidR="00CE4486">
        <w:t xml:space="preserve"> </w:t>
      </w:r>
      <w:r w:rsidR="00FE073F">
        <w:t>collection of data on total VET activity (TVA)</w:t>
      </w:r>
      <w:r w:rsidR="003C454C">
        <w:t>,</w:t>
      </w:r>
      <w:r w:rsidR="00FE073F">
        <w:t xml:space="preserve"> with results for 2014 published in 2015 (NCVER 2015</w:t>
      </w:r>
      <w:r w:rsidR="00D843F8">
        <w:t>, and for ease of r</w:t>
      </w:r>
      <w:r w:rsidR="00D91FB0">
        <w:t>eference referred to as TVA 2014</w:t>
      </w:r>
      <w:r w:rsidR="00FE073F">
        <w:t xml:space="preserve">). </w:t>
      </w:r>
      <w:r w:rsidR="00C42C48">
        <w:t>The publication</w:t>
      </w:r>
      <w:r w:rsidR="00CE4486">
        <w:t xml:space="preserve"> presented a first </w:t>
      </w:r>
      <w:r w:rsidRPr="000C44CD">
        <w:t xml:space="preserve">account of the </w:t>
      </w:r>
      <w:r w:rsidR="00C70B2A">
        <w:t xml:space="preserve">overall </w:t>
      </w:r>
      <w:r w:rsidR="00CE4486">
        <w:t xml:space="preserve">national VET market, training providers, </w:t>
      </w:r>
      <w:r w:rsidRPr="000C44CD">
        <w:t>enrolments and qualifications in the sector</w:t>
      </w:r>
      <w:r w:rsidR="003C454C">
        <w:t xml:space="preserve"> and</w:t>
      </w:r>
      <w:r w:rsidR="001606D3">
        <w:t xml:space="preserve"> </w:t>
      </w:r>
      <w:r w:rsidRPr="000C44CD">
        <w:t>included</w:t>
      </w:r>
      <w:r w:rsidR="00FE073F">
        <w:t>,</w:t>
      </w:r>
      <w:r w:rsidRPr="000C44CD">
        <w:t xml:space="preserve"> </w:t>
      </w:r>
      <w:r w:rsidR="00CE4486">
        <w:t>for the first time</w:t>
      </w:r>
      <w:r w:rsidR="00FE073F">
        <w:t>,</w:t>
      </w:r>
      <w:r w:rsidR="00CE4486">
        <w:t xml:space="preserve"> information about</w:t>
      </w:r>
      <w:r w:rsidR="009D2D22">
        <w:t xml:space="preserve"> private fee-for-service</w:t>
      </w:r>
      <w:r w:rsidR="003C454C">
        <w:t>,</w:t>
      </w:r>
      <w:r w:rsidR="00CE4486">
        <w:t xml:space="preserve"> </w:t>
      </w:r>
      <w:r w:rsidR="000C44CD">
        <w:t>as well</w:t>
      </w:r>
      <w:r w:rsidR="00FE073F">
        <w:t xml:space="preserve"> as </w:t>
      </w:r>
      <w:r w:rsidR="009D2D22" w:rsidRPr="000C44CD">
        <w:t>government-funded</w:t>
      </w:r>
      <w:r w:rsidR="009D2D22">
        <w:t xml:space="preserve"> </w:t>
      </w:r>
      <w:r w:rsidR="00CE4486">
        <w:t>VET activity.</w:t>
      </w:r>
      <w:r w:rsidR="000C44CD">
        <w:t xml:space="preserve"> </w:t>
      </w:r>
    </w:p>
    <w:p w:rsidR="00D62112" w:rsidRDefault="004665BF" w:rsidP="0008621B">
      <w:pPr>
        <w:pStyle w:val="Text"/>
      </w:pPr>
      <w:r w:rsidRPr="000C44CD">
        <w:t xml:space="preserve">The second </w:t>
      </w:r>
      <w:r w:rsidR="000C44CD">
        <w:t>publication</w:t>
      </w:r>
      <w:r w:rsidR="003C454C">
        <w:t>,</w:t>
      </w:r>
      <w:r w:rsidRPr="000C44CD">
        <w:t xml:space="preserve"> </w:t>
      </w:r>
      <w:r w:rsidRPr="000C44CD">
        <w:rPr>
          <w:i/>
        </w:rPr>
        <w:t>VET provider market structures: history, growth and change</w:t>
      </w:r>
      <w:r w:rsidRPr="000C44CD">
        <w:t xml:space="preserve"> (</w:t>
      </w:r>
      <w:r w:rsidR="002E4571">
        <w:t>Korbel &amp;</w:t>
      </w:r>
      <w:r w:rsidR="00E04758">
        <w:t xml:space="preserve"> Misko</w:t>
      </w:r>
      <w:r w:rsidR="001606D3">
        <w:t xml:space="preserve"> </w:t>
      </w:r>
      <w:r w:rsidRPr="000C44CD">
        <w:t>2016)</w:t>
      </w:r>
      <w:r w:rsidR="00C42C48">
        <w:t>,</w:t>
      </w:r>
      <w:r w:rsidRPr="000C44CD">
        <w:t xml:space="preserve"> tracked the development of the VET market over the last 20 years</w:t>
      </w:r>
      <w:r w:rsidR="00FE073F">
        <w:t>,</w:t>
      </w:r>
      <w:r w:rsidRPr="000C44CD">
        <w:t xml:space="preserve"> </w:t>
      </w:r>
      <w:r w:rsidR="005E2855">
        <w:t>in particular the num</w:t>
      </w:r>
      <w:r w:rsidR="003C454C">
        <w:t xml:space="preserve">ber, growth and great diversity </w:t>
      </w:r>
      <w:r w:rsidR="00C42C48">
        <w:t xml:space="preserve">of training providers </w:t>
      </w:r>
      <w:r w:rsidR="00A8285B">
        <w:t xml:space="preserve">in Australia. </w:t>
      </w:r>
      <w:r w:rsidR="005E2855">
        <w:t xml:space="preserve">This </w:t>
      </w:r>
      <w:r w:rsidR="003C454C">
        <w:t xml:space="preserve">research </w:t>
      </w:r>
      <w:r w:rsidR="00E04758">
        <w:t xml:space="preserve">also </w:t>
      </w:r>
      <w:r w:rsidR="005E2855">
        <w:t xml:space="preserve">used data drawn from </w:t>
      </w:r>
      <w:r w:rsidR="00FC2505">
        <w:t>TVA 2014</w:t>
      </w:r>
      <w:r w:rsidR="003C454C">
        <w:t xml:space="preserve"> (NCVER 2015)</w:t>
      </w:r>
      <w:r w:rsidR="00C42C48">
        <w:t xml:space="preserve"> to</w:t>
      </w:r>
      <w:r w:rsidR="005E2855">
        <w:t xml:space="preserve"> </w:t>
      </w:r>
      <w:r w:rsidR="00E04758">
        <w:t>c</w:t>
      </w:r>
      <w:r w:rsidR="00C42C48">
        <w:t>ompare</w:t>
      </w:r>
      <w:r w:rsidR="00FC2505">
        <w:t xml:space="preserve"> providers</w:t>
      </w:r>
      <w:r w:rsidR="00440EDC">
        <w:t xml:space="preserve"> by number of students</w:t>
      </w:r>
      <w:r w:rsidR="00C70B2A">
        <w:t xml:space="preserve">. </w:t>
      </w:r>
      <w:r w:rsidR="003C454C">
        <w:t>C</w:t>
      </w:r>
      <w:r w:rsidR="00E04758">
        <w:t xml:space="preserve">omparisons </w:t>
      </w:r>
      <w:r w:rsidR="00C70B2A">
        <w:t xml:space="preserve">with </w:t>
      </w:r>
      <w:r w:rsidR="005E2855">
        <w:t>the higher education sector</w:t>
      </w:r>
      <w:r w:rsidR="00E04758">
        <w:t xml:space="preserve"> and VET sectors overseas</w:t>
      </w:r>
      <w:r w:rsidR="003C454C" w:rsidRPr="003C454C">
        <w:t xml:space="preserve"> </w:t>
      </w:r>
      <w:r w:rsidR="003C454C">
        <w:t>were also presented</w:t>
      </w:r>
      <w:r w:rsidRPr="000C44CD">
        <w:t xml:space="preserve">. </w:t>
      </w:r>
      <w:r w:rsidR="00C70B2A">
        <w:t xml:space="preserve">The analysis </w:t>
      </w:r>
      <w:r w:rsidR="005E2855">
        <w:t>n</w:t>
      </w:r>
      <w:r w:rsidR="00E04758">
        <w:t xml:space="preserve">oted the challenge of regulating </w:t>
      </w:r>
      <w:r w:rsidR="005E2855">
        <w:t xml:space="preserve">such a large </w:t>
      </w:r>
      <w:r w:rsidR="00FE073F">
        <w:t>and</w:t>
      </w:r>
      <w:r w:rsidR="005E2855">
        <w:t xml:space="preserve"> diverse </w:t>
      </w:r>
      <w:r w:rsidR="00FE073F">
        <w:t xml:space="preserve">number of </w:t>
      </w:r>
      <w:r w:rsidR="005E2855">
        <w:t>providers</w:t>
      </w:r>
      <w:r w:rsidRPr="000C44CD">
        <w:t>.</w:t>
      </w:r>
      <w:r w:rsidR="0008621B">
        <w:t xml:space="preserve"> </w:t>
      </w:r>
    </w:p>
    <w:p w:rsidR="00B60242" w:rsidRDefault="005E2855" w:rsidP="0008621B">
      <w:pPr>
        <w:pStyle w:val="Text"/>
      </w:pPr>
      <w:r>
        <w:t xml:space="preserve">The purpose of this third </w:t>
      </w:r>
      <w:r w:rsidR="000C37F3">
        <w:t>report</w:t>
      </w:r>
      <w:r w:rsidR="0008621B">
        <w:t xml:space="preserve"> </w:t>
      </w:r>
      <w:r>
        <w:t xml:space="preserve">is to </w:t>
      </w:r>
      <w:r w:rsidR="00D843F8">
        <w:t>specifically focus on</w:t>
      </w:r>
      <w:r>
        <w:t xml:space="preserve"> </w:t>
      </w:r>
      <w:r w:rsidR="007E5D35">
        <w:t xml:space="preserve">the </w:t>
      </w:r>
      <w:r>
        <w:t xml:space="preserve">training </w:t>
      </w:r>
      <w:r w:rsidR="00E04758">
        <w:t>products</w:t>
      </w:r>
      <w:r w:rsidR="007E5D35">
        <w:t xml:space="preserve"> of the national VET system,</w:t>
      </w:r>
      <w:r>
        <w:t xml:space="preserve"> </w:t>
      </w:r>
      <w:r w:rsidR="008A02C9">
        <w:t>in particular the</w:t>
      </w:r>
      <w:r>
        <w:t xml:space="preserve"> training </w:t>
      </w:r>
      <w:r w:rsidR="008A02C9">
        <w:t>package qual</w:t>
      </w:r>
      <w:r w:rsidR="00E04758">
        <w:t>ification</w:t>
      </w:r>
      <w:r w:rsidR="008A02C9">
        <w:t xml:space="preserve">s </w:t>
      </w:r>
      <w:r>
        <w:t xml:space="preserve">as reported in TVA 2015 </w:t>
      </w:r>
      <w:r w:rsidR="00553811">
        <w:t xml:space="preserve">(2015 data published in 2016) </w:t>
      </w:r>
      <w:r w:rsidR="00E04758">
        <w:t xml:space="preserve">compared </w:t>
      </w:r>
      <w:r w:rsidR="00C70B2A">
        <w:t xml:space="preserve">with </w:t>
      </w:r>
      <w:r w:rsidR="00E04758">
        <w:t>the register of qualifications on training.gov.au</w:t>
      </w:r>
      <w:r>
        <w:t xml:space="preserve">. </w:t>
      </w:r>
      <w:r w:rsidR="00D843F8">
        <w:t xml:space="preserve">The </w:t>
      </w:r>
      <w:r w:rsidR="000C37F3">
        <w:t>report</w:t>
      </w:r>
      <w:r>
        <w:t xml:space="preserve"> </w:t>
      </w:r>
      <w:r w:rsidR="002021EB">
        <w:t>examines</w:t>
      </w:r>
      <w:r w:rsidR="0008621B" w:rsidRPr="000C44CD">
        <w:t xml:space="preserve"> the extent to which </w:t>
      </w:r>
      <w:r w:rsidR="00EC2CEA">
        <w:t xml:space="preserve">these </w:t>
      </w:r>
      <w:r w:rsidR="0008621B" w:rsidRPr="000C44CD">
        <w:t>qualifications</w:t>
      </w:r>
      <w:r w:rsidR="00EC2CEA">
        <w:t xml:space="preserve"> </w:t>
      </w:r>
      <w:r w:rsidR="0008621B" w:rsidRPr="000C44CD">
        <w:t xml:space="preserve">are used by </w:t>
      </w:r>
      <w:r w:rsidR="002021EB">
        <w:t xml:space="preserve">training providers when enrolling </w:t>
      </w:r>
      <w:r w:rsidR="0008621B" w:rsidRPr="000C44CD">
        <w:t>students</w:t>
      </w:r>
      <w:r w:rsidR="002021EB">
        <w:t>. Its purpose is to explore th</w:t>
      </w:r>
      <w:r w:rsidR="00D843F8">
        <w:t>e</w:t>
      </w:r>
      <w:r w:rsidR="002021EB">
        <w:t xml:space="preserve"> </w:t>
      </w:r>
      <w:r w:rsidR="00C42C48">
        <w:t>much-</w:t>
      </w:r>
      <w:r w:rsidR="00D843F8">
        <w:t xml:space="preserve">used </w:t>
      </w:r>
      <w:r w:rsidR="0008621B">
        <w:t xml:space="preserve">qualifications </w:t>
      </w:r>
      <w:r w:rsidR="002021EB">
        <w:t>and</w:t>
      </w:r>
      <w:r w:rsidR="00D843F8">
        <w:t>, conversely</w:t>
      </w:r>
      <w:r w:rsidR="002021EB">
        <w:t xml:space="preserve">, those </w:t>
      </w:r>
      <w:r w:rsidR="0008621B">
        <w:t xml:space="preserve">rarely </w:t>
      </w:r>
      <w:r w:rsidR="00D843F8">
        <w:t xml:space="preserve">used </w:t>
      </w:r>
      <w:r w:rsidR="0008621B">
        <w:t>or not at all</w:t>
      </w:r>
      <w:r w:rsidR="0008621B" w:rsidRPr="000C44CD">
        <w:t>.</w:t>
      </w:r>
      <w:r w:rsidR="00932F20">
        <w:t xml:space="preserve"> </w:t>
      </w:r>
    </w:p>
    <w:p w:rsidR="00BC2686" w:rsidRDefault="002021EB" w:rsidP="0008621B">
      <w:pPr>
        <w:pStyle w:val="Text"/>
      </w:pPr>
      <w:r>
        <w:t xml:space="preserve">This analysis should help to </w:t>
      </w:r>
      <w:r w:rsidR="0001059B">
        <w:t xml:space="preserve">inform national policy deliberations </w:t>
      </w:r>
      <w:r w:rsidR="00C46FAF">
        <w:t xml:space="preserve">in </w:t>
      </w:r>
      <w:r w:rsidR="0001059B">
        <w:t xml:space="preserve">ongoing </w:t>
      </w:r>
      <w:r w:rsidR="00C46FAF">
        <w:t xml:space="preserve">training product </w:t>
      </w:r>
      <w:r w:rsidR="0001059B">
        <w:t>reform</w:t>
      </w:r>
      <w:r w:rsidR="00C46FAF">
        <w:t>s</w:t>
      </w:r>
      <w:r w:rsidR="00FE073F">
        <w:t xml:space="preserve"> and </w:t>
      </w:r>
      <w:r w:rsidR="0001059B">
        <w:t>enable some comparisons with international pra</w:t>
      </w:r>
      <w:r w:rsidR="00C42C48">
        <w:t>ctices in regard</w:t>
      </w:r>
      <w:r w:rsidR="00D843F8">
        <w:t xml:space="preserve"> to nationally </w:t>
      </w:r>
      <w:r w:rsidR="0001059B">
        <w:t xml:space="preserve">endorsed training products, </w:t>
      </w:r>
      <w:r>
        <w:t xml:space="preserve">particularly </w:t>
      </w:r>
      <w:r w:rsidR="00C46FAF">
        <w:t xml:space="preserve">training product </w:t>
      </w:r>
      <w:r w:rsidR="0001059B">
        <w:t>establishment</w:t>
      </w:r>
      <w:r w:rsidR="00C42C48">
        <w:t xml:space="preserve"> and their</w:t>
      </w:r>
      <w:r w:rsidR="00C46FAF">
        <w:t xml:space="preserve"> use</w:t>
      </w:r>
      <w:r w:rsidR="0001059B">
        <w:t xml:space="preserve"> and life cycle</w:t>
      </w:r>
      <w:r w:rsidR="00442D9E">
        <w:t xml:space="preserve"> (Misko 2015)</w:t>
      </w:r>
      <w:r w:rsidR="0001059B">
        <w:t>.</w:t>
      </w:r>
      <w:r w:rsidR="00932F20">
        <w:t xml:space="preserve"> </w:t>
      </w:r>
    </w:p>
    <w:p w:rsidR="00BC2686" w:rsidRDefault="00BC2686" w:rsidP="00BC2686">
      <w:pPr>
        <w:pStyle w:val="Heading2"/>
      </w:pPr>
      <w:bookmarkStart w:id="41" w:name="_Toc465162152"/>
      <w:r>
        <w:t>Context</w:t>
      </w:r>
      <w:bookmarkEnd w:id="41"/>
    </w:p>
    <w:p w:rsidR="009A1E7D" w:rsidRPr="00AC45CC" w:rsidRDefault="00B22EDE" w:rsidP="00AC45CC">
      <w:pPr>
        <w:pStyle w:val="Text"/>
      </w:pPr>
      <w:r w:rsidRPr="00AC45CC">
        <w:t xml:space="preserve">VET training products have </w:t>
      </w:r>
      <w:r w:rsidR="009A1E7D" w:rsidRPr="00AC45CC">
        <w:t>been subject of recent reviews</w:t>
      </w:r>
      <w:r w:rsidR="00C42C48">
        <w:t xml:space="preserve">, including </w:t>
      </w:r>
      <w:r w:rsidR="00C42C48" w:rsidRPr="00C42C48">
        <w:rPr>
          <w:i/>
        </w:rPr>
        <w:t>VET p</w:t>
      </w:r>
      <w:r w:rsidR="009A1E7D" w:rsidRPr="00C42C48">
        <w:rPr>
          <w:i/>
        </w:rPr>
        <w:t>roducts for the 2</w:t>
      </w:r>
      <w:r w:rsidR="00E22E4A" w:rsidRPr="00C42C48">
        <w:rPr>
          <w:i/>
        </w:rPr>
        <w:t>1</w:t>
      </w:r>
      <w:r w:rsidR="00C42C48">
        <w:rPr>
          <w:i/>
        </w:rPr>
        <w:t>st c</w:t>
      </w:r>
      <w:r w:rsidR="009A1E7D" w:rsidRPr="00C42C48">
        <w:rPr>
          <w:i/>
        </w:rPr>
        <w:t>entury</w:t>
      </w:r>
      <w:r w:rsidR="00C42C48">
        <w:t>,</w:t>
      </w:r>
      <w:r w:rsidR="009A1E7D" w:rsidRPr="00AC45CC">
        <w:t xml:space="preserve"> undertaken in 2009</w:t>
      </w:r>
      <w:r w:rsidR="00D843F8">
        <w:t xml:space="preserve"> (National Quality Council &amp; Council of Australian Governments Joint Steering Committee 2009)</w:t>
      </w:r>
      <w:r w:rsidR="00E22E4A" w:rsidRPr="00AC45CC">
        <w:t xml:space="preserve">. </w:t>
      </w:r>
      <w:r w:rsidR="009A1E7D" w:rsidRPr="00AC45CC">
        <w:t>More recently</w:t>
      </w:r>
      <w:r w:rsidR="00C42C48">
        <w:t>,</w:t>
      </w:r>
      <w:r w:rsidR="009A1E7D" w:rsidRPr="00AC45CC">
        <w:t xml:space="preserve"> in </w:t>
      </w:r>
      <w:r w:rsidR="00BC2686" w:rsidRPr="00AC45CC">
        <w:t>October 2014</w:t>
      </w:r>
      <w:r w:rsidR="00E22E4A" w:rsidRPr="00AC45CC">
        <w:t>,</w:t>
      </w:r>
      <w:r w:rsidR="00BC2686" w:rsidRPr="00AC45CC">
        <w:t xml:space="preserve"> the </w:t>
      </w:r>
      <w:r w:rsidR="00E22E4A" w:rsidRPr="00AC45CC">
        <w:t>C</w:t>
      </w:r>
      <w:r w:rsidR="00B57E45">
        <w:t>ouncil of Australian Government</w:t>
      </w:r>
      <w:r w:rsidR="00E22E4A" w:rsidRPr="00AC45CC">
        <w:t>s</w:t>
      </w:r>
      <w:r w:rsidR="00B57E45">
        <w:t>’</w:t>
      </w:r>
      <w:r w:rsidR="00E22E4A" w:rsidRPr="00AC45CC">
        <w:t xml:space="preserve"> </w:t>
      </w:r>
      <w:r w:rsidR="00A412D0" w:rsidRPr="00AC45CC">
        <w:t>Industry and Skills Council</w:t>
      </w:r>
      <w:r w:rsidR="00E22E4A" w:rsidRPr="00AC45CC">
        <w:t xml:space="preserve"> commenced a review of t</w:t>
      </w:r>
      <w:r w:rsidR="00BC2686" w:rsidRPr="00AC45CC">
        <w:t xml:space="preserve">raining </w:t>
      </w:r>
      <w:r w:rsidR="00E22E4A" w:rsidRPr="00AC45CC">
        <w:t>packages and a</w:t>
      </w:r>
      <w:r w:rsidR="00BC2686" w:rsidRPr="00AC45CC">
        <w:t xml:space="preserve">ccredited </w:t>
      </w:r>
      <w:r w:rsidR="00E22E4A" w:rsidRPr="00AC45CC">
        <w:t>c</w:t>
      </w:r>
      <w:r w:rsidR="00BC2686" w:rsidRPr="00AC45CC">
        <w:t>ourses</w:t>
      </w:r>
      <w:r w:rsidR="00A90161">
        <w:t xml:space="preserve"> — t</w:t>
      </w:r>
      <w:r w:rsidR="00BC2686" w:rsidRPr="00AC45CC">
        <w:t>he two primary sources of Australian accredited VET qualifications</w:t>
      </w:r>
      <w:r w:rsidR="00B57E45">
        <w:t xml:space="preserve"> </w:t>
      </w:r>
      <w:r w:rsidR="00A90161">
        <w:t>(</w:t>
      </w:r>
      <w:r w:rsidR="00B57E45">
        <w:t>Department of Industry 2014).</w:t>
      </w:r>
      <w:r w:rsidR="00BC2686" w:rsidRPr="00AC45CC">
        <w:t xml:space="preserve"> </w:t>
      </w:r>
    </w:p>
    <w:p w:rsidR="002E4571" w:rsidRDefault="00BC2686" w:rsidP="00AC45CC">
      <w:pPr>
        <w:pStyle w:val="Text"/>
      </w:pPr>
      <w:r w:rsidRPr="00AC45CC">
        <w:t xml:space="preserve">The </w:t>
      </w:r>
      <w:r w:rsidR="009A1E7D" w:rsidRPr="00AC45CC">
        <w:t xml:space="preserve">outcomes of the </w:t>
      </w:r>
      <w:r w:rsidRPr="00AC45CC">
        <w:t>review</w:t>
      </w:r>
      <w:r w:rsidR="00C42C48">
        <w:t>, published in 2015,</w:t>
      </w:r>
      <w:r w:rsidRPr="00AC45CC">
        <w:t xml:space="preserve"> found strong support for the existing system of training packages</w:t>
      </w:r>
      <w:r w:rsidR="00B57E45">
        <w:t xml:space="preserve"> </w:t>
      </w:r>
      <w:r w:rsidR="00856AAE">
        <w:t>(Department of Education and Training 2015</w:t>
      </w:r>
      <w:r w:rsidR="00E639EE">
        <w:t>a</w:t>
      </w:r>
      <w:r w:rsidR="00856AAE">
        <w:t>)</w:t>
      </w:r>
      <w:r w:rsidRPr="00AC45CC">
        <w:t xml:space="preserve">. However, it also </w:t>
      </w:r>
      <w:r w:rsidR="00A8488E" w:rsidRPr="00AC45CC">
        <w:t>noted that there was a proliferation of qualifications, some of which were not being delivered b</w:t>
      </w:r>
      <w:r w:rsidR="00E22E4A" w:rsidRPr="00AC45CC">
        <w:t xml:space="preserve">y </w:t>
      </w:r>
      <w:r w:rsidR="00E22E4A" w:rsidRPr="00AC45CC">
        <w:lastRenderedPageBreak/>
        <w:t xml:space="preserve">training providers. </w:t>
      </w:r>
      <w:r w:rsidR="002B5A47">
        <w:t xml:space="preserve">Feedback from stakeholders suggested </w:t>
      </w:r>
      <w:r w:rsidR="00856AAE">
        <w:t xml:space="preserve">that </w:t>
      </w:r>
      <w:r w:rsidR="002B5A47">
        <w:t>t</w:t>
      </w:r>
      <w:r w:rsidR="00E22E4A" w:rsidRPr="00AC45CC">
        <w:t>raining p</w:t>
      </w:r>
      <w:r w:rsidR="00A8488E" w:rsidRPr="00AC45CC">
        <w:t xml:space="preserve">ackages were also seen as being too complex, lacking clarity of language, and requiring more advice on assessment requirements. The review supported </w:t>
      </w:r>
      <w:r w:rsidR="00E22E4A" w:rsidRPr="00AC45CC">
        <w:t xml:space="preserve">a stronger role for industry, including </w:t>
      </w:r>
      <w:r w:rsidR="002E4571">
        <w:t>small and medium enterprise</w:t>
      </w:r>
      <w:r w:rsidR="00C42C48">
        <w:t>s, in the</w:t>
      </w:r>
      <w:r w:rsidR="00E22E4A" w:rsidRPr="00AC45CC">
        <w:t xml:space="preserve"> development </w:t>
      </w:r>
      <w:r w:rsidR="00C42C48">
        <w:t xml:space="preserve">of training packages </w:t>
      </w:r>
      <w:r w:rsidR="00E22E4A" w:rsidRPr="00AC45CC">
        <w:t xml:space="preserve">and </w:t>
      </w:r>
      <w:r w:rsidR="00A8488E" w:rsidRPr="00AC45CC">
        <w:t xml:space="preserve">the </w:t>
      </w:r>
      <w:r w:rsidR="00E22E4A" w:rsidRPr="00AC45CC">
        <w:t xml:space="preserve">potential </w:t>
      </w:r>
      <w:r w:rsidR="00A8488E" w:rsidRPr="00AC45CC">
        <w:t xml:space="preserve">renaming of </w:t>
      </w:r>
      <w:r w:rsidR="00E22E4A" w:rsidRPr="00AC45CC">
        <w:t>t</w:t>
      </w:r>
      <w:r w:rsidR="00A8488E" w:rsidRPr="00AC45CC">
        <w:t xml:space="preserve">raining </w:t>
      </w:r>
      <w:r w:rsidR="00E22E4A" w:rsidRPr="00AC45CC">
        <w:t>p</w:t>
      </w:r>
      <w:r w:rsidR="00A8488E" w:rsidRPr="00AC45CC">
        <w:t xml:space="preserve">ackages </w:t>
      </w:r>
      <w:r w:rsidR="00A412D0" w:rsidRPr="00AC45CC">
        <w:t>(</w:t>
      </w:r>
      <w:r w:rsidR="00E22E4A" w:rsidRPr="00AC45CC">
        <w:t xml:space="preserve">at </w:t>
      </w:r>
      <w:r w:rsidR="00DF20E0">
        <w:t xml:space="preserve">some </w:t>
      </w:r>
      <w:r w:rsidR="00E22E4A" w:rsidRPr="00AC45CC">
        <w:t>later date</w:t>
      </w:r>
      <w:r w:rsidR="00A412D0" w:rsidRPr="00AC45CC">
        <w:t xml:space="preserve">) </w:t>
      </w:r>
      <w:r w:rsidR="00A8488E" w:rsidRPr="00AC45CC">
        <w:t xml:space="preserve">to </w:t>
      </w:r>
      <w:r w:rsidR="00DF20E0">
        <w:t xml:space="preserve">better </w:t>
      </w:r>
      <w:r w:rsidR="00A8488E" w:rsidRPr="00AC45CC">
        <w:t>reflect their purpose and use</w:t>
      </w:r>
      <w:r w:rsidR="002E4571">
        <w:t>.</w:t>
      </w:r>
    </w:p>
    <w:p w:rsidR="00A412D0" w:rsidRDefault="00513095" w:rsidP="002E4571">
      <w:pPr>
        <w:pStyle w:val="Text"/>
      </w:pPr>
      <w:r>
        <w:t xml:space="preserve">At the November 2015 meeting of the </w:t>
      </w:r>
      <w:r w:rsidR="00856AAE">
        <w:t>Industry Skills Council</w:t>
      </w:r>
      <w:r>
        <w:t>, t</w:t>
      </w:r>
      <w:r w:rsidR="00620FCA">
        <w:t xml:space="preserve">raining </w:t>
      </w:r>
      <w:r w:rsidR="009D2D22">
        <w:t>M</w:t>
      </w:r>
      <w:r w:rsidR="00E22E4A">
        <w:t xml:space="preserve">inisters </w:t>
      </w:r>
      <w:r w:rsidR="00620FCA">
        <w:t>subsequen</w:t>
      </w:r>
      <w:r w:rsidR="00442D9E">
        <w:t>t</w:t>
      </w:r>
      <w:r w:rsidR="00620FCA">
        <w:t xml:space="preserve">ly </w:t>
      </w:r>
      <w:r w:rsidR="00A412D0">
        <w:t>agreed to a set of reforms</w:t>
      </w:r>
      <w:r w:rsidR="00856AAE">
        <w:t xml:space="preserve"> (COAG Industry and Skills Council 2015)</w:t>
      </w:r>
      <w:r w:rsidR="00A412D0">
        <w:t xml:space="preserve"> aimed at: </w:t>
      </w:r>
    </w:p>
    <w:p w:rsidR="00BC2686" w:rsidRDefault="00BC2686" w:rsidP="00442D9E">
      <w:pPr>
        <w:pStyle w:val="Dotpoint1"/>
      </w:pPr>
      <w:r>
        <w:t>removing obsolete and superfluous qualifications from the training system to make it easier for consumers to find the t</w:t>
      </w:r>
      <w:r w:rsidR="00442D9E">
        <w:t>raining relevant to their needs</w:t>
      </w:r>
    </w:p>
    <w:p w:rsidR="00BC2686" w:rsidRDefault="00BC2686" w:rsidP="00442D9E">
      <w:pPr>
        <w:pStyle w:val="Dotpoint1"/>
      </w:pPr>
      <w:r>
        <w:t>making more information available about industry’s expectations of training delivery to training providers to improve their delivery and to consumers to enable them to ma</w:t>
      </w:r>
      <w:r w:rsidR="00442D9E">
        <w:t>ke more informed course choices</w:t>
      </w:r>
    </w:p>
    <w:p w:rsidR="00BC2686" w:rsidRDefault="00BC2686" w:rsidP="00442D9E">
      <w:pPr>
        <w:pStyle w:val="Dotpoint1"/>
      </w:pPr>
      <w:r>
        <w:t>ensuring the training system better supports individuals to move easily from on</w:t>
      </w:r>
      <w:r w:rsidR="00442D9E">
        <w:t>e related occupation to another</w:t>
      </w:r>
    </w:p>
    <w:p w:rsidR="00BC2686" w:rsidRDefault="00BC2686" w:rsidP="00442D9E">
      <w:pPr>
        <w:pStyle w:val="Dotpoint1"/>
      </w:pPr>
      <w:r>
        <w:t xml:space="preserve">improving the efficiency of the training system by creating units that can be owned and used by multiple industry sectors and housing these units in </w:t>
      </w:r>
      <w:r w:rsidR="00442D9E">
        <w:t>a ‘work and participation bank’</w:t>
      </w:r>
    </w:p>
    <w:p w:rsidR="00BC2686" w:rsidRDefault="00BC2686" w:rsidP="00442D9E">
      <w:pPr>
        <w:pStyle w:val="Dotpoint1"/>
      </w:pPr>
      <w:r>
        <w:t>fostering greate</w:t>
      </w:r>
      <w:r w:rsidR="00442D9E">
        <w:t xml:space="preserve">r recognition of </w:t>
      </w:r>
      <w:r w:rsidR="0054258A">
        <w:t>skill set</w:t>
      </w:r>
      <w:r w:rsidR="00266B4C">
        <w:t>s</w:t>
      </w:r>
    </w:p>
    <w:p w:rsidR="00BC2686" w:rsidRDefault="00BC2686" w:rsidP="00442D9E">
      <w:pPr>
        <w:pStyle w:val="Dotpoint1"/>
      </w:pPr>
      <w:r>
        <w:t xml:space="preserve">ensuring that accredited courses ‘fill the gap’ in training packages and provide for training courses to be developed as quickly as industry needs them and </w:t>
      </w:r>
      <w:r w:rsidR="00A8285B">
        <w:t xml:space="preserve">to </w:t>
      </w:r>
      <w:r>
        <w:t>support niche skill needs.</w:t>
      </w:r>
    </w:p>
    <w:p w:rsidR="00A24593" w:rsidRDefault="006B2148" w:rsidP="0043292A">
      <w:pPr>
        <w:pStyle w:val="Text"/>
      </w:pPr>
      <w:r>
        <w:t xml:space="preserve">The </w:t>
      </w:r>
      <w:r w:rsidR="00196C5B">
        <w:t xml:space="preserve">Ministers acknowledged the need to </w:t>
      </w:r>
      <w:r w:rsidR="00620FCA">
        <w:t xml:space="preserve">avoid </w:t>
      </w:r>
      <w:r w:rsidR="00C42C48">
        <w:t xml:space="preserve">imposing </w:t>
      </w:r>
      <w:r w:rsidR="00620FCA">
        <w:t xml:space="preserve">extra regulatory burden on the VET sector and </w:t>
      </w:r>
      <w:r w:rsidR="00C42C48">
        <w:t xml:space="preserve">to </w:t>
      </w:r>
      <w:r w:rsidR="00A24593">
        <w:t>support</w:t>
      </w:r>
      <w:r w:rsidR="00620FCA">
        <w:t xml:space="preserve"> a risk-based regulatory approach proportionate to industry need. </w:t>
      </w:r>
    </w:p>
    <w:p w:rsidR="0043292A" w:rsidRDefault="00A24593" w:rsidP="0043292A">
      <w:pPr>
        <w:pStyle w:val="Text"/>
      </w:pPr>
      <w:r>
        <w:t>Th</w:t>
      </w:r>
      <w:r w:rsidR="00A8285B">
        <w:t>e</w:t>
      </w:r>
      <w:r>
        <w:t xml:space="preserve"> analysis </w:t>
      </w:r>
      <w:r w:rsidR="00A8285B">
        <w:t xml:space="preserve">in this </w:t>
      </w:r>
      <w:r w:rsidR="000C37F3">
        <w:t>report</w:t>
      </w:r>
      <w:r w:rsidR="00A8285B">
        <w:t xml:space="preserve"> </w:t>
      </w:r>
      <w:r>
        <w:t xml:space="preserve">provides information potentially useful to </w:t>
      </w:r>
      <w:r w:rsidR="006B2148">
        <w:t xml:space="preserve">the </w:t>
      </w:r>
      <w:r>
        <w:t xml:space="preserve">implementation of </w:t>
      </w:r>
      <w:r w:rsidR="006B2148">
        <w:t>a number</w:t>
      </w:r>
      <w:r w:rsidR="00990BD9">
        <w:t xml:space="preserve"> of </w:t>
      </w:r>
      <w:r>
        <w:t>these reforms</w:t>
      </w:r>
      <w:r w:rsidR="008B5888">
        <w:t>,</w:t>
      </w:r>
      <w:r>
        <w:t xml:space="preserve"> including approaches to </w:t>
      </w:r>
      <w:r w:rsidR="008B5888">
        <w:t xml:space="preserve">the </w:t>
      </w:r>
      <w:r w:rsidR="00A8285B">
        <w:t xml:space="preserve">identification </w:t>
      </w:r>
      <w:r w:rsidR="006B6292">
        <w:t xml:space="preserve">of qualifications that </w:t>
      </w:r>
      <w:r w:rsidR="00990BD9">
        <w:t xml:space="preserve">may be </w:t>
      </w:r>
      <w:r w:rsidR="0043292A">
        <w:t>obsolete and</w:t>
      </w:r>
      <w:r w:rsidR="00990BD9">
        <w:t>/or</w:t>
      </w:r>
      <w:r w:rsidR="0043292A">
        <w:t xml:space="preserve"> superfluous</w:t>
      </w:r>
      <w:r w:rsidR="008B5888">
        <w:t>. Such information might also prove useful for</w:t>
      </w:r>
      <w:r w:rsidR="00990BD9">
        <w:t xml:space="preserve"> </w:t>
      </w:r>
      <w:r w:rsidR="00C42C48">
        <w:t>the development</w:t>
      </w:r>
      <w:r w:rsidR="008B5888">
        <w:t xml:space="preserve"> of</w:t>
      </w:r>
      <w:r>
        <w:t xml:space="preserve"> a </w:t>
      </w:r>
      <w:r w:rsidR="006B6292">
        <w:t xml:space="preserve">framework </w:t>
      </w:r>
      <w:r>
        <w:t xml:space="preserve">model </w:t>
      </w:r>
      <w:r w:rsidR="008B5888">
        <w:t>that</w:t>
      </w:r>
      <w:r w:rsidR="00990BD9">
        <w:t xml:space="preserve"> </w:t>
      </w:r>
      <w:r w:rsidR="006B6292">
        <w:t>group</w:t>
      </w:r>
      <w:r w:rsidR="008B5888">
        <w:t>s</w:t>
      </w:r>
      <w:r w:rsidR="006B6292">
        <w:t xml:space="preserve"> qualifications</w:t>
      </w:r>
      <w:r w:rsidR="008B5888">
        <w:t>, thus assisting in the identification of</w:t>
      </w:r>
      <w:r w:rsidR="006B6292">
        <w:t xml:space="preserve"> </w:t>
      </w:r>
      <w:r w:rsidR="00990BD9">
        <w:t>potential</w:t>
      </w:r>
      <w:r w:rsidR="00A8285B">
        <w:t>ly</w:t>
      </w:r>
      <w:r w:rsidR="00990BD9">
        <w:t xml:space="preserve"> </w:t>
      </w:r>
      <w:r w:rsidR="00A8285B">
        <w:t xml:space="preserve">transferable </w:t>
      </w:r>
      <w:r w:rsidR="00990BD9">
        <w:t xml:space="preserve">skills </w:t>
      </w:r>
      <w:r w:rsidR="00513095">
        <w:t>in related occupations.</w:t>
      </w:r>
    </w:p>
    <w:p w:rsidR="001337D5" w:rsidRDefault="008B5888" w:rsidP="00513095">
      <w:pPr>
        <w:pStyle w:val="Text"/>
      </w:pPr>
      <w:r>
        <w:t>A number of o</w:t>
      </w:r>
      <w:r w:rsidR="00513095">
        <w:t>ther reviews and reforms</w:t>
      </w:r>
      <w:r>
        <w:t xml:space="preserve"> </w:t>
      </w:r>
      <w:r w:rsidR="00513095">
        <w:t>in the area of training products</w:t>
      </w:r>
      <w:r>
        <w:t xml:space="preserve"> </w:t>
      </w:r>
      <w:r w:rsidR="00C42C48">
        <w:t xml:space="preserve">have </w:t>
      </w:r>
      <w:r w:rsidR="00A8285B">
        <w:t>been conducted</w:t>
      </w:r>
      <w:r w:rsidRPr="008B5888">
        <w:t xml:space="preserve"> </w:t>
      </w:r>
      <w:r>
        <w:t>concurrently</w:t>
      </w:r>
      <w:r w:rsidR="00513095">
        <w:t>. In 2015, the Australian Government announced a new model for the development of training products</w:t>
      </w:r>
      <w:r>
        <w:t>,</w:t>
      </w:r>
      <w:r w:rsidR="00513095">
        <w:t xml:space="preserve"> including the </w:t>
      </w:r>
      <w:r w:rsidR="00C42C48">
        <w:t xml:space="preserve">establishment of the </w:t>
      </w:r>
      <w:r w:rsidR="00513095">
        <w:t>Australian Indu</w:t>
      </w:r>
      <w:r>
        <w:t>stry and Skills Committee</w:t>
      </w:r>
      <w:r w:rsidR="00513095">
        <w:t xml:space="preserve">, </w:t>
      </w:r>
      <w:r w:rsidR="00A8285B">
        <w:t xml:space="preserve">to be </w:t>
      </w:r>
      <w:r w:rsidR="00513095">
        <w:t xml:space="preserve">supported by </w:t>
      </w:r>
      <w:r>
        <w:t>industry reference committees</w:t>
      </w:r>
      <w:r w:rsidR="00513095">
        <w:t xml:space="preserve"> and </w:t>
      </w:r>
      <w:r>
        <w:t>skills service organisations</w:t>
      </w:r>
      <w:r w:rsidR="00E639EE">
        <w:t xml:space="preserve"> (Department of Education and Training 2015b)</w:t>
      </w:r>
      <w:r w:rsidR="00513095">
        <w:t xml:space="preserve">. </w:t>
      </w:r>
    </w:p>
    <w:p w:rsidR="0043292A" w:rsidRDefault="00513095" w:rsidP="00513095">
      <w:pPr>
        <w:pStyle w:val="Text"/>
      </w:pPr>
      <w:r>
        <w:t xml:space="preserve">The </w:t>
      </w:r>
      <w:r w:rsidR="00E639EE">
        <w:t>Australian Industry and Skills Committee</w:t>
      </w:r>
      <w:r>
        <w:t xml:space="preserve"> agreed to a schedule for the review and development of training packages</w:t>
      </w:r>
      <w:r w:rsidR="00C42C48">
        <w:t>. C</w:t>
      </w:r>
      <w:r w:rsidR="00E639EE">
        <w:t>urrently</w:t>
      </w:r>
      <w:r>
        <w:t xml:space="preserve"> underway</w:t>
      </w:r>
      <w:r w:rsidR="00E639EE">
        <w:t>,</w:t>
      </w:r>
      <w:r w:rsidR="00C42C48">
        <w:t xml:space="preserve"> the review has</w:t>
      </w:r>
      <w:r w:rsidR="001337D5">
        <w:t xml:space="preserve"> a focus on work identified as urgent by the </w:t>
      </w:r>
      <w:r w:rsidR="00E639EE">
        <w:t>industry reference committees</w:t>
      </w:r>
      <w:r w:rsidR="001337D5">
        <w:t xml:space="preserve"> in April 2016</w:t>
      </w:r>
      <w:r w:rsidR="00E639EE">
        <w:t xml:space="preserve"> (Australian Industry and Skills Committee 2016)</w:t>
      </w:r>
      <w:r>
        <w:t xml:space="preserve">. </w:t>
      </w:r>
      <w:r w:rsidR="001337D5">
        <w:t>T</w:t>
      </w:r>
      <w:r w:rsidR="00E639EE">
        <w:t>he aim of t</w:t>
      </w:r>
      <w:r w:rsidR="001337D5">
        <w:t>h</w:t>
      </w:r>
      <w:r w:rsidR="00E639EE">
        <w:t>is review work and the associated</w:t>
      </w:r>
      <w:r w:rsidR="001337D5">
        <w:t xml:space="preserve"> activities </w:t>
      </w:r>
      <w:r w:rsidR="00E639EE">
        <w:t>is</w:t>
      </w:r>
      <w:r w:rsidR="001337D5" w:rsidRPr="001337D5">
        <w:t xml:space="preserve"> to take account of advancements in tech</w:t>
      </w:r>
      <w:r w:rsidR="00E639EE">
        <w:t>nology, new jobs in the economy and emerging skill needs, as well as</w:t>
      </w:r>
      <w:r w:rsidR="001337D5" w:rsidRPr="001337D5">
        <w:t xml:space="preserve"> to ensure that </w:t>
      </w:r>
      <w:r w:rsidR="00E639EE">
        <w:t>training packages remain</w:t>
      </w:r>
      <w:r w:rsidR="001337D5" w:rsidRPr="001337D5">
        <w:t xml:space="preserve"> responsive to other changes in the economy</w:t>
      </w:r>
      <w:r w:rsidR="00E639EE">
        <w:t>,</w:t>
      </w:r>
      <w:r w:rsidR="001337D5" w:rsidRPr="001337D5">
        <w:t xml:space="preserve"> includ</w:t>
      </w:r>
      <w:r w:rsidR="00214DFC">
        <w:t>ing i</w:t>
      </w:r>
      <w:r w:rsidR="00E639EE">
        <w:t>ndustry restructuring</w:t>
      </w:r>
      <w:r w:rsidR="001337D5" w:rsidRPr="001337D5">
        <w:t xml:space="preserve"> and new ways of working. </w:t>
      </w:r>
      <w:r w:rsidR="000314DC">
        <w:t>The</w:t>
      </w:r>
      <w:r w:rsidR="001337D5" w:rsidRPr="001337D5">
        <w:t xml:space="preserve"> review and development work must include the transition of units of competency to the 2012 Standards for Training Packages.</w:t>
      </w:r>
      <w:r w:rsidR="001337D5">
        <w:t xml:space="preserve"> </w:t>
      </w:r>
      <w:r>
        <w:t xml:space="preserve">As part of this ongoing review and updating of training products, the </w:t>
      </w:r>
      <w:r w:rsidR="000314DC">
        <w:lastRenderedPageBreak/>
        <w:t>Australian Industry and Skills Committee</w:t>
      </w:r>
      <w:r>
        <w:t xml:space="preserve"> has referred almost 100 qualifications across nine training packages associated with</w:t>
      </w:r>
      <w:r w:rsidR="00C42C48">
        <w:t xml:space="preserve"> enterprises to the relevant industry reference committee</w:t>
      </w:r>
      <w:r>
        <w:t>s for advice on their removal from the national register</w:t>
      </w:r>
      <w:r w:rsidR="000314DC">
        <w:t xml:space="preserve"> (Australian Industry and Skills Committee 2015)</w:t>
      </w:r>
      <w:r>
        <w:t>.</w:t>
      </w:r>
      <w:r w:rsidR="000314DC">
        <w:t xml:space="preserve"> </w:t>
      </w:r>
      <w:r w:rsidR="0043292A">
        <w:br w:type="page"/>
      </w:r>
    </w:p>
    <w:p w:rsidR="004E4DE9" w:rsidRDefault="00510A67" w:rsidP="0043292A">
      <w:pPr>
        <w:pStyle w:val="Heading1"/>
      </w:pPr>
      <w:bookmarkStart w:id="42" w:name="_Toc465162153"/>
      <w:r w:rsidRPr="00510A67">
        <w:rPr>
          <w:noProof/>
          <w:lang w:eastAsia="en-AU"/>
        </w:rPr>
        <w:lastRenderedPageBreak/>
        <w:drawing>
          <wp:anchor distT="0" distB="0" distL="114300" distR="114300" simplePos="0" relativeHeight="252016640" behindDoc="1" locked="0" layoutInCell="1" allowOverlap="1" wp14:anchorId="78B5793F" wp14:editId="64F96796">
            <wp:simplePos x="0" y="0"/>
            <wp:positionH relativeFrom="column">
              <wp:posOffset>-20699</wp:posOffset>
            </wp:positionH>
            <wp:positionV relativeFrom="paragraph">
              <wp:posOffset>-21536</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TargetWithArrowFindings_CorpBlue.emf"/>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DB9">
        <w:t xml:space="preserve">Uptake of </w:t>
      </w:r>
      <w:r w:rsidR="00581E70">
        <w:t>qualifications</w:t>
      </w:r>
      <w:bookmarkEnd w:id="42"/>
    </w:p>
    <w:p w:rsidR="006D50AD" w:rsidRDefault="000314DC" w:rsidP="004267AE">
      <w:pPr>
        <w:pStyle w:val="Text"/>
      </w:pPr>
      <w:r>
        <w:t>This</w:t>
      </w:r>
      <w:r w:rsidR="006D50AD">
        <w:t xml:space="preserve"> first section </w:t>
      </w:r>
      <w:r>
        <w:t xml:space="preserve">of the report </w:t>
      </w:r>
      <w:r w:rsidR="006D50AD">
        <w:t>examine</w:t>
      </w:r>
      <w:r>
        <w:t>s the uptake of qualifications; that is,</w:t>
      </w:r>
      <w:r w:rsidR="006D50AD">
        <w:t xml:space="preserve"> the number of </w:t>
      </w:r>
      <w:r w:rsidR="00761D20">
        <w:t xml:space="preserve">program </w:t>
      </w:r>
      <w:r w:rsidR="006D50AD">
        <w:t>enrolments in training package qualifications and</w:t>
      </w:r>
      <w:r w:rsidR="00196C5B">
        <w:t xml:space="preserve"> how they are spread across </w:t>
      </w:r>
      <w:r w:rsidR="00761D20">
        <w:t xml:space="preserve">all </w:t>
      </w:r>
      <w:r w:rsidR="006D50AD">
        <w:t xml:space="preserve">qualifications and training packages. </w:t>
      </w:r>
    </w:p>
    <w:p w:rsidR="006D50AD" w:rsidRDefault="006D50AD" w:rsidP="006D50AD">
      <w:pPr>
        <w:pStyle w:val="Heading2"/>
      </w:pPr>
      <w:bookmarkStart w:id="43" w:name="_Toc465162154"/>
      <w:r>
        <w:t>Overview of VET enrolments</w:t>
      </w:r>
      <w:bookmarkEnd w:id="43"/>
    </w:p>
    <w:p w:rsidR="009010CE" w:rsidRDefault="000314DC" w:rsidP="009010CE">
      <w:pPr>
        <w:pStyle w:val="Text"/>
      </w:pPr>
      <w:r>
        <w:t>The focus of this report is</w:t>
      </w:r>
      <w:r w:rsidR="009D2D22">
        <w:t xml:space="preserve"> </w:t>
      </w:r>
      <w:r w:rsidR="009010CE">
        <w:t xml:space="preserve">on training package qualifications, </w:t>
      </w:r>
      <w:r w:rsidR="00761D20">
        <w:t xml:space="preserve">noting these </w:t>
      </w:r>
      <w:r w:rsidR="009010CE">
        <w:t xml:space="preserve">are just one </w:t>
      </w:r>
      <w:r w:rsidR="00A8285B">
        <w:t>component</w:t>
      </w:r>
      <w:r w:rsidR="009010CE">
        <w:t xml:space="preserve"> of the VET training system</w:t>
      </w:r>
      <w:r w:rsidR="002B5A47">
        <w:t xml:space="preserve"> (see table 1)</w:t>
      </w:r>
      <w:r w:rsidR="009010CE">
        <w:t xml:space="preserve">. </w:t>
      </w:r>
      <w:r w:rsidR="009200A7">
        <w:t xml:space="preserve">In </w:t>
      </w:r>
      <w:r w:rsidR="00662E8F">
        <w:t xml:space="preserve">TVA </w:t>
      </w:r>
      <w:r w:rsidR="00442D9E">
        <w:t>2015, there were 7</w:t>
      </w:r>
      <w:r w:rsidR="00864DC7">
        <w:t>306 unique programs</w:t>
      </w:r>
      <w:r w:rsidR="00F453EE">
        <w:t xml:space="preserve"> </w:t>
      </w:r>
      <w:r w:rsidR="00455E16">
        <w:t>in which</w:t>
      </w:r>
      <w:r w:rsidR="00761D20">
        <w:t xml:space="preserve"> enrolments were </w:t>
      </w:r>
      <w:r w:rsidR="00932156">
        <w:t>recorded</w:t>
      </w:r>
      <w:r w:rsidR="004A7C3D">
        <w:t>.</w:t>
      </w:r>
    </w:p>
    <w:p w:rsidR="009010CE" w:rsidRPr="00103A31" w:rsidRDefault="00967D44" w:rsidP="00103A31">
      <w:pPr>
        <w:pStyle w:val="Tabletitle"/>
      </w:pPr>
      <w:bookmarkStart w:id="44" w:name="_Toc465162104"/>
      <w:r w:rsidRPr="00103A31">
        <w:t>Table 1</w:t>
      </w:r>
      <w:r w:rsidR="009010CE" w:rsidRPr="00103A31">
        <w:tab/>
        <w:t>VET programs, 2015</w:t>
      </w:r>
      <w:bookmarkEnd w:id="44"/>
    </w:p>
    <w:tbl>
      <w:tblPr>
        <w:tblStyle w:val="TableGrid"/>
        <w:tblW w:w="815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6"/>
      </w:tblGrid>
      <w:tr w:rsidR="009010CE" w:rsidTr="009010CE">
        <w:tc>
          <w:tcPr>
            <w:tcW w:w="4076" w:type="dxa"/>
            <w:tcBorders>
              <w:bottom w:val="single" w:sz="4" w:space="0" w:color="auto"/>
            </w:tcBorders>
            <w:vAlign w:val="bottom"/>
          </w:tcPr>
          <w:p w:rsidR="009010CE" w:rsidRPr="004167F5" w:rsidRDefault="009010CE" w:rsidP="00AC45CC">
            <w:pPr>
              <w:pStyle w:val="Tablehead1"/>
            </w:pPr>
            <w:r>
              <w:t>Program type</w:t>
            </w:r>
          </w:p>
        </w:tc>
        <w:tc>
          <w:tcPr>
            <w:tcW w:w="4076" w:type="dxa"/>
            <w:tcBorders>
              <w:bottom w:val="single" w:sz="4" w:space="0" w:color="auto"/>
            </w:tcBorders>
            <w:vAlign w:val="bottom"/>
          </w:tcPr>
          <w:p w:rsidR="009010CE" w:rsidRPr="006C76EB" w:rsidRDefault="009010CE" w:rsidP="00AC45CC">
            <w:pPr>
              <w:pStyle w:val="Tablehead1"/>
              <w:jc w:val="right"/>
              <w:rPr>
                <w:rFonts w:cs="Arial"/>
                <w:bCs/>
                <w:lang w:eastAsia="en-AU"/>
              </w:rPr>
            </w:pPr>
            <w:r>
              <w:rPr>
                <w:rFonts w:cs="Arial"/>
                <w:bCs/>
                <w:lang w:eastAsia="en-AU"/>
              </w:rPr>
              <w:t>Number of programs</w:t>
            </w:r>
          </w:p>
        </w:tc>
      </w:tr>
      <w:tr w:rsidR="009010CE" w:rsidTr="009010CE">
        <w:tc>
          <w:tcPr>
            <w:tcW w:w="4076" w:type="dxa"/>
            <w:tcBorders>
              <w:top w:val="single" w:sz="4" w:space="0" w:color="auto"/>
              <w:bottom w:val="nil"/>
            </w:tcBorders>
            <w:vAlign w:val="bottom"/>
          </w:tcPr>
          <w:p w:rsidR="009010CE" w:rsidRPr="00103A31" w:rsidRDefault="009010CE" w:rsidP="00103A31">
            <w:pPr>
              <w:pStyle w:val="Tabletext"/>
            </w:pPr>
            <w:r w:rsidRPr="00103A31">
              <w:t>National training package qualifications</w:t>
            </w:r>
          </w:p>
        </w:tc>
        <w:tc>
          <w:tcPr>
            <w:tcW w:w="4076" w:type="dxa"/>
            <w:tcBorders>
              <w:top w:val="single" w:sz="4" w:space="0" w:color="auto"/>
              <w:bottom w:val="nil"/>
            </w:tcBorders>
            <w:vAlign w:val="bottom"/>
          </w:tcPr>
          <w:p w:rsidR="009010CE" w:rsidRPr="00103A31" w:rsidRDefault="009010CE" w:rsidP="00103A31">
            <w:pPr>
              <w:pStyle w:val="Tabletext"/>
              <w:jc w:val="right"/>
            </w:pPr>
            <w:r w:rsidRPr="00103A31">
              <w:t>2 050</w:t>
            </w:r>
          </w:p>
        </w:tc>
      </w:tr>
      <w:tr w:rsidR="009010CE" w:rsidTr="009010CE">
        <w:tc>
          <w:tcPr>
            <w:tcW w:w="4076" w:type="dxa"/>
            <w:tcBorders>
              <w:top w:val="nil"/>
            </w:tcBorders>
            <w:vAlign w:val="bottom"/>
          </w:tcPr>
          <w:p w:rsidR="009010CE" w:rsidRPr="00103A31" w:rsidRDefault="009010CE" w:rsidP="00103A31">
            <w:pPr>
              <w:pStyle w:val="Tabletext"/>
            </w:pPr>
            <w:r w:rsidRPr="00103A31">
              <w:t>Nationally recognised accredited courses</w:t>
            </w:r>
          </w:p>
        </w:tc>
        <w:tc>
          <w:tcPr>
            <w:tcW w:w="4076" w:type="dxa"/>
            <w:tcBorders>
              <w:top w:val="nil"/>
            </w:tcBorders>
            <w:vAlign w:val="bottom"/>
          </w:tcPr>
          <w:p w:rsidR="009010CE" w:rsidRPr="00103A31" w:rsidRDefault="009010CE" w:rsidP="00103A31">
            <w:pPr>
              <w:pStyle w:val="Tabletext"/>
              <w:jc w:val="right"/>
            </w:pPr>
            <w:r w:rsidRPr="00103A31">
              <w:t xml:space="preserve">  943</w:t>
            </w:r>
          </w:p>
        </w:tc>
      </w:tr>
      <w:tr w:rsidR="009010CE" w:rsidTr="009010CE">
        <w:tc>
          <w:tcPr>
            <w:tcW w:w="4076" w:type="dxa"/>
            <w:vAlign w:val="bottom"/>
          </w:tcPr>
          <w:p w:rsidR="009010CE" w:rsidRPr="00103A31" w:rsidRDefault="009010CE" w:rsidP="00103A31">
            <w:pPr>
              <w:pStyle w:val="Tabletext"/>
            </w:pPr>
            <w:r w:rsidRPr="00103A31">
              <w:t>Higher-level qualifications</w:t>
            </w:r>
          </w:p>
        </w:tc>
        <w:tc>
          <w:tcPr>
            <w:tcW w:w="4076" w:type="dxa"/>
            <w:vAlign w:val="bottom"/>
          </w:tcPr>
          <w:p w:rsidR="009010CE" w:rsidRPr="00103A31" w:rsidRDefault="009010CE" w:rsidP="00103A31">
            <w:pPr>
              <w:pStyle w:val="Tabletext"/>
              <w:jc w:val="right"/>
            </w:pPr>
            <w:r w:rsidRPr="00103A31">
              <w:t xml:space="preserve">   81</w:t>
            </w:r>
          </w:p>
        </w:tc>
      </w:tr>
      <w:tr w:rsidR="009010CE" w:rsidTr="009010CE">
        <w:tc>
          <w:tcPr>
            <w:tcW w:w="4076" w:type="dxa"/>
            <w:vAlign w:val="bottom"/>
          </w:tcPr>
          <w:p w:rsidR="009010CE" w:rsidRPr="00103A31" w:rsidRDefault="009010CE" w:rsidP="00103A31">
            <w:pPr>
              <w:pStyle w:val="Tabletext"/>
            </w:pPr>
            <w:r w:rsidRPr="00103A31">
              <w:t>Locally recognised courses</w:t>
            </w:r>
          </w:p>
        </w:tc>
        <w:tc>
          <w:tcPr>
            <w:tcW w:w="4076" w:type="dxa"/>
            <w:vAlign w:val="bottom"/>
          </w:tcPr>
          <w:p w:rsidR="009010CE" w:rsidRPr="00103A31" w:rsidRDefault="009010CE" w:rsidP="00103A31">
            <w:pPr>
              <w:pStyle w:val="Tabletext"/>
              <w:jc w:val="right"/>
            </w:pPr>
            <w:r w:rsidRPr="00103A31">
              <w:t>2 338</w:t>
            </w:r>
          </w:p>
        </w:tc>
      </w:tr>
      <w:tr w:rsidR="009010CE" w:rsidTr="009010CE">
        <w:tc>
          <w:tcPr>
            <w:tcW w:w="4076" w:type="dxa"/>
            <w:tcBorders>
              <w:bottom w:val="single" w:sz="4" w:space="0" w:color="auto"/>
            </w:tcBorders>
            <w:vAlign w:val="bottom"/>
          </w:tcPr>
          <w:p w:rsidR="009010CE" w:rsidRPr="00103A31" w:rsidRDefault="0054258A" w:rsidP="00103A31">
            <w:pPr>
              <w:pStyle w:val="Tabletext"/>
            </w:pPr>
            <w:r>
              <w:t>Skill set</w:t>
            </w:r>
            <w:r w:rsidR="009010CE" w:rsidRPr="00103A31">
              <w:t>s – nationally and locally recognised</w:t>
            </w:r>
          </w:p>
        </w:tc>
        <w:tc>
          <w:tcPr>
            <w:tcW w:w="4076" w:type="dxa"/>
            <w:tcBorders>
              <w:bottom w:val="single" w:sz="4" w:space="0" w:color="auto"/>
            </w:tcBorders>
            <w:vAlign w:val="bottom"/>
          </w:tcPr>
          <w:p w:rsidR="009010CE" w:rsidRPr="00103A31" w:rsidRDefault="009010CE" w:rsidP="00103A31">
            <w:pPr>
              <w:pStyle w:val="Tabletext"/>
              <w:jc w:val="right"/>
            </w:pPr>
            <w:r w:rsidRPr="00103A31">
              <w:t>1 894</w:t>
            </w:r>
          </w:p>
        </w:tc>
      </w:tr>
      <w:tr w:rsidR="009010CE" w:rsidTr="009010CE">
        <w:tc>
          <w:tcPr>
            <w:tcW w:w="4076" w:type="dxa"/>
            <w:tcBorders>
              <w:top w:val="single" w:sz="4" w:space="0" w:color="auto"/>
              <w:bottom w:val="single" w:sz="4" w:space="0" w:color="auto"/>
            </w:tcBorders>
            <w:vAlign w:val="bottom"/>
          </w:tcPr>
          <w:p w:rsidR="009010CE" w:rsidRPr="00103A31" w:rsidRDefault="009010CE" w:rsidP="00103A31">
            <w:pPr>
              <w:pStyle w:val="Tabletext"/>
            </w:pPr>
            <w:r w:rsidRPr="00103A31">
              <w:t>Total</w:t>
            </w:r>
          </w:p>
        </w:tc>
        <w:tc>
          <w:tcPr>
            <w:tcW w:w="4076" w:type="dxa"/>
            <w:tcBorders>
              <w:top w:val="single" w:sz="4" w:space="0" w:color="auto"/>
              <w:bottom w:val="single" w:sz="4" w:space="0" w:color="auto"/>
            </w:tcBorders>
            <w:vAlign w:val="bottom"/>
          </w:tcPr>
          <w:p w:rsidR="009010CE" w:rsidRPr="00103A31" w:rsidRDefault="009010CE" w:rsidP="00103A31">
            <w:pPr>
              <w:pStyle w:val="Tabletext"/>
              <w:jc w:val="right"/>
            </w:pPr>
            <w:r w:rsidRPr="00103A31">
              <w:t>7 306</w:t>
            </w:r>
          </w:p>
        </w:tc>
      </w:tr>
    </w:tbl>
    <w:p w:rsidR="00005C2F" w:rsidRDefault="00005C2F" w:rsidP="00005C2F">
      <w:pPr>
        <w:pStyle w:val="Source"/>
      </w:pPr>
      <w:r>
        <w:t xml:space="preserve">Source: NCVER </w:t>
      </w:r>
      <w:r w:rsidR="00442D9E">
        <w:t>(</w:t>
      </w:r>
      <w:r>
        <w:t>2016</w:t>
      </w:r>
      <w:r w:rsidR="00442D9E">
        <w:t>).</w:t>
      </w:r>
    </w:p>
    <w:p w:rsidR="00B75B9E" w:rsidRDefault="00967D44" w:rsidP="004267AE">
      <w:pPr>
        <w:pStyle w:val="Text"/>
      </w:pPr>
      <w:r>
        <w:t>As shown in figure 1</w:t>
      </w:r>
      <w:r w:rsidR="00761D20">
        <w:t xml:space="preserve">, </w:t>
      </w:r>
      <w:r w:rsidR="00B75B9E">
        <w:t xml:space="preserve">program enrolments in training package qualifications </w:t>
      </w:r>
      <w:r w:rsidR="009867AA">
        <w:t xml:space="preserve">(2 722 400) </w:t>
      </w:r>
      <w:r w:rsidR="000314DC">
        <w:t>constitute the</w:t>
      </w:r>
      <w:r w:rsidR="00A108F1">
        <w:t xml:space="preserve"> </w:t>
      </w:r>
      <w:r w:rsidR="009867AA">
        <w:t xml:space="preserve">majority </w:t>
      </w:r>
      <w:r w:rsidR="00761D20">
        <w:t xml:space="preserve">(some 77 %) </w:t>
      </w:r>
      <w:r w:rsidR="009867AA">
        <w:t>of all program enrolments (3 515 500).</w:t>
      </w:r>
    </w:p>
    <w:p w:rsidR="00A108F1" w:rsidRDefault="001A20C8" w:rsidP="00A108F1">
      <w:pPr>
        <w:pStyle w:val="Figuretitle"/>
      </w:pPr>
      <w:bookmarkStart w:id="45" w:name="_Toc465161927"/>
      <w:r w:rsidRPr="001A20C8">
        <w:rPr>
          <w:noProof/>
          <w:lang w:eastAsia="en-AU"/>
        </w:rPr>
        <w:drawing>
          <wp:anchor distT="0" distB="0" distL="114300" distR="114300" simplePos="0" relativeHeight="252063744" behindDoc="0" locked="0" layoutInCell="1" allowOverlap="1" wp14:anchorId="4D4A1125" wp14:editId="2D8096C7">
            <wp:simplePos x="0" y="0"/>
            <wp:positionH relativeFrom="column">
              <wp:posOffset>-606425</wp:posOffset>
            </wp:positionH>
            <wp:positionV relativeFrom="paragraph">
              <wp:posOffset>467360</wp:posOffset>
            </wp:positionV>
            <wp:extent cx="5621020" cy="1915795"/>
            <wp:effectExtent l="0" t="0" r="0" b="8255"/>
            <wp:wrapTopAndBottom/>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967D44">
        <w:t>Figure 1</w:t>
      </w:r>
      <w:r w:rsidR="00A108F1">
        <w:tab/>
        <w:t>Program enrolments by type of accreditation, 2015</w:t>
      </w:r>
      <w:bookmarkEnd w:id="45"/>
    </w:p>
    <w:p w:rsidR="004A7C3D" w:rsidRDefault="004A7C3D" w:rsidP="001A20C8">
      <w:pPr>
        <w:pStyle w:val="Source"/>
      </w:pPr>
      <w:r w:rsidRPr="001A20C8">
        <w:t>S</w:t>
      </w:r>
      <w:r>
        <w:t xml:space="preserve">ource: NCVER </w:t>
      </w:r>
      <w:r w:rsidR="00442D9E">
        <w:t>(</w:t>
      </w:r>
      <w:r>
        <w:t>2016</w:t>
      </w:r>
      <w:r w:rsidR="00442D9E">
        <w:t>).</w:t>
      </w:r>
    </w:p>
    <w:p w:rsidR="009867AA" w:rsidRDefault="009230A0" w:rsidP="004267AE">
      <w:pPr>
        <w:pStyle w:val="Text"/>
      </w:pPr>
      <w:r>
        <w:t>Whil</w:t>
      </w:r>
      <w:r w:rsidR="000314DC">
        <w:t>e</w:t>
      </w:r>
      <w:r>
        <w:t xml:space="preserve"> </w:t>
      </w:r>
      <w:r w:rsidR="009867AA">
        <w:t xml:space="preserve">this report focuses on training package qualifications, </w:t>
      </w:r>
      <w:r w:rsidR="00967D44">
        <w:t>table 1</w:t>
      </w:r>
      <w:r w:rsidR="00442D9E">
        <w:t xml:space="preserve"> and figure </w:t>
      </w:r>
      <w:r w:rsidR="00967D44">
        <w:t>1</w:t>
      </w:r>
      <w:r w:rsidR="00442D9E">
        <w:t xml:space="preserve"> show</w:t>
      </w:r>
      <w:r w:rsidR="00761D20">
        <w:t xml:space="preserve"> </w:t>
      </w:r>
      <w:r w:rsidR="000314DC">
        <w:t xml:space="preserve">that </w:t>
      </w:r>
      <w:r w:rsidR="009867AA">
        <w:t xml:space="preserve">nationally and locally accredited courses are important </w:t>
      </w:r>
      <w:r w:rsidR="004410F0">
        <w:t>component</w:t>
      </w:r>
      <w:r w:rsidR="000314DC">
        <w:t>s</w:t>
      </w:r>
      <w:r w:rsidR="004410F0">
        <w:t xml:space="preserve"> </w:t>
      </w:r>
      <w:r w:rsidR="009867AA">
        <w:t>of the training system</w:t>
      </w:r>
      <w:r w:rsidR="004410F0">
        <w:t xml:space="preserve"> and </w:t>
      </w:r>
      <w:r>
        <w:t>c</w:t>
      </w:r>
      <w:r w:rsidR="000314DC">
        <w:t>ould</w:t>
      </w:r>
      <w:r>
        <w:t xml:space="preserve"> </w:t>
      </w:r>
      <w:r w:rsidR="00455E16">
        <w:t xml:space="preserve">be </w:t>
      </w:r>
      <w:r w:rsidR="004410F0">
        <w:t>examined in subsequent work.</w:t>
      </w:r>
    </w:p>
    <w:p w:rsidR="00F3768D" w:rsidRDefault="009867AA" w:rsidP="009010CE">
      <w:pPr>
        <w:pStyle w:val="Text"/>
      </w:pPr>
      <w:r>
        <w:t xml:space="preserve">It is </w:t>
      </w:r>
      <w:r w:rsidR="004410F0">
        <w:t xml:space="preserve">also </w:t>
      </w:r>
      <w:r>
        <w:t>important to note that not all students are</w:t>
      </w:r>
      <w:r w:rsidR="00CD6848">
        <w:t xml:space="preserve"> enrolled in full programs. The number of students in TVA 2015 (4.5 million) exceeds the number of program enrolments </w:t>
      </w:r>
    </w:p>
    <w:p w:rsidR="00F3768D" w:rsidRDefault="00F3768D">
      <w:pPr>
        <w:rPr>
          <w:rFonts w:ascii="Trebuchet MS" w:eastAsia="Times New Roman" w:hAnsi="Trebuchet MS" w:cs="Times New Roman"/>
          <w:sz w:val="19"/>
          <w:szCs w:val="20"/>
        </w:rPr>
      </w:pPr>
      <w:r>
        <w:br w:type="page"/>
      </w:r>
    </w:p>
    <w:p w:rsidR="00CD6848" w:rsidRDefault="00CD6848" w:rsidP="009010CE">
      <w:pPr>
        <w:pStyle w:val="Text"/>
      </w:pPr>
      <w:proofErr w:type="gramStart"/>
      <w:r>
        <w:lastRenderedPageBreak/>
        <w:t>(3.5 million).</w:t>
      </w:r>
      <w:proofErr w:type="gramEnd"/>
      <w:r>
        <w:t xml:space="preserve"> </w:t>
      </w:r>
      <w:r w:rsidR="004410F0">
        <w:t xml:space="preserve">Some </w:t>
      </w:r>
      <w:r>
        <w:t xml:space="preserve">students are enrolled in subjects </w:t>
      </w:r>
      <w:r w:rsidR="004410F0">
        <w:t>only</w:t>
      </w:r>
      <w:r w:rsidR="00FE073F">
        <w:t xml:space="preserve">, </w:t>
      </w:r>
      <w:r w:rsidR="00455E16">
        <w:t>a topic</w:t>
      </w:r>
      <w:r w:rsidR="00FE073F">
        <w:t xml:space="preserve"> not considered in </w:t>
      </w:r>
      <w:r>
        <w:t>the scope of this report.</w:t>
      </w:r>
      <w:r w:rsidR="004A7C3D">
        <w:rPr>
          <w:rStyle w:val="FootnoteReference"/>
        </w:rPr>
        <w:footnoteReference w:id="2"/>
      </w:r>
    </w:p>
    <w:p w:rsidR="00D13986" w:rsidRDefault="00834978" w:rsidP="009010CE">
      <w:pPr>
        <w:pStyle w:val="Text"/>
      </w:pPr>
      <w:r>
        <w:t>F</w:t>
      </w:r>
      <w:r w:rsidR="009230A0">
        <w:t xml:space="preserve">ocusing on the </w:t>
      </w:r>
      <w:r w:rsidR="00CD6848">
        <w:t>2 722 400 enrolments in</w:t>
      </w:r>
      <w:r w:rsidR="00442D9E">
        <w:t xml:space="preserve"> t</w:t>
      </w:r>
      <w:r>
        <w:t>raining package qualifications,</w:t>
      </w:r>
      <w:r w:rsidR="009230A0">
        <w:t xml:space="preserve"> these</w:t>
      </w:r>
      <w:r w:rsidR="00CD6848">
        <w:t xml:space="preserve"> were</w:t>
      </w:r>
      <w:r w:rsidR="00864DC7">
        <w:t xml:space="preserve"> associated with 56 </w:t>
      </w:r>
      <w:r w:rsidR="004267AE">
        <w:t xml:space="preserve">of the 77 </w:t>
      </w:r>
      <w:r>
        <w:t xml:space="preserve">training packages </w:t>
      </w:r>
      <w:r w:rsidR="00CD6848">
        <w:t xml:space="preserve">listed </w:t>
      </w:r>
      <w:r w:rsidR="004267AE">
        <w:t>on training.gov.au</w:t>
      </w:r>
      <w:r w:rsidR="005673E3">
        <w:t xml:space="preserve">. </w:t>
      </w:r>
      <w:r w:rsidR="00A32487">
        <w:t>T</w:t>
      </w:r>
      <w:r w:rsidR="004267AE">
        <w:t>h</w:t>
      </w:r>
      <w:r w:rsidR="001C30F9">
        <w:t xml:space="preserve">e remaining group of </w:t>
      </w:r>
      <w:r w:rsidR="00DE029B">
        <w:t>t</w:t>
      </w:r>
      <w:r w:rsidR="004267AE">
        <w:t xml:space="preserve">raining </w:t>
      </w:r>
      <w:r w:rsidR="00DE029B">
        <w:t>p</w:t>
      </w:r>
      <w:r w:rsidR="004267AE">
        <w:t>ackages</w:t>
      </w:r>
      <w:r w:rsidR="00A32487">
        <w:t xml:space="preserve"> comprised some </w:t>
      </w:r>
      <w:r w:rsidR="004267AE">
        <w:t>that had been superseded by other versions</w:t>
      </w:r>
      <w:r w:rsidR="00442D9E">
        <w:t>, those that were enterprise training p</w:t>
      </w:r>
      <w:r w:rsidR="00DB6C27">
        <w:t>ackages with confidentiality status</w:t>
      </w:r>
      <w:r>
        <w:t>,</w:t>
      </w:r>
      <w:r w:rsidR="00DB6C27">
        <w:t xml:space="preserve"> and </w:t>
      </w:r>
      <w:r>
        <w:t>a number</w:t>
      </w:r>
      <w:r w:rsidR="009230A0">
        <w:t xml:space="preserve"> </w:t>
      </w:r>
      <w:r w:rsidR="00DB6C27">
        <w:t xml:space="preserve">that had </w:t>
      </w:r>
      <w:r w:rsidR="00A964AF">
        <w:t xml:space="preserve">just been released (which </w:t>
      </w:r>
      <w:r w:rsidR="00A32487">
        <w:t xml:space="preserve">would not be expected to </w:t>
      </w:r>
      <w:r w:rsidR="00A964AF">
        <w:t>have enrolments in 2015)</w:t>
      </w:r>
      <w:r w:rsidR="00A32487">
        <w:t xml:space="preserve">. </w:t>
      </w:r>
    </w:p>
    <w:p w:rsidR="008A02C9" w:rsidRDefault="00DE029B" w:rsidP="00DE029B">
      <w:pPr>
        <w:pStyle w:val="Heading2"/>
      </w:pPr>
      <w:bookmarkStart w:id="46" w:name="_Toc465162155"/>
      <w:r>
        <w:t>Analysis of training package qualifications</w:t>
      </w:r>
      <w:bookmarkEnd w:id="46"/>
    </w:p>
    <w:p w:rsidR="00492F7A" w:rsidRDefault="00A32487" w:rsidP="00492F7A">
      <w:pPr>
        <w:pStyle w:val="Text"/>
      </w:pPr>
      <w:r>
        <w:t xml:space="preserve">We begin the </w:t>
      </w:r>
      <w:r w:rsidR="00492F7A">
        <w:t xml:space="preserve">analysis </w:t>
      </w:r>
      <w:r w:rsidR="00F2364A">
        <w:t>by matching t</w:t>
      </w:r>
      <w:r w:rsidR="007B22F0">
        <w:t xml:space="preserve">he list of training package qualifications on </w:t>
      </w:r>
      <w:hyperlink w:history="1">
        <w:r w:rsidR="00363557" w:rsidRPr="00261114">
          <w:rPr>
            <w:rStyle w:val="Hyperlink"/>
          </w:rPr>
          <w:t>www.training.gov.au</w:t>
        </w:r>
      </w:hyperlink>
      <w:r w:rsidR="009D2D22" w:rsidRPr="00261114">
        <w:t xml:space="preserve"> </w:t>
      </w:r>
      <w:r w:rsidR="007B22F0">
        <w:t xml:space="preserve">to the enrolments </w:t>
      </w:r>
      <w:r w:rsidR="00FE073F">
        <w:t>reported in</w:t>
      </w:r>
      <w:r w:rsidR="00876C65">
        <w:t xml:space="preserve"> </w:t>
      </w:r>
      <w:r w:rsidR="00C81D5B">
        <w:t>TVA</w:t>
      </w:r>
      <w:r w:rsidR="00876C65">
        <w:t xml:space="preserve"> </w:t>
      </w:r>
      <w:r w:rsidR="00C81D5B">
        <w:t xml:space="preserve">2015 </w:t>
      </w:r>
      <w:r w:rsidR="009D2D22">
        <w:t>to determine</w:t>
      </w:r>
      <w:r>
        <w:t xml:space="preserve"> a list </w:t>
      </w:r>
      <w:r w:rsidR="00C42C48">
        <w:t>of</w:t>
      </w:r>
      <w:r w:rsidR="00492F7A">
        <w:t xml:space="preserve"> qualifications released prior to 1 January 2016. </w:t>
      </w:r>
      <w:r w:rsidR="00504DB9">
        <w:t>T</w:t>
      </w:r>
      <w:r>
        <w:t>h</w:t>
      </w:r>
      <w:r w:rsidR="00834978">
        <w:t>e</w:t>
      </w:r>
      <w:r>
        <w:t xml:space="preserve"> qualifications</w:t>
      </w:r>
      <w:r w:rsidR="00834978">
        <w:t xml:space="preserve"> recording</w:t>
      </w:r>
      <w:r>
        <w:t xml:space="preserve"> zero enrolments </w:t>
      </w:r>
      <w:r w:rsidR="00834978">
        <w:t>and</w:t>
      </w:r>
      <w:r w:rsidR="00492F7A">
        <w:t xml:space="preserve"> marked as superseded prior to </w:t>
      </w:r>
      <w:r>
        <w:t>this date</w:t>
      </w:r>
      <w:r w:rsidR="00492F7A">
        <w:t xml:space="preserve"> were </w:t>
      </w:r>
      <w:r>
        <w:t>subse</w:t>
      </w:r>
      <w:r w:rsidR="00A964AF">
        <w:t xml:space="preserve">quently removed from this list. </w:t>
      </w:r>
      <w:r>
        <w:t xml:space="preserve">This leaves a list of </w:t>
      </w:r>
      <w:r w:rsidR="00A964AF">
        <w:t>2</w:t>
      </w:r>
      <w:r w:rsidR="00F50CC7">
        <w:t>573</w:t>
      </w:r>
      <w:r w:rsidR="007B22F0">
        <w:t xml:space="preserve"> </w:t>
      </w:r>
      <w:r w:rsidR="00492F7A">
        <w:t>qualifications</w:t>
      </w:r>
      <w:r w:rsidR="00834978">
        <w:t>,</w:t>
      </w:r>
      <w:r w:rsidR="00492F7A">
        <w:t xml:space="preserve"> </w:t>
      </w:r>
      <w:r w:rsidR="007B22F0">
        <w:t xml:space="preserve">of which </w:t>
      </w:r>
      <w:r w:rsidR="00A964AF">
        <w:t>1</w:t>
      </w:r>
      <w:r w:rsidR="005C2147">
        <w:t>571</w:t>
      </w:r>
      <w:r w:rsidR="00492F7A">
        <w:t xml:space="preserve"> we</w:t>
      </w:r>
      <w:r w:rsidR="007B22F0">
        <w:t xml:space="preserve">re current </w:t>
      </w:r>
      <w:r w:rsidR="00492F7A">
        <w:t>(as of 31 December 2015)</w:t>
      </w:r>
      <w:r w:rsidR="007B22F0">
        <w:t xml:space="preserve"> and </w:t>
      </w:r>
      <w:r w:rsidR="00A964AF">
        <w:t>1</w:t>
      </w:r>
      <w:r w:rsidR="008A2DA7">
        <w:t>002</w:t>
      </w:r>
      <w:r w:rsidR="00492F7A">
        <w:t xml:space="preserve"> </w:t>
      </w:r>
      <w:r w:rsidR="007B22F0">
        <w:t xml:space="preserve">qualifications </w:t>
      </w:r>
      <w:r>
        <w:t>that</w:t>
      </w:r>
      <w:r w:rsidR="0068640D">
        <w:t>,</w:t>
      </w:r>
      <w:r>
        <w:t xml:space="preserve"> although superseded</w:t>
      </w:r>
      <w:r w:rsidR="0068640D">
        <w:t>,</w:t>
      </w:r>
      <w:r>
        <w:t xml:space="preserve"> were </w:t>
      </w:r>
      <w:r w:rsidR="007B22F0">
        <w:t>still in use.</w:t>
      </w:r>
      <w:r w:rsidR="00F711E7" w:rsidRPr="00F711E7">
        <w:rPr>
          <w:noProof/>
          <w:lang w:eastAsia="en-AU"/>
        </w:rPr>
        <w:t xml:space="preserve"> </w:t>
      </w:r>
      <w:r w:rsidR="00F711E7">
        <w:rPr>
          <w:noProof/>
          <w:lang w:eastAsia="en-AU"/>
        </w:rPr>
        <mc:AlternateContent>
          <mc:Choice Requires="wps">
            <w:drawing>
              <wp:anchor distT="0" distB="0" distL="114300" distR="114300" simplePos="0" relativeHeight="252042240" behindDoc="0" locked="1" layoutInCell="1" allowOverlap="1" wp14:anchorId="0FFFE000" wp14:editId="66410C21">
                <wp:simplePos x="0" y="0"/>
                <wp:positionH relativeFrom="outsideMargin">
                  <wp:posOffset>161925</wp:posOffset>
                </wp:positionH>
                <wp:positionV relativeFrom="page">
                  <wp:posOffset>828675</wp:posOffset>
                </wp:positionV>
                <wp:extent cx="1320800" cy="1628775"/>
                <wp:effectExtent l="0" t="0" r="0" b="0"/>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287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83E4B" w:rsidRPr="00543BFF" w:rsidRDefault="00883E4B" w:rsidP="00F711E7">
                            <w:pPr>
                              <w:pStyle w:val="PullQuote"/>
                            </w:pPr>
                            <w:r>
                              <w:t>There are still enrolments in qualifications that have been superseded multiple times.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2.75pt;margin-top:65.25pt;width:104pt;height:128.25pt;z-index:2520422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" filled="f" stroked="f" strokeweight=".5pt">
                <v:shadow on="t" type="perspective" color="black" opacity="9830f" origin=",.5" offset="0,25pt" matrix="58982f,,,-12452f"/>
                <v:path arrowok="t"/>
                <v:textbox inset="10mm">
                  <w:txbxContent>
                    <w:p w:rsidR="00883E4B" w:rsidRPr="00543BFF" w:rsidRDefault="00883E4B" w:rsidP="00F711E7">
                      <w:pPr>
                        <w:pStyle w:val="PullQuote"/>
                      </w:pPr>
                      <w:r>
                        <w:t>There are still enrolments in qualifications that have been superseded multiple times.</w:t>
                      </w:r>
                    </w:p>
                  </w:txbxContent>
                </v:textbox>
                <w10:wrap anchorx="margin" anchory="page"/>
                <w10:anchorlock/>
              </v:shape>
            </w:pict>
          </mc:Fallback>
        </mc:AlternateContent>
      </w:r>
    </w:p>
    <w:p w:rsidR="00FE073F" w:rsidRDefault="00492F7A" w:rsidP="00492F7A">
      <w:pPr>
        <w:pStyle w:val="Text"/>
      </w:pPr>
      <w:r>
        <w:t xml:space="preserve">This list overemphasises the </w:t>
      </w:r>
      <w:r w:rsidR="00C42C48">
        <w:t xml:space="preserve">number </w:t>
      </w:r>
      <w:r>
        <w:t xml:space="preserve">of superseded qualifications </w:t>
      </w:r>
      <w:r w:rsidR="00C42C48">
        <w:t xml:space="preserve">in use </w:t>
      </w:r>
      <w:r>
        <w:t>because many of the current and superseded qualifications are directly related to each other</w:t>
      </w:r>
      <w:r w:rsidR="0054258A">
        <w:t xml:space="preserve">. </w:t>
      </w:r>
      <w:r w:rsidR="00FE073F">
        <w:t>For example, a group of related certificate III qualifications were released in 2009, 2011, 2</w:t>
      </w:r>
      <w:r w:rsidR="00C42C48">
        <w:t>012, 2013 and 2015</w:t>
      </w:r>
      <w:r w:rsidR="00455E16">
        <w:t xml:space="preserve"> and a</w:t>
      </w:r>
      <w:r w:rsidR="00FE073F">
        <w:t xml:space="preserve">ll five of these qualifications recorded enrolments in 2015, even though the </w:t>
      </w:r>
      <w:r w:rsidR="00390066">
        <w:t xml:space="preserve">qualification released in </w:t>
      </w:r>
      <w:r w:rsidR="00FE073F">
        <w:t xml:space="preserve">2015 supersedes the previous </w:t>
      </w:r>
      <w:r w:rsidR="00390066">
        <w:t>qualifications</w:t>
      </w:r>
      <w:r w:rsidR="00FE073F">
        <w:t>.</w:t>
      </w:r>
    </w:p>
    <w:p w:rsidR="00876C65" w:rsidRDefault="00755AC6" w:rsidP="00492F7A">
      <w:pPr>
        <w:pStyle w:val="Text"/>
      </w:pPr>
      <w:r>
        <w:t>A</w:t>
      </w:r>
      <w:r w:rsidR="00A32487">
        <w:t xml:space="preserve"> variety of reasons</w:t>
      </w:r>
      <w:r>
        <w:t xml:space="preserve"> </w:t>
      </w:r>
      <w:r w:rsidR="00C42C48">
        <w:t xml:space="preserve">are </w:t>
      </w:r>
      <w:r>
        <w:t>possible</w:t>
      </w:r>
      <w:r w:rsidR="00A32487">
        <w:t xml:space="preserve"> for enrolments </w:t>
      </w:r>
      <w:r>
        <w:t xml:space="preserve">being recorded </w:t>
      </w:r>
      <w:r w:rsidR="00A32487">
        <w:t xml:space="preserve">against the </w:t>
      </w:r>
      <w:r w:rsidR="00492F7A">
        <w:t>superseded qualifications</w:t>
      </w:r>
      <w:r w:rsidR="00A32487">
        <w:t xml:space="preserve">, including </w:t>
      </w:r>
      <w:r w:rsidR="00492F7A">
        <w:t>being ‘taught out’</w:t>
      </w:r>
      <w:r w:rsidR="00390066">
        <w:rPr>
          <w:rStyle w:val="FootnoteReference"/>
        </w:rPr>
        <w:footnoteReference w:id="3"/>
      </w:r>
      <w:r>
        <w:t>,</w:t>
      </w:r>
      <w:r w:rsidR="00492F7A">
        <w:t xml:space="preserve"> </w:t>
      </w:r>
      <w:r w:rsidR="00A32487">
        <w:t xml:space="preserve">lack of version control by </w:t>
      </w:r>
      <w:r w:rsidR="007E4CA8">
        <w:t>the provider</w:t>
      </w:r>
      <w:r w:rsidR="005342AA">
        <w:t xml:space="preserve">, or </w:t>
      </w:r>
      <w:r w:rsidR="00FE54AD">
        <w:t xml:space="preserve">data </w:t>
      </w:r>
      <w:r w:rsidR="005342AA">
        <w:t>errors in reporting enrolments against the appropriate qualification</w:t>
      </w:r>
      <w:r w:rsidR="00FE54AD">
        <w:t xml:space="preserve">. </w:t>
      </w:r>
    </w:p>
    <w:p w:rsidR="00FE073F" w:rsidRDefault="00755AC6" w:rsidP="008F5F18">
      <w:pPr>
        <w:pStyle w:val="Text"/>
      </w:pPr>
      <w:r>
        <w:t xml:space="preserve">As table 2 shows, </w:t>
      </w:r>
      <w:r w:rsidR="00A964AF">
        <w:t xml:space="preserve">274 qualifications (with 58 </w:t>
      </w:r>
      <w:r w:rsidR="008F5F18">
        <w:t xml:space="preserve">405 enrolments between them) </w:t>
      </w:r>
      <w:r>
        <w:t xml:space="preserve">with recorded enrolments in 2015 </w:t>
      </w:r>
      <w:r w:rsidR="008F5F18">
        <w:t xml:space="preserve">had been superseded </w:t>
      </w:r>
      <w:r w:rsidR="008F5F18" w:rsidRPr="00450356">
        <w:rPr>
          <w:i/>
        </w:rPr>
        <w:t>at least twice</w:t>
      </w:r>
      <w:r w:rsidR="008F5F18">
        <w:t>. While this represents a relatively small percentage of the total number of qualifications (1</w:t>
      </w:r>
      <w:r w:rsidR="00C479C0">
        <w:t>1</w:t>
      </w:r>
      <w:r w:rsidR="00196C5B">
        <w:t xml:space="preserve">%) and enrolments (2%), this </w:t>
      </w:r>
      <w:r w:rsidR="0068640D">
        <w:t xml:space="preserve">finding is </w:t>
      </w:r>
      <w:r w:rsidR="00C42C48">
        <w:t>worthy of further investigation:</w:t>
      </w:r>
      <w:r w:rsidR="008F5F18">
        <w:t xml:space="preserve"> firstly</w:t>
      </w:r>
      <w:r w:rsidR="00455E16">
        <w:t>,</w:t>
      </w:r>
      <w:r w:rsidR="008F5F18">
        <w:t xml:space="preserve"> to determine why such superseded qualifications are stil</w:t>
      </w:r>
      <w:r w:rsidR="00C42C48">
        <w:t>l being used;</w:t>
      </w:r>
      <w:r w:rsidR="008F5F18">
        <w:t xml:space="preserve"> and</w:t>
      </w:r>
      <w:r w:rsidR="00455E16">
        <w:t>,</w:t>
      </w:r>
      <w:r w:rsidR="008F5F18">
        <w:t xml:space="preserve"> secondly</w:t>
      </w:r>
      <w:r w:rsidR="00455E16">
        <w:t>,</w:t>
      </w:r>
      <w:r w:rsidR="008F5F18">
        <w:t xml:space="preserve"> to determine whether in fact they represent competencies that are still required.</w:t>
      </w:r>
      <w:r w:rsidR="00455E16">
        <w:t xml:space="preserve"> These are not examined further in this </w:t>
      </w:r>
      <w:r w:rsidR="000C37F3">
        <w:t>report</w:t>
      </w:r>
      <w:r w:rsidR="00455E16">
        <w:t xml:space="preserve">. </w:t>
      </w:r>
    </w:p>
    <w:p w:rsidR="008F5F18" w:rsidRDefault="008F5F18" w:rsidP="008F5F18">
      <w:pPr>
        <w:pStyle w:val="Tabletitle"/>
        <w:keepNext/>
        <w:keepLines/>
      </w:pPr>
      <w:bookmarkStart w:id="47" w:name="_Toc465162105"/>
      <w:r>
        <w:t xml:space="preserve">Table </w:t>
      </w:r>
      <w:r w:rsidR="00967D44">
        <w:t>2</w:t>
      </w:r>
      <w:r>
        <w:tab/>
        <w:t>Superseded qualifications with enrolments, 2015</w:t>
      </w:r>
      <w:bookmarkEnd w:id="47"/>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2718"/>
        <w:gridCol w:w="2718"/>
      </w:tblGrid>
      <w:tr w:rsidR="008F5F18" w:rsidTr="008F5F18">
        <w:tc>
          <w:tcPr>
            <w:tcW w:w="2717" w:type="dxa"/>
            <w:tcBorders>
              <w:bottom w:val="single" w:sz="4" w:space="0" w:color="auto"/>
            </w:tcBorders>
          </w:tcPr>
          <w:p w:rsidR="008F5F18" w:rsidRDefault="008F5F18" w:rsidP="008F5F18">
            <w:pPr>
              <w:pStyle w:val="Tablehead1"/>
              <w:keepNext/>
              <w:keepLines/>
            </w:pPr>
            <w:r>
              <w:t>Number of times superseded</w:t>
            </w:r>
          </w:p>
        </w:tc>
        <w:tc>
          <w:tcPr>
            <w:tcW w:w="2718" w:type="dxa"/>
            <w:tcBorders>
              <w:bottom w:val="single" w:sz="4" w:space="0" w:color="auto"/>
            </w:tcBorders>
          </w:tcPr>
          <w:p w:rsidR="008F5F18" w:rsidRDefault="008F5F18" w:rsidP="008F5F18">
            <w:pPr>
              <w:pStyle w:val="Tablehead1"/>
              <w:keepNext/>
              <w:keepLines/>
              <w:jc w:val="right"/>
            </w:pPr>
            <w:r>
              <w:t>Total number of qualifications</w:t>
            </w:r>
          </w:p>
        </w:tc>
        <w:tc>
          <w:tcPr>
            <w:tcW w:w="2718" w:type="dxa"/>
            <w:tcBorders>
              <w:bottom w:val="single" w:sz="4" w:space="0" w:color="auto"/>
            </w:tcBorders>
          </w:tcPr>
          <w:p w:rsidR="008F5F18" w:rsidRDefault="008F5F18" w:rsidP="008F5F18">
            <w:pPr>
              <w:pStyle w:val="Tablehead1"/>
              <w:keepNext/>
              <w:keepLines/>
              <w:jc w:val="right"/>
            </w:pPr>
            <w:r>
              <w:t>Total number of enrolments</w:t>
            </w:r>
          </w:p>
        </w:tc>
      </w:tr>
      <w:tr w:rsidR="008F5F18" w:rsidTr="008F5F18">
        <w:tc>
          <w:tcPr>
            <w:tcW w:w="2717" w:type="dxa"/>
            <w:tcBorders>
              <w:top w:val="single" w:sz="4" w:space="0" w:color="auto"/>
              <w:bottom w:val="nil"/>
            </w:tcBorders>
          </w:tcPr>
          <w:p w:rsidR="008F5F18" w:rsidRDefault="00103439" w:rsidP="008F5F18">
            <w:pPr>
              <w:pStyle w:val="Tabletext"/>
              <w:keepNext/>
              <w:keepLines/>
            </w:pPr>
            <w:r>
              <w:t>Four</w:t>
            </w:r>
          </w:p>
        </w:tc>
        <w:tc>
          <w:tcPr>
            <w:tcW w:w="2718" w:type="dxa"/>
            <w:tcBorders>
              <w:top w:val="single" w:sz="4" w:space="0" w:color="auto"/>
              <w:bottom w:val="nil"/>
            </w:tcBorders>
          </w:tcPr>
          <w:p w:rsidR="008F5F18" w:rsidRDefault="008F5F18" w:rsidP="008F5F18">
            <w:pPr>
              <w:pStyle w:val="Tabletext"/>
              <w:keepNext/>
              <w:keepLines/>
              <w:jc w:val="right"/>
            </w:pPr>
            <w:r>
              <w:t>3</w:t>
            </w:r>
          </w:p>
        </w:tc>
        <w:tc>
          <w:tcPr>
            <w:tcW w:w="2718" w:type="dxa"/>
            <w:tcBorders>
              <w:top w:val="single" w:sz="4" w:space="0" w:color="auto"/>
              <w:bottom w:val="nil"/>
            </w:tcBorders>
          </w:tcPr>
          <w:p w:rsidR="008F5F18" w:rsidRDefault="008F5F18" w:rsidP="008F5F18">
            <w:pPr>
              <w:pStyle w:val="Tabletext"/>
              <w:keepNext/>
              <w:keepLines/>
              <w:jc w:val="right"/>
            </w:pPr>
            <w:r>
              <w:t>19</w:t>
            </w:r>
          </w:p>
        </w:tc>
      </w:tr>
      <w:tr w:rsidR="008F5F18" w:rsidTr="008F5F18">
        <w:tc>
          <w:tcPr>
            <w:tcW w:w="2717" w:type="dxa"/>
            <w:tcBorders>
              <w:top w:val="nil"/>
            </w:tcBorders>
          </w:tcPr>
          <w:p w:rsidR="008F5F18" w:rsidRDefault="00103439" w:rsidP="008F5F18">
            <w:pPr>
              <w:pStyle w:val="Tabletext"/>
              <w:keepNext/>
              <w:keepLines/>
            </w:pPr>
            <w:r>
              <w:t>Three</w:t>
            </w:r>
          </w:p>
        </w:tc>
        <w:tc>
          <w:tcPr>
            <w:tcW w:w="2718" w:type="dxa"/>
            <w:tcBorders>
              <w:top w:val="nil"/>
            </w:tcBorders>
          </w:tcPr>
          <w:p w:rsidR="008F5F18" w:rsidRDefault="008F5F18" w:rsidP="008F5F18">
            <w:pPr>
              <w:pStyle w:val="Tabletext"/>
              <w:keepNext/>
              <w:keepLines/>
              <w:jc w:val="right"/>
            </w:pPr>
            <w:r>
              <w:t>39</w:t>
            </w:r>
          </w:p>
        </w:tc>
        <w:tc>
          <w:tcPr>
            <w:tcW w:w="2718" w:type="dxa"/>
            <w:tcBorders>
              <w:top w:val="nil"/>
            </w:tcBorders>
          </w:tcPr>
          <w:p w:rsidR="008F5F18" w:rsidRDefault="008F5F18" w:rsidP="008F5F18">
            <w:pPr>
              <w:pStyle w:val="Tabletext"/>
              <w:keepNext/>
              <w:keepLines/>
              <w:jc w:val="right"/>
            </w:pPr>
            <w:r>
              <w:t>2 274</w:t>
            </w:r>
          </w:p>
        </w:tc>
      </w:tr>
      <w:tr w:rsidR="008F5F18" w:rsidTr="008F5F18">
        <w:tc>
          <w:tcPr>
            <w:tcW w:w="2717" w:type="dxa"/>
          </w:tcPr>
          <w:p w:rsidR="00103439" w:rsidRPr="00103439" w:rsidRDefault="00103439" w:rsidP="00103439">
            <w:pPr>
              <w:pStyle w:val="Tabletext"/>
              <w:keepNext/>
              <w:keepLines/>
            </w:pPr>
            <w:r>
              <w:t>Two</w:t>
            </w:r>
          </w:p>
        </w:tc>
        <w:tc>
          <w:tcPr>
            <w:tcW w:w="2718" w:type="dxa"/>
          </w:tcPr>
          <w:p w:rsidR="008F5F18" w:rsidRDefault="008F5F18" w:rsidP="008F5F18">
            <w:pPr>
              <w:pStyle w:val="Tabletext"/>
              <w:keepNext/>
              <w:keepLines/>
              <w:jc w:val="right"/>
            </w:pPr>
            <w:r>
              <w:t>232</w:t>
            </w:r>
          </w:p>
        </w:tc>
        <w:tc>
          <w:tcPr>
            <w:tcW w:w="2718" w:type="dxa"/>
          </w:tcPr>
          <w:p w:rsidR="008F5F18" w:rsidRDefault="008F5F18" w:rsidP="008F5F18">
            <w:pPr>
              <w:pStyle w:val="Tabletext"/>
              <w:keepNext/>
              <w:keepLines/>
              <w:jc w:val="right"/>
            </w:pPr>
            <w:r>
              <w:t>56 112</w:t>
            </w:r>
          </w:p>
        </w:tc>
      </w:tr>
      <w:tr w:rsidR="008F5F18" w:rsidTr="008F5F18">
        <w:tc>
          <w:tcPr>
            <w:tcW w:w="2717" w:type="dxa"/>
          </w:tcPr>
          <w:p w:rsidR="008F5F18" w:rsidRDefault="00103439" w:rsidP="008F5F18">
            <w:pPr>
              <w:pStyle w:val="Tabletext"/>
              <w:keepNext/>
              <w:keepLines/>
            </w:pPr>
            <w:r>
              <w:t>One</w:t>
            </w:r>
          </w:p>
        </w:tc>
        <w:tc>
          <w:tcPr>
            <w:tcW w:w="2718" w:type="dxa"/>
          </w:tcPr>
          <w:p w:rsidR="008F5F18" w:rsidRDefault="008F5F18" w:rsidP="008F5F18">
            <w:pPr>
              <w:pStyle w:val="Tabletext"/>
              <w:keepNext/>
              <w:keepLines/>
              <w:jc w:val="right"/>
            </w:pPr>
            <w:r>
              <w:t>686</w:t>
            </w:r>
          </w:p>
        </w:tc>
        <w:tc>
          <w:tcPr>
            <w:tcW w:w="2718" w:type="dxa"/>
          </w:tcPr>
          <w:p w:rsidR="008F5F18" w:rsidRDefault="008F5F18" w:rsidP="008F5F18">
            <w:pPr>
              <w:pStyle w:val="Tabletext"/>
              <w:keepNext/>
              <w:keepLines/>
              <w:jc w:val="right"/>
            </w:pPr>
            <w:r>
              <w:t>1 099 989</w:t>
            </w:r>
          </w:p>
        </w:tc>
      </w:tr>
    </w:tbl>
    <w:p w:rsidR="004A7C3D" w:rsidRDefault="004A7C3D" w:rsidP="004A7C3D">
      <w:pPr>
        <w:pStyle w:val="Source"/>
      </w:pPr>
      <w:r>
        <w:t xml:space="preserve">Source: </w:t>
      </w:r>
      <w:r w:rsidR="001D4BE1">
        <w:t>A</w:t>
      </w:r>
      <w:r w:rsidR="00390066">
        <w:t>uthors’</w:t>
      </w:r>
      <w:r w:rsidR="00455E16">
        <w:t xml:space="preserve"> analysis based on data </w:t>
      </w:r>
      <w:r w:rsidR="00390066">
        <w:t xml:space="preserve">from </w:t>
      </w:r>
      <w:r w:rsidR="00CC2DC9">
        <w:t xml:space="preserve">the </w:t>
      </w:r>
      <w:r w:rsidR="00390066">
        <w:t>Australian Department of Education and Training and NCVER collections</w:t>
      </w:r>
      <w:r w:rsidR="00A964AF">
        <w:t>.</w:t>
      </w:r>
    </w:p>
    <w:p w:rsidR="008F5F18" w:rsidRPr="008F5F18" w:rsidRDefault="005F06FB" w:rsidP="00492F7A">
      <w:pPr>
        <w:pStyle w:val="Text"/>
        <w:rPr>
          <w:rFonts w:ascii="Tahoma" w:hAnsi="Tahoma"/>
          <w:b/>
          <w:sz w:val="17"/>
        </w:rPr>
      </w:pPr>
      <w:r>
        <w:lastRenderedPageBreak/>
        <w:t>However, t</w:t>
      </w:r>
      <w:r w:rsidR="008F5F18">
        <w:t xml:space="preserve">he number of qualifications that had been superseded </w:t>
      </w:r>
      <w:r w:rsidR="008F5F18" w:rsidRPr="00450356">
        <w:rPr>
          <w:i/>
        </w:rPr>
        <w:t>just once</w:t>
      </w:r>
      <w:r w:rsidR="008F5F18">
        <w:t xml:space="preserve"> and had recorded enrolments was much higher however. This may be due to the fact that these qualifications were simply being ‘taught out’ under </w:t>
      </w:r>
      <w:r w:rsidR="008550C2">
        <w:t xml:space="preserve">the </w:t>
      </w:r>
      <w:r w:rsidR="008F5F18">
        <w:t xml:space="preserve">existing rules </w:t>
      </w:r>
      <w:r w:rsidR="0068640D">
        <w:t>allowing</w:t>
      </w:r>
      <w:r w:rsidR="008F5F18">
        <w:t xml:space="preserve"> use of superseded versions.</w:t>
      </w:r>
    </w:p>
    <w:p w:rsidR="00FE54AD" w:rsidRDefault="00DE029B" w:rsidP="00DE029B">
      <w:pPr>
        <w:pStyle w:val="Heading2"/>
      </w:pPr>
      <w:bookmarkStart w:id="48" w:name="_Toc465162156"/>
      <w:r>
        <w:t>Consolidating the qualifications</w:t>
      </w:r>
      <w:bookmarkEnd w:id="48"/>
    </w:p>
    <w:p w:rsidR="00492F7A" w:rsidRDefault="00492F7A" w:rsidP="00492F7A">
      <w:pPr>
        <w:pStyle w:val="Text"/>
      </w:pPr>
      <w:r>
        <w:t>In order to address this</w:t>
      </w:r>
      <w:r w:rsidR="00FE54AD">
        <w:t xml:space="preserve"> complexity </w:t>
      </w:r>
      <w:r w:rsidR="00A964AF">
        <w:t xml:space="preserve">and enable </w:t>
      </w:r>
      <w:r w:rsidR="008550C2">
        <w:t>subsequent analyse</w:t>
      </w:r>
      <w:r w:rsidR="00FE54AD">
        <w:t>s</w:t>
      </w:r>
      <w:r w:rsidR="00DE029B">
        <w:t>, we derived a consolidated</w:t>
      </w:r>
      <w:r>
        <w:t xml:space="preserve"> list of qualifications</w:t>
      </w:r>
      <w:r w:rsidR="00F453EE">
        <w:t>,</w:t>
      </w:r>
      <w:r>
        <w:t xml:space="preserve"> in which superseded qualifications (and associated enrolments) have been incorporated into the current qualification </w:t>
      </w:r>
      <w:r w:rsidR="008550C2">
        <w:t>that</w:t>
      </w:r>
      <w:r>
        <w:t xml:space="preserve"> </w:t>
      </w:r>
      <w:r w:rsidR="002864F0">
        <w:t>supersedes them</w:t>
      </w:r>
      <w:r w:rsidR="00DE029B">
        <w:t>.</w:t>
      </w:r>
      <w:r w:rsidR="00FE54AD">
        <w:t xml:space="preserve"> </w:t>
      </w:r>
      <w:r w:rsidR="00DE029B">
        <w:t>This is,</w:t>
      </w:r>
      <w:r w:rsidR="00FE54AD">
        <w:t xml:space="preserve"> in essence</w:t>
      </w:r>
      <w:r w:rsidR="00DE029B">
        <w:t>, a list of the qualifications actually ‘in use’ and without duplicate qualifications. This consolidated</w:t>
      </w:r>
      <w:r w:rsidR="002864F0">
        <w:t xml:space="preserve"> list used the data on qualification mapping on </w:t>
      </w:r>
      <w:r w:rsidR="002864F0" w:rsidRPr="008550C2">
        <w:t>training.gov.au</w:t>
      </w:r>
      <w:r w:rsidR="002864F0">
        <w:t xml:space="preserve"> to link the superseded and current qualifications.</w:t>
      </w:r>
      <w:r w:rsidR="001A20C8" w:rsidRPr="001A20C8">
        <w:rPr>
          <w:noProof/>
          <w:lang w:eastAsia="en-AU"/>
        </w:rPr>
        <w:t xml:space="preserve"> </w:t>
      </w:r>
    </w:p>
    <w:p w:rsidR="001A46B3" w:rsidRDefault="001A20C8" w:rsidP="005E540C">
      <w:pPr>
        <w:pStyle w:val="Figuretitle"/>
        <w:keepNext/>
        <w:keepLines/>
      </w:pPr>
      <w:bookmarkStart w:id="49" w:name="_Toc465161928"/>
      <w:r>
        <w:rPr>
          <w:noProof/>
          <w:lang w:eastAsia="en-AU"/>
        </w:rPr>
        <w:drawing>
          <wp:anchor distT="0" distB="0" distL="114300" distR="114300" simplePos="0" relativeHeight="252064768" behindDoc="0" locked="0" layoutInCell="1" allowOverlap="1" wp14:anchorId="188C5E2F" wp14:editId="5C05E29A">
            <wp:simplePos x="0" y="0"/>
            <wp:positionH relativeFrom="column">
              <wp:posOffset>-59055</wp:posOffset>
            </wp:positionH>
            <wp:positionV relativeFrom="paragraph">
              <wp:posOffset>540385</wp:posOffset>
            </wp:positionV>
            <wp:extent cx="4993005" cy="2703195"/>
            <wp:effectExtent l="0" t="0" r="0" b="0"/>
            <wp:wrapTopAndBottom/>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967D44">
        <w:t>Figure 2</w:t>
      </w:r>
      <w:r w:rsidR="001A46B3">
        <w:tab/>
        <w:t>Number of current and superseded qualifications and e</w:t>
      </w:r>
      <w:r w:rsidR="00DE029B">
        <w:t>nrolments, original and consolidated</w:t>
      </w:r>
      <w:r w:rsidR="001A46B3">
        <w:t xml:space="preserve"> lists, 2015</w:t>
      </w:r>
      <w:bookmarkEnd w:id="49"/>
    </w:p>
    <w:p w:rsidR="00A964AF" w:rsidRDefault="00A964AF" w:rsidP="00A964AF">
      <w:pPr>
        <w:pStyle w:val="Source"/>
      </w:pPr>
      <w:r>
        <w:t xml:space="preserve">Note: </w:t>
      </w:r>
      <w:r w:rsidR="00103A31">
        <w:tab/>
      </w:r>
      <w:r w:rsidR="001D4BE1">
        <w:t>T</w:t>
      </w:r>
      <w:r>
        <w:t>he purple columns (qualifications) should be read against the left y-axis and the green columns (enrolments) should be read against the right y-axis.</w:t>
      </w:r>
    </w:p>
    <w:p w:rsidR="004A7C3D" w:rsidRDefault="004A7C3D" w:rsidP="004A7C3D">
      <w:pPr>
        <w:pStyle w:val="Source"/>
      </w:pPr>
      <w:r>
        <w:t xml:space="preserve">Source: </w:t>
      </w:r>
      <w:r w:rsidR="001D4BE1">
        <w:t>A</w:t>
      </w:r>
      <w:r w:rsidR="00390066">
        <w:t xml:space="preserve">uthors’ analysis based on data from </w:t>
      </w:r>
      <w:r w:rsidR="00455E16">
        <w:t xml:space="preserve">the </w:t>
      </w:r>
      <w:r w:rsidR="00390066">
        <w:t>Australian Department of Education and Training and NCVER collections</w:t>
      </w:r>
      <w:r w:rsidR="00A964AF">
        <w:t>.</w:t>
      </w:r>
    </w:p>
    <w:p w:rsidR="002864F0" w:rsidRDefault="00DE029B" w:rsidP="002864F0">
      <w:pPr>
        <w:pStyle w:val="Text"/>
      </w:pPr>
      <w:r>
        <w:t>The consolidation</w:t>
      </w:r>
      <w:r w:rsidR="002864F0">
        <w:t xml:space="preserve"> </w:t>
      </w:r>
      <w:r w:rsidR="0068640D">
        <w:t xml:space="preserve">process </w:t>
      </w:r>
      <w:r w:rsidR="002864F0">
        <w:t xml:space="preserve">significantly decreases the number of </w:t>
      </w:r>
      <w:r w:rsidR="002864F0" w:rsidRPr="001C713A">
        <w:t>superseded</w:t>
      </w:r>
      <w:r w:rsidR="002864F0" w:rsidRPr="001C713A">
        <w:rPr>
          <w:i/>
        </w:rPr>
        <w:t xml:space="preserve"> </w:t>
      </w:r>
      <w:r w:rsidR="002864F0">
        <w:t>qualifications</w:t>
      </w:r>
      <w:r w:rsidR="000A1DA2">
        <w:t>,</w:t>
      </w:r>
      <w:r w:rsidR="00A964AF">
        <w:t xml:space="preserve"> as shown in f</w:t>
      </w:r>
      <w:r w:rsidR="0068640D">
        <w:t xml:space="preserve">igure </w:t>
      </w:r>
      <w:r w:rsidR="00967D44">
        <w:t>2</w:t>
      </w:r>
      <w:r w:rsidR="002864F0">
        <w:t>. In</w:t>
      </w:r>
      <w:r w:rsidR="00A964AF">
        <w:t xml:space="preserve"> the original list there were 2</w:t>
      </w:r>
      <w:r w:rsidR="00696D29">
        <w:t>573</w:t>
      </w:r>
      <w:r w:rsidR="002864F0">
        <w:t xml:space="preserve"> qualificati</w:t>
      </w:r>
      <w:r w:rsidR="00A964AF">
        <w:t>ons, but this drops by 9</w:t>
      </w:r>
      <w:r w:rsidR="00696D29">
        <w:t>29</w:t>
      </w:r>
      <w:r w:rsidR="00A964AF">
        <w:t xml:space="preserve"> to 1</w:t>
      </w:r>
      <w:r w:rsidR="002864F0">
        <w:t>644</w:t>
      </w:r>
      <w:r w:rsidR="00087A67">
        <w:t xml:space="preserve"> qualifications after consolidation</w:t>
      </w:r>
      <w:r w:rsidR="002864F0">
        <w:t>. Th</w:t>
      </w:r>
      <w:r w:rsidR="000A1DA2">
        <w:t>e</w:t>
      </w:r>
      <w:r w:rsidR="002864F0">
        <w:t xml:space="preserve"> 9</w:t>
      </w:r>
      <w:r w:rsidR="00696D29">
        <w:t>29</w:t>
      </w:r>
      <w:r w:rsidR="002864F0">
        <w:t xml:space="preserve"> qualifications that were removed from the list were superseded qualifications incorporated into current qualifications.</w:t>
      </w:r>
      <w:r w:rsidR="001A46B3">
        <w:t xml:space="preserve"> </w:t>
      </w:r>
      <w:r w:rsidR="000340F1">
        <w:t xml:space="preserve">This leaves </w:t>
      </w:r>
      <w:r w:rsidR="002864F0">
        <w:t xml:space="preserve">73 superseded qualifications </w:t>
      </w:r>
      <w:r w:rsidR="000340F1">
        <w:t>(</w:t>
      </w:r>
      <w:r w:rsidR="002864F0">
        <w:t>with recorded enrolments</w:t>
      </w:r>
      <w:r w:rsidR="000340F1">
        <w:t xml:space="preserve">) </w:t>
      </w:r>
      <w:r w:rsidR="002864F0">
        <w:t>that do not map to any current qualifications released before 1 January 2016.</w:t>
      </w:r>
    </w:p>
    <w:p w:rsidR="00A964AF" w:rsidRDefault="00A964AF" w:rsidP="002864F0">
      <w:pPr>
        <w:pStyle w:val="Text"/>
      </w:pPr>
      <w:r>
        <w:t xml:space="preserve">It is important to note that some qualifications are superseded by more than one qualification. </w:t>
      </w:r>
      <w:r w:rsidR="00E74B97">
        <w:t xml:space="preserve">When the consolidated list is created, any enrolments in these superseded qualifications are incorporated into each superseding qualification. This means that the consolidated list </w:t>
      </w:r>
      <w:r w:rsidR="00A20AB7">
        <w:t>counts so</w:t>
      </w:r>
      <w:r w:rsidR="000A1DA2">
        <w:t>me enrolments multiple times,</w:t>
      </w:r>
      <w:r w:rsidR="00A20AB7">
        <w:t xml:space="preserve"> </w:t>
      </w:r>
      <w:r w:rsidR="000A1DA2">
        <w:t>reporting</w:t>
      </w:r>
      <w:r w:rsidR="00E74B97">
        <w:t xml:space="preserve"> 2 728 506 enrolments</w:t>
      </w:r>
      <w:r w:rsidR="00390066">
        <w:t>,</w:t>
      </w:r>
      <w:r w:rsidR="00E74B97">
        <w:t xml:space="preserve"> </w:t>
      </w:r>
      <w:r w:rsidR="00455E16">
        <w:t xml:space="preserve">a figure </w:t>
      </w:r>
      <w:r w:rsidR="00E74B97">
        <w:t xml:space="preserve">which exceeds the 2 722 400 enrolments </w:t>
      </w:r>
      <w:r w:rsidR="000A1DA2">
        <w:t>given</w:t>
      </w:r>
      <w:r w:rsidR="00E74B97">
        <w:t xml:space="preserve"> in TVA </w:t>
      </w:r>
      <w:r w:rsidR="00390066">
        <w:t xml:space="preserve">2015 </w:t>
      </w:r>
      <w:r w:rsidR="00E74B97">
        <w:t>(NCVER 2016).</w:t>
      </w:r>
    </w:p>
    <w:p w:rsidR="008F5F18" w:rsidRDefault="001A46B3" w:rsidP="00982F20">
      <w:pPr>
        <w:pStyle w:val="Text"/>
        <w:spacing w:before="120"/>
      </w:pPr>
      <w:r>
        <w:t>Acc</w:t>
      </w:r>
      <w:r w:rsidR="00087A67">
        <w:t xml:space="preserve">ording to the original list, </w:t>
      </w:r>
      <w:r w:rsidR="0054258A">
        <w:t xml:space="preserve">1 545 113 </w:t>
      </w:r>
      <w:r>
        <w:t>enrolments</w:t>
      </w:r>
      <w:r w:rsidR="0054258A">
        <w:t xml:space="preserve"> </w:t>
      </w:r>
      <w:r>
        <w:t>were in current qualifications</w:t>
      </w:r>
      <w:r w:rsidR="0028146F">
        <w:t>,</w:t>
      </w:r>
      <w:r>
        <w:t xml:space="preserve"> </w:t>
      </w:r>
      <w:r w:rsidR="000340F1">
        <w:t xml:space="preserve">while </w:t>
      </w:r>
      <w:r w:rsidR="0043405C">
        <w:br/>
      </w:r>
      <w:r w:rsidR="0054258A">
        <w:t xml:space="preserve">1 177 319 </w:t>
      </w:r>
      <w:r>
        <w:t>were in superseded qualifications.</w:t>
      </w:r>
      <w:r w:rsidRPr="001855EE">
        <w:t xml:space="preserve"> </w:t>
      </w:r>
      <w:r>
        <w:t xml:space="preserve">Once the list has been adjusted, </w:t>
      </w:r>
      <w:r w:rsidR="00FA6BA2">
        <w:t xml:space="preserve">however, </w:t>
      </w:r>
      <w:r w:rsidR="0043405C">
        <w:br/>
      </w:r>
      <w:r w:rsidR="0054258A">
        <w:lastRenderedPageBreak/>
        <w:t xml:space="preserve">2 703 038 </w:t>
      </w:r>
      <w:r>
        <w:t xml:space="preserve">enrolments are </w:t>
      </w:r>
      <w:r w:rsidR="00087A67">
        <w:t>in current qualifications</w:t>
      </w:r>
      <w:r w:rsidR="0054258A">
        <w:t xml:space="preserve"> </w:t>
      </w:r>
      <w:r w:rsidR="00087A67">
        <w:t xml:space="preserve">and </w:t>
      </w:r>
      <w:r w:rsidR="0054258A">
        <w:t>25 468</w:t>
      </w:r>
      <w:r>
        <w:t xml:space="preserve"> enrolments are in superseded qualifications</w:t>
      </w:r>
      <w:r w:rsidR="00A964AF">
        <w:t xml:space="preserve"> (f</w:t>
      </w:r>
      <w:r w:rsidR="0068640D">
        <w:t>igure</w:t>
      </w:r>
      <w:r w:rsidR="00967D44">
        <w:t xml:space="preserve"> 2</w:t>
      </w:r>
      <w:r w:rsidR="0068640D">
        <w:t>)</w:t>
      </w:r>
      <w:r>
        <w:t xml:space="preserve">. This indicates that </w:t>
      </w:r>
      <w:r w:rsidR="00935EA0">
        <w:t>most enrolments in</w:t>
      </w:r>
      <w:r>
        <w:t xml:space="preserve"> training package </w:t>
      </w:r>
      <w:r w:rsidR="00935EA0">
        <w:t>qualifications</w:t>
      </w:r>
      <w:r>
        <w:t xml:space="preserve"> </w:t>
      </w:r>
      <w:r w:rsidR="00935EA0">
        <w:t xml:space="preserve">are </w:t>
      </w:r>
      <w:r>
        <w:t>rela</w:t>
      </w:r>
      <w:r w:rsidR="00F56954">
        <w:t>ted to a current qualification.</w:t>
      </w:r>
    </w:p>
    <w:p w:rsidR="00087A67" w:rsidRDefault="00087A67" w:rsidP="001855EE">
      <w:pPr>
        <w:pStyle w:val="Text"/>
      </w:pPr>
      <w:r>
        <w:t>This raise</w:t>
      </w:r>
      <w:r w:rsidR="003A798B">
        <w:t>s issues that</w:t>
      </w:r>
      <w:r w:rsidR="00A964AF">
        <w:t xml:space="preserve"> relate to </w:t>
      </w:r>
      <w:r>
        <w:t xml:space="preserve">the agreed reforms. </w:t>
      </w:r>
      <w:r w:rsidR="0028146F">
        <w:t>While</w:t>
      </w:r>
      <w:r w:rsidR="004B3B19">
        <w:t xml:space="preserve"> </w:t>
      </w:r>
      <w:r>
        <w:t xml:space="preserve">the </w:t>
      </w:r>
      <w:r w:rsidR="00FC2505">
        <w:t xml:space="preserve">effective </w:t>
      </w:r>
      <w:r>
        <w:t>number o</w:t>
      </w:r>
      <w:r w:rsidR="00A964AF">
        <w:t xml:space="preserve">f ‘in use’ </w:t>
      </w:r>
      <w:r w:rsidR="00196C5B">
        <w:t xml:space="preserve">qualifications </w:t>
      </w:r>
      <w:r w:rsidR="00A964AF">
        <w:t>may only be around 1</w:t>
      </w:r>
      <w:r w:rsidR="00196C5B">
        <w:t>600</w:t>
      </w:r>
      <w:r>
        <w:t>, students, employers, providers and regulators are a</w:t>
      </w:r>
      <w:r w:rsidR="00A964AF">
        <w:t>ctually dealing with around 2</w:t>
      </w:r>
      <w:r>
        <w:t>600 qualifications when considering those qualification</w:t>
      </w:r>
      <w:r w:rsidR="004B3B19">
        <w:t xml:space="preserve">s </w:t>
      </w:r>
      <w:r w:rsidR="00FC2505">
        <w:t>that still have enrolments because they are being ‘taught out’</w:t>
      </w:r>
      <w:r>
        <w:t xml:space="preserve">. Almost half of all enrolments were in superseded qualifications, but almost all </w:t>
      </w:r>
      <w:r w:rsidR="003A798B">
        <w:t xml:space="preserve">of these </w:t>
      </w:r>
      <w:r>
        <w:t>related to a newly introduced qualification.</w:t>
      </w:r>
      <w:r w:rsidR="008E1D1E">
        <w:t xml:space="preserve"> If qualifications are going to be updated more regularly, </w:t>
      </w:r>
      <w:r w:rsidR="00390066">
        <w:t xml:space="preserve">this </w:t>
      </w:r>
      <w:r w:rsidR="00196C5B">
        <w:t xml:space="preserve">points to the need </w:t>
      </w:r>
      <w:proofErr w:type="gramStart"/>
      <w:r w:rsidR="00196C5B">
        <w:t>fo</w:t>
      </w:r>
      <w:proofErr w:type="gramEnd"/>
      <w:r w:rsidR="00F711E7">
        <w:rPr>
          <w:noProof/>
          <w:lang w:eastAsia="en-AU"/>
        </w:rPr>
        <mc:AlternateContent>
          <mc:Choice Requires="wps">
            <w:drawing>
              <wp:anchor distT="0" distB="0" distL="114300" distR="114300" simplePos="0" relativeHeight="252044288" behindDoc="0" locked="1" layoutInCell="1" allowOverlap="1" wp14:anchorId="11EDE37F" wp14:editId="6E3D2A5E">
                <wp:simplePos x="0" y="0"/>
                <wp:positionH relativeFrom="outsideMargin">
                  <wp:posOffset>209550</wp:posOffset>
                </wp:positionH>
                <wp:positionV relativeFrom="page">
                  <wp:posOffset>838200</wp:posOffset>
                </wp:positionV>
                <wp:extent cx="1320800" cy="1628775"/>
                <wp:effectExtent l="0" t="0" r="0" b="0"/>
                <wp:wrapNone/>
                <wp:docPr id="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287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83E4B" w:rsidRPr="00543BFF" w:rsidRDefault="00883E4B" w:rsidP="00F711E7">
                            <w:pPr>
                              <w:pStyle w:val="PullQuote"/>
                            </w:pPr>
                            <w:r>
                              <w:t>93% of enrolments are concentrated at the top end of the scale in 19% of the qualifications.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6.5pt;margin-top:66pt;width:104pt;height:128.25pt;z-index:2520442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" filled="f" stroked="f" strokeweight=".5pt">
                <v:shadow on="t" type="perspective" color="black" opacity="9830f" origin=",.5" offset="0,25pt" matrix="58982f,,,-12452f"/>
                <v:path arrowok="t"/>
                <v:textbox inset="10mm">
                  <w:txbxContent>
                    <w:p w:rsidR="00883E4B" w:rsidRPr="00543BFF" w:rsidRDefault="00883E4B" w:rsidP="00F711E7">
                      <w:pPr>
                        <w:pStyle w:val="PullQuote"/>
                      </w:pPr>
                      <w:r>
                        <w:t>93% of enrolments are concentrated at the top end of the scale in 19% of the qualifications.</w:t>
                      </w:r>
                    </w:p>
                  </w:txbxContent>
                </v:textbox>
                <w10:wrap anchorx="margin" anchory="page"/>
                <w10:anchorlock/>
              </v:shape>
            </w:pict>
          </mc:Fallback>
        </mc:AlternateContent>
      </w:r>
      <w:r w:rsidR="00196C5B">
        <w:t xml:space="preserve">r </w:t>
      </w:r>
      <w:r w:rsidR="008E1D1E">
        <w:t xml:space="preserve">systems for providers and students to smoothly adjust to </w:t>
      </w:r>
      <w:r w:rsidR="003A798B">
        <w:t xml:space="preserve">such </w:t>
      </w:r>
      <w:r w:rsidR="008E1D1E">
        <w:t>updates.</w:t>
      </w:r>
    </w:p>
    <w:p w:rsidR="008E1D1E" w:rsidRDefault="008E1D1E" w:rsidP="008E1D1E">
      <w:pPr>
        <w:pStyle w:val="Heading2"/>
      </w:pPr>
      <w:bookmarkStart w:id="50" w:name="_Toc465162157"/>
      <w:r>
        <w:t>Analysis of the consolidated list</w:t>
      </w:r>
      <w:bookmarkEnd w:id="50"/>
    </w:p>
    <w:p w:rsidR="00DE1865" w:rsidRPr="00DE1865" w:rsidRDefault="001A20C8" w:rsidP="00DE1865">
      <w:pPr>
        <w:pStyle w:val="Text"/>
      </w:pPr>
      <w:r>
        <w:rPr>
          <w:noProof/>
          <w:lang w:eastAsia="en-AU"/>
        </w:rPr>
        <w:drawing>
          <wp:anchor distT="0" distB="0" distL="114300" distR="114300" simplePos="0" relativeHeight="252065792" behindDoc="0" locked="0" layoutInCell="1" allowOverlap="1" wp14:anchorId="4711863C" wp14:editId="06578A83">
            <wp:simplePos x="0" y="0"/>
            <wp:positionH relativeFrom="column">
              <wp:posOffset>27940</wp:posOffset>
            </wp:positionH>
            <wp:positionV relativeFrom="paragraph">
              <wp:posOffset>1685290</wp:posOffset>
            </wp:positionV>
            <wp:extent cx="4977130" cy="2719070"/>
            <wp:effectExtent l="0" t="0" r="0" b="0"/>
            <wp:wrapTopAndBottom/>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DE1865">
        <w:t xml:space="preserve">To </w:t>
      </w:r>
      <w:r w:rsidR="0028146F">
        <w:t>arrive at an estimate</w:t>
      </w:r>
      <w:r w:rsidR="00DE1865">
        <w:t xml:space="preserve"> of how </w:t>
      </w:r>
      <w:r w:rsidR="00390066">
        <w:t>training package qualification</w:t>
      </w:r>
      <w:r w:rsidR="00F46A24">
        <w:t xml:space="preserve"> </w:t>
      </w:r>
      <w:r w:rsidR="00DE1865">
        <w:t xml:space="preserve">enrolments </w:t>
      </w:r>
      <w:r w:rsidR="007639AC">
        <w:t>(</w:t>
      </w:r>
      <w:r w:rsidR="00E74B97">
        <w:t>2 728 506</w:t>
      </w:r>
      <w:r w:rsidR="007639AC">
        <w:t xml:space="preserve">) </w:t>
      </w:r>
      <w:r w:rsidR="00DE1865">
        <w:t xml:space="preserve">are distributed across </w:t>
      </w:r>
      <w:r w:rsidR="007639AC">
        <w:t>(</w:t>
      </w:r>
      <w:r w:rsidR="00E74B97">
        <w:t>1644) qualifications</w:t>
      </w:r>
      <w:r w:rsidR="00DE1865">
        <w:t>, all qualifications (in the consolidated list)</w:t>
      </w:r>
      <w:r w:rsidR="0075539A">
        <w:t xml:space="preserve"> were</w:t>
      </w:r>
      <w:r w:rsidR="00DE1865">
        <w:t xml:space="preserve"> sorted into one of six enrolment bands</w:t>
      </w:r>
      <w:r w:rsidR="0028146F">
        <w:t>,</w:t>
      </w:r>
      <w:r w:rsidR="00DE1865">
        <w:t xml:space="preserve"> based on their number of recorded enrolments.</w:t>
      </w:r>
      <w:r w:rsidR="0075539A">
        <w:t xml:space="preserve"> T</w:t>
      </w:r>
      <w:r w:rsidR="00E74B97">
        <w:t>here is one</w:t>
      </w:r>
      <w:r w:rsidR="001B4F72">
        <w:t xml:space="preserve"> band for qualificatio</w:t>
      </w:r>
      <w:r w:rsidR="00E74B97">
        <w:t>ns with no enrolments and five</w:t>
      </w:r>
      <w:r w:rsidR="001B4F72">
        <w:t xml:space="preserve"> bands </w:t>
      </w:r>
      <w:r w:rsidR="0028146F">
        <w:t xml:space="preserve">that </w:t>
      </w:r>
      <w:r w:rsidR="001B4F72">
        <w:t>ra</w:t>
      </w:r>
      <w:r w:rsidR="00E74B97">
        <w:t>ng</w:t>
      </w:r>
      <w:r w:rsidR="0028146F">
        <w:t>e</w:t>
      </w:r>
      <w:r w:rsidR="00E74B97">
        <w:t xml:space="preserve"> from qualifications with one</w:t>
      </w:r>
      <w:r w:rsidR="001B4F72">
        <w:t xml:space="preserve"> to 10 enrolments</w:t>
      </w:r>
      <w:r w:rsidR="00CD6D9E">
        <w:t>,</w:t>
      </w:r>
      <w:r w:rsidR="001B4F72">
        <w:t xml:space="preserve"> through to qualifications with more than 10 000 enrolments.</w:t>
      </w:r>
    </w:p>
    <w:p w:rsidR="00DE1865" w:rsidRDefault="00967D44" w:rsidP="00DE1865">
      <w:pPr>
        <w:pStyle w:val="Figuretitle"/>
        <w:keepNext/>
        <w:keepLines/>
      </w:pPr>
      <w:bookmarkStart w:id="51" w:name="_Toc465161929"/>
      <w:r>
        <w:t>Figure 3</w:t>
      </w:r>
      <w:r w:rsidR="00DE1865">
        <w:tab/>
        <w:t>Percentage of qualifications and enrolments by enrolment bands, 2015</w:t>
      </w:r>
      <w:bookmarkEnd w:id="51"/>
      <w:r w:rsidR="001A20C8" w:rsidRPr="001A20C8">
        <w:rPr>
          <w:noProof/>
          <w:lang w:eastAsia="en-AU"/>
        </w:rPr>
        <w:t xml:space="preserve"> </w:t>
      </w:r>
    </w:p>
    <w:p w:rsidR="004A7C3D" w:rsidRDefault="004A7C3D" w:rsidP="004A7C3D">
      <w:pPr>
        <w:pStyle w:val="Source"/>
      </w:pPr>
      <w:r>
        <w:t xml:space="preserve">Source: </w:t>
      </w:r>
      <w:r w:rsidR="001D4BE1">
        <w:t>A</w:t>
      </w:r>
      <w:r w:rsidR="00390066">
        <w:t xml:space="preserve">uthors’ analysis based on data from </w:t>
      </w:r>
      <w:r w:rsidR="00CD6D9E">
        <w:t xml:space="preserve">the </w:t>
      </w:r>
      <w:r w:rsidR="00390066">
        <w:t>Australian Department of Education and Training and NCVER collections</w:t>
      </w:r>
      <w:r w:rsidR="00E74B97">
        <w:t>.</w:t>
      </w:r>
    </w:p>
    <w:p w:rsidR="00DE1865" w:rsidRPr="00DE1865" w:rsidRDefault="00967D44" w:rsidP="00DE1865">
      <w:pPr>
        <w:pStyle w:val="Text"/>
      </w:pPr>
      <w:r>
        <w:t>Figure 3</w:t>
      </w:r>
      <w:r w:rsidR="00DE1865">
        <w:t xml:space="preserve"> shows that 93% of enrolments are concentrated at the top end of the scale in 19% of the qualifications</w:t>
      </w:r>
      <w:r w:rsidR="001B4F72">
        <w:t xml:space="preserve"> (that is, qualifications with more than 1000 enrolments)</w:t>
      </w:r>
      <w:r w:rsidR="00DE1865">
        <w:t>. On the other end of the scale</w:t>
      </w:r>
      <w:r w:rsidR="001B4F72">
        <w:t xml:space="preserve"> (qu</w:t>
      </w:r>
      <w:r w:rsidR="00E74B97">
        <w:t>alifications with one</w:t>
      </w:r>
      <w:r w:rsidR="001B4F72">
        <w:t xml:space="preserve"> to 100 enrolments)</w:t>
      </w:r>
      <w:r w:rsidR="00DE1865">
        <w:t>, 31% of the qualifications have only around 1</w:t>
      </w:r>
      <w:r w:rsidR="00E74B97">
        <w:t>% of the enrolments. Twenty per</w:t>
      </w:r>
      <w:r w:rsidR="0028146F">
        <w:t xml:space="preserve"> </w:t>
      </w:r>
      <w:r w:rsidR="00E74B97">
        <w:t xml:space="preserve">cent </w:t>
      </w:r>
      <w:r w:rsidR="00DE1865">
        <w:t>of the qualifications had no recorded enrolments in 2015</w:t>
      </w:r>
      <w:r w:rsidR="007639AC">
        <w:t xml:space="preserve"> (recall</w:t>
      </w:r>
      <w:r w:rsidR="00E51C89">
        <w:t>ing that</w:t>
      </w:r>
      <w:r w:rsidR="007639AC">
        <w:t xml:space="preserve"> super</w:t>
      </w:r>
      <w:r w:rsidR="00200CF8">
        <w:t>seded</w:t>
      </w:r>
      <w:r w:rsidR="007639AC">
        <w:t xml:space="preserve"> qualifications with no enrolments </w:t>
      </w:r>
      <w:r w:rsidR="00196C5B">
        <w:t xml:space="preserve">in that year </w:t>
      </w:r>
      <w:r w:rsidR="007639AC">
        <w:t xml:space="preserve">were </w:t>
      </w:r>
      <w:r w:rsidR="00E51C89">
        <w:t>ex</w:t>
      </w:r>
      <w:r w:rsidR="007639AC">
        <w:t>cluded)</w:t>
      </w:r>
      <w:r w:rsidR="00DE1865">
        <w:t>.</w:t>
      </w:r>
    </w:p>
    <w:p w:rsidR="001855EE" w:rsidRDefault="00967D44" w:rsidP="001855EE">
      <w:pPr>
        <w:pStyle w:val="Text"/>
      </w:pPr>
      <w:r>
        <w:t>Figure 4</w:t>
      </w:r>
      <w:r w:rsidR="00DE1865">
        <w:t xml:space="preserve"> </w:t>
      </w:r>
      <w:r w:rsidR="0028146F">
        <w:t>offers</w:t>
      </w:r>
      <w:r w:rsidR="00DE1865">
        <w:t xml:space="preserve"> another way to</w:t>
      </w:r>
      <w:r w:rsidR="0028146F">
        <w:t xml:space="preserve"> analyse the consolidated list:</w:t>
      </w:r>
      <w:r w:rsidR="00DE1865">
        <w:t xml:space="preserve"> all qualifications have</w:t>
      </w:r>
      <w:r w:rsidR="00F56954">
        <w:t xml:space="preserve"> been plotted</w:t>
      </w:r>
      <w:r w:rsidR="005948FE">
        <w:t xml:space="preserve"> along a line in </w:t>
      </w:r>
      <w:r w:rsidR="003610F4">
        <w:t xml:space="preserve">descending </w:t>
      </w:r>
      <w:r w:rsidR="005948FE">
        <w:t xml:space="preserve">order from most to least enrolments. </w:t>
      </w:r>
      <w:r>
        <w:t>T</w:t>
      </w:r>
      <w:r w:rsidR="005948FE">
        <w:t xml:space="preserve">he number of </w:t>
      </w:r>
      <w:r w:rsidR="005948FE">
        <w:lastRenderedPageBreak/>
        <w:t xml:space="preserve">enrolments </w:t>
      </w:r>
      <w:r>
        <w:t xml:space="preserve">is plotted </w:t>
      </w:r>
      <w:r w:rsidR="005948FE">
        <w:t>on the vertical axis to show the concentration of enrolments in a small number of qualifications.</w:t>
      </w:r>
    </w:p>
    <w:p w:rsidR="00C248EB" w:rsidRDefault="00100C4F" w:rsidP="00C248EB">
      <w:pPr>
        <w:pStyle w:val="Figuretitle"/>
        <w:keepNext/>
        <w:keepLines/>
      </w:pPr>
      <w:bookmarkStart w:id="52" w:name="_Toc465161930"/>
      <w:r>
        <w:rPr>
          <w:noProof/>
          <w:lang w:eastAsia="en-AU"/>
        </w:rPr>
        <w:drawing>
          <wp:anchor distT="0" distB="0" distL="114300" distR="114300" simplePos="0" relativeHeight="252066816" behindDoc="0" locked="0" layoutInCell="1" allowOverlap="1" wp14:anchorId="6B005FD1" wp14:editId="0868D74E">
            <wp:simplePos x="0" y="0"/>
            <wp:positionH relativeFrom="column">
              <wp:posOffset>-8890</wp:posOffset>
            </wp:positionH>
            <wp:positionV relativeFrom="paragraph">
              <wp:posOffset>177165</wp:posOffset>
            </wp:positionV>
            <wp:extent cx="5310505" cy="3913505"/>
            <wp:effectExtent l="0" t="0" r="4445" b="0"/>
            <wp:wrapTopAndBottom/>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967D44">
        <w:t>Figure 4</w:t>
      </w:r>
      <w:r w:rsidR="00103A31">
        <w:tab/>
      </w:r>
      <w:r w:rsidR="001855EE">
        <w:t>Number of enrolments in each qualification, 2015</w:t>
      </w:r>
      <w:bookmarkEnd w:id="52"/>
    </w:p>
    <w:p w:rsidR="004A7C3D" w:rsidRDefault="004A7C3D" w:rsidP="004A7C3D">
      <w:pPr>
        <w:pStyle w:val="Source"/>
      </w:pPr>
      <w:r>
        <w:t xml:space="preserve">Source: </w:t>
      </w:r>
      <w:r w:rsidR="00987224">
        <w:tab/>
      </w:r>
      <w:r w:rsidR="001D4BE1">
        <w:t>A</w:t>
      </w:r>
      <w:r w:rsidR="00390066">
        <w:t xml:space="preserve">uthors’ analysis based </w:t>
      </w:r>
      <w:r w:rsidR="001D4BE1">
        <w:t xml:space="preserve">on data request from </w:t>
      </w:r>
      <w:r w:rsidR="00CC2DC9">
        <w:t xml:space="preserve">the </w:t>
      </w:r>
      <w:r w:rsidR="001D4BE1">
        <w:t>Australian</w:t>
      </w:r>
      <w:r w:rsidR="00390066">
        <w:t xml:space="preserve"> Department of Education and Training and NCVER collections</w:t>
      </w:r>
      <w:r w:rsidR="00E74B97">
        <w:t>.</w:t>
      </w:r>
    </w:p>
    <w:p w:rsidR="00100C4F" w:rsidRDefault="00335EA4" w:rsidP="001855EE">
      <w:pPr>
        <w:pStyle w:val="Text"/>
      </w:pPr>
      <w:r>
        <w:t>F</w:t>
      </w:r>
      <w:r w:rsidR="00967D44">
        <w:t>igure 4</w:t>
      </w:r>
      <w:r w:rsidR="005948FE">
        <w:t xml:space="preserve"> divide</w:t>
      </w:r>
      <w:r w:rsidR="00CD6D9E">
        <w:t>s</w:t>
      </w:r>
      <w:r w:rsidR="005948FE">
        <w:t xml:space="preserve"> the qualification</w:t>
      </w:r>
      <w:r w:rsidR="0068075D">
        <w:t>s</w:t>
      </w:r>
      <w:r w:rsidR="005948FE">
        <w:t xml:space="preserve"> into </w:t>
      </w:r>
      <w:r w:rsidR="00CD6D9E">
        <w:t xml:space="preserve">two boxes: one box </w:t>
      </w:r>
      <w:r w:rsidR="001B55B3">
        <w:t>with the first 200 qualifications</w:t>
      </w:r>
      <w:r w:rsidR="00CD6D9E">
        <w:t xml:space="preserve">, while the other box contains </w:t>
      </w:r>
      <w:r w:rsidR="005948FE">
        <w:t xml:space="preserve">the </w:t>
      </w:r>
      <w:r w:rsidR="00E74B97">
        <w:t>remaining 1</w:t>
      </w:r>
      <w:r w:rsidR="005948FE">
        <w:t>444 qualifications. These groups are s</w:t>
      </w:r>
      <w:r w:rsidR="00967D44">
        <w:t>hown in more detail in figures 5</w:t>
      </w:r>
      <w:r w:rsidR="005948FE">
        <w:t xml:space="preserve"> and </w:t>
      </w:r>
      <w:r w:rsidR="00967D44">
        <w:t>6</w:t>
      </w:r>
      <w:r w:rsidR="005948FE">
        <w:t xml:space="preserve">, respectively. </w:t>
      </w:r>
      <w:r w:rsidR="001855EE">
        <w:t xml:space="preserve">In 2015, 200 qualifications </w:t>
      </w:r>
      <w:r>
        <w:t>supported</w:t>
      </w:r>
      <w:r w:rsidR="001855EE">
        <w:t xml:space="preserve"> 2 329 405 enrolments</w:t>
      </w:r>
      <w:r w:rsidR="005948FE">
        <w:t xml:space="preserve"> (</w:t>
      </w:r>
      <w:r w:rsidR="00682819">
        <w:t xml:space="preserve">accounting for </w:t>
      </w:r>
      <w:r w:rsidR="005948FE">
        <w:t>85</w:t>
      </w:r>
      <w:r w:rsidR="009200A7">
        <w:t>%</w:t>
      </w:r>
      <w:r w:rsidR="005948FE">
        <w:t xml:space="preserve"> of all enrolments) and the remaining 15</w:t>
      </w:r>
      <w:r w:rsidR="009200A7">
        <w:t>%</w:t>
      </w:r>
      <w:r w:rsidR="005948FE">
        <w:t xml:space="preserve"> of enrolments wer</w:t>
      </w:r>
      <w:r w:rsidR="00E74B97">
        <w:t>e spread across the remaining 1</w:t>
      </w:r>
      <w:r w:rsidR="005948FE">
        <w:t>444 qualifications (</w:t>
      </w:r>
      <w:r w:rsidR="004D217D">
        <w:t xml:space="preserve">that is, </w:t>
      </w:r>
      <w:r w:rsidR="005948FE">
        <w:t>88</w:t>
      </w:r>
      <w:r w:rsidR="009200A7">
        <w:t>%</w:t>
      </w:r>
      <w:r w:rsidR="005948FE">
        <w:t xml:space="preserve"> of qualifications).</w:t>
      </w:r>
    </w:p>
    <w:p w:rsidR="00100C4F" w:rsidRDefault="00100C4F">
      <w:pPr>
        <w:rPr>
          <w:rFonts w:ascii="Trebuchet MS" w:eastAsia="Times New Roman" w:hAnsi="Trebuchet MS" w:cs="Times New Roman"/>
          <w:sz w:val="19"/>
          <w:szCs w:val="20"/>
        </w:rPr>
      </w:pPr>
      <w:r>
        <w:br w:type="page"/>
      </w:r>
    </w:p>
    <w:p w:rsidR="001855EE" w:rsidRDefault="001855EE" w:rsidP="0053355D">
      <w:pPr>
        <w:pStyle w:val="Figuretitle"/>
        <w:keepNext/>
        <w:keepLines/>
        <w:spacing w:after="0"/>
      </w:pPr>
      <w:bookmarkStart w:id="53" w:name="_Toc465161931"/>
      <w:r>
        <w:lastRenderedPageBreak/>
        <w:t xml:space="preserve">Figure </w:t>
      </w:r>
      <w:r w:rsidR="00967D44">
        <w:t>5</w:t>
      </w:r>
      <w:r>
        <w:tab/>
      </w:r>
      <w:r w:rsidR="001B55B3">
        <w:t>Number of enrolments in the first 200</w:t>
      </w:r>
      <w:r>
        <w:t xml:space="preserve"> qualifications, 2015</w:t>
      </w:r>
      <w:bookmarkEnd w:id="53"/>
    </w:p>
    <w:p w:rsidR="004A7C3D" w:rsidRDefault="00987224" w:rsidP="004A7C3D">
      <w:pPr>
        <w:pStyle w:val="Source"/>
      </w:pPr>
      <w:r>
        <w:rPr>
          <w:noProof/>
          <w:lang w:eastAsia="en-AU"/>
        </w:rPr>
        <w:drawing>
          <wp:anchor distT="0" distB="0" distL="114300" distR="114300" simplePos="0" relativeHeight="252067840" behindDoc="1" locked="0" layoutInCell="1" allowOverlap="1" wp14:anchorId="1BD61826" wp14:editId="7F6932B5">
            <wp:simplePos x="0" y="0"/>
            <wp:positionH relativeFrom="column">
              <wp:posOffset>-13970</wp:posOffset>
            </wp:positionH>
            <wp:positionV relativeFrom="paragraph">
              <wp:posOffset>83820</wp:posOffset>
            </wp:positionV>
            <wp:extent cx="5149850" cy="3321050"/>
            <wp:effectExtent l="0" t="0" r="0" b="0"/>
            <wp:wrapSquare wrapText="bothSides"/>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4A7C3D">
        <w:t xml:space="preserve">Source: </w:t>
      </w:r>
      <w:r>
        <w:tab/>
      </w:r>
      <w:r w:rsidR="00E62C7F">
        <w:t>A</w:t>
      </w:r>
      <w:r w:rsidR="00390066">
        <w:t xml:space="preserve">uthors’ analysis based on data from </w:t>
      </w:r>
      <w:r w:rsidR="00335EA4">
        <w:t xml:space="preserve">the </w:t>
      </w:r>
      <w:r w:rsidR="00390066">
        <w:t>Australian</w:t>
      </w:r>
      <w:r w:rsidR="00455E16">
        <w:t xml:space="preserve"> Department </w:t>
      </w:r>
      <w:r w:rsidR="00390066">
        <w:t>of Education and Training and NCVER collections</w:t>
      </w:r>
      <w:r w:rsidR="00E74B97">
        <w:t>.</w:t>
      </w:r>
    </w:p>
    <w:p w:rsidR="00245D4E" w:rsidRDefault="0010408B" w:rsidP="00245D4E">
      <w:pPr>
        <w:pStyle w:val="Text"/>
      </w:pPr>
      <w:r>
        <w:t>Dividing all enrolments into quartiles (around 680 000 enrolments) shows how many qualifications were in each quartile. The first quartile of enrolments was covered by 14 qualifications, the second quartile was covered by 34 qualifications and the third quartile was covered by 80 qualifications. The f</w:t>
      </w:r>
      <w:r w:rsidR="00E74B97">
        <w:t>ourth quartile was covered by 1</w:t>
      </w:r>
      <w:r>
        <w:t xml:space="preserve">516 qualifications. This demonstrates </w:t>
      </w:r>
      <w:r w:rsidR="00E62C7F">
        <w:t xml:space="preserve">the extent to which enrolments are </w:t>
      </w:r>
      <w:r>
        <w:t xml:space="preserve">concentrated in the </w:t>
      </w:r>
      <w:r w:rsidR="001B55B3">
        <w:t>first</w:t>
      </w:r>
      <w:r>
        <w:t xml:space="preserve"> 100 or so qualifications.</w:t>
      </w:r>
      <w:bookmarkStart w:id="54" w:name="_Toc465161932"/>
      <w:r w:rsidR="00245D4E" w:rsidRPr="00245D4E">
        <w:rPr>
          <w:noProof/>
          <w:lang w:eastAsia="en-AU"/>
        </w:rPr>
        <w:t xml:space="preserve"> </w:t>
      </w:r>
    </w:p>
    <w:p w:rsidR="001855EE" w:rsidRPr="00245D4E" w:rsidRDefault="001855EE" w:rsidP="00245D4E">
      <w:pPr>
        <w:pStyle w:val="Figuretitle"/>
        <w:spacing w:after="160"/>
        <w:rPr>
          <w:rFonts w:ascii="Trebuchet MS" w:hAnsi="Trebuchet MS"/>
          <w:sz w:val="19"/>
        </w:rPr>
      </w:pPr>
      <w:r>
        <w:t xml:space="preserve">Figure </w:t>
      </w:r>
      <w:r w:rsidR="00967D44">
        <w:t>6</w:t>
      </w:r>
      <w:r>
        <w:tab/>
        <w:t>Number of enrolments in the remaining qualifications, 2015</w:t>
      </w:r>
      <w:bookmarkEnd w:id="54"/>
    </w:p>
    <w:p w:rsidR="002864F0" w:rsidRDefault="0053355D" w:rsidP="005E540C">
      <w:pPr>
        <w:pStyle w:val="Default"/>
        <w:keepNext/>
        <w:keepLines/>
      </w:pPr>
      <w:r>
        <w:rPr>
          <w:noProof/>
          <w:lang w:eastAsia="en-AU"/>
        </w:rPr>
        <mc:AlternateContent>
          <mc:Choice Requires="wps">
            <w:drawing>
              <wp:anchor distT="0" distB="0" distL="114300" distR="114300" simplePos="0" relativeHeight="252069888" behindDoc="0" locked="0" layoutInCell="1" allowOverlap="1" wp14:anchorId="609E873B" wp14:editId="3CB6BCCC">
                <wp:simplePos x="0" y="0"/>
                <wp:positionH relativeFrom="column">
                  <wp:posOffset>2862580</wp:posOffset>
                </wp:positionH>
                <wp:positionV relativeFrom="paragraph">
                  <wp:posOffset>152400</wp:posOffset>
                </wp:positionV>
                <wp:extent cx="1765300" cy="5080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508000"/>
                        </a:xfrm>
                        <a:prstGeom prst="rect">
                          <a:avLst/>
                        </a:prstGeom>
                        <a:noFill/>
                        <a:ln w="9525">
                          <a:noFill/>
                          <a:miter lim="800000"/>
                          <a:headEnd/>
                          <a:tailEnd/>
                        </a:ln>
                      </wps:spPr>
                      <wps:txbx>
                        <w:txbxContent>
                          <w:p w:rsidR="00883E4B" w:rsidRPr="00245D4E" w:rsidRDefault="00883E4B" w:rsidP="00245D4E">
                            <w:pPr>
                              <w:rPr>
                                <w:rFonts w:ascii="Arial" w:hAnsi="Arial" w:cs="Arial"/>
                                <w:sz w:val="16"/>
                                <w:szCs w:val="16"/>
                              </w:rPr>
                            </w:pPr>
                            <w:r>
                              <w:rPr>
                                <w:rFonts w:ascii="Arial" w:hAnsi="Arial" w:cs="Arial"/>
                                <w:sz w:val="16"/>
                                <w:szCs w:val="16"/>
                              </w:rPr>
                              <w:t>Each purple panel</w:t>
                            </w:r>
                            <w:r w:rsidRPr="00245D4E">
                              <w:rPr>
                                <w:rFonts w:ascii="Arial" w:hAnsi="Arial" w:cs="Arial"/>
                                <w:sz w:val="16"/>
                                <w:szCs w:val="16"/>
                              </w:rPr>
                              <w:t xml:space="preserve"> contains around 25% of all qualifications in 2015 (around 400 qualifications)</w:t>
                            </w:r>
                          </w:p>
                          <w:p w:rsidR="00883E4B" w:rsidRPr="00245D4E" w:rsidRDefault="00883E4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225.4pt;margin-top:12pt;width:139pt;height:40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" filled="f" stroked="f">
                <v:textbox>
                  <w:txbxContent>
                    <w:p w:rsidR="00883E4B" w:rsidRPr="00245D4E" w:rsidRDefault="00883E4B" w:rsidP="00245D4E">
                      <w:pPr>
                        <w:rPr>
                          <w:rFonts w:ascii="Arial" w:hAnsi="Arial" w:cs="Arial"/>
                          <w:sz w:val="16"/>
                          <w:szCs w:val="16"/>
                        </w:rPr>
                      </w:pPr>
                      <w:r>
                        <w:rPr>
                          <w:rFonts w:ascii="Arial" w:hAnsi="Arial" w:cs="Arial"/>
                          <w:sz w:val="16"/>
                          <w:szCs w:val="16"/>
                        </w:rPr>
                        <w:t>Each purple panel</w:t>
                      </w:r>
                      <w:r w:rsidRPr="00245D4E">
                        <w:rPr>
                          <w:rFonts w:ascii="Arial" w:hAnsi="Arial" w:cs="Arial"/>
                          <w:sz w:val="16"/>
                          <w:szCs w:val="16"/>
                        </w:rPr>
                        <w:t xml:space="preserve"> contains around 25% of all qualifications in 2015 (around 400 qualifications)</w:t>
                      </w:r>
                    </w:p>
                    <w:p w:rsidR="00883E4B" w:rsidRPr="00245D4E" w:rsidRDefault="00883E4B">
                      <w:pPr>
                        <w:rPr>
                          <w:rFonts w:ascii="Arial" w:hAnsi="Arial" w:cs="Arial"/>
                          <w:sz w:val="16"/>
                          <w:szCs w:val="16"/>
                        </w:rPr>
                      </w:pPr>
                    </w:p>
                  </w:txbxContent>
                </v:textbox>
              </v:shape>
            </w:pict>
          </mc:Fallback>
        </mc:AlternateContent>
      </w:r>
      <w:r>
        <w:rPr>
          <w:noProof/>
          <w:lang w:eastAsia="en-AU"/>
        </w:rPr>
        <mc:AlternateContent>
          <mc:Choice Requires="wps">
            <w:drawing>
              <wp:anchor distT="0" distB="0" distL="114300" distR="114300" simplePos="0" relativeHeight="252071936" behindDoc="0" locked="0" layoutInCell="1" allowOverlap="1" wp14:anchorId="669C7732" wp14:editId="1B959A6C">
                <wp:simplePos x="0" y="0"/>
                <wp:positionH relativeFrom="column">
                  <wp:posOffset>-680720</wp:posOffset>
                </wp:positionH>
                <wp:positionV relativeFrom="paragraph">
                  <wp:posOffset>1149350</wp:posOffset>
                </wp:positionV>
                <wp:extent cx="1282700" cy="228600"/>
                <wp:effectExtent l="0" t="0" r="635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82700" cy="228600"/>
                        </a:xfrm>
                        <a:prstGeom prst="rect">
                          <a:avLst/>
                        </a:prstGeom>
                        <a:noFill/>
                        <a:ln w="9525">
                          <a:noFill/>
                          <a:miter lim="800000"/>
                          <a:headEnd/>
                          <a:tailEnd/>
                        </a:ln>
                      </wps:spPr>
                      <wps:txbx>
                        <w:txbxContent>
                          <w:p w:rsidR="00883E4B" w:rsidRPr="0053355D" w:rsidRDefault="00883E4B" w:rsidP="0053355D">
                            <w:pPr>
                              <w:rPr>
                                <w:rFonts w:ascii="Arial" w:hAnsi="Arial" w:cs="Arial"/>
                                <w:b/>
                                <w:sz w:val="16"/>
                                <w:szCs w:val="16"/>
                              </w:rPr>
                            </w:pPr>
                            <w:r w:rsidRPr="0053355D">
                              <w:rPr>
                                <w:rFonts w:ascii="Arial" w:hAnsi="Arial" w:cs="Arial"/>
                                <w:b/>
                                <w:sz w:val="16"/>
                                <w:szCs w:val="16"/>
                              </w:rPr>
                              <w:t>Number of enrolments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3.6pt;margin-top:90.5pt;width:101pt;height:18pt;rotation:-90;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" filled="f" stroked="f">
                <v:textbox>
                  <w:txbxContent>
                    <w:p w:rsidR="00883E4B" w:rsidRPr="0053355D" w:rsidRDefault="00883E4B" w:rsidP="0053355D">
                      <w:pPr>
                        <w:rPr>
                          <w:rFonts w:ascii="Arial" w:hAnsi="Arial" w:cs="Arial"/>
                          <w:b/>
                          <w:sz w:val="16"/>
                          <w:szCs w:val="16"/>
                        </w:rPr>
                      </w:pPr>
                      <w:r w:rsidRPr="0053355D">
                        <w:rPr>
                          <w:rFonts w:ascii="Arial" w:hAnsi="Arial" w:cs="Arial"/>
                          <w:b/>
                          <w:sz w:val="16"/>
                          <w:szCs w:val="16"/>
                        </w:rPr>
                        <w:t>Number of enrolments</w:t>
                      </w:r>
                    </w:p>
                  </w:txbxContent>
                </v:textbox>
              </v:shape>
            </w:pict>
          </mc:Fallback>
        </mc:AlternateContent>
      </w:r>
      <w:r w:rsidR="00245D4E">
        <w:rPr>
          <w:noProof/>
          <w:lang w:eastAsia="en-AU"/>
        </w:rPr>
        <w:drawing>
          <wp:inline distT="0" distB="0" distL="0" distR="0">
            <wp:extent cx="4933950" cy="28448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A7C3D" w:rsidRDefault="004A7C3D" w:rsidP="00245D4E">
      <w:pPr>
        <w:pStyle w:val="Source"/>
        <w:spacing w:before="80"/>
      </w:pPr>
      <w:r>
        <w:t xml:space="preserve">Source: </w:t>
      </w:r>
      <w:r w:rsidR="00E62C7F">
        <w:t>A</w:t>
      </w:r>
      <w:r w:rsidR="00390066">
        <w:t xml:space="preserve">uthors’ analysis based on data from </w:t>
      </w:r>
      <w:r w:rsidR="00335EA4">
        <w:t xml:space="preserve">the </w:t>
      </w:r>
      <w:r w:rsidR="00390066">
        <w:t xml:space="preserve">Australian </w:t>
      </w:r>
      <w:r w:rsidR="00335EA4">
        <w:t xml:space="preserve">Department </w:t>
      </w:r>
      <w:r w:rsidR="00390066">
        <w:t>of Education and Training and NCVER collections</w:t>
      </w:r>
      <w:r w:rsidR="00E74B97">
        <w:t>.</w:t>
      </w:r>
    </w:p>
    <w:p w:rsidR="0010408B" w:rsidRDefault="0010408B" w:rsidP="00492F7A">
      <w:pPr>
        <w:pStyle w:val="Text"/>
      </w:pPr>
      <w:r>
        <w:t xml:space="preserve">Qualifications can also be divided into quartiles (around 400 qualifications). </w:t>
      </w:r>
      <w:r w:rsidR="003A0742">
        <w:t>T</w:t>
      </w:r>
      <w:r>
        <w:t xml:space="preserve">he fourth quartile of qualifications </w:t>
      </w:r>
      <w:r w:rsidR="00E51C89">
        <w:t xml:space="preserve">had </w:t>
      </w:r>
      <w:r>
        <w:t>only 11</w:t>
      </w:r>
      <w:r w:rsidR="00103439">
        <w:t>0</w:t>
      </w:r>
      <w:r>
        <w:t xml:space="preserve"> enrolment</w:t>
      </w:r>
      <w:r w:rsidR="00103439">
        <w:t>s, the third quartile had 13 063</w:t>
      </w:r>
      <w:r>
        <w:t xml:space="preserve"> enrolments </w:t>
      </w:r>
      <w:r>
        <w:lastRenderedPageBreak/>
        <w:t>and</w:t>
      </w:r>
      <w:r w:rsidR="00103439">
        <w:t xml:space="preserve"> the second quartile had 110 145</w:t>
      </w:r>
      <w:r>
        <w:t xml:space="preserve"> enrolments. In contrast, the first quartile h</w:t>
      </w:r>
      <w:r w:rsidR="00F711E7">
        <w:rPr>
          <w:noProof/>
          <w:lang w:eastAsia="en-AU"/>
        </w:rPr>
        <mc:AlternateContent>
          <mc:Choice Requires="wps">
            <w:drawing>
              <wp:anchor distT="0" distB="0" distL="114300" distR="114300" simplePos="0" relativeHeight="252046336" behindDoc="0" locked="1" layoutInCell="1" allowOverlap="1" wp14:anchorId="7FD1E988" wp14:editId="32F90F27">
                <wp:simplePos x="0" y="0"/>
                <wp:positionH relativeFrom="outsideMargin">
                  <wp:posOffset>107950</wp:posOffset>
                </wp:positionH>
                <wp:positionV relativeFrom="page">
                  <wp:posOffset>733425</wp:posOffset>
                </wp:positionV>
                <wp:extent cx="1320800" cy="1895475"/>
                <wp:effectExtent l="0" t="0" r="0" b="0"/>
                <wp:wrapNone/>
                <wp:docPr id="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8954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83E4B" w:rsidRPr="00543BFF" w:rsidRDefault="00883E4B" w:rsidP="00F711E7">
                            <w:pPr>
                              <w:pStyle w:val="PullQuote"/>
                            </w:pPr>
                            <w:r>
                              <w:t>Qualifications with low enrolments are of particular interest when considering the agreed reforms as there are many potential reasons for these low enrolments.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8.5pt;margin-top:57.75pt;width:104pt;height:149.25pt;z-index:2520463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" filled="f" stroked="f" strokeweight=".5pt">
                <v:shadow on="t" type="perspective" color="black" opacity="9830f" origin=",.5" offset="0,25pt" matrix="58982f,,,-12452f"/>
                <v:path arrowok="t"/>
                <v:textbox inset="10mm">
                  <w:txbxContent>
                    <w:p w:rsidR="00883E4B" w:rsidRPr="00543BFF" w:rsidRDefault="00883E4B" w:rsidP="00F711E7">
                      <w:pPr>
                        <w:pStyle w:val="PullQuote"/>
                      </w:pPr>
                      <w:r>
                        <w:t>Qualifications with low enrolments are of particular interest when considering the agreed reforms as there are many potential reasons for these low enrolments.</w:t>
                      </w:r>
                    </w:p>
                  </w:txbxContent>
                </v:textbox>
                <w10:wrap anchorx="margin" anchory="page"/>
                <w10:anchorlock/>
              </v:shape>
            </w:pict>
          </mc:Fallback>
        </mc:AlternateContent>
      </w:r>
      <w:r>
        <w:t xml:space="preserve">ad </w:t>
      </w:r>
      <w:r w:rsidR="003D288E">
        <w:br/>
      </w:r>
      <w:r>
        <w:t>2 60</w:t>
      </w:r>
      <w:r w:rsidR="003D288E">
        <w:t>5</w:t>
      </w:r>
      <w:r>
        <w:t xml:space="preserve"> 1</w:t>
      </w:r>
      <w:r w:rsidR="003D288E">
        <w:t>88</w:t>
      </w:r>
      <w:r>
        <w:t xml:space="preserve"> en</w:t>
      </w:r>
      <w:r w:rsidR="00E62C7F">
        <w:t>rolments —</w:t>
      </w:r>
      <w:r w:rsidR="00B412FA">
        <w:t xml:space="preserve"> over 20 times as many as the </w:t>
      </w:r>
      <w:r w:rsidR="003D288E">
        <w:t>other three</w:t>
      </w:r>
      <w:r w:rsidR="00B412FA">
        <w:t xml:space="preserve"> quartile</w:t>
      </w:r>
      <w:r w:rsidR="003D288E">
        <w:t>s combined</w:t>
      </w:r>
      <w:r w:rsidR="00B412FA">
        <w:t>.</w:t>
      </w:r>
    </w:p>
    <w:p w:rsidR="005A3B4E" w:rsidRDefault="005A3B4E" w:rsidP="00492F7A">
      <w:pPr>
        <w:pStyle w:val="Text"/>
      </w:pPr>
      <w:r>
        <w:t>The qualifications with low enrolments are of particular interest when considering the agreed reforms. Various questions arise regarding these qualifications:</w:t>
      </w:r>
    </w:p>
    <w:p w:rsidR="00E51C89" w:rsidRDefault="005A3B4E" w:rsidP="005A3B4E">
      <w:pPr>
        <w:pStyle w:val="Dotpoint1"/>
      </w:pPr>
      <w:r>
        <w:t>Why do these qualifications have low enrolments?</w:t>
      </w:r>
    </w:p>
    <w:p w:rsidR="00E51C89" w:rsidRDefault="00E51C89" w:rsidP="00E51C89">
      <w:pPr>
        <w:pStyle w:val="Dotpoint1"/>
      </w:pPr>
      <w:r>
        <w:t>Are the</w:t>
      </w:r>
      <w:r w:rsidR="00B45CB0">
        <w:t>se</w:t>
      </w:r>
      <w:r>
        <w:t xml:space="preserve"> qualifications </w:t>
      </w:r>
      <w:r w:rsidR="00B45CB0">
        <w:t>only</w:t>
      </w:r>
      <w:r>
        <w:t xml:space="preserve"> important for some </w:t>
      </w:r>
      <w:r w:rsidR="00B45CB0">
        <w:t xml:space="preserve">niche </w:t>
      </w:r>
      <w:r>
        <w:t>occupations with a low number of employed people or</w:t>
      </w:r>
      <w:r w:rsidR="00FC2505">
        <w:t xml:space="preserve"> low</w:t>
      </w:r>
      <w:r>
        <w:t xml:space="preserve"> turnover?</w:t>
      </w:r>
    </w:p>
    <w:p w:rsidR="005A3B4E" w:rsidRDefault="00B45CB0" w:rsidP="005A3B4E">
      <w:pPr>
        <w:pStyle w:val="Dotpoint1"/>
      </w:pPr>
      <w:r>
        <w:t>Alternatively</w:t>
      </w:r>
      <w:r w:rsidR="00E62C7F">
        <w:t>,</w:t>
      </w:r>
      <w:r>
        <w:t xml:space="preserve"> a</w:t>
      </w:r>
      <w:r w:rsidR="005A3B4E">
        <w:t xml:space="preserve">re they obsolete or </w:t>
      </w:r>
      <w:r w:rsidR="00390066">
        <w:t>superfluous qualifications that</w:t>
      </w:r>
      <w:r w:rsidR="005A3B4E">
        <w:t xml:space="preserve"> should be removed or consolidated into other qualifications?</w:t>
      </w:r>
    </w:p>
    <w:p w:rsidR="005A3B4E" w:rsidRDefault="005A3B4E" w:rsidP="005A3B4E">
      <w:pPr>
        <w:pStyle w:val="Dotpoint1"/>
      </w:pPr>
      <w:r>
        <w:t>Is it because they no longer meet the needs of industry, employers or students?</w:t>
      </w:r>
    </w:p>
    <w:p w:rsidR="005A3B4E" w:rsidRDefault="00390066" w:rsidP="005A3B4E">
      <w:pPr>
        <w:pStyle w:val="Dotpoint1"/>
      </w:pPr>
      <w:r>
        <w:t xml:space="preserve">Are the training needs </w:t>
      </w:r>
      <w:r w:rsidR="00E62C7F">
        <w:t xml:space="preserve">covered by </w:t>
      </w:r>
      <w:r w:rsidR="005A3B4E">
        <w:t>these qualifications being met elsewhere (</w:t>
      </w:r>
      <w:r w:rsidR="00E62C7F">
        <w:t xml:space="preserve">for example, </w:t>
      </w:r>
      <w:r w:rsidR="005A3B4E">
        <w:t>by non-accredited training</w:t>
      </w:r>
      <w:r w:rsidR="00B45CB0">
        <w:t xml:space="preserve"> or by </w:t>
      </w:r>
      <w:r>
        <w:t>locally or nationally recognised</w:t>
      </w:r>
      <w:r w:rsidR="00B45CB0">
        <w:t xml:space="preserve"> courses</w:t>
      </w:r>
      <w:r w:rsidR="005A3B4E">
        <w:t>)?</w:t>
      </w:r>
    </w:p>
    <w:p w:rsidR="00B45CB0" w:rsidRDefault="00E74B97" w:rsidP="005A3B4E">
      <w:pPr>
        <w:pStyle w:val="Dotpoint1"/>
      </w:pPr>
      <w:r>
        <w:t>Although unlikely</w:t>
      </w:r>
      <w:r w:rsidR="00B45CB0">
        <w:t xml:space="preserve">, is there some bias in the </w:t>
      </w:r>
      <w:r>
        <w:t>collection and reporting of TVA?</w:t>
      </w:r>
    </w:p>
    <w:p w:rsidR="005A3B4E" w:rsidRDefault="005A3B4E" w:rsidP="005A3B4E">
      <w:pPr>
        <w:pStyle w:val="Text"/>
      </w:pPr>
      <w:r>
        <w:t xml:space="preserve">Identifying these low enrolment qualifications is just the first step. Further investigations will be needed to </w:t>
      </w:r>
      <w:r w:rsidR="00E62C7F">
        <w:t>implement</w:t>
      </w:r>
      <w:r>
        <w:t xml:space="preserve"> the </w:t>
      </w:r>
      <w:r w:rsidR="00E62C7F">
        <w:t xml:space="preserve">required </w:t>
      </w:r>
      <w:r>
        <w:t xml:space="preserve">reforms </w:t>
      </w:r>
      <w:r w:rsidR="00E62C7F">
        <w:t>to</w:t>
      </w:r>
      <w:r>
        <w:t xml:space="preserve"> these qualifications, </w:t>
      </w:r>
      <w:r w:rsidR="00E62C7F">
        <w:t xml:space="preserve">specifically </w:t>
      </w:r>
      <w:r>
        <w:t xml:space="preserve">to </w:t>
      </w:r>
      <w:r w:rsidR="00E62C7F">
        <w:t>en</w:t>
      </w:r>
      <w:r>
        <w:t>sure measured and appropriate</w:t>
      </w:r>
      <w:r w:rsidR="00E62C7F">
        <w:t xml:space="preserve"> change</w:t>
      </w:r>
      <w:r>
        <w:t>.</w:t>
      </w:r>
    </w:p>
    <w:p w:rsidR="00D66ECA" w:rsidRDefault="0068075D" w:rsidP="008F5F18">
      <w:pPr>
        <w:pStyle w:val="Text"/>
        <w:rPr>
          <w:rFonts w:ascii="Tahoma" w:hAnsi="Tahoma"/>
          <w:b/>
          <w:sz w:val="17"/>
        </w:rPr>
      </w:pPr>
      <w:r>
        <w:t>A similar picture is shown if the qualifications are grouped within their respective training pac</w:t>
      </w:r>
      <w:r w:rsidR="00657BF5">
        <w:t>kages. F</w:t>
      </w:r>
      <w:r w:rsidR="00967D44">
        <w:t>igure 7</w:t>
      </w:r>
      <w:r w:rsidR="00390066">
        <w:t xml:space="preserve"> </w:t>
      </w:r>
      <w:r w:rsidR="001B55B3">
        <w:t xml:space="preserve">plots training packages from most to least enrolments and </w:t>
      </w:r>
      <w:r w:rsidR="00390066">
        <w:t>divide</w:t>
      </w:r>
      <w:r w:rsidR="00657BF5">
        <w:t>s</w:t>
      </w:r>
      <w:r>
        <w:t xml:space="preserve"> </w:t>
      </w:r>
      <w:r w:rsidR="002D0697">
        <w:t>the</w:t>
      </w:r>
      <w:r w:rsidR="001B55B3">
        <w:t xml:space="preserve">m </w:t>
      </w:r>
      <w:r w:rsidR="002D0697">
        <w:t xml:space="preserve">into </w:t>
      </w:r>
      <w:r w:rsidR="00657BF5">
        <w:t xml:space="preserve">two boxes: one with the </w:t>
      </w:r>
      <w:r w:rsidR="001B55B3">
        <w:t>first 20 training packages</w:t>
      </w:r>
      <w:r w:rsidR="002D0697">
        <w:t xml:space="preserve"> </w:t>
      </w:r>
      <w:r>
        <w:t xml:space="preserve">and the </w:t>
      </w:r>
      <w:r w:rsidR="00657BF5">
        <w:t>other box containing the remainder</w:t>
      </w:r>
      <w:r>
        <w:t>. These groups are s</w:t>
      </w:r>
      <w:r w:rsidR="00967D44">
        <w:t>hown in more detail in figures 8</w:t>
      </w:r>
      <w:r>
        <w:t xml:space="preserve"> and </w:t>
      </w:r>
      <w:r w:rsidR="00967D44">
        <w:t>9</w:t>
      </w:r>
      <w:r>
        <w:t xml:space="preserve">, respectively. </w:t>
      </w:r>
    </w:p>
    <w:p w:rsidR="0068075D" w:rsidRDefault="003D659B" w:rsidP="005E540C">
      <w:pPr>
        <w:pStyle w:val="Figuretitle"/>
        <w:keepNext/>
        <w:keepLines/>
      </w:pPr>
      <w:bookmarkStart w:id="55" w:name="_Toc465161933"/>
      <w:r>
        <w:rPr>
          <w:noProof/>
          <w:lang w:eastAsia="en-AU"/>
        </w:rPr>
        <w:drawing>
          <wp:anchor distT="0" distB="0" distL="114300" distR="114300" simplePos="0" relativeHeight="252072960" behindDoc="0" locked="0" layoutInCell="1" allowOverlap="1" wp14:anchorId="41418474" wp14:editId="0983238C">
            <wp:simplePos x="0" y="0"/>
            <wp:positionH relativeFrom="column">
              <wp:posOffset>-115570</wp:posOffset>
            </wp:positionH>
            <wp:positionV relativeFrom="paragraph">
              <wp:posOffset>415290</wp:posOffset>
            </wp:positionV>
            <wp:extent cx="4572000" cy="3011170"/>
            <wp:effectExtent l="0" t="0" r="0" b="0"/>
            <wp:wrapTopAndBottom/>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68075D">
        <w:t xml:space="preserve">Figure </w:t>
      </w:r>
      <w:r w:rsidR="00967D44">
        <w:t>7</w:t>
      </w:r>
      <w:r w:rsidR="0068075D">
        <w:tab/>
        <w:t>Number of enrolments in each training package, 2015</w:t>
      </w:r>
      <w:bookmarkEnd w:id="55"/>
    </w:p>
    <w:p w:rsidR="004A7C3D" w:rsidRDefault="004A7C3D" w:rsidP="004A7C3D">
      <w:pPr>
        <w:pStyle w:val="Source"/>
      </w:pPr>
      <w:r>
        <w:t xml:space="preserve">Source: </w:t>
      </w:r>
      <w:r w:rsidR="00E62C7F">
        <w:t>A</w:t>
      </w:r>
      <w:r w:rsidR="00390066">
        <w:t xml:space="preserve">uthors’ analysis based on data from </w:t>
      </w:r>
      <w:r w:rsidR="00657BF5">
        <w:t xml:space="preserve">the </w:t>
      </w:r>
      <w:r w:rsidR="00390066">
        <w:t>Australian Department of Education and Training and NCVER collections</w:t>
      </w:r>
      <w:r w:rsidR="00E74B97">
        <w:t>.</w:t>
      </w:r>
    </w:p>
    <w:p w:rsidR="0068075D" w:rsidRDefault="0068075D" w:rsidP="0068075D">
      <w:pPr>
        <w:pStyle w:val="Text"/>
      </w:pPr>
      <w:r>
        <w:t xml:space="preserve">In 2015, </w:t>
      </w:r>
      <w:r w:rsidRPr="002D0697">
        <w:t xml:space="preserve">20 </w:t>
      </w:r>
      <w:r w:rsidR="00390066">
        <w:t xml:space="preserve">training </w:t>
      </w:r>
      <w:r w:rsidRPr="002D0697">
        <w:t xml:space="preserve">packages </w:t>
      </w:r>
      <w:r>
        <w:t>had 2 458 980 enrolments (90</w:t>
      </w:r>
      <w:r w:rsidR="009200A7">
        <w:t>%</w:t>
      </w:r>
      <w:r>
        <w:t xml:space="preserve"> of all enrolments) and the remaining 10</w:t>
      </w:r>
      <w:r w:rsidR="009200A7">
        <w:t>%</w:t>
      </w:r>
      <w:r>
        <w:t xml:space="preserve"> of enrolments were spread across the </w:t>
      </w:r>
      <w:r w:rsidR="002D0697">
        <w:t>rest of the</w:t>
      </w:r>
      <w:r>
        <w:t xml:space="preserve"> </w:t>
      </w:r>
      <w:r w:rsidR="00390066">
        <w:t xml:space="preserve">training </w:t>
      </w:r>
      <w:r>
        <w:t>packages (</w:t>
      </w:r>
      <w:r w:rsidR="00FA6BA2">
        <w:t xml:space="preserve">accounting for </w:t>
      </w:r>
      <w:r w:rsidR="005C2491">
        <w:t>4</w:t>
      </w:r>
      <w:r>
        <w:t>4</w:t>
      </w:r>
      <w:r w:rsidR="009200A7">
        <w:t>%</w:t>
      </w:r>
      <w:r>
        <w:t xml:space="preserve"> of qualifications).</w:t>
      </w:r>
    </w:p>
    <w:p w:rsidR="0068075D" w:rsidRDefault="0068075D" w:rsidP="005E540C">
      <w:pPr>
        <w:pStyle w:val="Figuretitle"/>
        <w:keepNext/>
        <w:keepLines/>
      </w:pPr>
      <w:bookmarkStart w:id="56" w:name="_Toc465161934"/>
      <w:r>
        <w:lastRenderedPageBreak/>
        <w:t xml:space="preserve">Figure </w:t>
      </w:r>
      <w:r w:rsidR="00967D44">
        <w:t>8</w:t>
      </w:r>
      <w:r>
        <w:tab/>
        <w:t xml:space="preserve">Number of enrolments in the </w:t>
      </w:r>
      <w:r w:rsidR="001B55B3">
        <w:t>first</w:t>
      </w:r>
      <w:r>
        <w:t xml:space="preserve"> 20 training packages, 2015</w:t>
      </w:r>
      <w:bookmarkEnd w:id="56"/>
    </w:p>
    <w:p w:rsidR="00C248EB" w:rsidRDefault="00987224" w:rsidP="004A7C3D">
      <w:pPr>
        <w:pStyle w:val="Source"/>
      </w:pPr>
      <w:r>
        <w:rPr>
          <w:noProof/>
          <w:lang w:eastAsia="en-AU"/>
        </w:rPr>
        <w:drawing>
          <wp:anchor distT="0" distB="0" distL="114300" distR="114300" simplePos="0" relativeHeight="252075008" behindDoc="0" locked="0" layoutInCell="1" allowOverlap="1" wp14:anchorId="41BDBFE3" wp14:editId="27774640">
            <wp:simplePos x="0" y="0"/>
            <wp:positionH relativeFrom="column">
              <wp:posOffset>-155575</wp:posOffset>
            </wp:positionH>
            <wp:positionV relativeFrom="paragraph">
              <wp:posOffset>22225</wp:posOffset>
            </wp:positionV>
            <wp:extent cx="5070475" cy="3099435"/>
            <wp:effectExtent l="0" t="0" r="0" b="5715"/>
            <wp:wrapTopAndBottom/>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E62C7F">
        <w:t xml:space="preserve">Note: </w:t>
      </w:r>
      <w:r w:rsidR="00DD77E2">
        <w:tab/>
      </w:r>
      <w:r w:rsidR="001B55B3">
        <w:t>The first t</w:t>
      </w:r>
      <w:r w:rsidR="000F0E3F">
        <w:t>wo</w:t>
      </w:r>
      <w:r w:rsidR="00C248EB">
        <w:t xml:space="preserve"> training packages actually account for around 30% of enrolments.</w:t>
      </w:r>
    </w:p>
    <w:p w:rsidR="004A7C3D" w:rsidRDefault="004A7C3D" w:rsidP="004A7C3D">
      <w:pPr>
        <w:pStyle w:val="Source"/>
      </w:pPr>
      <w:r>
        <w:t xml:space="preserve">Source: </w:t>
      </w:r>
      <w:r w:rsidR="00E62C7F">
        <w:t>A</w:t>
      </w:r>
      <w:r w:rsidR="00390066">
        <w:t xml:space="preserve">uthors’ analysis based on data from </w:t>
      </w:r>
      <w:r w:rsidR="00657BF5">
        <w:t xml:space="preserve">the </w:t>
      </w:r>
      <w:r w:rsidR="00390066">
        <w:t>Australian Department of Education and Training and NCVER collections</w:t>
      </w:r>
      <w:r w:rsidR="00E74B97">
        <w:t>.</w:t>
      </w:r>
    </w:p>
    <w:p w:rsidR="001C1DC4" w:rsidRDefault="005653A4" w:rsidP="00A7040A">
      <w:pPr>
        <w:pStyle w:val="Text"/>
      </w:pPr>
      <w:r>
        <w:t>When</w:t>
      </w:r>
      <w:r w:rsidR="003610F4">
        <w:t xml:space="preserve"> </w:t>
      </w:r>
      <w:r w:rsidR="00390066">
        <w:t>enrolments are divided</w:t>
      </w:r>
      <w:r w:rsidR="003610F4">
        <w:t xml:space="preserve"> into quartiles</w:t>
      </w:r>
      <w:r w:rsidR="00390066">
        <w:t>,</w:t>
      </w:r>
      <w:r w:rsidR="003610F4">
        <w:t xml:space="preserve"> </w:t>
      </w:r>
      <w:r>
        <w:t>there are around 680</w:t>
      </w:r>
      <w:r w:rsidR="00B412FA">
        <w:t xml:space="preserve"> </w:t>
      </w:r>
      <w:r>
        <w:t>000 enrolments per quartile. The</w:t>
      </w:r>
      <w:r w:rsidR="003610F4">
        <w:t xml:space="preserve"> top quartile</w:t>
      </w:r>
      <w:r>
        <w:t xml:space="preserve"> accounts for </w:t>
      </w:r>
      <w:r w:rsidR="00E74B97">
        <w:t>two</w:t>
      </w:r>
      <w:r>
        <w:t xml:space="preserve"> training packages</w:t>
      </w:r>
      <w:r w:rsidR="001D4BE1">
        <w:t>,</w:t>
      </w:r>
      <w:r>
        <w:t xml:space="preserve"> the second quartile accounts for </w:t>
      </w:r>
      <w:r w:rsidR="00E74B97">
        <w:t>four</w:t>
      </w:r>
      <w:r>
        <w:t xml:space="preserve"> training packages, the third quartile accounts for </w:t>
      </w:r>
      <w:r w:rsidR="00E74B97">
        <w:t>eight</w:t>
      </w:r>
      <w:r>
        <w:t xml:space="preserve"> training</w:t>
      </w:r>
      <w:r w:rsidR="00B412FA">
        <w:t xml:space="preserve"> packages</w:t>
      </w:r>
      <w:r w:rsidR="001D4BE1">
        <w:t>,</w:t>
      </w:r>
      <w:r w:rsidR="00B412FA">
        <w:t xml:space="preserve"> with the remaining 63</w:t>
      </w:r>
      <w:r>
        <w:t xml:space="preserve"> training packages in the last quartile.</w:t>
      </w:r>
    </w:p>
    <w:p w:rsidR="001C1DC4" w:rsidRDefault="00DD77E2" w:rsidP="001C1DC4">
      <w:pPr>
        <w:pStyle w:val="Figuretitle"/>
        <w:keepNext/>
        <w:keepLines/>
      </w:pPr>
      <w:bookmarkStart w:id="57" w:name="_Toc465161935"/>
      <w:r>
        <w:rPr>
          <w:noProof/>
          <w:lang w:eastAsia="en-AU"/>
        </w:rPr>
        <w:drawing>
          <wp:anchor distT="0" distB="0" distL="114300" distR="114300" simplePos="0" relativeHeight="252076032" behindDoc="0" locked="0" layoutInCell="1" allowOverlap="1" wp14:anchorId="2C8B8BA2" wp14:editId="00788A1E">
            <wp:simplePos x="0" y="0"/>
            <wp:positionH relativeFrom="column">
              <wp:posOffset>-153670</wp:posOffset>
            </wp:positionH>
            <wp:positionV relativeFrom="paragraph">
              <wp:posOffset>410210</wp:posOffset>
            </wp:positionV>
            <wp:extent cx="5278120" cy="2743200"/>
            <wp:effectExtent l="0" t="0" r="0" b="0"/>
            <wp:wrapTopAndBottom/>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1C1DC4">
        <w:t xml:space="preserve">Figure </w:t>
      </w:r>
      <w:r w:rsidR="00967D44">
        <w:t>9</w:t>
      </w:r>
      <w:r w:rsidR="001C1DC4">
        <w:tab/>
        <w:t>Number of enrolments in the remaining training packages, 2015</w:t>
      </w:r>
      <w:bookmarkEnd w:id="57"/>
    </w:p>
    <w:p w:rsidR="004A7C3D" w:rsidRDefault="004A7C3D" w:rsidP="004A7C3D">
      <w:pPr>
        <w:pStyle w:val="Source"/>
      </w:pPr>
      <w:r>
        <w:t xml:space="preserve">Source: </w:t>
      </w:r>
      <w:r w:rsidR="001D4BE1">
        <w:t>A</w:t>
      </w:r>
      <w:r w:rsidR="00390066">
        <w:t xml:space="preserve">uthors’ analysis based on data from </w:t>
      </w:r>
      <w:r w:rsidR="00657BF5">
        <w:t xml:space="preserve">the </w:t>
      </w:r>
      <w:r w:rsidR="00390066">
        <w:t>Australian Department of Education and Training and NCVER collections</w:t>
      </w:r>
      <w:r w:rsidR="00E74B97">
        <w:t>.</w:t>
      </w:r>
    </w:p>
    <w:p w:rsidR="00A7040A" w:rsidRDefault="001D4BE1" w:rsidP="00A7040A">
      <w:pPr>
        <w:pStyle w:val="Text"/>
      </w:pPr>
      <w:r>
        <w:t>Some of the low-</w:t>
      </w:r>
      <w:r w:rsidR="001C1DC4">
        <w:t xml:space="preserve">enrolment training packages are associated with superseded qualifications that still had recorded enrolments. These </w:t>
      </w:r>
      <w:r w:rsidR="00390066">
        <w:t xml:space="preserve">training </w:t>
      </w:r>
      <w:r w:rsidR="001C1DC4">
        <w:t xml:space="preserve">packages have been superseded by newer training packages. </w:t>
      </w:r>
    </w:p>
    <w:p w:rsidR="00B45CB0" w:rsidRDefault="00967D44" w:rsidP="00A7040A">
      <w:pPr>
        <w:pStyle w:val="Text"/>
      </w:pPr>
      <w:r>
        <w:t>Table 3</w:t>
      </w:r>
      <w:r w:rsidR="00B45CB0">
        <w:t xml:space="preserve"> provides a list of </w:t>
      </w:r>
      <w:r w:rsidR="001D4BE1">
        <w:t xml:space="preserve">the </w:t>
      </w:r>
      <w:r w:rsidR="00B45CB0">
        <w:t>14 training packages in the top three quartiles.</w:t>
      </w:r>
    </w:p>
    <w:p w:rsidR="00902409" w:rsidRDefault="00902409" w:rsidP="00902409">
      <w:pPr>
        <w:pStyle w:val="Tabletitle"/>
      </w:pPr>
      <w:bookmarkStart w:id="58" w:name="_Toc465162106"/>
      <w:r>
        <w:lastRenderedPageBreak/>
        <w:t xml:space="preserve">Table </w:t>
      </w:r>
      <w:r w:rsidR="00967D44">
        <w:t>3</w:t>
      </w:r>
      <w:r>
        <w:tab/>
        <w:t>First three quartiles of training packages by enrolments, 2015</w:t>
      </w:r>
      <w:bookmarkEnd w:id="58"/>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9"/>
        <w:gridCol w:w="667"/>
        <w:gridCol w:w="6627"/>
      </w:tblGrid>
      <w:tr w:rsidR="00902409" w:rsidRPr="00902409" w:rsidTr="00902409">
        <w:tc>
          <w:tcPr>
            <w:tcW w:w="859" w:type="dxa"/>
            <w:tcBorders>
              <w:bottom w:val="single" w:sz="4" w:space="0" w:color="auto"/>
            </w:tcBorders>
          </w:tcPr>
          <w:p w:rsidR="00902409" w:rsidRPr="00902409" w:rsidRDefault="00902409" w:rsidP="00902409">
            <w:pPr>
              <w:pStyle w:val="Tablehead1"/>
            </w:pPr>
            <w:r w:rsidRPr="00902409">
              <w:t>Quartile</w:t>
            </w:r>
          </w:p>
        </w:tc>
        <w:tc>
          <w:tcPr>
            <w:tcW w:w="667" w:type="dxa"/>
            <w:tcBorders>
              <w:bottom w:val="single" w:sz="4" w:space="0" w:color="auto"/>
            </w:tcBorders>
            <w:vAlign w:val="bottom"/>
          </w:tcPr>
          <w:p w:rsidR="00902409" w:rsidRPr="00902409" w:rsidRDefault="00902409" w:rsidP="00902409">
            <w:pPr>
              <w:pStyle w:val="Tablehead1"/>
            </w:pPr>
            <w:r w:rsidRPr="00902409">
              <w:t>Code</w:t>
            </w:r>
          </w:p>
        </w:tc>
        <w:tc>
          <w:tcPr>
            <w:tcW w:w="6627" w:type="dxa"/>
            <w:tcBorders>
              <w:bottom w:val="single" w:sz="4" w:space="0" w:color="auto"/>
            </w:tcBorders>
            <w:vAlign w:val="bottom"/>
          </w:tcPr>
          <w:p w:rsidR="00902409" w:rsidRPr="00902409" w:rsidRDefault="00902409" w:rsidP="00902409">
            <w:pPr>
              <w:pStyle w:val="Tablehead1"/>
            </w:pPr>
            <w:r w:rsidRPr="00902409">
              <w:t>Training package</w:t>
            </w:r>
          </w:p>
        </w:tc>
      </w:tr>
      <w:tr w:rsidR="00902409" w:rsidRPr="00902409" w:rsidTr="00902409">
        <w:tc>
          <w:tcPr>
            <w:tcW w:w="859" w:type="dxa"/>
            <w:tcBorders>
              <w:top w:val="single" w:sz="4" w:space="0" w:color="auto"/>
              <w:bottom w:val="nil"/>
            </w:tcBorders>
          </w:tcPr>
          <w:p w:rsidR="00902409" w:rsidRPr="00902409" w:rsidRDefault="00902409" w:rsidP="00902409">
            <w:pPr>
              <w:pStyle w:val="Tabletext"/>
            </w:pPr>
            <w:r w:rsidRPr="00902409">
              <w:t>First</w:t>
            </w:r>
          </w:p>
        </w:tc>
        <w:tc>
          <w:tcPr>
            <w:tcW w:w="667" w:type="dxa"/>
            <w:tcBorders>
              <w:top w:val="single" w:sz="4" w:space="0" w:color="auto"/>
              <w:bottom w:val="nil"/>
            </w:tcBorders>
            <w:vAlign w:val="bottom"/>
          </w:tcPr>
          <w:p w:rsidR="00902409" w:rsidRPr="00902409" w:rsidRDefault="00902409" w:rsidP="00902409">
            <w:pPr>
              <w:pStyle w:val="Tabletext"/>
            </w:pPr>
            <w:r w:rsidRPr="00902409">
              <w:t>BSB</w:t>
            </w:r>
          </w:p>
        </w:tc>
        <w:tc>
          <w:tcPr>
            <w:tcW w:w="6627" w:type="dxa"/>
            <w:tcBorders>
              <w:top w:val="single" w:sz="4" w:space="0" w:color="auto"/>
              <w:bottom w:val="nil"/>
            </w:tcBorders>
            <w:vAlign w:val="bottom"/>
          </w:tcPr>
          <w:p w:rsidR="00902409" w:rsidRPr="00902409" w:rsidRDefault="00902409" w:rsidP="006C545E">
            <w:pPr>
              <w:pStyle w:val="Tabletext"/>
            </w:pPr>
            <w:r w:rsidRPr="00902409">
              <w:t>Business Services</w:t>
            </w:r>
          </w:p>
        </w:tc>
      </w:tr>
      <w:tr w:rsidR="00902409" w:rsidRPr="00902409" w:rsidTr="00902409">
        <w:tc>
          <w:tcPr>
            <w:tcW w:w="859" w:type="dxa"/>
            <w:tcBorders>
              <w:top w:val="nil"/>
              <w:bottom w:val="single" w:sz="4" w:space="0" w:color="auto"/>
            </w:tcBorders>
          </w:tcPr>
          <w:p w:rsidR="00902409" w:rsidRPr="00902409" w:rsidRDefault="00902409" w:rsidP="00902409">
            <w:pPr>
              <w:pStyle w:val="Tabletext"/>
            </w:pPr>
          </w:p>
        </w:tc>
        <w:tc>
          <w:tcPr>
            <w:tcW w:w="667" w:type="dxa"/>
            <w:tcBorders>
              <w:top w:val="nil"/>
              <w:bottom w:val="single" w:sz="4" w:space="0" w:color="auto"/>
            </w:tcBorders>
            <w:vAlign w:val="bottom"/>
          </w:tcPr>
          <w:p w:rsidR="00902409" w:rsidRPr="00902409" w:rsidRDefault="00902409" w:rsidP="00902409">
            <w:pPr>
              <w:pStyle w:val="Tabletext"/>
            </w:pPr>
            <w:r w:rsidRPr="00902409">
              <w:t>CHC</w:t>
            </w:r>
          </w:p>
        </w:tc>
        <w:tc>
          <w:tcPr>
            <w:tcW w:w="6627" w:type="dxa"/>
            <w:tcBorders>
              <w:top w:val="nil"/>
              <w:bottom w:val="single" w:sz="4" w:space="0" w:color="auto"/>
            </w:tcBorders>
            <w:vAlign w:val="bottom"/>
          </w:tcPr>
          <w:p w:rsidR="00902409" w:rsidRPr="00902409" w:rsidRDefault="00902409" w:rsidP="006C545E">
            <w:pPr>
              <w:pStyle w:val="Tabletext"/>
            </w:pPr>
            <w:r w:rsidRPr="00902409">
              <w:t>Community Services</w:t>
            </w:r>
          </w:p>
        </w:tc>
      </w:tr>
      <w:tr w:rsidR="00902409" w:rsidRPr="00902409" w:rsidTr="00902409">
        <w:tc>
          <w:tcPr>
            <w:tcW w:w="859" w:type="dxa"/>
            <w:tcBorders>
              <w:top w:val="single" w:sz="4" w:space="0" w:color="auto"/>
              <w:bottom w:val="nil"/>
            </w:tcBorders>
          </w:tcPr>
          <w:p w:rsidR="00902409" w:rsidRPr="00902409" w:rsidRDefault="00902409" w:rsidP="00902409">
            <w:pPr>
              <w:pStyle w:val="Tabletext"/>
            </w:pPr>
            <w:r w:rsidRPr="00902409">
              <w:t>Second</w:t>
            </w:r>
          </w:p>
        </w:tc>
        <w:tc>
          <w:tcPr>
            <w:tcW w:w="667" w:type="dxa"/>
            <w:tcBorders>
              <w:top w:val="single" w:sz="4" w:space="0" w:color="auto"/>
              <w:bottom w:val="nil"/>
            </w:tcBorders>
            <w:vAlign w:val="bottom"/>
          </w:tcPr>
          <w:p w:rsidR="00902409" w:rsidRPr="00902409" w:rsidRDefault="00902409" w:rsidP="00902409">
            <w:pPr>
              <w:pStyle w:val="Tabletext"/>
            </w:pPr>
            <w:r w:rsidRPr="00902409">
              <w:t>SIT</w:t>
            </w:r>
          </w:p>
        </w:tc>
        <w:tc>
          <w:tcPr>
            <w:tcW w:w="6627" w:type="dxa"/>
            <w:tcBorders>
              <w:top w:val="single" w:sz="4" w:space="0" w:color="auto"/>
              <w:bottom w:val="nil"/>
            </w:tcBorders>
            <w:vAlign w:val="bottom"/>
          </w:tcPr>
          <w:p w:rsidR="00902409" w:rsidRPr="00902409" w:rsidRDefault="00902409" w:rsidP="006C545E">
            <w:pPr>
              <w:pStyle w:val="Tabletext"/>
            </w:pPr>
            <w:r w:rsidRPr="00902409">
              <w:t>Tourism, Travel and Hospitality</w:t>
            </w:r>
          </w:p>
        </w:tc>
      </w:tr>
      <w:tr w:rsidR="00902409" w:rsidRPr="00902409" w:rsidTr="00902409">
        <w:tc>
          <w:tcPr>
            <w:tcW w:w="859" w:type="dxa"/>
            <w:tcBorders>
              <w:top w:val="nil"/>
            </w:tcBorders>
          </w:tcPr>
          <w:p w:rsidR="00902409" w:rsidRPr="00902409" w:rsidRDefault="00902409" w:rsidP="00902409">
            <w:pPr>
              <w:pStyle w:val="Tabletext"/>
            </w:pPr>
          </w:p>
        </w:tc>
        <w:tc>
          <w:tcPr>
            <w:tcW w:w="667" w:type="dxa"/>
            <w:tcBorders>
              <w:top w:val="nil"/>
            </w:tcBorders>
            <w:vAlign w:val="bottom"/>
          </w:tcPr>
          <w:p w:rsidR="00902409" w:rsidRPr="00902409" w:rsidRDefault="00902409" w:rsidP="00902409">
            <w:pPr>
              <w:pStyle w:val="Tabletext"/>
            </w:pPr>
            <w:r w:rsidRPr="00902409">
              <w:t>CPC</w:t>
            </w:r>
          </w:p>
        </w:tc>
        <w:tc>
          <w:tcPr>
            <w:tcW w:w="6627" w:type="dxa"/>
            <w:tcBorders>
              <w:top w:val="nil"/>
            </w:tcBorders>
            <w:vAlign w:val="bottom"/>
          </w:tcPr>
          <w:p w:rsidR="00902409" w:rsidRPr="00902409" w:rsidRDefault="00902409" w:rsidP="006C545E">
            <w:pPr>
              <w:pStyle w:val="Tabletext"/>
            </w:pPr>
            <w:r w:rsidRPr="00902409">
              <w:t>Construction, Plumbing and Services</w:t>
            </w:r>
          </w:p>
        </w:tc>
      </w:tr>
      <w:tr w:rsidR="00902409" w:rsidRPr="00902409" w:rsidTr="00902409">
        <w:tc>
          <w:tcPr>
            <w:tcW w:w="859" w:type="dxa"/>
          </w:tcPr>
          <w:p w:rsidR="00902409" w:rsidRPr="00902409" w:rsidRDefault="00902409" w:rsidP="00902409">
            <w:pPr>
              <w:pStyle w:val="Tabletext"/>
            </w:pPr>
          </w:p>
        </w:tc>
        <w:tc>
          <w:tcPr>
            <w:tcW w:w="667" w:type="dxa"/>
            <w:vAlign w:val="bottom"/>
          </w:tcPr>
          <w:p w:rsidR="00902409" w:rsidRPr="00902409" w:rsidRDefault="00902409" w:rsidP="00902409">
            <w:pPr>
              <w:pStyle w:val="Tabletext"/>
            </w:pPr>
            <w:r w:rsidRPr="00902409">
              <w:t>SIS</w:t>
            </w:r>
          </w:p>
        </w:tc>
        <w:tc>
          <w:tcPr>
            <w:tcW w:w="6627" w:type="dxa"/>
            <w:vAlign w:val="bottom"/>
          </w:tcPr>
          <w:p w:rsidR="00902409" w:rsidRPr="00902409" w:rsidRDefault="00902409" w:rsidP="006C545E">
            <w:pPr>
              <w:pStyle w:val="Tabletext"/>
            </w:pPr>
            <w:r w:rsidRPr="00902409">
              <w:t>Sport, Fitness and Recreation</w:t>
            </w:r>
          </w:p>
        </w:tc>
      </w:tr>
      <w:tr w:rsidR="00902409" w:rsidRPr="00902409" w:rsidTr="00902409">
        <w:tc>
          <w:tcPr>
            <w:tcW w:w="859" w:type="dxa"/>
            <w:tcBorders>
              <w:bottom w:val="single" w:sz="4" w:space="0" w:color="auto"/>
            </w:tcBorders>
          </w:tcPr>
          <w:p w:rsidR="00902409" w:rsidRPr="00902409" w:rsidRDefault="00902409" w:rsidP="00902409">
            <w:pPr>
              <w:pStyle w:val="Tabletext"/>
            </w:pPr>
          </w:p>
        </w:tc>
        <w:tc>
          <w:tcPr>
            <w:tcW w:w="667" w:type="dxa"/>
            <w:tcBorders>
              <w:bottom w:val="single" w:sz="4" w:space="0" w:color="auto"/>
            </w:tcBorders>
            <w:vAlign w:val="bottom"/>
          </w:tcPr>
          <w:p w:rsidR="00902409" w:rsidRPr="00902409" w:rsidRDefault="00902409" w:rsidP="00902409">
            <w:pPr>
              <w:pStyle w:val="Tabletext"/>
            </w:pPr>
            <w:r w:rsidRPr="00902409">
              <w:t>TLI</w:t>
            </w:r>
          </w:p>
        </w:tc>
        <w:tc>
          <w:tcPr>
            <w:tcW w:w="6627" w:type="dxa"/>
            <w:tcBorders>
              <w:bottom w:val="single" w:sz="4" w:space="0" w:color="auto"/>
            </w:tcBorders>
            <w:vAlign w:val="bottom"/>
          </w:tcPr>
          <w:p w:rsidR="00902409" w:rsidRPr="00902409" w:rsidRDefault="00902409" w:rsidP="006C545E">
            <w:pPr>
              <w:pStyle w:val="Tabletext"/>
            </w:pPr>
            <w:r w:rsidRPr="00902409">
              <w:t>Transport and Logistics</w:t>
            </w:r>
          </w:p>
        </w:tc>
      </w:tr>
      <w:tr w:rsidR="00902409" w:rsidRPr="00902409" w:rsidTr="00902409">
        <w:tc>
          <w:tcPr>
            <w:tcW w:w="859" w:type="dxa"/>
            <w:tcBorders>
              <w:top w:val="single" w:sz="4" w:space="0" w:color="auto"/>
              <w:bottom w:val="nil"/>
            </w:tcBorders>
          </w:tcPr>
          <w:p w:rsidR="00902409" w:rsidRPr="00902409" w:rsidRDefault="00902409" w:rsidP="00902409">
            <w:pPr>
              <w:pStyle w:val="Tabletext"/>
            </w:pPr>
            <w:r w:rsidRPr="00902409">
              <w:t>Third</w:t>
            </w:r>
          </w:p>
        </w:tc>
        <w:tc>
          <w:tcPr>
            <w:tcW w:w="667" w:type="dxa"/>
            <w:tcBorders>
              <w:top w:val="single" w:sz="4" w:space="0" w:color="auto"/>
              <w:bottom w:val="nil"/>
            </w:tcBorders>
            <w:vAlign w:val="bottom"/>
          </w:tcPr>
          <w:p w:rsidR="00902409" w:rsidRPr="00902409" w:rsidRDefault="00902409" w:rsidP="00902409">
            <w:pPr>
              <w:pStyle w:val="Tabletext"/>
            </w:pPr>
            <w:r w:rsidRPr="00902409">
              <w:t>HLT</w:t>
            </w:r>
          </w:p>
        </w:tc>
        <w:tc>
          <w:tcPr>
            <w:tcW w:w="6627" w:type="dxa"/>
            <w:tcBorders>
              <w:top w:val="single" w:sz="4" w:space="0" w:color="auto"/>
              <w:bottom w:val="nil"/>
            </w:tcBorders>
            <w:vAlign w:val="bottom"/>
          </w:tcPr>
          <w:p w:rsidR="00902409" w:rsidRPr="00902409" w:rsidRDefault="00902409" w:rsidP="00902409">
            <w:pPr>
              <w:pStyle w:val="Tabletext"/>
            </w:pPr>
            <w:r w:rsidRPr="00902409">
              <w:t>Health</w:t>
            </w:r>
          </w:p>
        </w:tc>
      </w:tr>
      <w:tr w:rsidR="00902409" w:rsidRPr="00902409" w:rsidTr="00902409">
        <w:tc>
          <w:tcPr>
            <w:tcW w:w="859" w:type="dxa"/>
            <w:tcBorders>
              <w:top w:val="nil"/>
            </w:tcBorders>
          </w:tcPr>
          <w:p w:rsidR="00902409" w:rsidRPr="00902409" w:rsidRDefault="00902409" w:rsidP="00902409">
            <w:pPr>
              <w:pStyle w:val="Tabletext"/>
            </w:pPr>
          </w:p>
        </w:tc>
        <w:tc>
          <w:tcPr>
            <w:tcW w:w="667" w:type="dxa"/>
            <w:tcBorders>
              <w:top w:val="nil"/>
            </w:tcBorders>
            <w:vAlign w:val="bottom"/>
          </w:tcPr>
          <w:p w:rsidR="00902409" w:rsidRPr="00902409" w:rsidRDefault="00902409" w:rsidP="00902409">
            <w:pPr>
              <w:pStyle w:val="Tabletext"/>
            </w:pPr>
            <w:r w:rsidRPr="00902409">
              <w:t>RII</w:t>
            </w:r>
          </w:p>
        </w:tc>
        <w:tc>
          <w:tcPr>
            <w:tcW w:w="6627" w:type="dxa"/>
            <w:tcBorders>
              <w:top w:val="nil"/>
            </w:tcBorders>
            <w:vAlign w:val="bottom"/>
          </w:tcPr>
          <w:p w:rsidR="00902409" w:rsidRPr="00902409" w:rsidRDefault="00902409" w:rsidP="006C545E">
            <w:pPr>
              <w:pStyle w:val="Tabletext"/>
            </w:pPr>
            <w:r w:rsidRPr="00902409">
              <w:t>Resources and Infrastructure Industry</w:t>
            </w:r>
          </w:p>
        </w:tc>
      </w:tr>
      <w:tr w:rsidR="00902409" w:rsidRPr="00902409" w:rsidTr="00902409">
        <w:tc>
          <w:tcPr>
            <w:tcW w:w="859" w:type="dxa"/>
          </w:tcPr>
          <w:p w:rsidR="00902409" w:rsidRPr="00902409" w:rsidRDefault="00902409" w:rsidP="00902409">
            <w:pPr>
              <w:pStyle w:val="Tabletext"/>
            </w:pPr>
          </w:p>
        </w:tc>
        <w:tc>
          <w:tcPr>
            <w:tcW w:w="667" w:type="dxa"/>
            <w:vAlign w:val="bottom"/>
          </w:tcPr>
          <w:p w:rsidR="00902409" w:rsidRPr="00902409" w:rsidRDefault="00902409" w:rsidP="00902409">
            <w:pPr>
              <w:pStyle w:val="Tabletext"/>
            </w:pPr>
            <w:r w:rsidRPr="00902409">
              <w:t>FNS</w:t>
            </w:r>
          </w:p>
        </w:tc>
        <w:tc>
          <w:tcPr>
            <w:tcW w:w="6627" w:type="dxa"/>
            <w:vAlign w:val="bottom"/>
          </w:tcPr>
          <w:p w:rsidR="00902409" w:rsidRPr="00902409" w:rsidRDefault="00902409" w:rsidP="006C545E">
            <w:pPr>
              <w:pStyle w:val="Tabletext"/>
            </w:pPr>
            <w:r w:rsidRPr="00902409">
              <w:t>Financial Services</w:t>
            </w:r>
          </w:p>
        </w:tc>
      </w:tr>
      <w:tr w:rsidR="00902409" w:rsidRPr="00902409" w:rsidTr="00902409">
        <w:tc>
          <w:tcPr>
            <w:tcW w:w="859" w:type="dxa"/>
          </w:tcPr>
          <w:p w:rsidR="00902409" w:rsidRPr="00902409" w:rsidRDefault="00902409" w:rsidP="00902409">
            <w:pPr>
              <w:pStyle w:val="Tabletext"/>
            </w:pPr>
          </w:p>
        </w:tc>
        <w:tc>
          <w:tcPr>
            <w:tcW w:w="667" w:type="dxa"/>
            <w:vAlign w:val="bottom"/>
          </w:tcPr>
          <w:p w:rsidR="00902409" w:rsidRPr="00902409" w:rsidRDefault="00902409" w:rsidP="00902409">
            <w:pPr>
              <w:pStyle w:val="Tabletext"/>
            </w:pPr>
            <w:r w:rsidRPr="00902409">
              <w:t>ICT</w:t>
            </w:r>
          </w:p>
        </w:tc>
        <w:tc>
          <w:tcPr>
            <w:tcW w:w="6627" w:type="dxa"/>
            <w:vAlign w:val="bottom"/>
          </w:tcPr>
          <w:p w:rsidR="00902409" w:rsidRPr="00902409" w:rsidRDefault="00902409" w:rsidP="00902409">
            <w:pPr>
              <w:pStyle w:val="Tabletext"/>
            </w:pPr>
            <w:r w:rsidRPr="00902409">
              <w:t>Information and Communications Technology</w:t>
            </w:r>
          </w:p>
        </w:tc>
      </w:tr>
      <w:tr w:rsidR="00902409" w:rsidRPr="00902409" w:rsidTr="00902409">
        <w:tc>
          <w:tcPr>
            <w:tcW w:w="859" w:type="dxa"/>
          </w:tcPr>
          <w:p w:rsidR="00902409" w:rsidRPr="00902409" w:rsidRDefault="00902409" w:rsidP="00902409">
            <w:pPr>
              <w:pStyle w:val="Tabletext"/>
            </w:pPr>
          </w:p>
        </w:tc>
        <w:tc>
          <w:tcPr>
            <w:tcW w:w="667" w:type="dxa"/>
            <w:vAlign w:val="bottom"/>
          </w:tcPr>
          <w:p w:rsidR="00902409" w:rsidRPr="00902409" w:rsidRDefault="00902409" w:rsidP="00902409">
            <w:pPr>
              <w:pStyle w:val="Tabletext"/>
            </w:pPr>
            <w:r w:rsidRPr="00902409">
              <w:t>CPP</w:t>
            </w:r>
          </w:p>
        </w:tc>
        <w:tc>
          <w:tcPr>
            <w:tcW w:w="6627" w:type="dxa"/>
            <w:vAlign w:val="bottom"/>
          </w:tcPr>
          <w:p w:rsidR="00902409" w:rsidRPr="00902409" w:rsidRDefault="00902409" w:rsidP="006C545E">
            <w:pPr>
              <w:pStyle w:val="Tabletext"/>
            </w:pPr>
            <w:r w:rsidRPr="00902409">
              <w:t>Property Services</w:t>
            </w:r>
          </w:p>
        </w:tc>
      </w:tr>
      <w:tr w:rsidR="00902409" w:rsidRPr="00902409" w:rsidTr="00902409">
        <w:tc>
          <w:tcPr>
            <w:tcW w:w="859" w:type="dxa"/>
          </w:tcPr>
          <w:p w:rsidR="00902409" w:rsidRPr="00902409" w:rsidRDefault="00902409" w:rsidP="00902409">
            <w:pPr>
              <w:pStyle w:val="Tabletext"/>
            </w:pPr>
          </w:p>
        </w:tc>
        <w:tc>
          <w:tcPr>
            <w:tcW w:w="667" w:type="dxa"/>
            <w:vAlign w:val="bottom"/>
          </w:tcPr>
          <w:p w:rsidR="00902409" w:rsidRPr="00902409" w:rsidRDefault="00902409" w:rsidP="00902409">
            <w:pPr>
              <w:pStyle w:val="Tabletext"/>
            </w:pPr>
            <w:r w:rsidRPr="00902409">
              <w:t>AHC</w:t>
            </w:r>
          </w:p>
        </w:tc>
        <w:tc>
          <w:tcPr>
            <w:tcW w:w="6627" w:type="dxa"/>
            <w:vAlign w:val="bottom"/>
          </w:tcPr>
          <w:p w:rsidR="00902409" w:rsidRPr="00902409" w:rsidRDefault="00902409" w:rsidP="006C545E">
            <w:pPr>
              <w:pStyle w:val="Tabletext"/>
            </w:pPr>
            <w:r w:rsidRPr="00902409">
              <w:t>Agriculture, Horticulture and Conservation and Land Management</w:t>
            </w:r>
          </w:p>
        </w:tc>
      </w:tr>
      <w:tr w:rsidR="00902409" w:rsidRPr="00902409" w:rsidTr="00902409">
        <w:tc>
          <w:tcPr>
            <w:tcW w:w="859" w:type="dxa"/>
          </w:tcPr>
          <w:p w:rsidR="00902409" w:rsidRPr="00902409" w:rsidRDefault="00902409" w:rsidP="00902409">
            <w:pPr>
              <w:pStyle w:val="Tabletext"/>
            </w:pPr>
          </w:p>
        </w:tc>
        <w:tc>
          <w:tcPr>
            <w:tcW w:w="667" w:type="dxa"/>
            <w:vAlign w:val="bottom"/>
          </w:tcPr>
          <w:p w:rsidR="00902409" w:rsidRPr="00902409" w:rsidRDefault="00902409" w:rsidP="00902409">
            <w:pPr>
              <w:pStyle w:val="Tabletext"/>
            </w:pPr>
            <w:r w:rsidRPr="00902409">
              <w:t>TAE</w:t>
            </w:r>
          </w:p>
        </w:tc>
        <w:tc>
          <w:tcPr>
            <w:tcW w:w="6627" w:type="dxa"/>
            <w:vAlign w:val="bottom"/>
          </w:tcPr>
          <w:p w:rsidR="00902409" w:rsidRPr="00902409" w:rsidRDefault="00902409" w:rsidP="006C545E">
            <w:pPr>
              <w:pStyle w:val="Tabletext"/>
            </w:pPr>
            <w:r w:rsidRPr="00902409">
              <w:t>Training and Education</w:t>
            </w:r>
          </w:p>
        </w:tc>
      </w:tr>
      <w:tr w:rsidR="00902409" w:rsidRPr="00902409" w:rsidTr="00902409">
        <w:tc>
          <w:tcPr>
            <w:tcW w:w="859" w:type="dxa"/>
          </w:tcPr>
          <w:p w:rsidR="00902409" w:rsidRPr="00902409" w:rsidRDefault="00902409" w:rsidP="00902409">
            <w:pPr>
              <w:pStyle w:val="Tabletext"/>
            </w:pPr>
          </w:p>
        </w:tc>
        <w:tc>
          <w:tcPr>
            <w:tcW w:w="667" w:type="dxa"/>
            <w:vAlign w:val="bottom"/>
          </w:tcPr>
          <w:p w:rsidR="00902409" w:rsidRPr="00902409" w:rsidRDefault="00902409" w:rsidP="00902409">
            <w:pPr>
              <w:pStyle w:val="Tabletext"/>
            </w:pPr>
            <w:r w:rsidRPr="00902409">
              <w:t>MEM</w:t>
            </w:r>
          </w:p>
        </w:tc>
        <w:tc>
          <w:tcPr>
            <w:tcW w:w="6627" w:type="dxa"/>
            <w:vAlign w:val="bottom"/>
          </w:tcPr>
          <w:p w:rsidR="00902409" w:rsidRPr="00902409" w:rsidRDefault="00902409" w:rsidP="00902409">
            <w:pPr>
              <w:pStyle w:val="Tabletext"/>
            </w:pPr>
            <w:r w:rsidRPr="00902409">
              <w:t>Manufacturing and Engineering</w:t>
            </w:r>
          </w:p>
        </w:tc>
      </w:tr>
    </w:tbl>
    <w:p w:rsidR="00C248EB" w:rsidRDefault="001D4BE1" w:rsidP="004A7C3D">
      <w:pPr>
        <w:pStyle w:val="Source"/>
      </w:pPr>
      <w:r>
        <w:t xml:space="preserve">Note: </w:t>
      </w:r>
      <w:r w:rsidR="00103A31">
        <w:tab/>
      </w:r>
      <w:r>
        <w:t>T</w:t>
      </w:r>
      <w:r w:rsidR="00C248EB">
        <w:t>he largest two training packages account for around 30% of enrolments.</w:t>
      </w:r>
    </w:p>
    <w:p w:rsidR="004A7C3D" w:rsidRDefault="004A7C3D" w:rsidP="004A7C3D">
      <w:pPr>
        <w:pStyle w:val="Source"/>
      </w:pPr>
      <w:r>
        <w:t xml:space="preserve">Source: </w:t>
      </w:r>
      <w:r w:rsidR="006C545E">
        <w:tab/>
      </w:r>
      <w:r w:rsidR="00103A31">
        <w:t>A</w:t>
      </w:r>
      <w:r w:rsidR="00390066">
        <w:t>uthors’ analysis based on data request from Australian Department of Education and Training and NCVER collections</w:t>
      </w:r>
      <w:r w:rsidR="00D27E4C">
        <w:t>.</w:t>
      </w:r>
    </w:p>
    <w:p w:rsidR="00D66ECA" w:rsidRDefault="00D66ECA">
      <w:pPr>
        <w:rPr>
          <w:rFonts w:ascii="Tahoma" w:hAnsi="Tahoma"/>
          <w:b/>
          <w:sz w:val="17"/>
        </w:rPr>
      </w:pPr>
    </w:p>
    <w:p w:rsidR="001C1DC4" w:rsidRDefault="00B837CE" w:rsidP="008F6594">
      <w:pPr>
        <w:pStyle w:val="Text"/>
      </w:pPr>
      <w:r>
        <w:t>At</w:t>
      </w:r>
      <w:r w:rsidR="00A7040A">
        <w:t xml:space="preserve"> the o</w:t>
      </w:r>
      <w:r w:rsidR="007A2E10">
        <w:t xml:space="preserve">ther end of the scale, </w:t>
      </w:r>
      <w:r w:rsidR="00E537CC">
        <w:t xml:space="preserve">26 packages </w:t>
      </w:r>
      <w:r w:rsidR="007A2E10">
        <w:t xml:space="preserve">had </w:t>
      </w:r>
      <w:r w:rsidR="00E537CC">
        <w:t xml:space="preserve">fewer than 1000 enrolments and </w:t>
      </w:r>
      <w:r w:rsidR="00A7040A">
        <w:t xml:space="preserve">19 packages </w:t>
      </w:r>
      <w:r w:rsidR="007A2E10">
        <w:t>had</w:t>
      </w:r>
      <w:r w:rsidR="00A7040A">
        <w:t xml:space="preserve"> fewer than 100 enrolments.</w:t>
      </w:r>
    </w:p>
    <w:p w:rsidR="00657BF5" w:rsidRDefault="001C1DC4" w:rsidP="008F6594">
      <w:pPr>
        <w:pStyle w:val="Text"/>
      </w:pPr>
      <w:r>
        <w:t xml:space="preserve">While some consolidation of the training packages might be desired, </w:t>
      </w:r>
      <w:r w:rsidR="000F0E3F">
        <w:t xml:space="preserve">it would be more difficult </w:t>
      </w:r>
      <w:r>
        <w:t>tha</w:t>
      </w:r>
      <w:r w:rsidR="007A2E10">
        <w:t xml:space="preserve">n consolidating qualifications. </w:t>
      </w:r>
      <w:r>
        <w:t xml:space="preserve">Training packages </w:t>
      </w:r>
      <w:r w:rsidR="00F711E7">
        <w:rPr>
          <w:noProof/>
          <w:lang w:eastAsia="en-AU"/>
        </w:rPr>
        <mc:AlternateContent>
          <mc:Choice Requires="wps">
            <w:drawing>
              <wp:anchor distT="0" distB="0" distL="114300" distR="114300" simplePos="0" relativeHeight="252048384" behindDoc="0" locked="1" layoutInCell="1" allowOverlap="1" wp14:anchorId="2B302F5B" wp14:editId="7295706D">
                <wp:simplePos x="0" y="0"/>
                <wp:positionH relativeFrom="outsideMargin">
                  <wp:posOffset>241300</wp:posOffset>
                </wp:positionH>
                <wp:positionV relativeFrom="page">
                  <wp:posOffset>781050</wp:posOffset>
                </wp:positionV>
                <wp:extent cx="1228725" cy="1895475"/>
                <wp:effectExtent l="0" t="0" r="0" b="0"/>
                <wp:wrapNone/>
                <wp:docPr id="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18954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83E4B" w:rsidRPr="00543BFF" w:rsidRDefault="00883E4B" w:rsidP="00F711E7">
                            <w:pPr>
                              <w:pStyle w:val="PullQuote"/>
                            </w:pPr>
                            <w:r>
                              <w:t>The Business Services and Community Services training packages had the most enrolments in 2015 (around 30% of all enrolments).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9pt;margin-top:61.5pt;width:96.75pt;height:149.25pt;z-index:2520483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" filled="f" stroked="f" strokeweight=".5pt">
                <v:shadow on="t" type="perspective" color="black" opacity="9830f" origin=",.5" offset="0,25pt" matrix="58982f,,,-12452f"/>
                <v:path arrowok="t"/>
                <v:textbox inset="10mm">
                  <w:txbxContent>
                    <w:p w:rsidR="00883E4B" w:rsidRPr="00543BFF" w:rsidRDefault="00883E4B" w:rsidP="00F711E7">
                      <w:pPr>
                        <w:pStyle w:val="PullQuote"/>
                      </w:pPr>
                      <w:r>
                        <w:t>The Business Services and Community Services training packages had the most enrolments in 2015 (around 30% of all enrolments).</w:t>
                      </w:r>
                    </w:p>
                  </w:txbxContent>
                </v:textbox>
                <w10:wrap anchorx="margin" anchory="page"/>
                <w10:anchorlock/>
              </v:shape>
            </w:pict>
          </mc:Fallback>
        </mc:AlternateContent>
      </w:r>
      <w:r>
        <w:t xml:space="preserve">are </w:t>
      </w:r>
      <w:r w:rsidR="00E537CC">
        <w:t xml:space="preserve">closely </w:t>
      </w:r>
      <w:r>
        <w:t xml:space="preserve">linked to </w:t>
      </w:r>
      <w:r w:rsidR="00E537CC">
        <w:t xml:space="preserve">defined </w:t>
      </w:r>
      <w:r>
        <w:t xml:space="preserve">industries and </w:t>
      </w:r>
      <w:r w:rsidR="00DD0DF8">
        <w:t xml:space="preserve">the training packages </w:t>
      </w:r>
      <w:r>
        <w:t>rely on the involvement and feedback of th</w:t>
      </w:r>
      <w:r w:rsidR="007A2E10">
        <w:t xml:space="preserve">eir respective </w:t>
      </w:r>
      <w:r>
        <w:t xml:space="preserve">industries </w:t>
      </w:r>
      <w:r w:rsidR="00657BF5">
        <w:t>t</w:t>
      </w:r>
      <w:r w:rsidR="008629D1">
        <w:t xml:space="preserve">o determine and develop the available </w:t>
      </w:r>
      <w:r w:rsidR="00657BF5">
        <w:t xml:space="preserve">training products (qualifications, </w:t>
      </w:r>
      <w:r w:rsidR="0054258A">
        <w:t>skill set</w:t>
      </w:r>
      <w:r w:rsidR="00266B4C">
        <w:t>s</w:t>
      </w:r>
      <w:r w:rsidR="00657BF5">
        <w:t xml:space="preserve"> and units of competency).</w:t>
      </w:r>
    </w:p>
    <w:p w:rsidR="00DD77E2" w:rsidRDefault="001C1DC4" w:rsidP="008F6594">
      <w:pPr>
        <w:pStyle w:val="Text"/>
      </w:pPr>
      <w:r>
        <w:t>Any changes to the system would have to ensure that these industries still had a</w:t>
      </w:r>
      <w:r w:rsidR="00390066">
        <w:t xml:space="preserve">n adequate voice and were </w:t>
      </w:r>
      <w:r w:rsidR="00E537CC">
        <w:t xml:space="preserve">appropriately </w:t>
      </w:r>
      <w:r w:rsidR="007A2E10">
        <w:t>accommodated</w:t>
      </w:r>
      <w:r>
        <w:t xml:space="preserve"> by the qualifications on offer. It may be more effective to consolidate some of the common or similar units of training between packages, as proposed in the agreed reforms.</w:t>
      </w:r>
    </w:p>
    <w:p w:rsidR="00DD77E2" w:rsidRDefault="00DD77E2">
      <w:pPr>
        <w:rPr>
          <w:rFonts w:ascii="Trebuchet MS" w:eastAsia="Times New Roman" w:hAnsi="Trebuchet MS" w:cs="Times New Roman"/>
          <w:sz w:val="19"/>
          <w:szCs w:val="20"/>
        </w:rPr>
      </w:pPr>
      <w:r>
        <w:br w:type="page"/>
      </w:r>
    </w:p>
    <w:p w:rsidR="00706C43" w:rsidRDefault="00510A67" w:rsidP="00510A67">
      <w:pPr>
        <w:pStyle w:val="Heading1"/>
        <w:ind w:left="720"/>
      </w:pPr>
      <w:bookmarkStart w:id="59" w:name="_Toc465162158"/>
      <w:r w:rsidRPr="00510A67">
        <w:rPr>
          <w:noProof/>
          <w:lang w:eastAsia="en-AU"/>
        </w:rPr>
        <w:lastRenderedPageBreak/>
        <w:drawing>
          <wp:anchor distT="0" distB="0" distL="114300" distR="114300" simplePos="0" relativeHeight="252021760" behindDoc="1" locked="0" layoutInCell="1" allowOverlap="1" wp14:anchorId="024CCFC6" wp14:editId="57CB825F">
            <wp:simplePos x="0" y="0"/>
            <wp:positionH relativeFrom="column">
              <wp:posOffset>-29845</wp:posOffset>
            </wp:positionH>
            <wp:positionV relativeFrom="paragraph">
              <wp:posOffset>-21590</wp:posOffset>
            </wp:positionV>
            <wp:extent cx="423545" cy="445770"/>
            <wp:effectExtent l="0" t="0" r="0" b="0"/>
            <wp:wrapTight wrapText="bothSides">
              <wp:wrapPolygon edited="0">
                <wp:start x="4858" y="0"/>
                <wp:lineTo x="0" y="5538"/>
                <wp:lineTo x="0" y="12000"/>
                <wp:lineTo x="972" y="15692"/>
                <wp:lineTo x="3886" y="20308"/>
                <wp:lineTo x="15544" y="20308"/>
                <wp:lineTo x="19430" y="15692"/>
                <wp:lineTo x="20402" y="10154"/>
                <wp:lineTo x="20402" y="5538"/>
                <wp:lineTo x="15544" y="0"/>
                <wp:lineTo x="4858"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TargetWithArrowFindings_CorpBlue.em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2354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C43">
        <w:t xml:space="preserve">Identifying </w:t>
      </w:r>
      <w:r w:rsidR="0054258A">
        <w:t>qualifications with zero enrolments</w:t>
      </w:r>
      <w:bookmarkEnd w:id="59"/>
      <w:r w:rsidR="00706C43">
        <w:t xml:space="preserve"> </w:t>
      </w:r>
    </w:p>
    <w:p w:rsidR="001A6414" w:rsidRDefault="00706C43" w:rsidP="00706C43">
      <w:pPr>
        <w:pStyle w:val="Text"/>
      </w:pPr>
      <w:r>
        <w:t xml:space="preserve">The </w:t>
      </w:r>
      <w:r w:rsidR="00D62112">
        <w:t xml:space="preserve">Review of </w:t>
      </w:r>
      <w:r>
        <w:t>Training Package</w:t>
      </w:r>
      <w:r w:rsidR="00D27E4C">
        <w:t>s</w:t>
      </w:r>
      <w:r>
        <w:t xml:space="preserve"> </w:t>
      </w:r>
      <w:r w:rsidR="00D62112">
        <w:t xml:space="preserve">and Accredited Courses of </w:t>
      </w:r>
      <w:r w:rsidR="00D62112" w:rsidRPr="00D27E4C">
        <w:t>2014</w:t>
      </w:r>
      <w:r w:rsidR="007A2E10">
        <w:t xml:space="preserve"> (Department of Industry 2014)</w:t>
      </w:r>
      <w:r w:rsidR="00D62112" w:rsidRPr="00D27E4C">
        <w:t xml:space="preserve"> </w:t>
      </w:r>
      <w:r w:rsidRPr="00D27E4C">
        <w:t>recommended</w:t>
      </w:r>
      <w:r>
        <w:t xml:space="preserve"> </w:t>
      </w:r>
      <w:r w:rsidR="00D62112">
        <w:t>‘</w:t>
      </w:r>
      <w:r w:rsidR="00D62112" w:rsidRPr="00D62112">
        <w:t>removing obsolete and superfluous quali</w:t>
      </w:r>
      <w:r w:rsidR="00F711E7">
        <w:rPr>
          <w:noProof/>
          <w:lang w:eastAsia="en-AU"/>
        </w:rPr>
        <mc:AlternateContent>
          <mc:Choice Requires="wps">
            <w:drawing>
              <wp:anchor distT="0" distB="0" distL="114300" distR="114300" simplePos="0" relativeHeight="252050432" behindDoc="0" locked="1" layoutInCell="1" allowOverlap="1" wp14:anchorId="64E325EE" wp14:editId="7932FC7D">
                <wp:simplePos x="0" y="0"/>
                <wp:positionH relativeFrom="outsideMargin">
                  <wp:posOffset>171450</wp:posOffset>
                </wp:positionH>
                <wp:positionV relativeFrom="page">
                  <wp:posOffset>771525</wp:posOffset>
                </wp:positionV>
                <wp:extent cx="1320800" cy="1895475"/>
                <wp:effectExtent l="0" t="0" r="0" b="0"/>
                <wp:wrapNone/>
                <wp:docPr id="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8954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83E4B" w:rsidRPr="00543BFF" w:rsidRDefault="00883E4B" w:rsidP="00F711E7">
                            <w:pPr>
                              <w:pStyle w:val="PullQuote"/>
                            </w:pPr>
                            <w:r>
                              <w:t xml:space="preserve">There were 283 qualifications which had no enrolments over two years </w:t>
                            </w:r>
                            <w:r>
                              <w:br/>
                              <w:t>(2014-15).</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3.5pt;margin-top:60.75pt;width:104pt;height:149.25pt;z-index:2520504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" filled="f" stroked="f" strokeweight=".5pt">
                <v:shadow on="t" type="perspective" color="black" opacity="9830f" origin=",.5" offset="0,25pt" matrix="58982f,,,-12452f"/>
                <v:path arrowok="t"/>
                <v:textbox inset="10mm">
                  <w:txbxContent>
                    <w:p w:rsidR="00883E4B" w:rsidRPr="00543BFF" w:rsidRDefault="00883E4B" w:rsidP="00F711E7">
                      <w:pPr>
                        <w:pStyle w:val="PullQuote"/>
                      </w:pPr>
                      <w:r>
                        <w:t xml:space="preserve">There were 283 qualifications which had no enrolments over two years </w:t>
                      </w:r>
                      <w:r>
                        <w:br/>
                        <w:t>(2014-15).</w:t>
                      </w:r>
                    </w:p>
                  </w:txbxContent>
                </v:textbox>
                <w10:wrap anchorx="margin" anchory="page"/>
                <w10:anchorlock/>
              </v:shape>
            </w:pict>
          </mc:Fallback>
        </mc:AlternateContent>
      </w:r>
      <w:r w:rsidR="00D62112" w:rsidRPr="00D62112">
        <w:t>fications from the training system to make it easier for consumers to find the training relevant to their needs</w:t>
      </w:r>
      <w:r w:rsidR="00D62112">
        <w:t>’.</w:t>
      </w:r>
      <w:r w:rsidR="007A2E10">
        <w:t xml:space="preserve"> </w:t>
      </w:r>
      <w:r w:rsidR="000F0E3F">
        <w:t xml:space="preserve">To assist in the identification of those that may be deemed obsolete and </w:t>
      </w:r>
      <w:proofErr w:type="gramStart"/>
      <w:r w:rsidR="000F0E3F">
        <w:t>superfluous,</w:t>
      </w:r>
      <w:proofErr w:type="gramEnd"/>
      <w:r w:rsidR="000F0E3F">
        <w:t xml:space="preserve"> t</w:t>
      </w:r>
      <w:r w:rsidR="001A6414">
        <w:t xml:space="preserve">his section examines the extent and nature of </w:t>
      </w:r>
      <w:r w:rsidR="0054258A">
        <w:t>qualifications with zero enrolments</w:t>
      </w:r>
      <w:r w:rsidR="00040B29">
        <w:t>.</w:t>
      </w:r>
    </w:p>
    <w:p w:rsidR="00706C43" w:rsidRPr="001D4139" w:rsidRDefault="00706C43" w:rsidP="00D57651">
      <w:pPr>
        <w:pStyle w:val="Text"/>
      </w:pPr>
      <w:r>
        <w:t xml:space="preserve">In turning our attention more closely to </w:t>
      </w:r>
      <w:r w:rsidR="00FA6BA2">
        <w:t>this issue</w:t>
      </w:r>
      <w:r w:rsidR="00545D87">
        <w:t>,</w:t>
      </w:r>
      <w:r>
        <w:t xml:space="preserve"> we note </w:t>
      </w:r>
      <w:r w:rsidR="007A2E10">
        <w:t>the approaches taken by</w:t>
      </w:r>
      <w:r>
        <w:t xml:space="preserve"> other VET systems </w:t>
      </w:r>
      <w:r w:rsidR="00545D87">
        <w:t>in</w:t>
      </w:r>
      <w:r w:rsidR="007A2E10">
        <w:t xml:space="preserve"> address</w:t>
      </w:r>
      <w:r w:rsidR="00545D87">
        <w:t>ing this</w:t>
      </w:r>
      <w:r>
        <w:t xml:space="preserve"> </w:t>
      </w:r>
      <w:r w:rsidR="00FA6BA2">
        <w:t>question</w:t>
      </w:r>
      <w:r>
        <w:t xml:space="preserve">. </w:t>
      </w:r>
      <w:r w:rsidR="00D57651">
        <w:t xml:space="preserve">For example, the New Zealand Qualifications Authority, the Scottish Qualifications Authority, and the Skills Funding Agency of the Department of Business, Innovation </w:t>
      </w:r>
      <w:r w:rsidR="007A2E10">
        <w:t>and</w:t>
      </w:r>
      <w:r w:rsidR="00D57651">
        <w:t xml:space="preserve"> Skills (2014) of the United Kingdom have </w:t>
      </w:r>
      <w:r w:rsidR="009F6993">
        <w:t xml:space="preserve">implemented a process </w:t>
      </w:r>
      <w:r w:rsidR="00D57651">
        <w:t xml:space="preserve">to flag qualifications </w:t>
      </w:r>
      <w:r w:rsidR="000F0E3F">
        <w:t>receiving</w:t>
      </w:r>
      <w:r w:rsidR="00D57651">
        <w:t xml:space="preserve"> no enrolments for a period of two years</w:t>
      </w:r>
      <w:r w:rsidR="00BC22E1">
        <w:t>, the aim being</w:t>
      </w:r>
      <w:r w:rsidR="00D57651">
        <w:t xml:space="preserve"> to identify those that </w:t>
      </w:r>
      <w:r w:rsidR="000F0E3F">
        <w:t>could</w:t>
      </w:r>
      <w:r w:rsidR="00D57651">
        <w:t xml:space="preserve"> b</w:t>
      </w:r>
      <w:r w:rsidR="007A2E10">
        <w:t>e removed from the system (see the appendix</w:t>
      </w:r>
      <w:r w:rsidR="00D57651">
        <w:t>).</w:t>
      </w:r>
      <w:r w:rsidR="00D57651">
        <w:rPr>
          <w:rStyle w:val="FootnoteReference"/>
        </w:rPr>
        <w:footnoteReference w:id="4"/>
      </w:r>
      <w:r w:rsidR="00D57651">
        <w:t xml:space="preserve"> Once these qualifications have been identified, a systematic consultation process with key stakeholders </w:t>
      </w:r>
      <w:r w:rsidR="00BC22E1">
        <w:t>occurs</w:t>
      </w:r>
      <w:r w:rsidR="00D57651">
        <w:t xml:space="preserve"> to make final decisions about the qualifications </w:t>
      </w:r>
      <w:r w:rsidR="00BC22E1">
        <w:t>flagged</w:t>
      </w:r>
      <w:r w:rsidR="00D57651">
        <w:t xml:space="preserve"> for removal.</w:t>
      </w:r>
      <w:r w:rsidRPr="001D4139">
        <w:t xml:space="preserve"> </w:t>
      </w:r>
    </w:p>
    <w:p w:rsidR="001A6414" w:rsidRDefault="001A6414" w:rsidP="001A6414">
      <w:pPr>
        <w:pStyle w:val="Heading2"/>
      </w:pPr>
      <w:bookmarkStart w:id="60" w:name="_Toc465162159"/>
      <w:r>
        <w:t>Qualifications with zero enrolments</w:t>
      </w:r>
      <w:bookmarkEnd w:id="60"/>
    </w:p>
    <w:p w:rsidR="001A6414" w:rsidRPr="00103A31" w:rsidRDefault="00545D87" w:rsidP="008F5F18">
      <w:pPr>
        <w:pStyle w:val="Text"/>
        <w:rPr>
          <w:spacing w:val="-2"/>
        </w:rPr>
      </w:pPr>
      <w:r w:rsidRPr="00103A31">
        <w:rPr>
          <w:spacing w:val="-2"/>
        </w:rPr>
        <w:t>In 2015</w:t>
      </w:r>
      <w:r w:rsidR="000F0E3F" w:rsidRPr="00103A31">
        <w:rPr>
          <w:spacing w:val="-2"/>
        </w:rPr>
        <w:t>,</w:t>
      </w:r>
      <w:r w:rsidR="008F5F18" w:rsidRPr="00103A31">
        <w:rPr>
          <w:spacing w:val="-2"/>
        </w:rPr>
        <w:t xml:space="preserve"> 336 qualifications </w:t>
      </w:r>
      <w:r w:rsidRPr="00103A31">
        <w:rPr>
          <w:spacing w:val="-2"/>
        </w:rPr>
        <w:t>had</w:t>
      </w:r>
      <w:r w:rsidR="008F5F18" w:rsidRPr="00103A31">
        <w:rPr>
          <w:spacing w:val="-2"/>
        </w:rPr>
        <w:t xml:space="preserve"> no recorded enrolments, even after taking into account any enrolments in qualifications they supersede. </w:t>
      </w:r>
      <w:r w:rsidR="00563711" w:rsidRPr="00103A31">
        <w:rPr>
          <w:spacing w:val="-2"/>
        </w:rPr>
        <w:t>There are a number of p</w:t>
      </w:r>
      <w:r w:rsidR="008F5F18" w:rsidRPr="00103A31">
        <w:rPr>
          <w:spacing w:val="-2"/>
        </w:rPr>
        <w:t>ossible reasons for this</w:t>
      </w:r>
      <w:r w:rsidR="00563711" w:rsidRPr="00103A31">
        <w:rPr>
          <w:spacing w:val="-2"/>
        </w:rPr>
        <w:t>.</w:t>
      </w:r>
      <w:r w:rsidR="00932F20" w:rsidRPr="00103A31">
        <w:rPr>
          <w:spacing w:val="-2"/>
        </w:rPr>
        <w:t xml:space="preserve"> </w:t>
      </w:r>
    </w:p>
    <w:p w:rsidR="008F5F18" w:rsidRPr="00103A31" w:rsidRDefault="008629D1" w:rsidP="001A6414">
      <w:pPr>
        <w:pStyle w:val="Text"/>
        <w:rPr>
          <w:spacing w:val="-2"/>
        </w:rPr>
      </w:pPr>
      <w:r>
        <w:rPr>
          <w:spacing w:val="-2"/>
        </w:rPr>
        <w:t>In part, i</w:t>
      </w:r>
      <w:r w:rsidR="00563711" w:rsidRPr="00103A31">
        <w:rPr>
          <w:spacing w:val="-2"/>
        </w:rPr>
        <w:t>t</w:t>
      </w:r>
      <w:r w:rsidR="008F5F18" w:rsidRPr="00103A31">
        <w:rPr>
          <w:spacing w:val="-2"/>
        </w:rPr>
        <w:t xml:space="preserve"> could be that these are new qualifications (not directly related to previous qualifications)</w:t>
      </w:r>
      <w:r w:rsidR="00BC22E1" w:rsidRPr="00103A31">
        <w:rPr>
          <w:spacing w:val="-2"/>
        </w:rPr>
        <w:t>; a</w:t>
      </w:r>
      <w:r w:rsidR="00196C5B" w:rsidRPr="00103A31">
        <w:rPr>
          <w:spacing w:val="-2"/>
        </w:rPr>
        <w:t>lternative</w:t>
      </w:r>
      <w:r w:rsidR="00040B29" w:rsidRPr="00103A31">
        <w:rPr>
          <w:spacing w:val="-2"/>
        </w:rPr>
        <w:t>ly</w:t>
      </w:r>
      <w:r w:rsidR="00BC22E1" w:rsidRPr="00103A31">
        <w:rPr>
          <w:spacing w:val="-2"/>
        </w:rPr>
        <w:t>,</w:t>
      </w:r>
      <w:r w:rsidR="00040B29" w:rsidRPr="00103A31">
        <w:rPr>
          <w:spacing w:val="-2"/>
        </w:rPr>
        <w:t xml:space="preserve"> they </w:t>
      </w:r>
      <w:r w:rsidR="00BC22E1" w:rsidRPr="00103A31">
        <w:rPr>
          <w:spacing w:val="-2"/>
        </w:rPr>
        <w:t>could be</w:t>
      </w:r>
      <w:r w:rsidR="00040B29" w:rsidRPr="00103A31">
        <w:rPr>
          <w:spacing w:val="-2"/>
        </w:rPr>
        <w:t xml:space="preserve"> </w:t>
      </w:r>
      <w:r w:rsidR="008F5F18" w:rsidRPr="00103A31">
        <w:rPr>
          <w:spacing w:val="-2"/>
        </w:rPr>
        <w:t>qualifications that have fallen out of use.</w:t>
      </w:r>
      <w:r w:rsidR="00563711" w:rsidRPr="00103A31">
        <w:rPr>
          <w:spacing w:val="-2"/>
        </w:rPr>
        <w:t xml:space="preserve"> It is possible</w:t>
      </w:r>
      <w:r w:rsidR="00BC22E1" w:rsidRPr="00103A31">
        <w:rPr>
          <w:spacing w:val="-2"/>
        </w:rPr>
        <w:t xml:space="preserve"> that</w:t>
      </w:r>
      <w:r w:rsidR="00563711" w:rsidRPr="00103A31">
        <w:rPr>
          <w:spacing w:val="-2"/>
        </w:rPr>
        <w:t xml:space="preserve"> the qualifications, or more particularly conten</w:t>
      </w:r>
      <w:r w:rsidR="001A6414" w:rsidRPr="00103A31">
        <w:rPr>
          <w:spacing w:val="-2"/>
        </w:rPr>
        <w:t xml:space="preserve">t drawn from them, are used </w:t>
      </w:r>
      <w:r w:rsidR="00200CF8" w:rsidRPr="00103A31">
        <w:rPr>
          <w:spacing w:val="-2"/>
        </w:rPr>
        <w:t>in industry</w:t>
      </w:r>
      <w:r w:rsidR="00D57651" w:rsidRPr="00103A31">
        <w:rPr>
          <w:spacing w:val="-2"/>
        </w:rPr>
        <w:t>,</w:t>
      </w:r>
      <w:r w:rsidR="00200CF8" w:rsidRPr="00103A31">
        <w:rPr>
          <w:spacing w:val="-2"/>
        </w:rPr>
        <w:t xml:space="preserve"> </w:t>
      </w:r>
      <w:r w:rsidR="00040B29" w:rsidRPr="00103A31">
        <w:rPr>
          <w:spacing w:val="-2"/>
        </w:rPr>
        <w:t>but</w:t>
      </w:r>
      <w:r w:rsidR="00D57651" w:rsidRPr="00103A31">
        <w:rPr>
          <w:spacing w:val="-2"/>
        </w:rPr>
        <w:t xml:space="preserve"> are</w:t>
      </w:r>
      <w:r w:rsidR="00040B29" w:rsidRPr="00103A31">
        <w:rPr>
          <w:spacing w:val="-2"/>
        </w:rPr>
        <w:t xml:space="preserve"> not </w:t>
      </w:r>
      <w:r w:rsidR="00BC22E1" w:rsidRPr="00103A31">
        <w:rPr>
          <w:spacing w:val="-2"/>
        </w:rPr>
        <w:t xml:space="preserve">reported. </w:t>
      </w:r>
      <w:r w:rsidR="00200CF8" w:rsidRPr="00103A31">
        <w:rPr>
          <w:spacing w:val="-2"/>
        </w:rPr>
        <w:t>For</w:t>
      </w:r>
      <w:r w:rsidR="001A6414" w:rsidRPr="00103A31">
        <w:rPr>
          <w:spacing w:val="-2"/>
        </w:rPr>
        <w:t xml:space="preserve"> example, an enterprise </w:t>
      </w:r>
      <w:r w:rsidR="00200CF8" w:rsidRPr="00103A31">
        <w:rPr>
          <w:spacing w:val="-2"/>
        </w:rPr>
        <w:t xml:space="preserve">may </w:t>
      </w:r>
      <w:r w:rsidR="00D27E4C" w:rsidRPr="00103A31">
        <w:rPr>
          <w:spacing w:val="-2"/>
        </w:rPr>
        <w:t>use public</w:t>
      </w:r>
      <w:r w:rsidR="00BC22E1" w:rsidRPr="00103A31">
        <w:rPr>
          <w:spacing w:val="-2"/>
        </w:rPr>
        <w:t xml:space="preserve">ly </w:t>
      </w:r>
      <w:r w:rsidR="001A6414" w:rsidRPr="00103A31">
        <w:rPr>
          <w:spacing w:val="-2"/>
        </w:rPr>
        <w:t>available units from a training package qualification as part of non-accredited training</w:t>
      </w:r>
      <w:r w:rsidR="00D57651" w:rsidRPr="00103A31">
        <w:rPr>
          <w:spacing w:val="-2"/>
        </w:rPr>
        <w:t>,</w:t>
      </w:r>
      <w:r w:rsidR="001A6414" w:rsidRPr="00103A31">
        <w:rPr>
          <w:spacing w:val="-2"/>
        </w:rPr>
        <w:t xml:space="preserve"> </w:t>
      </w:r>
      <w:r w:rsidR="00200CF8" w:rsidRPr="00103A31">
        <w:rPr>
          <w:spacing w:val="-2"/>
        </w:rPr>
        <w:t>but this might not be</w:t>
      </w:r>
      <w:r w:rsidR="00D27E4C" w:rsidRPr="00103A31">
        <w:rPr>
          <w:spacing w:val="-2"/>
        </w:rPr>
        <w:t xml:space="preserve"> </w:t>
      </w:r>
      <w:r w:rsidR="00200CF8" w:rsidRPr="00103A31">
        <w:rPr>
          <w:spacing w:val="-2"/>
        </w:rPr>
        <w:t>reported.</w:t>
      </w:r>
      <w:r w:rsidR="00563711" w:rsidRPr="00103A31">
        <w:rPr>
          <w:spacing w:val="-2"/>
        </w:rPr>
        <w:t xml:space="preserve"> </w:t>
      </w:r>
    </w:p>
    <w:p w:rsidR="007D7C2F" w:rsidRDefault="007D7C2F" w:rsidP="001A6414">
      <w:pPr>
        <w:pStyle w:val="Text"/>
        <w:ind w:hanging="11"/>
      </w:pPr>
      <w:r>
        <w:t xml:space="preserve">We can also examine the extent of qualifications </w:t>
      </w:r>
      <w:r w:rsidR="00BC22E1">
        <w:t>with</w:t>
      </w:r>
      <w:r>
        <w:t xml:space="preserve"> </w:t>
      </w:r>
      <w:r w:rsidR="00BB1745">
        <w:t>no enrolments in 2014 and 2015</w:t>
      </w:r>
      <w:r w:rsidR="00BC22E1">
        <w:t>; that is,</w:t>
      </w:r>
      <w:r>
        <w:t xml:space="preserve"> qualifications that would </w:t>
      </w:r>
      <w:r w:rsidR="001A6414">
        <w:t xml:space="preserve">be flagged for review in </w:t>
      </w:r>
      <w:r>
        <w:t>New Zealand</w:t>
      </w:r>
      <w:r w:rsidR="001A6414">
        <w:t>, Scotland</w:t>
      </w:r>
      <w:r>
        <w:t xml:space="preserve"> and</w:t>
      </w:r>
      <w:r w:rsidR="001A6414">
        <w:t xml:space="preserve"> the United Kingdom</w:t>
      </w:r>
      <w:r>
        <w:t xml:space="preserve">. After incorporating superseded qualifications </w:t>
      </w:r>
      <w:r w:rsidR="000F0E3F">
        <w:t>with the</w:t>
      </w:r>
      <w:r>
        <w:t xml:space="preserve"> qualifications current on </w:t>
      </w:r>
      <w:r w:rsidR="00007979">
        <w:br/>
      </w:r>
      <w:r>
        <w:t>31 Decemb</w:t>
      </w:r>
      <w:r w:rsidR="00D27E4C">
        <w:t xml:space="preserve">er 2014, 283 </w:t>
      </w:r>
      <w:r>
        <w:t xml:space="preserve">qualifications </w:t>
      </w:r>
      <w:r w:rsidR="00BC22E1">
        <w:t xml:space="preserve">were found to have </w:t>
      </w:r>
      <w:r>
        <w:t xml:space="preserve">no recorded enrolments over </w:t>
      </w:r>
      <w:r w:rsidR="00200CF8">
        <w:t xml:space="preserve">the period </w:t>
      </w:r>
      <w:r w:rsidR="00BC22E1">
        <w:t>2014—</w:t>
      </w:r>
      <w:r>
        <w:t>15.</w:t>
      </w:r>
      <w:r w:rsidR="00A667A6">
        <w:t xml:space="preserve"> </w:t>
      </w:r>
      <w:r w:rsidR="00D27E4C">
        <w:t xml:space="preserve">This represents 17% </w:t>
      </w:r>
      <w:r w:rsidR="00A667A6">
        <w:t xml:space="preserve">of the 1666 </w:t>
      </w:r>
      <w:r w:rsidR="00BB1745">
        <w:t xml:space="preserve">current or in use </w:t>
      </w:r>
      <w:r w:rsidR="00A667A6">
        <w:t>qualifications. These 283 qualifications were spread over 49 training packages.</w:t>
      </w:r>
      <w:r w:rsidR="00A667A6">
        <w:rPr>
          <w:rStyle w:val="FootnoteReference"/>
        </w:rPr>
        <w:footnoteReference w:id="5"/>
      </w:r>
    </w:p>
    <w:p w:rsidR="00706C43" w:rsidRPr="00103A31" w:rsidRDefault="009323F1" w:rsidP="00706C43">
      <w:pPr>
        <w:pStyle w:val="Text"/>
        <w:rPr>
          <w:spacing w:val="-2"/>
        </w:rPr>
      </w:pPr>
      <w:r w:rsidRPr="00103A31">
        <w:rPr>
          <w:spacing w:val="-2"/>
        </w:rPr>
        <w:t>There were 103 qualifications that were released in 2015 with no enrolments</w:t>
      </w:r>
      <w:r w:rsidR="008F5F18" w:rsidRPr="00103A31">
        <w:rPr>
          <w:spacing w:val="-2"/>
        </w:rPr>
        <w:t xml:space="preserve">, presumably because they were either new </w:t>
      </w:r>
      <w:proofErr w:type="gramStart"/>
      <w:r w:rsidR="008F5F18" w:rsidRPr="00103A31">
        <w:rPr>
          <w:spacing w:val="-2"/>
        </w:rPr>
        <w:t>qualifications</w:t>
      </w:r>
      <w:proofErr w:type="gramEnd"/>
      <w:r w:rsidR="008F5F18" w:rsidRPr="00103A31">
        <w:rPr>
          <w:spacing w:val="-2"/>
        </w:rPr>
        <w:t xml:space="preserve"> (</w:t>
      </w:r>
      <w:r w:rsidR="000F0E3F" w:rsidRPr="00103A31">
        <w:rPr>
          <w:spacing w:val="-2"/>
        </w:rPr>
        <w:t>and</w:t>
      </w:r>
      <w:r w:rsidR="008F5F18" w:rsidRPr="00103A31">
        <w:rPr>
          <w:spacing w:val="-2"/>
        </w:rPr>
        <w:t xml:space="preserve"> did not supersede an existing qualification) or the qualifications they superseded also had no enrolments. </w:t>
      </w:r>
      <w:r w:rsidR="00706C43" w:rsidRPr="00103A31">
        <w:rPr>
          <w:spacing w:val="-2"/>
        </w:rPr>
        <w:t xml:space="preserve">Figure </w:t>
      </w:r>
      <w:r w:rsidR="00967D44" w:rsidRPr="00103A31">
        <w:rPr>
          <w:spacing w:val="-2"/>
        </w:rPr>
        <w:t>10</w:t>
      </w:r>
      <w:r w:rsidR="00706C43" w:rsidRPr="00103A31">
        <w:rPr>
          <w:spacing w:val="-2"/>
        </w:rPr>
        <w:t xml:space="preserve"> shows </w:t>
      </w:r>
      <w:r w:rsidR="006150A8" w:rsidRPr="00103A31">
        <w:rPr>
          <w:spacing w:val="-2"/>
        </w:rPr>
        <w:t>the</w:t>
      </w:r>
      <w:r w:rsidR="00706C43" w:rsidRPr="00103A31">
        <w:rPr>
          <w:spacing w:val="-2"/>
        </w:rPr>
        <w:t xml:space="preserve"> </w:t>
      </w:r>
      <w:r w:rsidR="008F5F18" w:rsidRPr="00103A31">
        <w:rPr>
          <w:spacing w:val="-2"/>
        </w:rPr>
        <w:t>high number of</w:t>
      </w:r>
      <w:r w:rsidR="00706C43" w:rsidRPr="00103A31">
        <w:rPr>
          <w:spacing w:val="-2"/>
        </w:rPr>
        <w:t xml:space="preserve"> qualifications released in 2012 </w:t>
      </w:r>
      <w:r w:rsidR="006150A8" w:rsidRPr="00103A31">
        <w:rPr>
          <w:spacing w:val="-2"/>
        </w:rPr>
        <w:t>with</w:t>
      </w:r>
      <w:r w:rsidR="00706C43" w:rsidRPr="00103A31">
        <w:rPr>
          <w:spacing w:val="-2"/>
        </w:rPr>
        <w:t xml:space="preserve"> no enrolments in 2015. This requires further investigation, but it may be that these qualifications are in need of updating or replacement.</w:t>
      </w:r>
    </w:p>
    <w:p w:rsidR="00706C43" w:rsidRDefault="00DD77E2" w:rsidP="00706C43">
      <w:pPr>
        <w:pStyle w:val="Figuretitle"/>
        <w:keepNext/>
        <w:keepLines/>
      </w:pPr>
      <w:bookmarkStart w:id="61" w:name="_Toc465161936"/>
      <w:r>
        <w:rPr>
          <w:noProof/>
          <w:lang w:eastAsia="en-AU"/>
        </w:rPr>
        <w:lastRenderedPageBreak/>
        <w:drawing>
          <wp:anchor distT="0" distB="0" distL="114300" distR="114300" simplePos="0" relativeHeight="252077056" behindDoc="0" locked="0" layoutInCell="1" allowOverlap="1" wp14:anchorId="14AF89A7" wp14:editId="2D408584">
            <wp:simplePos x="0" y="0"/>
            <wp:positionH relativeFrom="column">
              <wp:posOffset>-116840</wp:posOffset>
            </wp:positionH>
            <wp:positionV relativeFrom="paragraph">
              <wp:posOffset>175260</wp:posOffset>
            </wp:positionV>
            <wp:extent cx="5093970" cy="3056255"/>
            <wp:effectExtent l="0" t="0" r="0" b="0"/>
            <wp:wrapTopAndBottom/>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706C43">
        <w:t xml:space="preserve">Figure </w:t>
      </w:r>
      <w:r w:rsidR="00967D44">
        <w:t>10</w:t>
      </w:r>
      <w:r w:rsidR="00706C43">
        <w:tab/>
        <w:t xml:space="preserve">Number of </w:t>
      </w:r>
      <w:r w:rsidR="00D57651">
        <w:t>qualifications with zero enrolments</w:t>
      </w:r>
      <w:r w:rsidR="00706C43">
        <w:t xml:space="preserve"> </w:t>
      </w:r>
      <w:r w:rsidR="001B55B3">
        <w:t xml:space="preserve">in 2015 </w:t>
      </w:r>
      <w:r w:rsidR="00706C43">
        <w:t xml:space="preserve">by year of </w:t>
      </w:r>
      <w:r w:rsidR="009251F3">
        <w:t xml:space="preserve">initial </w:t>
      </w:r>
      <w:r w:rsidR="00706C43">
        <w:t>release</w:t>
      </w:r>
      <w:bookmarkEnd w:id="61"/>
    </w:p>
    <w:p w:rsidR="004A7C3D" w:rsidRDefault="004A7C3D" w:rsidP="004A7C3D">
      <w:pPr>
        <w:pStyle w:val="Source"/>
      </w:pPr>
      <w:r>
        <w:t xml:space="preserve">Source: </w:t>
      </w:r>
      <w:r w:rsidR="00103A31">
        <w:tab/>
      </w:r>
      <w:r w:rsidR="006150A8">
        <w:t>A</w:t>
      </w:r>
      <w:r w:rsidR="00390066">
        <w:t xml:space="preserve">uthors’ analysis based </w:t>
      </w:r>
      <w:r w:rsidR="009323F1">
        <w:t>on data</w:t>
      </w:r>
      <w:r w:rsidR="006150A8">
        <w:t xml:space="preserve"> from </w:t>
      </w:r>
      <w:r w:rsidR="009323F1">
        <w:t xml:space="preserve">the </w:t>
      </w:r>
      <w:r w:rsidR="006150A8">
        <w:t>Australian</w:t>
      </w:r>
      <w:r w:rsidR="00390066">
        <w:t xml:space="preserve"> Department of Education and Training and NCVER collections</w:t>
      </w:r>
      <w:r w:rsidR="00D27E4C">
        <w:t>.</w:t>
      </w:r>
    </w:p>
    <w:p w:rsidR="00706C43" w:rsidRPr="004233A2" w:rsidRDefault="006150A8" w:rsidP="00706C43">
      <w:pPr>
        <w:pStyle w:val="Text"/>
      </w:pPr>
      <w:r>
        <w:t xml:space="preserve">We find that the percentage of qualifications with zero enrolments across levels </w:t>
      </w:r>
      <w:r w:rsidRPr="004233A2">
        <w:t>is fairly consistent</w:t>
      </w:r>
      <w:r>
        <w:t>, meaning that t</w:t>
      </w:r>
      <w:r w:rsidR="00706C43">
        <w:t>he</w:t>
      </w:r>
      <w:r w:rsidR="00706C43" w:rsidRPr="004233A2">
        <w:t xml:space="preserve"> issue is not concentrated at particular </w:t>
      </w:r>
      <w:r w:rsidR="00706C43">
        <w:t xml:space="preserve">qualification </w:t>
      </w:r>
      <w:r w:rsidR="00706C43" w:rsidRPr="004233A2">
        <w:t>level</w:t>
      </w:r>
      <w:r w:rsidR="00D57651">
        <w:t>s</w:t>
      </w:r>
      <w:r w:rsidR="00FA6BA2">
        <w:t xml:space="preserve"> </w:t>
      </w:r>
      <w:r w:rsidR="00D27E4C">
        <w:t>(t</w:t>
      </w:r>
      <w:r w:rsidR="00EF4122">
        <w:t xml:space="preserve">able </w:t>
      </w:r>
      <w:r w:rsidR="00967D44">
        <w:t>4</w:t>
      </w:r>
      <w:r w:rsidR="00EF4122">
        <w:t>)</w:t>
      </w:r>
      <w:r w:rsidR="00706C43" w:rsidRPr="004233A2">
        <w:t xml:space="preserve">. </w:t>
      </w:r>
    </w:p>
    <w:p w:rsidR="00706C43" w:rsidRDefault="00706C43" w:rsidP="00706C43">
      <w:pPr>
        <w:pStyle w:val="Tabletitle"/>
        <w:keepNext/>
        <w:keepLines/>
      </w:pPr>
      <w:bookmarkStart w:id="62" w:name="_Toc465162107"/>
      <w:r>
        <w:t xml:space="preserve">Table </w:t>
      </w:r>
      <w:r w:rsidR="00967D44">
        <w:t>4</w:t>
      </w:r>
      <w:r>
        <w:tab/>
        <w:t xml:space="preserve">Number of </w:t>
      </w:r>
      <w:r w:rsidR="00D57651">
        <w:t>qualifications with zero enrolments</w:t>
      </w:r>
      <w:r>
        <w:t xml:space="preserve"> by qualification level, 2015</w:t>
      </w:r>
      <w:bookmarkEnd w:id="62"/>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268"/>
        <w:gridCol w:w="3650"/>
      </w:tblGrid>
      <w:tr w:rsidR="00706C43" w:rsidTr="00235ABC">
        <w:tc>
          <w:tcPr>
            <w:tcW w:w="2235" w:type="dxa"/>
            <w:tcBorders>
              <w:bottom w:val="single" w:sz="4" w:space="0" w:color="auto"/>
            </w:tcBorders>
          </w:tcPr>
          <w:p w:rsidR="00706C43" w:rsidRDefault="00706C43" w:rsidP="00235ABC">
            <w:pPr>
              <w:pStyle w:val="Tablehead1"/>
              <w:keepNext/>
              <w:keepLines/>
            </w:pPr>
            <w:r>
              <w:t>Qualification level</w:t>
            </w:r>
          </w:p>
        </w:tc>
        <w:tc>
          <w:tcPr>
            <w:tcW w:w="2268" w:type="dxa"/>
            <w:tcBorders>
              <w:bottom w:val="single" w:sz="4" w:space="0" w:color="auto"/>
            </w:tcBorders>
          </w:tcPr>
          <w:p w:rsidR="00706C43" w:rsidRPr="00EE5153" w:rsidRDefault="00706C43" w:rsidP="00235ABC">
            <w:pPr>
              <w:pStyle w:val="Tablehead1"/>
              <w:keepNext/>
              <w:keepLines/>
              <w:jc w:val="right"/>
            </w:pPr>
            <w:r>
              <w:t>Number of qualifications</w:t>
            </w:r>
          </w:p>
        </w:tc>
        <w:tc>
          <w:tcPr>
            <w:tcW w:w="3650" w:type="dxa"/>
            <w:tcBorders>
              <w:bottom w:val="single" w:sz="4" w:space="0" w:color="auto"/>
            </w:tcBorders>
          </w:tcPr>
          <w:p w:rsidR="00706C43" w:rsidRPr="00EE5153" w:rsidRDefault="00706C43" w:rsidP="00235ABC">
            <w:pPr>
              <w:pStyle w:val="Tablehead1"/>
              <w:keepNext/>
              <w:keepLines/>
              <w:jc w:val="right"/>
            </w:pPr>
            <w:r>
              <w:t>Percentage of qualifications (at that level)</w:t>
            </w:r>
          </w:p>
        </w:tc>
      </w:tr>
      <w:tr w:rsidR="00706C43" w:rsidTr="00235ABC">
        <w:tc>
          <w:tcPr>
            <w:tcW w:w="2235" w:type="dxa"/>
            <w:tcBorders>
              <w:top w:val="single" w:sz="4" w:space="0" w:color="auto"/>
              <w:bottom w:val="nil"/>
            </w:tcBorders>
          </w:tcPr>
          <w:p w:rsidR="00706C43" w:rsidRDefault="00706C43" w:rsidP="00235ABC">
            <w:pPr>
              <w:pStyle w:val="Tabletext"/>
              <w:keepNext/>
              <w:keepLines/>
            </w:pPr>
            <w:r>
              <w:t>Certificate I</w:t>
            </w:r>
          </w:p>
        </w:tc>
        <w:tc>
          <w:tcPr>
            <w:tcW w:w="2268" w:type="dxa"/>
            <w:tcBorders>
              <w:top w:val="single" w:sz="4" w:space="0" w:color="auto"/>
              <w:bottom w:val="nil"/>
            </w:tcBorders>
          </w:tcPr>
          <w:p w:rsidR="00706C43" w:rsidRPr="00EE5153" w:rsidRDefault="00706C43" w:rsidP="00235ABC">
            <w:pPr>
              <w:pStyle w:val="Tabletext"/>
              <w:keepNext/>
              <w:keepLines/>
              <w:jc w:val="right"/>
            </w:pPr>
            <w:r w:rsidRPr="00EE5153">
              <w:t>10</w:t>
            </w:r>
          </w:p>
        </w:tc>
        <w:tc>
          <w:tcPr>
            <w:tcW w:w="3650" w:type="dxa"/>
            <w:tcBorders>
              <w:top w:val="single" w:sz="4" w:space="0" w:color="auto"/>
              <w:bottom w:val="nil"/>
            </w:tcBorders>
          </w:tcPr>
          <w:p w:rsidR="00706C43" w:rsidRPr="00EE5153" w:rsidRDefault="00706C43" w:rsidP="00235ABC">
            <w:pPr>
              <w:pStyle w:val="Tabletext"/>
              <w:keepNext/>
              <w:keepLines/>
              <w:jc w:val="right"/>
            </w:pPr>
            <w:r w:rsidRPr="00EE5153">
              <w:t>1%</w:t>
            </w:r>
          </w:p>
        </w:tc>
      </w:tr>
      <w:tr w:rsidR="00706C43" w:rsidTr="00235ABC">
        <w:tc>
          <w:tcPr>
            <w:tcW w:w="2235" w:type="dxa"/>
            <w:tcBorders>
              <w:top w:val="nil"/>
            </w:tcBorders>
          </w:tcPr>
          <w:p w:rsidR="00706C43" w:rsidRDefault="00706C43" w:rsidP="00235ABC">
            <w:pPr>
              <w:pStyle w:val="Tabletext"/>
              <w:keepNext/>
              <w:keepLines/>
            </w:pPr>
            <w:r>
              <w:t>Certificate II</w:t>
            </w:r>
          </w:p>
        </w:tc>
        <w:tc>
          <w:tcPr>
            <w:tcW w:w="2268" w:type="dxa"/>
            <w:tcBorders>
              <w:top w:val="nil"/>
            </w:tcBorders>
          </w:tcPr>
          <w:p w:rsidR="00706C43" w:rsidRPr="00EE5153" w:rsidRDefault="00706C43" w:rsidP="00235ABC">
            <w:pPr>
              <w:pStyle w:val="Tabletext"/>
              <w:keepNext/>
              <w:keepLines/>
              <w:jc w:val="right"/>
            </w:pPr>
            <w:r w:rsidRPr="00EE5153">
              <w:t>45</w:t>
            </w:r>
          </w:p>
        </w:tc>
        <w:tc>
          <w:tcPr>
            <w:tcW w:w="3650" w:type="dxa"/>
            <w:tcBorders>
              <w:top w:val="nil"/>
            </w:tcBorders>
          </w:tcPr>
          <w:p w:rsidR="00706C43" w:rsidRPr="00EE5153" w:rsidRDefault="00706C43" w:rsidP="00235ABC">
            <w:pPr>
              <w:pStyle w:val="Tabletext"/>
              <w:keepNext/>
              <w:keepLines/>
              <w:jc w:val="right"/>
            </w:pPr>
            <w:r w:rsidRPr="00EE5153">
              <w:t>3%</w:t>
            </w:r>
          </w:p>
        </w:tc>
      </w:tr>
      <w:tr w:rsidR="00706C43" w:rsidTr="00235ABC">
        <w:tc>
          <w:tcPr>
            <w:tcW w:w="2235" w:type="dxa"/>
          </w:tcPr>
          <w:p w:rsidR="00706C43" w:rsidRDefault="00706C43" w:rsidP="00235ABC">
            <w:pPr>
              <w:pStyle w:val="Tabletext"/>
              <w:keepNext/>
              <w:keepLines/>
            </w:pPr>
            <w:r>
              <w:t>Certificate III</w:t>
            </w:r>
          </w:p>
        </w:tc>
        <w:tc>
          <w:tcPr>
            <w:tcW w:w="2268" w:type="dxa"/>
          </w:tcPr>
          <w:p w:rsidR="00706C43" w:rsidRPr="00EE5153" w:rsidRDefault="00706C43" w:rsidP="00235ABC">
            <w:pPr>
              <w:pStyle w:val="Tabletext"/>
              <w:keepNext/>
              <w:keepLines/>
              <w:jc w:val="right"/>
            </w:pPr>
            <w:r w:rsidRPr="00EE5153">
              <w:t>60</w:t>
            </w:r>
          </w:p>
        </w:tc>
        <w:tc>
          <w:tcPr>
            <w:tcW w:w="3650" w:type="dxa"/>
          </w:tcPr>
          <w:p w:rsidR="00706C43" w:rsidRPr="00EE5153" w:rsidRDefault="00706C43" w:rsidP="00235ABC">
            <w:pPr>
              <w:pStyle w:val="Tabletext"/>
              <w:keepNext/>
              <w:keepLines/>
              <w:jc w:val="right"/>
            </w:pPr>
            <w:r w:rsidRPr="00EE5153">
              <w:t>4%</w:t>
            </w:r>
          </w:p>
        </w:tc>
      </w:tr>
      <w:tr w:rsidR="00706C43" w:rsidTr="00235ABC">
        <w:tc>
          <w:tcPr>
            <w:tcW w:w="2235" w:type="dxa"/>
          </w:tcPr>
          <w:p w:rsidR="00706C43" w:rsidRDefault="00706C43" w:rsidP="00235ABC">
            <w:pPr>
              <w:pStyle w:val="Tabletext"/>
              <w:keepNext/>
              <w:keepLines/>
            </w:pPr>
            <w:r>
              <w:t>Certificate IV</w:t>
            </w:r>
          </w:p>
        </w:tc>
        <w:tc>
          <w:tcPr>
            <w:tcW w:w="2268" w:type="dxa"/>
          </w:tcPr>
          <w:p w:rsidR="00706C43" w:rsidRPr="00EE5153" w:rsidRDefault="00706C43" w:rsidP="00235ABC">
            <w:pPr>
              <w:pStyle w:val="Tabletext"/>
              <w:keepNext/>
              <w:keepLines/>
              <w:jc w:val="right"/>
            </w:pPr>
            <w:r w:rsidRPr="00EE5153">
              <w:t>79</w:t>
            </w:r>
          </w:p>
        </w:tc>
        <w:tc>
          <w:tcPr>
            <w:tcW w:w="3650" w:type="dxa"/>
          </w:tcPr>
          <w:p w:rsidR="00706C43" w:rsidRPr="00EE5153" w:rsidRDefault="00706C43" w:rsidP="00235ABC">
            <w:pPr>
              <w:pStyle w:val="Tabletext"/>
              <w:keepNext/>
              <w:keepLines/>
              <w:jc w:val="right"/>
            </w:pPr>
            <w:r w:rsidRPr="00EE5153">
              <w:t>5%</w:t>
            </w:r>
          </w:p>
        </w:tc>
      </w:tr>
      <w:tr w:rsidR="00706C43" w:rsidTr="00235ABC">
        <w:tc>
          <w:tcPr>
            <w:tcW w:w="2235" w:type="dxa"/>
          </w:tcPr>
          <w:p w:rsidR="00706C43" w:rsidRDefault="00706C43" w:rsidP="00235ABC">
            <w:pPr>
              <w:pStyle w:val="Tabletext"/>
              <w:keepNext/>
              <w:keepLines/>
            </w:pPr>
            <w:r>
              <w:t>Diploma</w:t>
            </w:r>
          </w:p>
        </w:tc>
        <w:tc>
          <w:tcPr>
            <w:tcW w:w="2268" w:type="dxa"/>
          </w:tcPr>
          <w:p w:rsidR="00706C43" w:rsidRPr="00EE5153" w:rsidRDefault="00706C43" w:rsidP="00235ABC">
            <w:pPr>
              <w:pStyle w:val="Tabletext"/>
              <w:keepNext/>
              <w:keepLines/>
              <w:jc w:val="right"/>
            </w:pPr>
            <w:r w:rsidRPr="00EE5153">
              <w:t>75</w:t>
            </w:r>
          </w:p>
        </w:tc>
        <w:tc>
          <w:tcPr>
            <w:tcW w:w="3650" w:type="dxa"/>
          </w:tcPr>
          <w:p w:rsidR="00706C43" w:rsidRPr="00EE5153" w:rsidRDefault="00706C43" w:rsidP="00235ABC">
            <w:pPr>
              <w:pStyle w:val="Tabletext"/>
              <w:keepNext/>
              <w:keepLines/>
              <w:jc w:val="right"/>
            </w:pPr>
            <w:r w:rsidRPr="00EE5153">
              <w:t>5%</w:t>
            </w:r>
          </w:p>
        </w:tc>
      </w:tr>
      <w:tr w:rsidR="00706C43" w:rsidTr="00235ABC">
        <w:tc>
          <w:tcPr>
            <w:tcW w:w="2235" w:type="dxa"/>
          </w:tcPr>
          <w:p w:rsidR="00706C43" w:rsidRDefault="00706C43" w:rsidP="00235ABC">
            <w:pPr>
              <w:pStyle w:val="Tabletext"/>
              <w:keepNext/>
              <w:keepLines/>
            </w:pPr>
            <w:r>
              <w:t>Advanced diploma</w:t>
            </w:r>
          </w:p>
        </w:tc>
        <w:tc>
          <w:tcPr>
            <w:tcW w:w="2268" w:type="dxa"/>
          </w:tcPr>
          <w:p w:rsidR="00706C43" w:rsidRPr="00EE5153" w:rsidRDefault="00706C43" w:rsidP="00235ABC">
            <w:pPr>
              <w:pStyle w:val="Tabletext"/>
              <w:keepNext/>
              <w:keepLines/>
              <w:jc w:val="right"/>
            </w:pPr>
            <w:r w:rsidRPr="00EE5153">
              <w:t>41</w:t>
            </w:r>
          </w:p>
        </w:tc>
        <w:tc>
          <w:tcPr>
            <w:tcW w:w="3650" w:type="dxa"/>
          </w:tcPr>
          <w:p w:rsidR="00706C43" w:rsidRPr="00EE5153" w:rsidRDefault="00706C43" w:rsidP="00235ABC">
            <w:pPr>
              <w:pStyle w:val="Tabletext"/>
              <w:keepNext/>
              <w:keepLines/>
              <w:jc w:val="right"/>
            </w:pPr>
            <w:r w:rsidRPr="00EE5153">
              <w:t>2%</w:t>
            </w:r>
          </w:p>
        </w:tc>
      </w:tr>
      <w:tr w:rsidR="00706C43" w:rsidTr="00235ABC">
        <w:tc>
          <w:tcPr>
            <w:tcW w:w="2235" w:type="dxa"/>
          </w:tcPr>
          <w:p w:rsidR="00706C43" w:rsidRDefault="00706C43" w:rsidP="00235ABC">
            <w:pPr>
              <w:pStyle w:val="Tabletext"/>
              <w:keepNext/>
              <w:keepLines/>
            </w:pPr>
            <w:r>
              <w:t>Bachelor degree</w:t>
            </w:r>
          </w:p>
        </w:tc>
        <w:tc>
          <w:tcPr>
            <w:tcW w:w="2268" w:type="dxa"/>
          </w:tcPr>
          <w:p w:rsidR="00706C43" w:rsidRPr="00EE5153" w:rsidRDefault="00706C43" w:rsidP="00235ABC">
            <w:pPr>
              <w:pStyle w:val="Tabletext"/>
              <w:keepNext/>
              <w:keepLines/>
              <w:jc w:val="right"/>
            </w:pPr>
            <w:r w:rsidRPr="00EE5153">
              <w:t>8</w:t>
            </w:r>
          </w:p>
        </w:tc>
        <w:tc>
          <w:tcPr>
            <w:tcW w:w="3650" w:type="dxa"/>
          </w:tcPr>
          <w:p w:rsidR="00706C43" w:rsidRPr="00EE5153" w:rsidRDefault="008F5F18" w:rsidP="00235ABC">
            <w:pPr>
              <w:pStyle w:val="Tabletext"/>
              <w:keepNext/>
              <w:keepLines/>
              <w:jc w:val="right"/>
            </w:pPr>
            <w:r>
              <w:t>&lt;1</w:t>
            </w:r>
            <w:r w:rsidR="00706C43" w:rsidRPr="00EE5153">
              <w:t>%</w:t>
            </w:r>
          </w:p>
        </w:tc>
      </w:tr>
      <w:tr w:rsidR="00706C43" w:rsidTr="00235ABC">
        <w:tc>
          <w:tcPr>
            <w:tcW w:w="2235" w:type="dxa"/>
          </w:tcPr>
          <w:p w:rsidR="00706C43" w:rsidRDefault="00706C43" w:rsidP="00235ABC">
            <w:pPr>
              <w:pStyle w:val="Tabletext"/>
              <w:keepNext/>
              <w:keepLines/>
            </w:pPr>
            <w:r>
              <w:t>Graduate diploma/certificate</w:t>
            </w:r>
          </w:p>
        </w:tc>
        <w:tc>
          <w:tcPr>
            <w:tcW w:w="2268" w:type="dxa"/>
          </w:tcPr>
          <w:p w:rsidR="00706C43" w:rsidRPr="00EE5153" w:rsidRDefault="00706C43" w:rsidP="00235ABC">
            <w:pPr>
              <w:pStyle w:val="Tabletext"/>
              <w:keepNext/>
              <w:keepLines/>
              <w:jc w:val="right"/>
            </w:pPr>
            <w:r w:rsidRPr="00EE5153">
              <w:t>18</w:t>
            </w:r>
          </w:p>
        </w:tc>
        <w:tc>
          <w:tcPr>
            <w:tcW w:w="3650" w:type="dxa"/>
          </w:tcPr>
          <w:p w:rsidR="00706C43" w:rsidRDefault="00706C43" w:rsidP="00235ABC">
            <w:pPr>
              <w:pStyle w:val="Tabletext"/>
              <w:keepNext/>
              <w:keepLines/>
              <w:jc w:val="right"/>
            </w:pPr>
            <w:r w:rsidRPr="00EE5153">
              <w:t>1%</w:t>
            </w:r>
          </w:p>
        </w:tc>
      </w:tr>
    </w:tbl>
    <w:p w:rsidR="004A7C3D" w:rsidRDefault="004A7C3D" w:rsidP="004A7C3D">
      <w:pPr>
        <w:pStyle w:val="Source"/>
      </w:pPr>
      <w:r>
        <w:t xml:space="preserve">Source: </w:t>
      </w:r>
      <w:r w:rsidR="00007979">
        <w:tab/>
      </w:r>
      <w:r w:rsidR="006150A8">
        <w:t>A</w:t>
      </w:r>
      <w:r w:rsidR="00390066">
        <w:t>uthors’ analysis based on data request from Australian Department of Education and Training and NCVER collections</w:t>
      </w:r>
      <w:r w:rsidR="00D27E4C">
        <w:t>.</w:t>
      </w:r>
    </w:p>
    <w:p w:rsidR="00103A31" w:rsidRDefault="00FA6BA2" w:rsidP="00706C43">
      <w:pPr>
        <w:pStyle w:val="Text"/>
      </w:pPr>
      <w:r>
        <w:t xml:space="preserve">Qualifications with </w:t>
      </w:r>
      <w:r w:rsidR="00D57651">
        <w:t xml:space="preserve">zero enrolments </w:t>
      </w:r>
      <w:r w:rsidR="00706C43" w:rsidRPr="004233A2">
        <w:t xml:space="preserve">are observed across the different fields of </w:t>
      </w:r>
      <w:r w:rsidR="00D57651">
        <w:t>education</w:t>
      </w:r>
      <w:r w:rsidR="006150A8">
        <w:t>,</w:t>
      </w:r>
      <w:r w:rsidR="00D57651">
        <w:t xml:space="preserve"> with </w:t>
      </w:r>
      <w:r>
        <w:t xml:space="preserve">all </w:t>
      </w:r>
      <w:r w:rsidR="00706C43">
        <w:t>report</w:t>
      </w:r>
      <w:r>
        <w:t>ing</w:t>
      </w:r>
      <w:r w:rsidR="00706C43">
        <w:t xml:space="preserve"> zero enrolments</w:t>
      </w:r>
      <w:r w:rsidR="00007979">
        <w:t xml:space="preserve"> with the exception of ‘Education’ and ‘Mixed field programmes’</w:t>
      </w:r>
      <w:r w:rsidR="006150A8">
        <w:t>,</w:t>
      </w:r>
      <w:r w:rsidR="00D27E4C">
        <w:t xml:space="preserve"> as shown in f</w:t>
      </w:r>
      <w:r w:rsidR="00EF4122">
        <w:t xml:space="preserve">igure </w:t>
      </w:r>
      <w:r w:rsidR="00967D44">
        <w:t>11</w:t>
      </w:r>
      <w:r>
        <w:t>. T</w:t>
      </w:r>
      <w:r w:rsidR="00706C43">
        <w:t xml:space="preserve">he proportion of zero enrolments was </w:t>
      </w:r>
      <w:r w:rsidR="00706C43" w:rsidRPr="004233A2">
        <w:t xml:space="preserve">highest </w:t>
      </w:r>
      <w:r w:rsidR="00706C43">
        <w:t>in ‘</w:t>
      </w:r>
      <w:r w:rsidR="00706C43" w:rsidRPr="004233A2">
        <w:t xml:space="preserve">Society and culture’, </w:t>
      </w:r>
      <w:r w:rsidR="00007979">
        <w:t>‘</w:t>
      </w:r>
      <w:r w:rsidR="00706C43" w:rsidRPr="004233A2">
        <w:t>Engineer</w:t>
      </w:r>
      <w:r w:rsidR="00706C43">
        <w:t>ing and related technologies’, ‘</w:t>
      </w:r>
      <w:r w:rsidR="00706C43" w:rsidRPr="004233A2">
        <w:t>Natu</w:t>
      </w:r>
      <w:r w:rsidR="00706C43">
        <w:t>ral and physical sciences’ and ‘</w:t>
      </w:r>
      <w:r w:rsidR="00706C43" w:rsidRPr="004233A2">
        <w:t>Agriculture, environmental and related studies’.</w:t>
      </w:r>
      <w:r w:rsidR="00706C43">
        <w:t xml:space="preserve"> </w:t>
      </w:r>
      <w:r w:rsidR="00EF4122">
        <w:t xml:space="preserve">It is not clear why </w:t>
      </w:r>
      <w:r w:rsidR="00706C43">
        <w:t xml:space="preserve">these fields of </w:t>
      </w:r>
      <w:r w:rsidR="00D27E4C">
        <w:t>education</w:t>
      </w:r>
      <w:r w:rsidR="00706C43">
        <w:t xml:space="preserve"> report the highest percentage of</w:t>
      </w:r>
      <w:r w:rsidR="00D57651">
        <w:t xml:space="preserve"> qualifications with</w:t>
      </w:r>
      <w:r w:rsidR="00706C43">
        <w:t xml:space="preserve"> zero enrolments </w:t>
      </w:r>
      <w:r w:rsidR="00EF4122">
        <w:t xml:space="preserve">and this </w:t>
      </w:r>
      <w:r w:rsidR="006150A8">
        <w:t xml:space="preserve">issue </w:t>
      </w:r>
      <w:r w:rsidR="00EF4122">
        <w:t xml:space="preserve">too </w:t>
      </w:r>
      <w:r w:rsidR="00706C43">
        <w:t xml:space="preserve">is worthy of further investigation. </w:t>
      </w:r>
    </w:p>
    <w:p w:rsidR="00103A31" w:rsidRDefault="00103A31">
      <w:pPr>
        <w:rPr>
          <w:rFonts w:ascii="Trebuchet MS" w:eastAsia="Times New Roman" w:hAnsi="Trebuchet MS" w:cs="Times New Roman"/>
          <w:sz w:val="19"/>
          <w:szCs w:val="20"/>
        </w:rPr>
      </w:pPr>
      <w:r>
        <w:br w:type="page"/>
      </w:r>
    </w:p>
    <w:p w:rsidR="00706C43" w:rsidRDefault="00DD77E2" w:rsidP="00103A31">
      <w:pPr>
        <w:pStyle w:val="Figuretitle"/>
        <w:spacing w:before="0"/>
      </w:pPr>
      <w:bookmarkStart w:id="63" w:name="_Toc465161937"/>
      <w:r>
        <w:rPr>
          <w:noProof/>
          <w:lang w:eastAsia="en-AU"/>
        </w:rPr>
        <w:lastRenderedPageBreak/>
        <w:drawing>
          <wp:anchor distT="0" distB="0" distL="114300" distR="114300" simplePos="0" relativeHeight="252078080" behindDoc="0" locked="0" layoutInCell="1" allowOverlap="1">
            <wp:simplePos x="0" y="0"/>
            <wp:positionH relativeFrom="column">
              <wp:posOffset>-77470</wp:posOffset>
            </wp:positionH>
            <wp:positionV relativeFrom="paragraph">
              <wp:posOffset>197485</wp:posOffset>
            </wp:positionV>
            <wp:extent cx="5189220" cy="2743200"/>
            <wp:effectExtent l="0" t="0" r="0" b="0"/>
            <wp:wrapTopAndBottom/>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706C43">
        <w:t xml:space="preserve">Figure </w:t>
      </w:r>
      <w:r w:rsidR="00967D44">
        <w:t>11</w:t>
      </w:r>
      <w:r w:rsidR="00706C43">
        <w:tab/>
        <w:t xml:space="preserve">Percentage of </w:t>
      </w:r>
      <w:r w:rsidR="00D57651">
        <w:t>qualifications with zero enrolments</w:t>
      </w:r>
      <w:r w:rsidR="00706C43">
        <w:t xml:space="preserve"> by field of education, 2015</w:t>
      </w:r>
      <w:bookmarkEnd w:id="63"/>
    </w:p>
    <w:p w:rsidR="004A7C3D" w:rsidRDefault="004A7C3D" w:rsidP="00103A31">
      <w:pPr>
        <w:pStyle w:val="Source"/>
        <w:ind w:right="-143"/>
      </w:pPr>
      <w:r>
        <w:t xml:space="preserve">Source: </w:t>
      </w:r>
      <w:r w:rsidR="00DD77E2">
        <w:tab/>
      </w:r>
      <w:r w:rsidR="006150A8">
        <w:t>A</w:t>
      </w:r>
      <w:r w:rsidR="00390066">
        <w:t>uth</w:t>
      </w:r>
      <w:r w:rsidR="009323F1">
        <w:t>ors’ analysis based on data</w:t>
      </w:r>
      <w:r w:rsidR="00390066">
        <w:t xml:space="preserve"> from </w:t>
      </w:r>
      <w:r w:rsidR="009323F1">
        <w:t xml:space="preserve">the </w:t>
      </w:r>
      <w:r w:rsidR="00390066">
        <w:t>Australian Department of Education and Training and NCVER collections</w:t>
      </w:r>
      <w:r w:rsidR="006150A8">
        <w:t>.</w:t>
      </w:r>
    </w:p>
    <w:p w:rsidR="00563711" w:rsidRDefault="001A6414" w:rsidP="00103A31">
      <w:pPr>
        <w:pStyle w:val="Heading2"/>
        <w:spacing w:before="320"/>
      </w:pPr>
      <w:bookmarkStart w:id="64" w:name="_Toc465162160"/>
      <w:r>
        <w:t>T</w:t>
      </w:r>
      <w:r w:rsidR="00563711">
        <w:t xml:space="preserve">raining packages with </w:t>
      </w:r>
      <w:r>
        <w:t>zero</w:t>
      </w:r>
      <w:r w:rsidR="00563711">
        <w:t xml:space="preserve"> enrolments</w:t>
      </w:r>
      <w:bookmarkEnd w:id="64"/>
      <w:r w:rsidR="00563711">
        <w:t xml:space="preserve"> </w:t>
      </w:r>
    </w:p>
    <w:p w:rsidR="00563711" w:rsidRDefault="00563711" w:rsidP="00563711">
      <w:pPr>
        <w:pStyle w:val="Text"/>
      </w:pPr>
      <w:r>
        <w:t xml:space="preserve">There were 52 training packages (of a total of 77 training packages on the </w:t>
      </w:r>
      <w:r w:rsidRPr="006150A8">
        <w:t>training.gov.au</w:t>
      </w:r>
      <w:r>
        <w:t xml:space="preserve"> register) </w:t>
      </w:r>
      <w:r w:rsidR="00BA7FF8">
        <w:t xml:space="preserve">containing </w:t>
      </w:r>
      <w:r w:rsidR="00D57651">
        <w:t xml:space="preserve">at least some qualifications </w:t>
      </w:r>
      <w:r w:rsidR="00BA7FF8">
        <w:t>with</w:t>
      </w:r>
      <w:r w:rsidR="00D57651">
        <w:t xml:space="preserve"> </w:t>
      </w:r>
      <w:r>
        <w:t>zero enrolment</w:t>
      </w:r>
      <w:r w:rsidR="00EF4122">
        <w:t>s</w:t>
      </w:r>
      <w:r w:rsidR="00BA7FF8">
        <w:t xml:space="preserve"> in 2015;</w:t>
      </w:r>
      <w:r>
        <w:t xml:space="preserve"> fewer than </w:t>
      </w:r>
      <w:r w:rsidR="006150A8">
        <w:t>10</w:t>
      </w:r>
      <w:r>
        <w:t xml:space="preserve"> qualifications </w:t>
      </w:r>
      <w:r w:rsidR="00D27E4C">
        <w:t xml:space="preserve">in most </w:t>
      </w:r>
      <w:r w:rsidR="00D57651">
        <w:t xml:space="preserve">training </w:t>
      </w:r>
      <w:r w:rsidR="00D27E4C">
        <w:t xml:space="preserve">packages </w:t>
      </w:r>
      <w:r w:rsidR="00BA7FF8">
        <w:t>recorded</w:t>
      </w:r>
      <w:r>
        <w:t xml:space="preserve"> zero enrolments</w:t>
      </w:r>
      <w:r w:rsidR="006150A8">
        <w:t>,</w:t>
      </w:r>
      <w:r w:rsidR="00EF4122">
        <w:t xml:space="preserve"> as shown in </w:t>
      </w:r>
      <w:r w:rsidR="00D27E4C">
        <w:t>f</w:t>
      </w:r>
      <w:r w:rsidR="00EF4122">
        <w:t xml:space="preserve">igure </w:t>
      </w:r>
      <w:r w:rsidR="00967D44">
        <w:t>12</w:t>
      </w:r>
      <w:r>
        <w:t xml:space="preserve">. </w:t>
      </w:r>
    </w:p>
    <w:p w:rsidR="001A6414" w:rsidRDefault="00DD77E2" w:rsidP="00103A31">
      <w:pPr>
        <w:pStyle w:val="Figuretitle"/>
        <w:keepNext/>
        <w:keepLines/>
        <w:spacing w:before="300"/>
      </w:pPr>
      <w:bookmarkStart w:id="65" w:name="_Toc465161938"/>
      <w:r>
        <w:rPr>
          <w:noProof/>
          <w:lang w:eastAsia="en-AU"/>
        </w:rPr>
        <w:drawing>
          <wp:anchor distT="0" distB="0" distL="114300" distR="114300" simplePos="0" relativeHeight="252079104" behindDoc="0" locked="0" layoutInCell="1" allowOverlap="1" wp14:anchorId="30FFCA75" wp14:editId="6006C77D">
            <wp:simplePos x="0" y="0"/>
            <wp:positionH relativeFrom="column">
              <wp:posOffset>-29210</wp:posOffset>
            </wp:positionH>
            <wp:positionV relativeFrom="paragraph">
              <wp:posOffset>375285</wp:posOffset>
            </wp:positionV>
            <wp:extent cx="5046980" cy="2743200"/>
            <wp:effectExtent l="0" t="0" r="0" b="0"/>
            <wp:wrapTopAndBottom/>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1A6414">
        <w:t xml:space="preserve">Figure </w:t>
      </w:r>
      <w:r w:rsidR="00967D44">
        <w:t>12</w:t>
      </w:r>
      <w:r w:rsidR="001A6414">
        <w:tab/>
        <w:t xml:space="preserve">Number of </w:t>
      </w:r>
      <w:r w:rsidR="00D57651">
        <w:t>qualifications with zero enrolments</w:t>
      </w:r>
      <w:r w:rsidR="001A6414">
        <w:t xml:space="preserve"> by training package, 2015</w:t>
      </w:r>
      <w:bookmarkEnd w:id="65"/>
    </w:p>
    <w:p w:rsidR="004A7C3D" w:rsidRDefault="004A7C3D" w:rsidP="004A7C3D">
      <w:pPr>
        <w:pStyle w:val="Source"/>
      </w:pPr>
      <w:r>
        <w:t xml:space="preserve">Source: </w:t>
      </w:r>
      <w:r w:rsidR="006150A8">
        <w:t>A</w:t>
      </w:r>
      <w:r w:rsidR="00390066">
        <w:t xml:space="preserve">uthors’ analysis based on data from </w:t>
      </w:r>
      <w:r w:rsidR="00636AEE">
        <w:t xml:space="preserve">the </w:t>
      </w:r>
      <w:r w:rsidR="00390066">
        <w:t>Australian Department of Education and Training and NCVER collections</w:t>
      </w:r>
      <w:r w:rsidR="00D27E4C">
        <w:t>.</w:t>
      </w:r>
    </w:p>
    <w:p w:rsidR="008D6E9B" w:rsidRDefault="00BA7FF8" w:rsidP="008D6E9B">
      <w:pPr>
        <w:pStyle w:val="Text"/>
      </w:pPr>
      <w:r>
        <w:t>P</w:t>
      </w:r>
      <w:r w:rsidR="00EF4122">
        <w:t xml:space="preserve">art </w:t>
      </w:r>
      <w:r w:rsidR="00636AEE">
        <w:t xml:space="preserve">of the </w:t>
      </w:r>
      <w:r w:rsidR="00EF4122">
        <w:t xml:space="preserve">explanation </w:t>
      </w:r>
      <w:r w:rsidR="00636AEE">
        <w:t xml:space="preserve">for </w:t>
      </w:r>
      <w:r w:rsidR="00EF4122">
        <w:t>this</w:t>
      </w:r>
      <w:r w:rsidR="006150A8">
        <w:t xml:space="preserve"> </w:t>
      </w:r>
      <w:r>
        <w:t>may be</w:t>
      </w:r>
      <w:r w:rsidR="006150A8">
        <w:t xml:space="preserve"> </w:t>
      </w:r>
      <w:r w:rsidR="00563711">
        <w:t>that</w:t>
      </w:r>
      <w:r w:rsidR="00636AEE">
        <w:t>,</w:t>
      </w:r>
      <w:r w:rsidR="00563711">
        <w:t xml:space="preserve"> among the 77 training packages on </w:t>
      </w:r>
      <w:r w:rsidR="00563711" w:rsidRPr="006150A8">
        <w:t>training.gov.au</w:t>
      </w:r>
      <w:r w:rsidR="00636AEE">
        <w:t>,</w:t>
      </w:r>
      <w:r w:rsidR="00932F20">
        <w:t xml:space="preserve"> </w:t>
      </w:r>
      <w:r w:rsidR="00563711">
        <w:t xml:space="preserve">a small group </w:t>
      </w:r>
      <w:r>
        <w:t xml:space="preserve">is </w:t>
      </w:r>
      <w:r w:rsidR="00563711">
        <w:t xml:space="preserve">exempt from reporting </w:t>
      </w:r>
      <w:r w:rsidR="00D57651">
        <w:t>to the national VET collections. T</w:t>
      </w:r>
      <w:r w:rsidR="00563711">
        <w:t xml:space="preserve">hey may appear to have </w:t>
      </w:r>
      <w:r w:rsidR="00D57651">
        <w:t>qualifications with zero enrolments</w:t>
      </w:r>
      <w:r>
        <w:t>,</w:t>
      </w:r>
      <w:r w:rsidR="00563711">
        <w:t xml:space="preserve"> </w:t>
      </w:r>
      <w:r w:rsidR="006150A8">
        <w:t>although</w:t>
      </w:r>
      <w:r w:rsidR="00563711">
        <w:t xml:space="preserve"> this may not be the case (for example, the Defence Training </w:t>
      </w:r>
      <w:r w:rsidR="008D6E9B">
        <w:t>Package and various enterprise t</w:t>
      </w:r>
      <w:r w:rsidR="00563711">
        <w:t xml:space="preserve">raining </w:t>
      </w:r>
      <w:r w:rsidR="008D6E9B">
        <w:t>p</w:t>
      </w:r>
      <w:r w:rsidR="00563711">
        <w:t xml:space="preserve">ackages that are listed as having confidential status on </w:t>
      </w:r>
      <w:r w:rsidR="00D57651" w:rsidRPr="006150A8">
        <w:t>www.</w:t>
      </w:r>
      <w:r w:rsidR="00563711" w:rsidRPr="006150A8">
        <w:t>training.gov.au).</w:t>
      </w:r>
    </w:p>
    <w:p w:rsidR="0085781D" w:rsidRDefault="008D6E9B" w:rsidP="00103A31">
      <w:pPr>
        <w:pStyle w:val="Heading1"/>
      </w:pPr>
      <w:r>
        <w:br w:type="page"/>
      </w:r>
      <w:bookmarkStart w:id="66" w:name="_Toc465162161"/>
      <w:r w:rsidR="00510A67" w:rsidRPr="00510A67">
        <w:rPr>
          <w:noProof/>
          <w:lang w:eastAsia="en-AU"/>
        </w:rPr>
        <w:lastRenderedPageBreak/>
        <w:drawing>
          <wp:anchor distT="0" distB="0" distL="114300" distR="114300" simplePos="0" relativeHeight="252026880" behindDoc="1" locked="0" layoutInCell="1" allowOverlap="1" wp14:anchorId="2631E86B" wp14:editId="63AE0E4F">
            <wp:simplePos x="0" y="0"/>
            <wp:positionH relativeFrom="column">
              <wp:posOffset>-29210</wp:posOffset>
            </wp:positionH>
            <wp:positionV relativeFrom="paragraph">
              <wp:posOffset>-38100</wp:posOffset>
            </wp:positionV>
            <wp:extent cx="426085" cy="481965"/>
            <wp:effectExtent l="0" t="0" r="0" b="0"/>
            <wp:wrapTight wrapText="bothSides">
              <wp:wrapPolygon edited="0">
                <wp:start x="4829" y="0"/>
                <wp:lineTo x="0" y="4269"/>
                <wp:lineTo x="0" y="14514"/>
                <wp:lineTo x="4829" y="17929"/>
                <wp:lineTo x="5794" y="19636"/>
                <wp:lineTo x="14486" y="19636"/>
                <wp:lineTo x="15452" y="17929"/>
                <wp:lineTo x="20280" y="14514"/>
                <wp:lineTo x="20280" y="3415"/>
                <wp:lineTo x="14486" y="0"/>
                <wp:lineTo x="4829"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TargetWithArrowFindings_CorpBlue.e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2608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C3D">
        <w:t>Vocational scope of qualifications</w:t>
      </w:r>
      <w:bookmarkEnd w:id="66"/>
    </w:p>
    <w:p w:rsidR="00200A39" w:rsidRDefault="00334A24" w:rsidP="00E04758">
      <w:pPr>
        <w:pStyle w:val="Text"/>
      </w:pPr>
      <w:r>
        <w:t xml:space="preserve">Tracking the uptake of qualifications provides us with information on the extent to which </w:t>
      </w:r>
      <w:r w:rsidR="00EF4122">
        <w:t xml:space="preserve">students </w:t>
      </w:r>
      <w:r>
        <w:t>choose the qualifications on offer</w:t>
      </w:r>
      <w:r w:rsidR="00D27E4C">
        <w:t xml:space="preserve"> </w:t>
      </w:r>
      <w:r w:rsidR="00EF4122">
        <w:t>or</w:t>
      </w:r>
      <w:r w:rsidR="00D27E4C">
        <w:t>,</w:t>
      </w:r>
      <w:r w:rsidR="00EF4122">
        <w:t xml:space="preserve"> more pertinently</w:t>
      </w:r>
      <w:r w:rsidR="00D27E4C">
        <w:t>,</w:t>
      </w:r>
      <w:r w:rsidR="00EF4122">
        <w:t xml:space="preserve"> </w:t>
      </w:r>
      <w:r w:rsidR="00D27E4C">
        <w:t>the qualifi</w:t>
      </w:r>
      <w:r w:rsidR="00D57651">
        <w:t xml:space="preserve">cations that providers </w:t>
      </w:r>
      <w:r w:rsidR="00D27E4C">
        <w:t>offer to students</w:t>
      </w:r>
      <w:r>
        <w:t xml:space="preserve">; </w:t>
      </w:r>
      <w:r w:rsidR="00545D87">
        <w:t xml:space="preserve">however, </w:t>
      </w:r>
      <w:r>
        <w:t>it does not tell us much about the utility of qualifications, especially in terms of how they prepare people for current and future labour markets.</w:t>
      </w:r>
    </w:p>
    <w:p w:rsidR="00200A39" w:rsidRDefault="00200A39" w:rsidP="00334A24">
      <w:pPr>
        <w:pStyle w:val="Text"/>
      </w:pPr>
      <w:r>
        <w:t xml:space="preserve">Two of the reform directions </w:t>
      </w:r>
      <w:r w:rsidR="006150A8">
        <w:t xml:space="preserve">noted above </w:t>
      </w:r>
      <w:r w:rsidR="00545D87">
        <w:t>target</w:t>
      </w:r>
      <w:r>
        <w:t xml:space="preserve"> this issue, </w:t>
      </w:r>
      <w:r w:rsidR="00DA1040">
        <w:t xml:space="preserve">these </w:t>
      </w:r>
      <w:r>
        <w:t xml:space="preserve">being </w:t>
      </w:r>
      <w:r w:rsidR="00DA1040">
        <w:t>‘</w:t>
      </w:r>
      <w:r>
        <w:t>ensuring the training system better supports individuals to move easily from one related occupation to another</w:t>
      </w:r>
      <w:r w:rsidR="00DA1040">
        <w:t>’</w:t>
      </w:r>
      <w:r>
        <w:t xml:space="preserve"> and </w:t>
      </w:r>
      <w:r w:rsidR="00DA1040">
        <w:t>‘</w:t>
      </w:r>
      <w:r>
        <w:t>improving the efficiency of the training system by creating units that can be owned and used by multiple industry sectors</w:t>
      </w:r>
      <w:r w:rsidR="00DA1040">
        <w:t>’</w:t>
      </w:r>
      <w:r w:rsidR="001A0371">
        <w:t>.</w:t>
      </w:r>
    </w:p>
    <w:p w:rsidR="00334A24" w:rsidRPr="001A0371" w:rsidRDefault="00334A24" w:rsidP="001A0371">
      <w:pPr>
        <w:pStyle w:val="Text"/>
      </w:pPr>
      <w:r>
        <w:t xml:space="preserve">One way to </w:t>
      </w:r>
      <w:r w:rsidR="006150A8">
        <w:t>consi</w:t>
      </w:r>
      <w:r w:rsidR="00F711E7">
        <w:rPr>
          <w:noProof/>
          <w:lang w:eastAsia="en-AU"/>
        </w:rPr>
        <mc:AlternateContent>
          <mc:Choice Requires="wps">
            <w:drawing>
              <wp:anchor distT="0" distB="0" distL="114300" distR="114300" simplePos="0" relativeHeight="252052480" behindDoc="0" locked="1" layoutInCell="1" allowOverlap="1" wp14:anchorId="2767EACE" wp14:editId="58A7AF36">
                <wp:simplePos x="0" y="0"/>
                <wp:positionH relativeFrom="outsideMargin">
                  <wp:posOffset>165100</wp:posOffset>
                </wp:positionH>
                <wp:positionV relativeFrom="page">
                  <wp:posOffset>847725</wp:posOffset>
                </wp:positionV>
                <wp:extent cx="1320800" cy="1895475"/>
                <wp:effectExtent l="0" t="0" r="0" b="0"/>
                <wp:wrapNone/>
                <wp:docPr id="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8954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83E4B" w:rsidRPr="00543BFF" w:rsidRDefault="00883E4B" w:rsidP="00F711E7">
                            <w:pPr>
                              <w:pStyle w:val="PullQuote"/>
                            </w:pPr>
                            <w:r>
                              <w:t>The Certificate III in Individual Support has multiple specialisations covering different jobs.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3pt;margin-top:66.75pt;width:104pt;height:149.25pt;z-index:2520524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" filled="f" stroked="f" strokeweight=".5pt">
                <v:shadow on="t" type="perspective" color="black" opacity="9830f" origin=",.5" offset="0,25pt" matrix="58982f,,,-12452f"/>
                <v:path arrowok="t"/>
                <v:textbox inset="10mm">
                  <w:txbxContent>
                    <w:p w:rsidR="00883E4B" w:rsidRPr="00543BFF" w:rsidRDefault="00883E4B" w:rsidP="00F711E7">
                      <w:pPr>
                        <w:pStyle w:val="PullQuote"/>
                      </w:pPr>
                      <w:r>
                        <w:t>The Certificate III in Individual Support has multiple specialisations covering different jobs.</w:t>
                      </w:r>
                    </w:p>
                  </w:txbxContent>
                </v:textbox>
                <w10:wrap anchorx="margin" anchory="page"/>
                <w10:anchorlock/>
              </v:shape>
            </w:pict>
          </mc:Fallback>
        </mc:AlternateContent>
      </w:r>
      <w:r w:rsidR="006150A8">
        <w:t>der</w:t>
      </w:r>
      <w:r>
        <w:t xml:space="preserve"> the utility of qualific</w:t>
      </w:r>
      <w:r w:rsidR="00545D87">
        <w:t>ations is to use a different, and</w:t>
      </w:r>
      <w:r>
        <w:t xml:space="preserve"> broader</w:t>
      </w:r>
      <w:r w:rsidR="00545D87">
        <w:t>,</w:t>
      </w:r>
      <w:r>
        <w:t xml:space="preserve"> organising framework</w:t>
      </w:r>
      <w:r w:rsidR="006150A8">
        <w:t>, one</w:t>
      </w:r>
      <w:r>
        <w:t xml:space="preserve"> </w:t>
      </w:r>
      <w:r w:rsidR="00D57651">
        <w:t>that</w:t>
      </w:r>
      <w:r>
        <w:t xml:space="preserve"> recognises the need to provide students with skills and </w:t>
      </w:r>
      <w:r w:rsidRPr="001A0371">
        <w:t xml:space="preserve">knowledge </w:t>
      </w:r>
      <w:r w:rsidR="00D57651">
        <w:t>that</w:t>
      </w:r>
      <w:r w:rsidRPr="001A0371">
        <w:t xml:space="preserve"> can be easily transferred to existing and emerging job requirements. </w:t>
      </w:r>
    </w:p>
    <w:p w:rsidR="001A0371" w:rsidRPr="001A0371" w:rsidRDefault="007A2EBA" w:rsidP="001A0371">
      <w:pPr>
        <w:pStyle w:val="Text"/>
      </w:pPr>
      <w:r w:rsidRPr="001A0371">
        <w:t xml:space="preserve">The Australian Government’s Review of Training Packages and Accredited </w:t>
      </w:r>
      <w:r w:rsidRPr="00D27E4C">
        <w:t>Courses</w:t>
      </w:r>
      <w:r w:rsidR="006150A8">
        <w:t xml:space="preserve"> (Department of Industry </w:t>
      </w:r>
      <w:r w:rsidR="005B4A20">
        <w:t xml:space="preserve">2014) </w:t>
      </w:r>
      <w:r w:rsidRPr="00D27E4C">
        <w:t>also</w:t>
      </w:r>
      <w:r w:rsidRPr="001A0371">
        <w:t xml:space="preserve"> noted that it was important to the economy that the Australian workforce </w:t>
      </w:r>
      <w:r w:rsidR="005B4A20">
        <w:t>was</w:t>
      </w:r>
      <w:r w:rsidRPr="001A0371">
        <w:t xml:space="preserve"> both ‘geographically and occupationally mobile’. To this end</w:t>
      </w:r>
      <w:r w:rsidR="00D57651">
        <w:t>,</w:t>
      </w:r>
      <w:r w:rsidRPr="001A0371">
        <w:t xml:space="preserve"> it identified </w:t>
      </w:r>
      <w:r w:rsidR="008629D1">
        <w:t xml:space="preserve">the need for a </w:t>
      </w:r>
      <w:r w:rsidRPr="001A0371">
        <w:t>di</w:t>
      </w:r>
      <w:r w:rsidR="001A0371" w:rsidRPr="001A0371">
        <w:t xml:space="preserve">fferent approach </w:t>
      </w:r>
      <w:r w:rsidR="00636AEE">
        <w:t>to</w:t>
      </w:r>
      <w:r w:rsidR="001A0371" w:rsidRPr="001A0371">
        <w:t xml:space="preserve"> designing t</w:t>
      </w:r>
      <w:r w:rsidRPr="001A0371">
        <w:t xml:space="preserve">raining </w:t>
      </w:r>
      <w:r w:rsidR="001A0371" w:rsidRPr="001A0371">
        <w:t>p</w:t>
      </w:r>
      <w:r w:rsidRPr="001A0371">
        <w:t xml:space="preserve">ackage qualifications </w:t>
      </w:r>
      <w:r w:rsidR="005B4A20">
        <w:t>to</w:t>
      </w:r>
      <w:r w:rsidRPr="001A0371">
        <w:t xml:space="preserve"> enable easier transition between related qualifications. </w:t>
      </w:r>
    </w:p>
    <w:p w:rsidR="007A2EBA" w:rsidRPr="001A0371" w:rsidRDefault="005B4A20" w:rsidP="001A0371">
      <w:pPr>
        <w:pStyle w:val="Text"/>
      </w:pPr>
      <w:r>
        <w:t>A practical</w:t>
      </w:r>
      <w:r w:rsidR="001A0371" w:rsidRPr="001A0371">
        <w:t xml:space="preserve"> example of this </w:t>
      </w:r>
      <w:r w:rsidR="00545D87">
        <w:t>can be found</w:t>
      </w:r>
      <w:r>
        <w:t xml:space="preserve"> </w:t>
      </w:r>
      <w:r w:rsidR="001A0371" w:rsidRPr="001A0371">
        <w:t xml:space="preserve">in training in the area of caring and human services. The </w:t>
      </w:r>
      <w:r w:rsidR="007A2EBA" w:rsidRPr="001A0371">
        <w:t>Community Services Training P</w:t>
      </w:r>
      <w:r w:rsidR="001A0371" w:rsidRPr="001A0371">
        <w:t>ackage has a qualification (</w:t>
      </w:r>
      <w:r w:rsidR="00D27E4C">
        <w:t>C</w:t>
      </w:r>
      <w:r w:rsidR="007A2EBA" w:rsidRPr="001A0371">
        <w:t>ertificate III in Individual Support) that has been designed along these lines. This qualification has a core set of units</w:t>
      </w:r>
      <w:r>
        <w:t>,</w:t>
      </w:r>
      <w:r w:rsidR="007A2EBA" w:rsidRPr="001A0371">
        <w:t xml:space="preserve"> with specialised units for differen</w:t>
      </w:r>
      <w:r w:rsidR="00BA7FF8">
        <w:t>t streams of community services. The structure of this</w:t>
      </w:r>
      <w:r w:rsidR="001A0371" w:rsidRPr="001A0371">
        <w:t xml:space="preserve"> qualification (and elective units within it) makes it possible to change or add on a different specialisation</w:t>
      </w:r>
      <w:r w:rsidR="00BA7FF8">
        <w:t xml:space="preserve">, which </w:t>
      </w:r>
      <w:r w:rsidR="007B6413">
        <w:t>eliminates</w:t>
      </w:r>
      <w:r w:rsidR="00BA7FF8">
        <w:t xml:space="preserve"> the need </w:t>
      </w:r>
      <w:r w:rsidR="00636AEE">
        <w:t xml:space="preserve">to </w:t>
      </w:r>
      <w:r w:rsidR="00BA7FF8" w:rsidRPr="001A0371">
        <w:t>undertake a whole new certificate</w:t>
      </w:r>
      <w:r w:rsidR="00BA7FF8">
        <w:t xml:space="preserve"> </w:t>
      </w:r>
      <w:r w:rsidR="00BA7FF8" w:rsidRPr="001A0371">
        <w:t>for working in aged care, disability or home or community support</w:t>
      </w:r>
      <w:r w:rsidR="001A0371" w:rsidRPr="001A0371">
        <w:t>.</w:t>
      </w:r>
      <w:r w:rsidR="007A2EBA" w:rsidRPr="001A0371">
        <w:t xml:space="preserve"> </w:t>
      </w:r>
    </w:p>
    <w:p w:rsidR="00D27E4C" w:rsidRDefault="00AA3B45" w:rsidP="00B87B26">
      <w:pPr>
        <w:pStyle w:val="Text"/>
      </w:pPr>
      <w:r w:rsidRPr="001A0371">
        <w:t xml:space="preserve">The published research pertinent to this line of thinking is </w:t>
      </w:r>
      <w:r w:rsidR="00EA0C9C">
        <w:t>considerable and recent</w:t>
      </w:r>
      <w:r w:rsidRPr="001A0371">
        <w:t xml:space="preserve">. </w:t>
      </w:r>
      <w:r w:rsidR="00FE7305" w:rsidRPr="00FE7305">
        <w:t xml:space="preserve">The concept of broader qualifications </w:t>
      </w:r>
      <w:r w:rsidR="00FE7305">
        <w:t xml:space="preserve">has </w:t>
      </w:r>
      <w:r w:rsidR="00FE7305" w:rsidRPr="00FE7305">
        <w:t xml:space="preserve">been </w:t>
      </w:r>
      <w:r w:rsidR="00636AEE">
        <w:t>investigated</w:t>
      </w:r>
      <w:r w:rsidR="00FE7305" w:rsidRPr="00FE7305">
        <w:t xml:space="preserve"> by </w:t>
      </w:r>
      <w:proofErr w:type="spellStart"/>
      <w:r w:rsidR="00FE7305" w:rsidRPr="00FE7305">
        <w:t>Wheelahan</w:t>
      </w:r>
      <w:proofErr w:type="spellEnd"/>
      <w:r w:rsidR="00FE7305" w:rsidRPr="00FE7305">
        <w:t>, Buchanan and Yu (</w:t>
      </w:r>
      <w:r w:rsidR="005B4A20">
        <w:t>2015), who</w:t>
      </w:r>
      <w:r w:rsidR="00FE7305" w:rsidRPr="00FE7305">
        <w:t xml:space="preserve"> believe that the current way we think about qualifications does not provide a suitable or realistic analysis of how they a</w:t>
      </w:r>
      <w:r w:rsidR="005B4A20">
        <w:t xml:space="preserve">re used in the labour market. </w:t>
      </w:r>
      <w:r w:rsidR="00FE7305" w:rsidRPr="00FE7305">
        <w:t>Noting that ‘qualifications are only one aspect of workforce development’</w:t>
      </w:r>
      <w:r w:rsidR="005B4A20">
        <w:t>,</w:t>
      </w:r>
      <w:r w:rsidR="00FE7305" w:rsidRPr="00FE7305">
        <w:t xml:space="preserve"> they report that it makes more sense to think about vocations and vocational streams as organising frameworks, coupled with concepts of cap</w:t>
      </w:r>
      <w:r w:rsidR="00545D87">
        <w:t>abilities or general skills, which</w:t>
      </w:r>
      <w:r w:rsidR="00FE7305" w:rsidRPr="00FE7305">
        <w:t xml:space="preserve"> enable individuals to work productively in the labour market.</w:t>
      </w:r>
      <w:r w:rsidR="00932F20">
        <w:t xml:space="preserve"> </w:t>
      </w:r>
    </w:p>
    <w:p w:rsidR="00AA3B45" w:rsidRPr="001A0371" w:rsidRDefault="00FE7305" w:rsidP="00B87B26">
      <w:pPr>
        <w:pStyle w:val="Text"/>
      </w:pPr>
      <w:r w:rsidRPr="00FE7305">
        <w:t>Both of these concepts are based on common or shared sets of practice, skills, knowledge and attributes. A vocation looks at domains of common practices</w:t>
      </w:r>
      <w:r w:rsidR="005B4A20">
        <w:t>,</w:t>
      </w:r>
      <w:r w:rsidRPr="00FE7305">
        <w:t xml:space="preserve"> while a vocational stream looks at the structure and the linking of occupations. For example, aged care and disability care can be grouped under one vocation (for example, care work), while </w:t>
      </w:r>
      <w:r w:rsidR="00545D87">
        <w:t>the way by which</w:t>
      </w:r>
      <w:r w:rsidRPr="00FE7305">
        <w:t xml:space="preserve"> occupations are structured and linked can be used to describe pathways like vocational streams. In both cases</w:t>
      </w:r>
      <w:r w:rsidR="00D57651">
        <w:t>,</w:t>
      </w:r>
      <w:r w:rsidRPr="00FE7305">
        <w:t xml:space="preserve"> qualifications would prepare individuals for broad areas of work rather than narrow job roles. A vocational stream would reflect occupational structures that can either be vertically or laterally related; the vertical structure would signify increased specialisation within a particular field.</w:t>
      </w:r>
      <w:r w:rsidR="00932F20">
        <w:t xml:space="preserve"> </w:t>
      </w:r>
    </w:p>
    <w:p w:rsidR="001A0371" w:rsidRDefault="00AA3B45" w:rsidP="001A0371">
      <w:pPr>
        <w:pStyle w:val="Text"/>
      </w:pPr>
      <w:r w:rsidRPr="001A0371">
        <w:lastRenderedPageBreak/>
        <w:t>This</w:t>
      </w:r>
      <w:r w:rsidR="00334A24" w:rsidRPr="001A0371">
        <w:t xml:space="preserve"> type of thinking </w:t>
      </w:r>
      <w:r w:rsidR="00545D87">
        <w:t>has been</w:t>
      </w:r>
      <w:r w:rsidR="00334A24" w:rsidRPr="001A0371">
        <w:t xml:space="preserve"> </w:t>
      </w:r>
      <w:r w:rsidRPr="001A0371">
        <w:t>adop</w:t>
      </w:r>
      <w:r w:rsidR="00196C5B">
        <w:t xml:space="preserve">ted </w:t>
      </w:r>
      <w:r w:rsidR="00545D87">
        <w:t xml:space="preserve">as </w:t>
      </w:r>
      <w:r w:rsidR="00196C5B">
        <w:t>policy by the UK Government</w:t>
      </w:r>
      <w:r w:rsidRPr="001A0371">
        <w:t xml:space="preserve"> in</w:t>
      </w:r>
      <w:r w:rsidR="00D57651">
        <w:t xml:space="preserve"> </w:t>
      </w:r>
      <w:r w:rsidR="00196C5B">
        <w:t>its</w:t>
      </w:r>
      <w:r w:rsidR="00334A24" w:rsidRPr="001A0371">
        <w:t xml:space="preserve"> Post-16 </w:t>
      </w:r>
      <w:r w:rsidR="005B4A20" w:rsidRPr="001A0371">
        <w:t>Skills Plan</w:t>
      </w:r>
      <w:r w:rsidR="005B4A20">
        <w:t xml:space="preserve">, </w:t>
      </w:r>
      <w:r w:rsidR="00334A24" w:rsidRPr="001A0371">
        <w:t>released in July 2016</w:t>
      </w:r>
      <w:r w:rsidR="00D27E4C">
        <w:t xml:space="preserve"> (Department for Business, Innovation &amp; Skills &amp; Department for Education 2016). </w:t>
      </w:r>
      <w:r w:rsidR="00334A24" w:rsidRPr="001A0371">
        <w:t xml:space="preserve">This plan aims to organise the </w:t>
      </w:r>
      <w:r w:rsidR="00B17142">
        <w:t>P</w:t>
      </w:r>
      <w:r w:rsidR="00334A24" w:rsidRPr="001A0371">
        <w:t>ost-16 education and training system into two main options: the academic</w:t>
      </w:r>
      <w:r w:rsidR="00334A24">
        <w:t xml:space="preserve"> and the technical option</w:t>
      </w:r>
      <w:r w:rsidR="005B4A20">
        <w:t>s</w:t>
      </w:r>
      <w:r w:rsidR="00334A24">
        <w:t>, and to improve the status of the technical option. The technical option will prepare individuals with the skills required for work; it will give employers a leadership role in</w:t>
      </w:r>
      <w:r w:rsidR="00545D87">
        <w:t xml:space="preserve"> the establishment of standards;</w:t>
      </w:r>
      <w:r w:rsidR="00334A24">
        <w:t xml:space="preserve"> and </w:t>
      </w:r>
      <w:r w:rsidR="00545D87">
        <w:t xml:space="preserve">it </w:t>
      </w:r>
      <w:r w:rsidR="00334A24">
        <w:t>will focus on college-based education and apprenticeships (that is, employment-based training).</w:t>
      </w:r>
      <w:r w:rsidR="00932F20">
        <w:t xml:space="preserve"> </w:t>
      </w:r>
    </w:p>
    <w:p w:rsidR="00334A24" w:rsidRDefault="00334A24" w:rsidP="001A0371">
      <w:pPr>
        <w:pStyle w:val="Text"/>
      </w:pPr>
      <w:r>
        <w:t>Anoth</w:t>
      </w:r>
      <w:r w:rsidR="00FF0947">
        <w:t>er focus of the Post-16 Skills P</w:t>
      </w:r>
      <w:r>
        <w:t xml:space="preserve">lan is to create 15 new </w:t>
      </w:r>
      <w:r w:rsidRPr="009920EC">
        <w:rPr>
          <w:i/>
        </w:rPr>
        <w:t>technical routes</w:t>
      </w:r>
      <w:r>
        <w:t xml:space="preserve">. These routes (akin to the </w:t>
      </w:r>
      <w:r w:rsidRPr="009920EC">
        <w:rPr>
          <w:i/>
        </w:rPr>
        <w:t>vocational streams</w:t>
      </w:r>
      <w:r>
        <w:t xml:space="preserve"> concept) are based on the number employed in each of the occupations that have been grouped together. The proposed</w:t>
      </w:r>
      <w:r w:rsidR="00967D44">
        <w:t xml:space="preserve"> routes are described in table 5</w:t>
      </w:r>
      <w:r>
        <w:t xml:space="preserve">. </w:t>
      </w:r>
    </w:p>
    <w:p w:rsidR="00334A24" w:rsidRDefault="00334A24" w:rsidP="00334A24">
      <w:pPr>
        <w:pStyle w:val="Tabletitle"/>
      </w:pPr>
      <w:bookmarkStart w:id="67" w:name="_Toc465162108"/>
      <w:r>
        <w:t xml:space="preserve">Table </w:t>
      </w:r>
      <w:r w:rsidR="00967D44">
        <w:t>5</w:t>
      </w:r>
      <w:r>
        <w:t xml:space="preserve"> </w:t>
      </w:r>
      <w:proofErr w:type="gramStart"/>
      <w:r>
        <w:t>The</w:t>
      </w:r>
      <w:proofErr w:type="gramEnd"/>
      <w:r>
        <w:t xml:space="preserve"> proposed United Kingdom Post-16 </w:t>
      </w:r>
      <w:r w:rsidR="00D57651">
        <w:t xml:space="preserve">Skills </w:t>
      </w:r>
      <w:r>
        <w:t>Plan technical routes</w:t>
      </w:r>
      <w:bookmarkEnd w:id="67"/>
      <w:r>
        <w:t xml:space="preserve"> </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5493"/>
      </w:tblGrid>
      <w:tr w:rsidR="00D57651" w:rsidTr="001C6000">
        <w:tc>
          <w:tcPr>
            <w:tcW w:w="2660" w:type="dxa"/>
            <w:tcBorders>
              <w:bottom w:val="single" w:sz="4" w:space="0" w:color="auto"/>
            </w:tcBorders>
          </w:tcPr>
          <w:p w:rsidR="00D57651" w:rsidRPr="00A52078" w:rsidRDefault="00D57651" w:rsidP="00C43EB5">
            <w:pPr>
              <w:pStyle w:val="Tablehead1"/>
            </w:pPr>
            <w:r w:rsidRPr="00A52078">
              <w:t>Proposed routes</w:t>
            </w:r>
          </w:p>
        </w:tc>
        <w:tc>
          <w:tcPr>
            <w:tcW w:w="5493" w:type="dxa"/>
            <w:tcBorders>
              <w:bottom w:val="single" w:sz="4" w:space="0" w:color="auto"/>
            </w:tcBorders>
          </w:tcPr>
          <w:p w:rsidR="00D57651" w:rsidRPr="00A52078" w:rsidRDefault="00D57651" w:rsidP="00C43EB5">
            <w:pPr>
              <w:pStyle w:val="Tablehead1"/>
            </w:pPr>
            <w:r w:rsidRPr="00A52078">
              <w:t>Typical job roles</w:t>
            </w:r>
          </w:p>
        </w:tc>
      </w:tr>
      <w:tr w:rsidR="00D57651" w:rsidTr="001C6000">
        <w:tc>
          <w:tcPr>
            <w:tcW w:w="2660" w:type="dxa"/>
            <w:tcBorders>
              <w:top w:val="single" w:sz="4" w:space="0" w:color="auto"/>
              <w:bottom w:val="nil"/>
            </w:tcBorders>
          </w:tcPr>
          <w:p w:rsidR="00D57651" w:rsidRPr="0057134F" w:rsidRDefault="00D57651" w:rsidP="00C43EB5">
            <w:pPr>
              <w:pStyle w:val="Tabletext"/>
            </w:pPr>
            <w:r w:rsidRPr="0057134F">
              <w:t xml:space="preserve">Agriculture, </w:t>
            </w:r>
            <w:r w:rsidR="005B4A20" w:rsidRPr="0057134F">
              <w:t xml:space="preserve">environmental and animal care </w:t>
            </w:r>
          </w:p>
        </w:tc>
        <w:tc>
          <w:tcPr>
            <w:tcW w:w="5493" w:type="dxa"/>
            <w:tcBorders>
              <w:top w:val="single" w:sz="4" w:space="0" w:color="auto"/>
              <w:bottom w:val="nil"/>
            </w:tcBorders>
          </w:tcPr>
          <w:p w:rsidR="00D57651" w:rsidRPr="0057134F" w:rsidRDefault="00D57651" w:rsidP="00C43EB5">
            <w:pPr>
              <w:pStyle w:val="Tabletext"/>
            </w:pPr>
            <w:r w:rsidRPr="0057134F">
              <w:t>Conservationist, park ranger, farmer, horticulturalist, agricultural manager, agricultural technician</w:t>
            </w:r>
          </w:p>
        </w:tc>
      </w:tr>
      <w:tr w:rsidR="00D57651" w:rsidTr="001C6000">
        <w:tc>
          <w:tcPr>
            <w:tcW w:w="2660" w:type="dxa"/>
            <w:tcBorders>
              <w:top w:val="nil"/>
            </w:tcBorders>
          </w:tcPr>
          <w:p w:rsidR="00D57651" w:rsidRPr="0057134F" w:rsidRDefault="00D57651" w:rsidP="00C43EB5">
            <w:pPr>
              <w:pStyle w:val="Tabletext"/>
            </w:pPr>
            <w:r w:rsidRPr="0057134F">
              <w:t xml:space="preserve">Business and </w:t>
            </w:r>
            <w:r w:rsidR="005B4A20" w:rsidRPr="0057134F">
              <w:t>administrative</w:t>
            </w:r>
          </w:p>
        </w:tc>
        <w:tc>
          <w:tcPr>
            <w:tcW w:w="5493" w:type="dxa"/>
            <w:tcBorders>
              <w:top w:val="nil"/>
            </w:tcBorders>
          </w:tcPr>
          <w:p w:rsidR="00D57651" w:rsidRPr="0057134F" w:rsidRDefault="00D57651" w:rsidP="00C43EB5">
            <w:pPr>
              <w:pStyle w:val="Tabletext"/>
            </w:pPr>
            <w:r w:rsidRPr="0057134F">
              <w:t>Human resources officer, office manager, administrative officer, housing officer</w:t>
            </w:r>
          </w:p>
        </w:tc>
      </w:tr>
      <w:tr w:rsidR="00D57651" w:rsidTr="001C6000">
        <w:tc>
          <w:tcPr>
            <w:tcW w:w="2660" w:type="dxa"/>
          </w:tcPr>
          <w:p w:rsidR="00D57651" w:rsidRPr="0057134F" w:rsidRDefault="00D57651" w:rsidP="00C43EB5">
            <w:pPr>
              <w:pStyle w:val="Tabletext"/>
            </w:pPr>
            <w:r w:rsidRPr="0057134F">
              <w:t xml:space="preserve">Catering and </w:t>
            </w:r>
            <w:r w:rsidR="005B4A20" w:rsidRPr="0057134F">
              <w:t>hospitality</w:t>
            </w:r>
          </w:p>
        </w:tc>
        <w:tc>
          <w:tcPr>
            <w:tcW w:w="5493" w:type="dxa"/>
          </w:tcPr>
          <w:p w:rsidR="00D57651" w:rsidRPr="0057134F" w:rsidRDefault="00D57651" w:rsidP="00C43EB5">
            <w:pPr>
              <w:pStyle w:val="Tabletext"/>
            </w:pPr>
            <w:r w:rsidRPr="0057134F">
              <w:t>Chef, butcher, baker, catering manager, events manager</w:t>
            </w:r>
          </w:p>
        </w:tc>
      </w:tr>
      <w:tr w:rsidR="00D57651" w:rsidTr="001C6000">
        <w:tc>
          <w:tcPr>
            <w:tcW w:w="2660" w:type="dxa"/>
          </w:tcPr>
          <w:p w:rsidR="00D57651" w:rsidRPr="0057134F" w:rsidRDefault="005B4A20" w:rsidP="00C43EB5">
            <w:pPr>
              <w:pStyle w:val="Tabletext"/>
            </w:pPr>
            <w:r>
              <w:t>Childcare and e</w:t>
            </w:r>
            <w:r w:rsidR="00D57651" w:rsidRPr="0057134F">
              <w:t>ducation</w:t>
            </w:r>
          </w:p>
        </w:tc>
        <w:tc>
          <w:tcPr>
            <w:tcW w:w="5493" w:type="dxa"/>
          </w:tcPr>
          <w:p w:rsidR="00D57651" w:rsidRPr="0057134F" w:rsidRDefault="00D57651" w:rsidP="00C43EB5">
            <w:pPr>
              <w:pStyle w:val="Tabletext"/>
            </w:pPr>
            <w:r w:rsidRPr="0057134F">
              <w:t xml:space="preserve">Nursery assistant, early years officer, teaching assistant, youth worker </w:t>
            </w:r>
          </w:p>
        </w:tc>
      </w:tr>
      <w:tr w:rsidR="00D57651" w:rsidTr="001C6000">
        <w:tc>
          <w:tcPr>
            <w:tcW w:w="2660" w:type="dxa"/>
          </w:tcPr>
          <w:p w:rsidR="00D57651" w:rsidRPr="0057134F" w:rsidRDefault="007B6413" w:rsidP="00C43EB5">
            <w:pPr>
              <w:pStyle w:val="Tabletext"/>
            </w:pPr>
            <w:r>
              <w:t>C</w:t>
            </w:r>
            <w:r w:rsidR="00D57651" w:rsidRPr="0057134F">
              <w:t>onstruction</w:t>
            </w:r>
          </w:p>
        </w:tc>
        <w:tc>
          <w:tcPr>
            <w:tcW w:w="5493" w:type="dxa"/>
          </w:tcPr>
          <w:p w:rsidR="00D57651" w:rsidRPr="0057134F" w:rsidRDefault="00D57651" w:rsidP="00C43EB5">
            <w:pPr>
              <w:pStyle w:val="Tabletext"/>
            </w:pPr>
            <w:r w:rsidRPr="0057134F">
              <w:t>Bricklayer/mason, electrician, building/civil engineering technician, carpenter/joiner, construction supervisor</w:t>
            </w:r>
          </w:p>
        </w:tc>
      </w:tr>
      <w:tr w:rsidR="00D57651" w:rsidTr="001C6000">
        <w:tc>
          <w:tcPr>
            <w:tcW w:w="2660" w:type="dxa"/>
          </w:tcPr>
          <w:p w:rsidR="00D57651" w:rsidRPr="0057134F" w:rsidRDefault="005B4A20" w:rsidP="00C43EB5">
            <w:pPr>
              <w:pStyle w:val="Tabletext"/>
            </w:pPr>
            <w:r>
              <w:t>Creative and d</w:t>
            </w:r>
            <w:r w:rsidR="00D57651" w:rsidRPr="0057134F">
              <w:t>esign</w:t>
            </w:r>
          </w:p>
        </w:tc>
        <w:tc>
          <w:tcPr>
            <w:tcW w:w="5493" w:type="dxa"/>
          </w:tcPr>
          <w:p w:rsidR="00D57651" w:rsidRPr="0057134F" w:rsidRDefault="00D57651" w:rsidP="00C43EB5">
            <w:pPr>
              <w:pStyle w:val="Tabletext"/>
            </w:pPr>
            <w:r w:rsidRPr="0057134F">
              <w:rPr>
                <w:rFonts w:eastAsiaTheme="minorHAnsi"/>
              </w:rPr>
              <w:t>Arts producer, graphic designer, audio-visual technician, journalist, product/clothing designer, upholsterer, tailor, furniture maker</w:t>
            </w:r>
          </w:p>
        </w:tc>
      </w:tr>
      <w:tr w:rsidR="00D57651" w:rsidTr="001C6000">
        <w:tc>
          <w:tcPr>
            <w:tcW w:w="2660" w:type="dxa"/>
          </w:tcPr>
          <w:p w:rsidR="00D57651" w:rsidRPr="0057134F" w:rsidRDefault="00D57651" w:rsidP="00C43EB5">
            <w:pPr>
              <w:pStyle w:val="Tabletext"/>
            </w:pPr>
            <w:r w:rsidRPr="0057134F">
              <w:t>Digital</w:t>
            </w:r>
          </w:p>
        </w:tc>
        <w:tc>
          <w:tcPr>
            <w:tcW w:w="5493" w:type="dxa"/>
          </w:tcPr>
          <w:p w:rsidR="00D57651" w:rsidRPr="0057134F" w:rsidRDefault="00D57651" w:rsidP="00C43EB5">
            <w:pPr>
              <w:pStyle w:val="Tabletext"/>
            </w:pPr>
            <w:r w:rsidRPr="0057134F">
              <w:t>IT business analyst/systems designer, programmer, software developer, IT technician, web designer, network administrator</w:t>
            </w:r>
          </w:p>
        </w:tc>
      </w:tr>
      <w:tr w:rsidR="00D57651" w:rsidTr="001C6000">
        <w:tc>
          <w:tcPr>
            <w:tcW w:w="2660" w:type="dxa"/>
          </w:tcPr>
          <w:p w:rsidR="00D57651" w:rsidRPr="0057134F" w:rsidRDefault="005B4A20" w:rsidP="00C43EB5">
            <w:pPr>
              <w:pStyle w:val="Tabletext"/>
            </w:pPr>
            <w:r>
              <w:t>Engineering and m</w:t>
            </w:r>
            <w:r w:rsidR="00D57651" w:rsidRPr="0057134F">
              <w:t>anufacturing</w:t>
            </w:r>
          </w:p>
        </w:tc>
        <w:tc>
          <w:tcPr>
            <w:tcW w:w="5493" w:type="dxa"/>
          </w:tcPr>
          <w:p w:rsidR="00D57651" w:rsidRPr="0057134F" w:rsidRDefault="00D57651" w:rsidP="00C43EB5">
            <w:pPr>
              <w:pStyle w:val="Tabletext"/>
            </w:pPr>
            <w:r w:rsidRPr="0057134F">
              <w:t>Engineering technician, vehicle mechanic, aircraft fitter, printer, process technician, energy plant operative</w:t>
            </w:r>
          </w:p>
        </w:tc>
      </w:tr>
      <w:tr w:rsidR="00D57651" w:rsidTr="001C6000">
        <w:tc>
          <w:tcPr>
            <w:tcW w:w="2660" w:type="dxa"/>
          </w:tcPr>
          <w:p w:rsidR="00D57651" w:rsidRPr="0057134F" w:rsidRDefault="005B4A20" w:rsidP="00C43EB5">
            <w:pPr>
              <w:pStyle w:val="Tabletext"/>
            </w:pPr>
            <w:r>
              <w:t>Hair and b</w:t>
            </w:r>
            <w:r w:rsidR="00D57651" w:rsidRPr="0057134F">
              <w:t>eauty</w:t>
            </w:r>
          </w:p>
        </w:tc>
        <w:tc>
          <w:tcPr>
            <w:tcW w:w="5493" w:type="dxa"/>
          </w:tcPr>
          <w:p w:rsidR="00D57651" w:rsidRPr="0057134F" w:rsidRDefault="00D57651" w:rsidP="00C43EB5">
            <w:pPr>
              <w:pStyle w:val="Tabletext"/>
            </w:pPr>
            <w:r w:rsidRPr="0057134F">
              <w:t>Hairdresser, barber, beauty therapist</w:t>
            </w:r>
          </w:p>
        </w:tc>
      </w:tr>
      <w:tr w:rsidR="00D57651" w:rsidTr="001C6000">
        <w:tc>
          <w:tcPr>
            <w:tcW w:w="2660" w:type="dxa"/>
          </w:tcPr>
          <w:p w:rsidR="00D57651" w:rsidRPr="0057134F" w:rsidRDefault="00122741" w:rsidP="00C43EB5">
            <w:pPr>
              <w:pStyle w:val="Tabletext"/>
            </w:pPr>
            <w:r>
              <w:t>Health and s</w:t>
            </w:r>
            <w:r w:rsidR="00D57651" w:rsidRPr="0057134F">
              <w:t>cience</w:t>
            </w:r>
          </w:p>
        </w:tc>
        <w:tc>
          <w:tcPr>
            <w:tcW w:w="5493" w:type="dxa"/>
          </w:tcPr>
          <w:p w:rsidR="00D57651" w:rsidRPr="0057134F" w:rsidRDefault="00D57651" w:rsidP="00C43EB5">
            <w:pPr>
              <w:pStyle w:val="Tabletext"/>
            </w:pPr>
            <w:r w:rsidRPr="0057134F">
              <w:t>Nursing assistant, pharmaceutical technician, sports therapist, laboratory technician, dental nurse, food technician</w:t>
            </w:r>
          </w:p>
        </w:tc>
      </w:tr>
      <w:tr w:rsidR="00D57651" w:rsidTr="001C6000">
        <w:tc>
          <w:tcPr>
            <w:tcW w:w="2660" w:type="dxa"/>
          </w:tcPr>
          <w:p w:rsidR="00D57651" w:rsidRPr="0057134F" w:rsidRDefault="00D57651" w:rsidP="00C43EB5">
            <w:pPr>
              <w:pStyle w:val="Tabletext"/>
            </w:pPr>
            <w:r w:rsidRPr="0057134F">
              <w:t xml:space="preserve">Legal, </w:t>
            </w:r>
            <w:r w:rsidR="00122741" w:rsidRPr="0057134F">
              <w:t>finance and accounting</w:t>
            </w:r>
          </w:p>
        </w:tc>
        <w:tc>
          <w:tcPr>
            <w:tcW w:w="5493" w:type="dxa"/>
          </w:tcPr>
          <w:p w:rsidR="00D57651" w:rsidRPr="0057134F" w:rsidRDefault="00D57651" w:rsidP="00C43EB5">
            <w:pPr>
              <w:pStyle w:val="Tabletext"/>
            </w:pPr>
            <w:r w:rsidRPr="0057134F">
              <w:t>Accounting technician, paralegal, financial account manager, payroll manager, finance officer, legal secretary</w:t>
            </w:r>
          </w:p>
        </w:tc>
      </w:tr>
      <w:tr w:rsidR="00D57651" w:rsidTr="001C6000">
        <w:tc>
          <w:tcPr>
            <w:tcW w:w="2660" w:type="dxa"/>
          </w:tcPr>
          <w:p w:rsidR="00D57651" w:rsidRPr="0057134F" w:rsidRDefault="00D57651" w:rsidP="00C43EB5">
            <w:pPr>
              <w:pStyle w:val="Tabletext"/>
            </w:pPr>
            <w:r w:rsidRPr="0057134F">
              <w:t>Prot</w:t>
            </w:r>
            <w:r w:rsidR="00122741">
              <w:t>ective s</w:t>
            </w:r>
            <w:r w:rsidRPr="0057134F">
              <w:t>ervices (mostly apprenticeship training)</w:t>
            </w:r>
          </w:p>
        </w:tc>
        <w:tc>
          <w:tcPr>
            <w:tcW w:w="5493" w:type="dxa"/>
          </w:tcPr>
          <w:p w:rsidR="00D57651" w:rsidRPr="0057134F" w:rsidRDefault="00D57651" w:rsidP="00C43EB5">
            <w:pPr>
              <w:pStyle w:val="Tabletext"/>
            </w:pPr>
            <w:r w:rsidRPr="0057134F">
              <w:t>Police officer, fire service officer, non-commissioned officer (NCO), maritime operations officer (coastguard)</w:t>
            </w:r>
          </w:p>
        </w:tc>
      </w:tr>
      <w:tr w:rsidR="00D57651" w:rsidTr="001C6000">
        <w:tc>
          <w:tcPr>
            <w:tcW w:w="2660" w:type="dxa"/>
          </w:tcPr>
          <w:p w:rsidR="00D57651" w:rsidRPr="0057134F" w:rsidRDefault="00D57651" w:rsidP="00C43EB5">
            <w:pPr>
              <w:pStyle w:val="Tabletext"/>
            </w:pPr>
            <w:r w:rsidRPr="0057134F">
              <w:t xml:space="preserve">Sales </w:t>
            </w:r>
            <w:r w:rsidR="00122741" w:rsidRPr="0057134F">
              <w:t>marketing</w:t>
            </w:r>
            <w:r w:rsidR="00932F20">
              <w:t xml:space="preserve"> </w:t>
            </w:r>
            <w:r w:rsidR="00122741" w:rsidRPr="0057134F">
              <w:t xml:space="preserve">and procurement </w:t>
            </w:r>
            <w:r w:rsidRPr="0057134F">
              <w:t>(mostly apprenticeship training)</w:t>
            </w:r>
          </w:p>
        </w:tc>
        <w:tc>
          <w:tcPr>
            <w:tcW w:w="5493" w:type="dxa"/>
          </w:tcPr>
          <w:p w:rsidR="00D57651" w:rsidRPr="0057134F" w:rsidRDefault="00D57651" w:rsidP="00C43EB5">
            <w:pPr>
              <w:pStyle w:val="Tabletext"/>
            </w:pPr>
            <w:r w:rsidRPr="0057134F">
              <w:t>Buyer, procurement officer, sales account manager, market research analyst, estate agent</w:t>
            </w:r>
          </w:p>
        </w:tc>
      </w:tr>
      <w:tr w:rsidR="00D57651" w:rsidTr="001C6000">
        <w:tc>
          <w:tcPr>
            <w:tcW w:w="2660" w:type="dxa"/>
          </w:tcPr>
          <w:p w:rsidR="00D57651" w:rsidRPr="0057134F" w:rsidRDefault="00122741" w:rsidP="00C43EB5">
            <w:pPr>
              <w:pStyle w:val="Tabletext"/>
            </w:pPr>
            <w:r>
              <w:t>Social c</w:t>
            </w:r>
            <w:r w:rsidR="00D57651" w:rsidRPr="0057134F">
              <w:t>are (mostly apprenticeship training)</w:t>
            </w:r>
          </w:p>
        </w:tc>
        <w:tc>
          <w:tcPr>
            <w:tcW w:w="5493" w:type="dxa"/>
          </w:tcPr>
          <w:p w:rsidR="00D57651" w:rsidRPr="0057134F" w:rsidRDefault="00D57651" w:rsidP="00C43EB5">
            <w:pPr>
              <w:pStyle w:val="Tabletext"/>
            </w:pPr>
            <w:r w:rsidRPr="0057134F">
              <w:t>Care worker, residential warden, home carer, probation officer, welfare counsellor</w:t>
            </w:r>
          </w:p>
        </w:tc>
      </w:tr>
      <w:tr w:rsidR="00D57651" w:rsidTr="001C6000">
        <w:tc>
          <w:tcPr>
            <w:tcW w:w="2660" w:type="dxa"/>
          </w:tcPr>
          <w:p w:rsidR="00D57651" w:rsidRPr="0057134F" w:rsidRDefault="00122741" w:rsidP="00C43EB5">
            <w:pPr>
              <w:pStyle w:val="Tabletext"/>
            </w:pPr>
            <w:r>
              <w:t>Transport and l</w:t>
            </w:r>
            <w:r w:rsidR="00D57651" w:rsidRPr="0057134F">
              <w:t>ogistics</w:t>
            </w:r>
          </w:p>
          <w:p w:rsidR="00D57651" w:rsidRPr="0057134F" w:rsidRDefault="00D57651" w:rsidP="00C43EB5">
            <w:pPr>
              <w:pStyle w:val="Tabletext"/>
            </w:pPr>
            <w:r w:rsidRPr="0057134F">
              <w:t>(mostly apprenticeship training)</w:t>
            </w:r>
          </w:p>
        </w:tc>
        <w:tc>
          <w:tcPr>
            <w:tcW w:w="5493" w:type="dxa"/>
          </w:tcPr>
          <w:p w:rsidR="00D57651" w:rsidRPr="0057134F" w:rsidRDefault="00D57651" w:rsidP="00C43EB5">
            <w:pPr>
              <w:pStyle w:val="Tabletext"/>
            </w:pPr>
            <w:r w:rsidRPr="0057134F">
              <w:t>Ship’s officer, railway signalling technician, HGV driver</w:t>
            </w:r>
          </w:p>
        </w:tc>
      </w:tr>
    </w:tbl>
    <w:p w:rsidR="004A7C3D" w:rsidRDefault="004A7C3D" w:rsidP="00D57651">
      <w:pPr>
        <w:pStyle w:val="Source"/>
        <w:ind w:left="0" w:firstLine="0"/>
      </w:pPr>
      <w:r>
        <w:t>Source: Department for Business, Innovation &amp; Skills</w:t>
      </w:r>
      <w:r w:rsidR="00D27E4C">
        <w:t xml:space="preserve"> &amp;</w:t>
      </w:r>
      <w:r>
        <w:t xml:space="preserve"> Department for Education </w:t>
      </w:r>
      <w:r w:rsidR="00545D87">
        <w:t>(</w:t>
      </w:r>
      <w:r>
        <w:t>2016</w:t>
      </w:r>
      <w:r w:rsidR="00545D87">
        <w:t>).</w:t>
      </w:r>
    </w:p>
    <w:p w:rsidR="00AA3B45" w:rsidRDefault="00AA3B45" w:rsidP="001A0371">
      <w:pPr>
        <w:pStyle w:val="Heading2"/>
      </w:pPr>
      <w:bookmarkStart w:id="68" w:name="_Toc465162162"/>
      <w:r>
        <w:t xml:space="preserve">Applying this </w:t>
      </w:r>
      <w:r w:rsidR="00EA0C9C">
        <w:t xml:space="preserve">broad </w:t>
      </w:r>
      <w:r>
        <w:t xml:space="preserve">approach </w:t>
      </w:r>
      <w:r w:rsidR="00545D87">
        <w:t>to</w:t>
      </w:r>
      <w:r>
        <w:t xml:space="preserve"> the Australian context</w:t>
      </w:r>
      <w:bookmarkEnd w:id="68"/>
    </w:p>
    <w:p w:rsidR="00334A24" w:rsidRDefault="00AA3B45" w:rsidP="00334A24">
      <w:pPr>
        <w:pStyle w:val="Text"/>
      </w:pPr>
      <w:r>
        <w:t>By way of initial modelling only, w</w:t>
      </w:r>
      <w:r w:rsidR="00334A24">
        <w:t>e apply this concept of broader technical routes or streams to the Australian situation by using enrolment information against groups of occ</w:t>
      </w:r>
      <w:r w:rsidR="00122741">
        <w:t>upations. We use ANZSCO</w:t>
      </w:r>
      <w:r w:rsidR="00334A24">
        <w:t xml:space="preserve"> to identify the number of enrolments at major group (1-digit level), sub-major group (2-digit level), minor group (3-digit level), unit group (4-digit level) and occupation group (6-digit level) classifications.</w:t>
      </w:r>
      <w:r w:rsidR="00932F20">
        <w:t xml:space="preserve"> </w:t>
      </w:r>
    </w:p>
    <w:p w:rsidR="008F3DF6" w:rsidRDefault="00492F71" w:rsidP="0085781D">
      <w:pPr>
        <w:pStyle w:val="Text"/>
      </w:pPr>
      <w:r>
        <w:t>Most training package qualifications are assigned to an intended ANZSCO occupation (at the 6-digit level)</w:t>
      </w:r>
      <w:r w:rsidR="001C6000">
        <w:t xml:space="preserve"> in the national VET collections</w:t>
      </w:r>
      <w:r>
        <w:t xml:space="preserve">. </w:t>
      </w:r>
      <w:r w:rsidR="00516E7C">
        <w:t>However, m</w:t>
      </w:r>
      <w:r>
        <w:t>ultiple qualifications may li</w:t>
      </w:r>
      <w:r w:rsidR="00516E7C">
        <w:t xml:space="preserve">nk to </w:t>
      </w:r>
      <w:r w:rsidR="00516E7C">
        <w:lastRenderedPageBreak/>
        <w:t>one occupation</w:t>
      </w:r>
      <w:r w:rsidR="00D91FB0">
        <w:t xml:space="preserve"> (often related qualifications at different AQF levels)</w:t>
      </w:r>
      <w:r w:rsidR="00122741">
        <w:t>,</w:t>
      </w:r>
      <w:r>
        <w:t xml:space="preserve"> so this may be used as a guide for </w:t>
      </w:r>
      <w:r w:rsidR="008F3DF6">
        <w:t xml:space="preserve">any further </w:t>
      </w:r>
      <w:r>
        <w:t>rat</w:t>
      </w:r>
      <w:r w:rsidR="001A0371">
        <w:t>ionalisation of qualifications.</w:t>
      </w:r>
      <w:r w:rsidR="00D91FB0">
        <w:t xml:space="preserve"> </w:t>
      </w:r>
      <w:r w:rsidR="001A0371">
        <w:t xml:space="preserve"> </w:t>
      </w:r>
    </w:p>
    <w:p w:rsidR="00492F71" w:rsidRDefault="001A0371" w:rsidP="0085781D">
      <w:pPr>
        <w:pStyle w:val="Text"/>
      </w:pPr>
      <w:r>
        <w:t xml:space="preserve">The analysis that follows is </w:t>
      </w:r>
      <w:r w:rsidR="00122741">
        <w:t>a one-</w:t>
      </w:r>
      <w:r w:rsidR="00545D87">
        <w:t>model approach to</w:t>
      </w:r>
      <w:r w:rsidR="008F3DF6">
        <w:t xml:space="preserve"> the greater </w:t>
      </w:r>
      <w:r>
        <w:t>rationalisation of qualifications.</w:t>
      </w:r>
      <w:r w:rsidR="00982F20" w:rsidRPr="00982F20">
        <w:rPr>
          <w:noProof/>
          <w:lang w:eastAsia="en-AU"/>
        </w:rPr>
        <w:t xml:space="preserve"> </w:t>
      </w:r>
      <w:r w:rsidR="00982F20">
        <w:rPr>
          <w:noProof/>
          <w:lang w:eastAsia="en-AU"/>
        </w:rPr>
        <mc:AlternateContent>
          <mc:Choice Requires="wps">
            <w:drawing>
              <wp:anchor distT="0" distB="0" distL="114300" distR="114300" simplePos="0" relativeHeight="252062720" behindDoc="0" locked="1" layoutInCell="1" allowOverlap="1" wp14:anchorId="6446CB77" wp14:editId="0AF88035">
                <wp:simplePos x="0" y="0"/>
                <wp:positionH relativeFrom="outsideMargin">
                  <wp:posOffset>127000</wp:posOffset>
                </wp:positionH>
                <wp:positionV relativeFrom="page">
                  <wp:posOffset>781050</wp:posOffset>
                </wp:positionV>
                <wp:extent cx="1320800" cy="1228725"/>
                <wp:effectExtent l="0" t="0" r="0" b="0"/>
                <wp:wrapNone/>
                <wp:docPr id="6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2287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83E4B" w:rsidRPr="00543BFF" w:rsidRDefault="00883E4B" w:rsidP="00982F20">
                            <w:pPr>
                              <w:pStyle w:val="PullQuote"/>
                            </w:pPr>
                            <w:r>
                              <w:t>Related qualifications can be identified by looking at their intended occupations.</w:t>
                            </w:r>
                          </w:p>
                          <w:p w:rsidR="00883E4B" w:rsidRPr="00543BFF" w:rsidRDefault="00883E4B" w:rsidP="00982F20">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0pt;margin-top:61.5pt;width:104pt;height:96.75pt;z-index:2520627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" filled="f" stroked="f" strokeweight=".5pt">
                <v:shadow on="t" type="perspective" color="black" opacity="9830f" origin=",.5" offset="0,25pt" matrix="58982f,,,-12452f"/>
                <v:path arrowok="t"/>
                <v:textbox inset="10mm">
                  <w:txbxContent>
                    <w:p w:rsidR="00883E4B" w:rsidRPr="00543BFF" w:rsidRDefault="00883E4B" w:rsidP="00982F20">
                      <w:pPr>
                        <w:pStyle w:val="PullQuote"/>
                      </w:pPr>
                      <w:r>
                        <w:t>Related qualifications can be identified by looking at their intended occupations.</w:t>
                      </w:r>
                    </w:p>
                    <w:p w:rsidR="00883E4B" w:rsidRPr="00543BFF" w:rsidRDefault="00883E4B" w:rsidP="00982F20">
                      <w:pPr>
                        <w:pStyle w:val="PullQuote"/>
                      </w:pPr>
                    </w:p>
                  </w:txbxContent>
                </v:textbox>
                <w10:wrap anchorx="margin" anchory="page"/>
                <w10:anchorlock/>
              </v:shape>
            </w:pict>
          </mc:Fallback>
        </mc:AlternateContent>
      </w:r>
    </w:p>
    <w:p w:rsidR="00492F71" w:rsidRDefault="00FF0947" w:rsidP="0085781D">
      <w:pPr>
        <w:pStyle w:val="Text"/>
      </w:pPr>
      <w:r>
        <w:t>Starting again wit</w:t>
      </w:r>
      <w:r w:rsidR="008F3DF6">
        <w:t>h the 1644 qualifications on the ‘consolidated’ list</w:t>
      </w:r>
      <w:r w:rsidR="00545D87">
        <w:t xml:space="preserve"> </w:t>
      </w:r>
      <w:r w:rsidR="001C6000">
        <w:t xml:space="preserve">of </w:t>
      </w:r>
      <w:r w:rsidR="00545D87">
        <w:t>training package qualifications</w:t>
      </w:r>
      <w:r w:rsidR="008F3DF6">
        <w:t xml:space="preserve">, </w:t>
      </w:r>
      <w:r>
        <w:t>1</w:t>
      </w:r>
      <w:r w:rsidR="00492F71">
        <w:t xml:space="preserve">631 </w:t>
      </w:r>
      <w:r w:rsidR="008F3DF6">
        <w:t xml:space="preserve">of these </w:t>
      </w:r>
      <w:r w:rsidR="00492F71">
        <w:t xml:space="preserve">have been </w:t>
      </w:r>
      <w:r w:rsidR="00492F71" w:rsidRPr="00450356">
        <w:rPr>
          <w:i/>
        </w:rPr>
        <w:t>assigned</w:t>
      </w:r>
      <w:r w:rsidR="00492F71">
        <w:t xml:space="preserve"> </w:t>
      </w:r>
      <w:r w:rsidR="00FA6BA2">
        <w:t xml:space="preserve">to an </w:t>
      </w:r>
      <w:r w:rsidR="00492F71">
        <w:t xml:space="preserve">ANZSCO </w:t>
      </w:r>
      <w:r w:rsidR="00FA6BA2">
        <w:t>group</w:t>
      </w:r>
      <w:r w:rsidR="008F3DF6">
        <w:t>.</w:t>
      </w:r>
      <w:r w:rsidR="00492F71">
        <w:t xml:space="preserve"> </w:t>
      </w:r>
      <w:r w:rsidR="00545D87">
        <w:t>The</w:t>
      </w:r>
      <w:r w:rsidR="00BA7B30">
        <w:t xml:space="preserve"> </w:t>
      </w:r>
      <w:r w:rsidR="001C6000">
        <w:t>remaining</w:t>
      </w:r>
      <w:r w:rsidR="00BA7B30">
        <w:t xml:space="preserve"> 13</w:t>
      </w:r>
      <w:r w:rsidR="001C6000">
        <w:t xml:space="preserve"> </w:t>
      </w:r>
      <w:r w:rsidR="00BA7B30">
        <w:t xml:space="preserve">qualifications are </w:t>
      </w:r>
      <w:r w:rsidR="001C6000">
        <w:t xml:space="preserve">either </w:t>
      </w:r>
      <w:r w:rsidR="00BA7B30">
        <w:t xml:space="preserve">not assigned </w:t>
      </w:r>
      <w:r w:rsidR="00FA6BA2">
        <w:t xml:space="preserve">to </w:t>
      </w:r>
      <w:r w:rsidR="00BA7B30">
        <w:t xml:space="preserve">an ANZSCO </w:t>
      </w:r>
      <w:r w:rsidR="00FA6BA2">
        <w:t xml:space="preserve">group </w:t>
      </w:r>
      <w:r w:rsidR="00BA7B30">
        <w:t xml:space="preserve">or classified as general education. </w:t>
      </w:r>
      <w:r w:rsidR="008F3DF6">
        <w:t xml:space="preserve">As shown in </w:t>
      </w:r>
      <w:r>
        <w:t>t</w:t>
      </w:r>
      <w:r w:rsidR="008F3DF6">
        <w:t xml:space="preserve">able </w:t>
      </w:r>
      <w:r w:rsidR="00967D44">
        <w:t>6</w:t>
      </w:r>
      <w:r w:rsidR="008F3DF6">
        <w:t>, t</w:t>
      </w:r>
      <w:r w:rsidR="00492F71">
        <w:t>he distribution of these qualificati</w:t>
      </w:r>
      <w:r w:rsidR="00545D87">
        <w:t>ons ranges from 48 in ‘6 Sales w</w:t>
      </w:r>
      <w:r w:rsidR="00492F71">
        <w:t>orkers’ to 549 in ‘</w:t>
      </w:r>
      <w:r w:rsidR="001A0371">
        <w:t xml:space="preserve">3 </w:t>
      </w:r>
      <w:r w:rsidR="00492F71">
        <w:t xml:space="preserve">Technicians </w:t>
      </w:r>
      <w:r w:rsidR="00545D87">
        <w:t>and trades workers’</w:t>
      </w:r>
      <w:r w:rsidR="00492F71">
        <w:t>.</w:t>
      </w:r>
    </w:p>
    <w:p w:rsidR="00E5451D" w:rsidRDefault="00492F71" w:rsidP="006A0A1F">
      <w:pPr>
        <w:pStyle w:val="Tabletitle"/>
        <w:ind w:left="709" w:right="-143" w:hanging="709"/>
      </w:pPr>
      <w:bookmarkStart w:id="69" w:name="_Toc465162109"/>
      <w:r>
        <w:t xml:space="preserve">Table </w:t>
      </w:r>
      <w:r w:rsidR="00967D44">
        <w:t>6</w:t>
      </w:r>
      <w:r>
        <w:tab/>
        <w:t xml:space="preserve">Number of qualifications after grouping by ANZSCO levels by ANZSCO major group, </w:t>
      </w:r>
      <w:r w:rsidR="006A0A1F">
        <w:t>2</w:t>
      </w:r>
      <w:r>
        <w:t>015</w:t>
      </w:r>
      <w:bookmarkEnd w:id="69"/>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297"/>
        <w:gridCol w:w="1297"/>
        <w:gridCol w:w="1297"/>
        <w:gridCol w:w="1297"/>
        <w:gridCol w:w="1297"/>
      </w:tblGrid>
      <w:tr w:rsidR="00492F71" w:rsidRPr="00492F71" w:rsidTr="006A0A1F">
        <w:tc>
          <w:tcPr>
            <w:tcW w:w="1668" w:type="dxa"/>
            <w:tcBorders>
              <w:bottom w:val="single" w:sz="4" w:space="0" w:color="auto"/>
            </w:tcBorders>
            <w:vAlign w:val="bottom"/>
          </w:tcPr>
          <w:p w:rsidR="00E5451D" w:rsidRPr="00492F71" w:rsidRDefault="00122741" w:rsidP="006A0A1F">
            <w:pPr>
              <w:pStyle w:val="Tablehead1"/>
            </w:pPr>
            <w:r>
              <w:t>ANZSCO major g</w:t>
            </w:r>
            <w:r w:rsidR="00E5451D" w:rsidRPr="00492F71">
              <w:t>roup</w:t>
            </w:r>
          </w:p>
        </w:tc>
        <w:tc>
          <w:tcPr>
            <w:tcW w:w="1297" w:type="dxa"/>
            <w:tcBorders>
              <w:bottom w:val="single" w:sz="4" w:space="0" w:color="auto"/>
            </w:tcBorders>
          </w:tcPr>
          <w:p w:rsidR="00E5451D" w:rsidRPr="00492F71" w:rsidRDefault="001A0371" w:rsidP="00103A31">
            <w:pPr>
              <w:pStyle w:val="Tablehead1"/>
              <w:jc w:val="center"/>
            </w:pPr>
            <w:r>
              <w:t xml:space="preserve">Consolidated </w:t>
            </w:r>
            <w:r w:rsidR="00E5451D" w:rsidRPr="00492F71">
              <w:t>list</w:t>
            </w:r>
          </w:p>
        </w:tc>
        <w:tc>
          <w:tcPr>
            <w:tcW w:w="1297" w:type="dxa"/>
            <w:tcBorders>
              <w:bottom w:val="single" w:sz="4" w:space="0" w:color="auto"/>
            </w:tcBorders>
          </w:tcPr>
          <w:p w:rsidR="001C6000" w:rsidRDefault="00E5451D" w:rsidP="00103A31">
            <w:pPr>
              <w:pStyle w:val="Tablehead1"/>
              <w:jc w:val="center"/>
            </w:pPr>
            <w:r w:rsidRPr="00492F71">
              <w:t>Occupation grouping</w:t>
            </w:r>
          </w:p>
          <w:p w:rsidR="00E5451D" w:rsidRPr="00492F71" w:rsidRDefault="00FA6BA2" w:rsidP="00103A31">
            <w:pPr>
              <w:pStyle w:val="Tablehead1"/>
              <w:jc w:val="center"/>
            </w:pPr>
            <w:r>
              <w:t>(6-digit level)</w:t>
            </w:r>
          </w:p>
        </w:tc>
        <w:tc>
          <w:tcPr>
            <w:tcW w:w="1297" w:type="dxa"/>
            <w:tcBorders>
              <w:bottom w:val="single" w:sz="4" w:space="0" w:color="auto"/>
            </w:tcBorders>
          </w:tcPr>
          <w:p w:rsidR="00E5451D" w:rsidRDefault="00E5451D" w:rsidP="00103A31">
            <w:pPr>
              <w:pStyle w:val="Tablehead1"/>
              <w:jc w:val="center"/>
            </w:pPr>
            <w:r w:rsidRPr="00492F71">
              <w:t>Unit grouping</w:t>
            </w:r>
          </w:p>
          <w:p w:rsidR="00FA6BA2" w:rsidRPr="00492F71" w:rsidRDefault="00FA6BA2" w:rsidP="00103A31">
            <w:pPr>
              <w:pStyle w:val="Tablehead1"/>
              <w:jc w:val="center"/>
            </w:pPr>
            <w:r>
              <w:t>(4-digit level)</w:t>
            </w:r>
          </w:p>
        </w:tc>
        <w:tc>
          <w:tcPr>
            <w:tcW w:w="1297" w:type="dxa"/>
            <w:tcBorders>
              <w:bottom w:val="single" w:sz="4" w:space="0" w:color="auto"/>
            </w:tcBorders>
          </w:tcPr>
          <w:p w:rsidR="00E5451D" w:rsidRDefault="00E5451D" w:rsidP="00103A31">
            <w:pPr>
              <w:pStyle w:val="Tablehead1"/>
              <w:jc w:val="center"/>
            </w:pPr>
            <w:r w:rsidRPr="00492F71">
              <w:t>Minor grouping</w:t>
            </w:r>
          </w:p>
          <w:p w:rsidR="00FA6BA2" w:rsidRPr="00492F71" w:rsidRDefault="00FA6BA2" w:rsidP="00103A31">
            <w:pPr>
              <w:pStyle w:val="Tablehead1"/>
              <w:jc w:val="center"/>
            </w:pPr>
            <w:r>
              <w:t>(3-digit level)</w:t>
            </w:r>
          </w:p>
        </w:tc>
        <w:tc>
          <w:tcPr>
            <w:tcW w:w="1297" w:type="dxa"/>
            <w:tcBorders>
              <w:bottom w:val="single" w:sz="4" w:space="0" w:color="auto"/>
            </w:tcBorders>
          </w:tcPr>
          <w:p w:rsidR="00E5451D" w:rsidRDefault="00E5451D" w:rsidP="00103A31">
            <w:pPr>
              <w:pStyle w:val="Tablehead1"/>
              <w:jc w:val="center"/>
            </w:pPr>
            <w:r w:rsidRPr="00492F71">
              <w:t>Sub-major grouping</w:t>
            </w:r>
          </w:p>
          <w:p w:rsidR="00FA6BA2" w:rsidRPr="00492F71" w:rsidRDefault="00FF0947" w:rsidP="00103A31">
            <w:pPr>
              <w:pStyle w:val="Tablehead1"/>
              <w:jc w:val="center"/>
            </w:pPr>
            <w:r>
              <w:t>(2</w:t>
            </w:r>
            <w:r w:rsidR="00FA6BA2">
              <w:t>-digit level)</w:t>
            </w:r>
          </w:p>
        </w:tc>
      </w:tr>
      <w:tr w:rsidR="00492F71" w:rsidRPr="00492F71" w:rsidTr="00FF0947">
        <w:tc>
          <w:tcPr>
            <w:tcW w:w="1668" w:type="dxa"/>
            <w:tcBorders>
              <w:top w:val="single" w:sz="4" w:space="0" w:color="auto"/>
              <w:bottom w:val="nil"/>
            </w:tcBorders>
          </w:tcPr>
          <w:p w:rsidR="00E5451D" w:rsidRPr="00492F71" w:rsidRDefault="00E5451D" w:rsidP="00492F71">
            <w:pPr>
              <w:pStyle w:val="Tabletext"/>
            </w:pPr>
            <w:r w:rsidRPr="00492F71">
              <w:t>1</w:t>
            </w:r>
            <w:r w:rsidR="00492F71" w:rsidRPr="00492F71">
              <w:t xml:space="preserve"> Managers</w:t>
            </w:r>
          </w:p>
        </w:tc>
        <w:tc>
          <w:tcPr>
            <w:tcW w:w="1297" w:type="dxa"/>
            <w:tcBorders>
              <w:top w:val="single" w:sz="4" w:space="0" w:color="auto"/>
              <w:bottom w:val="nil"/>
            </w:tcBorders>
            <w:vAlign w:val="bottom"/>
          </w:tcPr>
          <w:p w:rsidR="00E5451D" w:rsidRPr="00492F71" w:rsidRDefault="00E5451D" w:rsidP="006A0A1F">
            <w:pPr>
              <w:pStyle w:val="Tabletext"/>
              <w:tabs>
                <w:tab w:val="decimal" w:pos="680"/>
              </w:tabs>
            </w:pPr>
            <w:r w:rsidRPr="00492F71">
              <w:t>112</w:t>
            </w:r>
          </w:p>
        </w:tc>
        <w:tc>
          <w:tcPr>
            <w:tcW w:w="1297" w:type="dxa"/>
            <w:tcBorders>
              <w:top w:val="single" w:sz="4" w:space="0" w:color="auto"/>
              <w:bottom w:val="nil"/>
            </w:tcBorders>
            <w:vAlign w:val="bottom"/>
          </w:tcPr>
          <w:p w:rsidR="00E5451D" w:rsidRPr="00492F71" w:rsidRDefault="00E5451D" w:rsidP="006A0A1F">
            <w:pPr>
              <w:pStyle w:val="Tabletext"/>
              <w:tabs>
                <w:tab w:val="decimal" w:pos="600"/>
              </w:tabs>
            </w:pPr>
            <w:r w:rsidRPr="00492F71">
              <w:t>47</w:t>
            </w:r>
          </w:p>
        </w:tc>
        <w:tc>
          <w:tcPr>
            <w:tcW w:w="1297" w:type="dxa"/>
            <w:tcBorders>
              <w:top w:val="single" w:sz="4" w:space="0" w:color="auto"/>
              <w:bottom w:val="nil"/>
            </w:tcBorders>
            <w:vAlign w:val="bottom"/>
          </w:tcPr>
          <w:p w:rsidR="00E5451D" w:rsidRPr="00492F71" w:rsidRDefault="00E5451D" w:rsidP="006A0A1F">
            <w:pPr>
              <w:pStyle w:val="Tabletext"/>
              <w:tabs>
                <w:tab w:val="decimal" w:pos="600"/>
              </w:tabs>
            </w:pPr>
            <w:r w:rsidRPr="00492F71">
              <w:t>30</w:t>
            </w:r>
          </w:p>
        </w:tc>
        <w:tc>
          <w:tcPr>
            <w:tcW w:w="1297" w:type="dxa"/>
            <w:tcBorders>
              <w:top w:val="single" w:sz="4" w:space="0" w:color="auto"/>
              <w:bottom w:val="nil"/>
            </w:tcBorders>
            <w:vAlign w:val="bottom"/>
          </w:tcPr>
          <w:p w:rsidR="00E5451D" w:rsidRPr="00492F71" w:rsidRDefault="00E5451D" w:rsidP="006A0A1F">
            <w:pPr>
              <w:pStyle w:val="Tabletext"/>
              <w:tabs>
                <w:tab w:val="decimal" w:pos="600"/>
              </w:tabs>
            </w:pPr>
            <w:r w:rsidRPr="00492F71">
              <w:t>13</w:t>
            </w:r>
          </w:p>
        </w:tc>
        <w:tc>
          <w:tcPr>
            <w:tcW w:w="1297" w:type="dxa"/>
            <w:tcBorders>
              <w:top w:val="single" w:sz="4" w:space="0" w:color="auto"/>
              <w:bottom w:val="nil"/>
            </w:tcBorders>
            <w:vAlign w:val="bottom"/>
          </w:tcPr>
          <w:p w:rsidR="00E5451D" w:rsidRPr="00492F71" w:rsidRDefault="00E5451D" w:rsidP="006A0A1F">
            <w:pPr>
              <w:pStyle w:val="Tabletext"/>
              <w:tabs>
                <w:tab w:val="decimal" w:pos="600"/>
              </w:tabs>
            </w:pPr>
            <w:r w:rsidRPr="00492F71">
              <w:t>4</w:t>
            </w:r>
          </w:p>
        </w:tc>
      </w:tr>
      <w:tr w:rsidR="00492F71" w:rsidRPr="00492F71" w:rsidTr="00FF0947">
        <w:tc>
          <w:tcPr>
            <w:tcW w:w="1668" w:type="dxa"/>
            <w:tcBorders>
              <w:top w:val="nil"/>
            </w:tcBorders>
          </w:tcPr>
          <w:p w:rsidR="00E5451D" w:rsidRPr="00492F71" w:rsidRDefault="00E5451D" w:rsidP="00492F71">
            <w:pPr>
              <w:pStyle w:val="Tabletext"/>
            </w:pPr>
            <w:r w:rsidRPr="00492F71">
              <w:t>2</w:t>
            </w:r>
            <w:r w:rsidR="00492F71">
              <w:t xml:space="preserve"> Professionals</w:t>
            </w:r>
          </w:p>
        </w:tc>
        <w:tc>
          <w:tcPr>
            <w:tcW w:w="1297" w:type="dxa"/>
            <w:tcBorders>
              <w:top w:val="nil"/>
            </w:tcBorders>
            <w:vAlign w:val="bottom"/>
          </w:tcPr>
          <w:p w:rsidR="00E5451D" w:rsidRPr="00492F71" w:rsidRDefault="00E5451D" w:rsidP="006A0A1F">
            <w:pPr>
              <w:pStyle w:val="Tabletext"/>
              <w:tabs>
                <w:tab w:val="decimal" w:pos="680"/>
              </w:tabs>
            </w:pPr>
            <w:r w:rsidRPr="00492F71">
              <w:t>184</w:t>
            </w:r>
          </w:p>
        </w:tc>
        <w:tc>
          <w:tcPr>
            <w:tcW w:w="1297" w:type="dxa"/>
            <w:tcBorders>
              <w:top w:val="nil"/>
            </w:tcBorders>
            <w:vAlign w:val="bottom"/>
          </w:tcPr>
          <w:p w:rsidR="00E5451D" w:rsidRPr="00492F71" w:rsidRDefault="00E5451D" w:rsidP="006A0A1F">
            <w:pPr>
              <w:pStyle w:val="Tabletext"/>
              <w:tabs>
                <w:tab w:val="decimal" w:pos="600"/>
              </w:tabs>
            </w:pPr>
            <w:r w:rsidRPr="00492F71">
              <w:t>72</w:t>
            </w:r>
          </w:p>
        </w:tc>
        <w:tc>
          <w:tcPr>
            <w:tcW w:w="1297" w:type="dxa"/>
            <w:tcBorders>
              <w:top w:val="nil"/>
            </w:tcBorders>
            <w:vAlign w:val="bottom"/>
          </w:tcPr>
          <w:p w:rsidR="00E5451D" w:rsidRPr="00492F71" w:rsidRDefault="00E5451D" w:rsidP="006A0A1F">
            <w:pPr>
              <w:pStyle w:val="Tabletext"/>
              <w:tabs>
                <w:tab w:val="decimal" w:pos="600"/>
              </w:tabs>
            </w:pPr>
            <w:r w:rsidRPr="00492F71">
              <w:t>43</w:t>
            </w:r>
          </w:p>
        </w:tc>
        <w:tc>
          <w:tcPr>
            <w:tcW w:w="1297" w:type="dxa"/>
            <w:tcBorders>
              <w:top w:val="nil"/>
            </w:tcBorders>
            <w:vAlign w:val="bottom"/>
          </w:tcPr>
          <w:p w:rsidR="00E5451D" w:rsidRPr="00492F71" w:rsidRDefault="00E5451D" w:rsidP="006A0A1F">
            <w:pPr>
              <w:pStyle w:val="Tabletext"/>
              <w:tabs>
                <w:tab w:val="decimal" w:pos="600"/>
              </w:tabs>
            </w:pPr>
            <w:r w:rsidRPr="00492F71">
              <w:t>19</w:t>
            </w:r>
          </w:p>
        </w:tc>
        <w:tc>
          <w:tcPr>
            <w:tcW w:w="1297" w:type="dxa"/>
            <w:tcBorders>
              <w:top w:val="nil"/>
            </w:tcBorders>
            <w:vAlign w:val="bottom"/>
          </w:tcPr>
          <w:p w:rsidR="00E5451D" w:rsidRPr="00492F71" w:rsidRDefault="00E5451D" w:rsidP="006A0A1F">
            <w:pPr>
              <w:pStyle w:val="Tabletext"/>
              <w:tabs>
                <w:tab w:val="decimal" w:pos="600"/>
              </w:tabs>
            </w:pPr>
            <w:r w:rsidRPr="00492F71">
              <w:t>7</w:t>
            </w:r>
          </w:p>
        </w:tc>
      </w:tr>
      <w:tr w:rsidR="00492F71" w:rsidRPr="00492F71" w:rsidTr="00FF0947">
        <w:tc>
          <w:tcPr>
            <w:tcW w:w="1668" w:type="dxa"/>
          </w:tcPr>
          <w:p w:rsidR="00492F71" w:rsidRPr="00492F71" w:rsidRDefault="00E5451D" w:rsidP="00492F71">
            <w:pPr>
              <w:pStyle w:val="Tabletext"/>
            </w:pPr>
            <w:r w:rsidRPr="00492F71">
              <w:t>3</w:t>
            </w:r>
            <w:r w:rsidR="00492F71">
              <w:t xml:space="preserve"> Technicians and </w:t>
            </w:r>
            <w:r w:rsidR="00122741">
              <w:t>trades workers</w:t>
            </w:r>
          </w:p>
        </w:tc>
        <w:tc>
          <w:tcPr>
            <w:tcW w:w="1297" w:type="dxa"/>
            <w:vAlign w:val="bottom"/>
          </w:tcPr>
          <w:p w:rsidR="00E5451D" w:rsidRPr="00492F71" w:rsidRDefault="00E5451D" w:rsidP="006A0A1F">
            <w:pPr>
              <w:pStyle w:val="Tabletext"/>
              <w:tabs>
                <w:tab w:val="decimal" w:pos="680"/>
              </w:tabs>
            </w:pPr>
            <w:r w:rsidRPr="00492F71">
              <w:t>549</w:t>
            </w:r>
          </w:p>
        </w:tc>
        <w:tc>
          <w:tcPr>
            <w:tcW w:w="1297" w:type="dxa"/>
            <w:vAlign w:val="bottom"/>
          </w:tcPr>
          <w:p w:rsidR="00E5451D" w:rsidRPr="00492F71" w:rsidRDefault="00E5451D" w:rsidP="006A0A1F">
            <w:pPr>
              <w:pStyle w:val="Tabletext"/>
              <w:tabs>
                <w:tab w:val="decimal" w:pos="600"/>
              </w:tabs>
            </w:pPr>
            <w:r w:rsidRPr="00492F71">
              <w:t>155</w:t>
            </w:r>
          </w:p>
        </w:tc>
        <w:tc>
          <w:tcPr>
            <w:tcW w:w="1297" w:type="dxa"/>
            <w:vAlign w:val="bottom"/>
          </w:tcPr>
          <w:p w:rsidR="00E5451D" w:rsidRPr="00492F71" w:rsidRDefault="00E5451D" w:rsidP="006A0A1F">
            <w:pPr>
              <w:pStyle w:val="Tabletext"/>
              <w:tabs>
                <w:tab w:val="decimal" w:pos="600"/>
              </w:tabs>
            </w:pPr>
            <w:r w:rsidRPr="00492F71">
              <w:t>73</w:t>
            </w:r>
          </w:p>
        </w:tc>
        <w:tc>
          <w:tcPr>
            <w:tcW w:w="1297" w:type="dxa"/>
            <w:vAlign w:val="bottom"/>
          </w:tcPr>
          <w:p w:rsidR="00E5451D" w:rsidRPr="00492F71" w:rsidRDefault="00E5451D" w:rsidP="006A0A1F">
            <w:pPr>
              <w:pStyle w:val="Tabletext"/>
              <w:tabs>
                <w:tab w:val="decimal" w:pos="600"/>
              </w:tabs>
            </w:pPr>
            <w:r w:rsidRPr="00492F71">
              <w:t>23</w:t>
            </w:r>
          </w:p>
        </w:tc>
        <w:tc>
          <w:tcPr>
            <w:tcW w:w="1297" w:type="dxa"/>
            <w:vAlign w:val="bottom"/>
          </w:tcPr>
          <w:p w:rsidR="00E5451D" w:rsidRPr="00492F71" w:rsidRDefault="00E5451D" w:rsidP="006A0A1F">
            <w:pPr>
              <w:pStyle w:val="Tabletext"/>
              <w:tabs>
                <w:tab w:val="decimal" w:pos="600"/>
              </w:tabs>
            </w:pPr>
            <w:r w:rsidRPr="00492F71">
              <w:t>7</w:t>
            </w:r>
          </w:p>
        </w:tc>
      </w:tr>
      <w:tr w:rsidR="00492F71" w:rsidRPr="00492F71" w:rsidTr="00FF0947">
        <w:tc>
          <w:tcPr>
            <w:tcW w:w="1668" w:type="dxa"/>
          </w:tcPr>
          <w:p w:rsidR="00E5451D" w:rsidRPr="00492F71" w:rsidRDefault="00E5451D" w:rsidP="00492F71">
            <w:pPr>
              <w:pStyle w:val="Tabletext"/>
            </w:pPr>
            <w:r w:rsidRPr="00492F71">
              <w:t>4</w:t>
            </w:r>
            <w:r w:rsidR="00492F71">
              <w:t xml:space="preserve"> Community and </w:t>
            </w:r>
            <w:r w:rsidR="00122741">
              <w:t>personal service workers</w:t>
            </w:r>
          </w:p>
        </w:tc>
        <w:tc>
          <w:tcPr>
            <w:tcW w:w="1297" w:type="dxa"/>
            <w:vAlign w:val="bottom"/>
          </w:tcPr>
          <w:p w:rsidR="00E5451D" w:rsidRPr="00492F71" w:rsidRDefault="00E5451D" w:rsidP="006A0A1F">
            <w:pPr>
              <w:pStyle w:val="Tabletext"/>
              <w:tabs>
                <w:tab w:val="decimal" w:pos="680"/>
              </w:tabs>
            </w:pPr>
            <w:r w:rsidRPr="00492F71">
              <w:t>261</w:t>
            </w:r>
          </w:p>
        </w:tc>
        <w:tc>
          <w:tcPr>
            <w:tcW w:w="1297" w:type="dxa"/>
            <w:vAlign w:val="bottom"/>
          </w:tcPr>
          <w:p w:rsidR="00E5451D" w:rsidRPr="00492F71" w:rsidRDefault="00E5451D" w:rsidP="006A0A1F">
            <w:pPr>
              <w:pStyle w:val="Tabletext"/>
              <w:tabs>
                <w:tab w:val="decimal" w:pos="600"/>
              </w:tabs>
            </w:pPr>
            <w:r w:rsidRPr="00492F71">
              <w:t>60</w:t>
            </w:r>
          </w:p>
        </w:tc>
        <w:tc>
          <w:tcPr>
            <w:tcW w:w="1297" w:type="dxa"/>
            <w:vAlign w:val="bottom"/>
          </w:tcPr>
          <w:p w:rsidR="00E5451D" w:rsidRPr="00492F71" w:rsidRDefault="00E5451D" w:rsidP="006A0A1F">
            <w:pPr>
              <w:pStyle w:val="Tabletext"/>
              <w:tabs>
                <w:tab w:val="decimal" w:pos="600"/>
              </w:tabs>
            </w:pPr>
            <w:r w:rsidRPr="00492F71">
              <w:t>34</w:t>
            </w:r>
          </w:p>
        </w:tc>
        <w:tc>
          <w:tcPr>
            <w:tcW w:w="1297" w:type="dxa"/>
            <w:vAlign w:val="bottom"/>
          </w:tcPr>
          <w:p w:rsidR="00E5451D" w:rsidRPr="00492F71" w:rsidRDefault="00E5451D" w:rsidP="006A0A1F">
            <w:pPr>
              <w:pStyle w:val="Tabletext"/>
              <w:tabs>
                <w:tab w:val="decimal" w:pos="600"/>
              </w:tabs>
            </w:pPr>
            <w:r w:rsidRPr="00492F71">
              <w:t>10</w:t>
            </w:r>
          </w:p>
        </w:tc>
        <w:tc>
          <w:tcPr>
            <w:tcW w:w="1297" w:type="dxa"/>
            <w:vAlign w:val="bottom"/>
          </w:tcPr>
          <w:p w:rsidR="00E5451D" w:rsidRPr="00492F71" w:rsidRDefault="00E5451D" w:rsidP="006A0A1F">
            <w:pPr>
              <w:pStyle w:val="Tabletext"/>
              <w:tabs>
                <w:tab w:val="decimal" w:pos="600"/>
              </w:tabs>
            </w:pPr>
            <w:r w:rsidRPr="00492F71">
              <w:t>5</w:t>
            </w:r>
          </w:p>
        </w:tc>
      </w:tr>
      <w:tr w:rsidR="00492F71" w:rsidRPr="00492F71" w:rsidTr="00FF0947">
        <w:tc>
          <w:tcPr>
            <w:tcW w:w="1668" w:type="dxa"/>
          </w:tcPr>
          <w:p w:rsidR="00E5451D" w:rsidRPr="00492F71" w:rsidRDefault="00E5451D" w:rsidP="00492F71">
            <w:pPr>
              <w:pStyle w:val="Tabletext"/>
            </w:pPr>
            <w:r w:rsidRPr="00492F71">
              <w:t>5</w:t>
            </w:r>
            <w:r w:rsidR="00492F71">
              <w:t xml:space="preserve"> Clerical and </w:t>
            </w:r>
            <w:r w:rsidR="00122741">
              <w:t>administrative workers</w:t>
            </w:r>
          </w:p>
        </w:tc>
        <w:tc>
          <w:tcPr>
            <w:tcW w:w="1297" w:type="dxa"/>
            <w:vAlign w:val="bottom"/>
          </w:tcPr>
          <w:p w:rsidR="00E5451D" w:rsidRPr="00492F71" w:rsidRDefault="00E5451D" w:rsidP="006A0A1F">
            <w:pPr>
              <w:pStyle w:val="Tabletext"/>
              <w:tabs>
                <w:tab w:val="decimal" w:pos="680"/>
              </w:tabs>
            </w:pPr>
            <w:r w:rsidRPr="00492F71">
              <w:t>167</w:t>
            </w:r>
          </w:p>
        </w:tc>
        <w:tc>
          <w:tcPr>
            <w:tcW w:w="1297" w:type="dxa"/>
            <w:vAlign w:val="bottom"/>
          </w:tcPr>
          <w:p w:rsidR="00E5451D" w:rsidRPr="00492F71" w:rsidRDefault="00E5451D" w:rsidP="006A0A1F">
            <w:pPr>
              <w:pStyle w:val="Tabletext"/>
              <w:tabs>
                <w:tab w:val="decimal" w:pos="600"/>
              </w:tabs>
            </w:pPr>
            <w:r w:rsidRPr="00492F71">
              <w:t>42</w:t>
            </w:r>
          </w:p>
        </w:tc>
        <w:tc>
          <w:tcPr>
            <w:tcW w:w="1297" w:type="dxa"/>
            <w:vAlign w:val="bottom"/>
          </w:tcPr>
          <w:p w:rsidR="00E5451D" w:rsidRPr="00492F71" w:rsidRDefault="00E5451D" w:rsidP="006A0A1F">
            <w:pPr>
              <w:pStyle w:val="Tabletext"/>
              <w:tabs>
                <w:tab w:val="decimal" w:pos="600"/>
              </w:tabs>
            </w:pPr>
            <w:r w:rsidRPr="00492F71">
              <w:t>25</w:t>
            </w:r>
          </w:p>
        </w:tc>
        <w:tc>
          <w:tcPr>
            <w:tcW w:w="1297" w:type="dxa"/>
            <w:vAlign w:val="bottom"/>
          </w:tcPr>
          <w:p w:rsidR="00E5451D" w:rsidRPr="00492F71" w:rsidRDefault="00E5451D" w:rsidP="006A0A1F">
            <w:pPr>
              <w:pStyle w:val="Tabletext"/>
              <w:tabs>
                <w:tab w:val="decimal" w:pos="600"/>
              </w:tabs>
            </w:pPr>
            <w:r w:rsidRPr="00492F71">
              <w:t>12</w:t>
            </w:r>
          </w:p>
        </w:tc>
        <w:tc>
          <w:tcPr>
            <w:tcW w:w="1297" w:type="dxa"/>
            <w:vAlign w:val="bottom"/>
          </w:tcPr>
          <w:p w:rsidR="00E5451D" w:rsidRPr="00492F71" w:rsidRDefault="00E5451D" w:rsidP="006A0A1F">
            <w:pPr>
              <w:pStyle w:val="Tabletext"/>
              <w:tabs>
                <w:tab w:val="decimal" w:pos="600"/>
              </w:tabs>
            </w:pPr>
            <w:r w:rsidRPr="00492F71">
              <w:t>7</w:t>
            </w:r>
          </w:p>
        </w:tc>
      </w:tr>
      <w:tr w:rsidR="00492F71" w:rsidRPr="00492F71" w:rsidTr="00FF0947">
        <w:tc>
          <w:tcPr>
            <w:tcW w:w="1668" w:type="dxa"/>
          </w:tcPr>
          <w:p w:rsidR="00E5451D" w:rsidRPr="00492F71" w:rsidRDefault="00E5451D" w:rsidP="00492F71">
            <w:pPr>
              <w:pStyle w:val="Tabletext"/>
            </w:pPr>
            <w:r w:rsidRPr="00492F71">
              <w:t>6</w:t>
            </w:r>
            <w:r w:rsidR="00122741">
              <w:t xml:space="preserve"> Sales w</w:t>
            </w:r>
            <w:r w:rsidR="00492F71">
              <w:t>orkers</w:t>
            </w:r>
          </w:p>
        </w:tc>
        <w:tc>
          <w:tcPr>
            <w:tcW w:w="1297" w:type="dxa"/>
            <w:vAlign w:val="bottom"/>
          </w:tcPr>
          <w:p w:rsidR="00E5451D" w:rsidRPr="00492F71" w:rsidRDefault="00E5451D" w:rsidP="006A0A1F">
            <w:pPr>
              <w:pStyle w:val="Tabletext"/>
              <w:tabs>
                <w:tab w:val="decimal" w:pos="680"/>
              </w:tabs>
            </w:pPr>
            <w:r w:rsidRPr="00492F71">
              <w:t>48</w:t>
            </w:r>
          </w:p>
        </w:tc>
        <w:tc>
          <w:tcPr>
            <w:tcW w:w="1297" w:type="dxa"/>
            <w:vAlign w:val="bottom"/>
          </w:tcPr>
          <w:p w:rsidR="00E5451D" w:rsidRPr="00492F71" w:rsidRDefault="00E5451D" w:rsidP="006A0A1F">
            <w:pPr>
              <w:pStyle w:val="Tabletext"/>
              <w:tabs>
                <w:tab w:val="decimal" w:pos="600"/>
              </w:tabs>
            </w:pPr>
            <w:r w:rsidRPr="00492F71">
              <w:t>16</w:t>
            </w:r>
          </w:p>
        </w:tc>
        <w:tc>
          <w:tcPr>
            <w:tcW w:w="1297" w:type="dxa"/>
            <w:vAlign w:val="bottom"/>
          </w:tcPr>
          <w:p w:rsidR="00E5451D" w:rsidRPr="00492F71" w:rsidRDefault="00E5451D" w:rsidP="006A0A1F">
            <w:pPr>
              <w:pStyle w:val="Tabletext"/>
              <w:tabs>
                <w:tab w:val="decimal" w:pos="600"/>
              </w:tabs>
            </w:pPr>
            <w:r w:rsidRPr="00492F71">
              <w:t>11</w:t>
            </w:r>
          </w:p>
        </w:tc>
        <w:tc>
          <w:tcPr>
            <w:tcW w:w="1297" w:type="dxa"/>
            <w:vAlign w:val="bottom"/>
          </w:tcPr>
          <w:p w:rsidR="00E5451D" w:rsidRPr="00492F71" w:rsidRDefault="00E5451D" w:rsidP="006A0A1F">
            <w:pPr>
              <w:pStyle w:val="Tabletext"/>
              <w:tabs>
                <w:tab w:val="decimal" w:pos="600"/>
              </w:tabs>
            </w:pPr>
            <w:r w:rsidRPr="00492F71">
              <w:t>4</w:t>
            </w:r>
          </w:p>
        </w:tc>
        <w:tc>
          <w:tcPr>
            <w:tcW w:w="1297" w:type="dxa"/>
            <w:vAlign w:val="bottom"/>
          </w:tcPr>
          <w:p w:rsidR="00E5451D" w:rsidRPr="00492F71" w:rsidRDefault="00E5451D" w:rsidP="006A0A1F">
            <w:pPr>
              <w:pStyle w:val="Tabletext"/>
              <w:tabs>
                <w:tab w:val="decimal" w:pos="600"/>
              </w:tabs>
            </w:pPr>
            <w:r w:rsidRPr="00492F71">
              <w:t>3</w:t>
            </w:r>
          </w:p>
        </w:tc>
      </w:tr>
      <w:tr w:rsidR="00492F71" w:rsidRPr="00492F71" w:rsidTr="00FF0947">
        <w:tc>
          <w:tcPr>
            <w:tcW w:w="1668" w:type="dxa"/>
          </w:tcPr>
          <w:p w:rsidR="00E5451D" w:rsidRPr="00492F71" w:rsidRDefault="00E5451D" w:rsidP="00492F71">
            <w:pPr>
              <w:pStyle w:val="Tabletext"/>
            </w:pPr>
            <w:r w:rsidRPr="00492F71">
              <w:t>7</w:t>
            </w:r>
            <w:r w:rsidR="00492F71">
              <w:t xml:space="preserve"> Machinery </w:t>
            </w:r>
            <w:r w:rsidR="00122741">
              <w:t>operators and drivers</w:t>
            </w:r>
          </w:p>
        </w:tc>
        <w:tc>
          <w:tcPr>
            <w:tcW w:w="1297" w:type="dxa"/>
            <w:vAlign w:val="bottom"/>
          </w:tcPr>
          <w:p w:rsidR="00E5451D" w:rsidRPr="00492F71" w:rsidRDefault="00E5451D" w:rsidP="006A0A1F">
            <w:pPr>
              <w:pStyle w:val="Tabletext"/>
              <w:tabs>
                <w:tab w:val="decimal" w:pos="680"/>
              </w:tabs>
            </w:pPr>
            <w:r w:rsidRPr="00492F71">
              <w:t>105</w:t>
            </w:r>
          </w:p>
        </w:tc>
        <w:tc>
          <w:tcPr>
            <w:tcW w:w="1297" w:type="dxa"/>
            <w:vAlign w:val="bottom"/>
          </w:tcPr>
          <w:p w:rsidR="00E5451D" w:rsidRPr="00492F71" w:rsidRDefault="00E5451D" w:rsidP="006A0A1F">
            <w:pPr>
              <w:pStyle w:val="Tabletext"/>
              <w:tabs>
                <w:tab w:val="decimal" w:pos="600"/>
              </w:tabs>
            </w:pPr>
            <w:r w:rsidRPr="00492F71">
              <w:t>40</w:t>
            </w:r>
          </w:p>
        </w:tc>
        <w:tc>
          <w:tcPr>
            <w:tcW w:w="1297" w:type="dxa"/>
            <w:vAlign w:val="bottom"/>
          </w:tcPr>
          <w:p w:rsidR="00E5451D" w:rsidRPr="00492F71" w:rsidRDefault="00E5451D" w:rsidP="006A0A1F">
            <w:pPr>
              <w:pStyle w:val="Tabletext"/>
              <w:tabs>
                <w:tab w:val="decimal" w:pos="600"/>
              </w:tabs>
            </w:pPr>
            <w:r w:rsidRPr="00492F71">
              <w:t>19</w:t>
            </w:r>
          </w:p>
        </w:tc>
        <w:tc>
          <w:tcPr>
            <w:tcW w:w="1297" w:type="dxa"/>
            <w:vAlign w:val="bottom"/>
          </w:tcPr>
          <w:p w:rsidR="00E5451D" w:rsidRPr="00492F71" w:rsidRDefault="00E5451D" w:rsidP="006A0A1F">
            <w:pPr>
              <w:pStyle w:val="Tabletext"/>
              <w:tabs>
                <w:tab w:val="decimal" w:pos="600"/>
              </w:tabs>
            </w:pPr>
            <w:r w:rsidRPr="00492F71">
              <w:t>7</w:t>
            </w:r>
          </w:p>
        </w:tc>
        <w:tc>
          <w:tcPr>
            <w:tcW w:w="1297" w:type="dxa"/>
            <w:vAlign w:val="bottom"/>
          </w:tcPr>
          <w:p w:rsidR="00E5451D" w:rsidRPr="00492F71" w:rsidRDefault="00E5451D" w:rsidP="006A0A1F">
            <w:pPr>
              <w:pStyle w:val="Tabletext"/>
              <w:tabs>
                <w:tab w:val="decimal" w:pos="600"/>
              </w:tabs>
            </w:pPr>
            <w:r w:rsidRPr="00492F71">
              <w:t>4</w:t>
            </w:r>
          </w:p>
        </w:tc>
      </w:tr>
      <w:tr w:rsidR="00492F71" w:rsidRPr="00492F71" w:rsidTr="00FF0947">
        <w:tc>
          <w:tcPr>
            <w:tcW w:w="1668" w:type="dxa"/>
            <w:tcBorders>
              <w:bottom w:val="single" w:sz="4" w:space="0" w:color="auto"/>
            </w:tcBorders>
          </w:tcPr>
          <w:p w:rsidR="00E5451D" w:rsidRPr="00492F71" w:rsidRDefault="00E5451D" w:rsidP="00492F71">
            <w:pPr>
              <w:pStyle w:val="Tabletext"/>
            </w:pPr>
            <w:r w:rsidRPr="00492F71">
              <w:t>8</w:t>
            </w:r>
            <w:r w:rsidR="00492F71">
              <w:t xml:space="preserve"> Labourers</w:t>
            </w:r>
          </w:p>
        </w:tc>
        <w:tc>
          <w:tcPr>
            <w:tcW w:w="1297" w:type="dxa"/>
            <w:tcBorders>
              <w:bottom w:val="single" w:sz="4" w:space="0" w:color="auto"/>
            </w:tcBorders>
            <w:vAlign w:val="bottom"/>
          </w:tcPr>
          <w:p w:rsidR="00E5451D" w:rsidRPr="00492F71" w:rsidRDefault="00E5451D" w:rsidP="006A0A1F">
            <w:pPr>
              <w:pStyle w:val="Tabletext"/>
              <w:tabs>
                <w:tab w:val="decimal" w:pos="680"/>
              </w:tabs>
            </w:pPr>
            <w:r w:rsidRPr="00492F71">
              <w:t>205</w:t>
            </w:r>
          </w:p>
        </w:tc>
        <w:tc>
          <w:tcPr>
            <w:tcW w:w="1297" w:type="dxa"/>
            <w:tcBorders>
              <w:bottom w:val="single" w:sz="4" w:space="0" w:color="auto"/>
            </w:tcBorders>
            <w:vAlign w:val="bottom"/>
          </w:tcPr>
          <w:p w:rsidR="00E5451D" w:rsidRPr="00492F71" w:rsidRDefault="00E5451D" w:rsidP="006A0A1F">
            <w:pPr>
              <w:pStyle w:val="Tabletext"/>
              <w:tabs>
                <w:tab w:val="decimal" w:pos="600"/>
              </w:tabs>
            </w:pPr>
            <w:r w:rsidRPr="00492F71">
              <w:t>68</w:t>
            </w:r>
          </w:p>
        </w:tc>
        <w:tc>
          <w:tcPr>
            <w:tcW w:w="1297" w:type="dxa"/>
            <w:tcBorders>
              <w:bottom w:val="single" w:sz="4" w:space="0" w:color="auto"/>
            </w:tcBorders>
            <w:vAlign w:val="bottom"/>
          </w:tcPr>
          <w:p w:rsidR="00E5451D" w:rsidRPr="00492F71" w:rsidRDefault="00E5451D" w:rsidP="006A0A1F">
            <w:pPr>
              <w:pStyle w:val="Tabletext"/>
              <w:tabs>
                <w:tab w:val="decimal" w:pos="600"/>
              </w:tabs>
            </w:pPr>
            <w:r w:rsidRPr="00492F71">
              <w:t>37</w:t>
            </w:r>
          </w:p>
        </w:tc>
        <w:tc>
          <w:tcPr>
            <w:tcW w:w="1297" w:type="dxa"/>
            <w:tcBorders>
              <w:bottom w:val="single" w:sz="4" w:space="0" w:color="auto"/>
            </w:tcBorders>
            <w:vAlign w:val="bottom"/>
          </w:tcPr>
          <w:p w:rsidR="00E5451D" w:rsidRPr="00492F71" w:rsidRDefault="00E5451D" w:rsidP="006A0A1F">
            <w:pPr>
              <w:pStyle w:val="Tabletext"/>
              <w:tabs>
                <w:tab w:val="decimal" w:pos="600"/>
              </w:tabs>
            </w:pPr>
            <w:r w:rsidRPr="00492F71">
              <w:t>9</w:t>
            </w:r>
          </w:p>
        </w:tc>
        <w:tc>
          <w:tcPr>
            <w:tcW w:w="1297" w:type="dxa"/>
            <w:tcBorders>
              <w:bottom w:val="single" w:sz="4" w:space="0" w:color="auto"/>
            </w:tcBorders>
            <w:vAlign w:val="bottom"/>
          </w:tcPr>
          <w:p w:rsidR="00E5451D" w:rsidRPr="00492F71" w:rsidRDefault="00E5451D" w:rsidP="006A0A1F">
            <w:pPr>
              <w:pStyle w:val="Tabletext"/>
              <w:tabs>
                <w:tab w:val="decimal" w:pos="600"/>
              </w:tabs>
            </w:pPr>
            <w:r w:rsidRPr="00492F71">
              <w:t>6</w:t>
            </w:r>
          </w:p>
        </w:tc>
      </w:tr>
      <w:tr w:rsidR="00492F71" w:rsidRPr="00492F71" w:rsidTr="00FF0947">
        <w:tc>
          <w:tcPr>
            <w:tcW w:w="1668" w:type="dxa"/>
            <w:tcBorders>
              <w:top w:val="single" w:sz="4" w:space="0" w:color="auto"/>
              <w:bottom w:val="single" w:sz="4" w:space="0" w:color="auto"/>
            </w:tcBorders>
            <w:vAlign w:val="bottom"/>
          </w:tcPr>
          <w:p w:rsidR="00E5451D" w:rsidRPr="006A0A1F" w:rsidRDefault="00E5451D" w:rsidP="00492F71">
            <w:pPr>
              <w:pStyle w:val="Tabletext"/>
              <w:rPr>
                <w:b/>
              </w:rPr>
            </w:pPr>
            <w:r w:rsidRPr="006A0A1F">
              <w:rPr>
                <w:b/>
              </w:rPr>
              <w:t>Total</w:t>
            </w:r>
          </w:p>
        </w:tc>
        <w:tc>
          <w:tcPr>
            <w:tcW w:w="1297" w:type="dxa"/>
            <w:tcBorders>
              <w:top w:val="single" w:sz="4" w:space="0" w:color="auto"/>
              <w:bottom w:val="single" w:sz="4" w:space="0" w:color="auto"/>
            </w:tcBorders>
            <w:vAlign w:val="bottom"/>
          </w:tcPr>
          <w:p w:rsidR="00E5451D" w:rsidRPr="006A0A1F" w:rsidRDefault="00E5451D" w:rsidP="006A0A1F">
            <w:pPr>
              <w:pStyle w:val="Tabletext"/>
              <w:tabs>
                <w:tab w:val="decimal" w:pos="680"/>
              </w:tabs>
              <w:rPr>
                <w:b/>
              </w:rPr>
            </w:pPr>
            <w:r w:rsidRPr="006A0A1F">
              <w:rPr>
                <w:b/>
              </w:rPr>
              <w:t>1631</w:t>
            </w:r>
          </w:p>
        </w:tc>
        <w:tc>
          <w:tcPr>
            <w:tcW w:w="1297" w:type="dxa"/>
            <w:tcBorders>
              <w:top w:val="single" w:sz="4" w:space="0" w:color="auto"/>
              <w:bottom w:val="single" w:sz="4" w:space="0" w:color="auto"/>
            </w:tcBorders>
            <w:vAlign w:val="bottom"/>
          </w:tcPr>
          <w:p w:rsidR="00E5451D" w:rsidRPr="006A0A1F" w:rsidRDefault="00E5451D" w:rsidP="006A0A1F">
            <w:pPr>
              <w:pStyle w:val="Tabletext"/>
              <w:tabs>
                <w:tab w:val="decimal" w:pos="600"/>
              </w:tabs>
              <w:rPr>
                <w:b/>
              </w:rPr>
            </w:pPr>
            <w:r w:rsidRPr="006A0A1F">
              <w:rPr>
                <w:b/>
              </w:rPr>
              <w:t>500</w:t>
            </w:r>
          </w:p>
        </w:tc>
        <w:tc>
          <w:tcPr>
            <w:tcW w:w="1297" w:type="dxa"/>
            <w:tcBorders>
              <w:top w:val="single" w:sz="4" w:space="0" w:color="auto"/>
              <w:bottom w:val="single" w:sz="4" w:space="0" w:color="auto"/>
            </w:tcBorders>
            <w:vAlign w:val="bottom"/>
          </w:tcPr>
          <w:p w:rsidR="00E5451D" w:rsidRPr="006A0A1F" w:rsidRDefault="00E5451D" w:rsidP="006A0A1F">
            <w:pPr>
              <w:pStyle w:val="Tabletext"/>
              <w:tabs>
                <w:tab w:val="decimal" w:pos="600"/>
              </w:tabs>
              <w:rPr>
                <w:b/>
              </w:rPr>
            </w:pPr>
            <w:r w:rsidRPr="006A0A1F">
              <w:rPr>
                <w:b/>
              </w:rPr>
              <w:t>272</w:t>
            </w:r>
          </w:p>
        </w:tc>
        <w:tc>
          <w:tcPr>
            <w:tcW w:w="1297" w:type="dxa"/>
            <w:tcBorders>
              <w:top w:val="single" w:sz="4" w:space="0" w:color="auto"/>
              <w:bottom w:val="single" w:sz="4" w:space="0" w:color="auto"/>
            </w:tcBorders>
            <w:vAlign w:val="bottom"/>
          </w:tcPr>
          <w:p w:rsidR="00E5451D" w:rsidRPr="006A0A1F" w:rsidRDefault="00E5451D" w:rsidP="006A0A1F">
            <w:pPr>
              <w:pStyle w:val="Tabletext"/>
              <w:tabs>
                <w:tab w:val="decimal" w:pos="600"/>
              </w:tabs>
              <w:rPr>
                <w:b/>
              </w:rPr>
            </w:pPr>
            <w:r w:rsidRPr="006A0A1F">
              <w:rPr>
                <w:b/>
              </w:rPr>
              <w:t>97</w:t>
            </w:r>
          </w:p>
        </w:tc>
        <w:tc>
          <w:tcPr>
            <w:tcW w:w="1297" w:type="dxa"/>
            <w:tcBorders>
              <w:top w:val="single" w:sz="4" w:space="0" w:color="auto"/>
              <w:bottom w:val="single" w:sz="4" w:space="0" w:color="auto"/>
            </w:tcBorders>
            <w:vAlign w:val="bottom"/>
          </w:tcPr>
          <w:p w:rsidR="00E5451D" w:rsidRPr="006A0A1F" w:rsidRDefault="00E5451D" w:rsidP="006A0A1F">
            <w:pPr>
              <w:pStyle w:val="Tabletext"/>
              <w:tabs>
                <w:tab w:val="decimal" w:pos="600"/>
              </w:tabs>
              <w:rPr>
                <w:b/>
              </w:rPr>
            </w:pPr>
            <w:r w:rsidRPr="006A0A1F">
              <w:rPr>
                <w:b/>
              </w:rPr>
              <w:t>43</w:t>
            </w:r>
          </w:p>
        </w:tc>
      </w:tr>
    </w:tbl>
    <w:p w:rsidR="004A7C3D" w:rsidRDefault="004A7C3D" w:rsidP="004A7C3D">
      <w:pPr>
        <w:pStyle w:val="Source"/>
      </w:pPr>
      <w:r>
        <w:t xml:space="preserve">Source: </w:t>
      </w:r>
      <w:r w:rsidR="00122741">
        <w:t>A</w:t>
      </w:r>
      <w:r w:rsidR="00545D87">
        <w:t xml:space="preserve">uthors’ analysis based on data </w:t>
      </w:r>
      <w:r w:rsidR="00390066">
        <w:t xml:space="preserve">from </w:t>
      </w:r>
      <w:r w:rsidR="00545D87">
        <w:t xml:space="preserve">the </w:t>
      </w:r>
      <w:r w:rsidR="00390066">
        <w:t>Australian Department of Education and Training and NCVER collections</w:t>
      </w:r>
      <w:r w:rsidR="00FF0947">
        <w:t>.</w:t>
      </w:r>
    </w:p>
    <w:p w:rsidR="00E5451D" w:rsidRDefault="00492F71" w:rsidP="0085781D">
      <w:pPr>
        <w:pStyle w:val="Text"/>
      </w:pPr>
      <w:r>
        <w:t>If the qualifications are group</w:t>
      </w:r>
      <w:r w:rsidR="00FA6BA2">
        <w:t>ed</w:t>
      </w:r>
      <w:r>
        <w:t xml:space="preserve"> by occupation</w:t>
      </w:r>
      <w:r w:rsidR="00FA6BA2">
        <w:t xml:space="preserve"> (</w:t>
      </w:r>
      <w:r w:rsidR="001C6000">
        <w:t>that is</w:t>
      </w:r>
      <w:r w:rsidR="00122741">
        <w:t>,</w:t>
      </w:r>
      <w:r w:rsidR="001C6000">
        <w:t xml:space="preserve"> at the</w:t>
      </w:r>
      <w:r w:rsidR="00FA6BA2">
        <w:t xml:space="preserve"> ANZSCO 6-digit level)</w:t>
      </w:r>
      <w:r w:rsidR="00545D87">
        <w:t>,</w:t>
      </w:r>
      <w:r w:rsidR="00FA6BA2">
        <w:t xml:space="preserve"> </w:t>
      </w:r>
      <w:r w:rsidR="001C6000">
        <w:t xml:space="preserve">we have </w:t>
      </w:r>
      <w:r w:rsidR="00BA7B30">
        <w:t xml:space="preserve">500 unique groups. </w:t>
      </w:r>
      <w:r w:rsidR="00FA6BA2">
        <w:t xml:space="preserve">If we follow this process for the different ANZSCO </w:t>
      </w:r>
      <w:r w:rsidR="001C6000">
        <w:t>group levels,</w:t>
      </w:r>
      <w:r w:rsidR="00FA6BA2">
        <w:t xml:space="preserve"> we find that t</w:t>
      </w:r>
      <w:r w:rsidR="00BA7B30">
        <w:t>here are 272 groups at the 4-digit level, 97 groups at the 3-digit level, 43 groups at</w:t>
      </w:r>
      <w:r w:rsidR="00FA6BA2">
        <w:t xml:space="preserve"> the</w:t>
      </w:r>
      <w:r w:rsidR="00FF0947">
        <w:t xml:space="preserve"> 2-digit level and eight</w:t>
      </w:r>
      <w:r w:rsidR="00BA7B30">
        <w:t xml:space="preserve"> groups at the 1-digit level</w:t>
      </w:r>
      <w:r w:rsidR="00FF0947">
        <w:t xml:space="preserve"> (the eigh</w:t>
      </w:r>
      <w:r w:rsidR="00967D44">
        <w:t>t major groups listed in table 6</w:t>
      </w:r>
      <w:r w:rsidR="00FF0947">
        <w:t>)</w:t>
      </w:r>
      <w:r w:rsidR="00BA7B30">
        <w:t>.</w:t>
      </w:r>
    </w:p>
    <w:p w:rsidR="00045E9B" w:rsidRDefault="00BA7B30" w:rsidP="0085781D">
      <w:pPr>
        <w:pStyle w:val="Text"/>
      </w:pPr>
      <w:r>
        <w:t xml:space="preserve">If qualifications were to be rationalised in this way, </w:t>
      </w:r>
      <w:r w:rsidR="00045E9B">
        <w:t xml:space="preserve">a possible </w:t>
      </w:r>
      <w:r>
        <w:t>ideal would be somewhere between grouping by occupation (500 groups</w:t>
      </w:r>
      <w:r w:rsidR="001C6000">
        <w:t xml:space="preserve"> at the 6-digit level</w:t>
      </w:r>
      <w:r>
        <w:t>) and grouping by sub-major groups (43 groups</w:t>
      </w:r>
      <w:r w:rsidR="001C6000">
        <w:t xml:space="preserve"> at the 2-digit level</w:t>
      </w:r>
      <w:r>
        <w:t xml:space="preserve">). </w:t>
      </w:r>
    </w:p>
    <w:p w:rsidR="001C6000" w:rsidRDefault="00045E9B" w:rsidP="00765E97">
      <w:pPr>
        <w:pStyle w:val="Text"/>
      </w:pPr>
      <w:r>
        <w:t xml:space="preserve">Importantly, </w:t>
      </w:r>
      <w:r w:rsidR="00545D87">
        <w:t xml:space="preserve">not all </w:t>
      </w:r>
      <w:r>
        <w:t>q</w:t>
      </w:r>
      <w:r w:rsidR="00BA7B30">
        <w:t>ualifications need be grouped at the same level. Where there was sufficient demand or need</w:t>
      </w:r>
      <w:r w:rsidR="001C6000">
        <w:t>,</w:t>
      </w:r>
      <w:r w:rsidR="00BA7B30">
        <w:t xml:space="preserve"> qualifications could be grouped just</w:t>
      </w:r>
      <w:r w:rsidR="00122741">
        <w:t xml:space="preserve"> at the occupation level. Other less utilised or less specific</w:t>
      </w:r>
      <w:r w:rsidR="00BA7B30">
        <w:t xml:space="preserve"> occupations could be grouped at a higher level</w:t>
      </w:r>
      <w:r w:rsidR="00545D87">
        <w:t>,</w:t>
      </w:r>
      <w:r w:rsidR="00BA7B30">
        <w:t xml:space="preserve"> </w:t>
      </w:r>
      <w:r w:rsidR="001C6000">
        <w:t>such as at the</w:t>
      </w:r>
      <w:r w:rsidR="00BA7B30">
        <w:t xml:space="preserve"> minor group</w:t>
      </w:r>
      <w:r w:rsidR="001C6000">
        <w:t xml:space="preserve"> level.</w:t>
      </w:r>
    </w:p>
    <w:p w:rsidR="001C6000" w:rsidRDefault="001C6000" w:rsidP="00765E97">
      <w:pPr>
        <w:pStyle w:val="Text"/>
      </w:pPr>
      <w:r>
        <w:t>One metric for rationalising qualifications using ANZSCO groups could be the mean number of enrolments in each group. If the mean number of enrolments were below some target number, that would indicate that those groups needed to be rationalised.</w:t>
      </w:r>
    </w:p>
    <w:p w:rsidR="00334A24" w:rsidRDefault="00FF0947" w:rsidP="00765E97">
      <w:pPr>
        <w:pStyle w:val="Text"/>
      </w:pPr>
      <w:r>
        <w:lastRenderedPageBreak/>
        <w:t>As shown in t</w:t>
      </w:r>
      <w:r w:rsidR="00045E9B">
        <w:t xml:space="preserve">able </w:t>
      </w:r>
      <w:r w:rsidR="00967D44">
        <w:t>7</w:t>
      </w:r>
      <w:r w:rsidR="00045E9B">
        <w:t>, i</w:t>
      </w:r>
      <w:r w:rsidR="00BA7B30">
        <w:t xml:space="preserve">n the </w:t>
      </w:r>
      <w:r w:rsidR="00045E9B">
        <w:t xml:space="preserve">consolidated </w:t>
      </w:r>
      <w:r w:rsidR="00122741">
        <w:t>list of qualifications</w:t>
      </w:r>
      <w:r w:rsidR="00BA7B30">
        <w:t xml:space="preserve"> the mean number of enrolments ranges from 947 for ‘</w:t>
      </w:r>
      <w:r>
        <w:t xml:space="preserve">3 Technicians and </w:t>
      </w:r>
      <w:r w:rsidR="00122741">
        <w:t xml:space="preserve">trades workers’ </w:t>
      </w:r>
      <w:r>
        <w:t>through to 2</w:t>
      </w:r>
      <w:r w:rsidR="00BA7B30">
        <w:t xml:space="preserve">883 for </w:t>
      </w:r>
      <w:r w:rsidR="008109FD">
        <w:br/>
      </w:r>
      <w:r w:rsidR="00BA7B30" w:rsidRPr="00C12D8D">
        <w:t xml:space="preserve">‘4 Community and </w:t>
      </w:r>
      <w:r w:rsidR="00122741" w:rsidRPr="00C12D8D">
        <w:t>personal service workers’</w:t>
      </w:r>
      <w:r w:rsidR="00BA7B30" w:rsidRPr="00C12D8D">
        <w:t>.</w:t>
      </w:r>
      <w:r w:rsidR="004B5B1B" w:rsidRPr="00C12D8D">
        <w:t xml:space="preserve"> At the occupation groupin</w:t>
      </w:r>
      <w:r>
        <w:t>g level, the mean ranges from 3</w:t>
      </w:r>
      <w:r w:rsidR="004B5B1B" w:rsidRPr="00C12D8D">
        <w:t xml:space="preserve">124 for ‘2 Professionals’ to 12 541 for ‘4 Community and </w:t>
      </w:r>
      <w:r w:rsidR="00122741" w:rsidRPr="00C12D8D">
        <w:t>personal service workers</w:t>
      </w:r>
      <w:r w:rsidR="004B5B1B" w:rsidRPr="00C12D8D">
        <w:t>’.</w:t>
      </w:r>
    </w:p>
    <w:p w:rsidR="00BA7B30" w:rsidRPr="00C12D8D" w:rsidRDefault="00BA7B30" w:rsidP="00C12D8D">
      <w:pPr>
        <w:pStyle w:val="Tabletitle"/>
      </w:pPr>
      <w:bookmarkStart w:id="70" w:name="_Toc465162110"/>
      <w:r w:rsidRPr="00C12D8D">
        <w:t xml:space="preserve">Table </w:t>
      </w:r>
      <w:r w:rsidR="00967D44">
        <w:t>7</w:t>
      </w:r>
      <w:r w:rsidRPr="00C12D8D">
        <w:tab/>
      </w:r>
      <w:r w:rsidR="00516E7C">
        <w:t>Mean</w:t>
      </w:r>
      <w:r w:rsidRPr="00C12D8D">
        <w:t xml:space="preserve"> enrolments per group after grouping by ANZSCO levels by ANZSCO major group, 2015</w:t>
      </w:r>
      <w:bookmarkEnd w:id="70"/>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297"/>
        <w:gridCol w:w="1297"/>
        <w:gridCol w:w="1297"/>
        <w:gridCol w:w="1297"/>
        <w:gridCol w:w="1297"/>
      </w:tblGrid>
      <w:tr w:rsidR="00BA7B30" w:rsidRPr="00C12D8D" w:rsidTr="006A0A1F">
        <w:tc>
          <w:tcPr>
            <w:tcW w:w="1668" w:type="dxa"/>
            <w:tcBorders>
              <w:bottom w:val="single" w:sz="4" w:space="0" w:color="auto"/>
            </w:tcBorders>
            <w:vAlign w:val="bottom"/>
          </w:tcPr>
          <w:p w:rsidR="00BA7B30" w:rsidRPr="00C12D8D" w:rsidRDefault="00BA7B30" w:rsidP="006A0A1F">
            <w:pPr>
              <w:pStyle w:val="Tablehead1"/>
            </w:pPr>
            <w:r w:rsidRPr="00C12D8D">
              <w:t xml:space="preserve">ANZSCO </w:t>
            </w:r>
            <w:r w:rsidR="00122741" w:rsidRPr="00C12D8D">
              <w:t>major group</w:t>
            </w:r>
          </w:p>
        </w:tc>
        <w:tc>
          <w:tcPr>
            <w:tcW w:w="1297" w:type="dxa"/>
            <w:tcBorders>
              <w:bottom w:val="single" w:sz="4" w:space="0" w:color="auto"/>
            </w:tcBorders>
          </w:tcPr>
          <w:p w:rsidR="00BA7B30" w:rsidRPr="00C12D8D" w:rsidRDefault="00FF0947" w:rsidP="006A0A1F">
            <w:pPr>
              <w:pStyle w:val="Tablehead1"/>
              <w:jc w:val="center"/>
            </w:pPr>
            <w:r>
              <w:t>Consolidated</w:t>
            </w:r>
            <w:r w:rsidR="00BA7B30" w:rsidRPr="00C12D8D">
              <w:t xml:space="preserve"> list</w:t>
            </w:r>
          </w:p>
        </w:tc>
        <w:tc>
          <w:tcPr>
            <w:tcW w:w="1297" w:type="dxa"/>
            <w:tcBorders>
              <w:bottom w:val="single" w:sz="4" w:space="0" w:color="auto"/>
            </w:tcBorders>
          </w:tcPr>
          <w:p w:rsidR="00BA7B30" w:rsidRDefault="00BA7B30" w:rsidP="006A0A1F">
            <w:pPr>
              <w:pStyle w:val="Tablehead1"/>
              <w:jc w:val="center"/>
            </w:pPr>
            <w:r w:rsidRPr="00C12D8D">
              <w:t>Occupation grouping</w:t>
            </w:r>
          </w:p>
          <w:p w:rsidR="00103439" w:rsidRPr="00C12D8D" w:rsidRDefault="00103439" w:rsidP="006A0A1F">
            <w:pPr>
              <w:pStyle w:val="Tablehead1"/>
              <w:jc w:val="center"/>
            </w:pPr>
            <w:r>
              <w:t>(6-digit level)</w:t>
            </w:r>
          </w:p>
        </w:tc>
        <w:tc>
          <w:tcPr>
            <w:tcW w:w="1297" w:type="dxa"/>
            <w:tcBorders>
              <w:bottom w:val="single" w:sz="4" w:space="0" w:color="auto"/>
            </w:tcBorders>
          </w:tcPr>
          <w:p w:rsidR="00BA7B30" w:rsidRDefault="00BA7B30" w:rsidP="006A0A1F">
            <w:pPr>
              <w:pStyle w:val="Tablehead1"/>
              <w:jc w:val="center"/>
            </w:pPr>
            <w:r w:rsidRPr="00C12D8D">
              <w:t>Unit grouping</w:t>
            </w:r>
          </w:p>
          <w:p w:rsidR="00103439" w:rsidRPr="00C12D8D" w:rsidRDefault="00103439" w:rsidP="006A0A1F">
            <w:pPr>
              <w:pStyle w:val="Tablehead1"/>
              <w:jc w:val="center"/>
            </w:pPr>
            <w:r>
              <w:t>(4-digit level)</w:t>
            </w:r>
          </w:p>
        </w:tc>
        <w:tc>
          <w:tcPr>
            <w:tcW w:w="1297" w:type="dxa"/>
            <w:tcBorders>
              <w:bottom w:val="single" w:sz="4" w:space="0" w:color="auto"/>
            </w:tcBorders>
          </w:tcPr>
          <w:p w:rsidR="00BA7B30" w:rsidRDefault="00BA7B30" w:rsidP="006A0A1F">
            <w:pPr>
              <w:pStyle w:val="Tablehead1"/>
              <w:jc w:val="center"/>
            </w:pPr>
            <w:r w:rsidRPr="00C12D8D">
              <w:t>Minor grouping</w:t>
            </w:r>
          </w:p>
          <w:p w:rsidR="00103439" w:rsidRPr="00C12D8D" w:rsidRDefault="00103439" w:rsidP="006A0A1F">
            <w:pPr>
              <w:pStyle w:val="Tablehead1"/>
              <w:jc w:val="center"/>
            </w:pPr>
            <w:r>
              <w:t>(3-digit level)</w:t>
            </w:r>
          </w:p>
        </w:tc>
        <w:tc>
          <w:tcPr>
            <w:tcW w:w="1297" w:type="dxa"/>
            <w:tcBorders>
              <w:bottom w:val="single" w:sz="4" w:space="0" w:color="auto"/>
            </w:tcBorders>
          </w:tcPr>
          <w:p w:rsidR="00BA7B30" w:rsidRDefault="00BA7B30" w:rsidP="006A0A1F">
            <w:pPr>
              <w:pStyle w:val="Tablehead1"/>
              <w:jc w:val="center"/>
            </w:pPr>
            <w:r w:rsidRPr="00C12D8D">
              <w:t>Sub-major grouping</w:t>
            </w:r>
          </w:p>
          <w:p w:rsidR="00103439" w:rsidRPr="00C12D8D" w:rsidRDefault="00103439" w:rsidP="006A0A1F">
            <w:pPr>
              <w:pStyle w:val="Tablehead1"/>
              <w:jc w:val="center"/>
            </w:pPr>
            <w:r>
              <w:t>(2-digit level)</w:t>
            </w:r>
          </w:p>
        </w:tc>
      </w:tr>
      <w:tr w:rsidR="00BA7B30" w:rsidRPr="00C12D8D" w:rsidTr="00FF0947">
        <w:tc>
          <w:tcPr>
            <w:tcW w:w="1668" w:type="dxa"/>
            <w:tcBorders>
              <w:top w:val="single" w:sz="4" w:space="0" w:color="auto"/>
              <w:bottom w:val="nil"/>
            </w:tcBorders>
          </w:tcPr>
          <w:p w:rsidR="00BA7B30" w:rsidRPr="00C12D8D" w:rsidRDefault="00BA7B30" w:rsidP="00C12D8D">
            <w:pPr>
              <w:pStyle w:val="Tabletext"/>
            </w:pPr>
            <w:r w:rsidRPr="00C12D8D">
              <w:t>1 Managers</w:t>
            </w:r>
          </w:p>
        </w:tc>
        <w:tc>
          <w:tcPr>
            <w:tcW w:w="1297" w:type="dxa"/>
            <w:tcBorders>
              <w:top w:val="single" w:sz="4" w:space="0" w:color="auto"/>
              <w:bottom w:val="nil"/>
            </w:tcBorders>
            <w:vAlign w:val="bottom"/>
          </w:tcPr>
          <w:p w:rsidR="00BA7B30" w:rsidRPr="00C12D8D" w:rsidRDefault="00BA7B30" w:rsidP="006A0A1F">
            <w:pPr>
              <w:pStyle w:val="Tabletext"/>
              <w:tabs>
                <w:tab w:val="decimal" w:pos="552"/>
              </w:tabs>
            </w:pPr>
            <w:r w:rsidRPr="00C12D8D">
              <w:t>1 899</w:t>
            </w:r>
          </w:p>
        </w:tc>
        <w:tc>
          <w:tcPr>
            <w:tcW w:w="1297" w:type="dxa"/>
            <w:tcBorders>
              <w:top w:val="single" w:sz="4" w:space="0" w:color="auto"/>
              <w:bottom w:val="nil"/>
            </w:tcBorders>
            <w:vAlign w:val="bottom"/>
          </w:tcPr>
          <w:p w:rsidR="00BA7B30" w:rsidRPr="00C12D8D" w:rsidRDefault="00BA7B30" w:rsidP="006A0A1F">
            <w:pPr>
              <w:pStyle w:val="Tabletext"/>
              <w:tabs>
                <w:tab w:val="decimal" w:pos="552"/>
              </w:tabs>
            </w:pPr>
            <w:r w:rsidRPr="00C12D8D">
              <w:t>4 525</w:t>
            </w:r>
          </w:p>
        </w:tc>
        <w:tc>
          <w:tcPr>
            <w:tcW w:w="1297" w:type="dxa"/>
            <w:tcBorders>
              <w:top w:val="single" w:sz="4" w:space="0" w:color="auto"/>
              <w:bottom w:val="nil"/>
            </w:tcBorders>
            <w:vAlign w:val="bottom"/>
          </w:tcPr>
          <w:p w:rsidR="00BA7B30" w:rsidRPr="00C12D8D" w:rsidRDefault="00BA7B30" w:rsidP="006A0A1F">
            <w:pPr>
              <w:pStyle w:val="Tabletext"/>
              <w:tabs>
                <w:tab w:val="decimal" w:pos="552"/>
              </w:tabs>
            </w:pPr>
            <w:r w:rsidRPr="00C12D8D">
              <w:t>7 089</w:t>
            </w:r>
          </w:p>
        </w:tc>
        <w:tc>
          <w:tcPr>
            <w:tcW w:w="1297" w:type="dxa"/>
            <w:tcBorders>
              <w:top w:val="single" w:sz="4" w:space="0" w:color="auto"/>
              <w:bottom w:val="nil"/>
            </w:tcBorders>
            <w:vAlign w:val="bottom"/>
          </w:tcPr>
          <w:p w:rsidR="00BA7B30" w:rsidRPr="00C12D8D" w:rsidRDefault="00BA7B30" w:rsidP="006A0A1F">
            <w:pPr>
              <w:pStyle w:val="Tabletext"/>
              <w:tabs>
                <w:tab w:val="decimal" w:pos="552"/>
              </w:tabs>
            </w:pPr>
            <w:r w:rsidRPr="00C12D8D">
              <w:t>16 360</w:t>
            </w:r>
          </w:p>
        </w:tc>
        <w:tc>
          <w:tcPr>
            <w:tcW w:w="1297" w:type="dxa"/>
            <w:tcBorders>
              <w:top w:val="single" w:sz="4" w:space="0" w:color="auto"/>
              <w:bottom w:val="nil"/>
            </w:tcBorders>
            <w:vAlign w:val="bottom"/>
          </w:tcPr>
          <w:p w:rsidR="00BA7B30" w:rsidRPr="00C12D8D" w:rsidRDefault="00BA7B30" w:rsidP="006A0A1F">
            <w:pPr>
              <w:pStyle w:val="Tabletext"/>
              <w:tabs>
                <w:tab w:val="decimal" w:pos="552"/>
              </w:tabs>
            </w:pPr>
            <w:r w:rsidRPr="00C12D8D">
              <w:t>53 171</w:t>
            </w:r>
          </w:p>
        </w:tc>
      </w:tr>
      <w:tr w:rsidR="00BA7B30" w:rsidRPr="00C12D8D" w:rsidTr="00FF0947">
        <w:tc>
          <w:tcPr>
            <w:tcW w:w="1668" w:type="dxa"/>
            <w:tcBorders>
              <w:top w:val="nil"/>
            </w:tcBorders>
          </w:tcPr>
          <w:p w:rsidR="00BA7B30" w:rsidRPr="00C12D8D" w:rsidRDefault="00BA7B30" w:rsidP="00C12D8D">
            <w:pPr>
              <w:pStyle w:val="Tabletext"/>
            </w:pPr>
            <w:r w:rsidRPr="00C12D8D">
              <w:t>2 Professionals</w:t>
            </w:r>
          </w:p>
        </w:tc>
        <w:tc>
          <w:tcPr>
            <w:tcW w:w="1297" w:type="dxa"/>
            <w:tcBorders>
              <w:top w:val="nil"/>
            </w:tcBorders>
            <w:vAlign w:val="bottom"/>
          </w:tcPr>
          <w:p w:rsidR="00BA7B30" w:rsidRPr="00C12D8D" w:rsidRDefault="00BA7B30" w:rsidP="006A0A1F">
            <w:pPr>
              <w:pStyle w:val="Tabletext"/>
              <w:tabs>
                <w:tab w:val="decimal" w:pos="552"/>
              </w:tabs>
            </w:pPr>
            <w:r w:rsidRPr="00C12D8D">
              <w:t>1 223</w:t>
            </w:r>
          </w:p>
        </w:tc>
        <w:tc>
          <w:tcPr>
            <w:tcW w:w="1297" w:type="dxa"/>
            <w:tcBorders>
              <w:top w:val="nil"/>
            </w:tcBorders>
            <w:vAlign w:val="bottom"/>
          </w:tcPr>
          <w:p w:rsidR="00BA7B30" w:rsidRPr="00C12D8D" w:rsidRDefault="00BA7B30" w:rsidP="006A0A1F">
            <w:pPr>
              <w:pStyle w:val="Tabletext"/>
              <w:tabs>
                <w:tab w:val="decimal" w:pos="552"/>
              </w:tabs>
            </w:pPr>
            <w:r w:rsidRPr="00C12D8D">
              <w:t>3 124</w:t>
            </w:r>
          </w:p>
        </w:tc>
        <w:tc>
          <w:tcPr>
            <w:tcW w:w="1297" w:type="dxa"/>
            <w:tcBorders>
              <w:top w:val="nil"/>
            </w:tcBorders>
            <w:vAlign w:val="bottom"/>
          </w:tcPr>
          <w:p w:rsidR="00BA7B30" w:rsidRPr="00C12D8D" w:rsidRDefault="00BA7B30" w:rsidP="006A0A1F">
            <w:pPr>
              <w:pStyle w:val="Tabletext"/>
              <w:tabs>
                <w:tab w:val="decimal" w:pos="552"/>
              </w:tabs>
            </w:pPr>
            <w:r w:rsidRPr="00C12D8D">
              <w:t>5 232</w:t>
            </w:r>
          </w:p>
        </w:tc>
        <w:tc>
          <w:tcPr>
            <w:tcW w:w="1297" w:type="dxa"/>
            <w:tcBorders>
              <w:top w:val="nil"/>
            </w:tcBorders>
            <w:vAlign w:val="bottom"/>
          </w:tcPr>
          <w:p w:rsidR="00BA7B30" w:rsidRPr="00C12D8D" w:rsidRDefault="00BA7B30" w:rsidP="006A0A1F">
            <w:pPr>
              <w:pStyle w:val="Tabletext"/>
              <w:tabs>
                <w:tab w:val="decimal" w:pos="552"/>
              </w:tabs>
            </w:pPr>
            <w:r w:rsidRPr="00C12D8D">
              <w:t>11 840</w:t>
            </w:r>
          </w:p>
        </w:tc>
        <w:tc>
          <w:tcPr>
            <w:tcW w:w="1297" w:type="dxa"/>
            <w:tcBorders>
              <w:top w:val="nil"/>
            </w:tcBorders>
            <w:vAlign w:val="bottom"/>
          </w:tcPr>
          <w:p w:rsidR="00BA7B30" w:rsidRPr="00C12D8D" w:rsidRDefault="00BA7B30" w:rsidP="006A0A1F">
            <w:pPr>
              <w:pStyle w:val="Tabletext"/>
              <w:tabs>
                <w:tab w:val="decimal" w:pos="552"/>
              </w:tabs>
            </w:pPr>
            <w:r w:rsidRPr="00C12D8D">
              <w:t>32 137</w:t>
            </w:r>
          </w:p>
        </w:tc>
      </w:tr>
      <w:tr w:rsidR="00BA7B30" w:rsidRPr="00C12D8D" w:rsidTr="00FF0947">
        <w:tc>
          <w:tcPr>
            <w:tcW w:w="1668" w:type="dxa"/>
          </w:tcPr>
          <w:p w:rsidR="00BA7B30" w:rsidRPr="00C12D8D" w:rsidRDefault="00BA7B30" w:rsidP="00C12D8D">
            <w:pPr>
              <w:pStyle w:val="Tabletext"/>
            </w:pPr>
            <w:r w:rsidRPr="00C12D8D">
              <w:t xml:space="preserve">3 Technicians and </w:t>
            </w:r>
            <w:r w:rsidR="00122741" w:rsidRPr="00C12D8D">
              <w:t>trades workers</w:t>
            </w:r>
          </w:p>
        </w:tc>
        <w:tc>
          <w:tcPr>
            <w:tcW w:w="1297" w:type="dxa"/>
            <w:vAlign w:val="bottom"/>
          </w:tcPr>
          <w:p w:rsidR="00BA7B30" w:rsidRPr="00C12D8D" w:rsidRDefault="00BA7B30" w:rsidP="006A0A1F">
            <w:pPr>
              <w:pStyle w:val="Tabletext"/>
              <w:tabs>
                <w:tab w:val="decimal" w:pos="884"/>
              </w:tabs>
            </w:pPr>
            <w:r w:rsidRPr="00C12D8D">
              <w:t>947</w:t>
            </w:r>
          </w:p>
        </w:tc>
        <w:tc>
          <w:tcPr>
            <w:tcW w:w="1297" w:type="dxa"/>
            <w:vAlign w:val="bottom"/>
          </w:tcPr>
          <w:p w:rsidR="00BA7B30" w:rsidRPr="00C12D8D" w:rsidRDefault="00BA7B30" w:rsidP="006A0A1F">
            <w:pPr>
              <w:pStyle w:val="Tabletext"/>
              <w:tabs>
                <w:tab w:val="decimal" w:pos="552"/>
              </w:tabs>
            </w:pPr>
            <w:r w:rsidRPr="00C12D8D">
              <w:t>3 355</w:t>
            </w:r>
          </w:p>
        </w:tc>
        <w:tc>
          <w:tcPr>
            <w:tcW w:w="1297" w:type="dxa"/>
            <w:vAlign w:val="bottom"/>
          </w:tcPr>
          <w:p w:rsidR="00BA7B30" w:rsidRPr="00C12D8D" w:rsidRDefault="00BA7B30" w:rsidP="006A0A1F">
            <w:pPr>
              <w:pStyle w:val="Tabletext"/>
              <w:tabs>
                <w:tab w:val="decimal" w:pos="552"/>
              </w:tabs>
            </w:pPr>
            <w:r w:rsidRPr="00C12D8D">
              <w:t>7 123</w:t>
            </w:r>
          </w:p>
        </w:tc>
        <w:tc>
          <w:tcPr>
            <w:tcW w:w="1297" w:type="dxa"/>
            <w:vAlign w:val="bottom"/>
          </w:tcPr>
          <w:p w:rsidR="00BA7B30" w:rsidRPr="00C12D8D" w:rsidRDefault="00BA7B30" w:rsidP="006A0A1F">
            <w:pPr>
              <w:pStyle w:val="Tabletext"/>
              <w:tabs>
                <w:tab w:val="decimal" w:pos="552"/>
              </w:tabs>
            </w:pPr>
            <w:r w:rsidRPr="00C12D8D">
              <w:t>22 607</w:t>
            </w:r>
          </w:p>
        </w:tc>
        <w:tc>
          <w:tcPr>
            <w:tcW w:w="1297" w:type="dxa"/>
            <w:vAlign w:val="bottom"/>
          </w:tcPr>
          <w:p w:rsidR="00BA7B30" w:rsidRPr="00C12D8D" w:rsidRDefault="00BA7B30" w:rsidP="006A0A1F">
            <w:pPr>
              <w:pStyle w:val="Tabletext"/>
              <w:tabs>
                <w:tab w:val="decimal" w:pos="552"/>
              </w:tabs>
            </w:pPr>
            <w:r w:rsidRPr="00C12D8D">
              <w:t>74 281</w:t>
            </w:r>
          </w:p>
        </w:tc>
      </w:tr>
      <w:tr w:rsidR="00BA7B30" w:rsidRPr="00C12D8D" w:rsidTr="00FF0947">
        <w:tc>
          <w:tcPr>
            <w:tcW w:w="1668" w:type="dxa"/>
          </w:tcPr>
          <w:p w:rsidR="00BA7B30" w:rsidRPr="00C12D8D" w:rsidRDefault="00BA7B30" w:rsidP="00C12D8D">
            <w:pPr>
              <w:pStyle w:val="Tabletext"/>
            </w:pPr>
            <w:r w:rsidRPr="00C12D8D">
              <w:t xml:space="preserve">4 Community and </w:t>
            </w:r>
            <w:r w:rsidR="00122741" w:rsidRPr="00C12D8D">
              <w:t>personal service workers</w:t>
            </w:r>
          </w:p>
        </w:tc>
        <w:tc>
          <w:tcPr>
            <w:tcW w:w="1297" w:type="dxa"/>
            <w:vAlign w:val="bottom"/>
          </w:tcPr>
          <w:p w:rsidR="00BA7B30" w:rsidRPr="00C12D8D" w:rsidRDefault="00BA7B30" w:rsidP="006A0A1F">
            <w:pPr>
              <w:pStyle w:val="Tabletext"/>
              <w:tabs>
                <w:tab w:val="decimal" w:pos="552"/>
              </w:tabs>
            </w:pPr>
            <w:r w:rsidRPr="00C12D8D">
              <w:t>2 883</w:t>
            </w:r>
          </w:p>
        </w:tc>
        <w:tc>
          <w:tcPr>
            <w:tcW w:w="1297" w:type="dxa"/>
            <w:vAlign w:val="bottom"/>
          </w:tcPr>
          <w:p w:rsidR="00BA7B30" w:rsidRPr="00C12D8D" w:rsidRDefault="00BA7B30" w:rsidP="006A0A1F">
            <w:pPr>
              <w:pStyle w:val="Tabletext"/>
              <w:tabs>
                <w:tab w:val="decimal" w:pos="552"/>
              </w:tabs>
            </w:pPr>
            <w:r w:rsidRPr="00C12D8D">
              <w:t>12 541</w:t>
            </w:r>
          </w:p>
        </w:tc>
        <w:tc>
          <w:tcPr>
            <w:tcW w:w="1297" w:type="dxa"/>
            <w:vAlign w:val="bottom"/>
          </w:tcPr>
          <w:p w:rsidR="00BA7B30" w:rsidRPr="00C12D8D" w:rsidRDefault="00BA7B30" w:rsidP="006A0A1F">
            <w:pPr>
              <w:pStyle w:val="Tabletext"/>
              <w:tabs>
                <w:tab w:val="decimal" w:pos="552"/>
              </w:tabs>
            </w:pPr>
            <w:r w:rsidRPr="00C12D8D">
              <w:t>22 130</w:t>
            </w:r>
          </w:p>
        </w:tc>
        <w:tc>
          <w:tcPr>
            <w:tcW w:w="1297" w:type="dxa"/>
            <w:vAlign w:val="bottom"/>
          </w:tcPr>
          <w:p w:rsidR="00BA7B30" w:rsidRPr="00C12D8D" w:rsidRDefault="00BA7B30" w:rsidP="006A0A1F">
            <w:pPr>
              <w:pStyle w:val="Tabletext"/>
              <w:tabs>
                <w:tab w:val="decimal" w:pos="552"/>
              </w:tabs>
            </w:pPr>
            <w:r w:rsidRPr="00C12D8D">
              <w:t>75 243</w:t>
            </w:r>
          </w:p>
        </w:tc>
        <w:tc>
          <w:tcPr>
            <w:tcW w:w="1297" w:type="dxa"/>
            <w:vAlign w:val="bottom"/>
          </w:tcPr>
          <w:p w:rsidR="00BA7B30" w:rsidRPr="00C12D8D" w:rsidRDefault="00BA7B30" w:rsidP="006A0A1F">
            <w:pPr>
              <w:pStyle w:val="Tabletext"/>
              <w:tabs>
                <w:tab w:val="decimal" w:pos="552"/>
              </w:tabs>
            </w:pPr>
            <w:r w:rsidRPr="00C12D8D">
              <w:t>150 486</w:t>
            </w:r>
          </w:p>
        </w:tc>
      </w:tr>
      <w:tr w:rsidR="00BA7B30" w:rsidRPr="00C12D8D" w:rsidTr="00FF0947">
        <w:tc>
          <w:tcPr>
            <w:tcW w:w="1668" w:type="dxa"/>
          </w:tcPr>
          <w:p w:rsidR="00BA7B30" w:rsidRPr="00C12D8D" w:rsidRDefault="00BA7B30" w:rsidP="00C12D8D">
            <w:pPr>
              <w:pStyle w:val="Tabletext"/>
            </w:pPr>
            <w:r w:rsidRPr="00C12D8D">
              <w:t xml:space="preserve">5 Clerical and </w:t>
            </w:r>
            <w:r w:rsidR="00122741" w:rsidRPr="00C12D8D">
              <w:t>administrative workers</w:t>
            </w:r>
          </w:p>
        </w:tc>
        <w:tc>
          <w:tcPr>
            <w:tcW w:w="1297" w:type="dxa"/>
            <w:vAlign w:val="bottom"/>
          </w:tcPr>
          <w:p w:rsidR="00BA7B30" w:rsidRPr="00C12D8D" w:rsidRDefault="00BA7B30" w:rsidP="006A0A1F">
            <w:pPr>
              <w:pStyle w:val="Tabletext"/>
              <w:tabs>
                <w:tab w:val="decimal" w:pos="552"/>
              </w:tabs>
            </w:pPr>
            <w:r w:rsidRPr="00C12D8D">
              <w:t>2 549</w:t>
            </w:r>
          </w:p>
        </w:tc>
        <w:tc>
          <w:tcPr>
            <w:tcW w:w="1297" w:type="dxa"/>
            <w:vAlign w:val="bottom"/>
          </w:tcPr>
          <w:p w:rsidR="00BA7B30" w:rsidRPr="00C12D8D" w:rsidRDefault="00BA7B30" w:rsidP="006A0A1F">
            <w:pPr>
              <w:pStyle w:val="Tabletext"/>
              <w:tabs>
                <w:tab w:val="decimal" w:pos="552"/>
              </w:tabs>
            </w:pPr>
            <w:r w:rsidRPr="00C12D8D">
              <w:t>10 134</w:t>
            </w:r>
          </w:p>
        </w:tc>
        <w:tc>
          <w:tcPr>
            <w:tcW w:w="1297" w:type="dxa"/>
            <w:vAlign w:val="bottom"/>
          </w:tcPr>
          <w:p w:rsidR="00BA7B30" w:rsidRPr="00C12D8D" w:rsidRDefault="00BA7B30" w:rsidP="006A0A1F">
            <w:pPr>
              <w:pStyle w:val="Tabletext"/>
              <w:tabs>
                <w:tab w:val="decimal" w:pos="552"/>
              </w:tabs>
            </w:pPr>
            <w:r w:rsidRPr="00C12D8D">
              <w:t>17 025</w:t>
            </w:r>
          </w:p>
        </w:tc>
        <w:tc>
          <w:tcPr>
            <w:tcW w:w="1297" w:type="dxa"/>
            <w:vAlign w:val="bottom"/>
          </w:tcPr>
          <w:p w:rsidR="00BA7B30" w:rsidRPr="00C12D8D" w:rsidRDefault="00BA7B30" w:rsidP="006A0A1F">
            <w:pPr>
              <w:pStyle w:val="Tabletext"/>
              <w:tabs>
                <w:tab w:val="decimal" w:pos="552"/>
              </w:tabs>
            </w:pPr>
            <w:r w:rsidRPr="00C12D8D">
              <w:t>35 469</w:t>
            </w:r>
          </w:p>
        </w:tc>
        <w:tc>
          <w:tcPr>
            <w:tcW w:w="1297" w:type="dxa"/>
            <w:vAlign w:val="bottom"/>
          </w:tcPr>
          <w:p w:rsidR="00BA7B30" w:rsidRPr="00C12D8D" w:rsidRDefault="00BA7B30" w:rsidP="006A0A1F">
            <w:pPr>
              <w:pStyle w:val="Tabletext"/>
              <w:tabs>
                <w:tab w:val="decimal" w:pos="552"/>
              </w:tabs>
            </w:pPr>
            <w:r w:rsidRPr="00C12D8D">
              <w:t>60 803</w:t>
            </w:r>
          </w:p>
        </w:tc>
      </w:tr>
      <w:tr w:rsidR="00BA7B30" w:rsidRPr="00C12D8D" w:rsidTr="00FF0947">
        <w:tc>
          <w:tcPr>
            <w:tcW w:w="1668" w:type="dxa"/>
          </w:tcPr>
          <w:p w:rsidR="00BA7B30" w:rsidRPr="00C12D8D" w:rsidRDefault="00122741" w:rsidP="00C12D8D">
            <w:pPr>
              <w:pStyle w:val="Tabletext"/>
            </w:pPr>
            <w:r>
              <w:t>6 Sales w</w:t>
            </w:r>
            <w:r w:rsidR="00BA7B30" w:rsidRPr="00C12D8D">
              <w:t>orkers</w:t>
            </w:r>
          </w:p>
        </w:tc>
        <w:tc>
          <w:tcPr>
            <w:tcW w:w="1297" w:type="dxa"/>
            <w:vAlign w:val="bottom"/>
          </w:tcPr>
          <w:p w:rsidR="00BA7B30" w:rsidRPr="00C12D8D" w:rsidRDefault="00BA7B30" w:rsidP="006A0A1F">
            <w:pPr>
              <w:pStyle w:val="Tabletext"/>
              <w:tabs>
                <w:tab w:val="decimal" w:pos="552"/>
              </w:tabs>
            </w:pPr>
            <w:r w:rsidRPr="00C12D8D">
              <w:t>1 996</w:t>
            </w:r>
          </w:p>
        </w:tc>
        <w:tc>
          <w:tcPr>
            <w:tcW w:w="1297" w:type="dxa"/>
            <w:vAlign w:val="bottom"/>
          </w:tcPr>
          <w:p w:rsidR="00BA7B30" w:rsidRPr="00C12D8D" w:rsidRDefault="00BA7B30" w:rsidP="006A0A1F">
            <w:pPr>
              <w:pStyle w:val="Tabletext"/>
              <w:tabs>
                <w:tab w:val="decimal" w:pos="552"/>
              </w:tabs>
            </w:pPr>
            <w:r w:rsidRPr="00C12D8D">
              <w:t>5 989</w:t>
            </w:r>
          </w:p>
        </w:tc>
        <w:tc>
          <w:tcPr>
            <w:tcW w:w="1297" w:type="dxa"/>
            <w:vAlign w:val="bottom"/>
          </w:tcPr>
          <w:p w:rsidR="00BA7B30" w:rsidRPr="00C12D8D" w:rsidRDefault="00BA7B30" w:rsidP="006A0A1F">
            <w:pPr>
              <w:pStyle w:val="Tabletext"/>
              <w:tabs>
                <w:tab w:val="decimal" w:pos="552"/>
              </w:tabs>
            </w:pPr>
            <w:r w:rsidRPr="00C12D8D">
              <w:t>8 711</w:t>
            </w:r>
          </w:p>
        </w:tc>
        <w:tc>
          <w:tcPr>
            <w:tcW w:w="1297" w:type="dxa"/>
            <w:vAlign w:val="bottom"/>
          </w:tcPr>
          <w:p w:rsidR="00BA7B30" w:rsidRPr="00C12D8D" w:rsidRDefault="00BA7B30" w:rsidP="006A0A1F">
            <w:pPr>
              <w:pStyle w:val="Tabletext"/>
              <w:tabs>
                <w:tab w:val="decimal" w:pos="552"/>
              </w:tabs>
            </w:pPr>
            <w:r w:rsidRPr="00C12D8D">
              <w:t>23 956</w:t>
            </w:r>
          </w:p>
        </w:tc>
        <w:tc>
          <w:tcPr>
            <w:tcW w:w="1297" w:type="dxa"/>
            <w:vAlign w:val="bottom"/>
          </w:tcPr>
          <w:p w:rsidR="00BA7B30" w:rsidRPr="00C12D8D" w:rsidRDefault="00BA7B30" w:rsidP="006A0A1F">
            <w:pPr>
              <w:pStyle w:val="Tabletext"/>
              <w:tabs>
                <w:tab w:val="decimal" w:pos="552"/>
              </w:tabs>
            </w:pPr>
            <w:r w:rsidRPr="00C12D8D">
              <w:t>31 941</w:t>
            </w:r>
          </w:p>
        </w:tc>
      </w:tr>
      <w:tr w:rsidR="00BA7B30" w:rsidRPr="00C12D8D" w:rsidTr="00FF0947">
        <w:tc>
          <w:tcPr>
            <w:tcW w:w="1668" w:type="dxa"/>
          </w:tcPr>
          <w:p w:rsidR="00BA7B30" w:rsidRPr="00C12D8D" w:rsidRDefault="00BA7B30" w:rsidP="00C12D8D">
            <w:pPr>
              <w:pStyle w:val="Tabletext"/>
            </w:pPr>
            <w:r w:rsidRPr="00C12D8D">
              <w:t xml:space="preserve">7 Machinery </w:t>
            </w:r>
            <w:r w:rsidR="00122741" w:rsidRPr="00C12D8D">
              <w:t>operators and drivers</w:t>
            </w:r>
          </w:p>
        </w:tc>
        <w:tc>
          <w:tcPr>
            <w:tcW w:w="1297" w:type="dxa"/>
            <w:vAlign w:val="bottom"/>
          </w:tcPr>
          <w:p w:rsidR="00BA7B30" w:rsidRPr="00C12D8D" w:rsidRDefault="00BA7B30" w:rsidP="006A0A1F">
            <w:pPr>
              <w:pStyle w:val="Tabletext"/>
              <w:tabs>
                <w:tab w:val="decimal" w:pos="552"/>
              </w:tabs>
            </w:pPr>
            <w:r w:rsidRPr="00C12D8D">
              <w:t>1 689</w:t>
            </w:r>
          </w:p>
        </w:tc>
        <w:tc>
          <w:tcPr>
            <w:tcW w:w="1297" w:type="dxa"/>
            <w:vAlign w:val="bottom"/>
          </w:tcPr>
          <w:p w:rsidR="00BA7B30" w:rsidRPr="00C12D8D" w:rsidRDefault="00BA7B30" w:rsidP="006A0A1F">
            <w:pPr>
              <w:pStyle w:val="Tabletext"/>
              <w:tabs>
                <w:tab w:val="decimal" w:pos="552"/>
              </w:tabs>
            </w:pPr>
            <w:r w:rsidRPr="00C12D8D">
              <w:t>4 433</w:t>
            </w:r>
          </w:p>
        </w:tc>
        <w:tc>
          <w:tcPr>
            <w:tcW w:w="1297" w:type="dxa"/>
            <w:vAlign w:val="bottom"/>
          </w:tcPr>
          <w:p w:rsidR="00BA7B30" w:rsidRPr="00C12D8D" w:rsidRDefault="00BA7B30" w:rsidP="006A0A1F">
            <w:pPr>
              <w:pStyle w:val="Tabletext"/>
              <w:tabs>
                <w:tab w:val="decimal" w:pos="552"/>
              </w:tabs>
            </w:pPr>
            <w:r w:rsidRPr="00C12D8D">
              <w:t>9 332</w:t>
            </w:r>
          </w:p>
        </w:tc>
        <w:tc>
          <w:tcPr>
            <w:tcW w:w="1297" w:type="dxa"/>
            <w:vAlign w:val="bottom"/>
          </w:tcPr>
          <w:p w:rsidR="00BA7B30" w:rsidRPr="00C12D8D" w:rsidRDefault="00BA7B30" w:rsidP="006A0A1F">
            <w:pPr>
              <w:pStyle w:val="Tabletext"/>
              <w:tabs>
                <w:tab w:val="decimal" w:pos="552"/>
              </w:tabs>
            </w:pPr>
            <w:r w:rsidRPr="00C12D8D">
              <w:t>25 331</w:t>
            </w:r>
          </w:p>
        </w:tc>
        <w:tc>
          <w:tcPr>
            <w:tcW w:w="1297" w:type="dxa"/>
            <w:vAlign w:val="bottom"/>
          </w:tcPr>
          <w:p w:rsidR="00BA7B30" w:rsidRPr="00C12D8D" w:rsidRDefault="00BA7B30" w:rsidP="006A0A1F">
            <w:pPr>
              <w:pStyle w:val="Tabletext"/>
              <w:tabs>
                <w:tab w:val="decimal" w:pos="552"/>
              </w:tabs>
            </w:pPr>
            <w:r w:rsidRPr="00C12D8D">
              <w:t>44 329</w:t>
            </w:r>
          </w:p>
        </w:tc>
      </w:tr>
      <w:tr w:rsidR="00BA7B30" w:rsidRPr="00C12D8D" w:rsidTr="00FF0947">
        <w:tc>
          <w:tcPr>
            <w:tcW w:w="1668" w:type="dxa"/>
            <w:tcBorders>
              <w:bottom w:val="single" w:sz="4" w:space="0" w:color="auto"/>
            </w:tcBorders>
          </w:tcPr>
          <w:p w:rsidR="00BA7B30" w:rsidRPr="00C12D8D" w:rsidRDefault="00BA7B30" w:rsidP="00C12D8D">
            <w:pPr>
              <w:pStyle w:val="Tabletext"/>
            </w:pPr>
            <w:r w:rsidRPr="00C12D8D">
              <w:t>8 Labourers</w:t>
            </w:r>
          </w:p>
        </w:tc>
        <w:tc>
          <w:tcPr>
            <w:tcW w:w="1297" w:type="dxa"/>
            <w:tcBorders>
              <w:bottom w:val="single" w:sz="4" w:space="0" w:color="auto"/>
            </w:tcBorders>
            <w:vAlign w:val="bottom"/>
          </w:tcPr>
          <w:p w:rsidR="00BA7B30" w:rsidRPr="00C12D8D" w:rsidRDefault="00BA7B30" w:rsidP="006A0A1F">
            <w:pPr>
              <w:pStyle w:val="Tabletext"/>
              <w:tabs>
                <w:tab w:val="decimal" w:pos="552"/>
              </w:tabs>
            </w:pPr>
            <w:r w:rsidRPr="00C12D8D">
              <w:t>1 459</w:t>
            </w:r>
          </w:p>
        </w:tc>
        <w:tc>
          <w:tcPr>
            <w:tcW w:w="1297" w:type="dxa"/>
            <w:tcBorders>
              <w:bottom w:val="single" w:sz="4" w:space="0" w:color="auto"/>
            </w:tcBorders>
            <w:vAlign w:val="bottom"/>
          </w:tcPr>
          <w:p w:rsidR="00BA7B30" w:rsidRPr="00C12D8D" w:rsidRDefault="00BA7B30" w:rsidP="006A0A1F">
            <w:pPr>
              <w:pStyle w:val="Tabletext"/>
              <w:tabs>
                <w:tab w:val="decimal" w:pos="552"/>
              </w:tabs>
            </w:pPr>
            <w:r w:rsidRPr="00C12D8D">
              <w:t>4 399</w:t>
            </w:r>
          </w:p>
        </w:tc>
        <w:tc>
          <w:tcPr>
            <w:tcW w:w="1297" w:type="dxa"/>
            <w:tcBorders>
              <w:bottom w:val="single" w:sz="4" w:space="0" w:color="auto"/>
            </w:tcBorders>
            <w:vAlign w:val="bottom"/>
          </w:tcPr>
          <w:p w:rsidR="00BA7B30" w:rsidRPr="00C12D8D" w:rsidRDefault="00BA7B30" w:rsidP="006A0A1F">
            <w:pPr>
              <w:pStyle w:val="Tabletext"/>
              <w:tabs>
                <w:tab w:val="decimal" w:pos="552"/>
              </w:tabs>
            </w:pPr>
            <w:r w:rsidRPr="00C12D8D">
              <w:t>8 084</w:t>
            </w:r>
          </w:p>
        </w:tc>
        <w:tc>
          <w:tcPr>
            <w:tcW w:w="1297" w:type="dxa"/>
            <w:tcBorders>
              <w:bottom w:val="single" w:sz="4" w:space="0" w:color="auto"/>
            </w:tcBorders>
            <w:vAlign w:val="bottom"/>
          </w:tcPr>
          <w:p w:rsidR="00BA7B30" w:rsidRPr="00C12D8D" w:rsidRDefault="00BA7B30" w:rsidP="006A0A1F">
            <w:pPr>
              <w:pStyle w:val="Tabletext"/>
              <w:tabs>
                <w:tab w:val="decimal" w:pos="552"/>
              </w:tabs>
            </w:pPr>
            <w:r w:rsidRPr="00C12D8D">
              <w:t>33 234</w:t>
            </w:r>
          </w:p>
        </w:tc>
        <w:tc>
          <w:tcPr>
            <w:tcW w:w="1297" w:type="dxa"/>
            <w:tcBorders>
              <w:bottom w:val="single" w:sz="4" w:space="0" w:color="auto"/>
            </w:tcBorders>
            <w:vAlign w:val="bottom"/>
          </w:tcPr>
          <w:p w:rsidR="00BA7B30" w:rsidRPr="00C12D8D" w:rsidRDefault="00BA7B30" w:rsidP="006A0A1F">
            <w:pPr>
              <w:pStyle w:val="Tabletext"/>
              <w:tabs>
                <w:tab w:val="decimal" w:pos="552"/>
              </w:tabs>
            </w:pPr>
            <w:r w:rsidRPr="00C12D8D">
              <w:t>49 851</w:t>
            </w:r>
          </w:p>
        </w:tc>
      </w:tr>
      <w:tr w:rsidR="00BA7B30" w:rsidRPr="00C12D8D" w:rsidTr="00FF0947">
        <w:tc>
          <w:tcPr>
            <w:tcW w:w="1668" w:type="dxa"/>
            <w:tcBorders>
              <w:top w:val="single" w:sz="4" w:space="0" w:color="auto"/>
              <w:bottom w:val="single" w:sz="4" w:space="0" w:color="auto"/>
            </w:tcBorders>
            <w:shd w:val="clear" w:color="auto" w:fill="auto"/>
            <w:vAlign w:val="bottom"/>
          </w:tcPr>
          <w:p w:rsidR="00BA7B30" w:rsidRPr="006A0A1F" w:rsidRDefault="00967D44" w:rsidP="00C12D8D">
            <w:pPr>
              <w:pStyle w:val="Tabletext"/>
              <w:rPr>
                <w:b/>
              </w:rPr>
            </w:pPr>
            <w:r w:rsidRPr="006A0A1F">
              <w:rPr>
                <w:b/>
              </w:rPr>
              <w:t>Total m</w:t>
            </w:r>
            <w:r w:rsidR="00FA6BA2" w:rsidRPr="006A0A1F">
              <w:rPr>
                <w:b/>
              </w:rPr>
              <w:t>ean</w:t>
            </w:r>
          </w:p>
        </w:tc>
        <w:tc>
          <w:tcPr>
            <w:tcW w:w="1297" w:type="dxa"/>
            <w:tcBorders>
              <w:top w:val="single" w:sz="4" w:space="0" w:color="auto"/>
              <w:bottom w:val="single" w:sz="4" w:space="0" w:color="auto"/>
            </w:tcBorders>
            <w:vAlign w:val="bottom"/>
          </w:tcPr>
          <w:p w:rsidR="00BA7B30" w:rsidRPr="006A0A1F" w:rsidRDefault="00FF0947" w:rsidP="006A0A1F">
            <w:pPr>
              <w:pStyle w:val="Tabletext"/>
              <w:tabs>
                <w:tab w:val="decimal" w:pos="552"/>
              </w:tabs>
              <w:rPr>
                <w:b/>
              </w:rPr>
            </w:pPr>
            <w:r w:rsidRPr="006A0A1F">
              <w:rPr>
                <w:b/>
              </w:rPr>
              <w:t>1 660</w:t>
            </w:r>
          </w:p>
        </w:tc>
        <w:tc>
          <w:tcPr>
            <w:tcW w:w="1297" w:type="dxa"/>
            <w:tcBorders>
              <w:top w:val="single" w:sz="4" w:space="0" w:color="auto"/>
              <w:bottom w:val="single" w:sz="4" w:space="0" w:color="auto"/>
            </w:tcBorders>
            <w:vAlign w:val="bottom"/>
          </w:tcPr>
          <w:p w:rsidR="00BA7B30" w:rsidRPr="006A0A1F" w:rsidRDefault="00FF0947" w:rsidP="006A0A1F">
            <w:pPr>
              <w:pStyle w:val="Tabletext"/>
              <w:tabs>
                <w:tab w:val="decimal" w:pos="552"/>
              </w:tabs>
              <w:rPr>
                <w:b/>
              </w:rPr>
            </w:pPr>
            <w:r w:rsidRPr="006A0A1F">
              <w:rPr>
                <w:b/>
              </w:rPr>
              <w:t>5 435</w:t>
            </w:r>
          </w:p>
        </w:tc>
        <w:tc>
          <w:tcPr>
            <w:tcW w:w="1297" w:type="dxa"/>
            <w:tcBorders>
              <w:top w:val="single" w:sz="4" w:space="0" w:color="auto"/>
              <w:bottom w:val="single" w:sz="4" w:space="0" w:color="auto"/>
            </w:tcBorders>
            <w:vAlign w:val="bottom"/>
          </w:tcPr>
          <w:p w:rsidR="00BA7B30" w:rsidRPr="006A0A1F" w:rsidRDefault="00FF0947" w:rsidP="006A0A1F">
            <w:pPr>
              <w:pStyle w:val="Tabletext"/>
              <w:tabs>
                <w:tab w:val="decimal" w:pos="552"/>
              </w:tabs>
              <w:rPr>
                <w:b/>
              </w:rPr>
            </w:pPr>
            <w:r w:rsidRPr="006A0A1F">
              <w:rPr>
                <w:b/>
              </w:rPr>
              <w:t>9 958</w:t>
            </w:r>
          </w:p>
        </w:tc>
        <w:tc>
          <w:tcPr>
            <w:tcW w:w="1297" w:type="dxa"/>
            <w:tcBorders>
              <w:top w:val="single" w:sz="4" w:space="0" w:color="auto"/>
              <w:bottom w:val="single" w:sz="4" w:space="0" w:color="auto"/>
            </w:tcBorders>
            <w:vAlign w:val="bottom"/>
          </w:tcPr>
          <w:p w:rsidR="00BA7B30" w:rsidRPr="006A0A1F" w:rsidRDefault="00A445BD" w:rsidP="006A0A1F">
            <w:pPr>
              <w:pStyle w:val="Tabletext"/>
              <w:tabs>
                <w:tab w:val="decimal" w:pos="552"/>
              </w:tabs>
              <w:rPr>
                <w:b/>
              </w:rPr>
            </w:pPr>
            <w:r w:rsidRPr="006A0A1F">
              <w:rPr>
                <w:b/>
              </w:rPr>
              <w:t>34 052</w:t>
            </w:r>
          </w:p>
        </w:tc>
        <w:tc>
          <w:tcPr>
            <w:tcW w:w="1297" w:type="dxa"/>
            <w:tcBorders>
              <w:top w:val="single" w:sz="4" w:space="0" w:color="auto"/>
              <w:bottom w:val="single" w:sz="4" w:space="0" w:color="auto"/>
            </w:tcBorders>
            <w:vAlign w:val="bottom"/>
          </w:tcPr>
          <w:p w:rsidR="00BA7B30" w:rsidRPr="006A0A1F" w:rsidRDefault="00A445BD" w:rsidP="006A0A1F">
            <w:pPr>
              <w:pStyle w:val="Tabletext"/>
              <w:tabs>
                <w:tab w:val="decimal" w:pos="552"/>
              </w:tabs>
              <w:rPr>
                <w:b/>
              </w:rPr>
            </w:pPr>
            <w:r w:rsidRPr="006A0A1F">
              <w:rPr>
                <w:b/>
              </w:rPr>
              <w:t>60 633</w:t>
            </w:r>
          </w:p>
        </w:tc>
      </w:tr>
    </w:tbl>
    <w:p w:rsidR="004A7C3D" w:rsidRDefault="004A7C3D" w:rsidP="004A7C3D">
      <w:pPr>
        <w:pStyle w:val="Source"/>
      </w:pPr>
      <w:r>
        <w:t xml:space="preserve">Source: </w:t>
      </w:r>
      <w:r w:rsidR="008109FD">
        <w:tab/>
      </w:r>
      <w:r w:rsidR="00122741">
        <w:t>A</w:t>
      </w:r>
      <w:r w:rsidR="00390066">
        <w:t xml:space="preserve">uthors’ analysis based on data from </w:t>
      </w:r>
      <w:r w:rsidR="00545D87">
        <w:t xml:space="preserve">the </w:t>
      </w:r>
      <w:r w:rsidR="00390066">
        <w:t>Australian Department of Education and Training and NCVER collections</w:t>
      </w:r>
      <w:r w:rsidR="00FF0947">
        <w:t>.</w:t>
      </w:r>
    </w:p>
    <w:p w:rsidR="004B5B1B" w:rsidRDefault="00CA44AA" w:rsidP="00C12D8D">
      <w:pPr>
        <w:pStyle w:val="Text"/>
      </w:pPr>
      <w:r w:rsidRPr="00C12D8D">
        <w:t xml:space="preserve">Suppose a </w:t>
      </w:r>
      <w:r w:rsidR="00A445BD">
        <w:t>hypothetical</w:t>
      </w:r>
      <w:r w:rsidR="000C2D6E">
        <w:t xml:space="preserve"> </w:t>
      </w:r>
      <w:r w:rsidR="00A445BD">
        <w:t xml:space="preserve">target was set </w:t>
      </w:r>
      <w:r w:rsidR="00122741">
        <w:t xml:space="preserve">mandating </w:t>
      </w:r>
      <w:r w:rsidR="00A445BD">
        <w:t>that</w:t>
      </w:r>
      <w:r w:rsidRPr="00C12D8D">
        <w:t xml:space="preserve"> qualif</w:t>
      </w:r>
      <w:r w:rsidR="00A445BD">
        <w:t>ications should have at least 2</w:t>
      </w:r>
      <w:r w:rsidRPr="00C12D8D">
        <w:t>500 enrolments per year on average to keep them viable. This target would not be met by the adju</w:t>
      </w:r>
      <w:r w:rsidR="00A445BD">
        <w:t>sted list (with an average of 1660</w:t>
      </w:r>
      <w:r w:rsidR="002C7371">
        <w:t xml:space="preserve"> enrolments per qualification</w:t>
      </w:r>
      <w:r w:rsidRPr="00C12D8D">
        <w:t>), but it would be met by grouping by occupation (</w:t>
      </w:r>
      <w:r w:rsidR="00FA6BA2" w:rsidRPr="00C12D8D">
        <w:t xml:space="preserve">as the </w:t>
      </w:r>
      <w:r w:rsidRPr="00C12D8D">
        <w:t xml:space="preserve">average </w:t>
      </w:r>
      <w:r w:rsidR="00FA6BA2" w:rsidRPr="00C12D8D">
        <w:t>is</w:t>
      </w:r>
      <w:r w:rsidRPr="00C12D8D">
        <w:t xml:space="preserve"> </w:t>
      </w:r>
      <w:r w:rsidR="00A445BD">
        <w:t>5435</w:t>
      </w:r>
      <w:r w:rsidRPr="00C12D8D">
        <w:t xml:space="preserve">). This </w:t>
      </w:r>
      <w:r w:rsidR="00545D87">
        <w:t xml:space="preserve">approach </w:t>
      </w:r>
      <w:r w:rsidRPr="00C12D8D">
        <w:t>could also be applied selectively</w:t>
      </w:r>
      <w:r w:rsidR="00545D87">
        <w:t>,</w:t>
      </w:r>
      <w:r w:rsidRPr="00C12D8D">
        <w:t xml:space="preserve"> by not rationalising qualifications within ‘4 Community and </w:t>
      </w:r>
      <w:r w:rsidR="00C930FB" w:rsidRPr="00C12D8D">
        <w:t>personal service workers</w:t>
      </w:r>
      <w:r w:rsidRPr="00C12D8D">
        <w:t>’ or ‘5</w:t>
      </w:r>
      <w:r>
        <w:t xml:space="preserve"> Clerical and </w:t>
      </w:r>
      <w:r w:rsidR="00C930FB">
        <w:t xml:space="preserve">administrative workers’ </w:t>
      </w:r>
      <w:r>
        <w:t>as they already me</w:t>
      </w:r>
      <w:r w:rsidR="00A445BD">
        <w:t>et the target of greater than 2</w:t>
      </w:r>
      <w:r>
        <w:t>500 enrolments on average.</w:t>
      </w:r>
    </w:p>
    <w:p w:rsidR="00103A31" w:rsidRDefault="00CA44AA" w:rsidP="004B5B1B">
      <w:pPr>
        <w:pStyle w:val="Text"/>
      </w:pPr>
      <w:r>
        <w:t xml:space="preserve">Another </w:t>
      </w:r>
      <w:r w:rsidR="000C2D6E">
        <w:t xml:space="preserve">possible </w:t>
      </w:r>
      <w:r>
        <w:t xml:space="preserve">metric to guide the rationalisation of qualifications </w:t>
      </w:r>
      <w:r w:rsidR="00636AEE">
        <w:t>is</w:t>
      </w:r>
      <w:r>
        <w:t xml:space="preserve"> the number of </w:t>
      </w:r>
      <w:r w:rsidR="000D6884">
        <w:t>qualifications with zero enrolments</w:t>
      </w:r>
      <w:r>
        <w:t xml:space="preserve">. </w:t>
      </w:r>
      <w:r w:rsidR="007F1E0B">
        <w:t>Across the major groups in the adjusted list, t</w:t>
      </w:r>
      <w:r>
        <w:t xml:space="preserve">he number of </w:t>
      </w:r>
      <w:r w:rsidR="0054258A">
        <w:t>qualifications with zero enrolments</w:t>
      </w:r>
      <w:r w:rsidR="00A445BD">
        <w:t xml:space="preserve"> ranges from seven</w:t>
      </w:r>
      <w:r w:rsidR="007F1E0B">
        <w:t xml:space="preserve"> in ‘</w:t>
      </w:r>
      <w:r w:rsidR="00A445BD">
        <w:t>6</w:t>
      </w:r>
      <w:r w:rsidR="00FA6BA2">
        <w:t xml:space="preserve"> </w:t>
      </w:r>
      <w:r w:rsidR="00C930FB">
        <w:t>Sales w</w:t>
      </w:r>
      <w:r w:rsidR="007F1E0B">
        <w:t xml:space="preserve">orkers’ to 115 in </w:t>
      </w:r>
      <w:r w:rsidR="007F1E0B" w:rsidRPr="00F6689D">
        <w:t>‘</w:t>
      </w:r>
      <w:r w:rsidR="00A445BD">
        <w:t xml:space="preserve">3 </w:t>
      </w:r>
      <w:r w:rsidR="007F1E0B">
        <w:t xml:space="preserve">Technicians and </w:t>
      </w:r>
      <w:r w:rsidR="00C930FB">
        <w:t>trades workers’</w:t>
      </w:r>
      <w:r w:rsidR="007F1E0B">
        <w:t>.</w:t>
      </w:r>
    </w:p>
    <w:p w:rsidR="00103A31" w:rsidRDefault="00103A31">
      <w:pPr>
        <w:rPr>
          <w:rFonts w:ascii="Trebuchet MS" w:eastAsia="Times New Roman" w:hAnsi="Trebuchet MS" w:cs="Times New Roman"/>
          <w:sz w:val="19"/>
          <w:szCs w:val="20"/>
        </w:rPr>
      </w:pPr>
      <w:r>
        <w:br w:type="page"/>
      </w:r>
    </w:p>
    <w:p w:rsidR="004B5B1B" w:rsidRDefault="004B5B1B" w:rsidP="004B5B1B">
      <w:pPr>
        <w:pStyle w:val="Tabletitle"/>
      </w:pPr>
      <w:bookmarkStart w:id="71" w:name="_Toc465162111"/>
      <w:r>
        <w:lastRenderedPageBreak/>
        <w:t xml:space="preserve">Table </w:t>
      </w:r>
      <w:r w:rsidR="00967D44">
        <w:t>8</w:t>
      </w:r>
      <w:r>
        <w:tab/>
      </w:r>
      <w:r w:rsidRPr="00516E7C">
        <w:t xml:space="preserve">Number </w:t>
      </w:r>
      <w:r w:rsidR="00334A24">
        <w:t xml:space="preserve">of </w:t>
      </w:r>
      <w:r w:rsidR="00516E7C" w:rsidRPr="00516E7C">
        <w:t>gro</w:t>
      </w:r>
      <w:r w:rsidR="00103439">
        <w:t>ups with zero</w:t>
      </w:r>
      <w:r w:rsidR="00516E7C" w:rsidRPr="00516E7C">
        <w:t xml:space="preserve"> enrolments</w:t>
      </w:r>
      <w:r w:rsidRPr="00516E7C">
        <w:t xml:space="preserve"> after grouping by</w:t>
      </w:r>
      <w:r>
        <w:t xml:space="preserve"> ANZSCO levels by ANZSCO major group, 2015</w:t>
      </w:r>
      <w:bookmarkEnd w:id="71"/>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297"/>
        <w:gridCol w:w="1297"/>
        <w:gridCol w:w="1297"/>
        <w:gridCol w:w="1297"/>
        <w:gridCol w:w="1297"/>
      </w:tblGrid>
      <w:tr w:rsidR="00D91FB0" w:rsidRPr="00492F71" w:rsidTr="00645365">
        <w:tc>
          <w:tcPr>
            <w:tcW w:w="1668" w:type="dxa"/>
            <w:tcBorders>
              <w:bottom w:val="single" w:sz="4" w:space="0" w:color="auto"/>
            </w:tcBorders>
            <w:vAlign w:val="bottom"/>
          </w:tcPr>
          <w:p w:rsidR="00D91FB0" w:rsidRPr="00492F71" w:rsidRDefault="00D91FB0" w:rsidP="00645365">
            <w:pPr>
              <w:pStyle w:val="Tablehead1"/>
            </w:pPr>
            <w:r w:rsidRPr="00492F71">
              <w:t>ANZSCO major group</w:t>
            </w:r>
          </w:p>
        </w:tc>
        <w:tc>
          <w:tcPr>
            <w:tcW w:w="1297" w:type="dxa"/>
            <w:tcBorders>
              <w:bottom w:val="single" w:sz="4" w:space="0" w:color="auto"/>
            </w:tcBorders>
          </w:tcPr>
          <w:p w:rsidR="00D91FB0" w:rsidRPr="00492F71" w:rsidRDefault="00D91FB0" w:rsidP="006A0A1F">
            <w:pPr>
              <w:pStyle w:val="Tablehead1"/>
              <w:jc w:val="center"/>
            </w:pPr>
            <w:r>
              <w:t xml:space="preserve">Consolidated </w:t>
            </w:r>
            <w:r w:rsidRPr="00492F71">
              <w:t>list</w:t>
            </w:r>
          </w:p>
        </w:tc>
        <w:tc>
          <w:tcPr>
            <w:tcW w:w="1297" w:type="dxa"/>
            <w:tcBorders>
              <w:bottom w:val="single" w:sz="4" w:space="0" w:color="auto"/>
            </w:tcBorders>
          </w:tcPr>
          <w:p w:rsidR="00D91FB0" w:rsidRDefault="00D91FB0" w:rsidP="00D91FB0">
            <w:pPr>
              <w:pStyle w:val="Tablehead1"/>
              <w:jc w:val="center"/>
            </w:pPr>
            <w:r w:rsidRPr="00C12D8D">
              <w:t>Occupation grouping</w:t>
            </w:r>
          </w:p>
          <w:p w:rsidR="00D91FB0" w:rsidRPr="00C12D8D" w:rsidRDefault="00D91FB0" w:rsidP="00D91FB0">
            <w:pPr>
              <w:pStyle w:val="Tablehead1"/>
              <w:jc w:val="center"/>
            </w:pPr>
            <w:r>
              <w:t>(6-digit level)</w:t>
            </w:r>
          </w:p>
        </w:tc>
        <w:tc>
          <w:tcPr>
            <w:tcW w:w="1297" w:type="dxa"/>
            <w:tcBorders>
              <w:bottom w:val="single" w:sz="4" w:space="0" w:color="auto"/>
            </w:tcBorders>
          </w:tcPr>
          <w:p w:rsidR="00D91FB0" w:rsidRDefault="00D91FB0" w:rsidP="00D91FB0">
            <w:pPr>
              <w:pStyle w:val="Tablehead1"/>
              <w:jc w:val="center"/>
            </w:pPr>
            <w:r w:rsidRPr="00C12D8D">
              <w:t>Unit grouping</w:t>
            </w:r>
          </w:p>
          <w:p w:rsidR="00D91FB0" w:rsidRPr="00C12D8D" w:rsidRDefault="00D91FB0" w:rsidP="00D91FB0">
            <w:pPr>
              <w:pStyle w:val="Tablehead1"/>
              <w:jc w:val="center"/>
            </w:pPr>
            <w:r>
              <w:t>(4-digit level)</w:t>
            </w:r>
          </w:p>
        </w:tc>
        <w:tc>
          <w:tcPr>
            <w:tcW w:w="1297" w:type="dxa"/>
            <w:tcBorders>
              <w:bottom w:val="single" w:sz="4" w:space="0" w:color="auto"/>
            </w:tcBorders>
          </w:tcPr>
          <w:p w:rsidR="00D91FB0" w:rsidRDefault="00D91FB0" w:rsidP="00D91FB0">
            <w:pPr>
              <w:pStyle w:val="Tablehead1"/>
              <w:jc w:val="center"/>
            </w:pPr>
            <w:r w:rsidRPr="00C12D8D">
              <w:t>Minor grouping</w:t>
            </w:r>
          </w:p>
          <w:p w:rsidR="00D91FB0" w:rsidRPr="00C12D8D" w:rsidRDefault="00D91FB0" w:rsidP="00D91FB0">
            <w:pPr>
              <w:pStyle w:val="Tablehead1"/>
              <w:jc w:val="center"/>
            </w:pPr>
            <w:r>
              <w:t>(3-digit level)</w:t>
            </w:r>
          </w:p>
        </w:tc>
        <w:tc>
          <w:tcPr>
            <w:tcW w:w="1297" w:type="dxa"/>
            <w:tcBorders>
              <w:bottom w:val="single" w:sz="4" w:space="0" w:color="auto"/>
            </w:tcBorders>
          </w:tcPr>
          <w:p w:rsidR="00D91FB0" w:rsidRDefault="00D91FB0" w:rsidP="00D91FB0">
            <w:pPr>
              <w:pStyle w:val="Tablehead1"/>
              <w:jc w:val="center"/>
            </w:pPr>
            <w:r w:rsidRPr="00C12D8D">
              <w:t>Sub-major grouping</w:t>
            </w:r>
          </w:p>
          <w:p w:rsidR="00D91FB0" w:rsidRPr="00C12D8D" w:rsidRDefault="00D91FB0" w:rsidP="00D91FB0">
            <w:pPr>
              <w:pStyle w:val="Tablehead1"/>
              <w:jc w:val="center"/>
            </w:pPr>
            <w:r>
              <w:t>(2-digit level)</w:t>
            </w:r>
          </w:p>
        </w:tc>
      </w:tr>
      <w:tr w:rsidR="004B5B1B" w:rsidRPr="00492F71" w:rsidTr="00103439">
        <w:tc>
          <w:tcPr>
            <w:tcW w:w="1668" w:type="dxa"/>
            <w:tcBorders>
              <w:top w:val="single" w:sz="4" w:space="0" w:color="auto"/>
              <w:bottom w:val="nil"/>
            </w:tcBorders>
          </w:tcPr>
          <w:p w:rsidR="004B5B1B" w:rsidRPr="00492F71" w:rsidRDefault="004B5B1B" w:rsidP="00235ABC">
            <w:pPr>
              <w:pStyle w:val="Tabletext"/>
            </w:pPr>
            <w:r w:rsidRPr="00492F71">
              <w:t>1 Managers</w:t>
            </w:r>
          </w:p>
        </w:tc>
        <w:tc>
          <w:tcPr>
            <w:tcW w:w="1297" w:type="dxa"/>
            <w:tcBorders>
              <w:top w:val="single" w:sz="4" w:space="0" w:color="auto"/>
              <w:bottom w:val="nil"/>
            </w:tcBorders>
            <w:vAlign w:val="bottom"/>
          </w:tcPr>
          <w:p w:rsidR="004B5B1B" w:rsidRPr="004B5B1B" w:rsidRDefault="004B5B1B" w:rsidP="006A0A1F">
            <w:pPr>
              <w:pStyle w:val="Tabletext"/>
              <w:tabs>
                <w:tab w:val="decimal" w:pos="597"/>
              </w:tabs>
            </w:pPr>
            <w:r w:rsidRPr="004B5B1B">
              <w:t>19</w:t>
            </w:r>
          </w:p>
        </w:tc>
        <w:tc>
          <w:tcPr>
            <w:tcW w:w="1297" w:type="dxa"/>
            <w:tcBorders>
              <w:top w:val="single" w:sz="4" w:space="0" w:color="auto"/>
              <w:bottom w:val="nil"/>
            </w:tcBorders>
            <w:vAlign w:val="bottom"/>
          </w:tcPr>
          <w:p w:rsidR="004B5B1B" w:rsidRPr="004B5B1B" w:rsidRDefault="004B5B1B" w:rsidP="006A0A1F">
            <w:pPr>
              <w:pStyle w:val="Tabletext"/>
              <w:tabs>
                <w:tab w:val="decimal" w:pos="597"/>
              </w:tabs>
            </w:pPr>
            <w:r w:rsidRPr="004B5B1B">
              <w:t>5</w:t>
            </w:r>
          </w:p>
        </w:tc>
        <w:tc>
          <w:tcPr>
            <w:tcW w:w="1297" w:type="dxa"/>
            <w:tcBorders>
              <w:top w:val="single" w:sz="4" w:space="0" w:color="auto"/>
              <w:bottom w:val="nil"/>
            </w:tcBorders>
            <w:vAlign w:val="bottom"/>
          </w:tcPr>
          <w:p w:rsidR="004B5B1B" w:rsidRPr="004B5B1B" w:rsidRDefault="004B5B1B" w:rsidP="006A0A1F">
            <w:pPr>
              <w:pStyle w:val="Tabletext"/>
              <w:tabs>
                <w:tab w:val="decimal" w:pos="597"/>
              </w:tabs>
            </w:pPr>
            <w:r w:rsidRPr="004B5B1B">
              <w:t>1</w:t>
            </w:r>
          </w:p>
        </w:tc>
        <w:tc>
          <w:tcPr>
            <w:tcW w:w="1297" w:type="dxa"/>
            <w:tcBorders>
              <w:top w:val="single" w:sz="4" w:space="0" w:color="auto"/>
              <w:bottom w:val="nil"/>
            </w:tcBorders>
            <w:vAlign w:val="bottom"/>
          </w:tcPr>
          <w:p w:rsidR="004B5B1B" w:rsidRPr="004B5B1B" w:rsidRDefault="004B5B1B" w:rsidP="006A0A1F">
            <w:pPr>
              <w:pStyle w:val="Tabletext"/>
              <w:tabs>
                <w:tab w:val="decimal" w:pos="597"/>
              </w:tabs>
            </w:pPr>
            <w:r w:rsidRPr="004B5B1B">
              <w:t>1</w:t>
            </w:r>
          </w:p>
        </w:tc>
        <w:tc>
          <w:tcPr>
            <w:tcW w:w="1297" w:type="dxa"/>
            <w:tcBorders>
              <w:top w:val="single" w:sz="4" w:space="0" w:color="auto"/>
              <w:bottom w:val="nil"/>
            </w:tcBorders>
            <w:vAlign w:val="bottom"/>
          </w:tcPr>
          <w:p w:rsidR="004B5B1B" w:rsidRPr="004B5B1B" w:rsidRDefault="004B5B1B" w:rsidP="006A0A1F">
            <w:pPr>
              <w:pStyle w:val="Tabletext"/>
              <w:tabs>
                <w:tab w:val="decimal" w:pos="597"/>
              </w:tabs>
            </w:pPr>
            <w:r w:rsidRPr="004B5B1B">
              <w:t>0</w:t>
            </w:r>
          </w:p>
        </w:tc>
      </w:tr>
      <w:tr w:rsidR="004B5B1B" w:rsidRPr="00492F71" w:rsidTr="00103439">
        <w:tc>
          <w:tcPr>
            <w:tcW w:w="1668" w:type="dxa"/>
            <w:tcBorders>
              <w:top w:val="nil"/>
            </w:tcBorders>
          </w:tcPr>
          <w:p w:rsidR="004B5B1B" w:rsidRPr="00492F71" w:rsidRDefault="004B5B1B" w:rsidP="00235ABC">
            <w:pPr>
              <w:pStyle w:val="Tabletext"/>
            </w:pPr>
            <w:r w:rsidRPr="00492F71">
              <w:t>2</w:t>
            </w:r>
            <w:r>
              <w:t xml:space="preserve"> Professionals</w:t>
            </w:r>
          </w:p>
        </w:tc>
        <w:tc>
          <w:tcPr>
            <w:tcW w:w="1297" w:type="dxa"/>
            <w:tcBorders>
              <w:top w:val="nil"/>
            </w:tcBorders>
            <w:vAlign w:val="bottom"/>
          </w:tcPr>
          <w:p w:rsidR="004B5B1B" w:rsidRPr="004B5B1B" w:rsidRDefault="004B5B1B" w:rsidP="006A0A1F">
            <w:pPr>
              <w:pStyle w:val="Tabletext"/>
              <w:tabs>
                <w:tab w:val="decimal" w:pos="597"/>
              </w:tabs>
            </w:pPr>
            <w:r w:rsidRPr="004B5B1B">
              <w:t>26</w:t>
            </w:r>
          </w:p>
        </w:tc>
        <w:tc>
          <w:tcPr>
            <w:tcW w:w="1297" w:type="dxa"/>
            <w:tcBorders>
              <w:top w:val="nil"/>
            </w:tcBorders>
            <w:vAlign w:val="bottom"/>
          </w:tcPr>
          <w:p w:rsidR="004B5B1B" w:rsidRPr="004B5B1B" w:rsidRDefault="004B5B1B" w:rsidP="006A0A1F">
            <w:pPr>
              <w:pStyle w:val="Tabletext"/>
              <w:tabs>
                <w:tab w:val="decimal" w:pos="597"/>
              </w:tabs>
            </w:pPr>
            <w:r w:rsidRPr="004B5B1B">
              <w:t>6</w:t>
            </w:r>
          </w:p>
        </w:tc>
        <w:tc>
          <w:tcPr>
            <w:tcW w:w="1297" w:type="dxa"/>
            <w:tcBorders>
              <w:top w:val="nil"/>
            </w:tcBorders>
            <w:vAlign w:val="bottom"/>
          </w:tcPr>
          <w:p w:rsidR="004B5B1B" w:rsidRPr="004B5B1B" w:rsidRDefault="004B5B1B" w:rsidP="006A0A1F">
            <w:pPr>
              <w:pStyle w:val="Tabletext"/>
              <w:tabs>
                <w:tab w:val="decimal" w:pos="597"/>
              </w:tabs>
            </w:pPr>
            <w:r w:rsidRPr="004B5B1B">
              <w:t>5</w:t>
            </w:r>
          </w:p>
        </w:tc>
        <w:tc>
          <w:tcPr>
            <w:tcW w:w="1297" w:type="dxa"/>
            <w:tcBorders>
              <w:top w:val="nil"/>
            </w:tcBorders>
            <w:vAlign w:val="bottom"/>
          </w:tcPr>
          <w:p w:rsidR="004B5B1B" w:rsidRPr="004B5B1B" w:rsidRDefault="004B5B1B" w:rsidP="006A0A1F">
            <w:pPr>
              <w:pStyle w:val="Tabletext"/>
              <w:tabs>
                <w:tab w:val="decimal" w:pos="597"/>
              </w:tabs>
            </w:pPr>
            <w:r w:rsidRPr="004B5B1B">
              <w:t>0</w:t>
            </w:r>
          </w:p>
        </w:tc>
        <w:tc>
          <w:tcPr>
            <w:tcW w:w="1297" w:type="dxa"/>
            <w:tcBorders>
              <w:top w:val="nil"/>
            </w:tcBorders>
            <w:vAlign w:val="bottom"/>
          </w:tcPr>
          <w:p w:rsidR="004B5B1B" w:rsidRPr="004B5B1B" w:rsidRDefault="004B5B1B" w:rsidP="006A0A1F">
            <w:pPr>
              <w:pStyle w:val="Tabletext"/>
              <w:tabs>
                <w:tab w:val="decimal" w:pos="597"/>
              </w:tabs>
            </w:pPr>
            <w:r w:rsidRPr="004B5B1B">
              <w:t>0</w:t>
            </w:r>
          </w:p>
        </w:tc>
      </w:tr>
      <w:tr w:rsidR="004B5B1B" w:rsidRPr="00492F71" w:rsidTr="00103439">
        <w:tc>
          <w:tcPr>
            <w:tcW w:w="1668" w:type="dxa"/>
          </w:tcPr>
          <w:p w:rsidR="004B5B1B" w:rsidRPr="00492F71" w:rsidRDefault="004B5B1B" w:rsidP="00235ABC">
            <w:pPr>
              <w:pStyle w:val="Tabletext"/>
            </w:pPr>
            <w:r w:rsidRPr="00492F71">
              <w:t>3</w:t>
            </w:r>
            <w:r>
              <w:t xml:space="preserve"> Technicians and </w:t>
            </w:r>
            <w:r w:rsidR="00C930FB">
              <w:t>trades workers</w:t>
            </w:r>
          </w:p>
        </w:tc>
        <w:tc>
          <w:tcPr>
            <w:tcW w:w="1297" w:type="dxa"/>
            <w:vAlign w:val="bottom"/>
          </w:tcPr>
          <w:p w:rsidR="004B5B1B" w:rsidRPr="004B5B1B" w:rsidRDefault="004B5B1B" w:rsidP="006A0A1F">
            <w:pPr>
              <w:pStyle w:val="Tabletext"/>
              <w:tabs>
                <w:tab w:val="decimal" w:pos="597"/>
              </w:tabs>
            </w:pPr>
            <w:r w:rsidRPr="004B5B1B">
              <w:t>115</w:t>
            </w:r>
          </w:p>
        </w:tc>
        <w:tc>
          <w:tcPr>
            <w:tcW w:w="1297" w:type="dxa"/>
            <w:vAlign w:val="bottom"/>
          </w:tcPr>
          <w:p w:rsidR="004B5B1B" w:rsidRPr="004B5B1B" w:rsidRDefault="004B5B1B" w:rsidP="006A0A1F">
            <w:pPr>
              <w:pStyle w:val="Tabletext"/>
              <w:tabs>
                <w:tab w:val="decimal" w:pos="597"/>
              </w:tabs>
            </w:pPr>
            <w:r w:rsidRPr="004B5B1B">
              <w:t>10</w:t>
            </w:r>
          </w:p>
        </w:tc>
        <w:tc>
          <w:tcPr>
            <w:tcW w:w="1297" w:type="dxa"/>
            <w:vAlign w:val="bottom"/>
          </w:tcPr>
          <w:p w:rsidR="004B5B1B" w:rsidRPr="004B5B1B" w:rsidRDefault="004B5B1B" w:rsidP="006A0A1F">
            <w:pPr>
              <w:pStyle w:val="Tabletext"/>
              <w:tabs>
                <w:tab w:val="decimal" w:pos="597"/>
              </w:tabs>
            </w:pPr>
            <w:r w:rsidRPr="004B5B1B">
              <w:t>1</w:t>
            </w:r>
          </w:p>
        </w:tc>
        <w:tc>
          <w:tcPr>
            <w:tcW w:w="1297" w:type="dxa"/>
            <w:vAlign w:val="bottom"/>
          </w:tcPr>
          <w:p w:rsidR="004B5B1B" w:rsidRPr="004B5B1B" w:rsidRDefault="004B5B1B" w:rsidP="006A0A1F">
            <w:pPr>
              <w:pStyle w:val="Tabletext"/>
              <w:tabs>
                <w:tab w:val="decimal" w:pos="597"/>
              </w:tabs>
            </w:pPr>
            <w:r w:rsidRPr="004B5B1B">
              <w:t>0</w:t>
            </w:r>
          </w:p>
        </w:tc>
        <w:tc>
          <w:tcPr>
            <w:tcW w:w="1297" w:type="dxa"/>
            <w:vAlign w:val="bottom"/>
          </w:tcPr>
          <w:p w:rsidR="004B5B1B" w:rsidRPr="004B5B1B" w:rsidRDefault="004B5B1B" w:rsidP="006A0A1F">
            <w:pPr>
              <w:pStyle w:val="Tabletext"/>
              <w:tabs>
                <w:tab w:val="decimal" w:pos="597"/>
              </w:tabs>
            </w:pPr>
            <w:r w:rsidRPr="004B5B1B">
              <w:t>0</w:t>
            </w:r>
          </w:p>
        </w:tc>
      </w:tr>
      <w:tr w:rsidR="004B5B1B" w:rsidRPr="00492F71" w:rsidTr="00103439">
        <w:tc>
          <w:tcPr>
            <w:tcW w:w="1668" w:type="dxa"/>
          </w:tcPr>
          <w:p w:rsidR="004B5B1B" w:rsidRPr="00492F71" w:rsidRDefault="004B5B1B" w:rsidP="00235ABC">
            <w:pPr>
              <w:pStyle w:val="Tabletext"/>
            </w:pPr>
            <w:r w:rsidRPr="00492F71">
              <w:t>4</w:t>
            </w:r>
            <w:r>
              <w:t xml:space="preserve"> Community and </w:t>
            </w:r>
            <w:r w:rsidR="00C930FB">
              <w:t>personal service workers</w:t>
            </w:r>
          </w:p>
        </w:tc>
        <w:tc>
          <w:tcPr>
            <w:tcW w:w="1297" w:type="dxa"/>
            <w:vAlign w:val="bottom"/>
          </w:tcPr>
          <w:p w:rsidR="004B5B1B" w:rsidRPr="004B5B1B" w:rsidRDefault="004B5B1B" w:rsidP="006A0A1F">
            <w:pPr>
              <w:pStyle w:val="Tabletext"/>
              <w:tabs>
                <w:tab w:val="decimal" w:pos="597"/>
              </w:tabs>
            </w:pPr>
            <w:r w:rsidRPr="004B5B1B">
              <w:t>73</w:t>
            </w:r>
          </w:p>
        </w:tc>
        <w:tc>
          <w:tcPr>
            <w:tcW w:w="1297" w:type="dxa"/>
            <w:vAlign w:val="bottom"/>
          </w:tcPr>
          <w:p w:rsidR="004B5B1B" w:rsidRPr="004B5B1B" w:rsidRDefault="004B5B1B" w:rsidP="006A0A1F">
            <w:pPr>
              <w:pStyle w:val="Tabletext"/>
              <w:tabs>
                <w:tab w:val="decimal" w:pos="597"/>
              </w:tabs>
            </w:pPr>
            <w:r w:rsidRPr="004B5B1B">
              <w:t>2</w:t>
            </w:r>
          </w:p>
        </w:tc>
        <w:tc>
          <w:tcPr>
            <w:tcW w:w="1297" w:type="dxa"/>
            <w:vAlign w:val="bottom"/>
          </w:tcPr>
          <w:p w:rsidR="004B5B1B" w:rsidRPr="004B5B1B" w:rsidRDefault="004B5B1B" w:rsidP="006A0A1F">
            <w:pPr>
              <w:pStyle w:val="Tabletext"/>
              <w:tabs>
                <w:tab w:val="decimal" w:pos="597"/>
              </w:tabs>
            </w:pPr>
            <w:r w:rsidRPr="004B5B1B">
              <w:t>1</w:t>
            </w:r>
          </w:p>
        </w:tc>
        <w:tc>
          <w:tcPr>
            <w:tcW w:w="1297" w:type="dxa"/>
            <w:vAlign w:val="bottom"/>
          </w:tcPr>
          <w:p w:rsidR="004B5B1B" w:rsidRPr="004B5B1B" w:rsidRDefault="004B5B1B" w:rsidP="006A0A1F">
            <w:pPr>
              <w:pStyle w:val="Tabletext"/>
              <w:tabs>
                <w:tab w:val="decimal" w:pos="597"/>
              </w:tabs>
            </w:pPr>
            <w:r w:rsidRPr="004B5B1B">
              <w:t>0</w:t>
            </w:r>
          </w:p>
        </w:tc>
        <w:tc>
          <w:tcPr>
            <w:tcW w:w="1297" w:type="dxa"/>
            <w:vAlign w:val="bottom"/>
          </w:tcPr>
          <w:p w:rsidR="004B5B1B" w:rsidRPr="004B5B1B" w:rsidRDefault="004B5B1B" w:rsidP="006A0A1F">
            <w:pPr>
              <w:pStyle w:val="Tabletext"/>
              <w:tabs>
                <w:tab w:val="decimal" w:pos="597"/>
              </w:tabs>
            </w:pPr>
            <w:r w:rsidRPr="004B5B1B">
              <w:t>0</w:t>
            </w:r>
          </w:p>
        </w:tc>
      </w:tr>
      <w:tr w:rsidR="004B5B1B" w:rsidRPr="00492F71" w:rsidTr="00103439">
        <w:tc>
          <w:tcPr>
            <w:tcW w:w="1668" w:type="dxa"/>
          </w:tcPr>
          <w:p w:rsidR="004B5B1B" w:rsidRPr="00492F71" w:rsidRDefault="004B5B1B" w:rsidP="00235ABC">
            <w:pPr>
              <w:pStyle w:val="Tabletext"/>
            </w:pPr>
            <w:r w:rsidRPr="00492F71">
              <w:t>5</w:t>
            </w:r>
            <w:r>
              <w:t xml:space="preserve"> Clerical and </w:t>
            </w:r>
            <w:r w:rsidR="00C930FB">
              <w:t>administrative workers</w:t>
            </w:r>
          </w:p>
        </w:tc>
        <w:tc>
          <w:tcPr>
            <w:tcW w:w="1297" w:type="dxa"/>
            <w:vAlign w:val="bottom"/>
          </w:tcPr>
          <w:p w:rsidR="004B5B1B" w:rsidRPr="004B5B1B" w:rsidRDefault="004B5B1B" w:rsidP="006A0A1F">
            <w:pPr>
              <w:pStyle w:val="Tabletext"/>
              <w:tabs>
                <w:tab w:val="decimal" w:pos="597"/>
              </w:tabs>
            </w:pPr>
            <w:r w:rsidRPr="004B5B1B">
              <w:t>23</w:t>
            </w:r>
          </w:p>
        </w:tc>
        <w:tc>
          <w:tcPr>
            <w:tcW w:w="1297" w:type="dxa"/>
            <w:vAlign w:val="bottom"/>
          </w:tcPr>
          <w:p w:rsidR="004B5B1B" w:rsidRPr="004B5B1B" w:rsidRDefault="004B5B1B" w:rsidP="006A0A1F">
            <w:pPr>
              <w:pStyle w:val="Tabletext"/>
              <w:tabs>
                <w:tab w:val="decimal" w:pos="597"/>
              </w:tabs>
            </w:pPr>
            <w:r w:rsidRPr="004B5B1B">
              <w:t>1</w:t>
            </w:r>
          </w:p>
        </w:tc>
        <w:tc>
          <w:tcPr>
            <w:tcW w:w="1297" w:type="dxa"/>
            <w:vAlign w:val="bottom"/>
          </w:tcPr>
          <w:p w:rsidR="004B5B1B" w:rsidRPr="004B5B1B" w:rsidRDefault="004B5B1B" w:rsidP="006A0A1F">
            <w:pPr>
              <w:pStyle w:val="Tabletext"/>
              <w:tabs>
                <w:tab w:val="decimal" w:pos="597"/>
              </w:tabs>
            </w:pPr>
            <w:r w:rsidRPr="004B5B1B">
              <w:t>0</w:t>
            </w:r>
          </w:p>
        </w:tc>
        <w:tc>
          <w:tcPr>
            <w:tcW w:w="1297" w:type="dxa"/>
            <w:vAlign w:val="bottom"/>
          </w:tcPr>
          <w:p w:rsidR="004B5B1B" w:rsidRPr="004B5B1B" w:rsidRDefault="004B5B1B" w:rsidP="006A0A1F">
            <w:pPr>
              <w:pStyle w:val="Tabletext"/>
              <w:tabs>
                <w:tab w:val="decimal" w:pos="597"/>
              </w:tabs>
            </w:pPr>
            <w:r w:rsidRPr="004B5B1B">
              <w:t>0</w:t>
            </w:r>
          </w:p>
        </w:tc>
        <w:tc>
          <w:tcPr>
            <w:tcW w:w="1297" w:type="dxa"/>
            <w:vAlign w:val="bottom"/>
          </w:tcPr>
          <w:p w:rsidR="004B5B1B" w:rsidRPr="004B5B1B" w:rsidRDefault="004B5B1B" w:rsidP="006A0A1F">
            <w:pPr>
              <w:pStyle w:val="Tabletext"/>
              <w:tabs>
                <w:tab w:val="decimal" w:pos="597"/>
              </w:tabs>
            </w:pPr>
            <w:r w:rsidRPr="004B5B1B">
              <w:t>0</w:t>
            </w:r>
          </w:p>
        </w:tc>
      </w:tr>
      <w:tr w:rsidR="004B5B1B" w:rsidRPr="00492F71" w:rsidTr="00103439">
        <w:tc>
          <w:tcPr>
            <w:tcW w:w="1668" w:type="dxa"/>
          </w:tcPr>
          <w:p w:rsidR="004B5B1B" w:rsidRPr="00492F71" w:rsidRDefault="004B5B1B" w:rsidP="00235ABC">
            <w:pPr>
              <w:pStyle w:val="Tabletext"/>
            </w:pPr>
            <w:r w:rsidRPr="00492F71">
              <w:t>6</w:t>
            </w:r>
            <w:r w:rsidR="00C930FB">
              <w:t xml:space="preserve"> Sales w</w:t>
            </w:r>
            <w:r>
              <w:t>orkers</w:t>
            </w:r>
          </w:p>
        </w:tc>
        <w:tc>
          <w:tcPr>
            <w:tcW w:w="1297" w:type="dxa"/>
            <w:vAlign w:val="bottom"/>
          </w:tcPr>
          <w:p w:rsidR="004B5B1B" w:rsidRPr="004B5B1B" w:rsidRDefault="004B5B1B" w:rsidP="006A0A1F">
            <w:pPr>
              <w:pStyle w:val="Tabletext"/>
              <w:tabs>
                <w:tab w:val="decimal" w:pos="597"/>
              </w:tabs>
            </w:pPr>
            <w:r w:rsidRPr="004B5B1B">
              <w:t>7</w:t>
            </w:r>
          </w:p>
        </w:tc>
        <w:tc>
          <w:tcPr>
            <w:tcW w:w="1297" w:type="dxa"/>
            <w:vAlign w:val="bottom"/>
          </w:tcPr>
          <w:p w:rsidR="004B5B1B" w:rsidRPr="004B5B1B" w:rsidRDefault="004B5B1B" w:rsidP="006A0A1F">
            <w:pPr>
              <w:pStyle w:val="Tabletext"/>
              <w:tabs>
                <w:tab w:val="decimal" w:pos="597"/>
              </w:tabs>
            </w:pPr>
            <w:r w:rsidRPr="004B5B1B">
              <w:t>0</w:t>
            </w:r>
          </w:p>
        </w:tc>
        <w:tc>
          <w:tcPr>
            <w:tcW w:w="1297" w:type="dxa"/>
            <w:vAlign w:val="bottom"/>
          </w:tcPr>
          <w:p w:rsidR="004B5B1B" w:rsidRPr="004B5B1B" w:rsidRDefault="004B5B1B" w:rsidP="006A0A1F">
            <w:pPr>
              <w:pStyle w:val="Tabletext"/>
              <w:tabs>
                <w:tab w:val="decimal" w:pos="597"/>
              </w:tabs>
            </w:pPr>
            <w:r w:rsidRPr="004B5B1B">
              <w:t>0</w:t>
            </w:r>
          </w:p>
        </w:tc>
        <w:tc>
          <w:tcPr>
            <w:tcW w:w="1297" w:type="dxa"/>
            <w:vAlign w:val="bottom"/>
          </w:tcPr>
          <w:p w:rsidR="004B5B1B" w:rsidRPr="004B5B1B" w:rsidRDefault="004B5B1B" w:rsidP="006A0A1F">
            <w:pPr>
              <w:pStyle w:val="Tabletext"/>
              <w:tabs>
                <w:tab w:val="decimal" w:pos="597"/>
              </w:tabs>
            </w:pPr>
            <w:r w:rsidRPr="004B5B1B">
              <w:t>0</w:t>
            </w:r>
          </w:p>
        </w:tc>
        <w:tc>
          <w:tcPr>
            <w:tcW w:w="1297" w:type="dxa"/>
            <w:vAlign w:val="bottom"/>
          </w:tcPr>
          <w:p w:rsidR="004B5B1B" w:rsidRPr="004B5B1B" w:rsidRDefault="004B5B1B" w:rsidP="006A0A1F">
            <w:pPr>
              <w:pStyle w:val="Tabletext"/>
              <w:tabs>
                <w:tab w:val="decimal" w:pos="597"/>
              </w:tabs>
            </w:pPr>
            <w:r w:rsidRPr="004B5B1B">
              <w:t>0</w:t>
            </w:r>
          </w:p>
        </w:tc>
      </w:tr>
      <w:tr w:rsidR="004B5B1B" w:rsidRPr="00492F71" w:rsidTr="00103439">
        <w:tc>
          <w:tcPr>
            <w:tcW w:w="1668" w:type="dxa"/>
          </w:tcPr>
          <w:p w:rsidR="004B5B1B" w:rsidRPr="00492F71" w:rsidRDefault="004B5B1B" w:rsidP="00235ABC">
            <w:pPr>
              <w:pStyle w:val="Tabletext"/>
            </w:pPr>
            <w:r w:rsidRPr="00492F71">
              <w:t>7</w:t>
            </w:r>
            <w:r>
              <w:t xml:space="preserve"> Machinery </w:t>
            </w:r>
            <w:r w:rsidR="00C930FB">
              <w:t>operators and drivers</w:t>
            </w:r>
          </w:p>
        </w:tc>
        <w:tc>
          <w:tcPr>
            <w:tcW w:w="1297" w:type="dxa"/>
            <w:vAlign w:val="bottom"/>
          </w:tcPr>
          <w:p w:rsidR="004B5B1B" w:rsidRPr="004B5B1B" w:rsidRDefault="004B5B1B" w:rsidP="006A0A1F">
            <w:pPr>
              <w:pStyle w:val="Tabletext"/>
              <w:tabs>
                <w:tab w:val="decimal" w:pos="597"/>
              </w:tabs>
            </w:pPr>
            <w:r w:rsidRPr="004B5B1B">
              <w:t>23</w:t>
            </w:r>
          </w:p>
        </w:tc>
        <w:tc>
          <w:tcPr>
            <w:tcW w:w="1297" w:type="dxa"/>
            <w:vAlign w:val="bottom"/>
          </w:tcPr>
          <w:p w:rsidR="004B5B1B" w:rsidRPr="004B5B1B" w:rsidRDefault="004B5B1B" w:rsidP="006A0A1F">
            <w:pPr>
              <w:pStyle w:val="Tabletext"/>
              <w:tabs>
                <w:tab w:val="decimal" w:pos="597"/>
              </w:tabs>
            </w:pPr>
            <w:r w:rsidRPr="004B5B1B">
              <w:t>4</w:t>
            </w:r>
          </w:p>
        </w:tc>
        <w:tc>
          <w:tcPr>
            <w:tcW w:w="1297" w:type="dxa"/>
            <w:vAlign w:val="bottom"/>
          </w:tcPr>
          <w:p w:rsidR="004B5B1B" w:rsidRPr="004B5B1B" w:rsidRDefault="004B5B1B" w:rsidP="006A0A1F">
            <w:pPr>
              <w:pStyle w:val="Tabletext"/>
              <w:tabs>
                <w:tab w:val="decimal" w:pos="597"/>
              </w:tabs>
            </w:pPr>
            <w:r w:rsidRPr="004B5B1B">
              <w:t>0</w:t>
            </w:r>
          </w:p>
        </w:tc>
        <w:tc>
          <w:tcPr>
            <w:tcW w:w="1297" w:type="dxa"/>
            <w:vAlign w:val="bottom"/>
          </w:tcPr>
          <w:p w:rsidR="004B5B1B" w:rsidRPr="004B5B1B" w:rsidRDefault="004B5B1B" w:rsidP="006A0A1F">
            <w:pPr>
              <w:pStyle w:val="Tabletext"/>
              <w:tabs>
                <w:tab w:val="decimal" w:pos="597"/>
              </w:tabs>
            </w:pPr>
            <w:r w:rsidRPr="004B5B1B">
              <w:t>0</w:t>
            </w:r>
          </w:p>
        </w:tc>
        <w:tc>
          <w:tcPr>
            <w:tcW w:w="1297" w:type="dxa"/>
            <w:vAlign w:val="bottom"/>
          </w:tcPr>
          <w:p w:rsidR="004B5B1B" w:rsidRPr="004B5B1B" w:rsidRDefault="004B5B1B" w:rsidP="006A0A1F">
            <w:pPr>
              <w:pStyle w:val="Tabletext"/>
              <w:tabs>
                <w:tab w:val="decimal" w:pos="597"/>
              </w:tabs>
            </w:pPr>
            <w:r w:rsidRPr="004B5B1B">
              <w:t>0</w:t>
            </w:r>
          </w:p>
        </w:tc>
      </w:tr>
      <w:tr w:rsidR="004B5B1B" w:rsidRPr="00492F71" w:rsidTr="00103439">
        <w:tc>
          <w:tcPr>
            <w:tcW w:w="1668" w:type="dxa"/>
            <w:tcBorders>
              <w:bottom w:val="single" w:sz="4" w:space="0" w:color="auto"/>
            </w:tcBorders>
          </w:tcPr>
          <w:p w:rsidR="004B5B1B" w:rsidRPr="00492F71" w:rsidRDefault="004B5B1B" w:rsidP="00235ABC">
            <w:pPr>
              <w:pStyle w:val="Tabletext"/>
            </w:pPr>
            <w:r w:rsidRPr="00492F71">
              <w:t>8</w:t>
            </w:r>
            <w:r>
              <w:t xml:space="preserve"> Labourers</w:t>
            </w:r>
          </w:p>
        </w:tc>
        <w:tc>
          <w:tcPr>
            <w:tcW w:w="1297" w:type="dxa"/>
            <w:tcBorders>
              <w:bottom w:val="single" w:sz="4" w:space="0" w:color="auto"/>
            </w:tcBorders>
            <w:vAlign w:val="bottom"/>
          </w:tcPr>
          <w:p w:rsidR="004B5B1B" w:rsidRPr="004B5B1B" w:rsidRDefault="004B5B1B" w:rsidP="006A0A1F">
            <w:pPr>
              <w:pStyle w:val="Tabletext"/>
              <w:tabs>
                <w:tab w:val="decimal" w:pos="597"/>
              </w:tabs>
            </w:pPr>
            <w:r w:rsidRPr="004B5B1B">
              <w:t>40</w:t>
            </w:r>
          </w:p>
        </w:tc>
        <w:tc>
          <w:tcPr>
            <w:tcW w:w="1297" w:type="dxa"/>
            <w:tcBorders>
              <w:bottom w:val="single" w:sz="4" w:space="0" w:color="auto"/>
            </w:tcBorders>
            <w:vAlign w:val="bottom"/>
          </w:tcPr>
          <w:p w:rsidR="004B5B1B" w:rsidRPr="004B5B1B" w:rsidRDefault="004B5B1B" w:rsidP="006A0A1F">
            <w:pPr>
              <w:pStyle w:val="Tabletext"/>
              <w:tabs>
                <w:tab w:val="decimal" w:pos="597"/>
              </w:tabs>
            </w:pPr>
            <w:r w:rsidRPr="004B5B1B">
              <w:t>4</w:t>
            </w:r>
          </w:p>
        </w:tc>
        <w:tc>
          <w:tcPr>
            <w:tcW w:w="1297" w:type="dxa"/>
            <w:tcBorders>
              <w:bottom w:val="single" w:sz="4" w:space="0" w:color="auto"/>
            </w:tcBorders>
            <w:vAlign w:val="bottom"/>
          </w:tcPr>
          <w:p w:rsidR="004B5B1B" w:rsidRPr="004B5B1B" w:rsidRDefault="004B5B1B" w:rsidP="006A0A1F">
            <w:pPr>
              <w:pStyle w:val="Tabletext"/>
              <w:tabs>
                <w:tab w:val="decimal" w:pos="597"/>
              </w:tabs>
            </w:pPr>
            <w:r w:rsidRPr="004B5B1B">
              <w:t>1</w:t>
            </w:r>
          </w:p>
        </w:tc>
        <w:tc>
          <w:tcPr>
            <w:tcW w:w="1297" w:type="dxa"/>
            <w:tcBorders>
              <w:bottom w:val="single" w:sz="4" w:space="0" w:color="auto"/>
            </w:tcBorders>
            <w:vAlign w:val="bottom"/>
          </w:tcPr>
          <w:p w:rsidR="004B5B1B" w:rsidRPr="004B5B1B" w:rsidRDefault="004B5B1B" w:rsidP="006A0A1F">
            <w:pPr>
              <w:pStyle w:val="Tabletext"/>
              <w:tabs>
                <w:tab w:val="decimal" w:pos="597"/>
              </w:tabs>
            </w:pPr>
            <w:r w:rsidRPr="004B5B1B">
              <w:t>0</w:t>
            </w:r>
          </w:p>
        </w:tc>
        <w:tc>
          <w:tcPr>
            <w:tcW w:w="1297" w:type="dxa"/>
            <w:tcBorders>
              <w:bottom w:val="single" w:sz="4" w:space="0" w:color="auto"/>
            </w:tcBorders>
            <w:vAlign w:val="bottom"/>
          </w:tcPr>
          <w:p w:rsidR="004B5B1B" w:rsidRPr="004B5B1B" w:rsidRDefault="004B5B1B" w:rsidP="006A0A1F">
            <w:pPr>
              <w:pStyle w:val="Tabletext"/>
              <w:tabs>
                <w:tab w:val="decimal" w:pos="597"/>
              </w:tabs>
            </w:pPr>
            <w:r w:rsidRPr="004B5B1B">
              <w:t>0</w:t>
            </w:r>
          </w:p>
        </w:tc>
      </w:tr>
      <w:tr w:rsidR="004B5B1B" w:rsidRPr="00492F71" w:rsidTr="00103439">
        <w:tc>
          <w:tcPr>
            <w:tcW w:w="1668" w:type="dxa"/>
            <w:tcBorders>
              <w:top w:val="single" w:sz="4" w:space="0" w:color="auto"/>
              <w:bottom w:val="single" w:sz="4" w:space="0" w:color="auto"/>
            </w:tcBorders>
            <w:vAlign w:val="bottom"/>
          </w:tcPr>
          <w:p w:rsidR="004B5B1B" w:rsidRPr="006A0A1F" w:rsidRDefault="004B5B1B" w:rsidP="00235ABC">
            <w:pPr>
              <w:pStyle w:val="Tabletext"/>
              <w:rPr>
                <w:b/>
              </w:rPr>
            </w:pPr>
            <w:r w:rsidRPr="006A0A1F">
              <w:rPr>
                <w:b/>
              </w:rPr>
              <w:t>Total</w:t>
            </w:r>
          </w:p>
        </w:tc>
        <w:tc>
          <w:tcPr>
            <w:tcW w:w="1297" w:type="dxa"/>
            <w:tcBorders>
              <w:top w:val="single" w:sz="4" w:space="0" w:color="auto"/>
              <w:bottom w:val="single" w:sz="4" w:space="0" w:color="auto"/>
            </w:tcBorders>
            <w:vAlign w:val="bottom"/>
          </w:tcPr>
          <w:p w:rsidR="004B5B1B" w:rsidRPr="006A0A1F" w:rsidRDefault="004B5B1B" w:rsidP="006A0A1F">
            <w:pPr>
              <w:pStyle w:val="Tabletext"/>
              <w:tabs>
                <w:tab w:val="decimal" w:pos="597"/>
              </w:tabs>
              <w:rPr>
                <w:b/>
              </w:rPr>
            </w:pPr>
            <w:r w:rsidRPr="006A0A1F">
              <w:rPr>
                <w:b/>
              </w:rPr>
              <w:t>326</w:t>
            </w:r>
          </w:p>
        </w:tc>
        <w:tc>
          <w:tcPr>
            <w:tcW w:w="1297" w:type="dxa"/>
            <w:tcBorders>
              <w:top w:val="single" w:sz="4" w:space="0" w:color="auto"/>
              <w:bottom w:val="single" w:sz="4" w:space="0" w:color="auto"/>
            </w:tcBorders>
            <w:vAlign w:val="bottom"/>
          </w:tcPr>
          <w:p w:rsidR="004B5B1B" w:rsidRPr="006A0A1F" w:rsidRDefault="004B5B1B" w:rsidP="006A0A1F">
            <w:pPr>
              <w:pStyle w:val="Tabletext"/>
              <w:tabs>
                <w:tab w:val="decimal" w:pos="597"/>
              </w:tabs>
              <w:rPr>
                <w:b/>
              </w:rPr>
            </w:pPr>
            <w:r w:rsidRPr="006A0A1F">
              <w:rPr>
                <w:b/>
              </w:rPr>
              <w:t>32</w:t>
            </w:r>
          </w:p>
        </w:tc>
        <w:tc>
          <w:tcPr>
            <w:tcW w:w="1297" w:type="dxa"/>
            <w:tcBorders>
              <w:top w:val="single" w:sz="4" w:space="0" w:color="auto"/>
              <w:bottom w:val="single" w:sz="4" w:space="0" w:color="auto"/>
            </w:tcBorders>
            <w:vAlign w:val="bottom"/>
          </w:tcPr>
          <w:p w:rsidR="004B5B1B" w:rsidRPr="006A0A1F" w:rsidRDefault="004B5B1B" w:rsidP="006A0A1F">
            <w:pPr>
              <w:pStyle w:val="Tabletext"/>
              <w:tabs>
                <w:tab w:val="decimal" w:pos="597"/>
              </w:tabs>
              <w:rPr>
                <w:b/>
              </w:rPr>
            </w:pPr>
            <w:r w:rsidRPr="006A0A1F">
              <w:rPr>
                <w:b/>
              </w:rPr>
              <w:t>9</w:t>
            </w:r>
          </w:p>
        </w:tc>
        <w:tc>
          <w:tcPr>
            <w:tcW w:w="1297" w:type="dxa"/>
            <w:tcBorders>
              <w:top w:val="single" w:sz="4" w:space="0" w:color="auto"/>
              <w:bottom w:val="single" w:sz="4" w:space="0" w:color="auto"/>
            </w:tcBorders>
            <w:vAlign w:val="bottom"/>
          </w:tcPr>
          <w:p w:rsidR="004B5B1B" w:rsidRPr="006A0A1F" w:rsidRDefault="004B5B1B" w:rsidP="006A0A1F">
            <w:pPr>
              <w:pStyle w:val="Tabletext"/>
              <w:tabs>
                <w:tab w:val="decimal" w:pos="597"/>
              </w:tabs>
              <w:rPr>
                <w:b/>
              </w:rPr>
            </w:pPr>
            <w:r w:rsidRPr="006A0A1F">
              <w:rPr>
                <w:b/>
              </w:rPr>
              <w:t>1</w:t>
            </w:r>
          </w:p>
        </w:tc>
        <w:tc>
          <w:tcPr>
            <w:tcW w:w="1297" w:type="dxa"/>
            <w:tcBorders>
              <w:top w:val="single" w:sz="4" w:space="0" w:color="auto"/>
              <w:bottom w:val="single" w:sz="4" w:space="0" w:color="auto"/>
            </w:tcBorders>
            <w:vAlign w:val="bottom"/>
          </w:tcPr>
          <w:p w:rsidR="004B5B1B" w:rsidRPr="006A0A1F" w:rsidRDefault="004B5B1B" w:rsidP="006A0A1F">
            <w:pPr>
              <w:pStyle w:val="Tabletext"/>
              <w:tabs>
                <w:tab w:val="decimal" w:pos="597"/>
              </w:tabs>
              <w:rPr>
                <w:b/>
              </w:rPr>
            </w:pPr>
            <w:r w:rsidRPr="006A0A1F">
              <w:rPr>
                <w:b/>
              </w:rPr>
              <w:t>0</w:t>
            </w:r>
          </w:p>
        </w:tc>
      </w:tr>
    </w:tbl>
    <w:p w:rsidR="004A7C3D" w:rsidRDefault="004A7C3D" w:rsidP="004A7C3D">
      <w:pPr>
        <w:pStyle w:val="Source"/>
      </w:pPr>
      <w:r>
        <w:t xml:space="preserve">Source: </w:t>
      </w:r>
      <w:r w:rsidR="00C930FB">
        <w:t>A</w:t>
      </w:r>
      <w:r w:rsidR="00390066">
        <w:t xml:space="preserve">uthors’ analysis based on data from </w:t>
      </w:r>
      <w:r w:rsidR="00545D87">
        <w:t xml:space="preserve">the </w:t>
      </w:r>
      <w:r w:rsidR="00390066">
        <w:t>Australian Department of Education and Training and NCVER collections</w:t>
      </w:r>
      <w:r w:rsidR="00A445BD">
        <w:t>.</w:t>
      </w:r>
    </w:p>
    <w:p w:rsidR="00E5451D" w:rsidRDefault="007F1E0B" w:rsidP="0085781D">
      <w:pPr>
        <w:pStyle w:val="Text"/>
      </w:pPr>
      <w:r>
        <w:t xml:space="preserve">Rationalising qualifications at the occupation level reduces the number of </w:t>
      </w:r>
      <w:r w:rsidR="0054258A">
        <w:t>qualifications with zero enrolments</w:t>
      </w:r>
      <w:r>
        <w:t xml:space="preserve"> from 32</w:t>
      </w:r>
      <w:r w:rsidR="002C7371">
        <w:t>6</w:t>
      </w:r>
      <w:r>
        <w:t xml:space="preserve"> to 32. Again, this could be applied selectively to redu</w:t>
      </w:r>
      <w:r w:rsidR="00545D87">
        <w:t xml:space="preserve">ce the number of </w:t>
      </w:r>
      <w:r w:rsidR="0054258A">
        <w:t>qualifications with zero enrolments</w:t>
      </w:r>
      <w:r>
        <w:t xml:space="preserve"> in ‘3 Technicians and </w:t>
      </w:r>
      <w:r w:rsidR="00C930FB">
        <w:t xml:space="preserve">trades workers’ </w:t>
      </w:r>
      <w:r>
        <w:t xml:space="preserve">and ‘4 Community and </w:t>
      </w:r>
      <w:r w:rsidR="00C930FB">
        <w:t>personal service workers’</w:t>
      </w:r>
      <w:r>
        <w:t>.</w:t>
      </w:r>
    </w:p>
    <w:p w:rsidR="00A7125C" w:rsidRDefault="00A7125C" w:rsidP="0085781D">
      <w:pPr>
        <w:pStyle w:val="Text"/>
      </w:pPr>
      <w:r>
        <w:t xml:space="preserve">The rationalisation of qualifications by ANZSCO groups could be </w:t>
      </w:r>
      <w:r w:rsidR="00C930FB">
        <w:t>undertaken</w:t>
      </w:r>
      <w:r>
        <w:t xml:space="preserve"> in conjunction with the increased use of specialisations and streams within qualifications, such as the</w:t>
      </w:r>
      <w:r w:rsidR="000C2D6E">
        <w:t xml:space="preserve"> example above in the C</w:t>
      </w:r>
      <w:r>
        <w:t xml:space="preserve">ertificate III in Individual Support. For example, the </w:t>
      </w:r>
      <w:r w:rsidR="00C930FB">
        <w:t>c</w:t>
      </w:r>
      <w:r>
        <w:t>ertificate III has been assigned the 6-digit ANZSCO occupation of 423313, but there are other related occupations it could potentially cover</w:t>
      </w:r>
      <w:r w:rsidR="00C930FB">
        <w:t>,</w:t>
      </w:r>
      <w:r>
        <w:t xml:space="preserve"> as </w:t>
      </w:r>
      <w:r w:rsidR="00C930FB">
        <w:t>demonstrated</w:t>
      </w:r>
      <w:r>
        <w:t xml:space="preserve"> in table </w:t>
      </w:r>
      <w:r w:rsidR="00967D44">
        <w:t>9</w:t>
      </w:r>
      <w:r>
        <w:t>.</w:t>
      </w:r>
    </w:p>
    <w:p w:rsidR="00A7125C" w:rsidRDefault="00A7125C" w:rsidP="00A7125C">
      <w:pPr>
        <w:pStyle w:val="Tabletitle"/>
      </w:pPr>
      <w:bookmarkStart w:id="72" w:name="_Toc465162112"/>
      <w:r>
        <w:t xml:space="preserve">Table </w:t>
      </w:r>
      <w:r w:rsidR="00967D44">
        <w:t>9</w:t>
      </w:r>
      <w:r>
        <w:tab/>
        <w:t xml:space="preserve">ANZSCO occupations within the </w:t>
      </w:r>
      <w:r w:rsidR="00545D87">
        <w:t xml:space="preserve">minor group </w:t>
      </w:r>
      <w:r w:rsidR="008109FD">
        <w:t>‘</w:t>
      </w:r>
      <w:r>
        <w:t>423 Personal carers and assistants’</w:t>
      </w:r>
      <w:bookmarkEnd w:id="72"/>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060"/>
      </w:tblGrid>
      <w:tr w:rsidR="00A7125C" w:rsidTr="00A7125C">
        <w:tc>
          <w:tcPr>
            <w:tcW w:w="2093" w:type="dxa"/>
            <w:tcBorders>
              <w:bottom w:val="single" w:sz="4" w:space="0" w:color="auto"/>
            </w:tcBorders>
          </w:tcPr>
          <w:p w:rsidR="00A7125C" w:rsidRPr="00A7125C" w:rsidRDefault="00A7125C" w:rsidP="00A7125C">
            <w:pPr>
              <w:pStyle w:val="Tablehead1"/>
            </w:pPr>
            <w:r w:rsidRPr="00A7125C">
              <w:t>ANZSCO code (6-digit)</w:t>
            </w:r>
          </w:p>
        </w:tc>
        <w:tc>
          <w:tcPr>
            <w:tcW w:w="6060" w:type="dxa"/>
            <w:tcBorders>
              <w:bottom w:val="single" w:sz="4" w:space="0" w:color="auto"/>
            </w:tcBorders>
          </w:tcPr>
          <w:p w:rsidR="00A7125C" w:rsidRPr="00A7125C" w:rsidRDefault="00A7125C" w:rsidP="00A7125C">
            <w:pPr>
              <w:pStyle w:val="Tablehead1"/>
            </w:pPr>
            <w:r w:rsidRPr="00A7125C">
              <w:t>Occupation title</w:t>
            </w:r>
          </w:p>
        </w:tc>
      </w:tr>
      <w:tr w:rsidR="00A7125C" w:rsidRPr="00A7125C" w:rsidTr="00A7125C">
        <w:trPr>
          <w:trHeight w:val="225"/>
        </w:trPr>
        <w:tc>
          <w:tcPr>
            <w:tcW w:w="2093" w:type="dxa"/>
            <w:tcBorders>
              <w:top w:val="single" w:sz="4" w:space="0" w:color="auto"/>
              <w:bottom w:val="nil"/>
            </w:tcBorders>
            <w:noWrap/>
            <w:hideMark/>
          </w:tcPr>
          <w:p w:rsidR="00A7125C" w:rsidRPr="00A7125C" w:rsidRDefault="00A7125C" w:rsidP="00A7125C">
            <w:pPr>
              <w:pStyle w:val="Tabletext"/>
            </w:pPr>
            <w:r w:rsidRPr="00A7125C">
              <w:t>423000</w:t>
            </w:r>
          </w:p>
        </w:tc>
        <w:tc>
          <w:tcPr>
            <w:tcW w:w="6060" w:type="dxa"/>
            <w:tcBorders>
              <w:top w:val="single" w:sz="4" w:space="0" w:color="auto"/>
              <w:bottom w:val="nil"/>
            </w:tcBorders>
            <w:noWrap/>
            <w:hideMark/>
          </w:tcPr>
          <w:p w:rsidR="00A7125C" w:rsidRPr="00A7125C" w:rsidRDefault="00A7125C" w:rsidP="00A7125C">
            <w:pPr>
              <w:pStyle w:val="Tabletext"/>
            </w:pPr>
            <w:r w:rsidRPr="00A7125C">
              <w:t xml:space="preserve">Personal </w:t>
            </w:r>
            <w:r w:rsidR="00C930FB" w:rsidRPr="00A7125C">
              <w:t xml:space="preserve">carers and assistants </w:t>
            </w:r>
            <w:proofErr w:type="spellStart"/>
            <w:r w:rsidRPr="00A7125C">
              <w:t>nfd</w:t>
            </w:r>
            <w:proofErr w:type="spellEnd"/>
          </w:p>
        </w:tc>
      </w:tr>
      <w:tr w:rsidR="00A7125C" w:rsidRPr="00A7125C" w:rsidTr="00A7125C">
        <w:trPr>
          <w:trHeight w:val="225"/>
        </w:trPr>
        <w:tc>
          <w:tcPr>
            <w:tcW w:w="2093" w:type="dxa"/>
            <w:tcBorders>
              <w:top w:val="nil"/>
            </w:tcBorders>
            <w:noWrap/>
            <w:hideMark/>
          </w:tcPr>
          <w:p w:rsidR="00A7125C" w:rsidRPr="00A7125C" w:rsidRDefault="00A7125C" w:rsidP="00A7125C">
            <w:pPr>
              <w:pStyle w:val="Tabletext"/>
            </w:pPr>
            <w:r w:rsidRPr="00A7125C">
              <w:t>423111</w:t>
            </w:r>
          </w:p>
        </w:tc>
        <w:tc>
          <w:tcPr>
            <w:tcW w:w="6060" w:type="dxa"/>
            <w:tcBorders>
              <w:top w:val="nil"/>
            </w:tcBorders>
            <w:noWrap/>
            <w:hideMark/>
          </w:tcPr>
          <w:p w:rsidR="00A7125C" w:rsidRPr="00A7125C" w:rsidRDefault="00A7125C" w:rsidP="00A7125C">
            <w:pPr>
              <w:pStyle w:val="Tabletext"/>
            </w:pPr>
            <w:r w:rsidRPr="00A7125C">
              <w:t xml:space="preserve">Aged or </w:t>
            </w:r>
            <w:r w:rsidR="00C930FB" w:rsidRPr="00A7125C">
              <w:t>disabled carer</w:t>
            </w:r>
          </w:p>
        </w:tc>
      </w:tr>
      <w:tr w:rsidR="00A7125C" w:rsidRPr="00A7125C" w:rsidTr="00A7125C">
        <w:trPr>
          <w:trHeight w:val="225"/>
        </w:trPr>
        <w:tc>
          <w:tcPr>
            <w:tcW w:w="2093" w:type="dxa"/>
            <w:noWrap/>
            <w:hideMark/>
          </w:tcPr>
          <w:p w:rsidR="00A7125C" w:rsidRPr="00A7125C" w:rsidRDefault="00A7125C" w:rsidP="00A7125C">
            <w:pPr>
              <w:pStyle w:val="Tabletext"/>
            </w:pPr>
            <w:r w:rsidRPr="00A7125C">
              <w:t>423211</w:t>
            </w:r>
          </w:p>
        </w:tc>
        <w:tc>
          <w:tcPr>
            <w:tcW w:w="6060" w:type="dxa"/>
            <w:noWrap/>
            <w:hideMark/>
          </w:tcPr>
          <w:p w:rsidR="00A7125C" w:rsidRPr="00A7125C" w:rsidRDefault="00A7125C" w:rsidP="00A7125C">
            <w:pPr>
              <w:pStyle w:val="Tabletext"/>
            </w:pPr>
            <w:r w:rsidRPr="00A7125C">
              <w:t>Dental</w:t>
            </w:r>
            <w:r w:rsidR="00C930FB" w:rsidRPr="00A7125C">
              <w:t xml:space="preserve"> </w:t>
            </w:r>
            <w:r w:rsidR="00636AEE" w:rsidRPr="00A7125C">
              <w:t>assistant</w:t>
            </w:r>
          </w:p>
        </w:tc>
      </w:tr>
      <w:tr w:rsidR="00A7125C" w:rsidRPr="00A7125C" w:rsidTr="00A7125C">
        <w:trPr>
          <w:trHeight w:val="225"/>
        </w:trPr>
        <w:tc>
          <w:tcPr>
            <w:tcW w:w="2093" w:type="dxa"/>
            <w:noWrap/>
            <w:hideMark/>
          </w:tcPr>
          <w:p w:rsidR="00A7125C" w:rsidRPr="00A7125C" w:rsidRDefault="00A7125C" w:rsidP="00A7125C">
            <w:pPr>
              <w:pStyle w:val="Tabletext"/>
            </w:pPr>
            <w:r w:rsidRPr="00A7125C">
              <w:t>423300</w:t>
            </w:r>
          </w:p>
        </w:tc>
        <w:tc>
          <w:tcPr>
            <w:tcW w:w="6060" w:type="dxa"/>
            <w:noWrap/>
            <w:hideMark/>
          </w:tcPr>
          <w:p w:rsidR="00A7125C" w:rsidRPr="00A7125C" w:rsidRDefault="00A7125C" w:rsidP="00A7125C">
            <w:pPr>
              <w:pStyle w:val="Tabletext"/>
            </w:pPr>
            <w:r w:rsidRPr="00A7125C">
              <w:t xml:space="preserve">Nursing </w:t>
            </w:r>
            <w:r w:rsidR="00C930FB" w:rsidRPr="00A7125C">
              <w:t xml:space="preserve">support and personal care workers </w:t>
            </w:r>
            <w:proofErr w:type="spellStart"/>
            <w:r w:rsidRPr="00A7125C">
              <w:t>nfd</w:t>
            </w:r>
            <w:proofErr w:type="spellEnd"/>
          </w:p>
        </w:tc>
      </w:tr>
      <w:tr w:rsidR="00A7125C" w:rsidRPr="00A7125C" w:rsidTr="00A7125C">
        <w:trPr>
          <w:trHeight w:val="225"/>
        </w:trPr>
        <w:tc>
          <w:tcPr>
            <w:tcW w:w="2093" w:type="dxa"/>
            <w:noWrap/>
            <w:hideMark/>
          </w:tcPr>
          <w:p w:rsidR="00A7125C" w:rsidRPr="00A7125C" w:rsidRDefault="00A7125C" w:rsidP="00A7125C">
            <w:pPr>
              <w:pStyle w:val="Tabletext"/>
            </w:pPr>
            <w:r w:rsidRPr="00A7125C">
              <w:t>423311</w:t>
            </w:r>
          </w:p>
        </w:tc>
        <w:tc>
          <w:tcPr>
            <w:tcW w:w="6060" w:type="dxa"/>
            <w:noWrap/>
            <w:hideMark/>
          </w:tcPr>
          <w:p w:rsidR="00A7125C" w:rsidRPr="00A7125C" w:rsidRDefault="00A7125C" w:rsidP="00A7125C">
            <w:pPr>
              <w:pStyle w:val="Tabletext"/>
            </w:pPr>
            <w:r w:rsidRPr="00A7125C">
              <w:t>Hospita</w:t>
            </w:r>
            <w:r w:rsidR="00C930FB" w:rsidRPr="00A7125C">
              <w:t>l orderly</w:t>
            </w:r>
          </w:p>
        </w:tc>
      </w:tr>
      <w:tr w:rsidR="00A7125C" w:rsidRPr="00A7125C" w:rsidTr="00A7125C">
        <w:trPr>
          <w:trHeight w:val="225"/>
        </w:trPr>
        <w:tc>
          <w:tcPr>
            <w:tcW w:w="2093" w:type="dxa"/>
            <w:noWrap/>
            <w:hideMark/>
          </w:tcPr>
          <w:p w:rsidR="00A7125C" w:rsidRPr="00A7125C" w:rsidRDefault="00A7125C" w:rsidP="00A7125C">
            <w:pPr>
              <w:pStyle w:val="Tabletext"/>
            </w:pPr>
            <w:r w:rsidRPr="00A7125C">
              <w:t>423312</w:t>
            </w:r>
          </w:p>
        </w:tc>
        <w:tc>
          <w:tcPr>
            <w:tcW w:w="6060" w:type="dxa"/>
            <w:noWrap/>
            <w:hideMark/>
          </w:tcPr>
          <w:p w:rsidR="00A7125C" w:rsidRPr="00A7125C" w:rsidRDefault="00A7125C" w:rsidP="00A7125C">
            <w:pPr>
              <w:pStyle w:val="Tabletext"/>
            </w:pPr>
            <w:r w:rsidRPr="00A7125C">
              <w:t xml:space="preserve">Nursing </w:t>
            </w:r>
            <w:r w:rsidR="00C930FB" w:rsidRPr="00A7125C">
              <w:t>support worker</w:t>
            </w:r>
          </w:p>
        </w:tc>
      </w:tr>
      <w:tr w:rsidR="00A7125C" w:rsidRPr="00A7125C" w:rsidTr="00A7125C">
        <w:trPr>
          <w:trHeight w:val="225"/>
        </w:trPr>
        <w:tc>
          <w:tcPr>
            <w:tcW w:w="2093" w:type="dxa"/>
            <w:noWrap/>
            <w:hideMark/>
          </w:tcPr>
          <w:p w:rsidR="00A7125C" w:rsidRPr="00A7125C" w:rsidRDefault="00A7125C" w:rsidP="00A7125C">
            <w:pPr>
              <w:pStyle w:val="Tabletext"/>
            </w:pPr>
            <w:r w:rsidRPr="00A7125C">
              <w:t>423313</w:t>
            </w:r>
          </w:p>
        </w:tc>
        <w:tc>
          <w:tcPr>
            <w:tcW w:w="6060" w:type="dxa"/>
            <w:noWrap/>
            <w:hideMark/>
          </w:tcPr>
          <w:p w:rsidR="00A7125C" w:rsidRPr="00A7125C" w:rsidRDefault="00A7125C" w:rsidP="00A7125C">
            <w:pPr>
              <w:pStyle w:val="Tabletext"/>
            </w:pPr>
            <w:r w:rsidRPr="00A7125C">
              <w:t xml:space="preserve">Personal </w:t>
            </w:r>
            <w:r w:rsidR="00C930FB" w:rsidRPr="00A7125C">
              <w:t>care assistant</w:t>
            </w:r>
          </w:p>
        </w:tc>
      </w:tr>
      <w:tr w:rsidR="00A7125C" w:rsidRPr="00A7125C" w:rsidTr="00A7125C">
        <w:trPr>
          <w:trHeight w:val="225"/>
        </w:trPr>
        <w:tc>
          <w:tcPr>
            <w:tcW w:w="2093" w:type="dxa"/>
            <w:noWrap/>
            <w:hideMark/>
          </w:tcPr>
          <w:p w:rsidR="00A7125C" w:rsidRPr="00A7125C" w:rsidRDefault="00A7125C" w:rsidP="00A7125C">
            <w:pPr>
              <w:pStyle w:val="Tabletext"/>
            </w:pPr>
            <w:r w:rsidRPr="00A7125C">
              <w:t>423314</w:t>
            </w:r>
          </w:p>
        </w:tc>
        <w:tc>
          <w:tcPr>
            <w:tcW w:w="6060" w:type="dxa"/>
            <w:noWrap/>
            <w:hideMark/>
          </w:tcPr>
          <w:p w:rsidR="00A7125C" w:rsidRPr="00A7125C" w:rsidRDefault="00A7125C" w:rsidP="00A7125C">
            <w:pPr>
              <w:pStyle w:val="Tabletext"/>
            </w:pPr>
            <w:r w:rsidRPr="00A7125C">
              <w:t xml:space="preserve">Therapy </w:t>
            </w:r>
            <w:r w:rsidR="00C930FB" w:rsidRPr="00A7125C">
              <w:t>aide</w:t>
            </w:r>
          </w:p>
        </w:tc>
      </w:tr>
      <w:tr w:rsidR="00A7125C" w:rsidRPr="00A7125C" w:rsidTr="00A7125C">
        <w:trPr>
          <w:trHeight w:val="225"/>
        </w:trPr>
        <w:tc>
          <w:tcPr>
            <w:tcW w:w="2093" w:type="dxa"/>
            <w:noWrap/>
            <w:hideMark/>
          </w:tcPr>
          <w:p w:rsidR="00A7125C" w:rsidRPr="00A7125C" w:rsidRDefault="00A7125C" w:rsidP="00A7125C">
            <w:pPr>
              <w:pStyle w:val="Tabletext"/>
            </w:pPr>
            <w:r w:rsidRPr="00A7125C">
              <w:t>423400</w:t>
            </w:r>
          </w:p>
        </w:tc>
        <w:tc>
          <w:tcPr>
            <w:tcW w:w="6060" w:type="dxa"/>
            <w:noWrap/>
            <w:hideMark/>
          </w:tcPr>
          <w:p w:rsidR="00A7125C" w:rsidRPr="00A7125C" w:rsidRDefault="00A7125C" w:rsidP="00A7125C">
            <w:pPr>
              <w:pStyle w:val="Tabletext"/>
            </w:pPr>
            <w:r w:rsidRPr="00A7125C">
              <w:t xml:space="preserve">Special </w:t>
            </w:r>
            <w:r w:rsidR="00C930FB" w:rsidRPr="00A7125C">
              <w:t xml:space="preserve">care workers </w:t>
            </w:r>
            <w:proofErr w:type="spellStart"/>
            <w:r w:rsidRPr="00A7125C">
              <w:t>nfd</w:t>
            </w:r>
            <w:proofErr w:type="spellEnd"/>
          </w:p>
        </w:tc>
      </w:tr>
      <w:tr w:rsidR="00A7125C" w:rsidRPr="00A7125C" w:rsidTr="00A7125C">
        <w:trPr>
          <w:trHeight w:val="225"/>
        </w:trPr>
        <w:tc>
          <w:tcPr>
            <w:tcW w:w="2093" w:type="dxa"/>
            <w:noWrap/>
            <w:hideMark/>
          </w:tcPr>
          <w:p w:rsidR="00A7125C" w:rsidRPr="00A7125C" w:rsidRDefault="00A7125C" w:rsidP="00A7125C">
            <w:pPr>
              <w:pStyle w:val="Tabletext"/>
            </w:pPr>
            <w:r w:rsidRPr="00A7125C">
              <w:t>423411</w:t>
            </w:r>
          </w:p>
        </w:tc>
        <w:tc>
          <w:tcPr>
            <w:tcW w:w="6060" w:type="dxa"/>
            <w:noWrap/>
            <w:hideMark/>
          </w:tcPr>
          <w:p w:rsidR="00A7125C" w:rsidRPr="00A7125C" w:rsidRDefault="00A7125C" w:rsidP="00A7125C">
            <w:pPr>
              <w:pStyle w:val="Tabletext"/>
            </w:pPr>
            <w:r w:rsidRPr="00A7125C">
              <w:t xml:space="preserve">Child or </w:t>
            </w:r>
            <w:r w:rsidR="00C930FB" w:rsidRPr="00A7125C">
              <w:t>youth residential care assistant</w:t>
            </w:r>
          </w:p>
        </w:tc>
      </w:tr>
      <w:tr w:rsidR="00A7125C" w:rsidRPr="00A7125C" w:rsidTr="00A7125C">
        <w:trPr>
          <w:trHeight w:val="225"/>
        </w:trPr>
        <w:tc>
          <w:tcPr>
            <w:tcW w:w="2093" w:type="dxa"/>
            <w:noWrap/>
            <w:hideMark/>
          </w:tcPr>
          <w:p w:rsidR="00A7125C" w:rsidRPr="00A7125C" w:rsidRDefault="00A7125C" w:rsidP="00A7125C">
            <w:pPr>
              <w:pStyle w:val="Tabletext"/>
            </w:pPr>
            <w:r w:rsidRPr="00A7125C">
              <w:t>423412</w:t>
            </w:r>
          </w:p>
        </w:tc>
        <w:tc>
          <w:tcPr>
            <w:tcW w:w="6060" w:type="dxa"/>
            <w:noWrap/>
            <w:hideMark/>
          </w:tcPr>
          <w:p w:rsidR="00A7125C" w:rsidRPr="00A7125C" w:rsidRDefault="00A7125C" w:rsidP="00A7125C">
            <w:pPr>
              <w:pStyle w:val="Tabletext"/>
            </w:pPr>
            <w:r w:rsidRPr="00A7125C">
              <w:t xml:space="preserve">Hostel </w:t>
            </w:r>
            <w:r w:rsidR="00C930FB" w:rsidRPr="00A7125C">
              <w:t>parent</w:t>
            </w:r>
          </w:p>
        </w:tc>
      </w:tr>
      <w:tr w:rsidR="00A7125C" w:rsidRPr="00A7125C" w:rsidTr="00A7125C">
        <w:trPr>
          <w:trHeight w:val="225"/>
        </w:trPr>
        <w:tc>
          <w:tcPr>
            <w:tcW w:w="2093" w:type="dxa"/>
            <w:noWrap/>
            <w:hideMark/>
          </w:tcPr>
          <w:p w:rsidR="00A7125C" w:rsidRPr="00A7125C" w:rsidRDefault="00A7125C" w:rsidP="00A7125C">
            <w:pPr>
              <w:pStyle w:val="Tabletext"/>
            </w:pPr>
            <w:r w:rsidRPr="00A7125C">
              <w:t>423413</w:t>
            </w:r>
          </w:p>
        </w:tc>
        <w:tc>
          <w:tcPr>
            <w:tcW w:w="6060" w:type="dxa"/>
            <w:noWrap/>
            <w:hideMark/>
          </w:tcPr>
          <w:p w:rsidR="00A7125C" w:rsidRPr="00A7125C" w:rsidRDefault="00A7125C" w:rsidP="00A7125C">
            <w:pPr>
              <w:pStyle w:val="Tabletext"/>
            </w:pPr>
            <w:r w:rsidRPr="00A7125C">
              <w:t xml:space="preserve">Refuge </w:t>
            </w:r>
            <w:r w:rsidR="00C930FB" w:rsidRPr="00A7125C">
              <w:t>worke</w:t>
            </w:r>
            <w:r w:rsidRPr="00A7125C">
              <w:t>r</w:t>
            </w:r>
          </w:p>
        </w:tc>
      </w:tr>
    </w:tbl>
    <w:p w:rsidR="00851A8F" w:rsidRDefault="00851A8F" w:rsidP="004A7C3D">
      <w:pPr>
        <w:pStyle w:val="Source"/>
      </w:pPr>
      <w:r>
        <w:t>Note:</w:t>
      </w:r>
      <w:r>
        <w:tab/>
      </w:r>
      <w:proofErr w:type="spellStart"/>
      <w:r>
        <w:t>ndf</w:t>
      </w:r>
      <w:proofErr w:type="spellEnd"/>
      <w:r>
        <w:t xml:space="preserve"> = not further defined.</w:t>
      </w:r>
    </w:p>
    <w:p w:rsidR="004A7C3D" w:rsidRDefault="004A7C3D" w:rsidP="004A7C3D">
      <w:pPr>
        <w:pStyle w:val="Source"/>
      </w:pPr>
      <w:r>
        <w:t xml:space="preserve">Source: </w:t>
      </w:r>
      <w:r w:rsidR="00851A8F">
        <w:tab/>
      </w:r>
      <w:r w:rsidR="00C930FB">
        <w:t>A</w:t>
      </w:r>
      <w:r w:rsidR="00390066">
        <w:t>uthors’</w:t>
      </w:r>
      <w:r w:rsidR="00545D87">
        <w:t xml:space="preserve"> analysis based on data </w:t>
      </w:r>
      <w:r w:rsidR="00390066">
        <w:t xml:space="preserve">from </w:t>
      </w:r>
      <w:r w:rsidR="00545D87">
        <w:t xml:space="preserve">the </w:t>
      </w:r>
      <w:r w:rsidR="00390066">
        <w:t>Australian Department of Education and Training and NCVER collections</w:t>
      </w:r>
      <w:r w:rsidR="00A445BD">
        <w:t>.</w:t>
      </w:r>
    </w:p>
    <w:p w:rsidR="006E0B7B" w:rsidRDefault="00A7125C" w:rsidP="0085781D">
      <w:pPr>
        <w:pStyle w:val="Text"/>
      </w:pPr>
      <w:r>
        <w:t xml:space="preserve">These occupations are not necessarily </w:t>
      </w:r>
      <w:r w:rsidR="00C930FB">
        <w:t xml:space="preserve">so </w:t>
      </w:r>
      <w:r>
        <w:t>similar that they could be covered by the same qualification, but it s</w:t>
      </w:r>
      <w:r w:rsidR="00A445BD">
        <w:t>eems there is scope w</w:t>
      </w:r>
      <w:r w:rsidR="00C930FB">
        <w:t>ithin the c</w:t>
      </w:r>
      <w:r>
        <w:t>ertificate III to cover many occupations within the group ‘423 P</w:t>
      </w:r>
      <w:r w:rsidR="00C930FB">
        <w:t xml:space="preserve">ersonal carers and assistants’. </w:t>
      </w:r>
      <w:r>
        <w:t xml:space="preserve">Currently, there are 10 separate </w:t>
      </w:r>
      <w:r>
        <w:lastRenderedPageBreak/>
        <w:t xml:space="preserve">qualifications </w:t>
      </w:r>
      <w:r w:rsidR="00140808">
        <w:t xml:space="preserve">under </w:t>
      </w:r>
      <w:r w:rsidR="00140808" w:rsidRPr="00545D87">
        <w:t>that group</w:t>
      </w:r>
      <w:r w:rsidR="00545D87" w:rsidRPr="00545D87">
        <w:t>,</w:t>
      </w:r>
      <w:r w:rsidR="006E0B7B" w:rsidRPr="00545D87">
        <w:t xml:space="preserve"> comprising</w:t>
      </w:r>
      <w:r w:rsidR="006E0B7B">
        <w:t xml:space="preserve"> 129 466 enrolments (according to the consolidated list). The qualifications and their enrolments are shown in table </w:t>
      </w:r>
      <w:r w:rsidR="00967D44">
        <w:t>10</w:t>
      </w:r>
      <w:r w:rsidR="006E0B7B">
        <w:t>.</w:t>
      </w:r>
    </w:p>
    <w:p w:rsidR="006E0B7B" w:rsidRDefault="006E0B7B" w:rsidP="006E0B7B">
      <w:pPr>
        <w:pStyle w:val="Tabletitle"/>
      </w:pPr>
      <w:bookmarkStart w:id="73" w:name="_Toc465162113"/>
      <w:r>
        <w:t xml:space="preserve">Table </w:t>
      </w:r>
      <w:r w:rsidR="00967D44">
        <w:t>10</w:t>
      </w:r>
      <w:r w:rsidR="00103439">
        <w:tab/>
        <w:t xml:space="preserve">Qualifications within </w:t>
      </w:r>
      <w:r w:rsidR="00C930FB">
        <w:t xml:space="preserve">minor group </w:t>
      </w:r>
      <w:r>
        <w:t>‘423 Personal carers and assistants’</w:t>
      </w:r>
      <w:bookmarkEnd w:id="73"/>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3686"/>
        <w:gridCol w:w="1417"/>
        <w:gridCol w:w="1241"/>
      </w:tblGrid>
      <w:tr w:rsidR="006E0B7B" w:rsidTr="006E0B7B">
        <w:tc>
          <w:tcPr>
            <w:tcW w:w="1809" w:type="dxa"/>
            <w:tcBorders>
              <w:bottom w:val="single" w:sz="4" w:space="0" w:color="auto"/>
            </w:tcBorders>
          </w:tcPr>
          <w:p w:rsidR="006E0B7B" w:rsidRPr="006E0B7B" w:rsidRDefault="006E0B7B" w:rsidP="006E0B7B">
            <w:pPr>
              <w:pStyle w:val="Tablehead1"/>
            </w:pPr>
            <w:r w:rsidRPr="006E0B7B">
              <w:t>Qualification code</w:t>
            </w:r>
          </w:p>
        </w:tc>
        <w:tc>
          <w:tcPr>
            <w:tcW w:w="3686" w:type="dxa"/>
            <w:tcBorders>
              <w:bottom w:val="single" w:sz="4" w:space="0" w:color="auto"/>
            </w:tcBorders>
          </w:tcPr>
          <w:p w:rsidR="006E0B7B" w:rsidRPr="006E0B7B" w:rsidRDefault="006E0B7B" w:rsidP="006E0B7B">
            <w:pPr>
              <w:pStyle w:val="Tablehead1"/>
            </w:pPr>
            <w:r w:rsidRPr="006E0B7B">
              <w:t>Qualification title</w:t>
            </w:r>
          </w:p>
        </w:tc>
        <w:tc>
          <w:tcPr>
            <w:tcW w:w="1417" w:type="dxa"/>
            <w:tcBorders>
              <w:bottom w:val="single" w:sz="4" w:space="0" w:color="auto"/>
            </w:tcBorders>
          </w:tcPr>
          <w:p w:rsidR="006E0B7B" w:rsidRPr="006E0B7B" w:rsidRDefault="006E0B7B" w:rsidP="006E0B7B">
            <w:pPr>
              <w:pStyle w:val="Tablehead1"/>
            </w:pPr>
            <w:r w:rsidRPr="006E0B7B">
              <w:t>ANZSCO code</w:t>
            </w:r>
          </w:p>
        </w:tc>
        <w:tc>
          <w:tcPr>
            <w:tcW w:w="1241" w:type="dxa"/>
            <w:tcBorders>
              <w:bottom w:val="single" w:sz="4" w:space="0" w:color="auto"/>
            </w:tcBorders>
          </w:tcPr>
          <w:p w:rsidR="006E0B7B" w:rsidRPr="006E0B7B" w:rsidRDefault="006E0B7B" w:rsidP="006E0B7B">
            <w:pPr>
              <w:pStyle w:val="Tablehead1"/>
            </w:pPr>
            <w:r w:rsidRPr="006E0B7B">
              <w:t>Enrolments</w:t>
            </w:r>
          </w:p>
        </w:tc>
      </w:tr>
      <w:tr w:rsidR="006E0B7B" w:rsidTr="006E0B7B">
        <w:tc>
          <w:tcPr>
            <w:tcW w:w="1809" w:type="dxa"/>
            <w:tcBorders>
              <w:top w:val="single" w:sz="4" w:space="0" w:color="auto"/>
              <w:bottom w:val="nil"/>
            </w:tcBorders>
          </w:tcPr>
          <w:p w:rsidR="006E0B7B" w:rsidRPr="006E0B7B" w:rsidRDefault="006E0B7B" w:rsidP="006E0B7B">
            <w:pPr>
              <w:pStyle w:val="Tabletext"/>
            </w:pPr>
            <w:r w:rsidRPr="006E0B7B">
              <w:t>CHC33015</w:t>
            </w:r>
          </w:p>
        </w:tc>
        <w:tc>
          <w:tcPr>
            <w:tcW w:w="3686" w:type="dxa"/>
            <w:tcBorders>
              <w:top w:val="single" w:sz="4" w:space="0" w:color="auto"/>
              <w:bottom w:val="nil"/>
            </w:tcBorders>
          </w:tcPr>
          <w:p w:rsidR="006E0B7B" w:rsidRPr="006E0B7B" w:rsidRDefault="006E0B7B" w:rsidP="006E0B7B">
            <w:pPr>
              <w:pStyle w:val="Tabletext"/>
            </w:pPr>
            <w:r w:rsidRPr="006E0B7B">
              <w:t>Certificate III in Individual Support</w:t>
            </w:r>
          </w:p>
        </w:tc>
        <w:tc>
          <w:tcPr>
            <w:tcW w:w="1417" w:type="dxa"/>
            <w:tcBorders>
              <w:top w:val="single" w:sz="4" w:space="0" w:color="auto"/>
              <w:bottom w:val="nil"/>
            </w:tcBorders>
          </w:tcPr>
          <w:p w:rsidR="006E0B7B" w:rsidRPr="006E0B7B" w:rsidRDefault="006E0B7B" w:rsidP="00C10E2F">
            <w:pPr>
              <w:pStyle w:val="Tabletext"/>
              <w:jc w:val="center"/>
            </w:pPr>
            <w:r w:rsidRPr="006E0B7B">
              <w:t>423313</w:t>
            </w:r>
          </w:p>
        </w:tc>
        <w:tc>
          <w:tcPr>
            <w:tcW w:w="1241" w:type="dxa"/>
            <w:tcBorders>
              <w:top w:val="single" w:sz="4" w:space="0" w:color="auto"/>
              <w:bottom w:val="nil"/>
            </w:tcBorders>
          </w:tcPr>
          <w:p w:rsidR="006E0B7B" w:rsidRPr="006E0B7B" w:rsidRDefault="006E0B7B" w:rsidP="00C10E2F">
            <w:pPr>
              <w:pStyle w:val="Tabletext"/>
              <w:tabs>
                <w:tab w:val="decimal" w:pos="459"/>
              </w:tabs>
              <w:jc w:val="both"/>
            </w:pPr>
            <w:r w:rsidRPr="006E0B7B">
              <w:t>77</w:t>
            </w:r>
            <w:r>
              <w:t xml:space="preserve"> </w:t>
            </w:r>
            <w:r w:rsidRPr="006E0B7B">
              <w:t>678</w:t>
            </w:r>
          </w:p>
        </w:tc>
      </w:tr>
      <w:tr w:rsidR="006E0B7B" w:rsidTr="006E0B7B">
        <w:tc>
          <w:tcPr>
            <w:tcW w:w="1809" w:type="dxa"/>
            <w:tcBorders>
              <w:top w:val="nil"/>
            </w:tcBorders>
          </w:tcPr>
          <w:p w:rsidR="006E0B7B" w:rsidRPr="006E0B7B" w:rsidRDefault="006E0B7B" w:rsidP="006E0B7B">
            <w:pPr>
              <w:pStyle w:val="Tabletext"/>
            </w:pPr>
            <w:r w:rsidRPr="006E0B7B">
              <w:t>CHC43015</w:t>
            </w:r>
          </w:p>
        </w:tc>
        <w:tc>
          <w:tcPr>
            <w:tcW w:w="3686" w:type="dxa"/>
            <w:tcBorders>
              <w:top w:val="nil"/>
            </w:tcBorders>
          </w:tcPr>
          <w:p w:rsidR="006E0B7B" w:rsidRPr="006E0B7B" w:rsidRDefault="006E0B7B" w:rsidP="006E0B7B">
            <w:pPr>
              <w:pStyle w:val="Tabletext"/>
            </w:pPr>
            <w:r w:rsidRPr="006E0B7B">
              <w:t>Certificate IV in Ageing Support</w:t>
            </w:r>
          </w:p>
        </w:tc>
        <w:tc>
          <w:tcPr>
            <w:tcW w:w="1417" w:type="dxa"/>
            <w:tcBorders>
              <w:top w:val="nil"/>
            </w:tcBorders>
          </w:tcPr>
          <w:p w:rsidR="006E0B7B" w:rsidRPr="006E0B7B" w:rsidRDefault="006E0B7B" w:rsidP="00C10E2F">
            <w:pPr>
              <w:pStyle w:val="Tabletext"/>
              <w:jc w:val="center"/>
            </w:pPr>
            <w:r w:rsidRPr="006E0B7B">
              <w:t>423111</w:t>
            </w:r>
          </w:p>
        </w:tc>
        <w:tc>
          <w:tcPr>
            <w:tcW w:w="1241" w:type="dxa"/>
            <w:tcBorders>
              <w:top w:val="nil"/>
            </w:tcBorders>
          </w:tcPr>
          <w:p w:rsidR="006E0B7B" w:rsidRPr="006E0B7B" w:rsidRDefault="006E0B7B" w:rsidP="00C10E2F">
            <w:pPr>
              <w:pStyle w:val="Tabletext"/>
              <w:tabs>
                <w:tab w:val="decimal" w:pos="459"/>
              </w:tabs>
              <w:jc w:val="both"/>
            </w:pPr>
            <w:r w:rsidRPr="006E0B7B">
              <w:t>10</w:t>
            </w:r>
            <w:r>
              <w:t xml:space="preserve"> </w:t>
            </w:r>
            <w:r w:rsidRPr="006E0B7B">
              <w:t>680</w:t>
            </w:r>
          </w:p>
        </w:tc>
      </w:tr>
      <w:tr w:rsidR="006E0B7B" w:rsidTr="006E0B7B">
        <w:tc>
          <w:tcPr>
            <w:tcW w:w="1809" w:type="dxa"/>
          </w:tcPr>
          <w:p w:rsidR="006E0B7B" w:rsidRPr="006E0B7B" w:rsidRDefault="006E0B7B" w:rsidP="006E0B7B">
            <w:pPr>
              <w:pStyle w:val="Tabletext"/>
            </w:pPr>
            <w:r w:rsidRPr="006E0B7B">
              <w:t>CHC43315</w:t>
            </w:r>
          </w:p>
        </w:tc>
        <w:tc>
          <w:tcPr>
            <w:tcW w:w="3686" w:type="dxa"/>
          </w:tcPr>
          <w:p w:rsidR="006E0B7B" w:rsidRPr="006E0B7B" w:rsidRDefault="006E0B7B" w:rsidP="006E0B7B">
            <w:pPr>
              <w:pStyle w:val="Tabletext"/>
            </w:pPr>
            <w:r w:rsidRPr="006E0B7B">
              <w:t>Certificate IV in Disability</w:t>
            </w:r>
          </w:p>
        </w:tc>
        <w:tc>
          <w:tcPr>
            <w:tcW w:w="1417" w:type="dxa"/>
          </w:tcPr>
          <w:p w:rsidR="006E0B7B" w:rsidRPr="006E0B7B" w:rsidRDefault="006E0B7B" w:rsidP="00C10E2F">
            <w:pPr>
              <w:pStyle w:val="Tabletext"/>
              <w:jc w:val="center"/>
            </w:pPr>
            <w:r w:rsidRPr="006E0B7B">
              <w:t>423111</w:t>
            </w:r>
          </w:p>
        </w:tc>
        <w:tc>
          <w:tcPr>
            <w:tcW w:w="1241" w:type="dxa"/>
          </w:tcPr>
          <w:p w:rsidR="006E0B7B" w:rsidRPr="006E0B7B" w:rsidRDefault="006E0B7B" w:rsidP="00C10E2F">
            <w:pPr>
              <w:pStyle w:val="Tabletext"/>
              <w:tabs>
                <w:tab w:val="decimal" w:pos="459"/>
              </w:tabs>
              <w:jc w:val="both"/>
            </w:pPr>
            <w:r w:rsidRPr="006E0B7B">
              <w:t>5</w:t>
            </w:r>
            <w:r>
              <w:t xml:space="preserve"> </w:t>
            </w:r>
            <w:r w:rsidRPr="006E0B7B">
              <w:t>452</w:t>
            </w:r>
          </w:p>
        </w:tc>
      </w:tr>
      <w:tr w:rsidR="006E0B7B" w:rsidTr="006E0B7B">
        <w:tc>
          <w:tcPr>
            <w:tcW w:w="1809" w:type="dxa"/>
          </w:tcPr>
          <w:p w:rsidR="006E0B7B" w:rsidRPr="006E0B7B" w:rsidRDefault="006E0B7B" w:rsidP="006E0B7B">
            <w:pPr>
              <w:pStyle w:val="Tabletext"/>
            </w:pPr>
            <w:r w:rsidRPr="006E0B7B">
              <w:t>HLT23215</w:t>
            </w:r>
          </w:p>
        </w:tc>
        <w:tc>
          <w:tcPr>
            <w:tcW w:w="3686" w:type="dxa"/>
          </w:tcPr>
          <w:p w:rsidR="006E0B7B" w:rsidRPr="006E0B7B" w:rsidRDefault="006E0B7B" w:rsidP="006E0B7B">
            <w:pPr>
              <w:pStyle w:val="Tabletext"/>
            </w:pPr>
            <w:r w:rsidRPr="006E0B7B">
              <w:t>Certificate II in Health Support Services</w:t>
            </w:r>
            <w:r w:rsidRPr="006E0B7B">
              <w:tab/>
            </w:r>
          </w:p>
        </w:tc>
        <w:tc>
          <w:tcPr>
            <w:tcW w:w="1417" w:type="dxa"/>
          </w:tcPr>
          <w:p w:rsidR="006E0B7B" w:rsidRPr="006E0B7B" w:rsidRDefault="006E0B7B" w:rsidP="00C10E2F">
            <w:pPr>
              <w:pStyle w:val="Tabletext"/>
              <w:jc w:val="center"/>
            </w:pPr>
            <w:r w:rsidRPr="006E0B7B">
              <w:t>423312</w:t>
            </w:r>
          </w:p>
        </w:tc>
        <w:tc>
          <w:tcPr>
            <w:tcW w:w="1241" w:type="dxa"/>
          </w:tcPr>
          <w:p w:rsidR="006E0B7B" w:rsidRPr="006E0B7B" w:rsidRDefault="006E0B7B" w:rsidP="00C10E2F">
            <w:pPr>
              <w:pStyle w:val="Tabletext"/>
              <w:tabs>
                <w:tab w:val="decimal" w:pos="459"/>
              </w:tabs>
              <w:jc w:val="both"/>
            </w:pPr>
            <w:r w:rsidRPr="006E0B7B">
              <w:t>2</w:t>
            </w:r>
            <w:r>
              <w:t xml:space="preserve"> </w:t>
            </w:r>
            <w:r w:rsidRPr="006E0B7B">
              <w:t>773</w:t>
            </w:r>
          </w:p>
        </w:tc>
      </w:tr>
      <w:tr w:rsidR="006E0B7B" w:rsidTr="006E0B7B">
        <w:tc>
          <w:tcPr>
            <w:tcW w:w="1809" w:type="dxa"/>
          </w:tcPr>
          <w:p w:rsidR="006E0B7B" w:rsidRPr="006E0B7B" w:rsidRDefault="006E0B7B" w:rsidP="006E0B7B">
            <w:pPr>
              <w:pStyle w:val="Tabletext"/>
            </w:pPr>
            <w:r w:rsidRPr="006E0B7B">
              <w:t>HLT33015</w:t>
            </w:r>
          </w:p>
        </w:tc>
        <w:tc>
          <w:tcPr>
            <w:tcW w:w="3686" w:type="dxa"/>
          </w:tcPr>
          <w:p w:rsidR="006E0B7B" w:rsidRPr="006E0B7B" w:rsidRDefault="006E0B7B" w:rsidP="006E0B7B">
            <w:pPr>
              <w:pStyle w:val="Tabletext"/>
            </w:pPr>
            <w:r w:rsidRPr="006E0B7B">
              <w:t>Certificate III in Allied Health Assistance</w:t>
            </w:r>
          </w:p>
        </w:tc>
        <w:tc>
          <w:tcPr>
            <w:tcW w:w="1417" w:type="dxa"/>
          </w:tcPr>
          <w:p w:rsidR="006E0B7B" w:rsidRPr="006E0B7B" w:rsidRDefault="006E0B7B" w:rsidP="00C10E2F">
            <w:pPr>
              <w:pStyle w:val="Tabletext"/>
              <w:jc w:val="center"/>
            </w:pPr>
            <w:r w:rsidRPr="006E0B7B">
              <w:t>423314</w:t>
            </w:r>
          </w:p>
        </w:tc>
        <w:tc>
          <w:tcPr>
            <w:tcW w:w="1241" w:type="dxa"/>
          </w:tcPr>
          <w:p w:rsidR="006E0B7B" w:rsidRPr="006E0B7B" w:rsidRDefault="006E0B7B" w:rsidP="00C10E2F">
            <w:pPr>
              <w:pStyle w:val="Tabletext"/>
              <w:tabs>
                <w:tab w:val="decimal" w:pos="459"/>
              </w:tabs>
              <w:jc w:val="both"/>
            </w:pPr>
            <w:r w:rsidRPr="006E0B7B">
              <w:t>4</w:t>
            </w:r>
            <w:r>
              <w:t xml:space="preserve"> </w:t>
            </w:r>
            <w:r w:rsidRPr="006E0B7B">
              <w:t>346</w:t>
            </w:r>
          </w:p>
        </w:tc>
      </w:tr>
      <w:tr w:rsidR="006E0B7B" w:rsidTr="006E0B7B">
        <w:tc>
          <w:tcPr>
            <w:tcW w:w="1809" w:type="dxa"/>
          </w:tcPr>
          <w:p w:rsidR="006E0B7B" w:rsidRPr="006E0B7B" w:rsidRDefault="006E0B7B" w:rsidP="006E0B7B">
            <w:pPr>
              <w:pStyle w:val="Tabletext"/>
            </w:pPr>
            <w:r w:rsidRPr="006E0B7B">
              <w:t>HLT33115</w:t>
            </w:r>
          </w:p>
        </w:tc>
        <w:tc>
          <w:tcPr>
            <w:tcW w:w="3686" w:type="dxa"/>
          </w:tcPr>
          <w:p w:rsidR="006E0B7B" w:rsidRPr="006E0B7B" w:rsidRDefault="006E0B7B" w:rsidP="006E0B7B">
            <w:pPr>
              <w:pStyle w:val="Tabletext"/>
            </w:pPr>
            <w:r w:rsidRPr="006E0B7B">
              <w:t>Certificate II</w:t>
            </w:r>
            <w:r>
              <w:t>I in Health Services Assistance</w:t>
            </w:r>
          </w:p>
        </w:tc>
        <w:tc>
          <w:tcPr>
            <w:tcW w:w="1417" w:type="dxa"/>
          </w:tcPr>
          <w:p w:rsidR="006E0B7B" w:rsidRPr="006E0B7B" w:rsidRDefault="006E0B7B" w:rsidP="00C10E2F">
            <w:pPr>
              <w:pStyle w:val="Tabletext"/>
              <w:jc w:val="center"/>
            </w:pPr>
            <w:r w:rsidRPr="006E0B7B">
              <w:t>423311</w:t>
            </w:r>
          </w:p>
        </w:tc>
        <w:tc>
          <w:tcPr>
            <w:tcW w:w="1241" w:type="dxa"/>
          </w:tcPr>
          <w:p w:rsidR="006E0B7B" w:rsidRPr="006E0B7B" w:rsidRDefault="006E0B7B" w:rsidP="00C10E2F">
            <w:pPr>
              <w:pStyle w:val="Tabletext"/>
              <w:tabs>
                <w:tab w:val="decimal" w:pos="459"/>
              </w:tabs>
              <w:jc w:val="both"/>
            </w:pPr>
            <w:r w:rsidRPr="006E0B7B">
              <w:t>15</w:t>
            </w:r>
            <w:r>
              <w:t xml:space="preserve"> </w:t>
            </w:r>
            <w:r w:rsidRPr="006E0B7B">
              <w:t>169</w:t>
            </w:r>
          </w:p>
        </w:tc>
      </w:tr>
      <w:tr w:rsidR="006E0B7B" w:rsidTr="006E0B7B">
        <w:tc>
          <w:tcPr>
            <w:tcW w:w="1809" w:type="dxa"/>
          </w:tcPr>
          <w:p w:rsidR="006E0B7B" w:rsidRPr="006E0B7B" w:rsidRDefault="006E0B7B" w:rsidP="006E0B7B">
            <w:pPr>
              <w:pStyle w:val="Tabletext"/>
            </w:pPr>
            <w:r w:rsidRPr="006E0B7B">
              <w:t>HLT33215</w:t>
            </w:r>
          </w:p>
        </w:tc>
        <w:tc>
          <w:tcPr>
            <w:tcW w:w="3686" w:type="dxa"/>
          </w:tcPr>
          <w:p w:rsidR="006E0B7B" w:rsidRPr="006E0B7B" w:rsidRDefault="006E0B7B" w:rsidP="006E0B7B">
            <w:pPr>
              <w:pStyle w:val="Tabletext"/>
            </w:pPr>
            <w:r w:rsidRPr="006E0B7B">
              <w:t>Certificate III in Health Support Services</w:t>
            </w:r>
            <w:r w:rsidRPr="006E0B7B">
              <w:tab/>
            </w:r>
          </w:p>
        </w:tc>
        <w:tc>
          <w:tcPr>
            <w:tcW w:w="1417" w:type="dxa"/>
          </w:tcPr>
          <w:p w:rsidR="006E0B7B" w:rsidRPr="006E0B7B" w:rsidRDefault="006E0B7B" w:rsidP="00C10E2F">
            <w:pPr>
              <w:pStyle w:val="Tabletext"/>
              <w:jc w:val="center"/>
            </w:pPr>
            <w:r w:rsidRPr="006E0B7B">
              <w:t>423312</w:t>
            </w:r>
          </w:p>
        </w:tc>
        <w:tc>
          <w:tcPr>
            <w:tcW w:w="1241" w:type="dxa"/>
          </w:tcPr>
          <w:p w:rsidR="006E0B7B" w:rsidRPr="006E0B7B" w:rsidRDefault="006E0B7B" w:rsidP="00C10E2F">
            <w:pPr>
              <w:pStyle w:val="Tabletext"/>
              <w:tabs>
                <w:tab w:val="decimal" w:pos="459"/>
              </w:tabs>
              <w:jc w:val="both"/>
            </w:pPr>
            <w:r w:rsidRPr="006E0B7B">
              <w:t>2</w:t>
            </w:r>
            <w:r>
              <w:t xml:space="preserve"> </w:t>
            </w:r>
            <w:r w:rsidRPr="006E0B7B">
              <w:t>280</w:t>
            </w:r>
          </w:p>
        </w:tc>
      </w:tr>
      <w:tr w:rsidR="006E0B7B" w:rsidTr="006E0B7B">
        <w:tc>
          <w:tcPr>
            <w:tcW w:w="1809" w:type="dxa"/>
          </w:tcPr>
          <w:p w:rsidR="006E0B7B" w:rsidRPr="006E0B7B" w:rsidRDefault="006E0B7B" w:rsidP="006E0B7B">
            <w:pPr>
              <w:pStyle w:val="Tabletext"/>
            </w:pPr>
            <w:r w:rsidRPr="006E0B7B">
              <w:t>HLT35015</w:t>
            </w:r>
          </w:p>
        </w:tc>
        <w:tc>
          <w:tcPr>
            <w:tcW w:w="3686" w:type="dxa"/>
          </w:tcPr>
          <w:p w:rsidR="006E0B7B" w:rsidRPr="006E0B7B" w:rsidRDefault="006E0B7B" w:rsidP="006E0B7B">
            <w:pPr>
              <w:pStyle w:val="Tabletext"/>
            </w:pPr>
            <w:r w:rsidRPr="006E0B7B">
              <w:t>Certificate III in Dental Assisting</w:t>
            </w:r>
          </w:p>
        </w:tc>
        <w:tc>
          <w:tcPr>
            <w:tcW w:w="1417" w:type="dxa"/>
          </w:tcPr>
          <w:p w:rsidR="006E0B7B" w:rsidRPr="006E0B7B" w:rsidRDefault="006E0B7B" w:rsidP="00C10E2F">
            <w:pPr>
              <w:pStyle w:val="Tabletext"/>
              <w:jc w:val="center"/>
            </w:pPr>
            <w:r w:rsidRPr="006E0B7B">
              <w:t>423211</w:t>
            </w:r>
          </w:p>
        </w:tc>
        <w:tc>
          <w:tcPr>
            <w:tcW w:w="1241" w:type="dxa"/>
          </w:tcPr>
          <w:p w:rsidR="006E0B7B" w:rsidRPr="006E0B7B" w:rsidRDefault="006E0B7B" w:rsidP="00C10E2F">
            <w:pPr>
              <w:pStyle w:val="Tabletext"/>
              <w:tabs>
                <w:tab w:val="decimal" w:pos="459"/>
              </w:tabs>
              <w:jc w:val="both"/>
            </w:pPr>
            <w:r w:rsidRPr="006E0B7B">
              <w:t>4</w:t>
            </w:r>
            <w:r>
              <w:t xml:space="preserve"> </w:t>
            </w:r>
            <w:r w:rsidRPr="006E0B7B">
              <w:t>187</w:t>
            </w:r>
          </w:p>
        </w:tc>
      </w:tr>
      <w:tr w:rsidR="006E0B7B" w:rsidTr="006E0B7B">
        <w:tc>
          <w:tcPr>
            <w:tcW w:w="1809" w:type="dxa"/>
          </w:tcPr>
          <w:p w:rsidR="006E0B7B" w:rsidRPr="006E0B7B" w:rsidRDefault="006E0B7B" w:rsidP="006E0B7B">
            <w:pPr>
              <w:pStyle w:val="Tabletext"/>
            </w:pPr>
            <w:r w:rsidRPr="006E0B7B">
              <w:t>HLT43015</w:t>
            </w:r>
          </w:p>
        </w:tc>
        <w:tc>
          <w:tcPr>
            <w:tcW w:w="3686" w:type="dxa"/>
          </w:tcPr>
          <w:p w:rsidR="006E0B7B" w:rsidRPr="006E0B7B" w:rsidRDefault="006E0B7B" w:rsidP="006E0B7B">
            <w:pPr>
              <w:pStyle w:val="Tabletext"/>
            </w:pPr>
            <w:r w:rsidRPr="006E0B7B">
              <w:t>Certificate IV in Allied Health Assistance</w:t>
            </w:r>
          </w:p>
        </w:tc>
        <w:tc>
          <w:tcPr>
            <w:tcW w:w="1417" w:type="dxa"/>
          </w:tcPr>
          <w:p w:rsidR="006E0B7B" w:rsidRPr="006E0B7B" w:rsidRDefault="006E0B7B" w:rsidP="00C10E2F">
            <w:pPr>
              <w:pStyle w:val="Tabletext"/>
              <w:jc w:val="center"/>
            </w:pPr>
            <w:r w:rsidRPr="006E0B7B">
              <w:t>423314</w:t>
            </w:r>
          </w:p>
        </w:tc>
        <w:tc>
          <w:tcPr>
            <w:tcW w:w="1241" w:type="dxa"/>
          </w:tcPr>
          <w:p w:rsidR="006E0B7B" w:rsidRPr="006E0B7B" w:rsidRDefault="006E0B7B" w:rsidP="00C10E2F">
            <w:pPr>
              <w:pStyle w:val="Tabletext"/>
              <w:tabs>
                <w:tab w:val="decimal" w:pos="459"/>
              </w:tabs>
              <w:jc w:val="both"/>
            </w:pPr>
            <w:r w:rsidRPr="006E0B7B">
              <w:t>6</w:t>
            </w:r>
            <w:r>
              <w:t xml:space="preserve"> </w:t>
            </w:r>
            <w:r w:rsidRPr="006E0B7B">
              <w:t>065</w:t>
            </w:r>
          </w:p>
        </w:tc>
      </w:tr>
      <w:tr w:rsidR="006E0B7B" w:rsidTr="006E0B7B">
        <w:tc>
          <w:tcPr>
            <w:tcW w:w="1809" w:type="dxa"/>
          </w:tcPr>
          <w:p w:rsidR="006E0B7B" w:rsidRPr="006E0B7B" w:rsidRDefault="006E0B7B" w:rsidP="006E0B7B">
            <w:pPr>
              <w:pStyle w:val="Tabletext"/>
            </w:pPr>
            <w:r w:rsidRPr="006E0B7B">
              <w:t>HLT45015</w:t>
            </w:r>
          </w:p>
        </w:tc>
        <w:tc>
          <w:tcPr>
            <w:tcW w:w="3686" w:type="dxa"/>
          </w:tcPr>
          <w:p w:rsidR="006E0B7B" w:rsidRPr="006E0B7B" w:rsidRDefault="006E0B7B" w:rsidP="006E0B7B">
            <w:pPr>
              <w:pStyle w:val="Tabletext"/>
            </w:pPr>
            <w:r w:rsidRPr="006E0B7B">
              <w:t>Certificate IV in Dental Assisting</w:t>
            </w:r>
          </w:p>
        </w:tc>
        <w:tc>
          <w:tcPr>
            <w:tcW w:w="1417" w:type="dxa"/>
          </w:tcPr>
          <w:p w:rsidR="006E0B7B" w:rsidRPr="006E0B7B" w:rsidRDefault="006E0B7B" w:rsidP="00C10E2F">
            <w:pPr>
              <w:pStyle w:val="Tabletext"/>
              <w:jc w:val="center"/>
            </w:pPr>
            <w:r w:rsidRPr="006E0B7B">
              <w:t>423211</w:t>
            </w:r>
          </w:p>
        </w:tc>
        <w:tc>
          <w:tcPr>
            <w:tcW w:w="1241" w:type="dxa"/>
          </w:tcPr>
          <w:p w:rsidR="006E0B7B" w:rsidRPr="006E0B7B" w:rsidRDefault="006E0B7B" w:rsidP="00C10E2F">
            <w:pPr>
              <w:pStyle w:val="Tabletext"/>
              <w:tabs>
                <w:tab w:val="decimal" w:pos="765"/>
              </w:tabs>
              <w:jc w:val="both"/>
            </w:pPr>
            <w:r w:rsidRPr="006E0B7B">
              <w:t>836</w:t>
            </w:r>
          </w:p>
        </w:tc>
      </w:tr>
    </w:tbl>
    <w:p w:rsidR="004A7C3D" w:rsidRDefault="004A7C3D" w:rsidP="00C930FB">
      <w:pPr>
        <w:pStyle w:val="Source"/>
      </w:pPr>
      <w:r>
        <w:t xml:space="preserve">Source: </w:t>
      </w:r>
      <w:r w:rsidR="00C930FB">
        <w:t>A</w:t>
      </w:r>
      <w:r w:rsidR="00390066">
        <w:t xml:space="preserve">uthors’ analysis based </w:t>
      </w:r>
      <w:r w:rsidR="00C930FB">
        <w:t>on data from the</w:t>
      </w:r>
      <w:r w:rsidR="00390066">
        <w:t xml:space="preserve"> Department of Education and Training and NCVER collections</w:t>
      </w:r>
      <w:r w:rsidR="00A445BD">
        <w:t>.</w:t>
      </w:r>
    </w:p>
    <w:p w:rsidR="00197855" w:rsidRDefault="00C930FB" w:rsidP="004B1F8A">
      <w:pPr>
        <w:pStyle w:val="Text"/>
      </w:pPr>
      <w:r>
        <w:t>A</w:t>
      </w:r>
      <w:r w:rsidR="000C2D6E">
        <w:t xml:space="preserve">ny practical application of such a model </w:t>
      </w:r>
      <w:r w:rsidR="00A445BD">
        <w:t>would</w:t>
      </w:r>
      <w:r w:rsidR="000C2D6E">
        <w:t xml:space="preserve"> </w:t>
      </w:r>
      <w:r w:rsidR="0014564C">
        <w:t>necessarily involve</w:t>
      </w:r>
      <w:r w:rsidR="000C2D6E">
        <w:t xml:space="preserve"> extensive industry and user </w:t>
      </w:r>
      <w:r w:rsidR="00A445BD">
        <w:t>negotiations</w:t>
      </w:r>
      <w:r w:rsidR="00197855">
        <w:t xml:space="preserve">, especially </w:t>
      </w:r>
      <w:r w:rsidR="008C0CD0">
        <w:t xml:space="preserve">in cases </w:t>
      </w:r>
      <w:r w:rsidR="0014564C">
        <w:t>where</w:t>
      </w:r>
      <w:r w:rsidR="008C0CD0">
        <w:t xml:space="preserve"> the qualifications may come f</w:t>
      </w:r>
      <w:r w:rsidR="004B1F8A">
        <w:t xml:space="preserve">rom different training packages. </w:t>
      </w:r>
    </w:p>
    <w:p w:rsidR="008C0CD0" w:rsidRDefault="004B1F8A" w:rsidP="004B1F8A">
      <w:pPr>
        <w:pStyle w:val="Text"/>
      </w:pPr>
      <w:r>
        <w:t xml:space="preserve">The </w:t>
      </w:r>
      <w:r w:rsidR="00545D87">
        <w:t>‘</w:t>
      </w:r>
      <w:r>
        <w:t>vocational streams</w:t>
      </w:r>
      <w:r w:rsidR="00197855">
        <w:t>’</w:t>
      </w:r>
      <w:r>
        <w:t xml:space="preserve"> approach may </w:t>
      </w:r>
      <w:r w:rsidR="003D77F9">
        <w:t xml:space="preserve">however </w:t>
      </w:r>
      <w:r>
        <w:t xml:space="preserve">be more suited to </w:t>
      </w:r>
      <w:r w:rsidR="00545D87">
        <w:t xml:space="preserve">more conceptual and theory-driven </w:t>
      </w:r>
      <w:r>
        <w:t>qualifications (</w:t>
      </w:r>
      <w:r w:rsidR="00197855">
        <w:t>more typically in</w:t>
      </w:r>
      <w:r w:rsidR="0014564C">
        <w:t xml:space="preserve"> higher-</w:t>
      </w:r>
      <w:r>
        <w:t xml:space="preserve">level </w:t>
      </w:r>
      <w:r w:rsidR="00197855">
        <w:t xml:space="preserve">AQF </w:t>
      </w:r>
      <w:r>
        <w:t xml:space="preserve">qualifications) rather than </w:t>
      </w:r>
      <w:r w:rsidR="00545D87">
        <w:t xml:space="preserve">to </w:t>
      </w:r>
      <w:r>
        <w:t xml:space="preserve">qualifications linked to regulated or licensed occupations </w:t>
      </w:r>
      <w:r w:rsidR="0014564C">
        <w:t>with</w:t>
      </w:r>
      <w:r>
        <w:t xml:space="preserve"> </w:t>
      </w:r>
      <w:r w:rsidR="00197855">
        <w:t xml:space="preserve">highly </w:t>
      </w:r>
      <w:r>
        <w:t xml:space="preserve">specific </w:t>
      </w:r>
      <w:r w:rsidR="00197855">
        <w:t xml:space="preserve">technical </w:t>
      </w:r>
      <w:r>
        <w:t>requirements.</w:t>
      </w:r>
      <w:r w:rsidR="008C0CD0">
        <w:br w:type="page"/>
      </w:r>
    </w:p>
    <w:p w:rsidR="00250642" w:rsidRDefault="00510A67" w:rsidP="008C0CD0">
      <w:pPr>
        <w:pStyle w:val="Heading1"/>
      </w:pPr>
      <w:bookmarkStart w:id="74" w:name="_Toc465162163"/>
      <w:r w:rsidRPr="00510A67">
        <w:rPr>
          <w:noProof/>
          <w:lang w:eastAsia="en-AU"/>
        </w:rPr>
        <w:lastRenderedPageBreak/>
        <w:drawing>
          <wp:anchor distT="0" distB="0" distL="114300" distR="114300" simplePos="0" relativeHeight="252030976" behindDoc="1" locked="0" layoutInCell="1" allowOverlap="1" wp14:anchorId="1B4619F5" wp14:editId="6B5E997A">
            <wp:simplePos x="0" y="0"/>
            <wp:positionH relativeFrom="column">
              <wp:posOffset>-42367</wp:posOffset>
            </wp:positionH>
            <wp:positionV relativeFrom="paragraph">
              <wp:posOffset>-30203</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TargetWithArrowFindings_CorpBlue.em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7273">
        <w:t>Conclusions</w:t>
      </w:r>
      <w:bookmarkEnd w:id="74"/>
    </w:p>
    <w:p w:rsidR="00765E97" w:rsidRDefault="00765E97" w:rsidP="00C348B5">
      <w:pPr>
        <w:pStyle w:val="Text"/>
      </w:pPr>
      <w:r>
        <w:t xml:space="preserve">In this </w:t>
      </w:r>
      <w:r w:rsidR="000C37F3">
        <w:t>report</w:t>
      </w:r>
      <w:r w:rsidR="000D6884">
        <w:t>,</w:t>
      </w:r>
      <w:r>
        <w:t xml:space="preserve"> we analysed the </w:t>
      </w:r>
      <w:r w:rsidR="00506A15">
        <w:t>uptake and availability of t</w:t>
      </w:r>
      <w:r>
        <w:t xml:space="preserve">raining </w:t>
      </w:r>
      <w:r w:rsidR="00506A15">
        <w:t>p</w:t>
      </w:r>
      <w:r>
        <w:t xml:space="preserve">ackage qualifications by </w:t>
      </w:r>
      <w:r w:rsidR="00506A15">
        <w:t>linking</w:t>
      </w:r>
      <w:r>
        <w:t xml:space="preserve"> NCVER data on </w:t>
      </w:r>
      <w:r w:rsidR="00506A15">
        <w:t>t</w:t>
      </w:r>
      <w:r>
        <w:t xml:space="preserve">otal VET </w:t>
      </w:r>
      <w:r w:rsidR="00506A15">
        <w:t>a</w:t>
      </w:r>
      <w:r>
        <w:t xml:space="preserve">ctivity </w:t>
      </w:r>
      <w:r w:rsidR="003D77F9">
        <w:t>to</w:t>
      </w:r>
      <w:r>
        <w:t xml:space="preserve"> information on current and superseded qualifications on the </w:t>
      </w:r>
      <w:r w:rsidRPr="00FF674A">
        <w:t>training.gov.au</w:t>
      </w:r>
      <w:r w:rsidR="00FF674A">
        <w:t xml:space="preserve"> register. Our aims were</w:t>
      </w:r>
      <w:r>
        <w:t xml:space="preserve"> to </w:t>
      </w:r>
      <w:r w:rsidR="00FF674A">
        <w:t>make available to</w:t>
      </w:r>
      <w:r>
        <w:t xml:space="preserve"> the sector </w:t>
      </w:r>
      <w:r w:rsidR="00506A15">
        <w:t>the quantum and nature of training activ</w:t>
      </w:r>
      <w:r w:rsidR="000D6884">
        <w:t>ity in training packages and to</w:t>
      </w:r>
      <w:r w:rsidR="00E41CBF">
        <w:t xml:space="preserve"> </w:t>
      </w:r>
      <w:r w:rsidR="00506A15">
        <w:t xml:space="preserve">inform </w:t>
      </w:r>
      <w:r w:rsidR="003D77F9">
        <w:t xml:space="preserve">the </w:t>
      </w:r>
      <w:r w:rsidR="00A445BD">
        <w:t>ongoing</w:t>
      </w:r>
      <w:r w:rsidR="00CF4E92">
        <w:t xml:space="preserve"> </w:t>
      </w:r>
      <w:r w:rsidR="00A445BD">
        <w:t>reform</w:t>
      </w:r>
      <w:r w:rsidR="00E41CBF">
        <w:t xml:space="preserve"> directions </w:t>
      </w:r>
      <w:r w:rsidR="00CF4E92">
        <w:t>in</w:t>
      </w:r>
      <w:r w:rsidR="00E41CBF">
        <w:t xml:space="preserve"> the national VET</w:t>
      </w:r>
      <w:r w:rsidR="00506A15">
        <w:t xml:space="preserve"> system.</w:t>
      </w:r>
      <w:r>
        <w:t xml:space="preserve"> </w:t>
      </w:r>
    </w:p>
    <w:p w:rsidR="0012228C" w:rsidRDefault="000D6884" w:rsidP="00506A15">
      <w:pPr>
        <w:pStyle w:val="Text"/>
      </w:pPr>
      <w:r>
        <w:t xml:space="preserve">Our focus </w:t>
      </w:r>
      <w:r w:rsidR="00FF674A">
        <w:t>was</w:t>
      </w:r>
      <w:r w:rsidR="0012228C">
        <w:t xml:space="preserve"> on enrolments in </w:t>
      </w:r>
      <w:r w:rsidR="00FF674A">
        <w:t>training package qualifications, these being</w:t>
      </w:r>
      <w:r w:rsidR="0012228C">
        <w:t xml:space="preserve"> a substantial proportion of the training activity in the sector. </w:t>
      </w:r>
      <w:r w:rsidR="00FF674A">
        <w:t>In 2015, t</w:t>
      </w:r>
      <w:r w:rsidR="0012228C">
        <w:t>here were 2.7 million enrolments in training package qualifications</w:t>
      </w:r>
      <w:r w:rsidR="00FF674A">
        <w:t>,</w:t>
      </w:r>
      <w:r w:rsidR="00A445BD">
        <w:t xml:space="preserve"> </w:t>
      </w:r>
      <w:r w:rsidR="00FF674A">
        <w:t>representing</w:t>
      </w:r>
      <w:r w:rsidR="00A445BD">
        <w:t xml:space="preserve"> over 77%</w:t>
      </w:r>
      <w:r w:rsidR="0012228C">
        <w:t xml:space="preserve"> of the 3.5 million program enrolments overall.</w:t>
      </w:r>
      <w:r w:rsidR="0095734E" w:rsidRPr="0095734E">
        <w:rPr>
          <w:noProof/>
          <w:lang w:eastAsia="en-AU"/>
        </w:rPr>
        <w:t xml:space="preserve"> </w:t>
      </w:r>
      <w:r w:rsidR="0095734E">
        <w:rPr>
          <w:noProof/>
          <w:lang w:eastAsia="en-AU"/>
        </w:rPr>
        <mc:AlternateContent>
          <mc:Choice Requires="wps">
            <w:drawing>
              <wp:anchor distT="0" distB="0" distL="114300" distR="114300" simplePos="0" relativeHeight="252056576" behindDoc="0" locked="1" layoutInCell="1" allowOverlap="1" wp14:anchorId="2732D67B" wp14:editId="645AFB95">
                <wp:simplePos x="0" y="0"/>
                <wp:positionH relativeFrom="outsideMargin">
                  <wp:posOffset>117475</wp:posOffset>
                </wp:positionH>
                <wp:positionV relativeFrom="page">
                  <wp:posOffset>777875</wp:posOffset>
                </wp:positionV>
                <wp:extent cx="1320800" cy="1895475"/>
                <wp:effectExtent l="0" t="0" r="0" b="0"/>
                <wp:wrapNone/>
                <wp:docPr id="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8954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83E4B" w:rsidRPr="00543BFF" w:rsidRDefault="00883E4B" w:rsidP="0095734E">
                            <w:pPr>
                              <w:pStyle w:val="PullQuote"/>
                            </w:pPr>
                            <w:r>
                              <w:t>Further years of total VET activity data will allow more comprehensive analysis of qualifications over their whole life.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9.25pt;margin-top:61.25pt;width:104pt;height:149.25pt;z-index:2520565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" filled="f" stroked="f" strokeweight=".5pt">
                <v:shadow on="t" type="perspective" color="black" opacity="9830f" origin=",.5" offset="0,25pt" matrix="58982f,,,-12452f"/>
                <v:path arrowok="t"/>
                <v:textbox inset="10mm">
                  <w:txbxContent>
                    <w:p w:rsidR="00883E4B" w:rsidRPr="00543BFF" w:rsidRDefault="00883E4B" w:rsidP="0095734E">
                      <w:pPr>
                        <w:pStyle w:val="PullQuote"/>
                      </w:pPr>
                      <w:r>
                        <w:t>Further years of total VET activity data will allow more comprehensive analysis of qualifications over their whole life.</w:t>
                      </w:r>
                    </w:p>
                  </w:txbxContent>
                </v:textbox>
                <w10:wrap anchorx="margin" anchory="page"/>
                <w10:anchorlock/>
              </v:shape>
            </w:pict>
          </mc:Fallback>
        </mc:AlternateContent>
      </w:r>
    </w:p>
    <w:p w:rsidR="0012228C" w:rsidRDefault="0012228C" w:rsidP="00506A15">
      <w:pPr>
        <w:pStyle w:val="Text"/>
      </w:pPr>
      <w:r>
        <w:t xml:space="preserve">The spread of these 2.7 million enrolments across the approximately 1600 </w:t>
      </w:r>
      <w:r w:rsidR="00214DFC">
        <w:t>‘</w:t>
      </w:r>
      <w:r>
        <w:t>in use</w:t>
      </w:r>
      <w:r w:rsidR="00214DFC">
        <w:t>’</w:t>
      </w:r>
      <w:r>
        <w:t xml:space="preserve"> qualifications </w:t>
      </w:r>
      <w:r w:rsidR="00E41CBF">
        <w:t xml:space="preserve">in </w:t>
      </w:r>
      <w:r>
        <w:t xml:space="preserve">training packages, however, is not even. A </w:t>
      </w:r>
      <w:r w:rsidR="00E41CBF">
        <w:t>majority of</w:t>
      </w:r>
      <w:r>
        <w:t xml:space="preserve"> enrolments are concentrated in </w:t>
      </w:r>
      <w:r w:rsidR="00675ECC">
        <w:t>relative</w:t>
      </w:r>
      <w:r w:rsidR="00CF4E92">
        <w:t>ly</w:t>
      </w:r>
      <w:r w:rsidR="001B55B3">
        <w:t xml:space="preserve"> few of the </w:t>
      </w:r>
      <w:r>
        <w:t xml:space="preserve">qualifications and </w:t>
      </w:r>
      <w:r w:rsidR="000D6884">
        <w:t xml:space="preserve">training </w:t>
      </w:r>
      <w:r>
        <w:t>packages.</w:t>
      </w:r>
    </w:p>
    <w:p w:rsidR="0012228C" w:rsidRDefault="00CF4E92" w:rsidP="0012228C">
      <w:pPr>
        <w:pStyle w:val="Text"/>
      </w:pPr>
      <w:r>
        <w:t>Twenty</w:t>
      </w:r>
      <w:r w:rsidR="0012228C">
        <w:t xml:space="preserve"> </w:t>
      </w:r>
      <w:r w:rsidR="000D6884">
        <w:t xml:space="preserve">training </w:t>
      </w:r>
      <w:r w:rsidR="0012228C">
        <w:t xml:space="preserve">packages </w:t>
      </w:r>
      <w:r w:rsidR="00675ECC">
        <w:t>supported</w:t>
      </w:r>
      <w:r w:rsidR="0012228C">
        <w:t xml:space="preserve"> 90% of the enrolments</w:t>
      </w:r>
      <w:r w:rsidR="00675ECC">
        <w:t>,</w:t>
      </w:r>
      <w:r w:rsidR="0012228C">
        <w:t xml:space="preserve"> with the remaining enrolments spread across approximately 60 other </w:t>
      </w:r>
      <w:r w:rsidR="000D6884">
        <w:t xml:space="preserve">training </w:t>
      </w:r>
      <w:r w:rsidR="0012228C">
        <w:t>packa</w:t>
      </w:r>
      <w:r>
        <w:t>ges, while</w:t>
      </w:r>
      <w:r w:rsidR="0012228C">
        <w:t xml:space="preserve"> </w:t>
      </w:r>
      <w:r w:rsidR="00FF3567">
        <w:t xml:space="preserve">128 qualifications </w:t>
      </w:r>
      <w:r>
        <w:t>accounted for</w:t>
      </w:r>
      <w:r w:rsidR="00FF3567">
        <w:t xml:space="preserve"> 75% of the enrolments</w:t>
      </w:r>
      <w:r w:rsidR="00675ECC">
        <w:t>,</w:t>
      </w:r>
      <w:r w:rsidR="00FF3567">
        <w:t xml:space="preserve"> with the remaining enrol</w:t>
      </w:r>
      <w:r w:rsidR="00A445BD">
        <w:t>ments spread across more than 1</w:t>
      </w:r>
      <w:r w:rsidR="00FF3567">
        <w:t>500 other qualifications.</w:t>
      </w:r>
    </w:p>
    <w:p w:rsidR="00765E97" w:rsidRDefault="00FF3567" w:rsidP="00FF3567">
      <w:pPr>
        <w:pStyle w:val="Text"/>
      </w:pPr>
      <w:r>
        <w:t xml:space="preserve">At the other extreme, 19 </w:t>
      </w:r>
      <w:r w:rsidR="000D6884">
        <w:t xml:space="preserve">training </w:t>
      </w:r>
      <w:r>
        <w:t xml:space="preserve">packages </w:t>
      </w:r>
      <w:r w:rsidR="00675ECC">
        <w:t xml:space="preserve">supported </w:t>
      </w:r>
      <w:r>
        <w:t xml:space="preserve">fewer than 100 enrolments and 26 </w:t>
      </w:r>
      <w:r w:rsidR="000D6884">
        <w:t xml:space="preserve">training </w:t>
      </w:r>
      <w:r>
        <w:t>packages fewer th</w:t>
      </w:r>
      <w:r w:rsidR="00CF4E92">
        <w:t>an 1000 enrolments. Seventy-five per cent</w:t>
      </w:r>
      <w:r>
        <w:t xml:space="preserve"> of qualifications had</w:t>
      </w:r>
      <w:r w:rsidR="00675ECC">
        <w:t xml:space="preserve"> </w:t>
      </w:r>
      <w:r w:rsidR="001B55B3">
        <w:t xml:space="preserve">a combined total of </w:t>
      </w:r>
      <w:r w:rsidR="00675ECC">
        <w:t>fewer than 125 000 enrolments —</w:t>
      </w:r>
      <w:r>
        <w:t xml:space="preserve"> more than 20 </w:t>
      </w:r>
      <w:r w:rsidR="00A445BD">
        <w:t>times fewer than the 25%</w:t>
      </w:r>
      <w:r w:rsidR="00645365">
        <w:t xml:space="preserve"> of qualifications</w:t>
      </w:r>
      <w:r w:rsidR="00A445BD">
        <w:t xml:space="preserve"> </w:t>
      </w:r>
      <w:r w:rsidR="00CF4E92">
        <w:t xml:space="preserve">carrying the bulk </w:t>
      </w:r>
      <w:r>
        <w:t xml:space="preserve">of </w:t>
      </w:r>
      <w:r w:rsidR="00CF4E92">
        <w:t xml:space="preserve">the </w:t>
      </w:r>
      <w:r w:rsidR="004B5908">
        <w:t>enrolments</w:t>
      </w:r>
      <w:r w:rsidR="00CF4E92">
        <w:t>;</w:t>
      </w:r>
      <w:r w:rsidR="00675ECC">
        <w:rPr>
          <w:color w:val="000000"/>
          <w:lang w:eastAsia="en-AU"/>
        </w:rPr>
        <w:t xml:space="preserve"> 25%</w:t>
      </w:r>
      <w:r>
        <w:rPr>
          <w:color w:val="000000"/>
          <w:lang w:eastAsia="en-AU"/>
        </w:rPr>
        <w:t xml:space="preserve"> of qualifications only had 116 enrolments.</w:t>
      </w:r>
      <w:r w:rsidR="00765E97">
        <w:t xml:space="preserve"> </w:t>
      </w:r>
    </w:p>
    <w:p w:rsidR="00765E97" w:rsidRDefault="008B5651" w:rsidP="0012228C">
      <w:pPr>
        <w:pStyle w:val="Text"/>
      </w:pPr>
      <w:r>
        <w:t>Wi</w:t>
      </w:r>
      <w:r w:rsidR="00675ECC">
        <w:t>th regard</w:t>
      </w:r>
      <w:r>
        <w:t xml:space="preserve"> to the uti</w:t>
      </w:r>
      <w:r w:rsidR="000D6884">
        <w:t xml:space="preserve">lity of qualifications, the </w:t>
      </w:r>
      <w:r>
        <w:t xml:space="preserve">data available </w:t>
      </w:r>
      <w:r w:rsidR="00675ECC">
        <w:t>(2014 and 2015) limit</w:t>
      </w:r>
      <w:r w:rsidR="00765E97">
        <w:t xml:space="preserve"> </w:t>
      </w:r>
      <w:r w:rsidR="00675ECC">
        <w:t xml:space="preserve">the </w:t>
      </w:r>
      <w:r w:rsidR="00765E97">
        <w:t xml:space="preserve">conclusions </w:t>
      </w:r>
      <w:r w:rsidR="00675ECC">
        <w:t>that can be made, although</w:t>
      </w:r>
      <w:r w:rsidR="00765E97">
        <w:t xml:space="preserve"> further years of collecting information on </w:t>
      </w:r>
      <w:r>
        <w:t>TVA</w:t>
      </w:r>
      <w:r w:rsidR="00765E97">
        <w:t xml:space="preserve"> will </w:t>
      </w:r>
      <w:r w:rsidR="00675ECC">
        <w:t>enable</w:t>
      </w:r>
      <w:r w:rsidR="00765E97">
        <w:t xml:space="preserve"> us to track the total enrolments in qualifications across their life</w:t>
      </w:r>
      <w:r w:rsidR="00A445BD">
        <w:t xml:space="preserve"> cycle</w:t>
      </w:r>
      <w:r w:rsidR="00765E97">
        <w:t xml:space="preserve">, thus </w:t>
      </w:r>
      <w:r w:rsidR="00B64403">
        <w:t xml:space="preserve">providing </w:t>
      </w:r>
      <w:r w:rsidR="00765E97">
        <w:t>further insight into which qualifications are being used and which sections of the labour m</w:t>
      </w:r>
      <w:r w:rsidR="00675ECC">
        <w:t>arket make</w:t>
      </w:r>
      <w:r w:rsidR="00DC52CB">
        <w:t xml:space="preserve"> most use of them.</w:t>
      </w:r>
    </w:p>
    <w:p w:rsidR="00765E97" w:rsidRDefault="00C348B5" w:rsidP="00C348B5">
      <w:pPr>
        <w:pStyle w:val="Text"/>
      </w:pPr>
      <w:r>
        <w:t>Whil</w:t>
      </w:r>
      <w:r w:rsidR="00675ECC">
        <w:t>e</w:t>
      </w:r>
      <w:r>
        <w:t xml:space="preserve"> this report identified the extent of enrolments with low qualifications, further research </w:t>
      </w:r>
      <w:r w:rsidR="00675ECC">
        <w:t xml:space="preserve">is needed </w:t>
      </w:r>
      <w:r>
        <w:t xml:space="preserve">to investigate the reasons </w:t>
      </w:r>
      <w:r w:rsidR="00675ECC">
        <w:t>for</w:t>
      </w:r>
      <w:r>
        <w:t xml:space="preserve"> these enrolment patterns. For example, these qualifications may no longer meet the ne</w:t>
      </w:r>
      <w:r w:rsidR="00675ECC">
        <w:t>eds of students and employers —</w:t>
      </w:r>
      <w:r w:rsidR="00CF4E92">
        <w:t xml:space="preserve"> </w:t>
      </w:r>
      <w:r>
        <w:t xml:space="preserve">their training needs </w:t>
      </w:r>
      <w:r w:rsidR="00CF4E92">
        <w:t xml:space="preserve">may be being met </w:t>
      </w:r>
      <w:r>
        <w:t xml:space="preserve">outside the </w:t>
      </w:r>
      <w:r w:rsidR="00B64403">
        <w:t xml:space="preserve">formal </w:t>
      </w:r>
      <w:r w:rsidR="00140808">
        <w:t>training system.</w:t>
      </w:r>
      <w:r>
        <w:t xml:space="preserve"> </w:t>
      </w:r>
      <w:r w:rsidR="00D37C54">
        <w:t>A further explanation might be that these</w:t>
      </w:r>
      <w:r w:rsidR="00140808">
        <w:t xml:space="preserve"> qualifications </w:t>
      </w:r>
      <w:r w:rsidR="00D37C54">
        <w:t>are</w:t>
      </w:r>
      <w:r>
        <w:t xml:space="preserve"> </w:t>
      </w:r>
      <w:r w:rsidR="008B5651">
        <w:t xml:space="preserve">valued </w:t>
      </w:r>
      <w:r w:rsidR="00B64403">
        <w:t xml:space="preserve">formal </w:t>
      </w:r>
      <w:r>
        <w:t>qualifications for a very small proportion of the labour force.</w:t>
      </w:r>
      <w:r w:rsidR="006355FC">
        <w:t xml:space="preserve"> </w:t>
      </w:r>
    </w:p>
    <w:p w:rsidR="00167AF9" w:rsidRDefault="00167AF9" w:rsidP="00765E97">
      <w:pPr>
        <w:pStyle w:val="Text"/>
      </w:pPr>
      <w:r>
        <w:t xml:space="preserve">One </w:t>
      </w:r>
      <w:r w:rsidR="00D37C54">
        <w:t xml:space="preserve">of the </w:t>
      </w:r>
      <w:r w:rsidR="006355FC">
        <w:t>r</w:t>
      </w:r>
      <w:r w:rsidR="00D37C54">
        <w:t xml:space="preserve">eforms identified </w:t>
      </w:r>
      <w:r w:rsidR="003D77F9">
        <w:t xml:space="preserve">by the </w:t>
      </w:r>
      <w:r w:rsidR="003D77F9">
        <w:rPr>
          <w:szCs w:val="18"/>
        </w:rPr>
        <w:t>review of training packages and accredited courses (Department of Industry 2014)</w:t>
      </w:r>
      <w:r w:rsidR="003D77F9">
        <w:t xml:space="preserve"> </w:t>
      </w:r>
      <w:r w:rsidR="006355FC">
        <w:t xml:space="preserve">is the </w:t>
      </w:r>
      <w:r>
        <w:t>remov</w:t>
      </w:r>
      <w:r w:rsidR="00B64403">
        <w:t>al of</w:t>
      </w:r>
      <w:r>
        <w:t xml:space="preserve"> obsolet</w:t>
      </w:r>
      <w:r w:rsidR="00D37C54">
        <w:t>e or superfluous qualifications, the aim being t</w:t>
      </w:r>
      <w:r>
        <w:t>o make it easier for students and employers to engage with the system. Th</w:t>
      </w:r>
      <w:r w:rsidR="00D37C54">
        <w:t>e</w:t>
      </w:r>
      <w:r>
        <w:t xml:space="preserve"> analysis </w:t>
      </w:r>
      <w:r w:rsidR="00D37C54">
        <w:t>given in this report addresses this reform</w:t>
      </w:r>
      <w:r>
        <w:t xml:space="preserve"> </w:t>
      </w:r>
      <w:r w:rsidR="00D37C54">
        <w:t>through its investigation of</w:t>
      </w:r>
      <w:r>
        <w:t xml:space="preserve"> superseded qualifications and the extent of qualifications with low or zero enrolments.</w:t>
      </w:r>
    </w:p>
    <w:p w:rsidR="00765E97" w:rsidRDefault="00765E97" w:rsidP="00765E97">
      <w:pPr>
        <w:pStyle w:val="Text"/>
      </w:pPr>
      <w:r>
        <w:t>Our findings show that</w:t>
      </w:r>
      <w:r w:rsidR="00D37C54">
        <w:t>,</w:t>
      </w:r>
      <w:r>
        <w:t xml:space="preserve"> although </w:t>
      </w:r>
      <w:r w:rsidR="00B64403">
        <w:t xml:space="preserve">(in 2015) </w:t>
      </w:r>
      <w:r w:rsidR="00D37C54">
        <w:t>superseded qualifications attracted</w:t>
      </w:r>
      <w:r>
        <w:t xml:space="preserve"> a substantial percentage of enrolments (around 40%)</w:t>
      </w:r>
      <w:proofErr w:type="gramStart"/>
      <w:r w:rsidR="00D37C54">
        <w:t>,</w:t>
      </w:r>
      <w:proofErr w:type="gramEnd"/>
      <w:r>
        <w:t xml:space="preserve"> almost all of </w:t>
      </w:r>
      <w:r w:rsidR="00D37C54">
        <w:t>these</w:t>
      </w:r>
      <w:r>
        <w:t xml:space="preserve"> </w:t>
      </w:r>
      <w:r w:rsidR="00D37C54">
        <w:t>enrolments are</w:t>
      </w:r>
      <w:r>
        <w:t xml:space="preserve"> in qualifications related to a current qualification. This means that the number of ‘genuinely’ superseded </w:t>
      </w:r>
      <w:r>
        <w:lastRenderedPageBreak/>
        <w:t>qualifications in use is comparatively low. Nevertheless</w:t>
      </w:r>
      <w:r w:rsidR="000D6884">
        <w:t>,</w:t>
      </w:r>
      <w:r>
        <w:t xml:space="preserve"> the apparent enrolments in qualifications that have been superseded more than once</w:t>
      </w:r>
      <w:r w:rsidR="00D37C54">
        <w:t>,</w:t>
      </w:r>
      <w:r>
        <w:t xml:space="preserve"> according to information on the national register</w:t>
      </w:r>
      <w:r w:rsidR="00D37C54">
        <w:t>,</w:t>
      </w:r>
      <w:r>
        <w:t xml:space="preserve"> warrants further inv</w:t>
      </w:r>
      <w:r w:rsidR="00167AF9">
        <w:t>estigation.</w:t>
      </w:r>
    </w:p>
    <w:p w:rsidR="006947E4" w:rsidRPr="002B5A47" w:rsidRDefault="00A445BD" w:rsidP="002B5A47">
      <w:pPr>
        <w:pStyle w:val="Text"/>
      </w:pPr>
      <w:r>
        <w:t xml:space="preserve">The distribution </w:t>
      </w:r>
      <w:r w:rsidR="006947E4">
        <w:t xml:space="preserve">and prevalence of </w:t>
      </w:r>
      <w:r w:rsidR="0054258A">
        <w:t>qualifications with zero enrolments</w:t>
      </w:r>
      <w:r w:rsidR="006947E4">
        <w:t xml:space="preserve"> indicates that</w:t>
      </w:r>
      <w:r w:rsidR="00CF4E92">
        <w:t>,</w:t>
      </w:r>
      <w:r w:rsidR="006947E4">
        <w:t xml:space="preserve"> although most of the training packages have </w:t>
      </w:r>
      <w:r w:rsidR="000D6884">
        <w:t>qualifications with zero enrolments,</w:t>
      </w:r>
      <w:r w:rsidR="006947E4">
        <w:t xml:space="preserve"> the incidence is quite low, with many having fewer than 10 qualifications with zero enrolments. </w:t>
      </w:r>
      <w:r w:rsidR="00C72024">
        <w:t>T</w:t>
      </w:r>
      <w:r w:rsidR="006947E4">
        <w:t xml:space="preserve">he zero enrolment </w:t>
      </w:r>
      <w:proofErr w:type="gramStart"/>
      <w:r>
        <w:t>rule</w:t>
      </w:r>
      <w:proofErr w:type="gramEnd"/>
      <w:r w:rsidR="006947E4">
        <w:t xml:space="preserve"> </w:t>
      </w:r>
      <w:r w:rsidR="00C72024">
        <w:t xml:space="preserve">could be utilised </w:t>
      </w:r>
      <w:r w:rsidR="006947E4">
        <w:t>to identify qualifications for rationalisation or removal</w:t>
      </w:r>
      <w:r w:rsidR="000D6884">
        <w:t>,</w:t>
      </w:r>
      <w:r w:rsidR="006947E4">
        <w:t xml:space="preserve"> but </w:t>
      </w:r>
      <w:r w:rsidR="00C72024">
        <w:t xml:space="preserve">final decisions on the fate of these qualifications need to be made in collaboration </w:t>
      </w:r>
      <w:r w:rsidR="006947E4">
        <w:t>with indu</w:t>
      </w:r>
      <w:r w:rsidR="0095734E">
        <w:rPr>
          <w:noProof/>
          <w:lang w:eastAsia="en-AU"/>
        </w:rPr>
        <mc:AlternateContent>
          <mc:Choice Requires="wps">
            <w:drawing>
              <wp:anchor distT="0" distB="0" distL="114300" distR="114300" simplePos="0" relativeHeight="252058624" behindDoc="0" locked="1" layoutInCell="1" allowOverlap="1" wp14:anchorId="1172673C" wp14:editId="6CEF360C">
                <wp:simplePos x="0" y="0"/>
                <wp:positionH relativeFrom="outsideMargin">
                  <wp:posOffset>171450</wp:posOffset>
                </wp:positionH>
                <wp:positionV relativeFrom="page">
                  <wp:posOffset>787400</wp:posOffset>
                </wp:positionV>
                <wp:extent cx="1320800" cy="1895475"/>
                <wp:effectExtent l="0" t="0" r="0" b="0"/>
                <wp:wrapNone/>
                <wp:docPr id="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8954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83E4B" w:rsidRPr="00543BFF" w:rsidRDefault="00883E4B" w:rsidP="0095734E">
                            <w:pPr>
                              <w:pStyle w:val="PullQuote"/>
                            </w:pPr>
                            <w:r w:rsidRPr="0095734E">
                              <w:t>Students will need to be</w:t>
                            </w:r>
                            <w:r>
                              <w:t xml:space="preserve"> </w:t>
                            </w:r>
                            <w:r w:rsidRPr="0095734E">
                              <w:t>transitioned quickly if qualifications are updated more frequently.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3.5pt;margin-top:62pt;width:104pt;height:149.25pt;z-index:2520586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" filled="f" stroked="f" strokeweight=".5pt">
                <v:shadow on="t" type="perspective" color="black" opacity="9830f" origin=",.5" offset="0,25pt" matrix="58982f,,,-12452f"/>
                <v:path arrowok="t"/>
                <v:textbox inset="10mm">
                  <w:txbxContent>
                    <w:p w:rsidR="00883E4B" w:rsidRPr="00543BFF" w:rsidRDefault="00883E4B" w:rsidP="0095734E">
                      <w:pPr>
                        <w:pStyle w:val="PullQuote"/>
                      </w:pPr>
                      <w:r w:rsidRPr="0095734E">
                        <w:t>Students will need to be</w:t>
                      </w:r>
                      <w:r>
                        <w:t xml:space="preserve"> </w:t>
                      </w:r>
                      <w:r w:rsidRPr="0095734E">
                        <w:t>transitioned quickly if qualifications are updated more frequently.</w:t>
                      </w:r>
                    </w:p>
                  </w:txbxContent>
                </v:textbox>
                <w10:wrap anchorx="margin" anchory="page"/>
                <w10:anchorlock/>
              </v:shape>
            </w:pict>
          </mc:Fallback>
        </mc:AlternateContent>
      </w:r>
      <w:r w:rsidR="006947E4">
        <w:t>stry</w:t>
      </w:r>
      <w:r w:rsidR="00C72024">
        <w:t>,</w:t>
      </w:r>
      <w:r w:rsidR="006947E4">
        <w:t xml:space="preserve"> as well as </w:t>
      </w:r>
      <w:r w:rsidR="00C72024">
        <w:t xml:space="preserve">with </w:t>
      </w:r>
      <w:r w:rsidR="006947E4">
        <w:t>the custodians of particular</w:t>
      </w:r>
      <w:r w:rsidR="00C72024">
        <w:t xml:space="preserve"> training packages</w:t>
      </w:r>
      <w:r w:rsidR="006947E4">
        <w:t>. This approach would bo</w:t>
      </w:r>
      <w:r w:rsidR="000D6884">
        <w:t xml:space="preserve">rrow concepts from the way </w:t>
      </w:r>
      <w:r w:rsidR="003D77F9">
        <w:t xml:space="preserve">in which </w:t>
      </w:r>
      <w:r w:rsidR="006947E4">
        <w:t xml:space="preserve">the United Kingdom, New Zealand and Scotland </w:t>
      </w:r>
      <w:r w:rsidR="00C72024">
        <w:t>deal with</w:t>
      </w:r>
      <w:r w:rsidR="006947E4">
        <w:t xml:space="preserve"> the </w:t>
      </w:r>
      <w:r w:rsidR="006947E4" w:rsidRPr="002B5A47">
        <w:t>issue.</w:t>
      </w:r>
    </w:p>
    <w:p w:rsidR="00167AF9" w:rsidRDefault="00BE3AB7" w:rsidP="002B5A47">
      <w:pPr>
        <w:pStyle w:val="Text"/>
      </w:pPr>
      <w:r>
        <w:t>At t</w:t>
      </w:r>
      <w:r w:rsidR="002B5A47">
        <w:t xml:space="preserve">he </w:t>
      </w:r>
      <w:r>
        <w:t xml:space="preserve">request of the </w:t>
      </w:r>
      <w:r w:rsidR="002B5A47" w:rsidRPr="002B5A47">
        <w:t>National Training Product Reform Working Group</w:t>
      </w:r>
      <w:r>
        <w:t xml:space="preserve"> (commissioned by the </w:t>
      </w:r>
      <w:r w:rsidR="00541340">
        <w:t>Australia</w:t>
      </w:r>
      <w:r w:rsidR="003D77F9">
        <w:t>n Industry and Skills Committee</w:t>
      </w:r>
      <w:r>
        <w:t xml:space="preserve"> and the Skills Senior Officials Network),</w:t>
      </w:r>
      <w:r w:rsidR="002B5A47" w:rsidRPr="002B5A47">
        <w:t xml:space="preserve"> </w:t>
      </w:r>
      <w:r w:rsidR="002B5A47">
        <w:t>N</w:t>
      </w:r>
      <w:r w:rsidR="00167AF9" w:rsidRPr="002B5A47">
        <w:t>CVER</w:t>
      </w:r>
      <w:r w:rsidR="002B5A47">
        <w:t xml:space="preserve"> </w:t>
      </w:r>
      <w:r>
        <w:t xml:space="preserve">ran the Training Products Reform Symposium to canvass ideas </w:t>
      </w:r>
      <w:r w:rsidR="00C72024">
        <w:t>from</w:t>
      </w:r>
      <w:r>
        <w:t xml:space="preserve"> VET thought leaders. One suggestion arising from the symposium was</w:t>
      </w:r>
      <w:r w:rsidR="00167AF9" w:rsidRPr="002B5A47">
        <w:t xml:space="preserve"> that the process</w:t>
      </w:r>
      <w:r w:rsidR="00167AF9">
        <w:t xml:space="preserve"> of updating qualifications needs to be shortened</w:t>
      </w:r>
      <w:r w:rsidR="003D77F9">
        <w:t>,</w:t>
      </w:r>
      <w:r w:rsidR="00167AF9">
        <w:t xml:space="preserve"> from two or three years to six months</w:t>
      </w:r>
      <w:r w:rsidR="003D77F9">
        <w:t>,</w:t>
      </w:r>
      <w:r w:rsidR="00167AF9">
        <w:t xml:space="preserve"> to better meet industry needs</w:t>
      </w:r>
      <w:r w:rsidR="00C72024">
        <w:t>, a recommendation made by</w:t>
      </w:r>
      <w:r w:rsidR="00167AF9">
        <w:t xml:space="preserve"> Sara Caplan, CEO of </w:t>
      </w:r>
      <w:proofErr w:type="spellStart"/>
      <w:r w:rsidR="00167AF9">
        <w:t>PricewaterhouseCooper’s</w:t>
      </w:r>
      <w:proofErr w:type="spellEnd"/>
      <w:r w:rsidR="00167AF9">
        <w:t xml:space="preserve"> Skills for Australia, </w:t>
      </w:r>
      <w:r w:rsidR="00C72024">
        <w:t xml:space="preserve">in her </w:t>
      </w:r>
      <w:r w:rsidR="00CF4E92">
        <w:t>symposium essay</w:t>
      </w:r>
      <w:r w:rsidR="00C72024">
        <w:t>. Since o</w:t>
      </w:r>
      <w:r w:rsidR="00167AF9">
        <w:t>ur analysis revealed that around 40</w:t>
      </w:r>
      <w:r w:rsidR="00A445BD">
        <w:t>%</w:t>
      </w:r>
      <w:r w:rsidR="00167AF9">
        <w:t xml:space="preserve"> of enrolments were in superseded qualifications</w:t>
      </w:r>
      <w:r w:rsidR="000D6884">
        <w:t>,</w:t>
      </w:r>
      <w:r w:rsidR="00167AF9">
        <w:t xml:space="preserve"> any reform in this area will need to make provisions for </w:t>
      </w:r>
      <w:r w:rsidR="00A445BD">
        <w:t xml:space="preserve">the </w:t>
      </w:r>
      <w:r w:rsidR="00251C6F">
        <w:t xml:space="preserve">fast </w:t>
      </w:r>
      <w:r w:rsidR="00167AF9">
        <w:t>transition</w:t>
      </w:r>
      <w:r w:rsidR="00140808">
        <w:t>ing</w:t>
      </w:r>
      <w:r w:rsidR="00A445BD">
        <w:t xml:space="preserve"> of</w:t>
      </w:r>
      <w:r w:rsidR="00167AF9">
        <w:t xml:space="preserve"> students to the updated qualifications.</w:t>
      </w:r>
    </w:p>
    <w:p w:rsidR="00805D34" w:rsidRDefault="005F1DC8" w:rsidP="00251C6F">
      <w:pPr>
        <w:pStyle w:val="Text"/>
      </w:pPr>
      <w:r>
        <w:t>Alternative viewpoints</w:t>
      </w:r>
      <w:r w:rsidR="00140808">
        <w:t xml:space="preserve"> on the</w:t>
      </w:r>
      <w:r w:rsidR="00EE469F">
        <w:t xml:space="preserve"> findings</w:t>
      </w:r>
      <w:r w:rsidR="00140808">
        <w:t xml:space="preserve"> in this report</w:t>
      </w:r>
      <w:r w:rsidR="00EE469F">
        <w:t xml:space="preserve"> </w:t>
      </w:r>
      <w:r>
        <w:t>might suggest</w:t>
      </w:r>
      <w:r w:rsidR="00EE469F">
        <w:t>,</w:t>
      </w:r>
      <w:r w:rsidR="00251C6F">
        <w:t xml:space="preserve"> for example, </w:t>
      </w:r>
      <w:r w:rsidR="00EE469F">
        <w:t xml:space="preserve">that </w:t>
      </w:r>
      <w:r w:rsidR="00251C6F">
        <w:t xml:space="preserve">there </w:t>
      </w:r>
      <w:r>
        <w:t>are</w:t>
      </w:r>
      <w:r w:rsidR="00C72024">
        <w:t xml:space="preserve"> too many discre</w:t>
      </w:r>
      <w:r w:rsidR="00251C6F">
        <w:t>t</w:t>
      </w:r>
      <w:r w:rsidR="00C72024">
        <w:t>e</w:t>
      </w:r>
      <w:r w:rsidR="00251C6F">
        <w:t xml:space="preserve"> tra</w:t>
      </w:r>
      <w:r w:rsidR="00EE469F">
        <w:t xml:space="preserve">ining package qualifications, </w:t>
      </w:r>
      <w:r w:rsidR="00251C6F">
        <w:t>that training providers only market and teach narrow qualification offer</w:t>
      </w:r>
      <w:r w:rsidR="00EE469F">
        <w:t xml:space="preserve">ings, or that this distribution </w:t>
      </w:r>
      <w:r w:rsidR="00251C6F">
        <w:t>ref</w:t>
      </w:r>
      <w:r w:rsidR="00EE469F">
        <w:t>l</w:t>
      </w:r>
      <w:r w:rsidR="00251C6F">
        <w:t>ects labour market need</w:t>
      </w:r>
      <w:r w:rsidR="00EE469F">
        <w:t>s.</w:t>
      </w:r>
      <w:r w:rsidR="00251C6F">
        <w:t xml:space="preserve"> </w:t>
      </w:r>
      <w:r w:rsidR="00EE469F">
        <w:t xml:space="preserve">Nevertheless, it is </w:t>
      </w:r>
      <w:r>
        <w:t>widely</w:t>
      </w:r>
      <w:r w:rsidR="00EE469F">
        <w:t xml:space="preserve"> agreed that</w:t>
      </w:r>
      <w:r w:rsidR="006947E4">
        <w:t xml:space="preserve"> </w:t>
      </w:r>
      <w:r w:rsidR="00EE469F">
        <w:t>the system</w:t>
      </w:r>
      <w:r>
        <w:t xml:space="preserve"> is complex and difficult to access</w:t>
      </w:r>
      <w:r w:rsidR="00251C6F">
        <w:t>.</w:t>
      </w:r>
      <w:r w:rsidR="00932F20">
        <w:t xml:space="preserve"> </w:t>
      </w:r>
      <w:r w:rsidR="00251C6F">
        <w:t>This complexity imposes burden</w:t>
      </w:r>
      <w:r w:rsidR="00EE469F">
        <w:t>s</w:t>
      </w:r>
      <w:r w:rsidR="00251C6F">
        <w:t xml:space="preserve"> on providers, students, regulators and funders, al</w:t>
      </w:r>
      <w:r w:rsidR="00EE469F">
        <w:t xml:space="preserve">l at significant administrative </w:t>
      </w:r>
      <w:r w:rsidR="00251C6F">
        <w:t xml:space="preserve">cost. </w:t>
      </w:r>
    </w:p>
    <w:p w:rsidR="00251C6F" w:rsidRDefault="00A346AB" w:rsidP="00A346AB">
      <w:pPr>
        <w:pStyle w:val="Text"/>
      </w:pPr>
      <w:r>
        <w:t>There is also a drive to ensure that education and training meet industry, employer and student needs. One way to help achieve this is by targeting funded training lists to qualifications that lead to increased productivity for industry and employers and job opportunities for learners.</w:t>
      </w:r>
      <w:r>
        <w:rPr>
          <w:rStyle w:val="FootnoteReference"/>
        </w:rPr>
        <w:footnoteReference w:id="6"/>
      </w:r>
      <w:r w:rsidR="00932F20">
        <w:t xml:space="preserve"> </w:t>
      </w:r>
    </w:p>
    <w:p w:rsidR="00167AF9" w:rsidRDefault="008233B8" w:rsidP="00167AF9">
      <w:pPr>
        <w:pStyle w:val="Text"/>
      </w:pPr>
      <w:r>
        <w:t>A further suggested</w:t>
      </w:r>
      <w:r w:rsidR="000D6884">
        <w:t xml:space="preserve"> direction </w:t>
      </w:r>
      <w:r>
        <w:t xml:space="preserve">for reform </w:t>
      </w:r>
      <w:r w:rsidR="000D6884">
        <w:t xml:space="preserve">is </w:t>
      </w:r>
      <w:r w:rsidR="00CF4E92">
        <w:t>for</w:t>
      </w:r>
      <w:r w:rsidR="00140808">
        <w:t xml:space="preserve"> </w:t>
      </w:r>
      <w:r w:rsidR="00167AF9">
        <w:t>the transition between different, but related</w:t>
      </w:r>
      <w:r w:rsidR="000D6884">
        <w:t>,</w:t>
      </w:r>
      <w:r w:rsidR="00167AF9">
        <w:t xml:space="preserve"> occupations</w:t>
      </w:r>
      <w:r w:rsidR="00140808">
        <w:t xml:space="preserve"> </w:t>
      </w:r>
      <w:r w:rsidR="00CF4E92">
        <w:t>to be simplified</w:t>
      </w:r>
      <w:r>
        <w:t>, with</w:t>
      </w:r>
      <w:r w:rsidR="00765E97">
        <w:t xml:space="preserve"> </w:t>
      </w:r>
      <w:r w:rsidR="00167AF9">
        <w:t xml:space="preserve">substantial </w:t>
      </w:r>
      <w:r w:rsidR="00765E97">
        <w:t xml:space="preserve">policy interest </w:t>
      </w:r>
      <w:r>
        <w:t>in Australia and internationally</w:t>
      </w:r>
      <w:r w:rsidR="00765E97">
        <w:t xml:space="preserve"> </w:t>
      </w:r>
      <w:r>
        <w:t>in</w:t>
      </w:r>
      <w:r w:rsidR="00765E97">
        <w:t xml:space="preserve"> developing a broader set of qualifications to make it easier for individuals to move within and across occupations as the job market changes. </w:t>
      </w:r>
    </w:p>
    <w:p w:rsidR="00765E97" w:rsidRDefault="00765E97" w:rsidP="00167AF9">
      <w:pPr>
        <w:pStyle w:val="Text"/>
      </w:pPr>
      <w:r>
        <w:t>In the United Kingdom</w:t>
      </w:r>
      <w:r w:rsidR="000D6884">
        <w:t>,</w:t>
      </w:r>
      <w:r w:rsidR="00CF4E92">
        <w:t xml:space="preserve"> </w:t>
      </w:r>
      <w:r>
        <w:t xml:space="preserve">15 technical routes have been developed to guide the provision of training. The need to broaden the nature of qualification pathways has also been </w:t>
      </w:r>
      <w:r w:rsidR="00CF4E92">
        <w:t>proposed for</w:t>
      </w:r>
      <w:r>
        <w:t xml:space="preserve"> </w:t>
      </w:r>
      <w:r w:rsidR="008233B8">
        <w:t>the Australian context, with r</w:t>
      </w:r>
      <w:r>
        <w:t xml:space="preserve">esearchers </w:t>
      </w:r>
      <w:r w:rsidR="008233B8">
        <w:t>suggesting</w:t>
      </w:r>
      <w:r>
        <w:t xml:space="preserve"> the use of vocational streams to enable individuals to </w:t>
      </w:r>
      <w:r w:rsidR="00CF4E92">
        <w:t xml:space="preserve">move laterally between occupations or </w:t>
      </w:r>
      <w:r>
        <w:t xml:space="preserve">become more specialised by </w:t>
      </w:r>
      <w:r>
        <w:lastRenderedPageBreak/>
        <w:t>moving vertically</w:t>
      </w:r>
      <w:r w:rsidR="00CF4E92">
        <w:t xml:space="preserve"> through different components of occupations</w:t>
      </w:r>
      <w:r>
        <w:t xml:space="preserve">. The concept of skills clustering has also gained traction. Here the focus is on clustering the units of competency to implement a more holistic approach to the development and assessment of competence. </w:t>
      </w:r>
      <w:r w:rsidR="008233B8">
        <w:t>S</w:t>
      </w:r>
      <w:r>
        <w:t>ome industry sectors (</w:t>
      </w:r>
      <w:r w:rsidR="008233B8">
        <w:t>such as</w:t>
      </w:r>
      <w:r>
        <w:t xml:space="preserve"> the community services sector) have </w:t>
      </w:r>
      <w:r w:rsidR="008233B8">
        <w:t xml:space="preserve">already </w:t>
      </w:r>
      <w:r>
        <w:t xml:space="preserve">redesigned the qualifications on offer in related fields into core units and elective units, with elective units used to enable individuals to concentrate on preferred specialisations. </w:t>
      </w:r>
    </w:p>
    <w:p w:rsidR="00765E97" w:rsidRPr="00167AF9" w:rsidRDefault="00765E97" w:rsidP="00167AF9">
      <w:pPr>
        <w:pStyle w:val="Text"/>
      </w:pPr>
      <w:r>
        <w:t xml:space="preserve">In this </w:t>
      </w:r>
      <w:r w:rsidR="00D26B4C">
        <w:t>research</w:t>
      </w:r>
      <w:r w:rsidR="000D6884">
        <w:t>,</w:t>
      </w:r>
      <w:r>
        <w:t xml:space="preserve"> we </w:t>
      </w:r>
      <w:r w:rsidR="00EE469F">
        <w:t>modelled</w:t>
      </w:r>
      <w:r w:rsidR="00243206">
        <w:t xml:space="preserve"> an approach to</w:t>
      </w:r>
      <w:r>
        <w:t xml:space="preserve"> broaden the qualifications</w:t>
      </w:r>
      <w:r w:rsidR="0095734E">
        <w:rPr>
          <w:noProof/>
          <w:lang w:eastAsia="en-AU"/>
        </w:rPr>
        <mc:AlternateContent>
          <mc:Choice Requires="wps">
            <w:drawing>
              <wp:anchor distT="0" distB="0" distL="114300" distR="114300" simplePos="0" relativeHeight="252060672" behindDoc="0" locked="1" layoutInCell="1" allowOverlap="1" wp14:anchorId="2FF94E9D" wp14:editId="0A49B83A">
                <wp:simplePos x="0" y="0"/>
                <wp:positionH relativeFrom="outsideMargin">
                  <wp:posOffset>165100</wp:posOffset>
                </wp:positionH>
                <wp:positionV relativeFrom="page">
                  <wp:posOffset>796925</wp:posOffset>
                </wp:positionV>
                <wp:extent cx="1320800" cy="1895475"/>
                <wp:effectExtent l="0" t="0" r="0" b="0"/>
                <wp:wrapNone/>
                <wp:docPr id="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8954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83E4B" w:rsidRPr="00543BFF" w:rsidRDefault="00883E4B" w:rsidP="0095734E">
                            <w:pPr>
                              <w:pStyle w:val="PullQuote"/>
                            </w:pPr>
                            <w:r>
                              <w:t>Broadening the scope of qualifications may allow some consolidation.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3pt;margin-top:62.75pt;width:104pt;height:149.25pt;z-index:2520606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" filled="f" stroked="f" strokeweight=".5pt">
                <v:shadow on="t" type="perspective" color="black" opacity="9830f" origin=",.5" offset="0,25pt" matrix="58982f,,,-12452f"/>
                <v:path arrowok="t"/>
                <v:textbox inset="10mm">
                  <w:txbxContent>
                    <w:p w:rsidR="00883E4B" w:rsidRPr="00543BFF" w:rsidRDefault="00883E4B" w:rsidP="0095734E">
                      <w:pPr>
                        <w:pStyle w:val="PullQuote"/>
                      </w:pPr>
                      <w:r>
                        <w:t>Broadening the scope of qualifications may allow some consolidation.</w:t>
                      </w:r>
                    </w:p>
                  </w:txbxContent>
                </v:textbox>
                <w10:wrap anchorx="margin" anchory="page"/>
                <w10:anchorlock/>
              </v:shape>
            </w:pict>
          </mc:Fallback>
        </mc:AlternateContent>
      </w:r>
      <w:r>
        <w:t xml:space="preserve"> (</w:t>
      </w:r>
      <w:r w:rsidR="00EE469F">
        <w:t xml:space="preserve">in cases </w:t>
      </w:r>
      <w:r w:rsidR="000D6884">
        <w:t xml:space="preserve">in </w:t>
      </w:r>
      <w:r w:rsidR="00EE469F">
        <w:t>which</w:t>
      </w:r>
      <w:r w:rsidR="00D26B4C">
        <w:t xml:space="preserve"> it makes sense to do so). W</w:t>
      </w:r>
      <w:r>
        <w:t xml:space="preserve">e used the </w:t>
      </w:r>
      <w:r w:rsidR="00167AF9">
        <w:t xml:space="preserve">intended occupation assigned to qualifications and </w:t>
      </w:r>
      <w:r>
        <w:t xml:space="preserve">ANZSCO groupings and levels to </w:t>
      </w:r>
      <w:r w:rsidRPr="00CF4E92">
        <w:t xml:space="preserve">suggest a method for how this can be </w:t>
      </w:r>
      <w:r w:rsidR="00CF4E92">
        <w:t>achieved</w:t>
      </w:r>
      <w:r w:rsidRPr="00CF4E92">
        <w:t>.</w:t>
      </w:r>
      <w:r>
        <w:t xml:space="preserve"> There may be some merit to applying such a tool (or variations of it)</w:t>
      </w:r>
      <w:r w:rsidR="00D26B4C">
        <w:t>,</w:t>
      </w:r>
      <w:r>
        <w:t xml:space="preserve"> particularly in cases </w:t>
      </w:r>
      <w:r w:rsidR="00D26B4C">
        <w:t>with</w:t>
      </w:r>
      <w:r>
        <w:t xml:space="preserve"> low enrolments across all </w:t>
      </w:r>
      <w:r w:rsidR="003D77F9">
        <w:t xml:space="preserve">of </w:t>
      </w:r>
      <w:r>
        <w:t xml:space="preserve">the related qualifications. </w:t>
      </w:r>
    </w:p>
    <w:p w:rsidR="00EE469F" w:rsidRDefault="00D26B4C" w:rsidP="00167AF9">
      <w:pPr>
        <w:pStyle w:val="Text"/>
      </w:pPr>
      <w:r>
        <w:t>The</w:t>
      </w:r>
      <w:r w:rsidR="00765E97" w:rsidRPr="00167AF9">
        <w:t xml:space="preserve"> </w:t>
      </w:r>
      <w:r>
        <w:t>application of</w:t>
      </w:r>
      <w:r w:rsidR="00765E97" w:rsidRPr="00167AF9">
        <w:t xml:space="preserve"> the concepts of vocational streams, technical routes, core and elective units </w:t>
      </w:r>
      <w:r w:rsidR="00CF4E92">
        <w:t>in the</w:t>
      </w:r>
      <w:r w:rsidR="00765E97" w:rsidRPr="00167AF9">
        <w:t xml:space="preserve"> redesign </w:t>
      </w:r>
      <w:r w:rsidR="00CF4E92">
        <w:t xml:space="preserve">of </w:t>
      </w:r>
      <w:r w:rsidR="00765E97" w:rsidRPr="00167AF9">
        <w:t>the qualification pathways may have merit in the Australian system</w:t>
      </w:r>
      <w:r>
        <w:t>,</w:t>
      </w:r>
      <w:r w:rsidR="00765E97" w:rsidRPr="00167AF9">
        <w:t xml:space="preserve"> especially </w:t>
      </w:r>
      <w:r>
        <w:t>in the preparation of</w:t>
      </w:r>
      <w:r w:rsidR="00765E97" w:rsidRPr="00167AF9">
        <w:t xml:space="preserve"> individuals for current and emerging labour markets. </w:t>
      </w:r>
      <w:r w:rsidR="00231873">
        <w:t>In this way individuals would be prepared with</w:t>
      </w:r>
      <w:r w:rsidR="00765E97" w:rsidRPr="00167AF9">
        <w:t xml:space="preserve"> </w:t>
      </w:r>
      <w:r w:rsidR="001465B5">
        <w:t>heightened employability skills and</w:t>
      </w:r>
      <w:r w:rsidR="00765E97" w:rsidRPr="00167AF9">
        <w:t xml:space="preserve"> technological (including digital) and other technical capabilities to enable them to prosper in an increasingly uncertain labour market. </w:t>
      </w:r>
    </w:p>
    <w:p w:rsidR="00765E97" w:rsidRDefault="00765E97" w:rsidP="00167AF9">
      <w:pPr>
        <w:pStyle w:val="Text"/>
      </w:pPr>
      <w:r w:rsidRPr="00167AF9">
        <w:t>Nevertheless</w:t>
      </w:r>
      <w:r w:rsidR="000D6884">
        <w:t>,</w:t>
      </w:r>
      <w:r w:rsidRPr="00167AF9">
        <w:t xml:space="preserve"> this strong focus on ‘transferable skills’ must be tempered by the </w:t>
      </w:r>
      <w:r w:rsidR="001465B5">
        <w:t>requirement</w:t>
      </w:r>
      <w:r w:rsidRPr="00167AF9">
        <w:t xml:space="preserve"> to provide individu</w:t>
      </w:r>
      <w:r w:rsidR="000D6884">
        <w:t xml:space="preserve">als with </w:t>
      </w:r>
      <w:r w:rsidR="00266B4C">
        <w:t>specialised skills, which</w:t>
      </w:r>
      <w:r w:rsidR="000D6884">
        <w:t xml:space="preserve"> </w:t>
      </w:r>
      <w:r w:rsidR="001465B5">
        <w:t>can be consolidated and expanded</w:t>
      </w:r>
      <w:r w:rsidR="000D6884">
        <w:t xml:space="preserve"> </w:t>
      </w:r>
      <w:r w:rsidR="00266B4C">
        <w:t xml:space="preserve">as job requirements change. </w:t>
      </w:r>
      <w:r w:rsidRPr="00167AF9">
        <w:t>Clearly</w:t>
      </w:r>
      <w:r w:rsidR="003D77F9">
        <w:t>,</w:t>
      </w:r>
      <w:r w:rsidRPr="00167AF9">
        <w:t xml:space="preserve"> some occupations require very strict attention to competency standards, especially th</w:t>
      </w:r>
      <w:r w:rsidR="00F8420E">
        <w:t>ose explicitly leading to licens</w:t>
      </w:r>
      <w:r w:rsidR="001465B5">
        <w:t xml:space="preserve">ed trades. </w:t>
      </w:r>
      <w:r w:rsidRPr="00167AF9">
        <w:t>However</w:t>
      </w:r>
      <w:r w:rsidR="000D6884">
        <w:t>,</w:t>
      </w:r>
      <w:r w:rsidRPr="00167AF9">
        <w:t xml:space="preserve"> there may be other occupations where these broade</w:t>
      </w:r>
      <w:r w:rsidR="00137D18">
        <w:t xml:space="preserve">r qualification concepts </w:t>
      </w:r>
      <w:r w:rsidR="00266B4C">
        <w:t>are</w:t>
      </w:r>
      <w:r w:rsidRPr="00167AF9">
        <w:t xml:space="preserve"> more suited</w:t>
      </w:r>
      <w:r w:rsidR="003A030E">
        <w:t>;</w:t>
      </w:r>
      <w:r w:rsidRPr="00167AF9">
        <w:t xml:space="preserve"> for example, at the intersectio</w:t>
      </w:r>
      <w:r w:rsidR="00137D18">
        <w:t xml:space="preserve">n </w:t>
      </w:r>
      <w:r w:rsidR="001465B5">
        <w:t>of</w:t>
      </w:r>
      <w:r w:rsidR="00137D18">
        <w:t xml:space="preserve"> AQF levels 5 and 6 </w:t>
      </w:r>
      <w:r w:rsidR="00266B4C">
        <w:t>to link</w:t>
      </w:r>
      <w:r w:rsidR="00251C6F" w:rsidRPr="00167AF9">
        <w:t xml:space="preserve"> </w:t>
      </w:r>
      <w:r w:rsidRPr="00167AF9">
        <w:t xml:space="preserve">vocational diplomas and associate degrees. </w:t>
      </w:r>
    </w:p>
    <w:p w:rsidR="004F4F18" w:rsidRDefault="00251C6F" w:rsidP="00167AF9">
      <w:pPr>
        <w:pStyle w:val="Text"/>
      </w:pPr>
      <w:r>
        <w:t xml:space="preserve">Any consolidation of qualifications according to occupational groupings would involve multiple industry </w:t>
      </w:r>
      <w:r w:rsidR="004F4F18">
        <w:t xml:space="preserve">sectors. In the </w:t>
      </w:r>
      <w:r w:rsidR="00645365">
        <w:t>same broad ANZSCO group as</w:t>
      </w:r>
      <w:r w:rsidR="004F4F18">
        <w:t xml:space="preserve"> the C</w:t>
      </w:r>
      <w:r>
        <w:t>ertificate III in Individual Support</w:t>
      </w:r>
      <w:r w:rsidR="000D6884">
        <w:t>,</w:t>
      </w:r>
      <w:r>
        <w:t xml:space="preserve"> </w:t>
      </w:r>
      <w:r w:rsidR="001465B5">
        <w:t xml:space="preserve">the </w:t>
      </w:r>
      <w:r w:rsidR="00645365">
        <w:t>related occupations are covered by</w:t>
      </w:r>
      <w:r>
        <w:t xml:space="preserve"> both the</w:t>
      </w:r>
      <w:r w:rsidR="004F4F18">
        <w:t xml:space="preserve"> Health and Community Services </w:t>
      </w:r>
      <w:r w:rsidR="00266B4C">
        <w:t>training packages</w:t>
      </w:r>
      <w:r>
        <w:t>,</w:t>
      </w:r>
      <w:r w:rsidR="000D6884">
        <w:t xml:space="preserve"> so any consolidation would have to</w:t>
      </w:r>
      <w:r>
        <w:t xml:space="preserve"> involve stakeholders from both groups. Future research c</w:t>
      </w:r>
      <w:r w:rsidR="001465B5">
        <w:t>ould</w:t>
      </w:r>
      <w:r>
        <w:t xml:space="preserve"> consider the spread of units across qualifications, including the number of units that generally make up occupations, the number of qualifications that share units and the sharing of units across qualifications and packages</w:t>
      </w:r>
      <w:r w:rsidR="004F4F18">
        <w:t>.</w:t>
      </w:r>
    </w:p>
    <w:p w:rsidR="00E64F68" w:rsidRDefault="00777D02" w:rsidP="00167AF9">
      <w:pPr>
        <w:pStyle w:val="Text"/>
      </w:pPr>
      <w:r>
        <w:t>This report has not addressed all of the Ministers’ ag</w:t>
      </w:r>
      <w:r w:rsidR="004F4F18">
        <w:t xml:space="preserve">reed reforms, in particular </w:t>
      </w:r>
      <w:r>
        <w:t>the grea</w:t>
      </w:r>
      <w:r w:rsidR="00E64F68">
        <w:t xml:space="preserve">ter recognition of </w:t>
      </w:r>
      <w:r w:rsidR="0054258A">
        <w:t>skill set</w:t>
      </w:r>
      <w:r w:rsidR="00E64F68" w:rsidRPr="00266B4C">
        <w:t>s</w:t>
      </w:r>
      <w:r w:rsidR="00E64F68">
        <w:t xml:space="preserve"> and the role of accredited courses. However, this report does have some relevance to those reforms and suggests directions for further research.</w:t>
      </w:r>
    </w:p>
    <w:p w:rsidR="00765E97" w:rsidRDefault="00251C6F" w:rsidP="00167AF9">
      <w:pPr>
        <w:pStyle w:val="Text"/>
      </w:pPr>
      <w:r>
        <w:t>Whil</w:t>
      </w:r>
      <w:r w:rsidR="001465B5">
        <w:t>e</w:t>
      </w:r>
      <w:r>
        <w:t xml:space="preserve"> comparin</w:t>
      </w:r>
      <w:r w:rsidR="00266B4C">
        <w:t>g TVA data for 2014 and 2015 had</w:t>
      </w:r>
      <w:r>
        <w:t xml:space="preserve"> significant limitations (given </w:t>
      </w:r>
      <w:r w:rsidR="003D246E">
        <w:t>2014</w:t>
      </w:r>
      <w:r w:rsidR="004F4F18">
        <w:t xml:space="preserve"> was the initial</w:t>
      </w:r>
      <w:r>
        <w:t xml:space="preserve"> year</w:t>
      </w:r>
      <w:r w:rsidR="001465B5">
        <w:t xml:space="preserve"> and</w:t>
      </w:r>
      <w:r>
        <w:t xml:space="preserve"> with </w:t>
      </w:r>
      <w:r w:rsidR="00C27CD8">
        <w:t xml:space="preserve">allowed </w:t>
      </w:r>
      <w:r w:rsidR="001465B5">
        <w:t>exemptions</w:t>
      </w:r>
      <w:r>
        <w:t>)</w:t>
      </w:r>
      <w:r w:rsidR="000D6884">
        <w:t>, the preliminary data indicate</w:t>
      </w:r>
      <w:r>
        <w:t xml:space="preserve"> </w:t>
      </w:r>
      <w:r w:rsidR="00266B4C">
        <w:t xml:space="preserve">that </w:t>
      </w:r>
      <w:r w:rsidR="00E64F68">
        <w:t>th</w:t>
      </w:r>
      <w:r w:rsidR="00214DFC">
        <w:t xml:space="preserve">e number of </w:t>
      </w:r>
      <w:r w:rsidR="0054258A">
        <w:t>skill set</w:t>
      </w:r>
      <w:r w:rsidR="00266B4C">
        <w:t>s</w:t>
      </w:r>
      <w:r w:rsidR="00214DFC">
        <w:t xml:space="preserve"> </w:t>
      </w:r>
      <w:r w:rsidR="000D6884">
        <w:t>in use increased by</w:t>
      </w:r>
      <w:r w:rsidR="00D77C6C">
        <w:t xml:space="preserve"> </w:t>
      </w:r>
      <w:r w:rsidR="004F4F18">
        <w:t>195%</w:t>
      </w:r>
      <w:r w:rsidR="00D77C6C">
        <w:t xml:space="preserve"> between 2014 and 2015</w:t>
      </w:r>
      <w:r w:rsidR="00E64F68">
        <w:t xml:space="preserve"> (from 643 to 1</w:t>
      </w:r>
      <w:r w:rsidR="004F4F18">
        <w:t>894).</w:t>
      </w:r>
    </w:p>
    <w:p w:rsidR="009C0E24" w:rsidRDefault="000D6884" w:rsidP="00167AF9">
      <w:pPr>
        <w:pStyle w:val="Text"/>
      </w:pPr>
      <w:r>
        <w:t>Nationally recognised</w:t>
      </w:r>
      <w:r w:rsidR="000A0DB5">
        <w:t xml:space="preserve"> courses are the second largest group of courses by program enrolments, after training package qualifications. They are intended </w:t>
      </w:r>
      <w:r w:rsidR="00243206">
        <w:t xml:space="preserve">to </w:t>
      </w:r>
      <w:r w:rsidR="000A0DB5">
        <w:t xml:space="preserve">fulfil industry needs on a short-term basis in cases </w:t>
      </w:r>
      <w:r w:rsidR="00266B4C">
        <w:t>where</w:t>
      </w:r>
      <w:r w:rsidR="000A0DB5">
        <w:t xml:space="preserve"> no relevant training package qualifi</w:t>
      </w:r>
      <w:r w:rsidR="00C27CD8">
        <w:t xml:space="preserve">cation exists. Further research, similar to this analysis of training package qualifications, </w:t>
      </w:r>
      <w:r w:rsidR="000A0DB5">
        <w:t xml:space="preserve">needs to be </w:t>
      </w:r>
      <w:r w:rsidR="001465B5">
        <w:t>undertaken</w:t>
      </w:r>
      <w:r w:rsidR="000A0DB5">
        <w:t xml:space="preserve"> on the quantum and nature of enrolments in </w:t>
      </w:r>
      <w:r>
        <w:t xml:space="preserve">these </w:t>
      </w:r>
      <w:r w:rsidR="000A0DB5">
        <w:t>cours</w:t>
      </w:r>
      <w:r w:rsidR="00C27CD8">
        <w:t>es</w:t>
      </w:r>
      <w:r w:rsidR="000A0DB5">
        <w:t xml:space="preserve"> and whether there are any overlaps with training package qualifications.</w:t>
      </w:r>
    </w:p>
    <w:p w:rsidR="00C21DC1" w:rsidRDefault="00C21DC1" w:rsidP="00167AF9">
      <w:pPr>
        <w:pStyle w:val="Text"/>
      </w:pPr>
      <w:r>
        <w:lastRenderedPageBreak/>
        <w:t xml:space="preserve">This report </w:t>
      </w:r>
      <w:r w:rsidR="00266B4C">
        <w:t>focu</w:t>
      </w:r>
      <w:r w:rsidR="00243206">
        <w:t>ses on training package qualifications</w:t>
      </w:r>
      <w:r w:rsidR="001465B5">
        <w:t>,</w:t>
      </w:r>
      <w:r w:rsidR="00243206">
        <w:t xml:space="preserve"> </w:t>
      </w:r>
      <w:r w:rsidR="001465B5">
        <w:t>while</w:t>
      </w:r>
      <w:r>
        <w:t xml:space="preserve"> the previous reports</w:t>
      </w:r>
      <w:r w:rsidR="001465B5">
        <w:t>,</w:t>
      </w:r>
      <w:r w:rsidR="000A0DB5">
        <w:t xml:space="preserve"> </w:t>
      </w:r>
      <w:r w:rsidR="000A0DB5">
        <w:rPr>
          <w:i/>
        </w:rPr>
        <w:t>Making sense of total VET activity: an initial market analysis</w:t>
      </w:r>
      <w:r w:rsidR="00C56C8E">
        <w:t xml:space="preserve"> (Anlezark &amp; Foley</w:t>
      </w:r>
      <w:r w:rsidR="000A0DB5">
        <w:t xml:space="preserve"> 2016) and </w:t>
      </w:r>
      <w:r w:rsidR="000A0DB5">
        <w:rPr>
          <w:i/>
        </w:rPr>
        <w:t>VET provider market structures: history, growth and change</w:t>
      </w:r>
      <w:r w:rsidR="000A0DB5">
        <w:t xml:space="preserve"> (Kor</w:t>
      </w:r>
      <w:r w:rsidR="001465B5">
        <w:t>bel &amp; Misko 2016),</w:t>
      </w:r>
      <w:r>
        <w:t xml:space="preserve"> examined some of t</w:t>
      </w:r>
      <w:r w:rsidR="001465B5">
        <w:t>he key areas of the VET sector —</w:t>
      </w:r>
      <w:r>
        <w:t xml:space="preserve"> government-funded and fee-for-service training, the diversity of providers and the use of qualifications. </w:t>
      </w:r>
    </w:p>
    <w:p w:rsidR="00DD0DF8" w:rsidRDefault="00243206" w:rsidP="00C21DC1">
      <w:pPr>
        <w:pStyle w:val="Text"/>
      </w:pPr>
      <w:r>
        <w:t>Future</w:t>
      </w:r>
      <w:r w:rsidR="00C21DC1">
        <w:t xml:space="preserve"> report</w:t>
      </w:r>
      <w:r>
        <w:t>s</w:t>
      </w:r>
      <w:r w:rsidR="00C21DC1">
        <w:t xml:space="preserve"> will </w:t>
      </w:r>
      <w:r>
        <w:t xml:space="preserve">analyse </w:t>
      </w:r>
      <w:r w:rsidR="000D6884">
        <w:t xml:space="preserve">more closely the </w:t>
      </w:r>
      <w:r w:rsidR="006947E4">
        <w:t xml:space="preserve">use of </w:t>
      </w:r>
      <w:r>
        <w:t xml:space="preserve">training products by </w:t>
      </w:r>
      <w:r w:rsidR="00C21DC1">
        <w:t>provider</w:t>
      </w:r>
      <w:r w:rsidR="00231873">
        <w:t xml:space="preserve"> type, examining the differences between </w:t>
      </w:r>
      <w:r>
        <w:t>provid</w:t>
      </w:r>
      <w:r w:rsidR="000D6884">
        <w:t>ers</w:t>
      </w:r>
      <w:r w:rsidR="003D246E">
        <w:t xml:space="preserve"> </w:t>
      </w:r>
      <w:r w:rsidR="00231873">
        <w:t>offering comprehensive and specialised ranges of courses</w:t>
      </w:r>
      <w:r w:rsidR="00C21DC1">
        <w:t xml:space="preserve">. </w:t>
      </w:r>
      <w:r w:rsidR="003D246E">
        <w:t xml:space="preserve">This will include examining </w:t>
      </w:r>
      <w:r w:rsidR="00C21DC1">
        <w:t xml:space="preserve">the role and nature of enterprise and </w:t>
      </w:r>
      <w:r w:rsidR="009F3826">
        <w:t>community education providers. The objective of a</w:t>
      </w:r>
      <w:r w:rsidR="00C21DC1">
        <w:t xml:space="preserve">ll </w:t>
      </w:r>
      <w:r w:rsidR="009F3826">
        <w:t xml:space="preserve">of </w:t>
      </w:r>
      <w:r w:rsidR="00C21DC1">
        <w:t xml:space="preserve">these reports will </w:t>
      </w:r>
      <w:r w:rsidR="009F3826">
        <w:t xml:space="preserve">be </w:t>
      </w:r>
      <w:r w:rsidR="00266B4C">
        <w:t xml:space="preserve">to </w:t>
      </w:r>
      <w:r w:rsidR="00C21DC1">
        <w:t xml:space="preserve">inform policy and </w:t>
      </w:r>
      <w:r w:rsidR="009F3826">
        <w:t xml:space="preserve">the </w:t>
      </w:r>
      <w:r w:rsidR="00C21DC1">
        <w:t xml:space="preserve">ongoing reforms of the sector by making the best use of the data </w:t>
      </w:r>
      <w:r w:rsidR="000D6884">
        <w:t>that</w:t>
      </w:r>
      <w:r w:rsidR="00C21DC1">
        <w:t xml:space="preserve"> </w:t>
      </w:r>
      <w:r w:rsidR="009F3826">
        <w:t>are</w:t>
      </w:r>
      <w:r w:rsidR="00C21DC1">
        <w:t xml:space="preserve"> now </w:t>
      </w:r>
      <w:r w:rsidR="003D246E">
        <w:t xml:space="preserve">becoming </w:t>
      </w:r>
      <w:r w:rsidR="00C21DC1">
        <w:t>available.</w:t>
      </w:r>
    </w:p>
    <w:p w:rsidR="00F8420E" w:rsidRDefault="00F8420E">
      <w:pPr>
        <w:rPr>
          <w:rFonts w:ascii="Trebuchet MS" w:eastAsia="Times New Roman" w:hAnsi="Trebuchet MS" w:cs="Times New Roman"/>
          <w:sz w:val="19"/>
          <w:szCs w:val="20"/>
        </w:rPr>
      </w:pPr>
      <w:r>
        <w:br w:type="page"/>
      </w:r>
    </w:p>
    <w:p w:rsidR="00F8420E" w:rsidRDefault="00510A67" w:rsidP="0028498D">
      <w:pPr>
        <w:pStyle w:val="Heading1"/>
        <w:spacing w:after="240"/>
      </w:pPr>
      <w:bookmarkStart w:id="75" w:name="_Toc465162164"/>
      <w:r w:rsidRPr="00510A67">
        <w:rPr>
          <w:noProof/>
          <w:lang w:eastAsia="en-AU"/>
        </w:rPr>
        <w:lastRenderedPageBreak/>
        <w:drawing>
          <wp:anchor distT="0" distB="0" distL="114300" distR="114300" simplePos="0" relativeHeight="252034048" behindDoc="1" locked="0" layoutInCell="1" allowOverlap="1" wp14:anchorId="492D3EB8" wp14:editId="67CBF4C7">
            <wp:simplePos x="0" y="0"/>
            <wp:positionH relativeFrom="column">
              <wp:posOffset>-15875</wp:posOffset>
            </wp:positionH>
            <wp:positionV relativeFrom="paragraph">
              <wp:posOffset>-53340</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References_Green.em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20E">
        <w:t>References</w:t>
      </w:r>
      <w:bookmarkEnd w:id="75"/>
      <w:r w:rsidR="00F8420E">
        <w:t xml:space="preserve"> </w:t>
      </w:r>
    </w:p>
    <w:p w:rsidR="00C56C8E" w:rsidRPr="00C56C8E" w:rsidRDefault="00C56C8E" w:rsidP="0028498D">
      <w:pPr>
        <w:pStyle w:val="References"/>
        <w:spacing w:before="70"/>
      </w:pPr>
      <w:r>
        <w:t xml:space="preserve">Anlezark, A &amp; Foley, P 2016, </w:t>
      </w:r>
      <w:r>
        <w:rPr>
          <w:i/>
        </w:rPr>
        <w:t>Making sense of total VET activity: an initial market analysis</w:t>
      </w:r>
      <w:r>
        <w:t xml:space="preserve">, </w:t>
      </w:r>
      <w:r w:rsidR="002630FB">
        <w:t>viewed October 2016, &lt;</w:t>
      </w:r>
      <w:hyperlink r:id="rId49" w:history="1">
        <w:r w:rsidR="002630FB" w:rsidRPr="00B4649D">
          <w:rPr>
            <w:rStyle w:val="Hyperlink"/>
            <w:sz w:val="18"/>
          </w:rPr>
          <w:t>https://www.ncver.edu.au/publications/publications/all-publications/making-sense-of-total-vet-activity-an-initial-market-analysis</w:t>
        </w:r>
      </w:hyperlink>
      <w:r w:rsidR="002630FB">
        <w:t xml:space="preserve">&gt;, </w:t>
      </w:r>
      <w:r>
        <w:t>NCVER, Adelaide.</w:t>
      </w:r>
    </w:p>
    <w:p w:rsidR="000314DC" w:rsidRDefault="00E639EE" w:rsidP="0028498D">
      <w:pPr>
        <w:pStyle w:val="References"/>
        <w:spacing w:before="70"/>
      </w:pPr>
      <w:r>
        <w:t>Australian Industry and Skills Committee</w:t>
      </w:r>
      <w:r w:rsidR="000314DC">
        <w:t xml:space="preserve"> 2015, ‘Communiqu</w:t>
      </w:r>
      <w:r w:rsidR="004C69A8" w:rsidRPr="004C69A8">
        <w:t>é</w:t>
      </w:r>
      <w:r w:rsidR="000314DC">
        <w:t>, 1 September 2015’, viewed 21 October 2016, &lt;</w:t>
      </w:r>
      <w:r w:rsidR="000314DC" w:rsidRPr="00513095">
        <w:t>http://www.aisc.net.au/media/aisc-communique-0</w:t>
      </w:r>
      <w:r w:rsidR="000314DC">
        <w:t>&gt;.</w:t>
      </w:r>
    </w:p>
    <w:p w:rsidR="00E639EE" w:rsidRDefault="000314DC" w:rsidP="0028498D">
      <w:pPr>
        <w:pStyle w:val="References"/>
        <w:spacing w:before="70"/>
      </w:pPr>
      <w:proofErr w:type="gramStart"/>
      <w:r>
        <w:t>——</w:t>
      </w:r>
      <w:r w:rsidR="00E639EE">
        <w:t>2016, ‘National schedule’, viewed October 2016, &lt;</w:t>
      </w:r>
      <w:r w:rsidR="00E639EE" w:rsidRPr="00E639EE">
        <w:t>https://www.aisc.net.au/content/national-schedule</w:t>
      </w:r>
      <w:r w:rsidR="00E639EE">
        <w:t>&gt;.</w:t>
      </w:r>
      <w:proofErr w:type="gramEnd"/>
    </w:p>
    <w:p w:rsidR="00F8420E" w:rsidRPr="00D34E13" w:rsidRDefault="00F8420E" w:rsidP="0028498D">
      <w:pPr>
        <w:pStyle w:val="References"/>
        <w:spacing w:before="70"/>
        <w:rPr>
          <w:szCs w:val="18"/>
        </w:rPr>
      </w:pPr>
      <w:r w:rsidRPr="00D83E71">
        <w:t>CEDEFOP</w:t>
      </w:r>
      <w:r>
        <w:t xml:space="preserve"> (European Centre for the Development of Vocational Training)</w:t>
      </w:r>
      <w:r w:rsidR="0014564C">
        <w:t xml:space="preserve"> 2010, </w:t>
      </w:r>
      <w:r w:rsidR="0014564C" w:rsidRPr="009F3826">
        <w:rPr>
          <w:i/>
        </w:rPr>
        <w:t xml:space="preserve">Changing qualifications: a </w:t>
      </w:r>
      <w:r w:rsidRPr="009F3826">
        <w:rPr>
          <w:i/>
        </w:rPr>
        <w:t>review of qualifications policies and practice</w:t>
      </w:r>
      <w:r w:rsidRPr="00D83E71">
        <w:t xml:space="preserve">, CEFOP </w:t>
      </w:r>
      <w:r w:rsidR="0014564C" w:rsidRPr="00D34E13">
        <w:rPr>
          <w:szCs w:val="18"/>
        </w:rPr>
        <w:t xml:space="preserve">reference series </w:t>
      </w:r>
      <w:r w:rsidRPr="00D34E13">
        <w:rPr>
          <w:szCs w:val="18"/>
        </w:rPr>
        <w:t xml:space="preserve">84, </w:t>
      </w:r>
      <w:r w:rsidR="0014564C" w:rsidRPr="00D34E13">
        <w:rPr>
          <w:szCs w:val="18"/>
        </w:rPr>
        <w:t>viewed April 2014</w:t>
      </w:r>
      <w:r w:rsidR="0014564C">
        <w:rPr>
          <w:szCs w:val="18"/>
        </w:rPr>
        <w:t xml:space="preserve">, </w:t>
      </w:r>
      <w:r w:rsidRPr="00D34E13">
        <w:rPr>
          <w:szCs w:val="18"/>
        </w:rPr>
        <w:t>&lt;</w:t>
      </w:r>
      <w:hyperlink r:id="rId50" w:history="1">
        <w:r w:rsidRPr="00D34E13">
          <w:rPr>
            <w:rStyle w:val="Hyperlink"/>
            <w:sz w:val="18"/>
            <w:szCs w:val="18"/>
          </w:rPr>
          <w:t>http://www.cedefop.europa.eu/EN/Files/3059_en.pdf</w:t>
        </w:r>
      </w:hyperlink>
      <w:r w:rsidR="0014564C">
        <w:rPr>
          <w:szCs w:val="18"/>
        </w:rPr>
        <w:t>&gt;</w:t>
      </w:r>
      <w:r w:rsidR="006A0A1F">
        <w:rPr>
          <w:szCs w:val="18"/>
        </w:rPr>
        <w:t xml:space="preserve">, </w:t>
      </w:r>
      <w:r w:rsidR="006A0A1F" w:rsidRPr="00D34E13">
        <w:rPr>
          <w:szCs w:val="18"/>
        </w:rPr>
        <w:t>Publications Office of the European Union, Luxembourg</w:t>
      </w:r>
      <w:r w:rsidR="006A0A1F">
        <w:rPr>
          <w:szCs w:val="18"/>
        </w:rPr>
        <w:t>.</w:t>
      </w:r>
    </w:p>
    <w:p w:rsidR="00F8420E" w:rsidRPr="00D34E13" w:rsidRDefault="0014564C" w:rsidP="0028498D">
      <w:pPr>
        <w:pStyle w:val="References"/>
        <w:spacing w:before="70"/>
        <w:rPr>
          <w:szCs w:val="18"/>
        </w:rPr>
      </w:pPr>
      <w:proofErr w:type="gramStart"/>
      <w:r>
        <w:rPr>
          <w:szCs w:val="18"/>
        </w:rPr>
        <w:t>——</w:t>
      </w:r>
      <w:r w:rsidR="00F8420E" w:rsidRPr="00D34E13">
        <w:rPr>
          <w:szCs w:val="18"/>
        </w:rPr>
        <w:t xml:space="preserve">2012, </w:t>
      </w:r>
      <w:r w:rsidR="00F8420E" w:rsidRPr="0014564C">
        <w:rPr>
          <w:i/>
          <w:szCs w:val="18"/>
        </w:rPr>
        <w:t>Development of national qualifications frameworks in Europe, October 2011</w:t>
      </w:r>
      <w:r w:rsidR="00F8420E" w:rsidRPr="00D34E13">
        <w:rPr>
          <w:szCs w:val="18"/>
        </w:rPr>
        <w:t xml:space="preserve">, </w:t>
      </w:r>
      <w:r w:rsidRPr="00D34E13">
        <w:rPr>
          <w:szCs w:val="18"/>
        </w:rPr>
        <w:t>viewed April 2014</w:t>
      </w:r>
      <w:r>
        <w:rPr>
          <w:szCs w:val="18"/>
        </w:rPr>
        <w:t xml:space="preserve">, </w:t>
      </w:r>
      <w:r w:rsidR="00F8420E" w:rsidRPr="00D34E13">
        <w:rPr>
          <w:szCs w:val="18"/>
        </w:rPr>
        <w:t>&lt;</w:t>
      </w:r>
      <w:hyperlink r:id="rId51" w:history="1">
        <w:r w:rsidR="00F8420E" w:rsidRPr="00D34E13">
          <w:rPr>
            <w:rStyle w:val="Hyperlink"/>
            <w:sz w:val="18"/>
            <w:szCs w:val="18"/>
          </w:rPr>
          <w:t>http://www.cedefop.europa.eu/en/publications/19313.aspx</w:t>
        </w:r>
      </w:hyperlink>
      <w:r>
        <w:rPr>
          <w:szCs w:val="18"/>
        </w:rPr>
        <w:t>&gt;</w:t>
      </w:r>
      <w:r w:rsidR="006A0A1F">
        <w:rPr>
          <w:szCs w:val="18"/>
        </w:rPr>
        <w:t xml:space="preserve">, </w:t>
      </w:r>
      <w:r w:rsidR="006A0A1F" w:rsidRPr="00D34E13">
        <w:rPr>
          <w:szCs w:val="18"/>
        </w:rPr>
        <w:t>Publications Office of the European Union, Luxembourg</w:t>
      </w:r>
      <w:r w:rsidR="006A0A1F">
        <w:rPr>
          <w:szCs w:val="18"/>
        </w:rPr>
        <w:t>.</w:t>
      </w:r>
      <w:proofErr w:type="gramEnd"/>
    </w:p>
    <w:p w:rsidR="00F8420E" w:rsidRPr="00D34E13" w:rsidRDefault="0014564C" w:rsidP="0028498D">
      <w:pPr>
        <w:pStyle w:val="References"/>
        <w:spacing w:before="70"/>
        <w:rPr>
          <w:szCs w:val="18"/>
        </w:rPr>
      </w:pPr>
      <w:r>
        <w:rPr>
          <w:szCs w:val="18"/>
        </w:rPr>
        <w:t>——</w:t>
      </w:r>
      <w:r w:rsidR="009F3826">
        <w:rPr>
          <w:szCs w:val="18"/>
        </w:rPr>
        <w:t>2012b</w:t>
      </w:r>
      <w:r w:rsidR="00F8420E" w:rsidRPr="00D34E13">
        <w:rPr>
          <w:szCs w:val="18"/>
        </w:rPr>
        <w:t xml:space="preserve">, </w:t>
      </w:r>
      <w:r w:rsidR="00F8420E" w:rsidRPr="009F3826">
        <w:rPr>
          <w:i/>
          <w:szCs w:val="18"/>
        </w:rPr>
        <w:t xml:space="preserve">Sweden: VET in Europe </w:t>
      </w:r>
      <w:r w:rsidRPr="009F3826">
        <w:rPr>
          <w:i/>
          <w:szCs w:val="18"/>
        </w:rPr>
        <w:t>country report</w:t>
      </w:r>
      <w:r w:rsidR="00F8420E" w:rsidRPr="00D34E13">
        <w:rPr>
          <w:szCs w:val="18"/>
        </w:rPr>
        <w:t xml:space="preserve">, </w:t>
      </w:r>
      <w:r w:rsidRPr="00D34E13">
        <w:rPr>
          <w:szCs w:val="18"/>
        </w:rPr>
        <w:t>viewed May 2014</w:t>
      </w:r>
      <w:r>
        <w:rPr>
          <w:szCs w:val="18"/>
        </w:rPr>
        <w:t xml:space="preserve">, </w:t>
      </w:r>
      <w:r w:rsidR="00F8420E" w:rsidRPr="00D34E13">
        <w:rPr>
          <w:szCs w:val="18"/>
        </w:rPr>
        <w:t>&lt;</w:t>
      </w:r>
      <w:hyperlink r:id="rId52" w:history="1">
        <w:r w:rsidR="00F8420E" w:rsidRPr="00D34E13">
          <w:rPr>
            <w:rStyle w:val="Hyperlink"/>
            <w:sz w:val="18"/>
            <w:szCs w:val="18"/>
          </w:rPr>
          <w:t>http://libserver.cedefop.europa.eu/vetelib/2012/2012_CR_SE.pdf</w:t>
        </w:r>
      </w:hyperlink>
      <w:r>
        <w:rPr>
          <w:szCs w:val="18"/>
        </w:rPr>
        <w:t>&gt;</w:t>
      </w:r>
      <w:r w:rsidR="00F8420E" w:rsidRPr="00D34E13">
        <w:rPr>
          <w:szCs w:val="18"/>
        </w:rPr>
        <w:t>.</w:t>
      </w:r>
    </w:p>
    <w:p w:rsidR="00F8420E" w:rsidRDefault="0014564C" w:rsidP="0028498D">
      <w:pPr>
        <w:pStyle w:val="References"/>
        <w:spacing w:before="70"/>
        <w:rPr>
          <w:szCs w:val="18"/>
        </w:rPr>
      </w:pPr>
      <w:proofErr w:type="gramStart"/>
      <w:r>
        <w:rPr>
          <w:szCs w:val="18"/>
        </w:rPr>
        <w:t>——</w:t>
      </w:r>
      <w:r w:rsidR="00F8420E" w:rsidRPr="00D34E13">
        <w:rPr>
          <w:szCs w:val="18"/>
        </w:rPr>
        <w:t xml:space="preserve">2014, </w:t>
      </w:r>
      <w:r w:rsidR="00F8420E" w:rsidRPr="0014564C">
        <w:rPr>
          <w:i/>
          <w:szCs w:val="18"/>
        </w:rPr>
        <w:t>Monitoring ECVET implementation strategies in Europe in 2013</w:t>
      </w:r>
      <w:r w:rsidR="00F8420E" w:rsidRPr="00D34E13">
        <w:rPr>
          <w:szCs w:val="18"/>
        </w:rPr>
        <w:t xml:space="preserve">, </w:t>
      </w:r>
      <w:r w:rsidR="00874EFE">
        <w:rPr>
          <w:szCs w:val="18"/>
        </w:rPr>
        <w:t>w</w:t>
      </w:r>
      <w:r w:rsidR="00F8420E" w:rsidRPr="00D34E13">
        <w:rPr>
          <w:szCs w:val="18"/>
        </w:rPr>
        <w:t xml:space="preserve">orking paper no. 22, </w:t>
      </w:r>
      <w:r w:rsidRPr="00D34E13">
        <w:rPr>
          <w:szCs w:val="18"/>
        </w:rPr>
        <w:t>viewed May 2014</w:t>
      </w:r>
      <w:r>
        <w:rPr>
          <w:szCs w:val="18"/>
        </w:rPr>
        <w:t xml:space="preserve">, </w:t>
      </w:r>
      <w:r w:rsidR="006A0A1F">
        <w:rPr>
          <w:szCs w:val="18"/>
        </w:rPr>
        <w:t>&lt;</w:t>
      </w:r>
      <w:hyperlink r:id="rId53" w:history="1">
        <w:r w:rsidR="006A0A1F" w:rsidRPr="004648E1">
          <w:rPr>
            <w:rStyle w:val="Hyperlink"/>
            <w:sz w:val="18"/>
            <w:szCs w:val="18"/>
          </w:rPr>
          <w:t>http://www.cedefop.europa.eu/en/publications/22409.aspx</w:t>
        </w:r>
      </w:hyperlink>
      <w:r w:rsidR="006A0A1F">
        <w:rPr>
          <w:szCs w:val="18"/>
        </w:rPr>
        <w:t xml:space="preserve">&gt;, </w:t>
      </w:r>
      <w:r w:rsidR="006A0A1F" w:rsidRPr="00D34E13">
        <w:rPr>
          <w:szCs w:val="18"/>
        </w:rPr>
        <w:t>Publications Office of the European Union, Luxembourg</w:t>
      </w:r>
      <w:r w:rsidR="006A0A1F">
        <w:rPr>
          <w:szCs w:val="18"/>
        </w:rPr>
        <w:t>.</w:t>
      </w:r>
      <w:proofErr w:type="gramEnd"/>
    </w:p>
    <w:p w:rsidR="00856AAE" w:rsidRPr="00D34E13" w:rsidRDefault="00856AAE" w:rsidP="0028498D">
      <w:pPr>
        <w:pStyle w:val="References"/>
        <w:spacing w:before="70"/>
        <w:rPr>
          <w:szCs w:val="18"/>
        </w:rPr>
      </w:pPr>
      <w:r>
        <w:rPr>
          <w:szCs w:val="18"/>
        </w:rPr>
        <w:t>COAG Industry and Skills Council 2015, ‘Communiqué 20 November 2015’, viewed October 2016, &lt;</w:t>
      </w:r>
      <w:r w:rsidRPr="00442D9E">
        <w:t>http://docs.education.gov.au/system/files/doc/other/cisc_communique_23-november_2015.pdf</w:t>
      </w:r>
      <w:r>
        <w:t>&gt;.</w:t>
      </w:r>
    </w:p>
    <w:p w:rsidR="00856AAE" w:rsidRDefault="00F8420E" w:rsidP="0028498D">
      <w:pPr>
        <w:pStyle w:val="References"/>
        <w:spacing w:before="70"/>
      </w:pPr>
      <w:r w:rsidRPr="00D34E13">
        <w:rPr>
          <w:szCs w:val="18"/>
        </w:rPr>
        <w:t>Depar</w:t>
      </w:r>
      <w:r w:rsidR="00856AAE">
        <w:rPr>
          <w:szCs w:val="18"/>
        </w:rPr>
        <w:t>tment of Education and Training</w:t>
      </w:r>
      <w:r w:rsidR="006A0A1F">
        <w:rPr>
          <w:szCs w:val="18"/>
        </w:rPr>
        <w:t xml:space="preserve"> (DET)</w:t>
      </w:r>
      <w:r w:rsidR="00856AAE">
        <w:rPr>
          <w:szCs w:val="18"/>
        </w:rPr>
        <w:t xml:space="preserve"> 2015</w:t>
      </w:r>
      <w:r w:rsidR="00E639EE">
        <w:rPr>
          <w:szCs w:val="18"/>
        </w:rPr>
        <w:t>a</w:t>
      </w:r>
      <w:r w:rsidR="00856AAE">
        <w:rPr>
          <w:szCs w:val="18"/>
        </w:rPr>
        <w:t xml:space="preserve">, ‘Outcomes of the review of training packages and accredited courses’, viewed October 2016, </w:t>
      </w:r>
      <w:r w:rsidR="00856AAE" w:rsidRPr="00874EFE">
        <w:t>&lt;</w:t>
      </w:r>
      <w:hyperlink r:id="rId54" w:history="1">
        <w:r w:rsidR="00856AAE" w:rsidRPr="00874EFE">
          <w:t>http://www.education.gov.au/outcomes-review-training-packages-and-accredited-courses</w:t>
        </w:r>
      </w:hyperlink>
      <w:r w:rsidR="006A0A1F">
        <w:t xml:space="preserve">&gt;, </w:t>
      </w:r>
      <w:r w:rsidR="006A0A1F" w:rsidRPr="00D34E13">
        <w:rPr>
          <w:szCs w:val="18"/>
        </w:rPr>
        <w:t>DET, Canberra.</w:t>
      </w:r>
    </w:p>
    <w:p w:rsidR="00E639EE" w:rsidRDefault="00E639EE" w:rsidP="0028498D">
      <w:pPr>
        <w:pStyle w:val="References"/>
        <w:spacing w:before="70"/>
      </w:pPr>
      <w:r>
        <w:t xml:space="preserve">——2015b, ‘New arrangements for training product development in Australia’, viewed October 2016, </w:t>
      </w:r>
      <w:r w:rsidR="006A0A1F">
        <w:t>&lt;</w:t>
      </w:r>
      <w:hyperlink r:id="rId55" w:history="1">
        <w:r w:rsidR="006A0A1F" w:rsidRPr="004648E1">
          <w:rPr>
            <w:rStyle w:val="Hyperlink"/>
            <w:sz w:val="18"/>
          </w:rPr>
          <w:t>http://www.education.gov.au/new-arrangements-training-product-development-australian-industry</w:t>
        </w:r>
      </w:hyperlink>
      <w:r w:rsidR="006A0A1F">
        <w:t xml:space="preserve">&gt;, </w:t>
      </w:r>
      <w:r w:rsidR="006A0A1F" w:rsidRPr="00D34E13">
        <w:rPr>
          <w:szCs w:val="18"/>
        </w:rPr>
        <w:t>DET, Canberra.</w:t>
      </w:r>
    </w:p>
    <w:p w:rsidR="00F8420E" w:rsidRPr="00D34E13" w:rsidRDefault="00856AAE" w:rsidP="0028498D">
      <w:pPr>
        <w:pStyle w:val="References"/>
        <w:spacing w:before="70"/>
        <w:rPr>
          <w:szCs w:val="18"/>
        </w:rPr>
      </w:pPr>
      <w:r>
        <w:rPr>
          <w:szCs w:val="18"/>
        </w:rPr>
        <w:t>——</w:t>
      </w:r>
      <w:r w:rsidR="00F8420E" w:rsidRPr="00D34E13">
        <w:rPr>
          <w:szCs w:val="18"/>
        </w:rPr>
        <w:t xml:space="preserve">2016a, </w:t>
      </w:r>
      <w:r w:rsidR="0014564C">
        <w:rPr>
          <w:szCs w:val="18"/>
        </w:rPr>
        <w:t>‘</w:t>
      </w:r>
      <w:r w:rsidR="00F8420E" w:rsidRPr="00D34E13">
        <w:rPr>
          <w:szCs w:val="18"/>
        </w:rPr>
        <w:t>List of training package qualifications and mappings</w:t>
      </w:r>
      <w:r w:rsidR="0014564C">
        <w:rPr>
          <w:szCs w:val="18"/>
        </w:rPr>
        <w:t>’</w:t>
      </w:r>
      <w:r w:rsidR="00F8420E" w:rsidRPr="00D34E13">
        <w:rPr>
          <w:szCs w:val="18"/>
        </w:rPr>
        <w:t>, data requested April 2016, DET, Canberra.</w:t>
      </w:r>
    </w:p>
    <w:p w:rsidR="00F8420E" w:rsidRDefault="006A0A1F" w:rsidP="0028498D">
      <w:pPr>
        <w:pStyle w:val="References"/>
        <w:spacing w:before="70"/>
        <w:rPr>
          <w:szCs w:val="18"/>
        </w:rPr>
      </w:pPr>
      <w:r>
        <w:rPr>
          <w:szCs w:val="18"/>
        </w:rPr>
        <w:t>——</w:t>
      </w:r>
      <w:r w:rsidR="00F8420E" w:rsidRPr="00D34E13">
        <w:rPr>
          <w:szCs w:val="18"/>
        </w:rPr>
        <w:t xml:space="preserve">2016b, </w:t>
      </w:r>
      <w:r w:rsidR="0014564C">
        <w:rPr>
          <w:szCs w:val="18"/>
        </w:rPr>
        <w:t>‘</w:t>
      </w:r>
      <w:r w:rsidR="00F8420E" w:rsidRPr="00D34E13">
        <w:rPr>
          <w:szCs w:val="18"/>
        </w:rPr>
        <w:t>List of training package qualifications with superseded status</w:t>
      </w:r>
      <w:r w:rsidR="0014564C">
        <w:rPr>
          <w:szCs w:val="18"/>
        </w:rPr>
        <w:t>’</w:t>
      </w:r>
      <w:r w:rsidR="00F8420E" w:rsidRPr="00D34E13">
        <w:rPr>
          <w:szCs w:val="18"/>
        </w:rPr>
        <w:t>, data requested August 2016, DET, Canberra.</w:t>
      </w:r>
    </w:p>
    <w:p w:rsidR="00B57E45" w:rsidRDefault="00B57E45" w:rsidP="0028498D">
      <w:pPr>
        <w:pStyle w:val="References"/>
        <w:spacing w:before="70"/>
      </w:pPr>
      <w:r>
        <w:rPr>
          <w:szCs w:val="18"/>
        </w:rPr>
        <w:t xml:space="preserve">Department of Industry 2014, </w:t>
      </w:r>
      <w:r w:rsidRPr="00B57E45">
        <w:rPr>
          <w:i/>
          <w:szCs w:val="18"/>
        </w:rPr>
        <w:t>Review of training packages and accredited course</w:t>
      </w:r>
      <w:r w:rsidR="007A2E10">
        <w:rPr>
          <w:i/>
          <w:szCs w:val="18"/>
        </w:rPr>
        <w:t>s</w:t>
      </w:r>
      <w:r w:rsidRPr="00B57E45">
        <w:rPr>
          <w:i/>
          <w:szCs w:val="18"/>
        </w:rPr>
        <w:t xml:space="preserve"> — discussion paper,</w:t>
      </w:r>
      <w:r>
        <w:rPr>
          <w:szCs w:val="18"/>
        </w:rPr>
        <w:t xml:space="preserve"> viewed October 2016, &lt;</w:t>
      </w:r>
      <w:hyperlink r:id="rId56" w:history="1">
        <w:r w:rsidRPr="002E4571">
          <w:t>http://consult.industry.gov.au/vet-reform/training-packages-review/supporting_documents/Final%20%20Review%20of%20Training%20Packages%20and%20Accredited%20Courses.pdf</w:t>
        </w:r>
      </w:hyperlink>
      <w:r>
        <w:rPr>
          <w:color w:val="1F497D"/>
        </w:rPr>
        <w:t> &gt;.</w:t>
      </w:r>
    </w:p>
    <w:p w:rsidR="00F8420E" w:rsidRPr="00D34E13" w:rsidRDefault="0014564C" w:rsidP="0028498D">
      <w:pPr>
        <w:pStyle w:val="References"/>
        <w:spacing w:before="70"/>
        <w:rPr>
          <w:szCs w:val="18"/>
        </w:rPr>
      </w:pPr>
      <w:r>
        <w:rPr>
          <w:szCs w:val="18"/>
        </w:rPr>
        <w:t>Korbel, P &amp;</w:t>
      </w:r>
      <w:r w:rsidR="00F8420E" w:rsidRPr="00D34E13">
        <w:rPr>
          <w:szCs w:val="18"/>
        </w:rPr>
        <w:t xml:space="preserve"> Misko, J 2016, </w:t>
      </w:r>
      <w:r w:rsidR="00F8420E" w:rsidRPr="00D34E13">
        <w:rPr>
          <w:i/>
          <w:szCs w:val="18"/>
        </w:rPr>
        <w:t>VET provider market structures: history, growth and change</w:t>
      </w:r>
      <w:r w:rsidR="00F8420E" w:rsidRPr="00D34E13">
        <w:rPr>
          <w:szCs w:val="18"/>
        </w:rPr>
        <w:t xml:space="preserve">, </w:t>
      </w:r>
      <w:r w:rsidR="00EF28C4">
        <w:rPr>
          <w:szCs w:val="18"/>
        </w:rPr>
        <w:t>viewed October 2016, &lt;</w:t>
      </w:r>
      <w:hyperlink r:id="rId57" w:history="1">
        <w:r w:rsidR="00EF28C4" w:rsidRPr="00B4649D">
          <w:rPr>
            <w:rStyle w:val="Hyperlink"/>
            <w:sz w:val="18"/>
            <w:szCs w:val="18"/>
          </w:rPr>
          <w:t>https://www.ncver.edu.au/publications/publications/all-publications/2871</w:t>
        </w:r>
      </w:hyperlink>
      <w:r w:rsidR="00EF28C4">
        <w:rPr>
          <w:szCs w:val="18"/>
        </w:rPr>
        <w:t xml:space="preserve">&gt;, </w:t>
      </w:r>
      <w:r w:rsidR="00F8420E" w:rsidRPr="00D34E13">
        <w:rPr>
          <w:szCs w:val="18"/>
        </w:rPr>
        <w:t>NCVER, Adelaide.</w:t>
      </w:r>
    </w:p>
    <w:p w:rsidR="00F8420E" w:rsidRPr="00442D9E" w:rsidRDefault="00F8420E" w:rsidP="0028498D">
      <w:pPr>
        <w:pStyle w:val="References"/>
        <w:spacing w:before="70"/>
      </w:pPr>
      <w:r w:rsidRPr="00D34E13">
        <w:rPr>
          <w:szCs w:val="18"/>
        </w:rPr>
        <w:t xml:space="preserve">Misko, J 2015, </w:t>
      </w:r>
      <w:r w:rsidRPr="00D34E13">
        <w:rPr>
          <w:i/>
          <w:szCs w:val="18"/>
        </w:rPr>
        <w:t>Developing, approving and maintaining qualifications: selected</w:t>
      </w:r>
      <w:r>
        <w:rPr>
          <w:i/>
        </w:rPr>
        <w:t xml:space="preserve"> international approaches</w:t>
      </w:r>
      <w:r>
        <w:t>, NCVER, Adelaide.</w:t>
      </w:r>
    </w:p>
    <w:p w:rsidR="00F8420E" w:rsidRDefault="00F8420E" w:rsidP="0028498D">
      <w:pPr>
        <w:pStyle w:val="References"/>
        <w:spacing w:before="70"/>
      </w:pPr>
      <w:r>
        <w:t xml:space="preserve">NCVER (National Centre for Vocational Education Research) 2015, </w:t>
      </w:r>
      <w:r>
        <w:rPr>
          <w:i/>
        </w:rPr>
        <w:t>Australian vocational education and training statistics: total VET student and courses 2014</w:t>
      </w:r>
      <w:r>
        <w:t xml:space="preserve">, NCVER, Adelaide. </w:t>
      </w:r>
    </w:p>
    <w:p w:rsidR="00F8420E" w:rsidRDefault="00C56C8E" w:rsidP="0028498D">
      <w:pPr>
        <w:pStyle w:val="References"/>
        <w:spacing w:before="70"/>
      </w:pPr>
      <w:r>
        <w:t>—— 2016</w:t>
      </w:r>
      <w:r w:rsidR="00F8420E">
        <w:t xml:space="preserve">, </w:t>
      </w:r>
      <w:r w:rsidR="00F8420E">
        <w:rPr>
          <w:i/>
        </w:rPr>
        <w:t>Australian vocational education and training statistics: total VET students and courses 2015</w:t>
      </w:r>
      <w:r w:rsidR="00F8420E">
        <w:t>, NCVER, Adelaide.</w:t>
      </w:r>
    </w:p>
    <w:p w:rsidR="00D843F8" w:rsidRDefault="00D843F8" w:rsidP="0028498D">
      <w:pPr>
        <w:pStyle w:val="References"/>
        <w:spacing w:before="70"/>
      </w:pPr>
      <w:r>
        <w:t>National Quality Council &amp; Council of Australian Governments Joint S</w:t>
      </w:r>
      <w:r w:rsidR="00B57E45">
        <w:t>teering</w:t>
      </w:r>
      <w:r>
        <w:t xml:space="preserve"> Committee 200</w:t>
      </w:r>
      <w:r w:rsidR="00B57E45">
        <w:t xml:space="preserve">9, </w:t>
      </w:r>
      <w:r w:rsidR="00B57E45" w:rsidRPr="00B57E45">
        <w:rPr>
          <w:i/>
        </w:rPr>
        <w:t>VET products for the 21st century: final report</w:t>
      </w:r>
      <w:r w:rsidR="00B57E45">
        <w:t>, viewed October 2016, &lt;http</w:t>
      </w:r>
      <w:r w:rsidR="00B57E45" w:rsidRPr="009A1E7D">
        <w:t>://www.coag.gov.au/sites/default/files/VET_products.pdf</w:t>
      </w:r>
      <w:r w:rsidR="00B57E45">
        <w:t>&gt;.</w:t>
      </w:r>
    </w:p>
    <w:p w:rsidR="00F8420E" w:rsidRPr="00D34E13" w:rsidRDefault="00F8420E" w:rsidP="0028498D">
      <w:pPr>
        <w:pStyle w:val="References"/>
        <w:spacing w:before="70"/>
        <w:rPr>
          <w:szCs w:val="18"/>
        </w:rPr>
      </w:pPr>
      <w:r>
        <w:rPr>
          <w:szCs w:val="18"/>
        </w:rPr>
        <w:t xml:space="preserve">United Kingdom </w:t>
      </w:r>
      <w:r w:rsidRPr="00D34E13">
        <w:rPr>
          <w:szCs w:val="18"/>
        </w:rPr>
        <w:t xml:space="preserve">Department for Business Innovation and Skills, 2014, </w:t>
      </w:r>
      <w:proofErr w:type="gramStart"/>
      <w:r w:rsidRPr="00F8420E">
        <w:rPr>
          <w:i/>
          <w:szCs w:val="18"/>
        </w:rPr>
        <w:t>Getting</w:t>
      </w:r>
      <w:proofErr w:type="gramEnd"/>
      <w:r w:rsidRPr="00F8420E">
        <w:rPr>
          <w:i/>
          <w:szCs w:val="18"/>
        </w:rPr>
        <w:t xml:space="preserve"> the job done: the government’s reform plan for vocational qualification</w:t>
      </w:r>
      <w:r w:rsidRPr="00D34E13">
        <w:rPr>
          <w:szCs w:val="18"/>
        </w:rPr>
        <w:t xml:space="preserve">s, </w:t>
      </w:r>
      <w:r w:rsidR="00C64205" w:rsidRPr="00D34E13">
        <w:rPr>
          <w:szCs w:val="18"/>
        </w:rPr>
        <w:t>viewed June 2014</w:t>
      </w:r>
      <w:r w:rsidR="00C64205">
        <w:rPr>
          <w:szCs w:val="18"/>
        </w:rPr>
        <w:t xml:space="preserve">, </w:t>
      </w:r>
      <w:r w:rsidRPr="00D34E13">
        <w:rPr>
          <w:szCs w:val="18"/>
        </w:rPr>
        <w:t>&lt;</w:t>
      </w:r>
      <w:hyperlink r:id="rId58" w:history="1">
        <w:r w:rsidRPr="00D34E13">
          <w:rPr>
            <w:rStyle w:val="Hyperlink"/>
            <w:sz w:val="18"/>
            <w:szCs w:val="18"/>
          </w:rPr>
          <w:t>https://www.gov.uk/government/uploads/system/uploads/attachment_data/file/286749/bis-14-577-vocational-qualification-reform-plan.pdf</w:t>
        </w:r>
      </w:hyperlink>
      <w:r w:rsidR="00C64205">
        <w:rPr>
          <w:szCs w:val="18"/>
        </w:rPr>
        <w:t>&gt;</w:t>
      </w:r>
      <w:r w:rsidRPr="00D34E13">
        <w:rPr>
          <w:szCs w:val="18"/>
        </w:rPr>
        <w:t>.</w:t>
      </w:r>
    </w:p>
    <w:p w:rsidR="00F8420E" w:rsidRPr="00BD6335" w:rsidRDefault="00F8420E" w:rsidP="0028498D">
      <w:pPr>
        <w:pStyle w:val="References"/>
        <w:spacing w:before="70"/>
        <w:rPr>
          <w:szCs w:val="18"/>
        </w:rPr>
      </w:pPr>
      <w:r>
        <w:rPr>
          <w:szCs w:val="18"/>
        </w:rPr>
        <w:t xml:space="preserve">United Kingdom </w:t>
      </w:r>
      <w:r w:rsidRPr="00D34E13">
        <w:rPr>
          <w:szCs w:val="18"/>
        </w:rPr>
        <w:t>Department f</w:t>
      </w:r>
      <w:r w:rsidR="00C64205">
        <w:rPr>
          <w:szCs w:val="18"/>
        </w:rPr>
        <w:t>or Business Innovation &amp; Skills &amp;</w:t>
      </w:r>
      <w:r w:rsidRPr="00D34E13">
        <w:rPr>
          <w:szCs w:val="18"/>
        </w:rPr>
        <w:t xml:space="preserve"> Department for Education 2016, </w:t>
      </w:r>
      <w:r w:rsidRPr="00C64205">
        <w:rPr>
          <w:i/>
          <w:szCs w:val="18"/>
        </w:rPr>
        <w:t>Post-16 Skills Plan</w:t>
      </w:r>
      <w:r w:rsidRPr="00D34E13">
        <w:rPr>
          <w:szCs w:val="18"/>
        </w:rPr>
        <w:t xml:space="preserve">, viewed October 2016, </w:t>
      </w:r>
      <w:r w:rsidR="006A0A1F">
        <w:rPr>
          <w:szCs w:val="18"/>
        </w:rPr>
        <w:t>&lt;</w:t>
      </w:r>
      <w:hyperlink r:id="rId59" w:history="1">
        <w:r w:rsidR="006A0A1F" w:rsidRPr="004648E1">
          <w:rPr>
            <w:rStyle w:val="Hyperlink"/>
            <w:sz w:val="18"/>
            <w:szCs w:val="18"/>
          </w:rPr>
          <w:t>https://www.gov.uk/government/publications/post-16-skills-plan-and-independent-report-on-technical-education</w:t>
        </w:r>
      </w:hyperlink>
      <w:r w:rsidR="006A0A1F">
        <w:rPr>
          <w:szCs w:val="18"/>
        </w:rPr>
        <w:t>&gt;</w:t>
      </w:r>
      <w:r w:rsidR="006A0A1F">
        <w:rPr>
          <w:rStyle w:val="Hyperlink"/>
          <w:sz w:val="18"/>
          <w:szCs w:val="18"/>
        </w:rPr>
        <w:t xml:space="preserve">, </w:t>
      </w:r>
      <w:r w:rsidR="006A0A1F" w:rsidRPr="00D34E13">
        <w:rPr>
          <w:szCs w:val="18"/>
        </w:rPr>
        <w:t>Stationery Office, London</w:t>
      </w:r>
      <w:r w:rsidR="006A0A1F">
        <w:rPr>
          <w:szCs w:val="18"/>
        </w:rPr>
        <w:t>.</w:t>
      </w:r>
    </w:p>
    <w:p w:rsidR="00F8420E" w:rsidRPr="004A7C3D" w:rsidRDefault="0028498D" w:rsidP="006A0A1F">
      <w:pPr>
        <w:pStyle w:val="References"/>
      </w:pPr>
      <w:proofErr w:type="spellStart"/>
      <w:proofErr w:type="gramStart"/>
      <w:r>
        <w:t>Wheelahan</w:t>
      </w:r>
      <w:proofErr w:type="spellEnd"/>
      <w:r>
        <w:t>, L, Buchanan, J &amp;</w:t>
      </w:r>
      <w:r w:rsidR="00F8420E">
        <w:t xml:space="preserve"> Yu, S 2015, </w:t>
      </w:r>
      <w:r w:rsidR="00F8420E">
        <w:rPr>
          <w:i/>
        </w:rPr>
        <w:t>Linking qualifications and the labour market through capabilities and vocational streams</w:t>
      </w:r>
      <w:r w:rsidR="00F8420E">
        <w:t>, NCVER, Adelaide.</w:t>
      </w:r>
      <w:proofErr w:type="gramEnd"/>
    </w:p>
    <w:p w:rsidR="008A1C3C" w:rsidRDefault="00510A67" w:rsidP="00510A67">
      <w:pPr>
        <w:pStyle w:val="Heading1"/>
        <w:ind w:left="720"/>
      </w:pPr>
      <w:bookmarkStart w:id="76" w:name="_Toc465162165"/>
      <w:r w:rsidRPr="00510A67">
        <w:rPr>
          <w:noProof/>
          <w:lang w:eastAsia="en-AU"/>
        </w:rPr>
        <w:lastRenderedPageBreak/>
        <w:drawing>
          <wp:anchor distT="0" distB="0" distL="114300" distR="114300" simplePos="0" relativeHeight="252036096" behindDoc="1" locked="0" layoutInCell="1" allowOverlap="1" wp14:anchorId="167A71A1" wp14:editId="7265E036">
            <wp:simplePos x="0" y="0"/>
            <wp:positionH relativeFrom="column">
              <wp:posOffset>-64135</wp:posOffset>
            </wp:positionH>
            <wp:positionV relativeFrom="paragraph">
              <wp:posOffset>-4445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References_Green.emf"/>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C3C">
        <w:t>Appendix</w:t>
      </w:r>
      <w:r w:rsidR="009F3826">
        <w:t xml:space="preserve"> –</w:t>
      </w:r>
      <w:r w:rsidR="000E6960">
        <w:t xml:space="preserve"> Overseas approaches to the removal of qualifications</w:t>
      </w:r>
      <w:bookmarkEnd w:id="76"/>
      <w:r w:rsidR="000E6960">
        <w:t xml:space="preserve"> </w:t>
      </w:r>
    </w:p>
    <w:p w:rsidR="000E6960" w:rsidRDefault="000E6960" w:rsidP="0065507A">
      <w:pPr>
        <w:pStyle w:val="Text"/>
      </w:pPr>
      <w:r w:rsidRPr="001D4139">
        <w:t>Vocational education and training systems at home and overseas want to ensure that they deliver relevant and credible qualifications for individuals, for workplaces and for society in general. There is a desire across domestic</w:t>
      </w:r>
      <w:r w:rsidR="009F3826">
        <w:t xml:space="preserve"> (Department of Education and Training 2015a) </w:t>
      </w:r>
      <w:r w:rsidRPr="001D4139">
        <w:t xml:space="preserve">and overseas jurisdictions to </w:t>
      </w:r>
      <w:r w:rsidR="009F3826">
        <w:t>contain</w:t>
      </w:r>
      <w:r w:rsidRPr="001D4139">
        <w:t xml:space="preserve"> the </w:t>
      </w:r>
      <w:r w:rsidR="009F3826">
        <w:t>number</w:t>
      </w:r>
      <w:r w:rsidRPr="001D4139">
        <w:t xml:space="preserve"> of qualifications that duplicate the content of other qualifications or are either no longer required or relevant for cur</w:t>
      </w:r>
      <w:r w:rsidR="004170F1">
        <w:t>rent environments (CEDEFOP 2010</w:t>
      </w:r>
      <w:r w:rsidRPr="001D4139">
        <w:t>).</w:t>
      </w:r>
      <w:r w:rsidR="00932F20">
        <w:t xml:space="preserve"> </w:t>
      </w:r>
      <w:r w:rsidRPr="001D4139">
        <w:t>The concern is that having too many qualifications or qualifications that duplicate those already available clogs up systems and makes pathways less easy to interpret. The removal or retiring of qualifications is especially an issue for systems where there is a proliferation of available qualifications. New Zealand and the United Kingdom (including Scotland) have implemented systematic review processes</w:t>
      </w:r>
      <w:r w:rsidR="009F3826">
        <w:t>,</w:t>
      </w:r>
      <w:r w:rsidRPr="001D4139">
        <w:t xml:space="preserve"> which target for removal from relevant registers further education qualifications that have experienced zero or very low uptake over a specified period of time (usually two years).</w:t>
      </w:r>
      <w:r w:rsidR="00932F20">
        <w:t xml:space="preserve"> </w:t>
      </w:r>
    </w:p>
    <w:p w:rsidR="000E6960" w:rsidRPr="001D4139" w:rsidRDefault="000E6960" w:rsidP="0065507A">
      <w:pPr>
        <w:pStyle w:val="Text"/>
      </w:pPr>
      <w:r w:rsidRPr="001D4139">
        <w:t>In other European member states (CEDEFOP 2010, 2012</w:t>
      </w:r>
      <w:r w:rsidR="009F3826">
        <w:t>a</w:t>
      </w:r>
      <w:r w:rsidRPr="001D4139">
        <w:t xml:space="preserve">, 2014) a system of review is often undertaken at the time the qualification comes up for renewal (that is, at the expiry of its life cycle, usually </w:t>
      </w:r>
      <w:r w:rsidR="009F3826">
        <w:t>four to five</w:t>
      </w:r>
      <w:r w:rsidRPr="001D4139">
        <w:t xml:space="preserve"> years). This system of general reviews is based on consultations with key stakeholders (including social partners, educational institutions, professional associations, industry group</w:t>
      </w:r>
      <w:r w:rsidR="00D34E13">
        <w:t xml:space="preserve">s and in some cases students). </w:t>
      </w:r>
      <w:r w:rsidRPr="001D4139">
        <w:t xml:space="preserve">Government agencies may also have responsibility for informing systems about the types of qualifications that are required or </w:t>
      </w:r>
      <w:r w:rsidR="00266B4C">
        <w:t xml:space="preserve">are </w:t>
      </w:r>
      <w:r w:rsidRPr="001D4139">
        <w:t>no longer in demand. For example, the Labour Market Council, which is attached to the National Agency for Higher Vocational Education in Sweden, analyses labour market trends to ma</w:t>
      </w:r>
      <w:r w:rsidR="009F3826">
        <w:t>ke such decisions (CEDEFOP 2012b</w:t>
      </w:r>
      <w:r w:rsidRPr="001D4139">
        <w:t>).</w:t>
      </w:r>
    </w:p>
    <w:p w:rsidR="000E6960" w:rsidRDefault="000E6960" w:rsidP="0065507A">
      <w:pPr>
        <w:pStyle w:val="Text"/>
      </w:pPr>
      <w:r>
        <w:t>The Department of Business, Innovation and Skills (2014) of the United Kingdom used the zero or low uptake for two years rule to address the proliferation of qualifications on public funding lists administered by the Skills Funding Agency. In 2014</w:t>
      </w:r>
      <w:r w:rsidR="00EC1C77">
        <w:t>,</w:t>
      </w:r>
      <w:r w:rsidR="009F3826">
        <w:t xml:space="preserve"> there were 15 </w:t>
      </w:r>
      <w:r>
        <w:t>800 qualifications in the adult vocational education sector (under the Qualifications and Credit Framework), with 11 000 eligible for public funding. These 11 000 included many qualifications that had not been used. To streamline the public funding list</w:t>
      </w:r>
      <w:r w:rsidR="00EC1C77">
        <w:t>,</w:t>
      </w:r>
      <w:r>
        <w:t xml:space="preserve"> the Skill</w:t>
      </w:r>
      <w:r w:rsidR="00D34E13">
        <w:t>s Funding Agency removed 3</w:t>
      </w:r>
      <w:r>
        <w:t>000 qualifications</w:t>
      </w:r>
      <w:r w:rsidR="009F3826">
        <w:t>,</w:t>
      </w:r>
      <w:r>
        <w:t xml:space="preserve"> with </w:t>
      </w:r>
      <w:r w:rsidR="009F3826">
        <w:t>the</w:t>
      </w:r>
      <w:r>
        <w:t xml:space="preserve"> </w:t>
      </w:r>
      <w:r w:rsidR="00D34E13">
        <w:t xml:space="preserve">intention </w:t>
      </w:r>
      <w:r w:rsidR="009F3826">
        <w:t>of removing</w:t>
      </w:r>
      <w:r w:rsidR="00D34E13">
        <w:t xml:space="preserve"> a further 5</w:t>
      </w:r>
      <w:r>
        <w:t xml:space="preserve">000 qualifications over the next year. The aim was also to review and rationalise those areas </w:t>
      </w:r>
      <w:r w:rsidR="00EC1C77">
        <w:t>that</w:t>
      </w:r>
      <w:r>
        <w:t xml:space="preserve"> have traditionally been developed as qualifications for accreditation in order to access funding (for example, activities like work experience, résumé writing, or developing interview skills). </w:t>
      </w:r>
    </w:p>
    <w:p w:rsidR="000E6960" w:rsidRPr="000E6960" w:rsidRDefault="000E6960" w:rsidP="0065507A">
      <w:pPr>
        <w:pStyle w:val="Text"/>
        <w:rPr>
          <w:rFonts w:ascii="Tahoma" w:hAnsi="Tahoma" w:cs="Tahoma"/>
          <w:sz w:val="16"/>
          <w:szCs w:val="16"/>
        </w:rPr>
      </w:pPr>
      <w:r>
        <w:t>A more consultative approach was taken in the United Kingdom Vocational Qualification Reform Program (UKVQR): Strand 4 of the UKVQR Programme (led by the Federation of Awarding Bodies and the Joint Council for Qualifications). The program aimed to investigate areas where qualifications could be removed, and to consult with and gain approval from industry about the areas where such qualifications could be removed. The first list of suggestions made by the U</w:t>
      </w:r>
      <w:r w:rsidR="00D34E13">
        <w:t>KVQR Strand 4 group comprised 1</w:t>
      </w:r>
      <w:r>
        <w:t xml:space="preserve">412 qualifications; this list was reduced to 554 qualifications because of issues with the certification data. After </w:t>
      </w:r>
      <w:r>
        <w:lastRenderedPageBreak/>
        <w:t>consultation with sector skills councils</w:t>
      </w:r>
      <w:r w:rsidR="00EC1C77">
        <w:t>,</w:t>
      </w:r>
      <w:r>
        <w:t xml:space="preserve"> the list of 554 was further reduced to 304, with the sector skills councils making a case to retain many qualifications identified by Strand 4 for withdrawal. Of 104 National Vocational Qualifications (NVQ</w:t>
      </w:r>
      <w:r w:rsidR="009F3826">
        <w:t>s</w:t>
      </w:r>
      <w:r>
        <w:t xml:space="preserve">) put to </w:t>
      </w:r>
      <w:r w:rsidR="00140808">
        <w:t xml:space="preserve">sector </w:t>
      </w:r>
      <w:r>
        <w:t>skills councils</w:t>
      </w:r>
      <w:r w:rsidR="00967791">
        <w:t>,</w:t>
      </w:r>
      <w:r>
        <w:t xml:space="preserve"> just seven (6.7%) were recommended for removal. The key reasons given by sector skills councils for retaining qualifications were that qualifications were required to meet labour market demands and </w:t>
      </w:r>
      <w:r w:rsidR="009F3826">
        <w:t>were</w:t>
      </w:r>
      <w:r>
        <w:t xml:space="preserve"> necessary for progression to other qualifications. </w:t>
      </w:r>
    </w:p>
    <w:p w:rsidR="000E6960" w:rsidRDefault="000E6960" w:rsidP="000E6960">
      <w:pPr>
        <w:pStyle w:val="Heading2"/>
      </w:pPr>
      <w:bookmarkStart w:id="77" w:name="_Toc465162166"/>
      <w:r>
        <w:t>A closer look at the New Zealand and Scottish systems</w:t>
      </w:r>
      <w:bookmarkEnd w:id="77"/>
      <w:r>
        <w:t xml:space="preserve"> </w:t>
      </w:r>
    </w:p>
    <w:p w:rsidR="0065507A" w:rsidRPr="0065507A" w:rsidRDefault="008A1C3C" w:rsidP="0065507A">
      <w:pPr>
        <w:pStyle w:val="Dotpoint1"/>
        <w:numPr>
          <w:ilvl w:val="0"/>
          <w:numId w:val="0"/>
        </w:numPr>
        <w:ind w:left="284" w:hanging="284"/>
        <w:rPr>
          <w:rStyle w:val="Heading3Char"/>
          <w:rFonts w:ascii="Trebuchet MS" w:hAnsi="Trebuchet MS" w:cs="Times New Roman"/>
          <w:sz w:val="19"/>
        </w:rPr>
      </w:pPr>
      <w:r w:rsidRPr="0065507A">
        <w:rPr>
          <w:rStyle w:val="Heading3Char"/>
        </w:rPr>
        <w:t>New Zealand</w:t>
      </w:r>
    </w:p>
    <w:p w:rsidR="008A1C3C" w:rsidRPr="000E6960" w:rsidRDefault="008A1C3C" w:rsidP="0065507A">
      <w:pPr>
        <w:pStyle w:val="Dotpoint1"/>
        <w:numPr>
          <w:ilvl w:val="0"/>
          <w:numId w:val="0"/>
        </w:numPr>
        <w:tabs>
          <w:tab w:val="clear" w:pos="284"/>
          <w:tab w:val="left" w:pos="0"/>
        </w:tabs>
      </w:pPr>
      <w:r w:rsidRPr="000E6960">
        <w:t xml:space="preserve">The retiring or removal of qualification on the New Zealand Qualifications Authority’s (NZQA) register of qualifications is embedded in a system of regular and nationally mandated reviews. These reviews have been driven by concerns that the system was fragmented and confusing (for example, there were around 6000 qualifications). These reviews map existing qualifications to current and future workforce needs and roles, and to </w:t>
      </w:r>
      <w:r w:rsidR="009F3826">
        <w:t xml:space="preserve">the </w:t>
      </w:r>
      <w:r w:rsidRPr="000E6960">
        <w:t>skills required for those roles. This means that all qualifications have been and are being reviewed to remove duplicated qualifications, unused qualifications, and qualifications that are not fit for purpose. All qualifications have a mandatory review timeline (generally every five years)</w:t>
      </w:r>
      <w:r w:rsidR="009F3826">
        <w:t>;</w:t>
      </w:r>
      <w:r w:rsidRPr="000E6960">
        <w:t xml:space="preserve"> however</w:t>
      </w:r>
      <w:r w:rsidR="009F3826">
        <w:t>,</w:t>
      </w:r>
      <w:r w:rsidRPr="000E6960">
        <w:t xml:space="preserve"> the NZQA can demand a review if the qualification has not been used for two years. The qualification developer is responsible for managing the review and the NZQA for oversight of the review. The qualification developer will develop a review plan and begin by identifying: the demand for the qualifications; duplication of qualifications; and alignment of qualification</w:t>
      </w:r>
      <w:r w:rsidR="00967791">
        <w:t>s with</w:t>
      </w:r>
      <w:r w:rsidRPr="000E6960">
        <w:t xml:space="preserve"> current and future workforce needs and roles. Information on current and future roles in the sector is to be confirmed in consultations with relevant stakeholders. This information is then used to develop and ‘scope’ the suite of qualifications required. Decisions are also made about whether qualifications should be identified as ‘expiring’ or ‘discontinued’. Once the review has been completed, a report on the results of the review, including any changes required, will be forwarded to the NZQA. As the NZQA is responsible for qualifications listed on the NZQF</w:t>
      </w:r>
      <w:r w:rsidR="00967791">
        <w:t>,</w:t>
      </w:r>
      <w:r w:rsidRPr="000E6960">
        <w:t xml:space="preserve"> it is the final decision-maker on the outcome of the review process. When recommendations for changes are approved by the NZQA</w:t>
      </w:r>
      <w:r w:rsidR="00967791">
        <w:t>,</w:t>
      </w:r>
      <w:r w:rsidRPr="000E6960">
        <w:t xml:space="preserve"> the qualification developer must implement the approved recommendations and agree to accept the results of the review, including the need to change the status of their qualifications, if this is required. </w:t>
      </w:r>
    </w:p>
    <w:p w:rsidR="0065507A" w:rsidRDefault="008A1C3C" w:rsidP="0065507A">
      <w:pPr>
        <w:pStyle w:val="Dotpoint1"/>
        <w:numPr>
          <w:ilvl w:val="0"/>
          <w:numId w:val="0"/>
        </w:numPr>
        <w:ind w:left="284" w:hanging="284"/>
        <w:rPr>
          <w:rStyle w:val="Heading3Char"/>
        </w:rPr>
      </w:pPr>
      <w:r w:rsidRPr="0065507A">
        <w:rPr>
          <w:rStyle w:val="Heading3Char"/>
        </w:rPr>
        <w:t>Scotland</w:t>
      </w:r>
    </w:p>
    <w:p w:rsidR="008A1C3C" w:rsidRDefault="008A1C3C" w:rsidP="0065507A">
      <w:pPr>
        <w:pStyle w:val="Dotpoint1"/>
        <w:numPr>
          <w:ilvl w:val="0"/>
          <w:numId w:val="0"/>
        </w:numPr>
        <w:tabs>
          <w:tab w:val="clear" w:pos="284"/>
        </w:tabs>
      </w:pPr>
      <w:r>
        <w:t>The Scottish Qualifications Authority’s Accreditation Committee reviews registration and certifications each quarter and identifies those accredited qualifications with no candidate uptake for a period of two consecutive years.</w:t>
      </w:r>
      <w:r w:rsidRPr="0017048F">
        <w:rPr>
          <w:sz w:val="12"/>
          <w:szCs w:val="12"/>
        </w:rPr>
        <w:t xml:space="preserve"> </w:t>
      </w:r>
      <w:r>
        <w:t xml:space="preserve">These qualifications are identified for review. The awarding body will then be informed that SQA Accreditation will be reviewing the qualification; it will also be asked to justify why the qualification should remain. The Accreditation Committee will investigate further by examining the information originally provided for the accreditation of the qualification and look for evidence of uptake at the unit level rather than at the full qualification level. A report </w:t>
      </w:r>
      <w:r w:rsidR="00967791">
        <w:t>that</w:t>
      </w:r>
      <w:r>
        <w:t xml:space="preserve"> takes all </w:t>
      </w:r>
      <w:r w:rsidR="00BC34B0">
        <w:t xml:space="preserve">of </w:t>
      </w:r>
      <w:r>
        <w:t xml:space="preserve">this information into account will be provided to the Accreditation Coordination Group (the group that approves awarding bodies and accredits qualifications on behalf of the Accreditation Committee). This group will make a decision about continuation, further review down the track or removal of accreditation. If the intention is to withdraw the </w:t>
      </w:r>
      <w:r>
        <w:lastRenderedPageBreak/>
        <w:t xml:space="preserve">qualification, the awarding body is given three months warning of the Accreditation Coordination Group’s intention to do so. </w:t>
      </w:r>
      <w:r w:rsidR="001152E8">
        <w:t xml:space="preserve">If the </w:t>
      </w:r>
      <w:r w:rsidR="00BC34B0">
        <w:t>decision is made</w:t>
      </w:r>
      <w:r>
        <w:t xml:space="preserve"> to continue the qualification, the group may impose some sanctions within certain timelines. If these obligations are not met, then the Accreditation Coordination Group may automatically withdraw the accreditation. Awarding bodies have the right to appeal against such decisions. </w:t>
      </w:r>
    </w:p>
    <w:p w:rsidR="00F56954" w:rsidRDefault="00F56954">
      <w:pPr>
        <w:rPr>
          <w:color w:val="000000"/>
        </w:rPr>
      </w:pPr>
    </w:p>
    <w:p w:rsidR="000E6960" w:rsidRDefault="000E6960">
      <w:r>
        <w:br w:type="page"/>
      </w:r>
    </w:p>
    <w:bookmarkEnd w:id="39"/>
    <w:bookmarkEnd w:id="40"/>
    <w:p w:rsidR="00324917" w:rsidRDefault="00324917" w:rsidP="00324917">
      <w:pPr>
        <w:pStyle w:val="Text"/>
        <w:sectPr w:rsidR="00324917" w:rsidSect="00543BFF">
          <w:type w:val="continuous"/>
          <w:pgSz w:w="11907" w:h="16840" w:code="9"/>
          <w:pgMar w:top="1276" w:right="2552" w:bottom="1276" w:left="1418" w:header="709" w:footer="556" w:gutter="0"/>
          <w:cols w:space="708"/>
          <w:docGrid w:linePitch="360"/>
        </w:sectPr>
      </w:pPr>
    </w:p>
    <w:bookmarkEnd w:id="34"/>
    <w:p w:rsidR="00606061" w:rsidRPr="009F3844" w:rsidRDefault="003C45BD" w:rsidP="00A93A9F">
      <w:pPr>
        <w:rPr>
          <w:noProof/>
        </w:rPr>
      </w:pPr>
      <w:r w:rsidRPr="00246BBF">
        <w:rPr>
          <w:noProof/>
          <w:lang w:eastAsia="en-AU"/>
        </w:rPr>
        <w:lastRenderedPageBreak/>
        <w:drawing>
          <wp:anchor distT="0" distB="0" distL="114300" distR="114300" simplePos="0" relativeHeight="251905024" behindDoc="0" locked="0" layoutInCell="1" allowOverlap="1" wp14:anchorId="6BB54A4B" wp14:editId="24F00D2B">
            <wp:simplePos x="0" y="0"/>
            <wp:positionH relativeFrom="column">
              <wp:posOffset>3019425</wp:posOffset>
            </wp:positionH>
            <wp:positionV relativeFrom="paragraph">
              <wp:posOffset>8804910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7072" behindDoc="0" locked="0" layoutInCell="1" allowOverlap="1" wp14:anchorId="5718736B" wp14:editId="6010A942">
            <wp:simplePos x="0" y="0"/>
            <wp:positionH relativeFrom="column">
              <wp:posOffset>4410710</wp:posOffset>
            </wp:positionH>
            <wp:positionV relativeFrom="paragraph">
              <wp:posOffset>8801735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9F3844">
        <w:rPr>
          <w:noProof/>
          <w:lang w:eastAsia="en-AU"/>
        </w:rPr>
        <w:drawing>
          <wp:anchor distT="0" distB="0" distL="114300" distR="114300" simplePos="0" relativeHeight="251900928" behindDoc="0" locked="0" layoutInCell="1" allowOverlap="1" wp14:anchorId="5AAF7184" wp14:editId="17A2AECC">
            <wp:simplePos x="0" y="0"/>
            <wp:positionH relativeFrom="column">
              <wp:posOffset>4210685</wp:posOffset>
            </wp:positionH>
            <wp:positionV relativeFrom="paragraph">
              <wp:posOffset>7042785</wp:posOffset>
            </wp:positionV>
            <wp:extent cx="2276475" cy="486410"/>
            <wp:effectExtent l="0" t="0" r="0" b="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00F05268">
        <w:rPr>
          <w:noProof/>
          <w:lang w:eastAsia="en-AU"/>
        </w:rPr>
        <mc:AlternateContent>
          <mc:Choice Requires="wps">
            <w:drawing>
              <wp:anchor distT="0" distB="0" distL="114300" distR="114300" simplePos="0" relativeHeight="251902976" behindDoc="0" locked="0" layoutInCell="1" allowOverlap="1">
                <wp:simplePos x="0" y="0"/>
                <wp:positionH relativeFrom="column">
                  <wp:posOffset>1424305</wp:posOffset>
                </wp:positionH>
                <wp:positionV relativeFrom="paragraph">
                  <wp:posOffset>7743190</wp:posOffset>
                </wp:positionV>
                <wp:extent cx="5143500" cy="1638300"/>
                <wp:effectExtent l="0" t="0" r="0" b="0"/>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3E4B" w:rsidRPr="006E0B9E" w:rsidRDefault="00883E4B" w:rsidP="009F3844">
                            <w:pPr>
                              <w:jc w:val="right"/>
                              <w:rPr>
                                <w:rFonts w:ascii="Arial" w:hAnsi="Arial" w:cs="Arial"/>
                                <w:b/>
                              </w:rPr>
                            </w:pPr>
                            <w:r w:rsidRPr="006E0B9E">
                              <w:rPr>
                                <w:rFonts w:ascii="Arial" w:hAnsi="Arial" w:cs="Arial"/>
                                <w:b/>
                              </w:rPr>
                              <w:t>National Centre for Vocational Education Research</w:t>
                            </w:r>
                          </w:p>
                          <w:p w:rsidR="00883E4B" w:rsidRPr="006E0B9E" w:rsidRDefault="00883E4B"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883E4B" w:rsidRPr="006E0B9E" w:rsidRDefault="00883E4B"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883E4B" w:rsidRPr="006E0B9E" w:rsidRDefault="00883E4B"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61"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62" w:history="1">
                              <w:r w:rsidRPr="006C271D">
                                <w:rPr>
                                  <w:rStyle w:val="Hyperlink"/>
                                  <w:rFonts w:ascii="Arial" w:hAnsi="Arial" w:cs="Arial"/>
                                  <w:sz w:val="16"/>
                                  <w:szCs w:val="16"/>
                                </w:rPr>
                                <w:t>http://www.lsay.edu.au</w:t>
                              </w:r>
                            </w:hyperlink>
                            <w:r w:rsidRPr="006C271D">
                              <w:rPr>
                                <w:rFonts w:ascii="Arial" w:hAnsi="Arial" w:cs="Arial"/>
                                <w:szCs w:val="16"/>
                              </w:rPr>
                              <w:t>&gt;</w:t>
                            </w:r>
                          </w:p>
                          <w:p w:rsidR="00883E4B" w:rsidRPr="006E0B9E" w:rsidRDefault="00883E4B"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3"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883E4B" w:rsidRPr="009F3844" w:rsidRDefault="00883E4B"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margin-left:112.15pt;margin-top:609.7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" filled="f" stroked="f" strokeweight=".5pt">
                <v:path arrowok="t"/>
                <v:textbox>
                  <w:txbxContent>
                    <w:p w:rsidR="00883E4B" w:rsidRPr="006E0B9E" w:rsidRDefault="00883E4B" w:rsidP="009F3844">
                      <w:pPr>
                        <w:jc w:val="right"/>
                        <w:rPr>
                          <w:rFonts w:ascii="Arial" w:hAnsi="Arial" w:cs="Arial"/>
                          <w:b/>
                        </w:rPr>
                      </w:pPr>
                      <w:r w:rsidRPr="006E0B9E">
                        <w:rPr>
                          <w:rFonts w:ascii="Arial" w:hAnsi="Arial" w:cs="Arial"/>
                          <w:b/>
                        </w:rPr>
                        <w:t>National Centre for Vocational Education Research</w:t>
                      </w:r>
                    </w:p>
                    <w:p w:rsidR="00883E4B" w:rsidRPr="006E0B9E" w:rsidRDefault="00883E4B"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883E4B" w:rsidRPr="006E0B9E" w:rsidRDefault="00883E4B"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883E4B" w:rsidRPr="006E0B9E" w:rsidRDefault="00883E4B"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66"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67" w:history="1">
                        <w:r w:rsidRPr="006C271D">
                          <w:rPr>
                            <w:rStyle w:val="Hyperlink"/>
                            <w:rFonts w:ascii="Arial" w:hAnsi="Arial" w:cs="Arial"/>
                            <w:sz w:val="16"/>
                            <w:szCs w:val="16"/>
                          </w:rPr>
                          <w:t>http://www.lsay.edu.au</w:t>
                        </w:r>
                      </w:hyperlink>
                      <w:r w:rsidRPr="006C271D">
                        <w:rPr>
                          <w:rFonts w:ascii="Arial" w:hAnsi="Arial" w:cs="Arial"/>
                          <w:szCs w:val="16"/>
                        </w:rPr>
                        <w:t>&gt;</w:t>
                      </w:r>
                    </w:p>
                    <w:p w:rsidR="00883E4B" w:rsidRPr="006E0B9E" w:rsidRDefault="00883E4B"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8"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883E4B" w:rsidRPr="009F3844" w:rsidRDefault="00883E4B" w:rsidP="009F3844">
                      <w:pPr>
                        <w:rPr>
                          <w:rFonts w:ascii="Arial" w:hAnsi="Arial" w:cs="Arial"/>
                          <w:sz w:val="16"/>
                          <w:szCs w:val="16"/>
                        </w:rPr>
                      </w:pPr>
                    </w:p>
                  </w:txbxContent>
                </v:textbox>
              </v:shape>
            </w:pict>
          </mc:Fallback>
        </mc:AlternateContent>
      </w:r>
      <w:r w:rsidRPr="009F3844">
        <w:rPr>
          <w:noProof/>
          <w:lang w:eastAsia="en-AU"/>
        </w:rPr>
        <w:drawing>
          <wp:anchor distT="0" distB="0" distL="114300" distR="114300" simplePos="0" relativeHeight="251901952" behindDoc="0" locked="0" layoutInCell="1" allowOverlap="1" wp14:anchorId="38E3B934" wp14:editId="1344E02D">
            <wp:simplePos x="0" y="0"/>
            <wp:positionH relativeFrom="column">
              <wp:posOffset>-709295</wp:posOffset>
            </wp:positionH>
            <wp:positionV relativeFrom="paragraph">
              <wp:posOffset>9240520</wp:posOffset>
            </wp:positionV>
            <wp:extent cx="7542530" cy="561975"/>
            <wp:effectExtent l="0" t="0" r="0" b="0"/>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00F05268">
        <w:rPr>
          <w:noProof/>
          <w:lang w:eastAsia="en-AU"/>
        </w:rPr>
        <mc:AlternateContent>
          <mc:Choice Requires="wps">
            <w:drawing>
              <wp:anchor distT="0" distB="0" distL="114300" distR="114300" simplePos="0" relativeHeight="251997184" behindDoc="0" locked="0" layoutInCell="1" allowOverlap="1">
                <wp:simplePos x="0" y="0"/>
                <wp:positionH relativeFrom="column">
                  <wp:posOffset>-952500</wp:posOffset>
                </wp:positionH>
                <wp:positionV relativeFrom="paragraph">
                  <wp:posOffset>380365</wp:posOffset>
                </wp:positionV>
                <wp:extent cx="5560695" cy="1038225"/>
                <wp:effectExtent l="0" t="0" r="1905" b="9525"/>
                <wp:wrapNone/>
                <wp:docPr id="6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1038225"/>
                        </a:xfrm>
                        <a:prstGeom prst="rect">
                          <a:avLst/>
                        </a:prstGeom>
                        <a:solidFill>
                          <a:srgbClr val="FFFFFF"/>
                        </a:solidFill>
                        <a:ln w="9525">
                          <a:noFill/>
                          <a:miter lim="800000"/>
                          <a:headEnd/>
                          <a:tailEnd/>
                        </a:ln>
                      </wps:spPr>
                      <wps:txbx>
                        <w:txbxContent>
                          <w:p w:rsidR="00883E4B" w:rsidRPr="00156177" w:rsidRDefault="00883E4B" w:rsidP="00156177">
                            <w:pPr>
                              <w:pStyle w:val="Text"/>
                              <w:rPr>
                                <w:b/>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75pt;margin-top:29.95pt;width:437.85pt;height:81.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" stroked="f">
                <v:textbox>
                  <w:txbxContent>
                    <w:p w:rsidR="00883E4B" w:rsidRPr="00156177" w:rsidRDefault="00883E4B" w:rsidP="00156177">
                      <w:pPr>
                        <w:pStyle w:val="Text"/>
                        <w:rPr>
                          <w:b/>
                          <w:color w:val="C00000"/>
                        </w:rPr>
                      </w:pPr>
                    </w:p>
                  </w:txbxContent>
                </v:textbox>
              </v:shape>
            </w:pict>
          </mc:Fallback>
        </mc:AlternateContent>
      </w:r>
    </w:p>
    <w:sectPr w:rsidR="00606061" w:rsidRPr="009F3844" w:rsidSect="009F3844">
      <w:footerReference w:type="even" r:id="rId70"/>
      <w:footerReference w:type="default" r:id="rId71"/>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E4B" w:rsidRDefault="00883E4B">
      <w:r>
        <w:separator/>
      </w:r>
    </w:p>
    <w:p w:rsidR="00883E4B" w:rsidRDefault="00883E4B"/>
  </w:endnote>
  <w:endnote w:type="continuationSeparator" w:id="0">
    <w:p w:rsidR="00883E4B" w:rsidRDefault="00883E4B">
      <w:r>
        <w:continuationSeparator/>
      </w:r>
    </w:p>
    <w:p w:rsidR="00883E4B" w:rsidRDefault="00883E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4B" w:rsidRPr="00C83D73" w:rsidRDefault="00883E4B" w:rsidP="00AD4D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4B" w:rsidRPr="009F3844" w:rsidRDefault="00883E4B" w:rsidP="009F3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4B" w:rsidRPr="00C83D73" w:rsidRDefault="00883E4B"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4B" w:rsidRPr="004B031A" w:rsidRDefault="00883E4B" w:rsidP="004B03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4B" w:rsidRPr="00214ED0" w:rsidRDefault="00883E4B"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4B" w:rsidRPr="00E333AC" w:rsidRDefault="00883E4B" w:rsidP="00E333A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4B" w:rsidRPr="00606061" w:rsidRDefault="00883E4B" w:rsidP="00D66D9A">
    <w:pPr>
      <w:pStyle w:val="Footer"/>
      <w:tabs>
        <w:tab w:val="clear" w:pos="7655"/>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sidR="00E56BB0">
      <w:rPr>
        <w:rStyle w:val="PageNumber"/>
        <w:noProof/>
        <w:color w:val="000000" w:themeColor="text1"/>
        <w:sz w:val="17"/>
      </w:rPr>
      <w:t>5</w:t>
    </w:r>
    <w:r w:rsidRPr="00606061">
      <w:rPr>
        <w:rStyle w:val="PageNumber"/>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4B" w:rsidRPr="00606061" w:rsidRDefault="00883E4B" w:rsidP="00973FAA">
    <w:pPr>
      <w:pStyle w:val="Footer"/>
      <w:tabs>
        <w:tab w:val="clear" w:pos="7655"/>
        <w:tab w:val="right" w:pos="8505"/>
      </w:tabs>
      <w:ind w:hanging="1701"/>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E56BB0">
      <w:rPr>
        <w:noProof/>
        <w:color w:val="000000" w:themeColor="text1"/>
      </w:rPr>
      <w:t>38</w:t>
    </w:r>
    <w:r w:rsidRPr="00606061">
      <w:rPr>
        <w:b w:val="0"/>
        <w:color w:val="000000" w:themeColor="text1"/>
      </w:rPr>
      <w:fldChar w:fldCharType="end"/>
    </w:r>
    <w:r w:rsidRPr="00606061">
      <w:rPr>
        <w:color w:val="000000" w:themeColor="text1"/>
      </w:rPr>
      <w:tab/>
    </w:r>
    <w:r>
      <w:rPr>
        <w:color w:val="000000" w:themeColor="text1"/>
      </w:rPr>
      <w:tab/>
    </w:r>
    <w:r w:rsidRPr="00973FAA">
      <w:rPr>
        <w:color w:val="000000" w:themeColor="text1"/>
      </w:rPr>
      <w:t>Uptake and utility of VET qualifications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4B" w:rsidRPr="00513938" w:rsidRDefault="00883E4B" w:rsidP="00973FAA">
    <w:pPr>
      <w:pStyle w:val="Footer"/>
      <w:tabs>
        <w:tab w:val="clear" w:pos="7655"/>
        <w:tab w:val="right" w:pos="9639"/>
      </w:tabs>
      <w:ind w:left="-567"/>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E56BB0">
      <w:rPr>
        <w:rStyle w:val="PageNumber"/>
        <w:rFonts w:ascii="Arial" w:hAnsi="Arial"/>
        <w:noProof/>
        <w:color w:val="000000" w:themeColor="text1"/>
        <w:sz w:val="17"/>
      </w:rPr>
      <w:t>37</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4B" w:rsidRPr="009F3844" w:rsidRDefault="00883E4B" w:rsidP="009F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E4B" w:rsidRDefault="00883E4B">
      <w:r>
        <w:separator/>
      </w:r>
    </w:p>
    <w:p w:rsidR="00883E4B" w:rsidRDefault="00883E4B"/>
  </w:footnote>
  <w:footnote w:type="continuationSeparator" w:id="0">
    <w:p w:rsidR="00883E4B" w:rsidRDefault="00883E4B">
      <w:r>
        <w:continuationSeparator/>
      </w:r>
    </w:p>
    <w:p w:rsidR="00883E4B" w:rsidRDefault="00883E4B"/>
  </w:footnote>
  <w:footnote w:id="1">
    <w:p w:rsidR="00883E4B" w:rsidRDefault="00883E4B">
      <w:pPr>
        <w:pStyle w:val="FootnoteText"/>
      </w:pPr>
      <w:r w:rsidRPr="00F40683">
        <w:rPr>
          <w:rStyle w:val="FootnoteReference"/>
          <w:vertAlign w:val="baseline"/>
        </w:rPr>
        <w:footnoteRef/>
      </w:r>
      <w:r w:rsidRPr="00F40683">
        <w:t xml:space="preserve"> </w:t>
      </w:r>
      <w:r>
        <w:t>Training.gov.au is the National Register on vocational education and training in Australia. </w:t>
      </w:r>
    </w:p>
  </w:footnote>
  <w:footnote w:id="2">
    <w:p w:rsidR="00883E4B" w:rsidRDefault="00883E4B" w:rsidP="00103A31">
      <w:pPr>
        <w:pStyle w:val="FootnoteText"/>
      </w:pPr>
      <w:r w:rsidRPr="00103A31">
        <w:rPr>
          <w:rStyle w:val="FootnoteReference"/>
          <w:vertAlign w:val="baseline"/>
        </w:rPr>
        <w:footnoteRef/>
      </w:r>
      <w:r w:rsidRPr="00103A31">
        <w:t xml:space="preserve"> </w:t>
      </w:r>
      <w:r>
        <w:tab/>
      </w:r>
      <w:proofErr w:type="gramStart"/>
      <w:r>
        <w:t>See &lt;</w:t>
      </w:r>
      <w:hyperlink r:id="rId1" w:history="1">
        <w:r w:rsidRPr="00911284">
          <w:rPr>
            <w:rStyle w:val="Hyperlink"/>
            <w:sz w:val="16"/>
          </w:rPr>
          <w:t>http://www.ncver.edu.au/__data/assets/pdf_file/0030/58089/Program_enrolments.pdf</w:t>
        </w:r>
      </w:hyperlink>
      <w:r>
        <w:t>&gt; for more information.</w:t>
      </w:r>
      <w:proofErr w:type="gramEnd"/>
    </w:p>
  </w:footnote>
  <w:footnote w:id="3">
    <w:p w:rsidR="00883E4B" w:rsidRDefault="00883E4B">
      <w:pPr>
        <w:pStyle w:val="FootnoteText"/>
      </w:pPr>
      <w:r w:rsidRPr="00103A31">
        <w:rPr>
          <w:rStyle w:val="FootnoteReference"/>
          <w:vertAlign w:val="baseline"/>
        </w:rPr>
        <w:footnoteRef/>
      </w:r>
      <w:r w:rsidRPr="00103A31">
        <w:t xml:space="preserve"> </w:t>
      </w:r>
      <w:r w:rsidRPr="00103A31">
        <w:tab/>
      </w:r>
      <w:r>
        <w:t xml:space="preserve">According to the </w:t>
      </w:r>
      <w:r>
        <w:rPr>
          <w:i/>
        </w:rPr>
        <w:t>Standards for registered training organisations (RTOs) 2015</w:t>
      </w:r>
      <w:r>
        <w:t xml:space="preserve"> in the Commonwealth of Australia’s </w:t>
      </w:r>
      <w:r w:rsidRPr="005F06FB">
        <w:t>National Vocational Education and Training Regulator Act 2011</w:t>
      </w:r>
      <w:r>
        <w:t>, when a qualification is superseded, providers have a period of one year to complete learners’ training and assessment and issue the relevant AQF certification or transfer learners into the replacement qualification.</w:t>
      </w:r>
    </w:p>
  </w:footnote>
  <w:footnote w:id="4">
    <w:p w:rsidR="00883E4B" w:rsidRDefault="00883E4B">
      <w:pPr>
        <w:pStyle w:val="FootnoteText"/>
      </w:pPr>
      <w:r w:rsidRPr="00103A31">
        <w:rPr>
          <w:rStyle w:val="FootnoteReference"/>
          <w:vertAlign w:val="baseline"/>
        </w:rPr>
        <w:footnoteRef/>
      </w:r>
      <w:r w:rsidRPr="00103A31">
        <w:t xml:space="preserve"> </w:t>
      </w:r>
      <w:r>
        <w:tab/>
        <w:t>The appendix also reports on approaches taken in other European states and the approach taken by the United Kingdom Vocational Reform (UKVQR) program.</w:t>
      </w:r>
    </w:p>
  </w:footnote>
  <w:footnote w:id="5">
    <w:p w:rsidR="00883E4B" w:rsidRDefault="00883E4B">
      <w:pPr>
        <w:pStyle w:val="FootnoteText"/>
      </w:pPr>
      <w:r w:rsidRPr="00103A31">
        <w:rPr>
          <w:rStyle w:val="FootnoteReference"/>
          <w:vertAlign w:val="baseline"/>
        </w:rPr>
        <w:footnoteRef/>
      </w:r>
      <w:r w:rsidRPr="00103A31">
        <w:t xml:space="preserve"> </w:t>
      </w:r>
      <w:r>
        <w:tab/>
        <w:t>This includes qualifications for which activity may not be reported, such as qualifications in the Defence Training Package.</w:t>
      </w:r>
    </w:p>
  </w:footnote>
  <w:footnote w:id="6">
    <w:p w:rsidR="00883E4B" w:rsidRDefault="00883E4B" w:rsidP="00A346AB">
      <w:pPr>
        <w:pStyle w:val="FootnoteText"/>
      </w:pPr>
      <w:r w:rsidRPr="006A0A1F">
        <w:rPr>
          <w:rStyle w:val="FootnoteReference"/>
          <w:vertAlign w:val="baseline"/>
        </w:rPr>
        <w:footnoteRef/>
      </w:r>
      <w:r w:rsidRPr="006A0A1F">
        <w:t xml:space="preserve"> </w:t>
      </w:r>
      <w:r>
        <w:tab/>
        <w:t>For example, the Victorian Government removing public funding from certain courses: &lt;</w:t>
      </w:r>
      <w:r w:rsidRPr="00EE469F">
        <w:t>http://www.abc.net.au/news/2016-08-26/vic-government-moves-to-overhaul-scandal-plagued-tafe-system/7790380</w:t>
      </w:r>
      <w:r>
        <w:t>&gt; and the Australian Government proposing to restrict student loans to courses on skills needs list &lt;</w:t>
      </w:r>
      <w:r w:rsidRPr="00EE469F">
        <w:t>http://ministers.education.gov.au/birmingham/new-vet-student-loans-course-list-focussed-employment-outcomes</w:t>
      </w:r>
      <w:r>
        <w:t>&gt;.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4B" w:rsidRDefault="00883E4B" w:rsidP="004E1A1B">
    <w:pPr>
      <w:tabs>
        <w:tab w:val="left" w:pos="5972"/>
      </w:tabs>
    </w:pPr>
    <w:r w:rsidRPr="00214ED0">
      <w:rPr>
        <w:noProof/>
        <w:lang w:eastAsia="en-AU"/>
      </w:rPr>
      <w:drawing>
        <wp:anchor distT="0" distB="0" distL="114300" distR="114300" simplePos="0" relativeHeight="251659264" behindDoc="1" locked="0" layoutInCell="1" allowOverlap="1" wp14:anchorId="67AF4590" wp14:editId="4A0C8658">
          <wp:simplePos x="0" y="0"/>
          <wp:positionH relativeFrom="column">
            <wp:posOffset>34925</wp:posOffset>
          </wp:positionH>
          <wp:positionV relativeFrom="paragraph">
            <wp:posOffset>8621</wp:posOffset>
          </wp:positionV>
          <wp:extent cx="5930153" cy="101167"/>
          <wp:effectExtent l="0" t="0" r="0" b="0"/>
          <wp:wrapNone/>
          <wp:docPr id="41" name="Picture 41"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4B" w:rsidRPr="00D66D9A" w:rsidRDefault="00883E4B" w:rsidP="00D66D9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4B" w:rsidRPr="00D66D9A" w:rsidRDefault="00883E4B"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C9A74B8"/>
    <w:multiLevelType w:val="hybridMultilevel"/>
    <w:tmpl w:val="F09C499C"/>
    <w:lvl w:ilvl="0" w:tplc="6ED42ABE">
      <w:start w:val="1"/>
      <w:numFmt w:val="bullet"/>
      <w:lvlText w:val="•"/>
      <w:lvlJc w:val="left"/>
      <w:pPr>
        <w:tabs>
          <w:tab w:val="num" w:pos="720"/>
        </w:tabs>
        <w:ind w:left="720" w:hanging="360"/>
      </w:pPr>
      <w:rPr>
        <w:rFonts w:ascii="Arial" w:hAnsi="Arial" w:hint="default"/>
      </w:rPr>
    </w:lvl>
    <w:lvl w:ilvl="1" w:tplc="3EA21A2E" w:tentative="1">
      <w:start w:val="1"/>
      <w:numFmt w:val="bullet"/>
      <w:lvlText w:val="•"/>
      <w:lvlJc w:val="left"/>
      <w:pPr>
        <w:tabs>
          <w:tab w:val="num" w:pos="1440"/>
        </w:tabs>
        <w:ind w:left="1440" w:hanging="360"/>
      </w:pPr>
      <w:rPr>
        <w:rFonts w:ascii="Arial" w:hAnsi="Arial" w:hint="default"/>
      </w:rPr>
    </w:lvl>
    <w:lvl w:ilvl="2" w:tplc="D8D057CA" w:tentative="1">
      <w:start w:val="1"/>
      <w:numFmt w:val="bullet"/>
      <w:lvlText w:val="•"/>
      <w:lvlJc w:val="left"/>
      <w:pPr>
        <w:tabs>
          <w:tab w:val="num" w:pos="2160"/>
        </w:tabs>
        <w:ind w:left="2160" w:hanging="360"/>
      </w:pPr>
      <w:rPr>
        <w:rFonts w:ascii="Arial" w:hAnsi="Arial" w:hint="default"/>
      </w:rPr>
    </w:lvl>
    <w:lvl w:ilvl="3" w:tplc="40267AEC" w:tentative="1">
      <w:start w:val="1"/>
      <w:numFmt w:val="bullet"/>
      <w:lvlText w:val="•"/>
      <w:lvlJc w:val="left"/>
      <w:pPr>
        <w:tabs>
          <w:tab w:val="num" w:pos="2880"/>
        </w:tabs>
        <w:ind w:left="2880" w:hanging="360"/>
      </w:pPr>
      <w:rPr>
        <w:rFonts w:ascii="Arial" w:hAnsi="Arial" w:hint="default"/>
      </w:rPr>
    </w:lvl>
    <w:lvl w:ilvl="4" w:tplc="337EF08C" w:tentative="1">
      <w:start w:val="1"/>
      <w:numFmt w:val="bullet"/>
      <w:lvlText w:val="•"/>
      <w:lvlJc w:val="left"/>
      <w:pPr>
        <w:tabs>
          <w:tab w:val="num" w:pos="3600"/>
        </w:tabs>
        <w:ind w:left="3600" w:hanging="360"/>
      </w:pPr>
      <w:rPr>
        <w:rFonts w:ascii="Arial" w:hAnsi="Arial" w:hint="default"/>
      </w:rPr>
    </w:lvl>
    <w:lvl w:ilvl="5" w:tplc="B7CE016A" w:tentative="1">
      <w:start w:val="1"/>
      <w:numFmt w:val="bullet"/>
      <w:lvlText w:val="•"/>
      <w:lvlJc w:val="left"/>
      <w:pPr>
        <w:tabs>
          <w:tab w:val="num" w:pos="4320"/>
        </w:tabs>
        <w:ind w:left="4320" w:hanging="360"/>
      </w:pPr>
      <w:rPr>
        <w:rFonts w:ascii="Arial" w:hAnsi="Arial" w:hint="default"/>
      </w:rPr>
    </w:lvl>
    <w:lvl w:ilvl="6" w:tplc="9406213C" w:tentative="1">
      <w:start w:val="1"/>
      <w:numFmt w:val="bullet"/>
      <w:lvlText w:val="•"/>
      <w:lvlJc w:val="left"/>
      <w:pPr>
        <w:tabs>
          <w:tab w:val="num" w:pos="5040"/>
        </w:tabs>
        <w:ind w:left="5040" w:hanging="360"/>
      </w:pPr>
      <w:rPr>
        <w:rFonts w:ascii="Arial" w:hAnsi="Arial" w:hint="default"/>
      </w:rPr>
    </w:lvl>
    <w:lvl w:ilvl="7" w:tplc="557CDEBE" w:tentative="1">
      <w:start w:val="1"/>
      <w:numFmt w:val="bullet"/>
      <w:lvlText w:val="•"/>
      <w:lvlJc w:val="left"/>
      <w:pPr>
        <w:tabs>
          <w:tab w:val="num" w:pos="5760"/>
        </w:tabs>
        <w:ind w:left="5760" w:hanging="360"/>
      </w:pPr>
      <w:rPr>
        <w:rFonts w:ascii="Arial" w:hAnsi="Arial" w:hint="default"/>
      </w:rPr>
    </w:lvl>
    <w:lvl w:ilvl="8" w:tplc="994A4E0E" w:tentative="1">
      <w:start w:val="1"/>
      <w:numFmt w:val="bullet"/>
      <w:lvlText w:val="•"/>
      <w:lvlJc w:val="left"/>
      <w:pPr>
        <w:tabs>
          <w:tab w:val="num" w:pos="6480"/>
        </w:tabs>
        <w:ind w:left="6480" w:hanging="360"/>
      </w:pPr>
      <w:rPr>
        <w:rFonts w:ascii="Arial" w:hAnsi="Arial" w:hint="default"/>
      </w:rPr>
    </w:lvl>
  </w:abstractNum>
  <w:abstractNum w:abstractNumId="12">
    <w:nsid w:val="1EE74987"/>
    <w:multiLevelType w:val="hybridMultilevel"/>
    <w:tmpl w:val="F992D9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EF66DFF"/>
    <w:multiLevelType w:val="hybridMultilevel"/>
    <w:tmpl w:val="414A004E"/>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9974911"/>
    <w:multiLevelType w:val="hybridMultilevel"/>
    <w:tmpl w:val="D4B824F6"/>
    <w:lvl w:ilvl="0" w:tplc="3EAA7186">
      <w:start w:val="1"/>
      <w:numFmt w:val="bullet"/>
      <w:pStyle w:val="Statsbullet"/>
      <w:lvlText w:val=""/>
      <w:lvlJc w:val="left"/>
      <w:pPr>
        <w:ind w:left="360" w:hanging="360"/>
      </w:pPr>
      <w:rPr>
        <w:rFonts w:ascii="Wingdings" w:hAnsi="Wingdings" w:hint="default"/>
        <w:color w:val="439539"/>
      </w:rPr>
    </w:lvl>
    <w:lvl w:ilvl="1" w:tplc="0C090003">
      <w:start w:val="1"/>
      <w:numFmt w:val="bullet"/>
      <w:lvlText w:val=""/>
      <w:lvlJc w:val="left"/>
      <w:pPr>
        <w:tabs>
          <w:tab w:val="num" w:pos="1440"/>
        </w:tabs>
        <w:ind w:left="1440" w:hanging="360"/>
      </w:pPr>
      <w:rPr>
        <w:rFonts w:ascii="Wingdings" w:hAnsi="Wingdings" w:hint="default"/>
        <w:color w:val="D10019"/>
      </w:rPr>
    </w:lvl>
    <w:lvl w:ilvl="2" w:tplc="8F96D888"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43973A7B"/>
    <w:multiLevelType w:val="hybridMultilevel"/>
    <w:tmpl w:val="7E3670C4"/>
    <w:lvl w:ilvl="0" w:tplc="6C3493F2">
      <w:start w:val="1"/>
      <w:numFmt w:val="bullet"/>
      <w:lvlText w:val="-"/>
      <w:lvlJc w:val="left"/>
      <w:pPr>
        <w:tabs>
          <w:tab w:val="num" w:pos="720"/>
        </w:tabs>
        <w:ind w:left="720" w:hanging="360"/>
      </w:pPr>
      <w:rPr>
        <w:rFonts w:ascii="Times New Roman" w:hAnsi="Times New Roman" w:hint="default"/>
      </w:rPr>
    </w:lvl>
    <w:lvl w:ilvl="1" w:tplc="5802964E" w:tentative="1">
      <w:start w:val="1"/>
      <w:numFmt w:val="bullet"/>
      <w:lvlText w:val="-"/>
      <w:lvlJc w:val="left"/>
      <w:pPr>
        <w:tabs>
          <w:tab w:val="num" w:pos="1440"/>
        </w:tabs>
        <w:ind w:left="1440" w:hanging="360"/>
      </w:pPr>
      <w:rPr>
        <w:rFonts w:ascii="Times New Roman" w:hAnsi="Times New Roman" w:hint="default"/>
      </w:rPr>
    </w:lvl>
    <w:lvl w:ilvl="2" w:tplc="9CD2CEE8" w:tentative="1">
      <w:start w:val="1"/>
      <w:numFmt w:val="bullet"/>
      <w:lvlText w:val="-"/>
      <w:lvlJc w:val="left"/>
      <w:pPr>
        <w:tabs>
          <w:tab w:val="num" w:pos="2160"/>
        </w:tabs>
        <w:ind w:left="2160" w:hanging="360"/>
      </w:pPr>
      <w:rPr>
        <w:rFonts w:ascii="Times New Roman" w:hAnsi="Times New Roman" w:hint="default"/>
      </w:rPr>
    </w:lvl>
    <w:lvl w:ilvl="3" w:tplc="4BC89B3A" w:tentative="1">
      <w:start w:val="1"/>
      <w:numFmt w:val="bullet"/>
      <w:lvlText w:val="-"/>
      <w:lvlJc w:val="left"/>
      <w:pPr>
        <w:tabs>
          <w:tab w:val="num" w:pos="2880"/>
        </w:tabs>
        <w:ind w:left="2880" w:hanging="360"/>
      </w:pPr>
      <w:rPr>
        <w:rFonts w:ascii="Times New Roman" w:hAnsi="Times New Roman" w:hint="default"/>
      </w:rPr>
    </w:lvl>
    <w:lvl w:ilvl="4" w:tplc="9F307402" w:tentative="1">
      <w:start w:val="1"/>
      <w:numFmt w:val="bullet"/>
      <w:lvlText w:val="-"/>
      <w:lvlJc w:val="left"/>
      <w:pPr>
        <w:tabs>
          <w:tab w:val="num" w:pos="3600"/>
        </w:tabs>
        <w:ind w:left="3600" w:hanging="360"/>
      </w:pPr>
      <w:rPr>
        <w:rFonts w:ascii="Times New Roman" w:hAnsi="Times New Roman" w:hint="default"/>
      </w:rPr>
    </w:lvl>
    <w:lvl w:ilvl="5" w:tplc="E0D29858" w:tentative="1">
      <w:start w:val="1"/>
      <w:numFmt w:val="bullet"/>
      <w:lvlText w:val="-"/>
      <w:lvlJc w:val="left"/>
      <w:pPr>
        <w:tabs>
          <w:tab w:val="num" w:pos="4320"/>
        </w:tabs>
        <w:ind w:left="4320" w:hanging="360"/>
      </w:pPr>
      <w:rPr>
        <w:rFonts w:ascii="Times New Roman" w:hAnsi="Times New Roman" w:hint="default"/>
      </w:rPr>
    </w:lvl>
    <w:lvl w:ilvl="6" w:tplc="DD1283C4" w:tentative="1">
      <w:start w:val="1"/>
      <w:numFmt w:val="bullet"/>
      <w:lvlText w:val="-"/>
      <w:lvlJc w:val="left"/>
      <w:pPr>
        <w:tabs>
          <w:tab w:val="num" w:pos="5040"/>
        </w:tabs>
        <w:ind w:left="5040" w:hanging="360"/>
      </w:pPr>
      <w:rPr>
        <w:rFonts w:ascii="Times New Roman" w:hAnsi="Times New Roman" w:hint="default"/>
      </w:rPr>
    </w:lvl>
    <w:lvl w:ilvl="7" w:tplc="930830FC" w:tentative="1">
      <w:start w:val="1"/>
      <w:numFmt w:val="bullet"/>
      <w:lvlText w:val="-"/>
      <w:lvlJc w:val="left"/>
      <w:pPr>
        <w:tabs>
          <w:tab w:val="num" w:pos="5760"/>
        </w:tabs>
        <w:ind w:left="5760" w:hanging="360"/>
      </w:pPr>
      <w:rPr>
        <w:rFonts w:ascii="Times New Roman" w:hAnsi="Times New Roman" w:hint="default"/>
      </w:rPr>
    </w:lvl>
    <w:lvl w:ilvl="8" w:tplc="BBA4214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87B6A18"/>
    <w:multiLevelType w:val="hybridMultilevel"/>
    <w:tmpl w:val="A6E04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613213CE"/>
    <w:multiLevelType w:val="multilevel"/>
    <w:tmpl w:val="025C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5">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73FD6F76"/>
    <w:multiLevelType w:val="hybridMultilevel"/>
    <w:tmpl w:val="A6E04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25"/>
  </w:num>
  <w:num w:numId="3">
    <w:abstractNumId w:val="21"/>
  </w:num>
  <w:num w:numId="4">
    <w:abstractNumId w:val="22"/>
  </w:num>
  <w:num w:numId="5">
    <w:abstractNumId w:val="10"/>
  </w:num>
  <w:num w:numId="6">
    <w:abstractNumId w:val="26"/>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6"/>
  </w:num>
  <w:num w:numId="10">
    <w:abstractNumId w:val="1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5"/>
  </w:num>
  <w:num w:numId="21">
    <w:abstractNumId w:val="23"/>
  </w:num>
  <w:num w:numId="22">
    <w:abstractNumId w:val="11"/>
  </w:num>
  <w:num w:numId="23">
    <w:abstractNumId w:val="17"/>
  </w:num>
  <w:num w:numId="24">
    <w:abstractNumId w:val="12"/>
  </w:num>
  <w:num w:numId="25">
    <w:abstractNumId w:val="27"/>
  </w:num>
  <w:num w:numId="26">
    <w:abstractNumId w:val="14"/>
  </w:num>
  <w:num w:numId="27">
    <w:abstractNumId w:val="18"/>
  </w:num>
  <w:num w:numId="28">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49153">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f70a9221-398d-4c21-9844-dfe72d7ca592"/>
  </w:docVars>
  <w:rsids>
    <w:rsidRoot w:val="005C2470"/>
    <w:rsid w:val="00005C2F"/>
    <w:rsid w:val="00007979"/>
    <w:rsid w:val="0001059B"/>
    <w:rsid w:val="000108B2"/>
    <w:rsid w:val="000138F5"/>
    <w:rsid w:val="00014845"/>
    <w:rsid w:val="00022290"/>
    <w:rsid w:val="0002340E"/>
    <w:rsid w:val="00024BAE"/>
    <w:rsid w:val="000314DC"/>
    <w:rsid w:val="000340F1"/>
    <w:rsid w:val="00040B29"/>
    <w:rsid w:val="000435A6"/>
    <w:rsid w:val="00045371"/>
    <w:rsid w:val="00045E77"/>
    <w:rsid w:val="00045E9B"/>
    <w:rsid w:val="0004657F"/>
    <w:rsid w:val="000533F9"/>
    <w:rsid w:val="00055AAF"/>
    <w:rsid w:val="0006125F"/>
    <w:rsid w:val="00061602"/>
    <w:rsid w:val="000656A6"/>
    <w:rsid w:val="00065CA4"/>
    <w:rsid w:val="00074BD4"/>
    <w:rsid w:val="00083C29"/>
    <w:rsid w:val="000850B4"/>
    <w:rsid w:val="00085EA9"/>
    <w:rsid w:val="0008621B"/>
    <w:rsid w:val="00087A67"/>
    <w:rsid w:val="000939E6"/>
    <w:rsid w:val="00096FCB"/>
    <w:rsid w:val="000A03A1"/>
    <w:rsid w:val="000A0DB5"/>
    <w:rsid w:val="000A1881"/>
    <w:rsid w:val="000A1A90"/>
    <w:rsid w:val="000A1DA2"/>
    <w:rsid w:val="000A3EB2"/>
    <w:rsid w:val="000A4472"/>
    <w:rsid w:val="000A6A74"/>
    <w:rsid w:val="000A76C0"/>
    <w:rsid w:val="000B077D"/>
    <w:rsid w:val="000B19B2"/>
    <w:rsid w:val="000B7873"/>
    <w:rsid w:val="000B7B75"/>
    <w:rsid w:val="000C2D6E"/>
    <w:rsid w:val="000C379E"/>
    <w:rsid w:val="000C37F3"/>
    <w:rsid w:val="000C44CD"/>
    <w:rsid w:val="000C613B"/>
    <w:rsid w:val="000C7273"/>
    <w:rsid w:val="000D1083"/>
    <w:rsid w:val="000D439B"/>
    <w:rsid w:val="000D675B"/>
    <w:rsid w:val="000D6884"/>
    <w:rsid w:val="000D7EF9"/>
    <w:rsid w:val="000E097E"/>
    <w:rsid w:val="000E6960"/>
    <w:rsid w:val="000F0E3F"/>
    <w:rsid w:val="000F378C"/>
    <w:rsid w:val="000F5C33"/>
    <w:rsid w:val="00100C4F"/>
    <w:rsid w:val="00103439"/>
    <w:rsid w:val="00103751"/>
    <w:rsid w:val="00103A31"/>
    <w:rsid w:val="0010408B"/>
    <w:rsid w:val="0010761A"/>
    <w:rsid w:val="00113805"/>
    <w:rsid w:val="001152E8"/>
    <w:rsid w:val="001209BE"/>
    <w:rsid w:val="0012228C"/>
    <w:rsid w:val="00122486"/>
    <w:rsid w:val="00122741"/>
    <w:rsid w:val="00123B5C"/>
    <w:rsid w:val="00124E32"/>
    <w:rsid w:val="00131C09"/>
    <w:rsid w:val="001337D5"/>
    <w:rsid w:val="00134DF5"/>
    <w:rsid w:val="00135C75"/>
    <w:rsid w:val="00137D18"/>
    <w:rsid w:val="00140808"/>
    <w:rsid w:val="001419C1"/>
    <w:rsid w:val="001450E8"/>
    <w:rsid w:val="0014564C"/>
    <w:rsid w:val="001465B5"/>
    <w:rsid w:val="001467E4"/>
    <w:rsid w:val="001506E7"/>
    <w:rsid w:val="00150874"/>
    <w:rsid w:val="001509F3"/>
    <w:rsid w:val="00151ED1"/>
    <w:rsid w:val="00153704"/>
    <w:rsid w:val="00156177"/>
    <w:rsid w:val="001606D3"/>
    <w:rsid w:val="001647B6"/>
    <w:rsid w:val="00167AF9"/>
    <w:rsid w:val="0017048F"/>
    <w:rsid w:val="001855EE"/>
    <w:rsid w:val="00187BF6"/>
    <w:rsid w:val="001934C2"/>
    <w:rsid w:val="00196C5B"/>
    <w:rsid w:val="00197855"/>
    <w:rsid w:val="001A0371"/>
    <w:rsid w:val="001A20C8"/>
    <w:rsid w:val="001A2DFE"/>
    <w:rsid w:val="001A46B3"/>
    <w:rsid w:val="001A4B4C"/>
    <w:rsid w:val="001A6021"/>
    <w:rsid w:val="001A6414"/>
    <w:rsid w:val="001A65AB"/>
    <w:rsid w:val="001B0CB6"/>
    <w:rsid w:val="001B14BD"/>
    <w:rsid w:val="001B43CF"/>
    <w:rsid w:val="001B4F72"/>
    <w:rsid w:val="001B55B3"/>
    <w:rsid w:val="001C004A"/>
    <w:rsid w:val="001C07FA"/>
    <w:rsid w:val="001C1DC4"/>
    <w:rsid w:val="001C30F9"/>
    <w:rsid w:val="001C6000"/>
    <w:rsid w:val="001C713A"/>
    <w:rsid w:val="001D4139"/>
    <w:rsid w:val="001D486C"/>
    <w:rsid w:val="001D4BE1"/>
    <w:rsid w:val="001E0DA8"/>
    <w:rsid w:val="001E7E4A"/>
    <w:rsid w:val="001F3740"/>
    <w:rsid w:val="001F7D84"/>
    <w:rsid w:val="00200A39"/>
    <w:rsid w:val="00200CF8"/>
    <w:rsid w:val="002021EB"/>
    <w:rsid w:val="00211950"/>
    <w:rsid w:val="0021222D"/>
    <w:rsid w:val="00214DFC"/>
    <w:rsid w:val="00214ED0"/>
    <w:rsid w:val="00215140"/>
    <w:rsid w:val="002175B6"/>
    <w:rsid w:val="00220A0A"/>
    <w:rsid w:val="0022302F"/>
    <w:rsid w:val="002277A9"/>
    <w:rsid w:val="00231873"/>
    <w:rsid w:val="00233BFA"/>
    <w:rsid w:val="00235ABC"/>
    <w:rsid w:val="0024136D"/>
    <w:rsid w:val="0024319E"/>
    <w:rsid w:val="00243206"/>
    <w:rsid w:val="0024476F"/>
    <w:rsid w:val="00245D4E"/>
    <w:rsid w:val="00250642"/>
    <w:rsid w:val="00251024"/>
    <w:rsid w:val="00251C6F"/>
    <w:rsid w:val="00257F95"/>
    <w:rsid w:val="00261114"/>
    <w:rsid w:val="00262B49"/>
    <w:rsid w:val="002630FB"/>
    <w:rsid w:val="0026649B"/>
    <w:rsid w:val="00266512"/>
    <w:rsid w:val="00266B4C"/>
    <w:rsid w:val="00267FE2"/>
    <w:rsid w:val="00271267"/>
    <w:rsid w:val="0028146F"/>
    <w:rsid w:val="0028464B"/>
    <w:rsid w:val="0028498D"/>
    <w:rsid w:val="00284FCB"/>
    <w:rsid w:val="002864F0"/>
    <w:rsid w:val="002936E4"/>
    <w:rsid w:val="002947D3"/>
    <w:rsid w:val="002A239D"/>
    <w:rsid w:val="002B5A47"/>
    <w:rsid w:val="002C61C4"/>
    <w:rsid w:val="002C630F"/>
    <w:rsid w:val="002C7371"/>
    <w:rsid w:val="002C766F"/>
    <w:rsid w:val="002D0697"/>
    <w:rsid w:val="002D61F7"/>
    <w:rsid w:val="002E196B"/>
    <w:rsid w:val="002E4571"/>
    <w:rsid w:val="002E61A4"/>
    <w:rsid w:val="002E7E18"/>
    <w:rsid w:val="002F1CB1"/>
    <w:rsid w:val="002F22AC"/>
    <w:rsid w:val="002F4CC4"/>
    <w:rsid w:val="003007CD"/>
    <w:rsid w:val="00301F57"/>
    <w:rsid w:val="003028F7"/>
    <w:rsid w:val="00317397"/>
    <w:rsid w:val="00323C21"/>
    <w:rsid w:val="00324917"/>
    <w:rsid w:val="003309EE"/>
    <w:rsid w:val="0033376E"/>
    <w:rsid w:val="00334A24"/>
    <w:rsid w:val="003356D7"/>
    <w:rsid w:val="00335EA4"/>
    <w:rsid w:val="003364D3"/>
    <w:rsid w:val="0034004F"/>
    <w:rsid w:val="00343A0F"/>
    <w:rsid w:val="00344B5A"/>
    <w:rsid w:val="0034733C"/>
    <w:rsid w:val="00350A8B"/>
    <w:rsid w:val="00353E90"/>
    <w:rsid w:val="00360FAD"/>
    <w:rsid w:val="0036101C"/>
    <w:rsid w:val="003610F4"/>
    <w:rsid w:val="00363557"/>
    <w:rsid w:val="0036453F"/>
    <w:rsid w:val="00366E4E"/>
    <w:rsid w:val="003813E4"/>
    <w:rsid w:val="00390066"/>
    <w:rsid w:val="0039263D"/>
    <w:rsid w:val="00395440"/>
    <w:rsid w:val="00395447"/>
    <w:rsid w:val="003A030E"/>
    <w:rsid w:val="003A0742"/>
    <w:rsid w:val="003A798B"/>
    <w:rsid w:val="003B0363"/>
    <w:rsid w:val="003B16DA"/>
    <w:rsid w:val="003B1B35"/>
    <w:rsid w:val="003B483E"/>
    <w:rsid w:val="003C4526"/>
    <w:rsid w:val="003C454C"/>
    <w:rsid w:val="003C45BD"/>
    <w:rsid w:val="003D14BA"/>
    <w:rsid w:val="003D246E"/>
    <w:rsid w:val="003D288E"/>
    <w:rsid w:val="003D4B3E"/>
    <w:rsid w:val="003D659B"/>
    <w:rsid w:val="003D77F9"/>
    <w:rsid w:val="003E3C6A"/>
    <w:rsid w:val="003E67CB"/>
    <w:rsid w:val="003F5B20"/>
    <w:rsid w:val="00406BB7"/>
    <w:rsid w:val="004070C3"/>
    <w:rsid w:val="004170F1"/>
    <w:rsid w:val="0041725D"/>
    <w:rsid w:val="004233A2"/>
    <w:rsid w:val="00424885"/>
    <w:rsid w:val="004267AE"/>
    <w:rsid w:val="00430892"/>
    <w:rsid w:val="00432394"/>
    <w:rsid w:val="0043292A"/>
    <w:rsid w:val="00432F30"/>
    <w:rsid w:val="0043405C"/>
    <w:rsid w:val="00436A77"/>
    <w:rsid w:val="00440EDC"/>
    <w:rsid w:val="004410F0"/>
    <w:rsid w:val="00442D9E"/>
    <w:rsid w:val="00446BEA"/>
    <w:rsid w:val="00450136"/>
    <w:rsid w:val="00450356"/>
    <w:rsid w:val="00450AD2"/>
    <w:rsid w:val="00452372"/>
    <w:rsid w:val="00453BCB"/>
    <w:rsid w:val="00455E16"/>
    <w:rsid w:val="00456222"/>
    <w:rsid w:val="004665BF"/>
    <w:rsid w:val="00470F71"/>
    <w:rsid w:val="0047224C"/>
    <w:rsid w:val="00477642"/>
    <w:rsid w:val="0049204C"/>
    <w:rsid w:val="00492F71"/>
    <w:rsid w:val="00492F7A"/>
    <w:rsid w:val="004951EE"/>
    <w:rsid w:val="00497266"/>
    <w:rsid w:val="004A2720"/>
    <w:rsid w:val="004A7C3D"/>
    <w:rsid w:val="004B031A"/>
    <w:rsid w:val="004B190D"/>
    <w:rsid w:val="004B1F8A"/>
    <w:rsid w:val="004B3B19"/>
    <w:rsid w:val="004B5908"/>
    <w:rsid w:val="004B5B1B"/>
    <w:rsid w:val="004B5E86"/>
    <w:rsid w:val="004B6CA2"/>
    <w:rsid w:val="004C630C"/>
    <w:rsid w:val="004C69A8"/>
    <w:rsid w:val="004D217D"/>
    <w:rsid w:val="004E1A1B"/>
    <w:rsid w:val="004E3573"/>
    <w:rsid w:val="004E4DE9"/>
    <w:rsid w:val="004E5AC1"/>
    <w:rsid w:val="004E6BBD"/>
    <w:rsid w:val="004E7227"/>
    <w:rsid w:val="004E7AA6"/>
    <w:rsid w:val="004F063C"/>
    <w:rsid w:val="004F0B76"/>
    <w:rsid w:val="004F14FF"/>
    <w:rsid w:val="004F191B"/>
    <w:rsid w:val="004F4F18"/>
    <w:rsid w:val="004F59D6"/>
    <w:rsid w:val="004F66CE"/>
    <w:rsid w:val="00500BBA"/>
    <w:rsid w:val="00503F2F"/>
    <w:rsid w:val="00504DB9"/>
    <w:rsid w:val="00506A15"/>
    <w:rsid w:val="00510A67"/>
    <w:rsid w:val="00513095"/>
    <w:rsid w:val="00513938"/>
    <w:rsid w:val="00516E7C"/>
    <w:rsid w:val="0052276C"/>
    <w:rsid w:val="00522C45"/>
    <w:rsid w:val="00523C8B"/>
    <w:rsid w:val="005274D6"/>
    <w:rsid w:val="0053355D"/>
    <w:rsid w:val="005342AA"/>
    <w:rsid w:val="005378DA"/>
    <w:rsid w:val="00540E88"/>
    <w:rsid w:val="00541340"/>
    <w:rsid w:val="0054258A"/>
    <w:rsid w:val="00543BFF"/>
    <w:rsid w:val="00545D87"/>
    <w:rsid w:val="005460CF"/>
    <w:rsid w:val="005468C0"/>
    <w:rsid w:val="00547A0E"/>
    <w:rsid w:val="00553811"/>
    <w:rsid w:val="00554129"/>
    <w:rsid w:val="00556CDB"/>
    <w:rsid w:val="00563711"/>
    <w:rsid w:val="005653A4"/>
    <w:rsid w:val="005665A4"/>
    <w:rsid w:val="005673E3"/>
    <w:rsid w:val="005674AD"/>
    <w:rsid w:val="005675EA"/>
    <w:rsid w:val="00570758"/>
    <w:rsid w:val="0057134F"/>
    <w:rsid w:val="00581C8C"/>
    <w:rsid w:val="00581E70"/>
    <w:rsid w:val="00581F49"/>
    <w:rsid w:val="00585B30"/>
    <w:rsid w:val="00590B22"/>
    <w:rsid w:val="00591D38"/>
    <w:rsid w:val="00591E2A"/>
    <w:rsid w:val="005935DF"/>
    <w:rsid w:val="005948FE"/>
    <w:rsid w:val="005955B2"/>
    <w:rsid w:val="005A0EC0"/>
    <w:rsid w:val="005A3B4E"/>
    <w:rsid w:val="005A69FC"/>
    <w:rsid w:val="005B05A6"/>
    <w:rsid w:val="005B0748"/>
    <w:rsid w:val="005B1B25"/>
    <w:rsid w:val="005B3FB1"/>
    <w:rsid w:val="005B4A20"/>
    <w:rsid w:val="005B5647"/>
    <w:rsid w:val="005C2147"/>
    <w:rsid w:val="005C2470"/>
    <w:rsid w:val="005C2491"/>
    <w:rsid w:val="005C277E"/>
    <w:rsid w:val="005C2A62"/>
    <w:rsid w:val="005C50F8"/>
    <w:rsid w:val="005C51AD"/>
    <w:rsid w:val="005D491C"/>
    <w:rsid w:val="005D63CE"/>
    <w:rsid w:val="005E2855"/>
    <w:rsid w:val="005E46E9"/>
    <w:rsid w:val="005E4764"/>
    <w:rsid w:val="005E540C"/>
    <w:rsid w:val="005F06FB"/>
    <w:rsid w:val="005F1DC8"/>
    <w:rsid w:val="00606061"/>
    <w:rsid w:val="00606763"/>
    <w:rsid w:val="00610B4F"/>
    <w:rsid w:val="00614720"/>
    <w:rsid w:val="006150A8"/>
    <w:rsid w:val="006203DE"/>
    <w:rsid w:val="00620FCA"/>
    <w:rsid w:val="00621FAA"/>
    <w:rsid w:val="00623684"/>
    <w:rsid w:val="00624F96"/>
    <w:rsid w:val="00626B30"/>
    <w:rsid w:val="006274D6"/>
    <w:rsid w:val="00633639"/>
    <w:rsid w:val="006355FC"/>
    <w:rsid w:val="00636AEE"/>
    <w:rsid w:val="006411CD"/>
    <w:rsid w:val="006426A3"/>
    <w:rsid w:val="00643564"/>
    <w:rsid w:val="006447AB"/>
    <w:rsid w:val="00644BD0"/>
    <w:rsid w:val="00645365"/>
    <w:rsid w:val="006458A2"/>
    <w:rsid w:val="006475E3"/>
    <w:rsid w:val="00652973"/>
    <w:rsid w:val="0065507A"/>
    <w:rsid w:val="006564B7"/>
    <w:rsid w:val="0065668B"/>
    <w:rsid w:val="006572BC"/>
    <w:rsid w:val="00657BF5"/>
    <w:rsid w:val="00662513"/>
    <w:rsid w:val="00662E8F"/>
    <w:rsid w:val="006710E1"/>
    <w:rsid w:val="00675ECC"/>
    <w:rsid w:val="0067712D"/>
    <w:rsid w:val="0068075D"/>
    <w:rsid w:val="00681F4B"/>
    <w:rsid w:val="00682819"/>
    <w:rsid w:val="0068640D"/>
    <w:rsid w:val="006947E4"/>
    <w:rsid w:val="00696A48"/>
    <w:rsid w:val="00696D29"/>
    <w:rsid w:val="006A0A1F"/>
    <w:rsid w:val="006A1C8A"/>
    <w:rsid w:val="006A679B"/>
    <w:rsid w:val="006A68AE"/>
    <w:rsid w:val="006A6EEA"/>
    <w:rsid w:val="006B0B10"/>
    <w:rsid w:val="006B0C55"/>
    <w:rsid w:val="006B2148"/>
    <w:rsid w:val="006B282D"/>
    <w:rsid w:val="006B5DC6"/>
    <w:rsid w:val="006B6292"/>
    <w:rsid w:val="006C271D"/>
    <w:rsid w:val="006C3104"/>
    <w:rsid w:val="006C425D"/>
    <w:rsid w:val="006C545E"/>
    <w:rsid w:val="006C5DA9"/>
    <w:rsid w:val="006D2EFC"/>
    <w:rsid w:val="006D3BCC"/>
    <w:rsid w:val="006D421E"/>
    <w:rsid w:val="006D50AD"/>
    <w:rsid w:val="006D546E"/>
    <w:rsid w:val="006E0896"/>
    <w:rsid w:val="006E0926"/>
    <w:rsid w:val="006E0B7B"/>
    <w:rsid w:val="006E7231"/>
    <w:rsid w:val="006E79A3"/>
    <w:rsid w:val="006F10D7"/>
    <w:rsid w:val="006F71FD"/>
    <w:rsid w:val="006F7837"/>
    <w:rsid w:val="00702446"/>
    <w:rsid w:val="0070278C"/>
    <w:rsid w:val="00702C20"/>
    <w:rsid w:val="007037A4"/>
    <w:rsid w:val="00704F86"/>
    <w:rsid w:val="00706C43"/>
    <w:rsid w:val="00706CBA"/>
    <w:rsid w:val="0070782E"/>
    <w:rsid w:val="0071247D"/>
    <w:rsid w:val="00723354"/>
    <w:rsid w:val="00731EC8"/>
    <w:rsid w:val="007412E2"/>
    <w:rsid w:val="007435F5"/>
    <w:rsid w:val="00752E6C"/>
    <w:rsid w:val="00753998"/>
    <w:rsid w:val="0075539A"/>
    <w:rsid w:val="00755AC6"/>
    <w:rsid w:val="00760BFC"/>
    <w:rsid w:val="00760E38"/>
    <w:rsid w:val="00761D20"/>
    <w:rsid w:val="007639AC"/>
    <w:rsid w:val="00765E97"/>
    <w:rsid w:val="0077379D"/>
    <w:rsid w:val="007740C3"/>
    <w:rsid w:val="00774214"/>
    <w:rsid w:val="00775BBD"/>
    <w:rsid w:val="007768BE"/>
    <w:rsid w:val="00777D02"/>
    <w:rsid w:val="0078371C"/>
    <w:rsid w:val="00783F44"/>
    <w:rsid w:val="00784ADF"/>
    <w:rsid w:val="00793CEA"/>
    <w:rsid w:val="007A24FA"/>
    <w:rsid w:val="007A2E10"/>
    <w:rsid w:val="007A2EBA"/>
    <w:rsid w:val="007A6971"/>
    <w:rsid w:val="007B22F0"/>
    <w:rsid w:val="007B6413"/>
    <w:rsid w:val="007B65C2"/>
    <w:rsid w:val="007C2B88"/>
    <w:rsid w:val="007C45D6"/>
    <w:rsid w:val="007C50A7"/>
    <w:rsid w:val="007C667B"/>
    <w:rsid w:val="007C7586"/>
    <w:rsid w:val="007D67EE"/>
    <w:rsid w:val="007D7C2F"/>
    <w:rsid w:val="007E4A1E"/>
    <w:rsid w:val="007E4CA8"/>
    <w:rsid w:val="007E5D35"/>
    <w:rsid w:val="007E7B40"/>
    <w:rsid w:val="007F1E0B"/>
    <w:rsid w:val="00805D34"/>
    <w:rsid w:val="00806C1C"/>
    <w:rsid w:val="00807698"/>
    <w:rsid w:val="00807913"/>
    <w:rsid w:val="008109FD"/>
    <w:rsid w:val="00813961"/>
    <w:rsid w:val="00814689"/>
    <w:rsid w:val="008233B8"/>
    <w:rsid w:val="00826757"/>
    <w:rsid w:val="00834978"/>
    <w:rsid w:val="00837F98"/>
    <w:rsid w:val="0084119E"/>
    <w:rsid w:val="008442AF"/>
    <w:rsid w:val="00851A8F"/>
    <w:rsid w:val="008550C2"/>
    <w:rsid w:val="00856AAE"/>
    <w:rsid w:val="0085781D"/>
    <w:rsid w:val="0086073D"/>
    <w:rsid w:val="00862088"/>
    <w:rsid w:val="008629D1"/>
    <w:rsid w:val="00864DC7"/>
    <w:rsid w:val="00870B26"/>
    <w:rsid w:val="0087148A"/>
    <w:rsid w:val="0087276B"/>
    <w:rsid w:val="00874EFE"/>
    <w:rsid w:val="00876C65"/>
    <w:rsid w:val="00883479"/>
    <w:rsid w:val="0088361A"/>
    <w:rsid w:val="00883E4B"/>
    <w:rsid w:val="008906D7"/>
    <w:rsid w:val="00893718"/>
    <w:rsid w:val="008A02C9"/>
    <w:rsid w:val="008A1C3C"/>
    <w:rsid w:val="008A2DA7"/>
    <w:rsid w:val="008A5BDF"/>
    <w:rsid w:val="008B1A43"/>
    <w:rsid w:val="008B3151"/>
    <w:rsid w:val="008B5651"/>
    <w:rsid w:val="008B57CA"/>
    <w:rsid w:val="008B5888"/>
    <w:rsid w:val="008C0A74"/>
    <w:rsid w:val="008C0CD0"/>
    <w:rsid w:val="008C3889"/>
    <w:rsid w:val="008D2F11"/>
    <w:rsid w:val="008D6E9B"/>
    <w:rsid w:val="008E0741"/>
    <w:rsid w:val="008E1D1E"/>
    <w:rsid w:val="008E1ED9"/>
    <w:rsid w:val="008E28B3"/>
    <w:rsid w:val="008E34D0"/>
    <w:rsid w:val="008E40CC"/>
    <w:rsid w:val="008E526A"/>
    <w:rsid w:val="008F20BA"/>
    <w:rsid w:val="008F3DF6"/>
    <w:rsid w:val="008F5023"/>
    <w:rsid w:val="008F5F18"/>
    <w:rsid w:val="008F6594"/>
    <w:rsid w:val="008F6B7E"/>
    <w:rsid w:val="009010CE"/>
    <w:rsid w:val="00901D16"/>
    <w:rsid w:val="00902409"/>
    <w:rsid w:val="00905057"/>
    <w:rsid w:val="009058B5"/>
    <w:rsid w:val="00906F99"/>
    <w:rsid w:val="00914715"/>
    <w:rsid w:val="009200A7"/>
    <w:rsid w:val="009230A0"/>
    <w:rsid w:val="00923241"/>
    <w:rsid w:val="009251F3"/>
    <w:rsid w:val="00925E7F"/>
    <w:rsid w:val="009271CB"/>
    <w:rsid w:val="009272DF"/>
    <w:rsid w:val="00932156"/>
    <w:rsid w:val="009323F1"/>
    <w:rsid w:val="00932F20"/>
    <w:rsid w:val="00933317"/>
    <w:rsid w:val="009346F4"/>
    <w:rsid w:val="00935EA0"/>
    <w:rsid w:val="00940924"/>
    <w:rsid w:val="009409F3"/>
    <w:rsid w:val="00952F16"/>
    <w:rsid w:val="009538E6"/>
    <w:rsid w:val="00953FA4"/>
    <w:rsid w:val="0095734E"/>
    <w:rsid w:val="00957BAC"/>
    <w:rsid w:val="00960673"/>
    <w:rsid w:val="00966E30"/>
    <w:rsid w:val="00967791"/>
    <w:rsid w:val="00967D44"/>
    <w:rsid w:val="00970417"/>
    <w:rsid w:val="009704E4"/>
    <w:rsid w:val="00970694"/>
    <w:rsid w:val="00973FAA"/>
    <w:rsid w:val="00975FF1"/>
    <w:rsid w:val="00977032"/>
    <w:rsid w:val="009775C7"/>
    <w:rsid w:val="00982F20"/>
    <w:rsid w:val="00985D65"/>
    <w:rsid w:val="009867AA"/>
    <w:rsid w:val="00987224"/>
    <w:rsid w:val="00990BD9"/>
    <w:rsid w:val="00992318"/>
    <w:rsid w:val="0099311F"/>
    <w:rsid w:val="009A0289"/>
    <w:rsid w:val="009A1E7D"/>
    <w:rsid w:val="009A5E17"/>
    <w:rsid w:val="009B2B31"/>
    <w:rsid w:val="009C0E24"/>
    <w:rsid w:val="009C12B4"/>
    <w:rsid w:val="009C1BFE"/>
    <w:rsid w:val="009C22BE"/>
    <w:rsid w:val="009C388D"/>
    <w:rsid w:val="009C6937"/>
    <w:rsid w:val="009D0365"/>
    <w:rsid w:val="009D28A7"/>
    <w:rsid w:val="009D2D22"/>
    <w:rsid w:val="009E231A"/>
    <w:rsid w:val="009E2F64"/>
    <w:rsid w:val="009E408F"/>
    <w:rsid w:val="009E79F3"/>
    <w:rsid w:val="009F0C48"/>
    <w:rsid w:val="009F30AE"/>
    <w:rsid w:val="009F3225"/>
    <w:rsid w:val="009F3826"/>
    <w:rsid w:val="009F3844"/>
    <w:rsid w:val="009F5875"/>
    <w:rsid w:val="009F6993"/>
    <w:rsid w:val="00A0109A"/>
    <w:rsid w:val="00A06F2C"/>
    <w:rsid w:val="00A071F8"/>
    <w:rsid w:val="00A108F1"/>
    <w:rsid w:val="00A10E2B"/>
    <w:rsid w:val="00A13173"/>
    <w:rsid w:val="00A14D4F"/>
    <w:rsid w:val="00A16557"/>
    <w:rsid w:val="00A16906"/>
    <w:rsid w:val="00A17B12"/>
    <w:rsid w:val="00A20AB7"/>
    <w:rsid w:val="00A24593"/>
    <w:rsid w:val="00A25F1D"/>
    <w:rsid w:val="00A2676C"/>
    <w:rsid w:val="00A30084"/>
    <w:rsid w:val="00A32487"/>
    <w:rsid w:val="00A346AB"/>
    <w:rsid w:val="00A35232"/>
    <w:rsid w:val="00A412D0"/>
    <w:rsid w:val="00A41B4A"/>
    <w:rsid w:val="00A41CAB"/>
    <w:rsid w:val="00A442EB"/>
    <w:rsid w:val="00A445BD"/>
    <w:rsid w:val="00A50895"/>
    <w:rsid w:val="00A5123C"/>
    <w:rsid w:val="00A53306"/>
    <w:rsid w:val="00A56185"/>
    <w:rsid w:val="00A667A6"/>
    <w:rsid w:val="00A67E96"/>
    <w:rsid w:val="00A7040A"/>
    <w:rsid w:val="00A7125C"/>
    <w:rsid w:val="00A73318"/>
    <w:rsid w:val="00A8285B"/>
    <w:rsid w:val="00A83136"/>
    <w:rsid w:val="00A8488E"/>
    <w:rsid w:val="00A87D7B"/>
    <w:rsid w:val="00A87E88"/>
    <w:rsid w:val="00A90161"/>
    <w:rsid w:val="00A93A9F"/>
    <w:rsid w:val="00A94946"/>
    <w:rsid w:val="00A964AF"/>
    <w:rsid w:val="00A97142"/>
    <w:rsid w:val="00A97455"/>
    <w:rsid w:val="00AA2A1B"/>
    <w:rsid w:val="00AA338B"/>
    <w:rsid w:val="00AA3B45"/>
    <w:rsid w:val="00AA44D4"/>
    <w:rsid w:val="00AA5949"/>
    <w:rsid w:val="00AB57AA"/>
    <w:rsid w:val="00AB5D67"/>
    <w:rsid w:val="00AB7B03"/>
    <w:rsid w:val="00AC142C"/>
    <w:rsid w:val="00AC38DC"/>
    <w:rsid w:val="00AC45CC"/>
    <w:rsid w:val="00AC4AC7"/>
    <w:rsid w:val="00AC5050"/>
    <w:rsid w:val="00AC51EE"/>
    <w:rsid w:val="00AC5497"/>
    <w:rsid w:val="00AC6E16"/>
    <w:rsid w:val="00AC79A9"/>
    <w:rsid w:val="00AC7D4C"/>
    <w:rsid w:val="00AD1238"/>
    <w:rsid w:val="00AD17F8"/>
    <w:rsid w:val="00AD2556"/>
    <w:rsid w:val="00AD4D89"/>
    <w:rsid w:val="00AD540C"/>
    <w:rsid w:val="00AF1005"/>
    <w:rsid w:val="00AF1824"/>
    <w:rsid w:val="00AF5CBC"/>
    <w:rsid w:val="00AF6116"/>
    <w:rsid w:val="00B034AA"/>
    <w:rsid w:val="00B03FEE"/>
    <w:rsid w:val="00B043CA"/>
    <w:rsid w:val="00B1407B"/>
    <w:rsid w:val="00B17142"/>
    <w:rsid w:val="00B22EDE"/>
    <w:rsid w:val="00B245E4"/>
    <w:rsid w:val="00B27020"/>
    <w:rsid w:val="00B32CD1"/>
    <w:rsid w:val="00B33C76"/>
    <w:rsid w:val="00B346B2"/>
    <w:rsid w:val="00B37E4B"/>
    <w:rsid w:val="00B41272"/>
    <w:rsid w:val="00B412FA"/>
    <w:rsid w:val="00B4313F"/>
    <w:rsid w:val="00B44CDA"/>
    <w:rsid w:val="00B45CB0"/>
    <w:rsid w:val="00B57E45"/>
    <w:rsid w:val="00B60242"/>
    <w:rsid w:val="00B64403"/>
    <w:rsid w:val="00B70088"/>
    <w:rsid w:val="00B71237"/>
    <w:rsid w:val="00B71261"/>
    <w:rsid w:val="00B71EA4"/>
    <w:rsid w:val="00B72DC9"/>
    <w:rsid w:val="00B75B9E"/>
    <w:rsid w:val="00B837CE"/>
    <w:rsid w:val="00B85CAC"/>
    <w:rsid w:val="00B86D06"/>
    <w:rsid w:val="00B87B26"/>
    <w:rsid w:val="00B9015E"/>
    <w:rsid w:val="00B90179"/>
    <w:rsid w:val="00B948FB"/>
    <w:rsid w:val="00BA4523"/>
    <w:rsid w:val="00BA6F9E"/>
    <w:rsid w:val="00BA7B30"/>
    <w:rsid w:val="00BA7FF8"/>
    <w:rsid w:val="00BB0755"/>
    <w:rsid w:val="00BB1745"/>
    <w:rsid w:val="00BB193E"/>
    <w:rsid w:val="00BB5088"/>
    <w:rsid w:val="00BB6B2D"/>
    <w:rsid w:val="00BB738F"/>
    <w:rsid w:val="00BC22E1"/>
    <w:rsid w:val="00BC2686"/>
    <w:rsid w:val="00BC34B0"/>
    <w:rsid w:val="00BD4C1C"/>
    <w:rsid w:val="00BD6335"/>
    <w:rsid w:val="00BD7320"/>
    <w:rsid w:val="00BD7C39"/>
    <w:rsid w:val="00BE3528"/>
    <w:rsid w:val="00BE3AB7"/>
    <w:rsid w:val="00BE5A71"/>
    <w:rsid w:val="00BE5DCB"/>
    <w:rsid w:val="00BF0058"/>
    <w:rsid w:val="00BF12B1"/>
    <w:rsid w:val="00BF690E"/>
    <w:rsid w:val="00BF714E"/>
    <w:rsid w:val="00C053D5"/>
    <w:rsid w:val="00C05B59"/>
    <w:rsid w:val="00C10E2F"/>
    <w:rsid w:val="00C12D8D"/>
    <w:rsid w:val="00C16AE6"/>
    <w:rsid w:val="00C21DC1"/>
    <w:rsid w:val="00C22286"/>
    <w:rsid w:val="00C248EB"/>
    <w:rsid w:val="00C26E8A"/>
    <w:rsid w:val="00C27CD8"/>
    <w:rsid w:val="00C348B5"/>
    <w:rsid w:val="00C40215"/>
    <w:rsid w:val="00C42049"/>
    <w:rsid w:val="00C42C48"/>
    <w:rsid w:val="00C43EB5"/>
    <w:rsid w:val="00C46FAF"/>
    <w:rsid w:val="00C479C0"/>
    <w:rsid w:val="00C5220C"/>
    <w:rsid w:val="00C53753"/>
    <w:rsid w:val="00C54125"/>
    <w:rsid w:val="00C56620"/>
    <w:rsid w:val="00C56C8E"/>
    <w:rsid w:val="00C63294"/>
    <w:rsid w:val="00C64205"/>
    <w:rsid w:val="00C668CB"/>
    <w:rsid w:val="00C67E4A"/>
    <w:rsid w:val="00C70786"/>
    <w:rsid w:val="00C70B2A"/>
    <w:rsid w:val="00C72024"/>
    <w:rsid w:val="00C77DC6"/>
    <w:rsid w:val="00C81D5B"/>
    <w:rsid w:val="00C83D73"/>
    <w:rsid w:val="00C926F0"/>
    <w:rsid w:val="00C930FB"/>
    <w:rsid w:val="00C9777B"/>
    <w:rsid w:val="00CA44AA"/>
    <w:rsid w:val="00CA655D"/>
    <w:rsid w:val="00CA6A33"/>
    <w:rsid w:val="00CB1B79"/>
    <w:rsid w:val="00CB3780"/>
    <w:rsid w:val="00CB4B67"/>
    <w:rsid w:val="00CB55EC"/>
    <w:rsid w:val="00CC2DC9"/>
    <w:rsid w:val="00CC377B"/>
    <w:rsid w:val="00CC6DB1"/>
    <w:rsid w:val="00CD0BE7"/>
    <w:rsid w:val="00CD0F9C"/>
    <w:rsid w:val="00CD5F32"/>
    <w:rsid w:val="00CD6848"/>
    <w:rsid w:val="00CD6D9E"/>
    <w:rsid w:val="00CE18DF"/>
    <w:rsid w:val="00CE248F"/>
    <w:rsid w:val="00CE396D"/>
    <w:rsid w:val="00CE4291"/>
    <w:rsid w:val="00CE4486"/>
    <w:rsid w:val="00CF4409"/>
    <w:rsid w:val="00CF4E92"/>
    <w:rsid w:val="00D018AB"/>
    <w:rsid w:val="00D026AC"/>
    <w:rsid w:val="00D04D48"/>
    <w:rsid w:val="00D056F3"/>
    <w:rsid w:val="00D107AE"/>
    <w:rsid w:val="00D12B3E"/>
    <w:rsid w:val="00D13986"/>
    <w:rsid w:val="00D140D1"/>
    <w:rsid w:val="00D145E3"/>
    <w:rsid w:val="00D20C0B"/>
    <w:rsid w:val="00D243A8"/>
    <w:rsid w:val="00D26B4C"/>
    <w:rsid w:val="00D27E4C"/>
    <w:rsid w:val="00D34E13"/>
    <w:rsid w:val="00D35C93"/>
    <w:rsid w:val="00D366BC"/>
    <w:rsid w:val="00D3765B"/>
    <w:rsid w:val="00D37C54"/>
    <w:rsid w:val="00D37F97"/>
    <w:rsid w:val="00D4102C"/>
    <w:rsid w:val="00D44F06"/>
    <w:rsid w:val="00D503F4"/>
    <w:rsid w:val="00D5353F"/>
    <w:rsid w:val="00D54880"/>
    <w:rsid w:val="00D5690B"/>
    <w:rsid w:val="00D57651"/>
    <w:rsid w:val="00D60127"/>
    <w:rsid w:val="00D62112"/>
    <w:rsid w:val="00D66D9A"/>
    <w:rsid w:val="00D66ECA"/>
    <w:rsid w:val="00D67285"/>
    <w:rsid w:val="00D67BD6"/>
    <w:rsid w:val="00D739C2"/>
    <w:rsid w:val="00D77C6C"/>
    <w:rsid w:val="00D843F8"/>
    <w:rsid w:val="00D84755"/>
    <w:rsid w:val="00D8716A"/>
    <w:rsid w:val="00D908F2"/>
    <w:rsid w:val="00D91FB0"/>
    <w:rsid w:val="00D96E35"/>
    <w:rsid w:val="00DA0FD3"/>
    <w:rsid w:val="00DA1040"/>
    <w:rsid w:val="00DA56E7"/>
    <w:rsid w:val="00DA7192"/>
    <w:rsid w:val="00DA7709"/>
    <w:rsid w:val="00DB0D48"/>
    <w:rsid w:val="00DB45F9"/>
    <w:rsid w:val="00DB599C"/>
    <w:rsid w:val="00DB6660"/>
    <w:rsid w:val="00DB6B66"/>
    <w:rsid w:val="00DB6C27"/>
    <w:rsid w:val="00DC3F4E"/>
    <w:rsid w:val="00DC52CB"/>
    <w:rsid w:val="00DC5F5C"/>
    <w:rsid w:val="00DD0890"/>
    <w:rsid w:val="00DD0DF8"/>
    <w:rsid w:val="00DD13F6"/>
    <w:rsid w:val="00DD1414"/>
    <w:rsid w:val="00DD69EE"/>
    <w:rsid w:val="00DD77E2"/>
    <w:rsid w:val="00DE029B"/>
    <w:rsid w:val="00DE0CE0"/>
    <w:rsid w:val="00DE1865"/>
    <w:rsid w:val="00DF20E0"/>
    <w:rsid w:val="00DF2B88"/>
    <w:rsid w:val="00DF5E72"/>
    <w:rsid w:val="00E005F3"/>
    <w:rsid w:val="00E04758"/>
    <w:rsid w:val="00E04F60"/>
    <w:rsid w:val="00E06B95"/>
    <w:rsid w:val="00E123CB"/>
    <w:rsid w:val="00E16B3E"/>
    <w:rsid w:val="00E22E4A"/>
    <w:rsid w:val="00E2334E"/>
    <w:rsid w:val="00E277C8"/>
    <w:rsid w:val="00E30B86"/>
    <w:rsid w:val="00E333AC"/>
    <w:rsid w:val="00E36563"/>
    <w:rsid w:val="00E365F8"/>
    <w:rsid w:val="00E40501"/>
    <w:rsid w:val="00E418C2"/>
    <w:rsid w:val="00E41CBF"/>
    <w:rsid w:val="00E41DB5"/>
    <w:rsid w:val="00E444DB"/>
    <w:rsid w:val="00E44A23"/>
    <w:rsid w:val="00E45672"/>
    <w:rsid w:val="00E4621D"/>
    <w:rsid w:val="00E51C89"/>
    <w:rsid w:val="00E52313"/>
    <w:rsid w:val="00E537CC"/>
    <w:rsid w:val="00E5451D"/>
    <w:rsid w:val="00E55837"/>
    <w:rsid w:val="00E56BB0"/>
    <w:rsid w:val="00E56EC1"/>
    <w:rsid w:val="00E57675"/>
    <w:rsid w:val="00E6294E"/>
    <w:rsid w:val="00E62C7F"/>
    <w:rsid w:val="00E639EE"/>
    <w:rsid w:val="00E64F68"/>
    <w:rsid w:val="00E70019"/>
    <w:rsid w:val="00E7412B"/>
    <w:rsid w:val="00E74B97"/>
    <w:rsid w:val="00E7654D"/>
    <w:rsid w:val="00E811C3"/>
    <w:rsid w:val="00E81A91"/>
    <w:rsid w:val="00E86A71"/>
    <w:rsid w:val="00E906C7"/>
    <w:rsid w:val="00E91E9F"/>
    <w:rsid w:val="00E922DA"/>
    <w:rsid w:val="00E9242B"/>
    <w:rsid w:val="00E9290B"/>
    <w:rsid w:val="00E95948"/>
    <w:rsid w:val="00E97D6C"/>
    <w:rsid w:val="00EA0C9C"/>
    <w:rsid w:val="00EA2111"/>
    <w:rsid w:val="00EA2ED8"/>
    <w:rsid w:val="00EB0AD7"/>
    <w:rsid w:val="00EB1069"/>
    <w:rsid w:val="00EB3190"/>
    <w:rsid w:val="00EC1C77"/>
    <w:rsid w:val="00EC2178"/>
    <w:rsid w:val="00EC2CEA"/>
    <w:rsid w:val="00EC4FB3"/>
    <w:rsid w:val="00EC7454"/>
    <w:rsid w:val="00ED01AC"/>
    <w:rsid w:val="00ED0C08"/>
    <w:rsid w:val="00EE3B69"/>
    <w:rsid w:val="00EE42D9"/>
    <w:rsid w:val="00EE469F"/>
    <w:rsid w:val="00EF25C0"/>
    <w:rsid w:val="00EF28C4"/>
    <w:rsid w:val="00EF4122"/>
    <w:rsid w:val="00EF5398"/>
    <w:rsid w:val="00F010FB"/>
    <w:rsid w:val="00F05268"/>
    <w:rsid w:val="00F0565E"/>
    <w:rsid w:val="00F05F22"/>
    <w:rsid w:val="00F12DFE"/>
    <w:rsid w:val="00F134EF"/>
    <w:rsid w:val="00F14974"/>
    <w:rsid w:val="00F20882"/>
    <w:rsid w:val="00F22156"/>
    <w:rsid w:val="00F2364A"/>
    <w:rsid w:val="00F24EA3"/>
    <w:rsid w:val="00F33784"/>
    <w:rsid w:val="00F3619F"/>
    <w:rsid w:val="00F370C1"/>
    <w:rsid w:val="00F3768D"/>
    <w:rsid w:val="00F40683"/>
    <w:rsid w:val="00F412EE"/>
    <w:rsid w:val="00F416A3"/>
    <w:rsid w:val="00F430AF"/>
    <w:rsid w:val="00F45021"/>
    <w:rsid w:val="00F453EE"/>
    <w:rsid w:val="00F4636E"/>
    <w:rsid w:val="00F46A24"/>
    <w:rsid w:val="00F47A0E"/>
    <w:rsid w:val="00F50CC7"/>
    <w:rsid w:val="00F51860"/>
    <w:rsid w:val="00F54F8A"/>
    <w:rsid w:val="00F557D0"/>
    <w:rsid w:val="00F56954"/>
    <w:rsid w:val="00F62331"/>
    <w:rsid w:val="00F6689D"/>
    <w:rsid w:val="00F6742E"/>
    <w:rsid w:val="00F711E7"/>
    <w:rsid w:val="00F740B0"/>
    <w:rsid w:val="00F7424D"/>
    <w:rsid w:val="00F80CC9"/>
    <w:rsid w:val="00F80D2D"/>
    <w:rsid w:val="00F82A0B"/>
    <w:rsid w:val="00F8420E"/>
    <w:rsid w:val="00F87ABF"/>
    <w:rsid w:val="00F92D6B"/>
    <w:rsid w:val="00F94A89"/>
    <w:rsid w:val="00F96CB8"/>
    <w:rsid w:val="00F96FE7"/>
    <w:rsid w:val="00FA34C9"/>
    <w:rsid w:val="00FA37FC"/>
    <w:rsid w:val="00FA6BA2"/>
    <w:rsid w:val="00FA79F7"/>
    <w:rsid w:val="00FB5304"/>
    <w:rsid w:val="00FB5BA4"/>
    <w:rsid w:val="00FB63D0"/>
    <w:rsid w:val="00FB68B6"/>
    <w:rsid w:val="00FB7A6D"/>
    <w:rsid w:val="00FC0FCD"/>
    <w:rsid w:val="00FC2505"/>
    <w:rsid w:val="00FD52F6"/>
    <w:rsid w:val="00FD542B"/>
    <w:rsid w:val="00FD5DF7"/>
    <w:rsid w:val="00FE073F"/>
    <w:rsid w:val="00FE3F74"/>
    <w:rsid w:val="00FE4A2D"/>
    <w:rsid w:val="00FE54AD"/>
    <w:rsid w:val="00FE7305"/>
    <w:rsid w:val="00FF0947"/>
    <w:rsid w:val="00FF3567"/>
    <w:rsid w:val="00FF410F"/>
    <w:rsid w:val="00FF5321"/>
    <w:rsid w:val="00FF5931"/>
    <w:rsid w:val="00FF674A"/>
    <w:rsid w:val="00FF686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1" w:qFormat="1"/>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qFormat/>
    <w:rsid w:val="002E4571"/>
    <w:rPr>
      <w:rFonts w:ascii="Calibri" w:eastAsiaTheme="minorHAnsi" w:hAnsi="Calibri" w:cs="Calibri"/>
      <w:sz w:val="22"/>
      <w:szCs w:val="22"/>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spacing w:before="160" w:line="260" w:lineRule="exact"/>
      <w:outlineLvl w:val="4"/>
    </w:pPr>
    <w:rPr>
      <w:rFonts w:ascii="Tahoma" w:eastAsia="Times New Roman" w:hAnsi="Tahoma" w:cs="Times New Roman"/>
      <w:b/>
      <w:sz w:val="19"/>
      <w:szCs w:val="20"/>
    </w:rPr>
  </w:style>
  <w:style w:type="paragraph" w:styleId="Heading6">
    <w:name w:val="heading 6"/>
    <w:basedOn w:val="Normal"/>
    <w:next w:val="Normal"/>
    <w:qFormat/>
    <w:rsid w:val="006D546E"/>
    <w:pPr>
      <w:keepNext/>
      <w:spacing w:before="160" w:line="260" w:lineRule="exact"/>
      <w:ind w:left="2977"/>
      <w:outlineLvl w:val="5"/>
    </w:pPr>
    <w:rPr>
      <w:rFonts w:ascii="Tahoma" w:eastAsia="Times New Roman" w:hAnsi="Tahoma" w:cs="Times New Roman"/>
      <w:sz w:val="20"/>
      <w:szCs w:val="20"/>
    </w:rPr>
  </w:style>
  <w:style w:type="paragraph" w:styleId="Heading7">
    <w:name w:val="heading 7"/>
    <w:basedOn w:val="Normal"/>
    <w:next w:val="Normal"/>
    <w:qFormat/>
    <w:rsid w:val="006D546E"/>
    <w:pPr>
      <w:keepNext/>
      <w:spacing w:before="160" w:line="260" w:lineRule="exact"/>
      <w:jc w:val="center"/>
      <w:outlineLvl w:val="6"/>
    </w:pPr>
    <w:rPr>
      <w:rFonts w:ascii="Tahoma" w:eastAsia="Times New Roman" w:hAnsi="Tahoma" w:cs="Times New Roman"/>
      <w:spacing w:val="20"/>
      <w:sz w:val="20"/>
      <w:szCs w:val="20"/>
    </w:rPr>
  </w:style>
  <w:style w:type="paragraph" w:styleId="Heading8">
    <w:name w:val="heading 8"/>
    <w:basedOn w:val="Normal"/>
    <w:next w:val="Normal"/>
    <w:qFormat/>
    <w:rsid w:val="006D546E"/>
    <w:pPr>
      <w:keepNext/>
      <w:spacing w:before="160" w:line="260" w:lineRule="exact"/>
      <w:jc w:val="center"/>
      <w:outlineLvl w:val="7"/>
    </w:pPr>
    <w:rPr>
      <w:rFonts w:ascii="Tahoma" w:eastAsia="Times New Roman" w:hAnsi="Tahoma" w:cs="Times New Roman"/>
      <w:color w:val="C0C0C0"/>
      <w:spacing w:val="60"/>
      <w:sz w:val="20"/>
      <w:szCs w:val="20"/>
    </w:rPr>
  </w:style>
  <w:style w:type="paragraph" w:styleId="Heading9">
    <w:name w:val="heading 9"/>
    <w:basedOn w:val="Normal"/>
    <w:next w:val="Normal"/>
    <w:link w:val="Heading9Char"/>
    <w:uiPriority w:val="9"/>
    <w:semiHidden/>
    <w:rsid w:val="00A83136"/>
    <w:pPr>
      <w:keepNext/>
      <w:keepLines/>
      <w:spacing w:before="200" w:line="260" w:lineRule="exac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line="260" w:lineRule="exact"/>
      <w:ind w:right="-1"/>
    </w:pPr>
    <w:rPr>
      <w:rFonts w:ascii="Arial" w:eastAsia="Times New Roman"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rFonts w:ascii="Trebuchet MS" w:eastAsia="Times New Roman" w:hAnsi="Trebuchet MS" w:cs="Times New Roman"/>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pPr>
    <w:rPr>
      <w:rFonts w:ascii="Trebuchet MS" w:eastAsia="Times New Roman" w:hAnsi="Trebuchet MS" w:cs="Times New Roman"/>
      <w:sz w:val="19"/>
      <w:szCs w:val="20"/>
    </w:rPr>
  </w:style>
  <w:style w:type="paragraph" w:customStyle="1" w:styleId="Tabletext">
    <w:name w:val="Table text"/>
    <w:next w:val="Text"/>
    <w:rsid w:val="00103A31"/>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before="160" w:line="260" w:lineRule="atLeast"/>
    </w:pPr>
    <w:rPr>
      <w:rFonts w:ascii="Trebuchet MS" w:eastAsia="Times New Roman" w:hAnsi="Trebuchet MS" w:cs="Times New Roman"/>
      <w:sz w:val="16"/>
      <w:szCs w:val="20"/>
    </w:rPr>
  </w:style>
  <w:style w:type="paragraph" w:customStyle="1" w:styleId="Figuretitle">
    <w:name w:val="Figuretitle"/>
    <w:basedOn w:val="Normal"/>
    <w:rsid w:val="00103A31"/>
    <w:pPr>
      <w:spacing w:before="360" w:after="80"/>
      <w:ind w:left="851" w:hanging="851"/>
    </w:pPr>
    <w:rPr>
      <w:rFonts w:ascii="Arial" w:eastAsia="Times New Roman" w:hAnsi="Arial" w:cs="Times New Roman"/>
      <w:b/>
      <w:sz w:val="17"/>
      <w:szCs w:val="20"/>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line="260" w:lineRule="exact"/>
    </w:pPr>
    <w:rPr>
      <w:rFonts w:ascii="Trebuchet MS" w:eastAsia="Times New Roman" w:hAnsi="Trebuchet MS" w:cs="Times New Roman"/>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103A31"/>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3C45BD"/>
    <w:pPr>
      <w:spacing w:before="360"/>
    </w:pPr>
    <w:rPr>
      <w:rFonts w:ascii="Arial" w:hAnsi="Arial"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pPr>
    <w:rPr>
      <w:rFonts w:ascii="Arial" w:eastAsia="Times New Roman" w:hAnsi="Arial" w:cs="Arial"/>
      <w:color w:val="000000"/>
      <w:sz w:val="18"/>
      <w:szCs w:val="20"/>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pPr>
    <w:rPr>
      <w:rFonts w:ascii="Times New Roman" w:eastAsia="Times New Roman" w:hAnsi="Times New Roman" w:cs="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line="280" w:lineRule="exact"/>
      <w:ind w:left="-425"/>
    </w:pPr>
    <w:rPr>
      <w:rFonts w:ascii="Arial" w:eastAsia="Times New Roman"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pPr>
      <w:spacing w:before="160" w:line="260" w:lineRule="exact"/>
    </w:pPr>
    <w:rPr>
      <w:rFonts w:ascii="Trebuchet MS" w:eastAsia="Times New Roman" w:hAnsi="Trebuchet MS" w:cs="Times New Roman"/>
      <w:sz w:val="19"/>
      <w:szCs w:val="20"/>
    </w:rPr>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spacing w:before="160" w:line="260" w:lineRule="exact"/>
      <w:ind w:left="1152" w:right="1152"/>
    </w:pPr>
    <w:rPr>
      <w:rFonts w:asciiTheme="minorHAnsi" w:eastAsiaTheme="minorEastAsia" w:hAnsiTheme="minorHAnsi" w:cstheme="minorBidi"/>
      <w:i/>
      <w:iCs/>
      <w:color w:val="4F81BD" w:themeColor="accent1"/>
      <w:sz w:val="19"/>
      <w:szCs w:val="20"/>
    </w:rPr>
  </w:style>
  <w:style w:type="paragraph" w:styleId="BodyText3">
    <w:name w:val="Body Text 3"/>
    <w:basedOn w:val="Normal"/>
    <w:link w:val="BodyText3Char"/>
    <w:uiPriority w:val="99"/>
    <w:semiHidden/>
    <w:rsid w:val="00A83136"/>
    <w:pPr>
      <w:spacing w:before="160" w:after="120" w:line="260" w:lineRule="exact"/>
    </w:pPr>
    <w:rPr>
      <w:rFonts w:ascii="Trebuchet MS" w:eastAsia="Times New Roman" w:hAnsi="Trebuchet MS" w:cs="Times New Roman"/>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spacing w:before="160" w:line="260" w:lineRule="exact"/>
      <w:ind w:firstLine="360"/>
    </w:pPr>
    <w:rPr>
      <w:rFonts w:ascii="Trebuchet MS" w:eastAsia="Times New Roman" w:hAnsi="Trebuchet MS" w:cs="Times New Roman"/>
      <w:b/>
      <w:sz w:val="19"/>
      <w:szCs w:val="20"/>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spacing w:before="160" w:line="260" w:lineRule="exact"/>
      <w:ind w:left="360" w:firstLine="360"/>
    </w:pPr>
    <w:rPr>
      <w:rFonts w:ascii="Trebuchet MS" w:eastAsia="Times New Roman" w:hAnsi="Trebuchet MS" w:cs="Times New Roman"/>
      <w:sz w:val="19"/>
      <w:szCs w:val="20"/>
    </w:r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before="160" w:after="120" w:line="480" w:lineRule="auto"/>
      <w:ind w:left="283"/>
    </w:pPr>
    <w:rPr>
      <w:rFonts w:ascii="Trebuchet MS" w:eastAsia="Times New Roman" w:hAnsi="Trebuchet MS" w:cs="Times New Roman"/>
      <w:sz w:val="19"/>
      <w:szCs w:val="20"/>
    </w:r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before="160" w:after="120" w:line="260" w:lineRule="exact"/>
      <w:ind w:left="283"/>
    </w:pPr>
    <w:rPr>
      <w:rFonts w:ascii="Trebuchet MS" w:eastAsia="Times New Roman" w:hAnsi="Trebuchet MS" w:cs="Times New Roman"/>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ind w:left="4252"/>
    </w:pPr>
    <w:rPr>
      <w:rFonts w:ascii="Trebuchet MS" w:eastAsia="Times New Roman" w:hAnsi="Trebuchet MS" w:cs="Times New Roman"/>
      <w:sz w:val="19"/>
      <w:szCs w:val="20"/>
    </w:r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pPr>
      <w:spacing w:before="160" w:line="260" w:lineRule="exact"/>
    </w:pPr>
    <w:rPr>
      <w:rFonts w:ascii="Trebuchet MS" w:eastAsia="Times New Roman" w:hAnsi="Trebuchet MS" w:cs="Times New Roman"/>
      <w:sz w:val="19"/>
      <w:szCs w:val="20"/>
    </w:rPr>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rPr>
      <w:rFonts w:ascii="Trebuchet MS" w:eastAsia="Times New Roman" w:hAnsi="Trebuchet MS" w:cs="Times New Roman"/>
      <w:sz w:val="19"/>
      <w:szCs w:val="20"/>
    </w:r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rPr>
      <w:rFonts w:ascii="Trebuchet MS" w:eastAsia="Times New Roman" w:hAnsi="Trebuchet MS" w:cs="Times New Roman"/>
      <w:sz w:val="20"/>
      <w:szCs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rPr>
      <w:rFonts w:ascii="Trebuchet MS" w:eastAsia="Times New Roman" w:hAnsi="Trebuchet MS" w:cs="Times New Roman"/>
      <w:i/>
      <w:iCs/>
      <w:sz w:val="19"/>
      <w:szCs w:val="20"/>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rPr>
      <w:rFonts w:ascii="Consolas" w:eastAsia="Times New Roman" w:hAnsi="Consolas" w:cs="Consolas"/>
      <w:sz w:val="20"/>
      <w:szCs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ind w:left="190" w:hanging="190"/>
    </w:pPr>
    <w:rPr>
      <w:rFonts w:ascii="Trebuchet MS" w:eastAsia="Times New Roman" w:hAnsi="Trebuchet MS" w:cs="Times New Roman"/>
      <w:sz w:val="19"/>
      <w:szCs w:val="20"/>
    </w:rPr>
  </w:style>
  <w:style w:type="paragraph" w:styleId="Index2">
    <w:name w:val="index 2"/>
    <w:basedOn w:val="Normal"/>
    <w:next w:val="Normal"/>
    <w:autoRedefine/>
    <w:uiPriority w:val="99"/>
    <w:semiHidden/>
    <w:rsid w:val="00A83136"/>
    <w:pPr>
      <w:ind w:left="380" w:hanging="190"/>
    </w:pPr>
    <w:rPr>
      <w:rFonts w:ascii="Trebuchet MS" w:eastAsia="Times New Roman" w:hAnsi="Trebuchet MS" w:cs="Times New Roman"/>
      <w:sz w:val="19"/>
      <w:szCs w:val="20"/>
    </w:rPr>
  </w:style>
  <w:style w:type="paragraph" w:styleId="Index3">
    <w:name w:val="index 3"/>
    <w:basedOn w:val="Normal"/>
    <w:next w:val="Normal"/>
    <w:autoRedefine/>
    <w:uiPriority w:val="99"/>
    <w:semiHidden/>
    <w:rsid w:val="00A83136"/>
    <w:pPr>
      <w:ind w:left="570" w:hanging="190"/>
    </w:pPr>
    <w:rPr>
      <w:rFonts w:ascii="Trebuchet MS" w:eastAsia="Times New Roman" w:hAnsi="Trebuchet MS" w:cs="Times New Roman"/>
      <w:sz w:val="19"/>
      <w:szCs w:val="20"/>
    </w:rPr>
  </w:style>
  <w:style w:type="paragraph" w:styleId="Index4">
    <w:name w:val="index 4"/>
    <w:basedOn w:val="Normal"/>
    <w:next w:val="Normal"/>
    <w:autoRedefine/>
    <w:uiPriority w:val="99"/>
    <w:semiHidden/>
    <w:rsid w:val="00A83136"/>
    <w:pPr>
      <w:ind w:left="760" w:hanging="190"/>
    </w:pPr>
    <w:rPr>
      <w:rFonts w:ascii="Trebuchet MS" w:eastAsia="Times New Roman" w:hAnsi="Trebuchet MS" w:cs="Times New Roman"/>
      <w:sz w:val="19"/>
      <w:szCs w:val="20"/>
    </w:rPr>
  </w:style>
  <w:style w:type="paragraph" w:styleId="Index5">
    <w:name w:val="index 5"/>
    <w:basedOn w:val="Normal"/>
    <w:next w:val="Normal"/>
    <w:autoRedefine/>
    <w:uiPriority w:val="99"/>
    <w:semiHidden/>
    <w:rsid w:val="00A83136"/>
    <w:pPr>
      <w:ind w:left="950" w:hanging="190"/>
    </w:pPr>
    <w:rPr>
      <w:rFonts w:ascii="Trebuchet MS" w:eastAsia="Times New Roman" w:hAnsi="Trebuchet MS" w:cs="Times New Roman"/>
      <w:sz w:val="19"/>
      <w:szCs w:val="20"/>
    </w:rPr>
  </w:style>
  <w:style w:type="paragraph" w:styleId="Index6">
    <w:name w:val="index 6"/>
    <w:basedOn w:val="Normal"/>
    <w:next w:val="Normal"/>
    <w:autoRedefine/>
    <w:uiPriority w:val="99"/>
    <w:semiHidden/>
    <w:rsid w:val="00A83136"/>
    <w:pPr>
      <w:ind w:left="1140" w:hanging="190"/>
    </w:pPr>
    <w:rPr>
      <w:rFonts w:ascii="Trebuchet MS" w:eastAsia="Times New Roman" w:hAnsi="Trebuchet MS" w:cs="Times New Roman"/>
      <w:sz w:val="19"/>
      <w:szCs w:val="20"/>
    </w:rPr>
  </w:style>
  <w:style w:type="paragraph" w:styleId="Index7">
    <w:name w:val="index 7"/>
    <w:basedOn w:val="Normal"/>
    <w:next w:val="Normal"/>
    <w:autoRedefine/>
    <w:uiPriority w:val="99"/>
    <w:semiHidden/>
    <w:rsid w:val="00A83136"/>
    <w:pPr>
      <w:ind w:left="1330" w:hanging="190"/>
    </w:pPr>
    <w:rPr>
      <w:rFonts w:ascii="Trebuchet MS" w:eastAsia="Times New Roman" w:hAnsi="Trebuchet MS" w:cs="Times New Roman"/>
      <w:sz w:val="19"/>
      <w:szCs w:val="20"/>
    </w:rPr>
  </w:style>
  <w:style w:type="paragraph" w:styleId="Index8">
    <w:name w:val="index 8"/>
    <w:basedOn w:val="Normal"/>
    <w:next w:val="Normal"/>
    <w:autoRedefine/>
    <w:uiPriority w:val="99"/>
    <w:semiHidden/>
    <w:rsid w:val="00A83136"/>
    <w:pPr>
      <w:ind w:left="1520" w:hanging="190"/>
    </w:pPr>
    <w:rPr>
      <w:rFonts w:ascii="Trebuchet MS" w:eastAsia="Times New Roman" w:hAnsi="Trebuchet MS" w:cs="Times New Roman"/>
      <w:sz w:val="19"/>
      <w:szCs w:val="20"/>
    </w:rPr>
  </w:style>
  <w:style w:type="paragraph" w:styleId="Index9">
    <w:name w:val="index 9"/>
    <w:basedOn w:val="Normal"/>
    <w:next w:val="Normal"/>
    <w:autoRedefine/>
    <w:uiPriority w:val="99"/>
    <w:semiHidden/>
    <w:rsid w:val="00A83136"/>
    <w:pPr>
      <w:ind w:left="1710" w:hanging="190"/>
    </w:pPr>
    <w:rPr>
      <w:rFonts w:ascii="Trebuchet MS" w:eastAsia="Times New Roman" w:hAnsi="Trebuchet MS" w:cs="Times New Roman"/>
      <w:sz w:val="19"/>
      <w:szCs w:val="20"/>
    </w:rPr>
  </w:style>
  <w:style w:type="paragraph" w:styleId="IndexHeading">
    <w:name w:val="index heading"/>
    <w:basedOn w:val="Normal"/>
    <w:next w:val="Index1"/>
    <w:uiPriority w:val="99"/>
    <w:semiHidden/>
    <w:rsid w:val="00A83136"/>
    <w:pPr>
      <w:spacing w:before="160" w:line="260" w:lineRule="exact"/>
    </w:pPr>
    <w:rPr>
      <w:rFonts w:asciiTheme="majorHAnsi" w:eastAsiaTheme="majorEastAsia" w:hAnsiTheme="majorHAnsi" w:cstheme="majorBidi"/>
      <w:b/>
      <w:bCs/>
      <w:sz w:val="19"/>
      <w:szCs w:val="20"/>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line="260" w:lineRule="exact"/>
      <w:ind w:left="936" w:right="936"/>
    </w:pPr>
    <w:rPr>
      <w:rFonts w:ascii="Trebuchet MS" w:eastAsia="Times New Roman" w:hAnsi="Trebuchet MS" w:cs="Times New Roman"/>
      <w:b/>
      <w:bCs/>
      <w:i/>
      <w:iCs/>
      <w:color w:val="4F81BD" w:themeColor="accent1"/>
      <w:sz w:val="19"/>
      <w:szCs w:val="20"/>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spacing w:before="160" w:line="260" w:lineRule="exact"/>
      <w:ind w:left="283" w:hanging="283"/>
      <w:contextualSpacing/>
    </w:pPr>
    <w:rPr>
      <w:rFonts w:ascii="Trebuchet MS" w:eastAsia="Times New Roman" w:hAnsi="Trebuchet MS" w:cs="Times New Roman"/>
      <w:sz w:val="19"/>
      <w:szCs w:val="20"/>
    </w:rPr>
  </w:style>
  <w:style w:type="paragraph" w:styleId="List2">
    <w:name w:val="List 2"/>
    <w:basedOn w:val="Normal"/>
    <w:uiPriority w:val="99"/>
    <w:semiHidden/>
    <w:rsid w:val="00A83136"/>
    <w:pPr>
      <w:spacing w:before="160" w:line="260" w:lineRule="exact"/>
      <w:ind w:left="566" w:hanging="283"/>
      <w:contextualSpacing/>
    </w:pPr>
    <w:rPr>
      <w:rFonts w:ascii="Trebuchet MS" w:eastAsia="Times New Roman" w:hAnsi="Trebuchet MS" w:cs="Times New Roman"/>
      <w:sz w:val="19"/>
      <w:szCs w:val="20"/>
    </w:rPr>
  </w:style>
  <w:style w:type="paragraph" w:styleId="List3">
    <w:name w:val="List 3"/>
    <w:basedOn w:val="Normal"/>
    <w:uiPriority w:val="99"/>
    <w:semiHidden/>
    <w:rsid w:val="00A83136"/>
    <w:pPr>
      <w:spacing w:before="160" w:line="260" w:lineRule="exact"/>
      <w:ind w:left="849" w:hanging="283"/>
      <w:contextualSpacing/>
    </w:pPr>
    <w:rPr>
      <w:rFonts w:ascii="Trebuchet MS" w:eastAsia="Times New Roman" w:hAnsi="Trebuchet MS" w:cs="Times New Roman"/>
      <w:sz w:val="19"/>
      <w:szCs w:val="20"/>
    </w:rPr>
  </w:style>
  <w:style w:type="paragraph" w:styleId="List4">
    <w:name w:val="List 4"/>
    <w:basedOn w:val="Normal"/>
    <w:uiPriority w:val="99"/>
    <w:semiHidden/>
    <w:rsid w:val="00A83136"/>
    <w:pPr>
      <w:spacing w:before="160" w:line="260" w:lineRule="exact"/>
      <w:ind w:left="1132" w:hanging="283"/>
      <w:contextualSpacing/>
    </w:pPr>
    <w:rPr>
      <w:rFonts w:ascii="Trebuchet MS" w:eastAsia="Times New Roman" w:hAnsi="Trebuchet MS" w:cs="Times New Roman"/>
      <w:sz w:val="19"/>
      <w:szCs w:val="20"/>
    </w:rPr>
  </w:style>
  <w:style w:type="paragraph" w:styleId="List5">
    <w:name w:val="List 5"/>
    <w:basedOn w:val="Normal"/>
    <w:uiPriority w:val="99"/>
    <w:semiHidden/>
    <w:rsid w:val="00A83136"/>
    <w:pPr>
      <w:spacing w:before="160" w:line="260" w:lineRule="exact"/>
      <w:ind w:left="1415" w:hanging="283"/>
      <w:contextualSpacing/>
    </w:pPr>
    <w:rPr>
      <w:rFonts w:ascii="Trebuchet MS" w:eastAsia="Times New Roman" w:hAnsi="Trebuchet MS" w:cs="Times New Roman"/>
      <w:sz w:val="19"/>
      <w:szCs w:val="20"/>
    </w:rPr>
  </w:style>
  <w:style w:type="paragraph" w:styleId="ListBullet2">
    <w:name w:val="List Bullet 2"/>
    <w:basedOn w:val="Normal"/>
    <w:uiPriority w:val="99"/>
    <w:semiHidden/>
    <w:rsid w:val="00A83136"/>
    <w:pPr>
      <w:numPr>
        <w:numId w:val="11"/>
      </w:numPr>
      <w:spacing w:before="160" w:line="260" w:lineRule="exact"/>
      <w:contextualSpacing/>
    </w:pPr>
    <w:rPr>
      <w:rFonts w:ascii="Trebuchet MS" w:eastAsia="Times New Roman" w:hAnsi="Trebuchet MS" w:cs="Times New Roman"/>
      <w:sz w:val="19"/>
      <w:szCs w:val="20"/>
    </w:rPr>
  </w:style>
  <w:style w:type="paragraph" w:styleId="ListBullet3">
    <w:name w:val="List Bullet 3"/>
    <w:basedOn w:val="Normal"/>
    <w:uiPriority w:val="99"/>
    <w:semiHidden/>
    <w:rsid w:val="00A83136"/>
    <w:pPr>
      <w:numPr>
        <w:numId w:val="12"/>
      </w:numPr>
      <w:spacing w:before="160" w:line="260" w:lineRule="exact"/>
      <w:contextualSpacing/>
    </w:pPr>
    <w:rPr>
      <w:rFonts w:ascii="Trebuchet MS" w:eastAsia="Times New Roman" w:hAnsi="Trebuchet MS" w:cs="Times New Roman"/>
      <w:sz w:val="19"/>
      <w:szCs w:val="20"/>
    </w:rPr>
  </w:style>
  <w:style w:type="paragraph" w:styleId="ListBullet4">
    <w:name w:val="List Bullet 4"/>
    <w:basedOn w:val="Normal"/>
    <w:uiPriority w:val="99"/>
    <w:semiHidden/>
    <w:rsid w:val="00A83136"/>
    <w:pPr>
      <w:numPr>
        <w:numId w:val="13"/>
      </w:numPr>
      <w:spacing w:before="160" w:line="260" w:lineRule="exact"/>
      <w:contextualSpacing/>
    </w:pPr>
    <w:rPr>
      <w:rFonts w:ascii="Trebuchet MS" w:eastAsia="Times New Roman" w:hAnsi="Trebuchet MS" w:cs="Times New Roman"/>
      <w:sz w:val="19"/>
      <w:szCs w:val="20"/>
    </w:rPr>
  </w:style>
  <w:style w:type="paragraph" w:styleId="ListBullet5">
    <w:name w:val="List Bullet 5"/>
    <w:basedOn w:val="Normal"/>
    <w:uiPriority w:val="99"/>
    <w:semiHidden/>
    <w:rsid w:val="00A83136"/>
    <w:pPr>
      <w:numPr>
        <w:numId w:val="14"/>
      </w:numPr>
      <w:spacing w:before="160" w:line="260" w:lineRule="exact"/>
      <w:contextualSpacing/>
    </w:pPr>
    <w:rPr>
      <w:rFonts w:ascii="Trebuchet MS" w:eastAsia="Times New Roman" w:hAnsi="Trebuchet MS" w:cs="Times New Roman"/>
      <w:sz w:val="19"/>
      <w:szCs w:val="20"/>
    </w:rPr>
  </w:style>
  <w:style w:type="paragraph" w:styleId="ListContinue">
    <w:name w:val="List Continue"/>
    <w:basedOn w:val="Normal"/>
    <w:uiPriority w:val="99"/>
    <w:semiHidden/>
    <w:rsid w:val="00A83136"/>
    <w:pPr>
      <w:spacing w:before="160" w:after="120" w:line="260" w:lineRule="exact"/>
      <w:ind w:left="283"/>
      <w:contextualSpacing/>
    </w:pPr>
    <w:rPr>
      <w:rFonts w:ascii="Trebuchet MS" w:eastAsia="Times New Roman" w:hAnsi="Trebuchet MS" w:cs="Times New Roman"/>
      <w:sz w:val="19"/>
      <w:szCs w:val="20"/>
    </w:rPr>
  </w:style>
  <w:style w:type="paragraph" w:styleId="ListContinue2">
    <w:name w:val="List Continue 2"/>
    <w:basedOn w:val="Normal"/>
    <w:uiPriority w:val="99"/>
    <w:semiHidden/>
    <w:rsid w:val="00A83136"/>
    <w:pPr>
      <w:spacing w:before="160" w:after="120" w:line="260" w:lineRule="exact"/>
      <w:ind w:left="566"/>
      <w:contextualSpacing/>
    </w:pPr>
    <w:rPr>
      <w:rFonts w:ascii="Trebuchet MS" w:eastAsia="Times New Roman" w:hAnsi="Trebuchet MS" w:cs="Times New Roman"/>
      <w:sz w:val="19"/>
      <w:szCs w:val="20"/>
    </w:rPr>
  </w:style>
  <w:style w:type="paragraph" w:styleId="ListContinue3">
    <w:name w:val="List Continue 3"/>
    <w:basedOn w:val="Normal"/>
    <w:uiPriority w:val="99"/>
    <w:semiHidden/>
    <w:rsid w:val="00A83136"/>
    <w:pPr>
      <w:spacing w:before="160" w:after="120" w:line="260" w:lineRule="exact"/>
      <w:ind w:left="849"/>
      <w:contextualSpacing/>
    </w:pPr>
    <w:rPr>
      <w:rFonts w:ascii="Trebuchet MS" w:eastAsia="Times New Roman" w:hAnsi="Trebuchet MS" w:cs="Times New Roman"/>
      <w:sz w:val="19"/>
      <w:szCs w:val="20"/>
    </w:rPr>
  </w:style>
  <w:style w:type="paragraph" w:styleId="ListContinue4">
    <w:name w:val="List Continue 4"/>
    <w:basedOn w:val="Normal"/>
    <w:uiPriority w:val="99"/>
    <w:semiHidden/>
    <w:rsid w:val="00A83136"/>
    <w:pPr>
      <w:spacing w:before="160" w:after="120" w:line="260" w:lineRule="exact"/>
      <w:ind w:left="1132"/>
      <w:contextualSpacing/>
    </w:pPr>
    <w:rPr>
      <w:rFonts w:ascii="Trebuchet MS" w:eastAsia="Times New Roman" w:hAnsi="Trebuchet MS" w:cs="Times New Roman"/>
      <w:sz w:val="19"/>
      <w:szCs w:val="20"/>
    </w:rPr>
  </w:style>
  <w:style w:type="paragraph" w:styleId="ListContinue5">
    <w:name w:val="List Continue 5"/>
    <w:basedOn w:val="Normal"/>
    <w:uiPriority w:val="99"/>
    <w:semiHidden/>
    <w:rsid w:val="00A83136"/>
    <w:pPr>
      <w:spacing w:before="160" w:after="120" w:line="260" w:lineRule="exact"/>
      <w:ind w:left="1415"/>
      <w:contextualSpacing/>
    </w:pPr>
    <w:rPr>
      <w:rFonts w:ascii="Trebuchet MS" w:eastAsia="Times New Roman" w:hAnsi="Trebuchet MS" w:cs="Times New Roman"/>
      <w:sz w:val="19"/>
      <w:szCs w:val="20"/>
    </w:rPr>
  </w:style>
  <w:style w:type="paragraph" w:styleId="ListNumber">
    <w:name w:val="List Number"/>
    <w:basedOn w:val="Normal"/>
    <w:uiPriority w:val="99"/>
    <w:semiHidden/>
    <w:rsid w:val="00A83136"/>
    <w:pPr>
      <w:numPr>
        <w:numId w:val="15"/>
      </w:numPr>
      <w:spacing w:before="160" w:line="260" w:lineRule="exact"/>
      <w:contextualSpacing/>
    </w:pPr>
    <w:rPr>
      <w:rFonts w:ascii="Trebuchet MS" w:eastAsia="Times New Roman" w:hAnsi="Trebuchet MS" w:cs="Times New Roman"/>
      <w:sz w:val="19"/>
      <w:szCs w:val="20"/>
    </w:rPr>
  </w:style>
  <w:style w:type="paragraph" w:styleId="ListNumber2">
    <w:name w:val="List Number 2"/>
    <w:basedOn w:val="Normal"/>
    <w:uiPriority w:val="99"/>
    <w:semiHidden/>
    <w:rsid w:val="00A83136"/>
    <w:pPr>
      <w:numPr>
        <w:numId w:val="16"/>
      </w:numPr>
      <w:spacing w:before="160" w:line="260" w:lineRule="exact"/>
      <w:contextualSpacing/>
    </w:pPr>
    <w:rPr>
      <w:rFonts w:ascii="Trebuchet MS" w:eastAsia="Times New Roman" w:hAnsi="Trebuchet MS" w:cs="Times New Roman"/>
      <w:sz w:val="19"/>
      <w:szCs w:val="20"/>
    </w:rPr>
  </w:style>
  <w:style w:type="paragraph" w:styleId="ListNumber3">
    <w:name w:val="List Number 3"/>
    <w:basedOn w:val="Normal"/>
    <w:uiPriority w:val="99"/>
    <w:semiHidden/>
    <w:rsid w:val="00A83136"/>
    <w:pPr>
      <w:numPr>
        <w:numId w:val="17"/>
      </w:numPr>
      <w:spacing w:before="160" w:line="260" w:lineRule="exact"/>
      <w:contextualSpacing/>
    </w:pPr>
    <w:rPr>
      <w:rFonts w:ascii="Trebuchet MS" w:eastAsia="Times New Roman" w:hAnsi="Trebuchet MS" w:cs="Times New Roman"/>
      <w:sz w:val="19"/>
      <w:szCs w:val="20"/>
    </w:rPr>
  </w:style>
  <w:style w:type="paragraph" w:styleId="ListNumber4">
    <w:name w:val="List Number 4"/>
    <w:basedOn w:val="Normal"/>
    <w:uiPriority w:val="99"/>
    <w:semiHidden/>
    <w:rsid w:val="00A83136"/>
    <w:pPr>
      <w:numPr>
        <w:numId w:val="18"/>
      </w:numPr>
      <w:spacing w:before="160" w:line="260" w:lineRule="exact"/>
      <w:contextualSpacing/>
    </w:pPr>
    <w:rPr>
      <w:rFonts w:ascii="Trebuchet MS" w:eastAsia="Times New Roman" w:hAnsi="Trebuchet MS" w:cs="Times New Roman"/>
      <w:sz w:val="19"/>
      <w:szCs w:val="20"/>
    </w:rPr>
  </w:style>
  <w:style w:type="paragraph" w:styleId="ListNumber5">
    <w:name w:val="List Number 5"/>
    <w:basedOn w:val="Normal"/>
    <w:uiPriority w:val="99"/>
    <w:semiHidden/>
    <w:rsid w:val="00A83136"/>
    <w:pPr>
      <w:numPr>
        <w:numId w:val="19"/>
      </w:numPr>
      <w:spacing w:before="160" w:line="260" w:lineRule="exact"/>
      <w:contextualSpacing/>
    </w:pPr>
    <w:rPr>
      <w:rFonts w:ascii="Trebuchet MS" w:eastAsia="Times New Roman" w:hAnsi="Trebuchet MS" w:cs="Times New Roman"/>
      <w:sz w:val="19"/>
      <w:szCs w:val="20"/>
    </w:r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spacing w:before="160" w:line="260" w:lineRule="exact"/>
      <w:ind w:left="720"/>
    </w:pPr>
    <w:rPr>
      <w:rFonts w:ascii="Trebuchet MS" w:eastAsia="Times New Roman" w:hAnsi="Trebuchet MS" w:cs="Times New Roman"/>
      <w:sz w:val="19"/>
      <w:szCs w:val="20"/>
    </w:rPr>
  </w:style>
  <w:style w:type="paragraph" w:styleId="NoteHeading">
    <w:name w:val="Note Heading"/>
    <w:basedOn w:val="Normal"/>
    <w:next w:val="Normal"/>
    <w:link w:val="NoteHeadingChar"/>
    <w:uiPriority w:val="99"/>
    <w:semiHidden/>
    <w:rsid w:val="00A83136"/>
    <w:rPr>
      <w:rFonts w:ascii="Trebuchet MS" w:eastAsia="Times New Roman" w:hAnsi="Trebuchet MS" w:cs="Times New Roman"/>
      <w:sz w:val="19"/>
      <w:szCs w:val="20"/>
    </w:r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pPr>
      <w:spacing w:before="160" w:line="260" w:lineRule="exact"/>
    </w:pPr>
    <w:rPr>
      <w:rFonts w:ascii="Trebuchet MS" w:eastAsia="Times New Roman" w:hAnsi="Trebuchet MS" w:cs="Times New Roman"/>
      <w:sz w:val="19"/>
      <w:szCs w:val="20"/>
    </w:rPr>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ind w:left="4252"/>
    </w:pPr>
    <w:rPr>
      <w:rFonts w:ascii="Trebuchet MS" w:eastAsia="Times New Roman" w:hAnsi="Trebuchet MS" w:cs="Times New Roman"/>
      <w:sz w:val="19"/>
      <w:szCs w:val="20"/>
    </w:r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spacing w:before="160" w:line="260" w:lineRule="exact"/>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spacing w:before="160" w:line="260" w:lineRule="exact"/>
      <w:ind w:left="190" w:hanging="190"/>
    </w:pPr>
    <w:rPr>
      <w:rFonts w:ascii="Trebuchet MS" w:eastAsia="Times New Roman" w:hAnsi="Trebuchet MS" w:cs="Times New Roman"/>
      <w:sz w:val="19"/>
      <w:szCs w:val="20"/>
    </w:rPr>
  </w:style>
  <w:style w:type="paragraph" w:styleId="TOAHeading">
    <w:name w:val="toa heading"/>
    <w:basedOn w:val="Normal"/>
    <w:next w:val="Normal"/>
    <w:uiPriority w:val="99"/>
    <w:semiHidden/>
    <w:rsid w:val="00A83136"/>
    <w:pPr>
      <w:spacing w:before="120" w:line="260" w:lineRule="exact"/>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before="160" w:after="100" w:line="260" w:lineRule="exact"/>
      <w:ind w:left="760"/>
    </w:pPr>
    <w:rPr>
      <w:rFonts w:ascii="Trebuchet MS" w:eastAsia="Times New Roman" w:hAnsi="Trebuchet MS" w:cs="Times New Roman"/>
      <w:sz w:val="19"/>
      <w:szCs w:val="20"/>
    </w:rPr>
  </w:style>
  <w:style w:type="paragraph" w:styleId="TOC6">
    <w:name w:val="toc 6"/>
    <w:basedOn w:val="Normal"/>
    <w:next w:val="Normal"/>
    <w:autoRedefine/>
    <w:uiPriority w:val="39"/>
    <w:semiHidden/>
    <w:unhideWhenUsed/>
    <w:rsid w:val="00A83136"/>
    <w:pPr>
      <w:spacing w:before="160" w:after="100" w:line="260" w:lineRule="exact"/>
      <w:ind w:left="950"/>
    </w:pPr>
    <w:rPr>
      <w:rFonts w:ascii="Trebuchet MS" w:eastAsia="Times New Roman" w:hAnsi="Trebuchet MS" w:cs="Times New Roman"/>
      <w:sz w:val="19"/>
      <w:szCs w:val="20"/>
    </w:rPr>
  </w:style>
  <w:style w:type="paragraph" w:styleId="TOC7">
    <w:name w:val="toc 7"/>
    <w:basedOn w:val="Normal"/>
    <w:next w:val="Normal"/>
    <w:autoRedefine/>
    <w:uiPriority w:val="39"/>
    <w:semiHidden/>
    <w:unhideWhenUsed/>
    <w:rsid w:val="00A83136"/>
    <w:pPr>
      <w:spacing w:before="160" w:after="100" w:line="260" w:lineRule="exact"/>
      <w:ind w:left="1140"/>
    </w:pPr>
    <w:rPr>
      <w:rFonts w:ascii="Trebuchet MS" w:eastAsia="Times New Roman" w:hAnsi="Trebuchet MS" w:cs="Times New Roman"/>
      <w:sz w:val="19"/>
      <w:szCs w:val="20"/>
    </w:rPr>
  </w:style>
  <w:style w:type="paragraph" w:styleId="TOC8">
    <w:name w:val="toc 8"/>
    <w:basedOn w:val="Normal"/>
    <w:next w:val="Normal"/>
    <w:autoRedefine/>
    <w:uiPriority w:val="39"/>
    <w:semiHidden/>
    <w:unhideWhenUsed/>
    <w:rsid w:val="00A83136"/>
    <w:pPr>
      <w:spacing w:before="160" w:after="100" w:line="260" w:lineRule="exact"/>
      <w:ind w:left="1330"/>
    </w:pPr>
    <w:rPr>
      <w:rFonts w:ascii="Trebuchet MS" w:eastAsia="Times New Roman" w:hAnsi="Trebuchet MS" w:cs="Times New Roman"/>
      <w:sz w:val="19"/>
      <w:szCs w:val="20"/>
    </w:rPr>
  </w:style>
  <w:style w:type="paragraph" w:styleId="TOC9">
    <w:name w:val="toc 9"/>
    <w:basedOn w:val="Normal"/>
    <w:next w:val="Normal"/>
    <w:autoRedefine/>
    <w:uiPriority w:val="39"/>
    <w:semiHidden/>
    <w:unhideWhenUsed/>
    <w:rsid w:val="00A83136"/>
    <w:pPr>
      <w:spacing w:before="160" w:after="100" w:line="260" w:lineRule="exact"/>
      <w:ind w:left="1520"/>
    </w:pPr>
    <w:rPr>
      <w:rFonts w:ascii="Trebuchet MS" w:eastAsia="Times New Roman" w:hAnsi="Trebuchet MS" w:cs="Times New Roman"/>
      <w:sz w:val="19"/>
      <w:szCs w:val="20"/>
    </w:r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FootnoteReference">
    <w:name w:val="footnote reference"/>
    <w:basedOn w:val="DefaultParagraphFont"/>
    <w:uiPriority w:val="99"/>
    <w:semiHidden/>
    <w:rsid w:val="00581C8C"/>
    <w:rPr>
      <w:vertAlign w:val="superscript"/>
    </w:rPr>
  </w:style>
  <w:style w:type="paragraph" w:styleId="BodyText">
    <w:name w:val="Body Text"/>
    <w:basedOn w:val="Normal"/>
    <w:link w:val="BodyTextChar"/>
    <w:uiPriority w:val="1"/>
    <w:qFormat/>
    <w:rsid w:val="004665BF"/>
    <w:pPr>
      <w:widowControl w:val="0"/>
      <w:spacing w:before="163"/>
      <w:ind w:left="2260" w:firstLine="7"/>
    </w:pPr>
    <w:rPr>
      <w:rFonts w:ascii="Times New Roman" w:eastAsia="Times New Roman" w:hAnsi="Times New Roman" w:cstheme="minorBidi"/>
      <w:sz w:val="20"/>
      <w:szCs w:val="20"/>
      <w:lang w:val="en-US"/>
    </w:rPr>
  </w:style>
  <w:style w:type="character" w:customStyle="1" w:styleId="BodyTextChar">
    <w:name w:val="Body Text Char"/>
    <w:basedOn w:val="DefaultParagraphFont"/>
    <w:link w:val="BodyText"/>
    <w:uiPriority w:val="1"/>
    <w:rsid w:val="004665BF"/>
    <w:rPr>
      <w:rFonts w:cstheme="minorBidi"/>
    </w:rPr>
  </w:style>
  <w:style w:type="paragraph" w:customStyle="1" w:styleId="Statsbullet">
    <w:name w:val="Stats bullet"/>
    <w:basedOn w:val="Normal"/>
    <w:rsid w:val="00932156"/>
    <w:pPr>
      <w:numPr>
        <w:numId w:val="26"/>
      </w:numPr>
      <w:spacing w:before="20" w:line="260" w:lineRule="exact"/>
    </w:pPr>
    <w:rPr>
      <w:rFonts w:ascii="Trebuchet MS" w:eastAsia="Times New Roman" w:hAnsi="Trebuchet MS" w:cs="Times New Roman"/>
      <w:sz w:val="20"/>
      <w:szCs w:val="18"/>
    </w:rPr>
  </w:style>
  <w:style w:type="paragraph" w:customStyle="1" w:styleId="TableRowColour75pt">
    <w:name w:val="TableRowColour7.5pt"/>
    <w:basedOn w:val="Tabletext"/>
    <w:qFormat/>
    <w:rsid w:val="00932156"/>
    <w:pPr>
      <w:spacing w:after="20"/>
    </w:pPr>
    <w:rPr>
      <w:b/>
      <w:color w:val="439539"/>
      <w:sz w:val="15"/>
      <w:lang w:eastAsia="en-AU"/>
    </w:rPr>
  </w:style>
  <w:style w:type="paragraph" w:styleId="ListParagraph">
    <w:name w:val="List Paragraph"/>
    <w:basedOn w:val="Normal"/>
    <w:uiPriority w:val="34"/>
    <w:qFormat/>
    <w:rsid w:val="00765E97"/>
    <w:pPr>
      <w:spacing w:after="200" w:line="276" w:lineRule="auto"/>
      <w:ind w:left="720"/>
      <w:contextualSpacing/>
    </w:pPr>
    <w:rPr>
      <w:rFonts w:ascii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1" w:qFormat="1"/>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qFormat/>
    <w:rsid w:val="002E4571"/>
    <w:rPr>
      <w:rFonts w:ascii="Calibri" w:eastAsiaTheme="minorHAnsi" w:hAnsi="Calibri" w:cs="Calibri"/>
      <w:sz w:val="22"/>
      <w:szCs w:val="22"/>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spacing w:before="160" w:line="260" w:lineRule="exact"/>
      <w:outlineLvl w:val="4"/>
    </w:pPr>
    <w:rPr>
      <w:rFonts w:ascii="Tahoma" w:eastAsia="Times New Roman" w:hAnsi="Tahoma" w:cs="Times New Roman"/>
      <w:b/>
      <w:sz w:val="19"/>
      <w:szCs w:val="20"/>
    </w:rPr>
  </w:style>
  <w:style w:type="paragraph" w:styleId="Heading6">
    <w:name w:val="heading 6"/>
    <w:basedOn w:val="Normal"/>
    <w:next w:val="Normal"/>
    <w:qFormat/>
    <w:rsid w:val="006D546E"/>
    <w:pPr>
      <w:keepNext/>
      <w:spacing w:before="160" w:line="260" w:lineRule="exact"/>
      <w:ind w:left="2977"/>
      <w:outlineLvl w:val="5"/>
    </w:pPr>
    <w:rPr>
      <w:rFonts w:ascii="Tahoma" w:eastAsia="Times New Roman" w:hAnsi="Tahoma" w:cs="Times New Roman"/>
      <w:sz w:val="20"/>
      <w:szCs w:val="20"/>
    </w:rPr>
  </w:style>
  <w:style w:type="paragraph" w:styleId="Heading7">
    <w:name w:val="heading 7"/>
    <w:basedOn w:val="Normal"/>
    <w:next w:val="Normal"/>
    <w:qFormat/>
    <w:rsid w:val="006D546E"/>
    <w:pPr>
      <w:keepNext/>
      <w:spacing w:before="160" w:line="260" w:lineRule="exact"/>
      <w:jc w:val="center"/>
      <w:outlineLvl w:val="6"/>
    </w:pPr>
    <w:rPr>
      <w:rFonts w:ascii="Tahoma" w:eastAsia="Times New Roman" w:hAnsi="Tahoma" w:cs="Times New Roman"/>
      <w:spacing w:val="20"/>
      <w:sz w:val="20"/>
      <w:szCs w:val="20"/>
    </w:rPr>
  </w:style>
  <w:style w:type="paragraph" w:styleId="Heading8">
    <w:name w:val="heading 8"/>
    <w:basedOn w:val="Normal"/>
    <w:next w:val="Normal"/>
    <w:qFormat/>
    <w:rsid w:val="006D546E"/>
    <w:pPr>
      <w:keepNext/>
      <w:spacing w:before="160" w:line="260" w:lineRule="exact"/>
      <w:jc w:val="center"/>
      <w:outlineLvl w:val="7"/>
    </w:pPr>
    <w:rPr>
      <w:rFonts w:ascii="Tahoma" w:eastAsia="Times New Roman" w:hAnsi="Tahoma" w:cs="Times New Roman"/>
      <w:color w:val="C0C0C0"/>
      <w:spacing w:val="60"/>
      <w:sz w:val="20"/>
      <w:szCs w:val="20"/>
    </w:rPr>
  </w:style>
  <w:style w:type="paragraph" w:styleId="Heading9">
    <w:name w:val="heading 9"/>
    <w:basedOn w:val="Normal"/>
    <w:next w:val="Normal"/>
    <w:link w:val="Heading9Char"/>
    <w:uiPriority w:val="9"/>
    <w:semiHidden/>
    <w:rsid w:val="00A83136"/>
    <w:pPr>
      <w:keepNext/>
      <w:keepLines/>
      <w:spacing w:before="200" w:line="260" w:lineRule="exac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line="260" w:lineRule="exact"/>
      <w:ind w:right="-1"/>
    </w:pPr>
    <w:rPr>
      <w:rFonts w:ascii="Arial" w:eastAsia="Times New Roman"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rFonts w:ascii="Trebuchet MS" w:eastAsia="Times New Roman" w:hAnsi="Trebuchet MS" w:cs="Times New Roman"/>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pPr>
    <w:rPr>
      <w:rFonts w:ascii="Trebuchet MS" w:eastAsia="Times New Roman" w:hAnsi="Trebuchet MS" w:cs="Times New Roman"/>
      <w:sz w:val="19"/>
      <w:szCs w:val="20"/>
    </w:rPr>
  </w:style>
  <w:style w:type="paragraph" w:customStyle="1" w:styleId="Tabletext">
    <w:name w:val="Table text"/>
    <w:next w:val="Text"/>
    <w:rsid w:val="00103A31"/>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before="160" w:line="260" w:lineRule="atLeast"/>
    </w:pPr>
    <w:rPr>
      <w:rFonts w:ascii="Trebuchet MS" w:eastAsia="Times New Roman" w:hAnsi="Trebuchet MS" w:cs="Times New Roman"/>
      <w:sz w:val="16"/>
      <w:szCs w:val="20"/>
    </w:rPr>
  </w:style>
  <w:style w:type="paragraph" w:customStyle="1" w:styleId="Figuretitle">
    <w:name w:val="Figuretitle"/>
    <w:basedOn w:val="Normal"/>
    <w:rsid w:val="00103A31"/>
    <w:pPr>
      <w:spacing w:before="360" w:after="80"/>
      <w:ind w:left="851" w:hanging="851"/>
    </w:pPr>
    <w:rPr>
      <w:rFonts w:ascii="Arial" w:eastAsia="Times New Roman" w:hAnsi="Arial" w:cs="Times New Roman"/>
      <w:b/>
      <w:sz w:val="17"/>
      <w:szCs w:val="20"/>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line="260" w:lineRule="exact"/>
    </w:pPr>
    <w:rPr>
      <w:rFonts w:ascii="Trebuchet MS" w:eastAsia="Times New Roman" w:hAnsi="Trebuchet MS" w:cs="Times New Roman"/>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103A31"/>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3C45BD"/>
    <w:pPr>
      <w:spacing w:before="360"/>
    </w:pPr>
    <w:rPr>
      <w:rFonts w:ascii="Arial" w:hAnsi="Arial"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pPr>
    <w:rPr>
      <w:rFonts w:ascii="Arial" w:eastAsia="Times New Roman" w:hAnsi="Arial" w:cs="Arial"/>
      <w:color w:val="000000"/>
      <w:sz w:val="18"/>
      <w:szCs w:val="20"/>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pPr>
    <w:rPr>
      <w:rFonts w:ascii="Times New Roman" w:eastAsia="Times New Roman" w:hAnsi="Times New Roman" w:cs="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line="280" w:lineRule="exact"/>
      <w:ind w:left="-425"/>
    </w:pPr>
    <w:rPr>
      <w:rFonts w:ascii="Arial" w:eastAsia="Times New Roman"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pPr>
      <w:spacing w:before="160" w:line="260" w:lineRule="exact"/>
    </w:pPr>
    <w:rPr>
      <w:rFonts w:ascii="Trebuchet MS" w:eastAsia="Times New Roman" w:hAnsi="Trebuchet MS" w:cs="Times New Roman"/>
      <w:sz w:val="19"/>
      <w:szCs w:val="20"/>
    </w:rPr>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spacing w:before="160" w:line="260" w:lineRule="exact"/>
      <w:ind w:left="1152" w:right="1152"/>
    </w:pPr>
    <w:rPr>
      <w:rFonts w:asciiTheme="minorHAnsi" w:eastAsiaTheme="minorEastAsia" w:hAnsiTheme="minorHAnsi" w:cstheme="minorBidi"/>
      <w:i/>
      <w:iCs/>
      <w:color w:val="4F81BD" w:themeColor="accent1"/>
      <w:sz w:val="19"/>
      <w:szCs w:val="20"/>
    </w:rPr>
  </w:style>
  <w:style w:type="paragraph" w:styleId="BodyText3">
    <w:name w:val="Body Text 3"/>
    <w:basedOn w:val="Normal"/>
    <w:link w:val="BodyText3Char"/>
    <w:uiPriority w:val="99"/>
    <w:semiHidden/>
    <w:rsid w:val="00A83136"/>
    <w:pPr>
      <w:spacing w:before="160" w:after="120" w:line="260" w:lineRule="exact"/>
    </w:pPr>
    <w:rPr>
      <w:rFonts w:ascii="Trebuchet MS" w:eastAsia="Times New Roman" w:hAnsi="Trebuchet MS" w:cs="Times New Roman"/>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spacing w:before="160" w:line="260" w:lineRule="exact"/>
      <w:ind w:firstLine="360"/>
    </w:pPr>
    <w:rPr>
      <w:rFonts w:ascii="Trebuchet MS" w:eastAsia="Times New Roman" w:hAnsi="Trebuchet MS" w:cs="Times New Roman"/>
      <w:b/>
      <w:sz w:val="19"/>
      <w:szCs w:val="20"/>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spacing w:before="160" w:line="260" w:lineRule="exact"/>
      <w:ind w:left="360" w:firstLine="360"/>
    </w:pPr>
    <w:rPr>
      <w:rFonts w:ascii="Trebuchet MS" w:eastAsia="Times New Roman" w:hAnsi="Trebuchet MS" w:cs="Times New Roman"/>
      <w:sz w:val="19"/>
      <w:szCs w:val="20"/>
    </w:r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before="160" w:after="120" w:line="480" w:lineRule="auto"/>
      <w:ind w:left="283"/>
    </w:pPr>
    <w:rPr>
      <w:rFonts w:ascii="Trebuchet MS" w:eastAsia="Times New Roman" w:hAnsi="Trebuchet MS" w:cs="Times New Roman"/>
      <w:sz w:val="19"/>
      <w:szCs w:val="20"/>
    </w:r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before="160" w:after="120" w:line="260" w:lineRule="exact"/>
      <w:ind w:left="283"/>
    </w:pPr>
    <w:rPr>
      <w:rFonts w:ascii="Trebuchet MS" w:eastAsia="Times New Roman" w:hAnsi="Trebuchet MS" w:cs="Times New Roman"/>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ind w:left="4252"/>
    </w:pPr>
    <w:rPr>
      <w:rFonts w:ascii="Trebuchet MS" w:eastAsia="Times New Roman" w:hAnsi="Trebuchet MS" w:cs="Times New Roman"/>
      <w:sz w:val="19"/>
      <w:szCs w:val="20"/>
    </w:r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pPr>
      <w:spacing w:before="160" w:line="260" w:lineRule="exact"/>
    </w:pPr>
    <w:rPr>
      <w:rFonts w:ascii="Trebuchet MS" w:eastAsia="Times New Roman" w:hAnsi="Trebuchet MS" w:cs="Times New Roman"/>
      <w:sz w:val="19"/>
      <w:szCs w:val="20"/>
    </w:rPr>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rPr>
      <w:rFonts w:ascii="Trebuchet MS" w:eastAsia="Times New Roman" w:hAnsi="Trebuchet MS" w:cs="Times New Roman"/>
      <w:sz w:val="19"/>
      <w:szCs w:val="20"/>
    </w:r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rPr>
      <w:rFonts w:ascii="Trebuchet MS" w:eastAsia="Times New Roman" w:hAnsi="Trebuchet MS" w:cs="Times New Roman"/>
      <w:sz w:val="20"/>
      <w:szCs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rPr>
      <w:rFonts w:ascii="Trebuchet MS" w:eastAsia="Times New Roman" w:hAnsi="Trebuchet MS" w:cs="Times New Roman"/>
      <w:i/>
      <w:iCs/>
      <w:sz w:val="19"/>
      <w:szCs w:val="20"/>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rPr>
      <w:rFonts w:ascii="Consolas" w:eastAsia="Times New Roman" w:hAnsi="Consolas" w:cs="Consolas"/>
      <w:sz w:val="20"/>
      <w:szCs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ind w:left="190" w:hanging="190"/>
    </w:pPr>
    <w:rPr>
      <w:rFonts w:ascii="Trebuchet MS" w:eastAsia="Times New Roman" w:hAnsi="Trebuchet MS" w:cs="Times New Roman"/>
      <w:sz w:val="19"/>
      <w:szCs w:val="20"/>
    </w:rPr>
  </w:style>
  <w:style w:type="paragraph" w:styleId="Index2">
    <w:name w:val="index 2"/>
    <w:basedOn w:val="Normal"/>
    <w:next w:val="Normal"/>
    <w:autoRedefine/>
    <w:uiPriority w:val="99"/>
    <w:semiHidden/>
    <w:rsid w:val="00A83136"/>
    <w:pPr>
      <w:ind w:left="380" w:hanging="190"/>
    </w:pPr>
    <w:rPr>
      <w:rFonts w:ascii="Trebuchet MS" w:eastAsia="Times New Roman" w:hAnsi="Trebuchet MS" w:cs="Times New Roman"/>
      <w:sz w:val="19"/>
      <w:szCs w:val="20"/>
    </w:rPr>
  </w:style>
  <w:style w:type="paragraph" w:styleId="Index3">
    <w:name w:val="index 3"/>
    <w:basedOn w:val="Normal"/>
    <w:next w:val="Normal"/>
    <w:autoRedefine/>
    <w:uiPriority w:val="99"/>
    <w:semiHidden/>
    <w:rsid w:val="00A83136"/>
    <w:pPr>
      <w:ind w:left="570" w:hanging="190"/>
    </w:pPr>
    <w:rPr>
      <w:rFonts w:ascii="Trebuchet MS" w:eastAsia="Times New Roman" w:hAnsi="Trebuchet MS" w:cs="Times New Roman"/>
      <w:sz w:val="19"/>
      <w:szCs w:val="20"/>
    </w:rPr>
  </w:style>
  <w:style w:type="paragraph" w:styleId="Index4">
    <w:name w:val="index 4"/>
    <w:basedOn w:val="Normal"/>
    <w:next w:val="Normal"/>
    <w:autoRedefine/>
    <w:uiPriority w:val="99"/>
    <w:semiHidden/>
    <w:rsid w:val="00A83136"/>
    <w:pPr>
      <w:ind w:left="760" w:hanging="190"/>
    </w:pPr>
    <w:rPr>
      <w:rFonts w:ascii="Trebuchet MS" w:eastAsia="Times New Roman" w:hAnsi="Trebuchet MS" w:cs="Times New Roman"/>
      <w:sz w:val="19"/>
      <w:szCs w:val="20"/>
    </w:rPr>
  </w:style>
  <w:style w:type="paragraph" w:styleId="Index5">
    <w:name w:val="index 5"/>
    <w:basedOn w:val="Normal"/>
    <w:next w:val="Normal"/>
    <w:autoRedefine/>
    <w:uiPriority w:val="99"/>
    <w:semiHidden/>
    <w:rsid w:val="00A83136"/>
    <w:pPr>
      <w:ind w:left="950" w:hanging="190"/>
    </w:pPr>
    <w:rPr>
      <w:rFonts w:ascii="Trebuchet MS" w:eastAsia="Times New Roman" w:hAnsi="Trebuchet MS" w:cs="Times New Roman"/>
      <w:sz w:val="19"/>
      <w:szCs w:val="20"/>
    </w:rPr>
  </w:style>
  <w:style w:type="paragraph" w:styleId="Index6">
    <w:name w:val="index 6"/>
    <w:basedOn w:val="Normal"/>
    <w:next w:val="Normal"/>
    <w:autoRedefine/>
    <w:uiPriority w:val="99"/>
    <w:semiHidden/>
    <w:rsid w:val="00A83136"/>
    <w:pPr>
      <w:ind w:left="1140" w:hanging="190"/>
    </w:pPr>
    <w:rPr>
      <w:rFonts w:ascii="Trebuchet MS" w:eastAsia="Times New Roman" w:hAnsi="Trebuchet MS" w:cs="Times New Roman"/>
      <w:sz w:val="19"/>
      <w:szCs w:val="20"/>
    </w:rPr>
  </w:style>
  <w:style w:type="paragraph" w:styleId="Index7">
    <w:name w:val="index 7"/>
    <w:basedOn w:val="Normal"/>
    <w:next w:val="Normal"/>
    <w:autoRedefine/>
    <w:uiPriority w:val="99"/>
    <w:semiHidden/>
    <w:rsid w:val="00A83136"/>
    <w:pPr>
      <w:ind w:left="1330" w:hanging="190"/>
    </w:pPr>
    <w:rPr>
      <w:rFonts w:ascii="Trebuchet MS" w:eastAsia="Times New Roman" w:hAnsi="Trebuchet MS" w:cs="Times New Roman"/>
      <w:sz w:val="19"/>
      <w:szCs w:val="20"/>
    </w:rPr>
  </w:style>
  <w:style w:type="paragraph" w:styleId="Index8">
    <w:name w:val="index 8"/>
    <w:basedOn w:val="Normal"/>
    <w:next w:val="Normal"/>
    <w:autoRedefine/>
    <w:uiPriority w:val="99"/>
    <w:semiHidden/>
    <w:rsid w:val="00A83136"/>
    <w:pPr>
      <w:ind w:left="1520" w:hanging="190"/>
    </w:pPr>
    <w:rPr>
      <w:rFonts w:ascii="Trebuchet MS" w:eastAsia="Times New Roman" w:hAnsi="Trebuchet MS" w:cs="Times New Roman"/>
      <w:sz w:val="19"/>
      <w:szCs w:val="20"/>
    </w:rPr>
  </w:style>
  <w:style w:type="paragraph" w:styleId="Index9">
    <w:name w:val="index 9"/>
    <w:basedOn w:val="Normal"/>
    <w:next w:val="Normal"/>
    <w:autoRedefine/>
    <w:uiPriority w:val="99"/>
    <w:semiHidden/>
    <w:rsid w:val="00A83136"/>
    <w:pPr>
      <w:ind w:left="1710" w:hanging="190"/>
    </w:pPr>
    <w:rPr>
      <w:rFonts w:ascii="Trebuchet MS" w:eastAsia="Times New Roman" w:hAnsi="Trebuchet MS" w:cs="Times New Roman"/>
      <w:sz w:val="19"/>
      <w:szCs w:val="20"/>
    </w:rPr>
  </w:style>
  <w:style w:type="paragraph" w:styleId="IndexHeading">
    <w:name w:val="index heading"/>
    <w:basedOn w:val="Normal"/>
    <w:next w:val="Index1"/>
    <w:uiPriority w:val="99"/>
    <w:semiHidden/>
    <w:rsid w:val="00A83136"/>
    <w:pPr>
      <w:spacing w:before="160" w:line="260" w:lineRule="exact"/>
    </w:pPr>
    <w:rPr>
      <w:rFonts w:asciiTheme="majorHAnsi" w:eastAsiaTheme="majorEastAsia" w:hAnsiTheme="majorHAnsi" w:cstheme="majorBidi"/>
      <w:b/>
      <w:bCs/>
      <w:sz w:val="19"/>
      <w:szCs w:val="20"/>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line="260" w:lineRule="exact"/>
      <w:ind w:left="936" w:right="936"/>
    </w:pPr>
    <w:rPr>
      <w:rFonts w:ascii="Trebuchet MS" w:eastAsia="Times New Roman" w:hAnsi="Trebuchet MS" w:cs="Times New Roman"/>
      <w:b/>
      <w:bCs/>
      <w:i/>
      <w:iCs/>
      <w:color w:val="4F81BD" w:themeColor="accent1"/>
      <w:sz w:val="19"/>
      <w:szCs w:val="20"/>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spacing w:before="160" w:line="260" w:lineRule="exact"/>
      <w:ind w:left="283" w:hanging="283"/>
      <w:contextualSpacing/>
    </w:pPr>
    <w:rPr>
      <w:rFonts w:ascii="Trebuchet MS" w:eastAsia="Times New Roman" w:hAnsi="Trebuchet MS" w:cs="Times New Roman"/>
      <w:sz w:val="19"/>
      <w:szCs w:val="20"/>
    </w:rPr>
  </w:style>
  <w:style w:type="paragraph" w:styleId="List2">
    <w:name w:val="List 2"/>
    <w:basedOn w:val="Normal"/>
    <w:uiPriority w:val="99"/>
    <w:semiHidden/>
    <w:rsid w:val="00A83136"/>
    <w:pPr>
      <w:spacing w:before="160" w:line="260" w:lineRule="exact"/>
      <w:ind w:left="566" w:hanging="283"/>
      <w:contextualSpacing/>
    </w:pPr>
    <w:rPr>
      <w:rFonts w:ascii="Trebuchet MS" w:eastAsia="Times New Roman" w:hAnsi="Trebuchet MS" w:cs="Times New Roman"/>
      <w:sz w:val="19"/>
      <w:szCs w:val="20"/>
    </w:rPr>
  </w:style>
  <w:style w:type="paragraph" w:styleId="List3">
    <w:name w:val="List 3"/>
    <w:basedOn w:val="Normal"/>
    <w:uiPriority w:val="99"/>
    <w:semiHidden/>
    <w:rsid w:val="00A83136"/>
    <w:pPr>
      <w:spacing w:before="160" w:line="260" w:lineRule="exact"/>
      <w:ind w:left="849" w:hanging="283"/>
      <w:contextualSpacing/>
    </w:pPr>
    <w:rPr>
      <w:rFonts w:ascii="Trebuchet MS" w:eastAsia="Times New Roman" w:hAnsi="Trebuchet MS" w:cs="Times New Roman"/>
      <w:sz w:val="19"/>
      <w:szCs w:val="20"/>
    </w:rPr>
  </w:style>
  <w:style w:type="paragraph" w:styleId="List4">
    <w:name w:val="List 4"/>
    <w:basedOn w:val="Normal"/>
    <w:uiPriority w:val="99"/>
    <w:semiHidden/>
    <w:rsid w:val="00A83136"/>
    <w:pPr>
      <w:spacing w:before="160" w:line="260" w:lineRule="exact"/>
      <w:ind w:left="1132" w:hanging="283"/>
      <w:contextualSpacing/>
    </w:pPr>
    <w:rPr>
      <w:rFonts w:ascii="Trebuchet MS" w:eastAsia="Times New Roman" w:hAnsi="Trebuchet MS" w:cs="Times New Roman"/>
      <w:sz w:val="19"/>
      <w:szCs w:val="20"/>
    </w:rPr>
  </w:style>
  <w:style w:type="paragraph" w:styleId="List5">
    <w:name w:val="List 5"/>
    <w:basedOn w:val="Normal"/>
    <w:uiPriority w:val="99"/>
    <w:semiHidden/>
    <w:rsid w:val="00A83136"/>
    <w:pPr>
      <w:spacing w:before="160" w:line="260" w:lineRule="exact"/>
      <w:ind w:left="1415" w:hanging="283"/>
      <w:contextualSpacing/>
    </w:pPr>
    <w:rPr>
      <w:rFonts w:ascii="Trebuchet MS" w:eastAsia="Times New Roman" w:hAnsi="Trebuchet MS" w:cs="Times New Roman"/>
      <w:sz w:val="19"/>
      <w:szCs w:val="20"/>
    </w:rPr>
  </w:style>
  <w:style w:type="paragraph" w:styleId="ListBullet2">
    <w:name w:val="List Bullet 2"/>
    <w:basedOn w:val="Normal"/>
    <w:uiPriority w:val="99"/>
    <w:semiHidden/>
    <w:rsid w:val="00A83136"/>
    <w:pPr>
      <w:numPr>
        <w:numId w:val="11"/>
      </w:numPr>
      <w:spacing w:before="160" w:line="260" w:lineRule="exact"/>
      <w:contextualSpacing/>
    </w:pPr>
    <w:rPr>
      <w:rFonts w:ascii="Trebuchet MS" w:eastAsia="Times New Roman" w:hAnsi="Trebuchet MS" w:cs="Times New Roman"/>
      <w:sz w:val="19"/>
      <w:szCs w:val="20"/>
    </w:rPr>
  </w:style>
  <w:style w:type="paragraph" w:styleId="ListBullet3">
    <w:name w:val="List Bullet 3"/>
    <w:basedOn w:val="Normal"/>
    <w:uiPriority w:val="99"/>
    <w:semiHidden/>
    <w:rsid w:val="00A83136"/>
    <w:pPr>
      <w:numPr>
        <w:numId w:val="12"/>
      </w:numPr>
      <w:spacing w:before="160" w:line="260" w:lineRule="exact"/>
      <w:contextualSpacing/>
    </w:pPr>
    <w:rPr>
      <w:rFonts w:ascii="Trebuchet MS" w:eastAsia="Times New Roman" w:hAnsi="Trebuchet MS" w:cs="Times New Roman"/>
      <w:sz w:val="19"/>
      <w:szCs w:val="20"/>
    </w:rPr>
  </w:style>
  <w:style w:type="paragraph" w:styleId="ListBullet4">
    <w:name w:val="List Bullet 4"/>
    <w:basedOn w:val="Normal"/>
    <w:uiPriority w:val="99"/>
    <w:semiHidden/>
    <w:rsid w:val="00A83136"/>
    <w:pPr>
      <w:numPr>
        <w:numId w:val="13"/>
      </w:numPr>
      <w:spacing w:before="160" w:line="260" w:lineRule="exact"/>
      <w:contextualSpacing/>
    </w:pPr>
    <w:rPr>
      <w:rFonts w:ascii="Trebuchet MS" w:eastAsia="Times New Roman" w:hAnsi="Trebuchet MS" w:cs="Times New Roman"/>
      <w:sz w:val="19"/>
      <w:szCs w:val="20"/>
    </w:rPr>
  </w:style>
  <w:style w:type="paragraph" w:styleId="ListBullet5">
    <w:name w:val="List Bullet 5"/>
    <w:basedOn w:val="Normal"/>
    <w:uiPriority w:val="99"/>
    <w:semiHidden/>
    <w:rsid w:val="00A83136"/>
    <w:pPr>
      <w:numPr>
        <w:numId w:val="14"/>
      </w:numPr>
      <w:spacing w:before="160" w:line="260" w:lineRule="exact"/>
      <w:contextualSpacing/>
    </w:pPr>
    <w:rPr>
      <w:rFonts w:ascii="Trebuchet MS" w:eastAsia="Times New Roman" w:hAnsi="Trebuchet MS" w:cs="Times New Roman"/>
      <w:sz w:val="19"/>
      <w:szCs w:val="20"/>
    </w:rPr>
  </w:style>
  <w:style w:type="paragraph" w:styleId="ListContinue">
    <w:name w:val="List Continue"/>
    <w:basedOn w:val="Normal"/>
    <w:uiPriority w:val="99"/>
    <w:semiHidden/>
    <w:rsid w:val="00A83136"/>
    <w:pPr>
      <w:spacing w:before="160" w:after="120" w:line="260" w:lineRule="exact"/>
      <w:ind w:left="283"/>
      <w:contextualSpacing/>
    </w:pPr>
    <w:rPr>
      <w:rFonts w:ascii="Trebuchet MS" w:eastAsia="Times New Roman" w:hAnsi="Trebuchet MS" w:cs="Times New Roman"/>
      <w:sz w:val="19"/>
      <w:szCs w:val="20"/>
    </w:rPr>
  </w:style>
  <w:style w:type="paragraph" w:styleId="ListContinue2">
    <w:name w:val="List Continue 2"/>
    <w:basedOn w:val="Normal"/>
    <w:uiPriority w:val="99"/>
    <w:semiHidden/>
    <w:rsid w:val="00A83136"/>
    <w:pPr>
      <w:spacing w:before="160" w:after="120" w:line="260" w:lineRule="exact"/>
      <w:ind w:left="566"/>
      <w:contextualSpacing/>
    </w:pPr>
    <w:rPr>
      <w:rFonts w:ascii="Trebuchet MS" w:eastAsia="Times New Roman" w:hAnsi="Trebuchet MS" w:cs="Times New Roman"/>
      <w:sz w:val="19"/>
      <w:szCs w:val="20"/>
    </w:rPr>
  </w:style>
  <w:style w:type="paragraph" w:styleId="ListContinue3">
    <w:name w:val="List Continue 3"/>
    <w:basedOn w:val="Normal"/>
    <w:uiPriority w:val="99"/>
    <w:semiHidden/>
    <w:rsid w:val="00A83136"/>
    <w:pPr>
      <w:spacing w:before="160" w:after="120" w:line="260" w:lineRule="exact"/>
      <w:ind w:left="849"/>
      <w:contextualSpacing/>
    </w:pPr>
    <w:rPr>
      <w:rFonts w:ascii="Trebuchet MS" w:eastAsia="Times New Roman" w:hAnsi="Trebuchet MS" w:cs="Times New Roman"/>
      <w:sz w:val="19"/>
      <w:szCs w:val="20"/>
    </w:rPr>
  </w:style>
  <w:style w:type="paragraph" w:styleId="ListContinue4">
    <w:name w:val="List Continue 4"/>
    <w:basedOn w:val="Normal"/>
    <w:uiPriority w:val="99"/>
    <w:semiHidden/>
    <w:rsid w:val="00A83136"/>
    <w:pPr>
      <w:spacing w:before="160" w:after="120" w:line="260" w:lineRule="exact"/>
      <w:ind w:left="1132"/>
      <w:contextualSpacing/>
    </w:pPr>
    <w:rPr>
      <w:rFonts w:ascii="Trebuchet MS" w:eastAsia="Times New Roman" w:hAnsi="Trebuchet MS" w:cs="Times New Roman"/>
      <w:sz w:val="19"/>
      <w:szCs w:val="20"/>
    </w:rPr>
  </w:style>
  <w:style w:type="paragraph" w:styleId="ListContinue5">
    <w:name w:val="List Continue 5"/>
    <w:basedOn w:val="Normal"/>
    <w:uiPriority w:val="99"/>
    <w:semiHidden/>
    <w:rsid w:val="00A83136"/>
    <w:pPr>
      <w:spacing w:before="160" w:after="120" w:line="260" w:lineRule="exact"/>
      <w:ind w:left="1415"/>
      <w:contextualSpacing/>
    </w:pPr>
    <w:rPr>
      <w:rFonts w:ascii="Trebuchet MS" w:eastAsia="Times New Roman" w:hAnsi="Trebuchet MS" w:cs="Times New Roman"/>
      <w:sz w:val="19"/>
      <w:szCs w:val="20"/>
    </w:rPr>
  </w:style>
  <w:style w:type="paragraph" w:styleId="ListNumber">
    <w:name w:val="List Number"/>
    <w:basedOn w:val="Normal"/>
    <w:uiPriority w:val="99"/>
    <w:semiHidden/>
    <w:rsid w:val="00A83136"/>
    <w:pPr>
      <w:numPr>
        <w:numId w:val="15"/>
      </w:numPr>
      <w:spacing w:before="160" w:line="260" w:lineRule="exact"/>
      <w:contextualSpacing/>
    </w:pPr>
    <w:rPr>
      <w:rFonts w:ascii="Trebuchet MS" w:eastAsia="Times New Roman" w:hAnsi="Trebuchet MS" w:cs="Times New Roman"/>
      <w:sz w:val="19"/>
      <w:szCs w:val="20"/>
    </w:rPr>
  </w:style>
  <w:style w:type="paragraph" w:styleId="ListNumber2">
    <w:name w:val="List Number 2"/>
    <w:basedOn w:val="Normal"/>
    <w:uiPriority w:val="99"/>
    <w:semiHidden/>
    <w:rsid w:val="00A83136"/>
    <w:pPr>
      <w:numPr>
        <w:numId w:val="16"/>
      </w:numPr>
      <w:spacing w:before="160" w:line="260" w:lineRule="exact"/>
      <w:contextualSpacing/>
    </w:pPr>
    <w:rPr>
      <w:rFonts w:ascii="Trebuchet MS" w:eastAsia="Times New Roman" w:hAnsi="Trebuchet MS" w:cs="Times New Roman"/>
      <w:sz w:val="19"/>
      <w:szCs w:val="20"/>
    </w:rPr>
  </w:style>
  <w:style w:type="paragraph" w:styleId="ListNumber3">
    <w:name w:val="List Number 3"/>
    <w:basedOn w:val="Normal"/>
    <w:uiPriority w:val="99"/>
    <w:semiHidden/>
    <w:rsid w:val="00A83136"/>
    <w:pPr>
      <w:numPr>
        <w:numId w:val="17"/>
      </w:numPr>
      <w:spacing w:before="160" w:line="260" w:lineRule="exact"/>
      <w:contextualSpacing/>
    </w:pPr>
    <w:rPr>
      <w:rFonts w:ascii="Trebuchet MS" w:eastAsia="Times New Roman" w:hAnsi="Trebuchet MS" w:cs="Times New Roman"/>
      <w:sz w:val="19"/>
      <w:szCs w:val="20"/>
    </w:rPr>
  </w:style>
  <w:style w:type="paragraph" w:styleId="ListNumber4">
    <w:name w:val="List Number 4"/>
    <w:basedOn w:val="Normal"/>
    <w:uiPriority w:val="99"/>
    <w:semiHidden/>
    <w:rsid w:val="00A83136"/>
    <w:pPr>
      <w:numPr>
        <w:numId w:val="18"/>
      </w:numPr>
      <w:spacing w:before="160" w:line="260" w:lineRule="exact"/>
      <w:contextualSpacing/>
    </w:pPr>
    <w:rPr>
      <w:rFonts w:ascii="Trebuchet MS" w:eastAsia="Times New Roman" w:hAnsi="Trebuchet MS" w:cs="Times New Roman"/>
      <w:sz w:val="19"/>
      <w:szCs w:val="20"/>
    </w:rPr>
  </w:style>
  <w:style w:type="paragraph" w:styleId="ListNumber5">
    <w:name w:val="List Number 5"/>
    <w:basedOn w:val="Normal"/>
    <w:uiPriority w:val="99"/>
    <w:semiHidden/>
    <w:rsid w:val="00A83136"/>
    <w:pPr>
      <w:numPr>
        <w:numId w:val="19"/>
      </w:numPr>
      <w:spacing w:before="160" w:line="260" w:lineRule="exact"/>
      <w:contextualSpacing/>
    </w:pPr>
    <w:rPr>
      <w:rFonts w:ascii="Trebuchet MS" w:eastAsia="Times New Roman" w:hAnsi="Trebuchet MS" w:cs="Times New Roman"/>
      <w:sz w:val="19"/>
      <w:szCs w:val="20"/>
    </w:r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spacing w:before="160" w:line="260" w:lineRule="exact"/>
      <w:ind w:left="720"/>
    </w:pPr>
    <w:rPr>
      <w:rFonts w:ascii="Trebuchet MS" w:eastAsia="Times New Roman" w:hAnsi="Trebuchet MS" w:cs="Times New Roman"/>
      <w:sz w:val="19"/>
      <w:szCs w:val="20"/>
    </w:rPr>
  </w:style>
  <w:style w:type="paragraph" w:styleId="NoteHeading">
    <w:name w:val="Note Heading"/>
    <w:basedOn w:val="Normal"/>
    <w:next w:val="Normal"/>
    <w:link w:val="NoteHeadingChar"/>
    <w:uiPriority w:val="99"/>
    <w:semiHidden/>
    <w:rsid w:val="00A83136"/>
    <w:rPr>
      <w:rFonts w:ascii="Trebuchet MS" w:eastAsia="Times New Roman" w:hAnsi="Trebuchet MS" w:cs="Times New Roman"/>
      <w:sz w:val="19"/>
      <w:szCs w:val="20"/>
    </w:r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pPr>
      <w:spacing w:before="160" w:line="260" w:lineRule="exact"/>
    </w:pPr>
    <w:rPr>
      <w:rFonts w:ascii="Trebuchet MS" w:eastAsia="Times New Roman" w:hAnsi="Trebuchet MS" w:cs="Times New Roman"/>
      <w:sz w:val="19"/>
      <w:szCs w:val="20"/>
    </w:rPr>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ind w:left="4252"/>
    </w:pPr>
    <w:rPr>
      <w:rFonts w:ascii="Trebuchet MS" w:eastAsia="Times New Roman" w:hAnsi="Trebuchet MS" w:cs="Times New Roman"/>
      <w:sz w:val="19"/>
      <w:szCs w:val="20"/>
    </w:r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spacing w:before="160" w:line="260" w:lineRule="exact"/>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spacing w:before="160" w:line="260" w:lineRule="exact"/>
      <w:ind w:left="190" w:hanging="190"/>
    </w:pPr>
    <w:rPr>
      <w:rFonts w:ascii="Trebuchet MS" w:eastAsia="Times New Roman" w:hAnsi="Trebuchet MS" w:cs="Times New Roman"/>
      <w:sz w:val="19"/>
      <w:szCs w:val="20"/>
    </w:rPr>
  </w:style>
  <w:style w:type="paragraph" w:styleId="TOAHeading">
    <w:name w:val="toa heading"/>
    <w:basedOn w:val="Normal"/>
    <w:next w:val="Normal"/>
    <w:uiPriority w:val="99"/>
    <w:semiHidden/>
    <w:rsid w:val="00A83136"/>
    <w:pPr>
      <w:spacing w:before="120" w:line="260" w:lineRule="exact"/>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before="160" w:after="100" w:line="260" w:lineRule="exact"/>
      <w:ind w:left="760"/>
    </w:pPr>
    <w:rPr>
      <w:rFonts w:ascii="Trebuchet MS" w:eastAsia="Times New Roman" w:hAnsi="Trebuchet MS" w:cs="Times New Roman"/>
      <w:sz w:val="19"/>
      <w:szCs w:val="20"/>
    </w:rPr>
  </w:style>
  <w:style w:type="paragraph" w:styleId="TOC6">
    <w:name w:val="toc 6"/>
    <w:basedOn w:val="Normal"/>
    <w:next w:val="Normal"/>
    <w:autoRedefine/>
    <w:uiPriority w:val="39"/>
    <w:semiHidden/>
    <w:unhideWhenUsed/>
    <w:rsid w:val="00A83136"/>
    <w:pPr>
      <w:spacing w:before="160" w:after="100" w:line="260" w:lineRule="exact"/>
      <w:ind w:left="950"/>
    </w:pPr>
    <w:rPr>
      <w:rFonts w:ascii="Trebuchet MS" w:eastAsia="Times New Roman" w:hAnsi="Trebuchet MS" w:cs="Times New Roman"/>
      <w:sz w:val="19"/>
      <w:szCs w:val="20"/>
    </w:rPr>
  </w:style>
  <w:style w:type="paragraph" w:styleId="TOC7">
    <w:name w:val="toc 7"/>
    <w:basedOn w:val="Normal"/>
    <w:next w:val="Normal"/>
    <w:autoRedefine/>
    <w:uiPriority w:val="39"/>
    <w:semiHidden/>
    <w:unhideWhenUsed/>
    <w:rsid w:val="00A83136"/>
    <w:pPr>
      <w:spacing w:before="160" w:after="100" w:line="260" w:lineRule="exact"/>
      <w:ind w:left="1140"/>
    </w:pPr>
    <w:rPr>
      <w:rFonts w:ascii="Trebuchet MS" w:eastAsia="Times New Roman" w:hAnsi="Trebuchet MS" w:cs="Times New Roman"/>
      <w:sz w:val="19"/>
      <w:szCs w:val="20"/>
    </w:rPr>
  </w:style>
  <w:style w:type="paragraph" w:styleId="TOC8">
    <w:name w:val="toc 8"/>
    <w:basedOn w:val="Normal"/>
    <w:next w:val="Normal"/>
    <w:autoRedefine/>
    <w:uiPriority w:val="39"/>
    <w:semiHidden/>
    <w:unhideWhenUsed/>
    <w:rsid w:val="00A83136"/>
    <w:pPr>
      <w:spacing w:before="160" w:after="100" w:line="260" w:lineRule="exact"/>
      <w:ind w:left="1330"/>
    </w:pPr>
    <w:rPr>
      <w:rFonts w:ascii="Trebuchet MS" w:eastAsia="Times New Roman" w:hAnsi="Trebuchet MS" w:cs="Times New Roman"/>
      <w:sz w:val="19"/>
      <w:szCs w:val="20"/>
    </w:rPr>
  </w:style>
  <w:style w:type="paragraph" w:styleId="TOC9">
    <w:name w:val="toc 9"/>
    <w:basedOn w:val="Normal"/>
    <w:next w:val="Normal"/>
    <w:autoRedefine/>
    <w:uiPriority w:val="39"/>
    <w:semiHidden/>
    <w:unhideWhenUsed/>
    <w:rsid w:val="00A83136"/>
    <w:pPr>
      <w:spacing w:before="160" w:after="100" w:line="260" w:lineRule="exact"/>
      <w:ind w:left="1520"/>
    </w:pPr>
    <w:rPr>
      <w:rFonts w:ascii="Trebuchet MS" w:eastAsia="Times New Roman" w:hAnsi="Trebuchet MS" w:cs="Times New Roman"/>
      <w:sz w:val="19"/>
      <w:szCs w:val="20"/>
    </w:r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FootnoteReference">
    <w:name w:val="footnote reference"/>
    <w:basedOn w:val="DefaultParagraphFont"/>
    <w:uiPriority w:val="99"/>
    <w:semiHidden/>
    <w:rsid w:val="00581C8C"/>
    <w:rPr>
      <w:vertAlign w:val="superscript"/>
    </w:rPr>
  </w:style>
  <w:style w:type="paragraph" w:styleId="BodyText">
    <w:name w:val="Body Text"/>
    <w:basedOn w:val="Normal"/>
    <w:link w:val="BodyTextChar"/>
    <w:uiPriority w:val="1"/>
    <w:qFormat/>
    <w:rsid w:val="004665BF"/>
    <w:pPr>
      <w:widowControl w:val="0"/>
      <w:spacing w:before="163"/>
      <w:ind w:left="2260" w:firstLine="7"/>
    </w:pPr>
    <w:rPr>
      <w:rFonts w:ascii="Times New Roman" w:eastAsia="Times New Roman" w:hAnsi="Times New Roman" w:cstheme="minorBidi"/>
      <w:sz w:val="20"/>
      <w:szCs w:val="20"/>
      <w:lang w:val="en-US"/>
    </w:rPr>
  </w:style>
  <w:style w:type="character" w:customStyle="1" w:styleId="BodyTextChar">
    <w:name w:val="Body Text Char"/>
    <w:basedOn w:val="DefaultParagraphFont"/>
    <w:link w:val="BodyText"/>
    <w:uiPriority w:val="1"/>
    <w:rsid w:val="004665BF"/>
    <w:rPr>
      <w:rFonts w:cstheme="minorBidi"/>
    </w:rPr>
  </w:style>
  <w:style w:type="paragraph" w:customStyle="1" w:styleId="Statsbullet">
    <w:name w:val="Stats bullet"/>
    <w:basedOn w:val="Normal"/>
    <w:rsid w:val="00932156"/>
    <w:pPr>
      <w:numPr>
        <w:numId w:val="26"/>
      </w:numPr>
      <w:spacing w:before="20" w:line="260" w:lineRule="exact"/>
    </w:pPr>
    <w:rPr>
      <w:rFonts w:ascii="Trebuchet MS" w:eastAsia="Times New Roman" w:hAnsi="Trebuchet MS" w:cs="Times New Roman"/>
      <w:sz w:val="20"/>
      <w:szCs w:val="18"/>
    </w:rPr>
  </w:style>
  <w:style w:type="paragraph" w:customStyle="1" w:styleId="TableRowColour75pt">
    <w:name w:val="TableRowColour7.5pt"/>
    <w:basedOn w:val="Tabletext"/>
    <w:qFormat/>
    <w:rsid w:val="00932156"/>
    <w:pPr>
      <w:spacing w:after="20"/>
    </w:pPr>
    <w:rPr>
      <w:b/>
      <w:color w:val="439539"/>
      <w:sz w:val="15"/>
      <w:lang w:eastAsia="en-AU"/>
    </w:rPr>
  </w:style>
  <w:style w:type="paragraph" w:styleId="ListParagraph">
    <w:name w:val="List Paragraph"/>
    <w:basedOn w:val="Normal"/>
    <w:uiPriority w:val="34"/>
    <w:qFormat/>
    <w:rsid w:val="00765E97"/>
    <w:pPr>
      <w:spacing w:after="200" w:line="276" w:lineRule="auto"/>
      <w:ind w:left="720"/>
      <w:contextualSpacing/>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6931">
      <w:bodyDiv w:val="1"/>
      <w:marLeft w:val="0"/>
      <w:marRight w:val="0"/>
      <w:marTop w:val="0"/>
      <w:marBottom w:val="0"/>
      <w:divBdr>
        <w:top w:val="none" w:sz="0" w:space="0" w:color="auto"/>
        <w:left w:val="none" w:sz="0" w:space="0" w:color="auto"/>
        <w:bottom w:val="none" w:sz="0" w:space="0" w:color="auto"/>
        <w:right w:val="none" w:sz="0" w:space="0" w:color="auto"/>
      </w:divBdr>
    </w:div>
    <w:div w:id="74405749">
      <w:bodyDiv w:val="1"/>
      <w:marLeft w:val="0"/>
      <w:marRight w:val="0"/>
      <w:marTop w:val="0"/>
      <w:marBottom w:val="0"/>
      <w:divBdr>
        <w:top w:val="none" w:sz="0" w:space="0" w:color="auto"/>
        <w:left w:val="none" w:sz="0" w:space="0" w:color="auto"/>
        <w:bottom w:val="none" w:sz="0" w:space="0" w:color="auto"/>
        <w:right w:val="none" w:sz="0" w:space="0" w:color="auto"/>
      </w:divBdr>
    </w:div>
    <w:div w:id="80758400">
      <w:bodyDiv w:val="1"/>
      <w:marLeft w:val="0"/>
      <w:marRight w:val="0"/>
      <w:marTop w:val="0"/>
      <w:marBottom w:val="0"/>
      <w:divBdr>
        <w:top w:val="none" w:sz="0" w:space="0" w:color="auto"/>
        <w:left w:val="none" w:sz="0" w:space="0" w:color="auto"/>
        <w:bottom w:val="none" w:sz="0" w:space="0" w:color="auto"/>
        <w:right w:val="none" w:sz="0" w:space="0" w:color="auto"/>
      </w:divBdr>
    </w:div>
    <w:div w:id="104935062">
      <w:bodyDiv w:val="1"/>
      <w:marLeft w:val="0"/>
      <w:marRight w:val="0"/>
      <w:marTop w:val="0"/>
      <w:marBottom w:val="0"/>
      <w:divBdr>
        <w:top w:val="none" w:sz="0" w:space="0" w:color="auto"/>
        <w:left w:val="none" w:sz="0" w:space="0" w:color="auto"/>
        <w:bottom w:val="none" w:sz="0" w:space="0" w:color="auto"/>
        <w:right w:val="none" w:sz="0" w:space="0" w:color="auto"/>
      </w:divBdr>
      <w:divsChild>
        <w:div w:id="3437899">
          <w:marLeft w:val="274"/>
          <w:marRight w:val="0"/>
          <w:marTop w:val="0"/>
          <w:marBottom w:val="0"/>
          <w:divBdr>
            <w:top w:val="none" w:sz="0" w:space="0" w:color="auto"/>
            <w:left w:val="none" w:sz="0" w:space="0" w:color="auto"/>
            <w:bottom w:val="none" w:sz="0" w:space="0" w:color="auto"/>
            <w:right w:val="none" w:sz="0" w:space="0" w:color="auto"/>
          </w:divBdr>
        </w:div>
        <w:div w:id="1027365934">
          <w:marLeft w:val="274"/>
          <w:marRight w:val="0"/>
          <w:marTop w:val="0"/>
          <w:marBottom w:val="0"/>
          <w:divBdr>
            <w:top w:val="none" w:sz="0" w:space="0" w:color="auto"/>
            <w:left w:val="none" w:sz="0" w:space="0" w:color="auto"/>
            <w:bottom w:val="none" w:sz="0" w:space="0" w:color="auto"/>
            <w:right w:val="none" w:sz="0" w:space="0" w:color="auto"/>
          </w:divBdr>
        </w:div>
        <w:div w:id="724989552">
          <w:marLeft w:val="274"/>
          <w:marRight w:val="0"/>
          <w:marTop w:val="0"/>
          <w:marBottom w:val="0"/>
          <w:divBdr>
            <w:top w:val="none" w:sz="0" w:space="0" w:color="auto"/>
            <w:left w:val="none" w:sz="0" w:space="0" w:color="auto"/>
            <w:bottom w:val="none" w:sz="0" w:space="0" w:color="auto"/>
            <w:right w:val="none" w:sz="0" w:space="0" w:color="auto"/>
          </w:divBdr>
        </w:div>
        <w:div w:id="365252552">
          <w:marLeft w:val="274"/>
          <w:marRight w:val="0"/>
          <w:marTop w:val="0"/>
          <w:marBottom w:val="0"/>
          <w:divBdr>
            <w:top w:val="none" w:sz="0" w:space="0" w:color="auto"/>
            <w:left w:val="none" w:sz="0" w:space="0" w:color="auto"/>
            <w:bottom w:val="none" w:sz="0" w:space="0" w:color="auto"/>
            <w:right w:val="none" w:sz="0" w:space="0" w:color="auto"/>
          </w:divBdr>
        </w:div>
        <w:div w:id="1538278590">
          <w:marLeft w:val="274"/>
          <w:marRight w:val="0"/>
          <w:marTop w:val="0"/>
          <w:marBottom w:val="0"/>
          <w:divBdr>
            <w:top w:val="none" w:sz="0" w:space="0" w:color="auto"/>
            <w:left w:val="none" w:sz="0" w:space="0" w:color="auto"/>
            <w:bottom w:val="none" w:sz="0" w:space="0" w:color="auto"/>
            <w:right w:val="none" w:sz="0" w:space="0" w:color="auto"/>
          </w:divBdr>
        </w:div>
        <w:div w:id="943997451">
          <w:marLeft w:val="274"/>
          <w:marRight w:val="0"/>
          <w:marTop w:val="0"/>
          <w:marBottom w:val="0"/>
          <w:divBdr>
            <w:top w:val="none" w:sz="0" w:space="0" w:color="auto"/>
            <w:left w:val="none" w:sz="0" w:space="0" w:color="auto"/>
            <w:bottom w:val="none" w:sz="0" w:space="0" w:color="auto"/>
            <w:right w:val="none" w:sz="0" w:space="0" w:color="auto"/>
          </w:divBdr>
        </w:div>
        <w:div w:id="157118599">
          <w:marLeft w:val="274"/>
          <w:marRight w:val="0"/>
          <w:marTop w:val="0"/>
          <w:marBottom w:val="0"/>
          <w:divBdr>
            <w:top w:val="none" w:sz="0" w:space="0" w:color="auto"/>
            <w:left w:val="none" w:sz="0" w:space="0" w:color="auto"/>
            <w:bottom w:val="none" w:sz="0" w:space="0" w:color="auto"/>
            <w:right w:val="none" w:sz="0" w:space="0" w:color="auto"/>
          </w:divBdr>
        </w:div>
        <w:div w:id="654724021">
          <w:marLeft w:val="274"/>
          <w:marRight w:val="0"/>
          <w:marTop w:val="0"/>
          <w:marBottom w:val="0"/>
          <w:divBdr>
            <w:top w:val="none" w:sz="0" w:space="0" w:color="auto"/>
            <w:left w:val="none" w:sz="0" w:space="0" w:color="auto"/>
            <w:bottom w:val="none" w:sz="0" w:space="0" w:color="auto"/>
            <w:right w:val="none" w:sz="0" w:space="0" w:color="auto"/>
          </w:divBdr>
        </w:div>
        <w:div w:id="185798400">
          <w:marLeft w:val="274"/>
          <w:marRight w:val="0"/>
          <w:marTop w:val="0"/>
          <w:marBottom w:val="0"/>
          <w:divBdr>
            <w:top w:val="none" w:sz="0" w:space="0" w:color="auto"/>
            <w:left w:val="none" w:sz="0" w:space="0" w:color="auto"/>
            <w:bottom w:val="none" w:sz="0" w:space="0" w:color="auto"/>
            <w:right w:val="none" w:sz="0" w:space="0" w:color="auto"/>
          </w:divBdr>
        </w:div>
        <w:div w:id="553736735">
          <w:marLeft w:val="274"/>
          <w:marRight w:val="0"/>
          <w:marTop w:val="0"/>
          <w:marBottom w:val="0"/>
          <w:divBdr>
            <w:top w:val="none" w:sz="0" w:space="0" w:color="auto"/>
            <w:left w:val="none" w:sz="0" w:space="0" w:color="auto"/>
            <w:bottom w:val="none" w:sz="0" w:space="0" w:color="auto"/>
            <w:right w:val="none" w:sz="0" w:space="0" w:color="auto"/>
          </w:divBdr>
        </w:div>
        <w:div w:id="1785029335">
          <w:marLeft w:val="274"/>
          <w:marRight w:val="0"/>
          <w:marTop w:val="0"/>
          <w:marBottom w:val="0"/>
          <w:divBdr>
            <w:top w:val="none" w:sz="0" w:space="0" w:color="auto"/>
            <w:left w:val="none" w:sz="0" w:space="0" w:color="auto"/>
            <w:bottom w:val="none" w:sz="0" w:space="0" w:color="auto"/>
            <w:right w:val="none" w:sz="0" w:space="0" w:color="auto"/>
          </w:divBdr>
        </w:div>
      </w:divsChild>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09611251">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18508338">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611741909">
      <w:bodyDiv w:val="1"/>
      <w:marLeft w:val="0"/>
      <w:marRight w:val="0"/>
      <w:marTop w:val="0"/>
      <w:marBottom w:val="0"/>
      <w:divBdr>
        <w:top w:val="none" w:sz="0" w:space="0" w:color="auto"/>
        <w:left w:val="none" w:sz="0" w:space="0" w:color="auto"/>
        <w:bottom w:val="none" w:sz="0" w:space="0" w:color="auto"/>
        <w:right w:val="none" w:sz="0" w:space="0" w:color="auto"/>
      </w:divBdr>
      <w:divsChild>
        <w:div w:id="1170826114">
          <w:marLeft w:val="0"/>
          <w:marRight w:val="0"/>
          <w:marTop w:val="0"/>
          <w:marBottom w:val="0"/>
          <w:divBdr>
            <w:top w:val="none" w:sz="0" w:space="0" w:color="auto"/>
            <w:left w:val="none" w:sz="0" w:space="0" w:color="auto"/>
            <w:bottom w:val="none" w:sz="0" w:space="0" w:color="auto"/>
            <w:right w:val="none" w:sz="0" w:space="0" w:color="auto"/>
          </w:divBdr>
          <w:divsChild>
            <w:div w:id="206183414">
              <w:marLeft w:val="0"/>
              <w:marRight w:val="0"/>
              <w:marTop w:val="0"/>
              <w:marBottom w:val="0"/>
              <w:divBdr>
                <w:top w:val="none" w:sz="0" w:space="0" w:color="auto"/>
                <w:left w:val="none" w:sz="0" w:space="0" w:color="auto"/>
                <w:bottom w:val="none" w:sz="0" w:space="0" w:color="auto"/>
                <w:right w:val="none" w:sz="0" w:space="0" w:color="auto"/>
              </w:divBdr>
              <w:divsChild>
                <w:div w:id="718357292">
                  <w:marLeft w:val="0"/>
                  <w:marRight w:val="0"/>
                  <w:marTop w:val="0"/>
                  <w:marBottom w:val="0"/>
                  <w:divBdr>
                    <w:top w:val="none" w:sz="0" w:space="0" w:color="auto"/>
                    <w:left w:val="none" w:sz="0" w:space="0" w:color="auto"/>
                    <w:bottom w:val="none" w:sz="0" w:space="0" w:color="auto"/>
                    <w:right w:val="none" w:sz="0" w:space="0" w:color="auto"/>
                  </w:divBdr>
                  <w:divsChild>
                    <w:div w:id="587662888">
                      <w:marLeft w:val="0"/>
                      <w:marRight w:val="0"/>
                      <w:marTop w:val="0"/>
                      <w:marBottom w:val="0"/>
                      <w:divBdr>
                        <w:top w:val="none" w:sz="0" w:space="0" w:color="auto"/>
                        <w:left w:val="none" w:sz="0" w:space="0" w:color="auto"/>
                        <w:bottom w:val="none" w:sz="0" w:space="0" w:color="auto"/>
                        <w:right w:val="none" w:sz="0" w:space="0" w:color="auto"/>
                      </w:divBdr>
                      <w:divsChild>
                        <w:div w:id="38301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142314">
      <w:bodyDiv w:val="1"/>
      <w:marLeft w:val="0"/>
      <w:marRight w:val="0"/>
      <w:marTop w:val="0"/>
      <w:marBottom w:val="0"/>
      <w:divBdr>
        <w:top w:val="none" w:sz="0" w:space="0" w:color="auto"/>
        <w:left w:val="none" w:sz="0" w:space="0" w:color="auto"/>
        <w:bottom w:val="none" w:sz="0" w:space="0" w:color="auto"/>
        <w:right w:val="none" w:sz="0" w:space="0" w:color="auto"/>
      </w:divBdr>
    </w:div>
    <w:div w:id="686252407">
      <w:bodyDiv w:val="1"/>
      <w:marLeft w:val="0"/>
      <w:marRight w:val="0"/>
      <w:marTop w:val="0"/>
      <w:marBottom w:val="0"/>
      <w:divBdr>
        <w:top w:val="none" w:sz="0" w:space="0" w:color="auto"/>
        <w:left w:val="none" w:sz="0" w:space="0" w:color="auto"/>
        <w:bottom w:val="none" w:sz="0" w:space="0" w:color="auto"/>
        <w:right w:val="none" w:sz="0" w:space="0" w:color="auto"/>
      </w:divBdr>
      <w:divsChild>
        <w:div w:id="1251544943">
          <w:marLeft w:val="0"/>
          <w:marRight w:val="0"/>
          <w:marTop w:val="0"/>
          <w:marBottom w:val="0"/>
          <w:divBdr>
            <w:top w:val="none" w:sz="0" w:space="0" w:color="auto"/>
            <w:left w:val="none" w:sz="0" w:space="0" w:color="auto"/>
            <w:bottom w:val="none" w:sz="0" w:space="0" w:color="auto"/>
            <w:right w:val="none" w:sz="0" w:space="0" w:color="auto"/>
          </w:divBdr>
          <w:divsChild>
            <w:div w:id="823087148">
              <w:marLeft w:val="0"/>
              <w:marRight w:val="0"/>
              <w:marTop w:val="0"/>
              <w:marBottom w:val="0"/>
              <w:divBdr>
                <w:top w:val="none" w:sz="0" w:space="0" w:color="auto"/>
                <w:left w:val="none" w:sz="0" w:space="0" w:color="auto"/>
                <w:bottom w:val="none" w:sz="0" w:space="0" w:color="auto"/>
                <w:right w:val="none" w:sz="0" w:space="0" w:color="auto"/>
              </w:divBdr>
              <w:divsChild>
                <w:div w:id="1209488194">
                  <w:marLeft w:val="0"/>
                  <w:marRight w:val="0"/>
                  <w:marTop w:val="0"/>
                  <w:marBottom w:val="0"/>
                  <w:divBdr>
                    <w:top w:val="none" w:sz="0" w:space="0" w:color="auto"/>
                    <w:left w:val="none" w:sz="0" w:space="0" w:color="auto"/>
                    <w:bottom w:val="none" w:sz="0" w:space="0" w:color="auto"/>
                    <w:right w:val="none" w:sz="0" w:space="0" w:color="auto"/>
                  </w:divBdr>
                  <w:divsChild>
                    <w:div w:id="1258364305">
                      <w:marLeft w:val="0"/>
                      <w:marRight w:val="0"/>
                      <w:marTop w:val="0"/>
                      <w:marBottom w:val="0"/>
                      <w:divBdr>
                        <w:top w:val="none" w:sz="0" w:space="0" w:color="auto"/>
                        <w:left w:val="none" w:sz="0" w:space="0" w:color="auto"/>
                        <w:bottom w:val="none" w:sz="0" w:space="0" w:color="auto"/>
                        <w:right w:val="none" w:sz="0" w:space="0" w:color="auto"/>
                      </w:divBdr>
                      <w:divsChild>
                        <w:div w:id="1665817832">
                          <w:marLeft w:val="0"/>
                          <w:marRight w:val="0"/>
                          <w:marTop w:val="0"/>
                          <w:marBottom w:val="0"/>
                          <w:divBdr>
                            <w:top w:val="none" w:sz="0" w:space="0" w:color="auto"/>
                            <w:left w:val="none" w:sz="0" w:space="0" w:color="auto"/>
                            <w:bottom w:val="none" w:sz="0" w:space="0" w:color="auto"/>
                            <w:right w:val="none" w:sz="0" w:space="0" w:color="auto"/>
                          </w:divBdr>
                          <w:divsChild>
                            <w:div w:id="791823838">
                              <w:marLeft w:val="0"/>
                              <w:marRight w:val="0"/>
                              <w:marTop w:val="0"/>
                              <w:marBottom w:val="0"/>
                              <w:divBdr>
                                <w:top w:val="none" w:sz="0" w:space="0" w:color="auto"/>
                                <w:left w:val="none" w:sz="0" w:space="0" w:color="auto"/>
                                <w:bottom w:val="none" w:sz="0" w:space="0" w:color="auto"/>
                                <w:right w:val="none" w:sz="0" w:space="0" w:color="auto"/>
                              </w:divBdr>
                              <w:divsChild>
                                <w:div w:id="2379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798303">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253585899">
      <w:bodyDiv w:val="1"/>
      <w:marLeft w:val="0"/>
      <w:marRight w:val="0"/>
      <w:marTop w:val="0"/>
      <w:marBottom w:val="0"/>
      <w:divBdr>
        <w:top w:val="none" w:sz="0" w:space="0" w:color="auto"/>
        <w:left w:val="none" w:sz="0" w:space="0" w:color="auto"/>
        <w:bottom w:val="none" w:sz="0" w:space="0" w:color="auto"/>
        <w:right w:val="none" w:sz="0" w:space="0" w:color="auto"/>
      </w:divBdr>
    </w:div>
    <w:div w:id="1255286830">
      <w:bodyDiv w:val="1"/>
      <w:marLeft w:val="0"/>
      <w:marRight w:val="0"/>
      <w:marTop w:val="0"/>
      <w:marBottom w:val="0"/>
      <w:divBdr>
        <w:top w:val="none" w:sz="0" w:space="0" w:color="auto"/>
        <w:left w:val="none" w:sz="0" w:space="0" w:color="auto"/>
        <w:bottom w:val="none" w:sz="0" w:space="0" w:color="auto"/>
        <w:right w:val="none" w:sz="0" w:space="0" w:color="auto"/>
      </w:divBdr>
      <w:divsChild>
        <w:div w:id="1924754684">
          <w:marLeft w:val="720"/>
          <w:marRight w:val="0"/>
          <w:marTop w:val="240"/>
          <w:marBottom w:val="0"/>
          <w:divBdr>
            <w:top w:val="none" w:sz="0" w:space="0" w:color="auto"/>
            <w:left w:val="none" w:sz="0" w:space="0" w:color="auto"/>
            <w:bottom w:val="none" w:sz="0" w:space="0" w:color="auto"/>
            <w:right w:val="none" w:sz="0" w:space="0" w:color="auto"/>
          </w:divBdr>
        </w:div>
        <w:div w:id="104548149">
          <w:marLeft w:val="720"/>
          <w:marRight w:val="0"/>
          <w:marTop w:val="240"/>
          <w:marBottom w:val="0"/>
          <w:divBdr>
            <w:top w:val="none" w:sz="0" w:space="0" w:color="auto"/>
            <w:left w:val="none" w:sz="0" w:space="0" w:color="auto"/>
            <w:bottom w:val="none" w:sz="0" w:space="0" w:color="auto"/>
            <w:right w:val="none" w:sz="0" w:space="0" w:color="auto"/>
          </w:divBdr>
        </w:div>
        <w:div w:id="1061094172">
          <w:marLeft w:val="720"/>
          <w:marRight w:val="0"/>
          <w:marTop w:val="240"/>
          <w:marBottom w:val="0"/>
          <w:divBdr>
            <w:top w:val="none" w:sz="0" w:space="0" w:color="auto"/>
            <w:left w:val="none" w:sz="0" w:space="0" w:color="auto"/>
            <w:bottom w:val="none" w:sz="0" w:space="0" w:color="auto"/>
            <w:right w:val="none" w:sz="0" w:space="0" w:color="auto"/>
          </w:divBdr>
        </w:div>
        <w:div w:id="693113512">
          <w:marLeft w:val="720"/>
          <w:marRight w:val="0"/>
          <w:marTop w:val="240"/>
          <w:marBottom w:val="0"/>
          <w:divBdr>
            <w:top w:val="none" w:sz="0" w:space="0" w:color="auto"/>
            <w:left w:val="none" w:sz="0" w:space="0" w:color="auto"/>
            <w:bottom w:val="none" w:sz="0" w:space="0" w:color="auto"/>
            <w:right w:val="none" w:sz="0" w:space="0" w:color="auto"/>
          </w:divBdr>
        </w:div>
      </w:divsChild>
    </w:div>
    <w:div w:id="1264876443">
      <w:bodyDiv w:val="1"/>
      <w:marLeft w:val="0"/>
      <w:marRight w:val="0"/>
      <w:marTop w:val="0"/>
      <w:marBottom w:val="0"/>
      <w:divBdr>
        <w:top w:val="none" w:sz="0" w:space="0" w:color="auto"/>
        <w:left w:val="none" w:sz="0" w:space="0" w:color="auto"/>
        <w:bottom w:val="none" w:sz="0" w:space="0" w:color="auto"/>
        <w:right w:val="none" w:sz="0" w:space="0" w:color="auto"/>
      </w:divBdr>
    </w:div>
    <w:div w:id="1294286824">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22413110">
      <w:bodyDiv w:val="1"/>
      <w:marLeft w:val="0"/>
      <w:marRight w:val="0"/>
      <w:marTop w:val="0"/>
      <w:marBottom w:val="0"/>
      <w:divBdr>
        <w:top w:val="none" w:sz="0" w:space="0" w:color="auto"/>
        <w:left w:val="none" w:sz="0" w:space="0" w:color="auto"/>
        <w:bottom w:val="none" w:sz="0" w:space="0" w:color="auto"/>
        <w:right w:val="none" w:sz="0" w:space="0" w:color="auto"/>
      </w:divBdr>
    </w:div>
    <w:div w:id="1596981578">
      <w:bodyDiv w:val="1"/>
      <w:marLeft w:val="0"/>
      <w:marRight w:val="0"/>
      <w:marTop w:val="0"/>
      <w:marBottom w:val="0"/>
      <w:divBdr>
        <w:top w:val="none" w:sz="0" w:space="0" w:color="auto"/>
        <w:left w:val="none" w:sz="0" w:space="0" w:color="auto"/>
        <w:bottom w:val="none" w:sz="0" w:space="0" w:color="auto"/>
        <w:right w:val="none" w:sz="0" w:space="0" w:color="auto"/>
      </w:divBdr>
    </w:div>
    <w:div w:id="1622959087">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8922890">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6906186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8.emf"/><Relationship Id="rId39" Type="http://schemas.openxmlformats.org/officeDocument/2006/relationships/chart" Target="charts/chart3.xml"/><Relationship Id="rId21" Type="http://schemas.openxmlformats.org/officeDocument/2006/relationships/footer" Target="footer3.xml"/><Relationship Id="rId34" Type="http://schemas.openxmlformats.org/officeDocument/2006/relationships/header" Target="header3.xml"/><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hyperlink" Target="http://www.cedefop.europa.eu/EN/Files/3059_en.pdf" TargetMode="External"/><Relationship Id="rId55" Type="http://schemas.openxmlformats.org/officeDocument/2006/relationships/hyperlink" Target="http://www.education.gov.au/new-arrangements-training-product-development-australian-industry" TargetMode="External"/><Relationship Id="rId63" Type="http://schemas.openxmlformats.org/officeDocument/2006/relationships/hyperlink" Target="http://twitter.com/ncver" TargetMode="External"/><Relationship Id="rId68" Type="http://schemas.openxmlformats.org/officeDocument/2006/relationships/hyperlink" Target="http://twitter.com/ncver" TargetMode="External"/><Relationship Id="rId7" Type="http://schemas.openxmlformats.org/officeDocument/2006/relationships/footnotes" Target="footnotes.xml"/><Relationship Id="rId71"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mailto:ncver@ncver.edu.au"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oter" Target="footer5.xml"/><Relationship Id="rId32" Type="http://schemas.openxmlformats.org/officeDocument/2006/relationships/image" Target="media/image14.emf"/><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hyperlink" Target="http://www.cedefop.europa.eu/en/publications/22409.aspx" TargetMode="External"/><Relationship Id="rId58" Type="http://schemas.openxmlformats.org/officeDocument/2006/relationships/hyperlink" Target="https://www.gov.uk/government/uploads/system/uploads/attachment_data/file/286749/bis-14-577-vocational-qualification-reform-plan.pdf" TargetMode="External"/><Relationship Id="rId66" Type="http://schemas.openxmlformats.org/officeDocument/2006/relationships/hyperlink" Target="mailto:ncver@ncver.edu.au" TargetMode="Externa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header" Target="header2.xml"/><Relationship Id="rId28" Type="http://schemas.openxmlformats.org/officeDocument/2006/relationships/image" Target="media/image10.emf"/><Relationship Id="rId36" Type="http://schemas.openxmlformats.org/officeDocument/2006/relationships/footer" Target="footer8.xml"/><Relationship Id="rId49" Type="http://schemas.openxmlformats.org/officeDocument/2006/relationships/hyperlink" Target="https://www.ncver.edu.au/publications/publications/all-publications/making-sense-of-total-vet-activity-an-initial-market-analysis" TargetMode="External"/><Relationship Id="rId57" Type="http://schemas.openxmlformats.org/officeDocument/2006/relationships/hyperlink" Target="https://www.ncver.edu.au/publications/publications/all-publications/2871" TargetMode="External"/><Relationship Id="rId61" Type="http://schemas.openxmlformats.org/officeDocument/2006/relationships/hyperlink" Target="mailto:ncver@ncver.edu.au" TargetMode="Externa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image" Target="media/image13.emf"/><Relationship Id="rId44" Type="http://schemas.openxmlformats.org/officeDocument/2006/relationships/chart" Target="charts/chart8.xml"/><Relationship Id="rId52" Type="http://schemas.openxmlformats.org/officeDocument/2006/relationships/hyperlink" Target="http://libserver.cedefop.europa.eu/vetelib/2012/2012_CR_SE.pdf" TargetMode="External"/><Relationship Id="rId60" Type="http://schemas.openxmlformats.org/officeDocument/2006/relationships/image" Target="media/image16.wmf"/><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footer" Target="footer7.xml"/><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hyperlink" Target="http://consult.industry.gov.au/vet-reform/training-packages-review/supporting_documents/Final%20%20Review%20of%20Training%20Packages%20and%20Accredited%20Courses.pdf" TargetMode="External"/><Relationship Id="rId69" Type="http://schemas.openxmlformats.org/officeDocument/2006/relationships/image" Target="media/image17.jpeg"/><Relationship Id="rId8" Type="http://schemas.openxmlformats.org/officeDocument/2006/relationships/endnotes" Target="endnotes.xml"/><Relationship Id="rId51" Type="http://schemas.openxmlformats.org/officeDocument/2006/relationships/hyperlink" Target="http://www.cedefop.europa.eu/en/publications/19313.aspx"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voced.edu.au/" TargetMode="External"/><Relationship Id="rId17" Type="http://schemas.openxmlformats.org/officeDocument/2006/relationships/hyperlink" Target="mailto:ncver@ncver.edu.au" TargetMode="External"/><Relationship Id="rId25" Type="http://schemas.openxmlformats.org/officeDocument/2006/relationships/footer" Target="footer6.xml"/><Relationship Id="rId33" Type="http://schemas.openxmlformats.org/officeDocument/2006/relationships/image" Target="media/image15.emf"/><Relationship Id="rId38" Type="http://schemas.openxmlformats.org/officeDocument/2006/relationships/chart" Target="charts/chart2.xml"/><Relationship Id="rId46" Type="http://schemas.openxmlformats.org/officeDocument/2006/relationships/chart" Target="charts/chart10.xml"/><Relationship Id="rId59" Type="http://schemas.openxmlformats.org/officeDocument/2006/relationships/hyperlink" Target="https://www.gov.uk/government/publications/post-16-skills-plan-and-independent-report-on-technical-education" TargetMode="External"/><Relationship Id="rId67" Type="http://schemas.openxmlformats.org/officeDocument/2006/relationships/hyperlink" Target="http://www.lsay.edu.au" TargetMode="External"/><Relationship Id="rId20" Type="http://schemas.openxmlformats.org/officeDocument/2006/relationships/header" Target="header1.xml"/><Relationship Id="rId41" Type="http://schemas.openxmlformats.org/officeDocument/2006/relationships/chart" Target="charts/chart5.xml"/><Relationship Id="rId54" Type="http://schemas.openxmlformats.org/officeDocument/2006/relationships/hyperlink" Target="http://www.education.gov.au/outcomes-review-training-packages-and-accredited-courses" TargetMode="External"/><Relationship Id="rId62" Type="http://schemas.openxmlformats.org/officeDocument/2006/relationships/hyperlink" Target="http://www.lsay.edu.au" TargetMode="External"/><Relationship Id="rId70" Type="http://schemas.openxmlformats.org/officeDocument/2006/relationships/footer" Target="footer9.xml"/></Relationships>
</file>

<file path=word/_rels/footnotes.xml.rels><?xml version="1.0" encoding="UTF-8" standalone="yes"?>
<Relationships xmlns="http://schemas.openxmlformats.org/package/2006/relationships"><Relationship Id="rId1" Type="http://schemas.openxmlformats.org/officeDocument/2006/relationships/hyperlink" Target="http://www.ncver.edu.au/__data/assets/pdf_file/0030/58089/Program_enrolment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2" Type="http://schemas.openxmlformats.org/officeDocument/2006/relationships/oleObject" Target="file:///\\ncver.edu.au\data\pub_prod\WorkInProgress\Elise'sPubs\2894%20-%20Uptake%20and%20utility%20of%20qualifications\Uptake_and_utility_-_data.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ncver.edu.au\data\pub_prod\WorkInProgress\Elise'sPubs\2894%20-%20Uptake%20and%20utility%20of%20qualifications\Copy%20of%20Uptake_and_utility_-_data_v2.xlsx" TargetMode="External"/><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oleObject" Target="file:///\\ncver.edu.au\data\pub_prod\WorkInProgress\Elise'sPubs\2894%20-%20Uptake%20and%20utility%20of%20qualifications\Copy%20of%20Uptake_and_utility_-_data_v2.xlsx" TargetMode="External"/><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oleObject" Target="file:///\\ncver.edu.au\data\pub_prod\WorkInProgress\Elise'sPubs\2894%20-%20Uptake%20and%20utility%20of%20qualifications\Copy%20of%20Uptake_and_utility_-_data_v2.xlsx"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cver.edu.au\data\pub_prod\WorkInProgress\Elise'sPubs\2894%20-%20Uptake%20and%20utility%20of%20qualifications\Uptake_and_utility_-_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cver.edu.au\data\pub_prod\WorkInProgress\Elise'sPubs\2894%20-%20Uptake%20and%20utility%20of%20qualifications\Uptake_and_utility_-_data.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ncver.edu.au\data\pub_prod\WorkInProgress\Elise'sPubs\2894%20-%20Uptake%20and%20utility%20of%20qualifications\Uptake_and_utility_-_data.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ncver.edu.au\data\pub_prod\WorkInProgress\Elise'sPubs\2894%20-%20Uptake%20and%20utility%20of%20qualifications\Uptake_and_utility_-_data.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ncver.edu.au\data\pub_prod\WorkInProgress\Elise'sPubs\2894%20-%20Uptake%20and%20utility%20of%20qualifications\Uptake_and_utility_-_data.XLSX"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ncver.edu.au\data\pub_prod\WorkInProgress\Elise'sPubs\2894%20-%20Uptake%20and%20utility%20of%20qualifications\Copy%20of%20Uptake_and_utility_-_data_v2.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ncver.edu.au\data\pub_prod\WorkInProgress\Elise'sPubs\2894%20-%20Uptake%20and%20utility%20of%20qualifications\Copy%20of%20Uptake_and_utility_-_data_v2.xlsx"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oleObject" Target="file:///\\ncver.edu.au\data\pub_prod\WorkInProgress\Elise'sPubs\2894%20-%20Uptake%20and%20utility%20of%20qualifications\Copy%20of%20Uptake_and_utility_-_data_v2.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897442101255645"/>
          <c:y val="5.7555218590715607E-2"/>
          <c:w val="0.46408114610673667"/>
          <c:h val="0.7710338291046952"/>
        </c:manualLayout>
      </c:layout>
      <c:barChart>
        <c:barDir val="bar"/>
        <c:grouping val="clustered"/>
        <c:varyColors val="0"/>
        <c:ser>
          <c:idx val="1"/>
          <c:order val="0"/>
          <c:tx>
            <c:v>series</c:v>
          </c:tx>
          <c:spPr>
            <a:solidFill>
              <a:srgbClr val="78278B"/>
            </a:solidFill>
          </c:spPr>
          <c:invertIfNegative val="0"/>
          <c:dLbls>
            <c:showLegendKey val="0"/>
            <c:showVal val="1"/>
            <c:showCatName val="0"/>
            <c:showSerName val="0"/>
            <c:showPercent val="0"/>
            <c:showBubbleSize val="0"/>
            <c:showLeaderLines val="0"/>
          </c:dLbls>
          <c:cat>
            <c:strRef>
              <c:f>'Figure 1'!$A$20:$A$24</c:f>
              <c:strCache>
                <c:ptCount val="5"/>
                <c:pt idx="0">
                  <c:v>Skills sets – nationally and locally recognised</c:v>
                </c:pt>
                <c:pt idx="1">
                  <c:v>Locally recognised courses</c:v>
                </c:pt>
                <c:pt idx="2">
                  <c:v>Higher-level qualifications</c:v>
                </c:pt>
                <c:pt idx="3">
                  <c:v>Nationally recognised accredited courses </c:v>
                </c:pt>
                <c:pt idx="4">
                  <c:v>National training package qualifications </c:v>
                </c:pt>
              </c:strCache>
            </c:strRef>
          </c:cat>
          <c:val>
            <c:numRef>
              <c:f>'Figure 1'!$B$20:$B$24</c:f>
              <c:numCache>
                <c:formatCode>General</c:formatCode>
                <c:ptCount val="5"/>
                <c:pt idx="0">
                  <c:v>153.69999999999999</c:v>
                </c:pt>
                <c:pt idx="1">
                  <c:v>231.7</c:v>
                </c:pt>
                <c:pt idx="2">
                  <c:v>3.3</c:v>
                </c:pt>
                <c:pt idx="3">
                  <c:v>404.5</c:v>
                </c:pt>
                <c:pt idx="4">
                  <c:v>2722.4</c:v>
                </c:pt>
              </c:numCache>
            </c:numRef>
          </c:val>
        </c:ser>
        <c:dLbls>
          <c:showLegendKey val="0"/>
          <c:showVal val="0"/>
          <c:showCatName val="0"/>
          <c:showSerName val="0"/>
          <c:showPercent val="0"/>
          <c:showBubbleSize val="0"/>
        </c:dLbls>
        <c:gapWidth val="150"/>
        <c:axId val="84592128"/>
        <c:axId val="84593664"/>
      </c:barChart>
      <c:catAx>
        <c:axId val="84592128"/>
        <c:scaling>
          <c:orientation val="minMax"/>
        </c:scaling>
        <c:delete val="0"/>
        <c:axPos val="l"/>
        <c:numFmt formatCode="General" sourceLinked="1"/>
        <c:majorTickMark val="out"/>
        <c:minorTickMark val="none"/>
        <c:tickLblPos val="nextTo"/>
        <c:crossAx val="84593664"/>
        <c:crosses val="autoZero"/>
        <c:auto val="1"/>
        <c:lblAlgn val="ctr"/>
        <c:lblOffset val="100"/>
        <c:noMultiLvlLbl val="0"/>
      </c:catAx>
      <c:valAx>
        <c:axId val="84593664"/>
        <c:scaling>
          <c:orientation val="minMax"/>
        </c:scaling>
        <c:delete val="0"/>
        <c:axPos val="b"/>
        <c:title>
          <c:tx>
            <c:rich>
              <a:bodyPr/>
              <a:lstStyle/>
              <a:p>
                <a:pPr>
                  <a:defRPr/>
                </a:pPr>
                <a:r>
                  <a:rPr lang="en-AU"/>
                  <a:t>Enrolments ('000)</a:t>
                </a:r>
              </a:p>
            </c:rich>
          </c:tx>
          <c:layout/>
          <c:overlay val="0"/>
        </c:title>
        <c:numFmt formatCode="General" sourceLinked="1"/>
        <c:majorTickMark val="out"/>
        <c:minorTickMark val="none"/>
        <c:tickLblPos val="nextTo"/>
        <c:crossAx val="8459212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78278B"/>
            </a:solidFill>
          </c:spPr>
          <c:invertIfNegative val="0"/>
          <c:dPt>
            <c:idx val="1"/>
            <c:invertIfNegative val="0"/>
            <c:bubble3D val="0"/>
            <c:spPr>
              <a:solidFill>
                <a:srgbClr val="78278B"/>
              </a:solidFill>
            </c:spPr>
          </c:dPt>
          <c:dPt>
            <c:idx val="2"/>
            <c:invertIfNegative val="0"/>
            <c:bubble3D val="0"/>
            <c:spPr>
              <a:solidFill>
                <a:srgbClr val="78278B"/>
              </a:solidFill>
            </c:spPr>
          </c:dPt>
          <c:cat>
            <c:numRef>
              <c:f>'Figure 10'!$A$2:$A$15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'Figure 10'!$B$2:$B$15</c:f>
              <c:numCache>
                <c:formatCode>General</c:formatCode>
                <c:ptCount val="14"/>
                <c:pt idx="0">
                  <c:v>2</c:v>
                </c:pt>
                <c:pt idx="1">
                  <c:v>0</c:v>
                </c:pt>
                <c:pt idx="2">
                  <c:v>0</c:v>
                </c:pt>
                <c:pt idx="3">
                  <c:v>2</c:v>
                </c:pt>
                <c:pt idx="4">
                  <c:v>0</c:v>
                </c:pt>
                <c:pt idx="5">
                  <c:v>1</c:v>
                </c:pt>
                <c:pt idx="6">
                  <c:v>8</c:v>
                </c:pt>
                <c:pt idx="7">
                  <c:v>5</c:v>
                </c:pt>
                <c:pt idx="8">
                  <c:v>24</c:v>
                </c:pt>
                <c:pt idx="9">
                  <c:v>49</c:v>
                </c:pt>
                <c:pt idx="10">
                  <c:v>96</c:v>
                </c:pt>
                <c:pt idx="11">
                  <c:v>38</c:v>
                </c:pt>
                <c:pt idx="12">
                  <c:v>8</c:v>
                </c:pt>
                <c:pt idx="13">
                  <c:v>103</c:v>
                </c:pt>
              </c:numCache>
            </c:numRef>
          </c:val>
        </c:ser>
        <c:dLbls>
          <c:showLegendKey val="0"/>
          <c:showVal val="0"/>
          <c:showCatName val="0"/>
          <c:showSerName val="0"/>
          <c:showPercent val="0"/>
          <c:showBubbleSize val="0"/>
        </c:dLbls>
        <c:gapWidth val="150"/>
        <c:axId val="158383488"/>
        <c:axId val="158397952"/>
      </c:barChart>
      <c:catAx>
        <c:axId val="158383488"/>
        <c:scaling>
          <c:orientation val="minMax"/>
        </c:scaling>
        <c:delete val="0"/>
        <c:axPos val="b"/>
        <c:title>
          <c:tx>
            <c:rich>
              <a:bodyPr/>
              <a:lstStyle/>
              <a:p>
                <a:pPr>
                  <a:defRPr/>
                </a:pPr>
                <a:r>
                  <a:rPr lang="en-AU"/>
                  <a:t>Year of initial release</a:t>
                </a:r>
              </a:p>
            </c:rich>
          </c:tx>
          <c:layout/>
          <c:overlay val="0"/>
        </c:title>
        <c:numFmt formatCode="General" sourceLinked="1"/>
        <c:majorTickMark val="out"/>
        <c:minorTickMark val="none"/>
        <c:tickLblPos val="nextTo"/>
        <c:crossAx val="158397952"/>
        <c:crosses val="autoZero"/>
        <c:auto val="1"/>
        <c:lblAlgn val="ctr"/>
        <c:lblOffset val="100"/>
        <c:noMultiLvlLbl val="0"/>
      </c:catAx>
      <c:valAx>
        <c:axId val="158397952"/>
        <c:scaling>
          <c:orientation val="minMax"/>
        </c:scaling>
        <c:delete val="0"/>
        <c:axPos val="l"/>
        <c:title>
          <c:tx>
            <c:rich>
              <a:bodyPr rot="-5400000" vert="horz"/>
              <a:lstStyle/>
              <a:p>
                <a:pPr>
                  <a:defRPr/>
                </a:pPr>
                <a:r>
                  <a:rPr lang="en-AU"/>
                  <a:t>Number of qualifications</a:t>
                </a:r>
              </a:p>
            </c:rich>
          </c:tx>
          <c:layout/>
          <c:overlay val="0"/>
        </c:title>
        <c:numFmt formatCode="General" sourceLinked="1"/>
        <c:majorTickMark val="out"/>
        <c:minorTickMark val="none"/>
        <c:tickLblPos val="nextTo"/>
        <c:crossAx val="15838348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spPr>
            <a:solidFill>
              <a:srgbClr val="78278B"/>
            </a:solidFill>
          </c:spPr>
          <c:invertIfNegative val="0"/>
          <c:cat>
            <c:strRef>
              <c:f>'Figure 11'!$A$3:$A$14</c:f>
              <c:strCache>
                <c:ptCount val="12"/>
                <c:pt idx="0">
                  <c:v>12 Mixed field programmes</c:v>
                </c:pt>
                <c:pt idx="1">
                  <c:v>11 Food, hospitality and personal services</c:v>
                </c:pt>
                <c:pt idx="2">
                  <c:v>10 Creative arts</c:v>
                </c:pt>
                <c:pt idx="3">
                  <c:v>09 Society and culture</c:v>
                </c:pt>
                <c:pt idx="4">
                  <c:v>08 Management and commerce</c:v>
                </c:pt>
                <c:pt idx="5">
                  <c:v>07 Education</c:v>
                </c:pt>
                <c:pt idx="6">
                  <c:v>06 Health</c:v>
                </c:pt>
                <c:pt idx="7">
                  <c:v>05 Agriculture, environmental and related studies</c:v>
                </c:pt>
                <c:pt idx="8">
                  <c:v>04 Architecture and building</c:v>
                </c:pt>
                <c:pt idx="9">
                  <c:v>03 Engineering and related technologies</c:v>
                </c:pt>
                <c:pt idx="10">
                  <c:v>02 Information technology</c:v>
                </c:pt>
                <c:pt idx="11">
                  <c:v>01 Natural and physical sciences</c:v>
                </c:pt>
              </c:strCache>
            </c:strRef>
          </c:cat>
          <c:val>
            <c:numRef>
              <c:f>'Figure 11'!$D$3:$D$14</c:f>
              <c:numCache>
                <c:formatCode>0%</c:formatCode>
                <c:ptCount val="12"/>
                <c:pt idx="0">
                  <c:v>0</c:v>
                </c:pt>
                <c:pt idx="1">
                  <c:v>0.16</c:v>
                </c:pt>
                <c:pt idx="2">
                  <c:v>0.11</c:v>
                </c:pt>
                <c:pt idx="3">
                  <c:v>0.36</c:v>
                </c:pt>
                <c:pt idx="4">
                  <c:v>0.11</c:v>
                </c:pt>
                <c:pt idx="5">
                  <c:v>0</c:v>
                </c:pt>
                <c:pt idx="6">
                  <c:v>0.09</c:v>
                </c:pt>
                <c:pt idx="7">
                  <c:v>0.21</c:v>
                </c:pt>
                <c:pt idx="8">
                  <c:v>0.11</c:v>
                </c:pt>
                <c:pt idx="9">
                  <c:v>0.25</c:v>
                </c:pt>
                <c:pt idx="10">
                  <c:v>7.0000000000000007E-2</c:v>
                </c:pt>
                <c:pt idx="11">
                  <c:v>0.21</c:v>
                </c:pt>
              </c:numCache>
            </c:numRef>
          </c:val>
        </c:ser>
        <c:dLbls>
          <c:showLegendKey val="0"/>
          <c:showVal val="0"/>
          <c:showCatName val="0"/>
          <c:showSerName val="0"/>
          <c:showPercent val="0"/>
          <c:showBubbleSize val="0"/>
        </c:dLbls>
        <c:gapWidth val="150"/>
        <c:axId val="158430336"/>
        <c:axId val="158432256"/>
      </c:barChart>
      <c:catAx>
        <c:axId val="158430336"/>
        <c:scaling>
          <c:orientation val="minMax"/>
        </c:scaling>
        <c:delete val="0"/>
        <c:axPos val="l"/>
        <c:title>
          <c:tx>
            <c:rich>
              <a:bodyPr rot="-5400000" vert="horz"/>
              <a:lstStyle/>
              <a:p>
                <a:pPr>
                  <a:defRPr/>
                </a:pPr>
                <a:r>
                  <a:rPr lang="en-AU"/>
                  <a:t>Field of education</a:t>
                </a:r>
              </a:p>
            </c:rich>
          </c:tx>
          <c:layout/>
          <c:overlay val="0"/>
        </c:title>
        <c:numFmt formatCode="General" sourceLinked="1"/>
        <c:majorTickMark val="out"/>
        <c:minorTickMark val="none"/>
        <c:tickLblPos val="nextTo"/>
        <c:crossAx val="158432256"/>
        <c:crosses val="autoZero"/>
        <c:auto val="1"/>
        <c:lblAlgn val="ctr"/>
        <c:lblOffset val="100"/>
        <c:noMultiLvlLbl val="0"/>
      </c:catAx>
      <c:valAx>
        <c:axId val="158432256"/>
        <c:scaling>
          <c:orientation val="minMax"/>
        </c:scaling>
        <c:delete val="0"/>
        <c:axPos val="b"/>
        <c:title>
          <c:tx>
            <c:rich>
              <a:bodyPr/>
              <a:lstStyle/>
              <a:p>
                <a:pPr>
                  <a:defRPr/>
                </a:pPr>
                <a:r>
                  <a:rPr lang="en-AU"/>
                  <a:t>Percentage of qualifications </a:t>
                </a:r>
              </a:p>
            </c:rich>
          </c:tx>
          <c:layout/>
          <c:overlay val="0"/>
        </c:title>
        <c:numFmt formatCode="0%" sourceLinked="1"/>
        <c:majorTickMark val="out"/>
        <c:minorTickMark val="none"/>
        <c:tickLblPos val="nextTo"/>
        <c:crossAx val="158430336"/>
        <c:crosses val="autoZero"/>
        <c:crossBetween val="between"/>
      </c:valAx>
      <c:spPr>
        <a:noFill/>
        <a:ln w="25400">
          <a:noFill/>
        </a:ln>
      </c:spPr>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78278B"/>
            </a:solidFill>
          </c:spPr>
          <c:invertIfNegative val="0"/>
          <c:dPt>
            <c:idx val="1"/>
            <c:invertIfNegative val="0"/>
            <c:bubble3D val="0"/>
          </c:dPt>
          <c:dPt>
            <c:idx val="2"/>
            <c:invertIfNegative val="0"/>
            <c:bubble3D val="0"/>
          </c:dPt>
          <c:val>
            <c:numRef>
              <c:f>'Figure 12'!$C$2:$C$53</c:f>
              <c:numCache>
                <c:formatCode>General</c:formatCode>
                <c:ptCount val="52"/>
                <c:pt idx="0">
                  <c:v>49</c:v>
                </c:pt>
                <c:pt idx="1">
                  <c:v>25</c:v>
                </c:pt>
                <c:pt idx="2">
                  <c:v>20</c:v>
                </c:pt>
                <c:pt idx="3">
                  <c:v>19</c:v>
                </c:pt>
                <c:pt idx="4">
                  <c:v>16</c:v>
                </c:pt>
                <c:pt idx="5">
                  <c:v>15</c:v>
                </c:pt>
                <c:pt idx="6">
                  <c:v>14</c:v>
                </c:pt>
                <c:pt idx="7">
                  <c:v>13</c:v>
                </c:pt>
                <c:pt idx="8">
                  <c:v>9</c:v>
                </c:pt>
                <c:pt idx="9">
                  <c:v>9</c:v>
                </c:pt>
                <c:pt idx="10">
                  <c:v>8</c:v>
                </c:pt>
                <c:pt idx="11">
                  <c:v>8</c:v>
                </c:pt>
                <c:pt idx="12">
                  <c:v>7</c:v>
                </c:pt>
                <c:pt idx="13">
                  <c:v>7</c:v>
                </c:pt>
                <c:pt idx="14">
                  <c:v>6</c:v>
                </c:pt>
                <c:pt idx="15">
                  <c:v>6</c:v>
                </c:pt>
                <c:pt idx="16">
                  <c:v>6</c:v>
                </c:pt>
                <c:pt idx="17">
                  <c:v>6</c:v>
                </c:pt>
                <c:pt idx="18">
                  <c:v>6</c:v>
                </c:pt>
                <c:pt idx="19">
                  <c:v>6</c:v>
                </c:pt>
                <c:pt idx="20">
                  <c:v>5</c:v>
                </c:pt>
                <c:pt idx="21">
                  <c:v>5</c:v>
                </c:pt>
                <c:pt idx="22">
                  <c:v>5</c:v>
                </c:pt>
                <c:pt idx="23">
                  <c:v>5</c:v>
                </c:pt>
                <c:pt idx="24">
                  <c:v>4</c:v>
                </c:pt>
                <c:pt idx="25">
                  <c:v>4</c:v>
                </c:pt>
                <c:pt idx="26">
                  <c:v>4</c:v>
                </c:pt>
                <c:pt idx="27">
                  <c:v>4</c:v>
                </c:pt>
                <c:pt idx="28">
                  <c:v>3</c:v>
                </c:pt>
                <c:pt idx="29">
                  <c:v>3</c:v>
                </c:pt>
                <c:pt idx="30">
                  <c:v>3</c:v>
                </c:pt>
                <c:pt idx="31">
                  <c:v>3</c:v>
                </c:pt>
                <c:pt idx="32">
                  <c:v>3</c:v>
                </c:pt>
                <c:pt idx="33">
                  <c:v>3</c:v>
                </c:pt>
                <c:pt idx="34">
                  <c:v>3</c:v>
                </c:pt>
                <c:pt idx="35">
                  <c:v>2</c:v>
                </c:pt>
                <c:pt idx="36">
                  <c:v>2</c:v>
                </c:pt>
                <c:pt idx="37">
                  <c:v>2</c:v>
                </c:pt>
                <c:pt idx="38">
                  <c:v>2</c:v>
                </c:pt>
                <c:pt idx="39">
                  <c:v>2</c:v>
                </c:pt>
                <c:pt idx="40">
                  <c:v>2</c:v>
                </c:pt>
                <c:pt idx="41">
                  <c:v>2</c:v>
                </c:pt>
                <c:pt idx="42">
                  <c:v>1</c:v>
                </c:pt>
                <c:pt idx="43">
                  <c:v>1</c:v>
                </c:pt>
                <c:pt idx="44">
                  <c:v>1</c:v>
                </c:pt>
                <c:pt idx="45">
                  <c:v>1</c:v>
                </c:pt>
                <c:pt idx="46">
                  <c:v>1</c:v>
                </c:pt>
                <c:pt idx="47">
                  <c:v>1</c:v>
                </c:pt>
                <c:pt idx="48">
                  <c:v>1</c:v>
                </c:pt>
                <c:pt idx="49">
                  <c:v>1</c:v>
                </c:pt>
                <c:pt idx="50">
                  <c:v>1</c:v>
                </c:pt>
                <c:pt idx="51">
                  <c:v>1</c:v>
                </c:pt>
              </c:numCache>
            </c:numRef>
          </c:val>
        </c:ser>
        <c:dLbls>
          <c:showLegendKey val="0"/>
          <c:showVal val="0"/>
          <c:showCatName val="0"/>
          <c:showSerName val="0"/>
          <c:showPercent val="0"/>
          <c:showBubbleSize val="0"/>
        </c:dLbls>
        <c:gapWidth val="150"/>
        <c:axId val="158448256"/>
        <c:axId val="158929664"/>
      </c:barChart>
      <c:catAx>
        <c:axId val="158448256"/>
        <c:scaling>
          <c:orientation val="minMax"/>
        </c:scaling>
        <c:delete val="0"/>
        <c:axPos val="b"/>
        <c:title>
          <c:tx>
            <c:rich>
              <a:bodyPr/>
              <a:lstStyle/>
              <a:p>
                <a:pPr>
                  <a:defRPr/>
                </a:pPr>
                <a:r>
                  <a:rPr lang="en-AU"/>
                  <a:t>Training</a:t>
                </a:r>
                <a:r>
                  <a:rPr lang="en-AU" baseline="0"/>
                  <a:t> packages</a:t>
                </a:r>
                <a:endParaRPr lang="en-AU"/>
              </a:p>
            </c:rich>
          </c:tx>
          <c:layout/>
          <c:overlay val="0"/>
        </c:title>
        <c:numFmt formatCode="General" sourceLinked="1"/>
        <c:majorTickMark val="none"/>
        <c:minorTickMark val="none"/>
        <c:tickLblPos val="none"/>
        <c:crossAx val="158929664"/>
        <c:crosses val="autoZero"/>
        <c:auto val="1"/>
        <c:lblAlgn val="ctr"/>
        <c:lblOffset val="100"/>
        <c:noMultiLvlLbl val="0"/>
      </c:catAx>
      <c:valAx>
        <c:axId val="158929664"/>
        <c:scaling>
          <c:orientation val="minMax"/>
        </c:scaling>
        <c:delete val="0"/>
        <c:axPos val="l"/>
        <c:majorGridlines>
          <c:spPr>
            <a:ln>
              <a:noFill/>
            </a:ln>
          </c:spPr>
        </c:majorGridlines>
        <c:title>
          <c:tx>
            <c:rich>
              <a:bodyPr rot="-5400000" vert="horz"/>
              <a:lstStyle/>
              <a:p>
                <a:pPr>
                  <a:defRPr/>
                </a:pPr>
                <a:r>
                  <a:rPr lang="en-AU"/>
                  <a:t>Number</a:t>
                </a:r>
                <a:r>
                  <a:rPr lang="en-AU" baseline="0"/>
                  <a:t> of qualifications</a:t>
                </a:r>
                <a:endParaRPr lang="en-AU"/>
              </a:p>
            </c:rich>
          </c:tx>
          <c:layout/>
          <c:overlay val="0"/>
        </c:title>
        <c:numFmt formatCode="General" sourceLinked="1"/>
        <c:majorTickMark val="out"/>
        <c:minorTickMark val="none"/>
        <c:tickLblPos val="nextTo"/>
        <c:crossAx val="158448256"/>
        <c:crosses val="autoZero"/>
        <c:crossBetween val="between"/>
      </c:valAx>
      <c:spPr>
        <a:ln>
          <a:solidFill>
            <a:srgbClr val="000000">
              <a:alpha val="0"/>
            </a:srgbClr>
          </a:solidFill>
        </a:ln>
      </c:spPr>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85435885818769"/>
          <c:y val="5.0925925925925923E-2"/>
          <c:w val="0.69142553604621293"/>
          <c:h val="0.55951844561096531"/>
        </c:manualLayout>
      </c:layout>
      <c:barChart>
        <c:barDir val="col"/>
        <c:grouping val="stacked"/>
        <c:varyColors val="0"/>
        <c:ser>
          <c:idx val="0"/>
          <c:order val="0"/>
          <c:tx>
            <c:strRef>
              <c:f>'Figure 2'!$A$3</c:f>
              <c:strCache>
                <c:ptCount val="1"/>
                <c:pt idx="0">
                  <c:v>Qualifications (current)</c:v>
                </c:pt>
              </c:strCache>
            </c:strRef>
          </c:tx>
          <c:spPr>
            <a:solidFill>
              <a:srgbClr val="78278B"/>
            </a:solidFill>
          </c:spPr>
          <c:invertIfNegative val="0"/>
          <c:cat>
            <c:strRef>
              <c:f>'Figure 2'!$B$2:$E$2</c:f>
              <c:strCache>
                <c:ptCount val="4"/>
                <c:pt idx="0">
                  <c:v>Original</c:v>
                </c:pt>
                <c:pt idx="1">
                  <c:v>Consolidated</c:v>
                </c:pt>
                <c:pt idx="2">
                  <c:v>Original</c:v>
                </c:pt>
                <c:pt idx="3">
                  <c:v>Consolidated</c:v>
                </c:pt>
              </c:strCache>
            </c:strRef>
          </c:cat>
          <c:val>
            <c:numRef>
              <c:f>'Figure 2'!$B$3:$E$3</c:f>
              <c:numCache>
                <c:formatCode>General</c:formatCode>
                <c:ptCount val="4"/>
                <c:pt idx="0">
                  <c:v>1571</c:v>
                </c:pt>
                <c:pt idx="1">
                  <c:v>1571</c:v>
                </c:pt>
              </c:numCache>
            </c:numRef>
          </c:val>
        </c:ser>
        <c:ser>
          <c:idx val="2"/>
          <c:order val="2"/>
          <c:tx>
            <c:strRef>
              <c:f>'Figure 2'!$A$5</c:f>
              <c:strCache>
                <c:ptCount val="1"/>
                <c:pt idx="0">
                  <c:v>Qualifications (superseded)</c:v>
                </c:pt>
              </c:strCache>
            </c:strRef>
          </c:tx>
          <c:spPr>
            <a:solidFill>
              <a:srgbClr val="78278B">
                <a:alpha val="50196"/>
              </a:srgbClr>
            </a:solidFill>
          </c:spPr>
          <c:invertIfNegative val="0"/>
          <c:cat>
            <c:strRef>
              <c:f>'Figure 2'!$B$2:$E$2</c:f>
              <c:strCache>
                <c:ptCount val="4"/>
                <c:pt idx="0">
                  <c:v>Original</c:v>
                </c:pt>
                <c:pt idx="1">
                  <c:v>Consolidated</c:v>
                </c:pt>
                <c:pt idx="2">
                  <c:v>Original</c:v>
                </c:pt>
                <c:pt idx="3">
                  <c:v>Consolidated</c:v>
                </c:pt>
              </c:strCache>
            </c:strRef>
          </c:cat>
          <c:val>
            <c:numRef>
              <c:f>'Figure 2'!$B$5:$E$5</c:f>
              <c:numCache>
                <c:formatCode>General</c:formatCode>
                <c:ptCount val="4"/>
                <c:pt idx="0">
                  <c:v>1002</c:v>
                </c:pt>
                <c:pt idx="1">
                  <c:v>73</c:v>
                </c:pt>
              </c:numCache>
            </c:numRef>
          </c:val>
        </c:ser>
        <c:dLbls>
          <c:showLegendKey val="0"/>
          <c:showVal val="0"/>
          <c:showCatName val="0"/>
          <c:showSerName val="0"/>
          <c:showPercent val="0"/>
          <c:showBubbleSize val="0"/>
        </c:dLbls>
        <c:gapWidth val="150"/>
        <c:overlap val="100"/>
        <c:axId val="86561920"/>
        <c:axId val="86563456"/>
      </c:barChart>
      <c:barChart>
        <c:barDir val="col"/>
        <c:grouping val="stacked"/>
        <c:varyColors val="0"/>
        <c:ser>
          <c:idx val="1"/>
          <c:order val="1"/>
          <c:tx>
            <c:strRef>
              <c:f>'Figure 2'!$A$4</c:f>
              <c:strCache>
                <c:ptCount val="1"/>
                <c:pt idx="0">
                  <c:v>Enrolments (in current qualifications)</c:v>
                </c:pt>
              </c:strCache>
            </c:strRef>
          </c:tx>
          <c:spPr>
            <a:solidFill>
              <a:srgbClr val="439539"/>
            </a:solidFill>
            <a:ln>
              <a:noFill/>
            </a:ln>
          </c:spPr>
          <c:invertIfNegative val="0"/>
          <c:cat>
            <c:strRef>
              <c:f>'Figure 2'!$B$2:$E$2</c:f>
              <c:strCache>
                <c:ptCount val="4"/>
                <c:pt idx="0">
                  <c:v>Original</c:v>
                </c:pt>
                <c:pt idx="1">
                  <c:v>Consolidated</c:v>
                </c:pt>
                <c:pt idx="2">
                  <c:v>Original</c:v>
                </c:pt>
                <c:pt idx="3">
                  <c:v>Consolidated</c:v>
                </c:pt>
              </c:strCache>
            </c:strRef>
          </c:cat>
          <c:val>
            <c:numRef>
              <c:f>'Figure 2'!$B$4:$E$4</c:f>
              <c:numCache>
                <c:formatCode>General</c:formatCode>
                <c:ptCount val="4"/>
                <c:pt idx="2">
                  <c:v>1545113</c:v>
                </c:pt>
                <c:pt idx="3">
                  <c:v>2703038</c:v>
                </c:pt>
              </c:numCache>
            </c:numRef>
          </c:val>
        </c:ser>
        <c:ser>
          <c:idx val="3"/>
          <c:order val="3"/>
          <c:tx>
            <c:strRef>
              <c:f>'Figure 2'!$A$6</c:f>
              <c:strCache>
                <c:ptCount val="1"/>
                <c:pt idx="0">
                  <c:v>Enrolments (in superseded qualifications)</c:v>
                </c:pt>
              </c:strCache>
            </c:strRef>
          </c:tx>
          <c:spPr>
            <a:solidFill>
              <a:srgbClr val="439539">
                <a:alpha val="50196"/>
              </a:srgbClr>
            </a:solidFill>
          </c:spPr>
          <c:invertIfNegative val="0"/>
          <c:cat>
            <c:strRef>
              <c:f>'Figure 2'!$B$2:$E$2</c:f>
              <c:strCache>
                <c:ptCount val="4"/>
                <c:pt idx="0">
                  <c:v>Original</c:v>
                </c:pt>
                <c:pt idx="1">
                  <c:v>Consolidated</c:v>
                </c:pt>
                <c:pt idx="2">
                  <c:v>Original</c:v>
                </c:pt>
                <c:pt idx="3">
                  <c:v>Consolidated</c:v>
                </c:pt>
              </c:strCache>
            </c:strRef>
          </c:cat>
          <c:val>
            <c:numRef>
              <c:f>'Figure 2'!$B$6:$E$6</c:f>
              <c:numCache>
                <c:formatCode>General</c:formatCode>
                <c:ptCount val="4"/>
                <c:pt idx="2">
                  <c:v>1177319</c:v>
                </c:pt>
                <c:pt idx="3">
                  <c:v>25468</c:v>
                </c:pt>
              </c:numCache>
            </c:numRef>
          </c:val>
        </c:ser>
        <c:dLbls>
          <c:showLegendKey val="0"/>
          <c:showVal val="0"/>
          <c:showCatName val="0"/>
          <c:showSerName val="0"/>
          <c:showPercent val="0"/>
          <c:showBubbleSize val="0"/>
        </c:dLbls>
        <c:gapWidth val="150"/>
        <c:overlap val="100"/>
        <c:axId val="88218240"/>
        <c:axId val="88216320"/>
      </c:barChart>
      <c:catAx>
        <c:axId val="86561920"/>
        <c:scaling>
          <c:orientation val="minMax"/>
        </c:scaling>
        <c:delete val="0"/>
        <c:axPos val="b"/>
        <c:numFmt formatCode="General" sourceLinked="1"/>
        <c:majorTickMark val="out"/>
        <c:minorTickMark val="none"/>
        <c:tickLblPos val="nextTo"/>
        <c:crossAx val="86563456"/>
        <c:crosses val="autoZero"/>
        <c:auto val="1"/>
        <c:lblAlgn val="ctr"/>
        <c:lblOffset val="100"/>
        <c:noMultiLvlLbl val="0"/>
      </c:catAx>
      <c:valAx>
        <c:axId val="86563456"/>
        <c:scaling>
          <c:orientation val="minMax"/>
        </c:scaling>
        <c:delete val="0"/>
        <c:axPos val="l"/>
        <c:title>
          <c:tx>
            <c:rich>
              <a:bodyPr rot="-5400000" vert="horz"/>
              <a:lstStyle/>
              <a:p>
                <a:pPr>
                  <a:defRPr/>
                </a:pPr>
                <a:r>
                  <a:rPr lang="en-AU"/>
                  <a:t>Number of qualifications</a:t>
                </a:r>
              </a:p>
            </c:rich>
          </c:tx>
          <c:layout>
            <c:manualLayout>
              <c:xMode val="edge"/>
              <c:yMode val="edge"/>
              <c:x val="1.9835052231681881E-2"/>
              <c:y val="8.4706708925372493E-2"/>
            </c:manualLayout>
          </c:layout>
          <c:overlay val="0"/>
        </c:title>
        <c:numFmt formatCode="General" sourceLinked="1"/>
        <c:majorTickMark val="out"/>
        <c:minorTickMark val="none"/>
        <c:tickLblPos val="nextTo"/>
        <c:crossAx val="86561920"/>
        <c:crosses val="autoZero"/>
        <c:crossBetween val="between"/>
      </c:valAx>
      <c:valAx>
        <c:axId val="88216320"/>
        <c:scaling>
          <c:orientation val="minMax"/>
        </c:scaling>
        <c:delete val="0"/>
        <c:axPos val="r"/>
        <c:title>
          <c:tx>
            <c:rich>
              <a:bodyPr rot="-5400000" vert="horz"/>
              <a:lstStyle/>
              <a:p>
                <a:pPr>
                  <a:defRPr/>
                </a:pPr>
                <a:r>
                  <a:rPr lang="en-AU"/>
                  <a:t>Number of enrolments</a:t>
                </a:r>
              </a:p>
            </c:rich>
          </c:tx>
          <c:layout>
            <c:manualLayout>
              <c:xMode val="edge"/>
              <c:yMode val="edge"/>
              <c:x val="0.94030856662187257"/>
              <c:y val="0.10059370505726468"/>
            </c:manualLayout>
          </c:layout>
          <c:overlay val="0"/>
        </c:title>
        <c:numFmt formatCode="General" sourceLinked="1"/>
        <c:majorTickMark val="out"/>
        <c:minorTickMark val="none"/>
        <c:tickLblPos val="nextTo"/>
        <c:crossAx val="88218240"/>
        <c:crosses val="max"/>
        <c:crossBetween val="between"/>
      </c:valAx>
      <c:catAx>
        <c:axId val="88218240"/>
        <c:scaling>
          <c:orientation val="minMax"/>
        </c:scaling>
        <c:delete val="1"/>
        <c:axPos val="b"/>
        <c:numFmt formatCode="General" sourceLinked="1"/>
        <c:majorTickMark val="out"/>
        <c:minorTickMark val="none"/>
        <c:tickLblPos val="nextTo"/>
        <c:crossAx val="88216320"/>
        <c:crosses val="autoZero"/>
        <c:auto val="1"/>
        <c:lblAlgn val="ctr"/>
        <c:lblOffset val="100"/>
        <c:noMultiLvlLbl val="0"/>
      </c:catAx>
    </c:plotArea>
    <c:legend>
      <c:legendPos val="b"/>
      <c:layout>
        <c:manualLayout>
          <c:xMode val="edge"/>
          <c:yMode val="edge"/>
          <c:x val="8.4503759048718971E-2"/>
          <c:y val="0.75980387868183141"/>
          <c:w val="0.51953350175058199"/>
          <c:h val="0.19167104974584612"/>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008488827898803E-2"/>
          <c:y val="5.1377860812704346E-2"/>
          <c:w val="0.89692312638006244"/>
          <c:h val="0.71367452842332124"/>
        </c:manualLayout>
      </c:layout>
      <c:barChart>
        <c:barDir val="col"/>
        <c:grouping val="clustered"/>
        <c:varyColors val="0"/>
        <c:ser>
          <c:idx val="0"/>
          <c:order val="0"/>
          <c:tx>
            <c:strRef>
              <c:f>'Figure 3'!$C$2</c:f>
              <c:strCache>
                <c:ptCount val="1"/>
                <c:pt idx="0">
                  <c:v>Percentage of qualifications</c:v>
                </c:pt>
              </c:strCache>
            </c:strRef>
          </c:tx>
          <c:spPr>
            <a:solidFill>
              <a:srgbClr val="78278B"/>
            </a:solidFill>
          </c:spPr>
          <c:invertIfNegative val="0"/>
          <c:dLbls>
            <c:showLegendKey val="0"/>
            <c:showVal val="1"/>
            <c:showCatName val="0"/>
            <c:showSerName val="0"/>
            <c:showPercent val="0"/>
            <c:showBubbleSize val="0"/>
            <c:showLeaderLines val="0"/>
          </c:dLbls>
          <c:cat>
            <c:strRef>
              <c:f>'Figure 3'!$A$3:$A$8</c:f>
              <c:strCache>
                <c:ptCount val="6"/>
                <c:pt idx="0">
                  <c:v>0</c:v>
                </c:pt>
                <c:pt idx="1">
                  <c:v>1 to 10</c:v>
                </c:pt>
                <c:pt idx="2">
                  <c:v>11 to 100</c:v>
                </c:pt>
                <c:pt idx="3">
                  <c:v>101 to 1 000</c:v>
                </c:pt>
                <c:pt idx="4">
                  <c:v>1001 to 10 000</c:v>
                </c:pt>
                <c:pt idx="5">
                  <c:v>10 000+</c:v>
                </c:pt>
              </c:strCache>
            </c:strRef>
          </c:cat>
          <c:val>
            <c:numRef>
              <c:f>'Figure 3'!$C$3:$C$8</c:f>
              <c:numCache>
                <c:formatCode>0%</c:formatCode>
                <c:ptCount val="6"/>
                <c:pt idx="0">
                  <c:v>0.2</c:v>
                </c:pt>
                <c:pt idx="1">
                  <c:v>0.09</c:v>
                </c:pt>
                <c:pt idx="2">
                  <c:v>0.22</c:v>
                </c:pt>
                <c:pt idx="3">
                  <c:v>0.27</c:v>
                </c:pt>
                <c:pt idx="4">
                  <c:v>0.15</c:v>
                </c:pt>
                <c:pt idx="5">
                  <c:v>0.04</c:v>
                </c:pt>
              </c:numCache>
            </c:numRef>
          </c:val>
        </c:ser>
        <c:ser>
          <c:idx val="1"/>
          <c:order val="1"/>
          <c:tx>
            <c:strRef>
              <c:f>'Figure 3'!$E$2</c:f>
              <c:strCache>
                <c:ptCount val="1"/>
                <c:pt idx="0">
                  <c:v>Percentage of enrolments</c:v>
                </c:pt>
              </c:strCache>
            </c:strRef>
          </c:tx>
          <c:spPr>
            <a:solidFill>
              <a:srgbClr val="439539"/>
            </a:solidFill>
          </c:spPr>
          <c:invertIfNegative val="0"/>
          <c:dLbls>
            <c:dLbl>
              <c:idx val="0"/>
              <c:delete val="1"/>
            </c:dLbl>
            <c:dLbl>
              <c:idx val="1"/>
              <c:layout/>
              <c:tx>
                <c:rich>
                  <a:bodyPr/>
                  <a:lstStyle/>
                  <a:p>
                    <a:r>
                      <a:rPr lang="en-US"/>
                      <a:t>&lt;1%</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'Figure 3'!$A$3:$A$8</c:f>
              <c:strCache>
                <c:ptCount val="6"/>
                <c:pt idx="0">
                  <c:v>0</c:v>
                </c:pt>
                <c:pt idx="1">
                  <c:v>1 to 10</c:v>
                </c:pt>
                <c:pt idx="2">
                  <c:v>11 to 100</c:v>
                </c:pt>
                <c:pt idx="3">
                  <c:v>101 to 1 000</c:v>
                </c:pt>
                <c:pt idx="4">
                  <c:v>1001 to 10 000</c:v>
                </c:pt>
                <c:pt idx="5">
                  <c:v>10 000+</c:v>
                </c:pt>
              </c:strCache>
            </c:strRef>
          </c:cat>
          <c:val>
            <c:numRef>
              <c:f>'Figure 3'!$E$3:$E$8</c:f>
              <c:numCache>
                <c:formatCode>0%</c:formatCode>
                <c:ptCount val="6"/>
                <c:pt idx="0">
                  <c:v>0</c:v>
                </c:pt>
                <c:pt idx="1">
                  <c:v>0</c:v>
                </c:pt>
                <c:pt idx="2">
                  <c:v>0.01</c:v>
                </c:pt>
                <c:pt idx="3">
                  <c:v>0.06</c:v>
                </c:pt>
                <c:pt idx="4">
                  <c:v>0.32</c:v>
                </c:pt>
                <c:pt idx="5">
                  <c:v>0.61</c:v>
                </c:pt>
              </c:numCache>
            </c:numRef>
          </c:val>
        </c:ser>
        <c:dLbls>
          <c:showLegendKey val="0"/>
          <c:showVal val="0"/>
          <c:showCatName val="0"/>
          <c:showSerName val="0"/>
          <c:showPercent val="0"/>
          <c:showBubbleSize val="0"/>
        </c:dLbls>
        <c:gapWidth val="150"/>
        <c:axId val="88241664"/>
        <c:axId val="88243584"/>
      </c:barChart>
      <c:catAx>
        <c:axId val="88241664"/>
        <c:scaling>
          <c:orientation val="minMax"/>
        </c:scaling>
        <c:delete val="0"/>
        <c:axPos val="b"/>
        <c:title>
          <c:tx>
            <c:rich>
              <a:bodyPr/>
              <a:lstStyle/>
              <a:p>
                <a:pPr>
                  <a:defRPr/>
                </a:pPr>
                <a:r>
                  <a:rPr lang="en-AU"/>
                  <a:t>Enrolment</a:t>
                </a:r>
                <a:r>
                  <a:rPr lang="en-AU" baseline="0"/>
                  <a:t> bands</a:t>
                </a:r>
                <a:endParaRPr lang="en-AU"/>
              </a:p>
            </c:rich>
          </c:tx>
          <c:layout/>
          <c:overlay val="0"/>
        </c:title>
        <c:majorTickMark val="out"/>
        <c:minorTickMark val="none"/>
        <c:tickLblPos val="nextTo"/>
        <c:crossAx val="88243584"/>
        <c:crosses val="autoZero"/>
        <c:auto val="1"/>
        <c:lblAlgn val="ctr"/>
        <c:lblOffset val="100"/>
        <c:noMultiLvlLbl val="0"/>
      </c:catAx>
      <c:valAx>
        <c:axId val="88243584"/>
        <c:scaling>
          <c:orientation val="minMax"/>
        </c:scaling>
        <c:delete val="0"/>
        <c:axPos val="l"/>
        <c:numFmt formatCode="0%" sourceLinked="1"/>
        <c:majorTickMark val="out"/>
        <c:minorTickMark val="none"/>
        <c:tickLblPos val="nextTo"/>
        <c:crossAx val="88241664"/>
        <c:crosses val="autoZero"/>
        <c:crossBetween val="between"/>
      </c:valAx>
    </c:plotArea>
    <c:legend>
      <c:legendPos val="b"/>
      <c:layout>
        <c:manualLayout>
          <c:xMode val="edge"/>
          <c:yMode val="edge"/>
          <c:x val="0.18483335864716458"/>
          <c:y val="0.90628192727660561"/>
          <c:w val="0.63033302950848635"/>
          <c:h val="6.7372773093628782E-2"/>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81988266389394"/>
          <c:y val="6.0535662371376746E-2"/>
          <c:w val="0.86096879339069288"/>
          <c:h val="0.74756274030488779"/>
        </c:manualLayout>
      </c:layout>
      <c:scatterChart>
        <c:scatterStyle val="lineMarker"/>
        <c:varyColors val="0"/>
        <c:ser>
          <c:idx val="0"/>
          <c:order val="0"/>
          <c:tx>
            <c:strRef>
              <c:f>'Figure 4+5'!$C$1</c:f>
              <c:strCache>
                <c:ptCount val="1"/>
                <c:pt idx="0">
                  <c:v>SumEnrol</c:v>
                </c:pt>
              </c:strCache>
            </c:strRef>
          </c:tx>
          <c:spPr>
            <a:ln w="28575">
              <a:noFill/>
            </a:ln>
          </c:spPr>
          <c:marker>
            <c:symbol val="plus"/>
            <c:size val="5"/>
            <c:spPr>
              <a:noFill/>
              <a:ln>
                <a:solidFill>
                  <a:schemeClr val="tx1"/>
                </a:solidFill>
              </a:ln>
            </c:spPr>
          </c:marker>
          <c:xVal>
            <c:strRef>
              <c:f>'Figure 4+5'!$B$2:$B$1048521</c:f>
              <c:strCache>
                <c:ptCount val="16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strCache>
            </c:strRef>
          </c:xVal>
          <c:yVal>
            <c:numRef>
              <c:f>'Figure 4+5'!$C$2:$C$1048521</c:f>
              <c:numCache>
                <c:formatCode>General</c:formatCode>
                <c:ptCount val="1048520"/>
                <c:pt idx="0">
                  <c:v>77678</c:v>
                </c:pt>
                <c:pt idx="1">
                  <c:v>70170</c:v>
                </c:pt>
                <c:pt idx="2">
                  <c:v>69115</c:v>
                </c:pt>
                <c:pt idx="3">
                  <c:v>57220</c:v>
                </c:pt>
                <c:pt idx="4">
                  <c:v>56689</c:v>
                </c:pt>
                <c:pt idx="5">
                  <c:v>54271</c:v>
                </c:pt>
                <c:pt idx="6">
                  <c:v>47415</c:v>
                </c:pt>
                <c:pt idx="7">
                  <c:v>46804</c:v>
                </c:pt>
                <c:pt idx="8">
                  <c:v>44575</c:v>
                </c:pt>
                <c:pt idx="9">
                  <c:v>35883</c:v>
                </c:pt>
                <c:pt idx="10">
                  <c:v>33546</c:v>
                </c:pt>
                <c:pt idx="11">
                  <c:v>33241</c:v>
                </c:pt>
                <c:pt idx="12">
                  <c:v>32608</c:v>
                </c:pt>
                <c:pt idx="13">
                  <c:v>31166</c:v>
                </c:pt>
                <c:pt idx="14">
                  <c:v>29729</c:v>
                </c:pt>
                <c:pt idx="15">
                  <c:v>29664</c:v>
                </c:pt>
                <c:pt idx="16">
                  <c:v>28475</c:v>
                </c:pt>
                <c:pt idx="17">
                  <c:v>25878</c:v>
                </c:pt>
                <c:pt idx="18">
                  <c:v>25158</c:v>
                </c:pt>
                <c:pt idx="19">
                  <c:v>24466</c:v>
                </c:pt>
                <c:pt idx="20">
                  <c:v>23628</c:v>
                </c:pt>
                <c:pt idx="21">
                  <c:v>23297</c:v>
                </c:pt>
                <c:pt idx="22">
                  <c:v>22878</c:v>
                </c:pt>
                <c:pt idx="23">
                  <c:v>22087</c:v>
                </c:pt>
                <c:pt idx="24">
                  <c:v>21811</c:v>
                </c:pt>
                <c:pt idx="25">
                  <c:v>21554</c:v>
                </c:pt>
                <c:pt idx="26">
                  <c:v>21506</c:v>
                </c:pt>
                <c:pt idx="27">
                  <c:v>21485</c:v>
                </c:pt>
                <c:pt idx="28">
                  <c:v>20089</c:v>
                </c:pt>
                <c:pt idx="29">
                  <c:v>19947</c:v>
                </c:pt>
                <c:pt idx="30">
                  <c:v>19853</c:v>
                </c:pt>
                <c:pt idx="31">
                  <c:v>18944</c:v>
                </c:pt>
                <c:pt idx="32">
                  <c:v>18529</c:v>
                </c:pt>
                <c:pt idx="33">
                  <c:v>18282</c:v>
                </c:pt>
                <c:pt idx="34">
                  <c:v>18139</c:v>
                </c:pt>
                <c:pt idx="35">
                  <c:v>17543</c:v>
                </c:pt>
                <c:pt idx="36">
                  <c:v>17268</c:v>
                </c:pt>
                <c:pt idx="37">
                  <c:v>17243</c:v>
                </c:pt>
                <c:pt idx="38">
                  <c:v>16975</c:v>
                </c:pt>
                <c:pt idx="39">
                  <c:v>16789</c:v>
                </c:pt>
                <c:pt idx="40">
                  <c:v>16468</c:v>
                </c:pt>
                <c:pt idx="41">
                  <c:v>16311</c:v>
                </c:pt>
                <c:pt idx="42">
                  <c:v>15900</c:v>
                </c:pt>
                <c:pt idx="43">
                  <c:v>15467</c:v>
                </c:pt>
                <c:pt idx="44">
                  <c:v>15169</c:v>
                </c:pt>
                <c:pt idx="45">
                  <c:v>15045</c:v>
                </c:pt>
                <c:pt idx="46">
                  <c:v>15008</c:v>
                </c:pt>
                <c:pt idx="47">
                  <c:v>14974</c:v>
                </c:pt>
                <c:pt idx="48">
                  <c:v>14861</c:v>
                </c:pt>
                <c:pt idx="49">
                  <c:v>14828</c:v>
                </c:pt>
                <c:pt idx="50">
                  <c:v>14178</c:v>
                </c:pt>
                <c:pt idx="51">
                  <c:v>13802</c:v>
                </c:pt>
                <c:pt idx="52">
                  <c:v>13603</c:v>
                </c:pt>
                <c:pt idx="53">
                  <c:v>13568</c:v>
                </c:pt>
                <c:pt idx="54">
                  <c:v>13472</c:v>
                </c:pt>
                <c:pt idx="55">
                  <c:v>13240</c:v>
                </c:pt>
                <c:pt idx="56">
                  <c:v>12656</c:v>
                </c:pt>
                <c:pt idx="57">
                  <c:v>12655</c:v>
                </c:pt>
                <c:pt idx="58">
                  <c:v>12503</c:v>
                </c:pt>
                <c:pt idx="59">
                  <c:v>12469</c:v>
                </c:pt>
                <c:pt idx="60">
                  <c:v>12441</c:v>
                </c:pt>
                <c:pt idx="61">
                  <c:v>12403</c:v>
                </c:pt>
                <c:pt idx="62">
                  <c:v>12222</c:v>
                </c:pt>
                <c:pt idx="63">
                  <c:v>12209</c:v>
                </c:pt>
                <c:pt idx="64">
                  <c:v>11622</c:v>
                </c:pt>
                <c:pt idx="65">
                  <c:v>11452</c:v>
                </c:pt>
                <c:pt idx="66">
                  <c:v>10837</c:v>
                </c:pt>
                <c:pt idx="67">
                  <c:v>10680</c:v>
                </c:pt>
                <c:pt idx="68">
                  <c:v>10624</c:v>
                </c:pt>
                <c:pt idx="69">
                  <c:v>10604</c:v>
                </c:pt>
                <c:pt idx="70">
                  <c:v>10476</c:v>
                </c:pt>
                <c:pt idx="71">
                  <c:v>10118</c:v>
                </c:pt>
                <c:pt idx="72">
                  <c:v>9799</c:v>
                </c:pt>
                <c:pt idx="73">
                  <c:v>9638</c:v>
                </c:pt>
                <c:pt idx="74">
                  <c:v>9360</c:v>
                </c:pt>
                <c:pt idx="75">
                  <c:v>9187</c:v>
                </c:pt>
                <c:pt idx="76">
                  <c:v>9182</c:v>
                </c:pt>
                <c:pt idx="77">
                  <c:v>8696</c:v>
                </c:pt>
                <c:pt idx="78">
                  <c:v>8690</c:v>
                </c:pt>
                <c:pt idx="79">
                  <c:v>8355</c:v>
                </c:pt>
                <c:pt idx="80">
                  <c:v>7955</c:v>
                </c:pt>
                <c:pt idx="81">
                  <c:v>7939</c:v>
                </c:pt>
                <c:pt idx="82">
                  <c:v>7856</c:v>
                </c:pt>
                <c:pt idx="83">
                  <c:v>7801</c:v>
                </c:pt>
                <c:pt idx="84">
                  <c:v>7631</c:v>
                </c:pt>
                <c:pt idx="85">
                  <c:v>7622</c:v>
                </c:pt>
                <c:pt idx="86">
                  <c:v>7572</c:v>
                </c:pt>
                <c:pt idx="87">
                  <c:v>7542</c:v>
                </c:pt>
                <c:pt idx="88">
                  <c:v>7485</c:v>
                </c:pt>
                <c:pt idx="89">
                  <c:v>7390</c:v>
                </c:pt>
                <c:pt idx="90">
                  <c:v>7304</c:v>
                </c:pt>
                <c:pt idx="91">
                  <c:v>7219</c:v>
                </c:pt>
                <c:pt idx="92">
                  <c:v>7190</c:v>
                </c:pt>
                <c:pt idx="93">
                  <c:v>7184</c:v>
                </c:pt>
                <c:pt idx="94">
                  <c:v>7150</c:v>
                </c:pt>
                <c:pt idx="95">
                  <c:v>7073</c:v>
                </c:pt>
                <c:pt idx="96">
                  <c:v>7063</c:v>
                </c:pt>
                <c:pt idx="97">
                  <c:v>6949</c:v>
                </c:pt>
                <c:pt idx="98">
                  <c:v>6902</c:v>
                </c:pt>
                <c:pt idx="99">
                  <c:v>6830</c:v>
                </c:pt>
                <c:pt idx="100">
                  <c:v>6772</c:v>
                </c:pt>
                <c:pt idx="101">
                  <c:v>6718</c:v>
                </c:pt>
                <c:pt idx="102">
                  <c:v>6630</c:v>
                </c:pt>
                <c:pt idx="103">
                  <c:v>6592</c:v>
                </c:pt>
                <c:pt idx="104">
                  <c:v>6589</c:v>
                </c:pt>
                <c:pt idx="105">
                  <c:v>6579</c:v>
                </c:pt>
                <c:pt idx="106">
                  <c:v>6575</c:v>
                </c:pt>
                <c:pt idx="107">
                  <c:v>6436</c:v>
                </c:pt>
                <c:pt idx="108">
                  <c:v>6386</c:v>
                </c:pt>
                <c:pt idx="109">
                  <c:v>6314</c:v>
                </c:pt>
                <c:pt idx="110">
                  <c:v>6308</c:v>
                </c:pt>
                <c:pt idx="111">
                  <c:v>6068</c:v>
                </c:pt>
                <c:pt idx="112">
                  <c:v>6065</c:v>
                </c:pt>
                <c:pt idx="113">
                  <c:v>5978</c:v>
                </c:pt>
                <c:pt idx="114">
                  <c:v>5934</c:v>
                </c:pt>
                <c:pt idx="115">
                  <c:v>5894</c:v>
                </c:pt>
                <c:pt idx="116">
                  <c:v>5857</c:v>
                </c:pt>
                <c:pt idx="117">
                  <c:v>5776</c:v>
                </c:pt>
                <c:pt idx="118">
                  <c:v>5690</c:v>
                </c:pt>
                <c:pt idx="119">
                  <c:v>5537</c:v>
                </c:pt>
                <c:pt idx="120">
                  <c:v>5518</c:v>
                </c:pt>
                <c:pt idx="121">
                  <c:v>5478</c:v>
                </c:pt>
                <c:pt idx="122">
                  <c:v>5452</c:v>
                </c:pt>
                <c:pt idx="123">
                  <c:v>5297</c:v>
                </c:pt>
                <c:pt idx="124">
                  <c:v>5232</c:v>
                </c:pt>
                <c:pt idx="125">
                  <c:v>5166</c:v>
                </c:pt>
                <c:pt idx="126">
                  <c:v>5102</c:v>
                </c:pt>
                <c:pt idx="127">
                  <c:v>5099</c:v>
                </c:pt>
                <c:pt idx="128">
                  <c:v>5067</c:v>
                </c:pt>
                <c:pt idx="129">
                  <c:v>4967</c:v>
                </c:pt>
                <c:pt idx="130">
                  <c:v>4962</c:v>
                </c:pt>
                <c:pt idx="131">
                  <c:v>4953</c:v>
                </c:pt>
                <c:pt idx="132">
                  <c:v>4942</c:v>
                </c:pt>
                <c:pt idx="133">
                  <c:v>4847</c:v>
                </c:pt>
                <c:pt idx="134">
                  <c:v>4840</c:v>
                </c:pt>
                <c:pt idx="135">
                  <c:v>4731</c:v>
                </c:pt>
                <c:pt idx="136">
                  <c:v>4702</c:v>
                </c:pt>
                <c:pt idx="137">
                  <c:v>4661</c:v>
                </c:pt>
                <c:pt idx="138">
                  <c:v>4595</c:v>
                </c:pt>
                <c:pt idx="139">
                  <c:v>4591</c:v>
                </c:pt>
                <c:pt idx="140">
                  <c:v>4580</c:v>
                </c:pt>
                <c:pt idx="141">
                  <c:v>4540</c:v>
                </c:pt>
                <c:pt idx="142">
                  <c:v>4514</c:v>
                </c:pt>
                <c:pt idx="143">
                  <c:v>4462</c:v>
                </c:pt>
                <c:pt idx="144">
                  <c:v>4448</c:v>
                </c:pt>
                <c:pt idx="145">
                  <c:v>4437</c:v>
                </c:pt>
                <c:pt idx="146">
                  <c:v>4356</c:v>
                </c:pt>
                <c:pt idx="147">
                  <c:v>4346</c:v>
                </c:pt>
                <c:pt idx="148">
                  <c:v>4339</c:v>
                </c:pt>
                <c:pt idx="149">
                  <c:v>4298</c:v>
                </c:pt>
                <c:pt idx="150">
                  <c:v>4293</c:v>
                </c:pt>
                <c:pt idx="151">
                  <c:v>4270</c:v>
                </c:pt>
                <c:pt idx="152">
                  <c:v>4225</c:v>
                </c:pt>
                <c:pt idx="153">
                  <c:v>4200</c:v>
                </c:pt>
                <c:pt idx="154">
                  <c:v>4187</c:v>
                </c:pt>
                <c:pt idx="155">
                  <c:v>3992</c:v>
                </c:pt>
                <c:pt idx="156">
                  <c:v>3747</c:v>
                </c:pt>
                <c:pt idx="157">
                  <c:v>3733</c:v>
                </c:pt>
                <c:pt idx="158">
                  <c:v>3731</c:v>
                </c:pt>
                <c:pt idx="159">
                  <c:v>3704</c:v>
                </c:pt>
                <c:pt idx="160">
                  <c:v>3699</c:v>
                </c:pt>
                <c:pt idx="161">
                  <c:v>3697</c:v>
                </c:pt>
                <c:pt idx="162">
                  <c:v>3653</c:v>
                </c:pt>
                <c:pt idx="163">
                  <c:v>3574</c:v>
                </c:pt>
                <c:pt idx="164">
                  <c:v>3553</c:v>
                </c:pt>
                <c:pt idx="165">
                  <c:v>3551</c:v>
                </c:pt>
                <c:pt idx="166">
                  <c:v>3479</c:v>
                </c:pt>
                <c:pt idx="167">
                  <c:v>3442</c:v>
                </c:pt>
                <c:pt idx="168">
                  <c:v>3398</c:v>
                </c:pt>
                <c:pt idx="169">
                  <c:v>3361</c:v>
                </c:pt>
                <c:pt idx="170">
                  <c:v>3338</c:v>
                </c:pt>
                <c:pt idx="171">
                  <c:v>3336</c:v>
                </c:pt>
                <c:pt idx="172">
                  <c:v>3314</c:v>
                </c:pt>
                <c:pt idx="173">
                  <c:v>3302</c:v>
                </c:pt>
                <c:pt idx="174">
                  <c:v>3295</c:v>
                </c:pt>
                <c:pt idx="175">
                  <c:v>3264</c:v>
                </c:pt>
                <c:pt idx="176">
                  <c:v>3234</c:v>
                </c:pt>
                <c:pt idx="177">
                  <c:v>3205</c:v>
                </c:pt>
                <c:pt idx="178">
                  <c:v>3197</c:v>
                </c:pt>
                <c:pt idx="179">
                  <c:v>3190</c:v>
                </c:pt>
                <c:pt idx="180">
                  <c:v>3168</c:v>
                </c:pt>
                <c:pt idx="181">
                  <c:v>3168</c:v>
                </c:pt>
                <c:pt idx="182">
                  <c:v>3143</c:v>
                </c:pt>
                <c:pt idx="183">
                  <c:v>3092</c:v>
                </c:pt>
                <c:pt idx="184">
                  <c:v>3077</c:v>
                </c:pt>
                <c:pt idx="185">
                  <c:v>3045</c:v>
                </c:pt>
                <c:pt idx="186">
                  <c:v>3029</c:v>
                </c:pt>
                <c:pt idx="187">
                  <c:v>3019</c:v>
                </c:pt>
                <c:pt idx="188">
                  <c:v>3000</c:v>
                </c:pt>
                <c:pt idx="189">
                  <c:v>2919</c:v>
                </c:pt>
                <c:pt idx="190">
                  <c:v>2891</c:v>
                </c:pt>
                <c:pt idx="191">
                  <c:v>2885</c:v>
                </c:pt>
                <c:pt idx="192">
                  <c:v>2822</c:v>
                </c:pt>
                <c:pt idx="193">
                  <c:v>2775</c:v>
                </c:pt>
                <c:pt idx="194">
                  <c:v>2773</c:v>
                </c:pt>
                <c:pt idx="195">
                  <c:v>2715</c:v>
                </c:pt>
                <c:pt idx="196">
                  <c:v>2693</c:v>
                </c:pt>
                <c:pt idx="197">
                  <c:v>2663</c:v>
                </c:pt>
                <c:pt idx="198">
                  <c:v>2564</c:v>
                </c:pt>
                <c:pt idx="199">
                  <c:v>2553</c:v>
                </c:pt>
                <c:pt idx="200">
                  <c:v>2546</c:v>
                </c:pt>
                <c:pt idx="201">
                  <c:v>2507</c:v>
                </c:pt>
                <c:pt idx="202">
                  <c:v>2489</c:v>
                </c:pt>
                <c:pt idx="203">
                  <c:v>2458</c:v>
                </c:pt>
                <c:pt idx="204">
                  <c:v>2455</c:v>
                </c:pt>
                <c:pt idx="205">
                  <c:v>2422</c:v>
                </c:pt>
                <c:pt idx="206">
                  <c:v>2412</c:v>
                </c:pt>
                <c:pt idx="207">
                  <c:v>2404</c:v>
                </c:pt>
                <c:pt idx="208">
                  <c:v>2401</c:v>
                </c:pt>
                <c:pt idx="209">
                  <c:v>2393</c:v>
                </c:pt>
                <c:pt idx="210">
                  <c:v>2373</c:v>
                </c:pt>
                <c:pt idx="211">
                  <c:v>2363</c:v>
                </c:pt>
                <c:pt idx="212">
                  <c:v>2344</c:v>
                </c:pt>
                <c:pt idx="213">
                  <c:v>2332</c:v>
                </c:pt>
                <c:pt idx="214">
                  <c:v>2284</c:v>
                </c:pt>
                <c:pt idx="215">
                  <c:v>2280</c:v>
                </c:pt>
                <c:pt idx="216">
                  <c:v>2241</c:v>
                </c:pt>
                <c:pt idx="217">
                  <c:v>2225</c:v>
                </c:pt>
                <c:pt idx="218">
                  <c:v>2200</c:v>
                </c:pt>
                <c:pt idx="219">
                  <c:v>2169</c:v>
                </c:pt>
                <c:pt idx="220">
                  <c:v>2168</c:v>
                </c:pt>
                <c:pt idx="221">
                  <c:v>2165</c:v>
                </c:pt>
                <c:pt idx="222">
                  <c:v>2149</c:v>
                </c:pt>
                <c:pt idx="223">
                  <c:v>2142</c:v>
                </c:pt>
                <c:pt idx="224">
                  <c:v>2138</c:v>
                </c:pt>
                <c:pt idx="225">
                  <c:v>2119</c:v>
                </c:pt>
                <c:pt idx="226">
                  <c:v>2101</c:v>
                </c:pt>
                <c:pt idx="227">
                  <c:v>2079</c:v>
                </c:pt>
                <c:pt idx="228">
                  <c:v>2072</c:v>
                </c:pt>
                <c:pt idx="229">
                  <c:v>2059</c:v>
                </c:pt>
                <c:pt idx="230">
                  <c:v>2043</c:v>
                </c:pt>
                <c:pt idx="231">
                  <c:v>2023</c:v>
                </c:pt>
                <c:pt idx="232">
                  <c:v>2000</c:v>
                </c:pt>
                <c:pt idx="233">
                  <c:v>2000</c:v>
                </c:pt>
                <c:pt idx="234">
                  <c:v>1993</c:v>
                </c:pt>
                <c:pt idx="235">
                  <c:v>1985</c:v>
                </c:pt>
                <c:pt idx="236">
                  <c:v>1972</c:v>
                </c:pt>
                <c:pt idx="237">
                  <c:v>1949</c:v>
                </c:pt>
                <c:pt idx="238">
                  <c:v>1945</c:v>
                </c:pt>
                <c:pt idx="239">
                  <c:v>1932</c:v>
                </c:pt>
                <c:pt idx="240">
                  <c:v>1926</c:v>
                </c:pt>
                <c:pt idx="241">
                  <c:v>1920</c:v>
                </c:pt>
                <c:pt idx="242">
                  <c:v>1883</c:v>
                </c:pt>
                <c:pt idx="243">
                  <c:v>1850</c:v>
                </c:pt>
                <c:pt idx="244">
                  <c:v>1826</c:v>
                </c:pt>
                <c:pt idx="245">
                  <c:v>1817</c:v>
                </c:pt>
                <c:pt idx="246">
                  <c:v>1807</c:v>
                </c:pt>
                <c:pt idx="247">
                  <c:v>1807</c:v>
                </c:pt>
                <c:pt idx="248">
                  <c:v>1770</c:v>
                </c:pt>
                <c:pt idx="249">
                  <c:v>1762</c:v>
                </c:pt>
                <c:pt idx="250">
                  <c:v>1755</c:v>
                </c:pt>
                <c:pt idx="251">
                  <c:v>1752</c:v>
                </c:pt>
                <c:pt idx="252">
                  <c:v>1723</c:v>
                </c:pt>
                <c:pt idx="253">
                  <c:v>1715</c:v>
                </c:pt>
                <c:pt idx="254">
                  <c:v>1674</c:v>
                </c:pt>
                <c:pt idx="255">
                  <c:v>1655</c:v>
                </c:pt>
                <c:pt idx="256">
                  <c:v>1654</c:v>
                </c:pt>
                <c:pt idx="257">
                  <c:v>1652</c:v>
                </c:pt>
                <c:pt idx="258">
                  <c:v>1644</c:v>
                </c:pt>
                <c:pt idx="259">
                  <c:v>1631</c:v>
                </c:pt>
                <c:pt idx="260">
                  <c:v>1623</c:v>
                </c:pt>
                <c:pt idx="261">
                  <c:v>1619</c:v>
                </c:pt>
                <c:pt idx="262">
                  <c:v>1615</c:v>
                </c:pt>
                <c:pt idx="263">
                  <c:v>1598</c:v>
                </c:pt>
                <c:pt idx="264">
                  <c:v>1585</c:v>
                </c:pt>
                <c:pt idx="265">
                  <c:v>1583</c:v>
                </c:pt>
                <c:pt idx="266">
                  <c:v>1579</c:v>
                </c:pt>
                <c:pt idx="267">
                  <c:v>1578</c:v>
                </c:pt>
                <c:pt idx="268">
                  <c:v>1544</c:v>
                </c:pt>
                <c:pt idx="269">
                  <c:v>1537</c:v>
                </c:pt>
                <c:pt idx="270">
                  <c:v>1524</c:v>
                </c:pt>
                <c:pt idx="271">
                  <c:v>1500</c:v>
                </c:pt>
                <c:pt idx="272">
                  <c:v>1483</c:v>
                </c:pt>
                <c:pt idx="273">
                  <c:v>1483</c:v>
                </c:pt>
                <c:pt idx="274">
                  <c:v>1481</c:v>
                </c:pt>
                <c:pt idx="275">
                  <c:v>1478</c:v>
                </c:pt>
                <c:pt idx="276">
                  <c:v>1465</c:v>
                </c:pt>
                <c:pt idx="277">
                  <c:v>1447</c:v>
                </c:pt>
                <c:pt idx="278">
                  <c:v>1438</c:v>
                </c:pt>
                <c:pt idx="279">
                  <c:v>1427</c:v>
                </c:pt>
                <c:pt idx="280">
                  <c:v>1425</c:v>
                </c:pt>
                <c:pt idx="281">
                  <c:v>1424</c:v>
                </c:pt>
                <c:pt idx="282">
                  <c:v>1418</c:v>
                </c:pt>
                <c:pt idx="283">
                  <c:v>1407</c:v>
                </c:pt>
                <c:pt idx="284">
                  <c:v>1398</c:v>
                </c:pt>
                <c:pt idx="285">
                  <c:v>1364</c:v>
                </c:pt>
                <c:pt idx="286">
                  <c:v>1362</c:v>
                </c:pt>
                <c:pt idx="287">
                  <c:v>1339</c:v>
                </c:pt>
                <c:pt idx="288">
                  <c:v>1338</c:v>
                </c:pt>
                <c:pt idx="289">
                  <c:v>1338</c:v>
                </c:pt>
                <c:pt idx="290">
                  <c:v>1320</c:v>
                </c:pt>
                <c:pt idx="291">
                  <c:v>1295</c:v>
                </c:pt>
                <c:pt idx="292">
                  <c:v>1287</c:v>
                </c:pt>
                <c:pt idx="293">
                  <c:v>1285</c:v>
                </c:pt>
                <c:pt idx="294">
                  <c:v>1284</c:v>
                </c:pt>
                <c:pt idx="295">
                  <c:v>1279</c:v>
                </c:pt>
                <c:pt idx="296">
                  <c:v>1265</c:v>
                </c:pt>
                <c:pt idx="297">
                  <c:v>1263</c:v>
                </c:pt>
                <c:pt idx="298">
                  <c:v>1258</c:v>
                </c:pt>
                <c:pt idx="299">
                  <c:v>1255</c:v>
                </c:pt>
                <c:pt idx="300">
                  <c:v>1242</c:v>
                </c:pt>
                <c:pt idx="301">
                  <c:v>1238</c:v>
                </c:pt>
                <c:pt idx="302">
                  <c:v>1230</c:v>
                </c:pt>
                <c:pt idx="303">
                  <c:v>1182</c:v>
                </c:pt>
                <c:pt idx="304">
                  <c:v>1165</c:v>
                </c:pt>
                <c:pt idx="305">
                  <c:v>1161</c:v>
                </c:pt>
                <c:pt idx="306">
                  <c:v>1142</c:v>
                </c:pt>
                <c:pt idx="307">
                  <c:v>1109</c:v>
                </c:pt>
                <c:pt idx="308">
                  <c:v>1103</c:v>
                </c:pt>
                <c:pt idx="309">
                  <c:v>1093</c:v>
                </c:pt>
                <c:pt idx="310">
                  <c:v>1085</c:v>
                </c:pt>
                <c:pt idx="311">
                  <c:v>1064</c:v>
                </c:pt>
                <c:pt idx="312">
                  <c:v>1062</c:v>
                </c:pt>
                <c:pt idx="313">
                  <c:v>1055</c:v>
                </c:pt>
                <c:pt idx="314">
                  <c:v>1053</c:v>
                </c:pt>
                <c:pt idx="315">
                  <c:v>1047</c:v>
                </c:pt>
                <c:pt idx="316">
                  <c:v>1032</c:v>
                </c:pt>
                <c:pt idx="317">
                  <c:v>1029</c:v>
                </c:pt>
                <c:pt idx="318">
                  <c:v>1011</c:v>
                </c:pt>
                <c:pt idx="319">
                  <c:v>1010</c:v>
                </c:pt>
                <c:pt idx="320">
                  <c:v>1007</c:v>
                </c:pt>
                <c:pt idx="321">
                  <c:v>1004</c:v>
                </c:pt>
                <c:pt idx="322">
                  <c:v>997</c:v>
                </c:pt>
                <c:pt idx="323">
                  <c:v>995</c:v>
                </c:pt>
                <c:pt idx="324">
                  <c:v>992</c:v>
                </c:pt>
                <c:pt idx="325">
                  <c:v>981</c:v>
                </c:pt>
                <c:pt idx="326">
                  <c:v>975</c:v>
                </c:pt>
                <c:pt idx="327">
                  <c:v>964</c:v>
                </c:pt>
                <c:pt idx="328">
                  <c:v>964</c:v>
                </c:pt>
                <c:pt idx="329">
                  <c:v>961</c:v>
                </c:pt>
                <c:pt idx="330">
                  <c:v>959</c:v>
                </c:pt>
                <c:pt idx="331">
                  <c:v>957</c:v>
                </c:pt>
                <c:pt idx="332">
                  <c:v>935</c:v>
                </c:pt>
                <c:pt idx="333">
                  <c:v>932</c:v>
                </c:pt>
                <c:pt idx="334">
                  <c:v>930</c:v>
                </c:pt>
                <c:pt idx="335">
                  <c:v>929</c:v>
                </c:pt>
                <c:pt idx="336">
                  <c:v>920</c:v>
                </c:pt>
                <c:pt idx="337">
                  <c:v>916</c:v>
                </c:pt>
                <c:pt idx="338">
                  <c:v>903</c:v>
                </c:pt>
                <c:pt idx="339">
                  <c:v>901</c:v>
                </c:pt>
                <c:pt idx="340">
                  <c:v>898</c:v>
                </c:pt>
                <c:pt idx="341">
                  <c:v>892</c:v>
                </c:pt>
                <c:pt idx="342">
                  <c:v>887</c:v>
                </c:pt>
                <c:pt idx="343">
                  <c:v>886</c:v>
                </c:pt>
                <c:pt idx="344">
                  <c:v>883</c:v>
                </c:pt>
                <c:pt idx="345">
                  <c:v>881</c:v>
                </c:pt>
                <c:pt idx="346">
                  <c:v>874</c:v>
                </c:pt>
                <c:pt idx="347">
                  <c:v>869</c:v>
                </c:pt>
                <c:pt idx="348">
                  <c:v>867</c:v>
                </c:pt>
                <c:pt idx="349">
                  <c:v>860</c:v>
                </c:pt>
                <c:pt idx="350">
                  <c:v>847</c:v>
                </c:pt>
                <c:pt idx="351">
                  <c:v>846</c:v>
                </c:pt>
                <c:pt idx="352">
                  <c:v>841</c:v>
                </c:pt>
                <c:pt idx="353">
                  <c:v>841</c:v>
                </c:pt>
                <c:pt idx="354">
                  <c:v>839</c:v>
                </c:pt>
                <c:pt idx="355">
                  <c:v>837</c:v>
                </c:pt>
                <c:pt idx="356">
                  <c:v>836</c:v>
                </c:pt>
                <c:pt idx="357">
                  <c:v>835</c:v>
                </c:pt>
                <c:pt idx="358">
                  <c:v>826</c:v>
                </c:pt>
                <c:pt idx="359">
                  <c:v>819</c:v>
                </c:pt>
                <c:pt idx="360">
                  <c:v>815</c:v>
                </c:pt>
                <c:pt idx="361">
                  <c:v>813</c:v>
                </c:pt>
                <c:pt idx="362">
                  <c:v>812</c:v>
                </c:pt>
                <c:pt idx="363">
                  <c:v>810</c:v>
                </c:pt>
                <c:pt idx="364">
                  <c:v>808</c:v>
                </c:pt>
                <c:pt idx="365">
                  <c:v>798</c:v>
                </c:pt>
                <c:pt idx="366">
                  <c:v>793</c:v>
                </c:pt>
                <c:pt idx="367">
                  <c:v>785</c:v>
                </c:pt>
                <c:pt idx="368">
                  <c:v>776</c:v>
                </c:pt>
                <c:pt idx="369">
                  <c:v>776</c:v>
                </c:pt>
                <c:pt idx="370">
                  <c:v>771</c:v>
                </c:pt>
                <c:pt idx="371">
                  <c:v>758</c:v>
                </c:pt>
                <c:pt idx="372">
                  <c:v>758</c:v>
                </c:pt>
                <c:pt idx="373">
                  <c:v>757</c:v>
                </c:pt>
                <c:pt idx="374">
                  <c:v>749</c:v>
                </c:pt>
                <c:pt idx="375">
                  <c:v>747</c:v>
                </c:pt>
                <c:pt idx="376">
                  <c:v>740</c:v>
                </c:pt>
                <c:pt idx="377">
                  <c:v>739</c:v>
                </c:pt>
                <c:pt idx="378">
                  <c:v>738</c:v>
                </c:pt>
                <c:pt idx="379">
                  <c:v>732</c:v>
                </c:pt>
                <c:pt idx="380">
                  <c:v>729</c:v>
                </c:pt>
                <c:pt idx="381">
                  <c:v>728</c:v>
                </c:pt>
                <c:pt idx="382">
                  <c:v>723</c:v>
                </c:pt>
                <c:pt idx="383">
                  <c:v>719</c:v>
                </c:pt>
                <c:pt idx="384">
                  <c:v>716</c:v>
                </c:pt>
                <c:pt idx="385">
                  <c:v>716</c:v>
                </c:pt>
                <c:pt idx="386">
                  <c:v>715</c:v>
                </c:pt>
                <c:pt idx="387">
                  <c:v>713</c:v>
                </c:pt>
                <c:pt idx="388">
                  <c:v>710</c:v>
                </c:pt>
                <c:pt idx="389">
                  <c:v>710</c:v>
                </c:pt>
                <c:pt idx="390">
                  <c:v>706</c:v>
                </c:pt>
                <c:pt idx="391">
                  <c:v>703</c:v>
                </c:pt>
                <c:pt idx="392">
                  <c:v>702</c:v>
                </c:pt>
                <c:pt idx="393">
                  <c:v>698</c:v>
                </c:pt>
                <c:pt idx="394">
                  <c:v>686</c:v>
                </c:pt>
                <c:pt idx="395">
                  <c:v>685</c:v>
                </c:pt>
                <c:pt idx="396">
                  <c:v>682</c:v>
                </c:pt>
                <c:pt idx="397">
                  <c:v>680</c:v>
                </c:pt>
                <c:pt idx="398">
                  <c:v>680</c:v>
                </c:pt>
                <c:pt idx="399">
                  <c:v>671</c:v>
                </c:pt>
                <c:pt idx="400">
                  <c:v>670</c:v>
                </c:pt>
                <c:pt idx="401">
                  <c:v>666</c:v>
                </c:pt>
                <c:pt idx="402">
                  <c:v>653</c:v>
                </c:pt>
                <c:pt idx="403">
                  <c:v>652</c:v>
                </c:pt>
                <c:pt idx="404">
                  <c:v>645</c:v>
                </c:pt>
                <c:pt idx="405">
                  <c:v>644</c:v>
                </c:pt>
                <c:pt idx="406">
                  <c:v>638</c:v>
                </c:pt>
                <c:pt idx="407">
                  <c:v>634</c:v>
                </c:pt>
                <c:pt idx="408">
                  <c:v>632</c:v>
                </c:pt>
                <c:pt idx="409">
                  <c:v>629</c:v>
                </c:pt>
                <c:pt idx="410">
                  <c:v>628</c:v>
                </c:pt>
                <c:pt idx="411">
                  <c:v>625</c:v>
                </c:pt>
                <c:pt idx="412">
                  <c:v>623</c:v>
                </c:pt>
                <c:pt idx="413">
                  <c:v>620</c:v>
                </c:pt>
                <c:pt idx="414">
                  <c:v>619</c:v>
                </c:pt>
                <c:pt idx="415">
                  <c:v>619</c:v>
                </c:pt>
                <c:pt idx="416">
                  <c:v>616</c:v>
                </c:pt>
                <c:pt idx="417">
                  <c:v>616</c:v>
                </c:pt>
                <c:pt idx="418">
                  <c:v>613</c:v>
                </c:pt>
                <c:pt idx="419">
                  <c:v>608</c:v>
                </c:pt>
                <c:pt idx="420">
                  <c:v>606</c:v>
                </c:pt>
                <c:pt idx="421">
                  <c:v>601</c:v>
                </c:pt>
                <c:pt idx="422">
                  <c:v>597</c:v>
                </c:pt>
                <c:pt idx="423">
                  <c:v>590</c:v>
                </c:pt>
                <c:pt idx="424">
                  <c:v>589</c:v>
                </c:pt>
                <c:pt idx="425">
                  <c:v>589</c:v>
                </c:pt>
                <c:pt idx="426">
                  <c:v>588</c:v>
                </c:pt>
                <c:pt idx="427">
                  <c:v>587</c:v>
                </c:pt>
                <c:pt idx="428">
                  <c:v>582</c:v>
                </c:pt>
                <c:pt idx="429">
                  <c:v>581</c:v>
                </c:pt>
                <c:pt idx="430">
                  <c:v>580</c:v>
                </c:pt>
                <c:pt idx="431">
                  <c:v>579</c:v>
                </c:pt>
                <c:pt idx="432">
                  <c:v>563</c:v>
                </c:pt>
                <c:pt idx="433">
                  <c:v>562</c:v>
                </c:pt>
                <c:pt idx="434">
                  <c:v>561</c:v>
                </c:pt>
                <c:pt idx="435">
                  <c:v>557</c:v>
                </c:pt>
                <c:pt idx="436">
                  <c:v>555</c:v>
                </c:pt>
                <c:pt idx="437">
                  <c:v>548</c:v>
                </c:pt>
                <c:pt idx="438">
                  <c:v>547</c:v>
                </c:pt>
                <c:pt idx="439">
                  <c:v>546</c:v>
                </c:pt>
                <c:pt idx="440">
                  <c:v>545</c:v>
                </c:pt>
                <c:pt idx="441">
                  <c:v>539</c:v>
                </c:pt>
                <c:pt idx="442">
                  <c:v>537</c:v>
                </c:pt>
                <c:pt idx="443">
                  <c:v>536</c:v>
                </c:pt>
                <c:pt idx="444">
                  <c:v>531</c:v>
                </c:pt>
                <c:pt idx="445">
                  <c:v>526</c:v>
                </c:pt>
                <c:pt idx="446">
                  <c:v>525</c:v>
                </c:pt>
                <c:pt idx="447">
                  <c:v>523</c:v>
                </c:pt>
                <c:pt idx="448">
                  <c:v>521</c:v>
                </c:pt>
                <c:pt idx="449">
                  <c:v>519</c:v>
                </c:pt>
                <c:pt idx="450">
                  <c:v>519</c:v>
                </c:pt>
                <c:pt idx="451">
                  <c:v>512</c:v>
                </c:pt>
                <c:pt idx="452">
                  <c:v>512</c:v>
                </c:pt>
                <c:pt idx="453">
                  <c:v>511</c:v>
                </c:pt>
                <c:pt idx="454">
                  <c:v>509</c:v>
                </c:pt>
                <c:pt idx="455">
                  <c:v>508</c:v>
                </c:pt>
                <c:pt idx="456">
                  <c:v>505</c:v>
                </c:pt>
                <c:pt idx="457">
                  <c:v>504</c:v>
                </c:pt>
                <c:pt idx="458">
                  <c:v>501</c:v>
                </c:pt>
                <c:pt idx="459">
                  <c:v>499</c:v>
                </c:pt>
                <c:pt idx="460">
                  <c:v>494</c:v>
                </c:pt>
                <c:pt idx="461">
                  <c:v>492</c:v>
                </c:pt>
                <c:pt idx="462">
                  <c:v>490</c:v>
                </c:pt>
                <c:pt idx="463">
                  <c:v>487</c:v>
                </c:pt>
                <c:pt idx="464">
                  <c:v>484</c:v>
                </c:pt>
                <c:pt idx="465">
                  <c:v>483</c:v>
                </c:pt>
                <c:pt idx="466">
                  <c:v>480</c:v>
                </c:pt>
                <c:pt idx="467">
                  <c:v>478</c:v>
                </c:pt>
                <c:pt idx="468">
                  <c:v>478</c:v>
                </c:pt>
                <c:pt idx="469">
                  <c:v>477</c:v>
                </c:pt>
                <c:pt idx="470">
                  <c:v>476</c:v>
                </c:pt>
                <c:pt idx="471">
                  <c:v>475</c:v>
                </c:pt>
                <c:pt idx="472">
                  <c:v>475</c:v>
                </c:pt>
                <c:pt idx="473">
                  <c:v>473</c:v>
                </c:pt>
                <c:pt idx="474">
                  <c:v>472</c:v>
                </c:pt>
                <c:pt idx="475">
                  <c:v>468</c:v>
                </c:pt>
                <c:pt idx="476">
                  <c:v>468</c:v>
                </c:pt>
                <c:pt idx="477">
                  <c:v>454</c:v>
                </c:pt>
                <c:pt idx="478">
                  <c:v>454</c:v>
                </c:pt>
                <c:pt idx="479">
                  <c:v>449</c:v>
                </c:pt>
                <c:pt idx="480">
                  <c:v>448</c:v>
                </c:pt>
                <c:pt idx="481">
                  <c:v>447</c:v>
                </c:pt>
                <c:pt idx="482">
                  <c:v>447</c:v>
                </c:pt>
                <c:pt idx="483">
                  <c:v>444</c:v>
                </c:pt>
                <c:pt idx="484">
                  <c:v>437</c:v>
                </c:pt>
                <c:pt idx="485">
                  <c:v>436</c:v>
                </c:pt>
                <c:pt idx="486">
                  <c:v>435</c:v>
                </c:pt>
                <c:pt idx="487">
                  <c:v>434</c:v>
                </c:pt>
                <c:pt idx="488">
                  <c:v>434</c:v>
                </c:pt>
                <c:pt idx="489">
                  <c:v>429</c:v>
                </c:pt>
                <c:pt idx="490">
                  <c:v>428</c:v>
                </c:pt>
                <c:pt idx="491">
                  <c:v>427</c:v>
                </c:pt>
                <c:pt idx="492">
                  <c:v>424</c:v>
                </c:pt>
                <c:pt idx="493">
                  <c:v>423</c:v>
                </c:pt>
                <c:pt idx="494">
                  <c:v>421</c:v>
                </c:pt>
                <c:pt idx="495">
                  <c:v>419</c:v>
                </c:pt>
                <c:pt idx="496">
                  <c:v>417</c:v>
                </c:pt>
                <c:pt idx="497">
                  <c:v>412</c:v>
                </c:pt>
                <c:pt idx="498">
                  <c:v>410</c:v>
                </c:pt>
                <c:pt idx="499">
                  <c:v>403</c:v>
                </c:pt>
                <c:pt idx="500">
                  <c:v>402</c:v>
                </c:pt>
                <c:pt idx="501">
                  <c:v>402</c:v>
                </c:pt>
                <c:pt idx="502">
                  <c:v>402</c:v>
                </c:pt>
                <c:pt idx="503">
                  <c:v>401</c:v>
                </c:pt>
                <c:pt idx="504">
                  <c:v>400</c:v>
                </c:pt>
                <c:pt idx="505">
                  <c:v>394</c:v>
                </c:pt>
                <c:pt idx="506">
                  <c:v>393</c:v>
                </c:pt>
                <c:pt idx="507">
                  <c:v>391</c:v>
                </c:pt>
                <c:pt idx="508">
                  <c:v>387</c:v>
                </c:pt>
                <c:pt idx="509">
                  <c:v>387</c:v>
                </c:pt>
                <c:pt idx="510">
                  <c:v>386</c:v>
                </c:pt>
                <c:pt idx="511">
                  <c:v>379</c:v>
                </c:pt>
                <c:pt idx="512">
                  <c:v>378</c:v>
                </c:pt>
                <c:pt idx="513">
                  <c:v>378</c:v>
                </c:pt>
                <c:pt idx="514">
                  <c:v>375</c:v>
                </c:pt>
                <c:pt idx="515">
                  <c:v>374</c:v>
                </c:pt>
                <c:pt idx="516">
                  <c:v>373</c:v>
                </c:pt>
                <c:pt idx="517">
                  <c:v>371</c:v>
                </c:pt>
                <c:pt idx="518">
                  <c:v>370</c:v>
                </c:pt>
                <c:pt idx="519">
                  <c:v>370</c:v>
                </c:pt>
                <c:pt idx="520">
                  <c:v>366</c:v>
                </c:pt>
                <c:pt idx="521">
                  <c:v>365</c:v>
                </c:pt>
                <c:pt idx="522">
                  <c:v>365</c:v>
                </c:pt>
                <c:pt idx="523">
                  <c:v>363</c:v>
                </c:pt>
                <c:pt idx="524">
                  <c:v>359</c:v>
                </c:pt>
                <c:pt idx="525">
                  <c:v>358</c:v>
                </c:pt>
                <c:pt idx="526">
                  <c:v>358</c:v>
                </c:pt>
                <c:pt idx="527">
                  <c:v>358</c:v>
                </c:pt>
                <c:pt idx="528">
                  <c:v>358</c:v>
                </c:pt>
                <c:pt idx="529">
                  <c:v>354</c:v>
                </c:pt>
                <c:pt idx="530">
                  <c:v>353</c:v>
                </c:pt>
                <c:pt idx="531">
                  <c:v>352</c:v>
                </c:pt>
                <c:pt idx="532">
                  <c:v>351</c:v>
                </c:pt>
                <c:pt idx="533">
                  <c:v>351</c:v>
                </c:pt>
                <c:pt idx="534">
                  <c:v>351</c:v>
                </c:pt>
                <c:pt idx="535">
                  <c:v>342</c:v>
                </c:pt>
                <c:pt idx="536">
                  <c:v>337</c:v>
                </c:pt>
                <c:pt idx="537">
                  <c:v>337</c:v>
                </c:pt>
                <c:pt idx="538">
                  <c:v>336</c:v>
                </c:pt>
                <c:pt idx="539">
                  <c:v>329</c:v>
                </c:pt>
                <c:pt idx="540">
                  <c:v>328</c:v>
                </c:pt>
                <c:pt idx="541">
                  <c:v>328</c:v>
                </c:pt>
                <c:pt idx="542">
                  <c:v>327</c:v>
                </c:pt>
                <c:pt idx="543">
                  <c:v>327</c:v>
                </c:pt>
                <c:pt idx="544">
                  <c:v>324</c:v>
                </c:pt>
                <c:pt idx="545">
                  <c:v>323</c:v>
                </c:pt>
                <c:pt idx="546">
                  <c:v>320</c:v>
                </c:pt>
                <c:pt idx="547">
                  <c:v>320</c:v>
                </c:pt>
                <c:pt idx="548">
                  <c:v>319</c:v>
                </c:pt>
                <c:pt idx="549">
                  <c:v>319</c:v>
                </c:pt>
                <c:pt idx="550">
                  <c:v>318</c:v>
                </c:pt>
                <c:pt idx="551">
                  <c:v>315</c:v>
                </c:pt>
                <c:pt idx="552">
                  <c:v>314</c:v>
                </c:pt>
                <c:pt idx="553">
                  <c:v>314</c:v>
                </c:pt>
                <c:pt idx="554">
                  <c:v>313</c:v>
                </c:pt>
                <c:pt idx="555">
                  <c:v>311</c:v>
                </c:pt>
                <c:pt idx="556">
                  <c:v>308</c:v>
                </c:pt>
                <c:pt idx="557">
                  <c:v>308</c:v>
                </c:pt>
                <c:pt idx="558">
                  <c:v>308</c:v>
                </c:pt>
                <c:pt idx="559">
                  <c:v>305</c:v>
                </c:pt>
                <c:pt idx="560">
                  <c:v>305</c:v>
                </c:pt>
                <c:pt idx="561">
                  <c:v>303</c:v>
                </c:pt>
                <c:pt idx="562">
                  <c:v>302</c:v>
                </c:pt>
                <c:pt idx="563">
                  <c:v>302</c:v>
                </c:pt>
                <c:pt idx="564">
                  <c:v>298</c:v>
                </c:pt>
                <c:pt idx="565">
                  <c:v>298</c:v>
                </c:pt>
                <c:pt idx="566">
                  <c:v>297</c:v>
                </c:pt>
                <c:pt idx="567">
                  <c:v>296</c:v>
                </c:pt>
                <c:pt idx="568">
                  <c:v>291</c:v>
                </c:pt>
                <c:pt idx="569">
                  <c:v>288</c:v>
                </c:pt>
                <c:pt idx="570">
                  <c:v>288</c:v>
                </c:pt>
                <c:pt idx="571">
                  <c:v>283</c:v>
                </c:pt>
                <c:pt idx="572">
                  <c:v>281</c:v>
                </c:pt>
                <c:pt idx="573">
                  <c:v>281</c:v>
                </c:pt>
                <c:pt idx="574">
                  <c:v>280</c:v>
                </c:pt>
                <c:pt idx="575">
                  <c:v>274</c:v>
                </c:pt>
                <c:pt idx="576">
                  <c:v>273</c:v>
                </c:pt>
                <c:pt idx="577">
                  <c:v>271</c:v>
                </c:pt>
                <c:pt idx="578">
                  <c:v>271</c:v>
                </c:pt>
                <c:pt idx="579">
                  <c:v>270</c:v>
                </c:pt>
                <c:pt idx="580">
                  <c:v>269</c:v>
                </c:pt>
                <c:pt idx="581">
                  <c:v>264</c:v>
                </c:pt>
                <c:pt idx="582">
                  <c:v>263</c:v>
                </c:pt>
                <c:pt idx="583">
                  <c:v>262</c:v>
                </c:pt>
                <c:pt idx="584">
                  <c:v>262</c:v>
                </c:pt>
                <c:pt idx="585">
                  <c:v>262</c:v>
                </c:pt>
                <c:pt idx="586">
                  <c:v>261</c:v>
                </c:pt>
                <c:pt idx="587">
                  <c:v>258</c:v>
                </c:pt>
                <c:pt idx="588">
                  <c:v>256</c:v>
                </c:pt>
                <c:pt idx="589">
                  <c:v>255</c:v>
                </c:pt>
                <c:pt idx="590">
                  <c:v>254</c:v>
                </c:pt>
                <c:pt idx="591">
                  <c:v>253</c:v>
                </c:pt>
                <c:pt idx="592">
                  <c:v>253</c:v>
                </c:pt>
                <c:pt idx="593">
                  <c:v>252</c:v>
                </c:pt>
                <c:pt idx="594">
                  <c:v>252</c:v>
                </c:pt>
                <c:pt idx="595">
                  <c:v>249</c:v>
                </c:pt>
                <c:pt idx="596">
                  <c:v>249</c:v>
                </c:pt>
                <c:pt idx="597">
                  <c:v>249</c:v>
                </c:pt>
                <c:pt idx="598">
                  <c:v>249</c:v>
                </c:pt>
                <c:pt idx="599">
                  <c:v>249</c:v>
                </c:pt>
                <c:pt idx="600">
                  <c:v>248</c:v>
                </c:pt>
                <c:pt idx="601">
                  <c:v>248</c:v>
                </c:pt>
                <c:pt idx="602">
                  <c:v>248</c:v>
                </c:pt>
                <c:pt idx="603">
                  <c:v>246</c:v>
                </c:pt>
                <c:pt idx="604">
                  <c:v>246</c:v>
                </c:pt>
                <c:pt idx="605">
                  <c:v>243</c:v>
                </c:pt>
                <c:pt idx="606">
                  <c:v>242</c:v>
                </c:pt>
                <c:pt idx="607">
                  <c:v>241</c:v>
                </c:pt>
                <c:pt idx="608">
                  <c:v>241</c:v>
                </c:pt>
                <c:pt idx="609">
                  <c:v>240</c:v>
                </c:pt>
                <c:pt idx="610">
                  <c:v>239</c:v>
                </c:pt>
                <c:pt idx="611">
                  <c:v>238</c:v>
                </c:pt>
                <c:pt idx="612">
                  <c:v>237</c:v>
                </c:pt>
                <c:pt idx="613">
                  <c:v>237</c:v>
                </c:pt>
                <c:pt idx="614">
                  <c:v>233</c:v>
                </c:pt>
                <c:pt idx="615">
                  <c:v>232</c:v>
                </c:pt>
                <c:pt idx="616">
                  <c:v>232</c:v>
                </c:pt>
                <c:pt idx="617">
                  <c:v>232</c:v>
                </c:pt>
                <c:pt idx="618">
                  <c:v>228</c:v>
                </c:pt>
                <c:pt idx="619">
                  <c:v>224</c:v>
                </c:pt>
                <c:pt idx="620">
                  <c:v>224</c:v>
                </c:pt>
                <c:pt idx="621">
                  <c:v>220</c:v>
                </c:pt>
                <c:pt idx="622">
                  <c:v>217</c:v>
                </c:pt>
                <c:pt idx="623">
                  <c:v>216</c:v>
                </c:pt>
                <c:pt idx="624">
                  <c:v>216</c:v>
                </c:pt>
                <c:pt idx="625">
                  <c:v>216</c:v>
                </c:pt>
                <c:pt idx="626">
                  <c:v>212</c:v>
                </c:pt>
                <c:pt idx="627">
                  <c:v>212</c:v>
                </c:pt>
                <c:pt idx="628">
                  <c:v>211</c:v>
                </c:pt>
                <c:pt idx="629">
                  <c:v>211</c:v>
                </c:pt>
                <c:pt idx="630">
                  <c:v>210</c:v>
                </c:pt>
                <c:pt idx="631">
                  <c:v>210</c:v>
                </c:pt>
                <c:pt idx="632">
                  <c:v>209</c:v>
                </c:pt>
                <c:pt idx="633">
                  <c:v>206</c:v>
                </c:pt>
                <c:pt idx="634">
                  <c:v>204</c:v>
                </c:pt>
                <c:pt idx="635">
                  <c:v>204</c:v>
                </c:pt>
                <c:pt idx="636">
                  <c:v>201</c:v>
                </c:pt>
                <c:pt idx="637">
                  <c:v>198</c:v>
                </c:pt>
                <c:pt idx="638">
                  <c:v>198</c:v>
                </c:pt>
                <c:pt idx="639">
                  <c:v>197</c:v>
                </c:pt>
                <c:pt idx="640">
                  <c:v>197</c:v>
                </c:pt>
                <c:pt idx="641">
                  <c:v>197</c:v>
                </c:pt>
                <c:pt idx="642">
                  <c:v>195</c:v>
                </c:pt>
                <c:pt idx="643">
                  <c:v>192</c:v>
                </c:pt>
                <c:pt idx="644">
                  <c:v>191</c:v>
                </c:pt>
                <c:pt idx="645">
                  <c:v>191</c:v>
                </c:pt>
                <c:pt idx="646">
                  <c:v>190</c:v>
                </c:pt>
                <c:pt idx="647">
                  <c:v>189</c:v>
                </c:pt>
                <c:pt idx="648">
                  <c:v>188</c:v>
                </c:pt>
                <c:pt idx="649">
                  <c:v>187</c:v>
                </c:pt>
                <c:pt idx="650">
                  <c:v>187</c:v>
                </c:pt>
                <c:pt idx="651">
                  <c:v>186</c:v>
                </c:pt>
                <c:pt idx="652">
                  <c:v>185</c:v>
                </c:pt>
                <c:pt idx="653">
                  <c:v>184</c:v>
                </c:pt>
                <c:pt idx="654">
                  <c:v>181</c:v>
                </c:pt>
                <c:pt idx="655">
                  <c:v>181</c:v>
                </c:pt>
                <c:pt idx="656">
                  <c:v>180</c:v>
                </c:pt>
                <c:pt idx="657">
                  <c:v>179</c:v>
                </c:pt>
                <c:pt idx="658">
                  <c:v>179</c:v>
                </c:pt>
                <c:pt idx="659">
                  <c:v>179</c:v>
                </c:pt>
                <c:pt idx="660">
                  <c:v>178</c:v>
                </c:pt>
                <c:pt idx="661">
                  <c:v>178</c:v>
                </c:pt>
                <c:pt idx="662">
                  <c:v>177</c:v>
                </c:pt>
                <c:pt idx="663">
                  <c:v>177</c:v>
                </c:pt>
                <c:pt idx="664">
                  <c:v>177</c:v>
                </c:pt>
                <c:pt idx="665">
                  <c:v>177</c:v>
                </c:pt>
                <c:pt idx="666">
                  <c:v>175</c:v>
                </c:pt>
                <c:pt idx="667">
                  <c:v>174</c:v>
                </c:pt>
                <c:pt idx="668">
                  <c:v>174</c:v>
                </c:pt>
                <c:pt idx="669">
                  <c:v>171</c:v>
                </c:pt>
                <c:pt idx="670">
                  <c:v>171</c:v>
                </c:pt>
                <c:pt idx="671">
                  <c:v>171</c:v>
                </c:pt>
                <c:pt idx="672">
                  <c:v>170</c:v>
                </c:pt>
                <c:pt idx="673">
                  <c:v>170</c:v>
                </c:pt>
                <c:pt idx="674">
                  <c:v>170</c:v>
                </c:pt>
                <c:pt idx="675">
                  <c:v>169</c:v>
                </c:pt>
                <c:pt idx="676">
                  <c:v>167</c:v>
                </c:pt>
                <c:pt idx="677">
                  <c:v>166</c:v>
                </c:pt>
                <c:pt idx="678">
                  <c:v>166</c:v>
                </c:pt>
                <c:pt idx="679">
                  <c:v>166</c:v>
                </c:pt>
                <c:pt idx="680">
                  <c:v>164</c:v>
                </c:pt>
                <c:pt idx="681">
                  <c:v>164</c:v>
                </c:pt>
                <c:pt idx="682">
                  <c:v>163</c:v>
                </c:pt>
                <c:pt idx="683">
                  <c:v>161</c:v>
                </c:pt>
                <c:pt idx="684">
                  <c:v>160</c:v>
                </c:pt>
                <c:pt idx="685">
                  <c:v>160</c:v>
                </c:pt>
                <c:pt idx="686">
                  <c:v>159</c:v>
                </c:pt>
                <c:pt idx="687">
                  <c:v>159</c:v>
                </c:pt>
                <c:pt idx="688">
                  <c:v>159</c:v>
                </c:pt>
                <c:pt idx="689">
                  <c:v>156</c:v>
                </c:pt>
                <c:pt idx="690">
                  <c:v>156</c:v>
                </c:pt>
                <c:pt idx="691">
                  <c:v>153</c:v>
                </c:pt>
                <c:pt idx="692">
                  <c:v>153</c:v>
                </c:pt>
                <c:pt idx="693">
                  <c:v>153</c:v>
                </c:pt>
                <c:pt idx="694">
                  <c:v>152</c:v>
                </c:pt>
                <c:pt idx="695">
                  <c:v>151</c:v>
                </c:pt>
                <c:pt idx="696">
                  <c:v>151</c:v>
                </c:pt>
                <c:pt idx="697">
                  <c:v>150</c:v>
                </c:pt>
                <c:pt idx="698">
                  <c:v>149</c:v>
                </c:pt>
                <c:pt idx="699">
                  <c:v>148</c:v>
                </c:pt>
                <c:pt idx="700">
                  <c:v>148</c:v>
                </c:pt>
                <c:pt idx="701">
                  <c:v>148</c:v>
                </c:pt>
                <c:pt idx="702">
                  <c:v>147</c:v>
                </c:pt>
                <c:pt idx="703">
                  <c:v>147</c:v>
                </c:pt>
                <c:pt idx="704">
                  <c:v>147</c:v>
                </c:pt>
                <c:pt idx="705">
                  <c:v>146</c:v>
                </c:pt>
                <c:pt idx="706">
                  <c:v>145</c:v>
                </c:pt>
                <c:pt idx="707">
                  <c:v>145</c:v>
                </c:pt>
                <c:pt idx="708">
                  <c:v>144</c:v>
                </c:pt>
                <c:pt idx="709">
                  <c:v>143</c:v>
                </c:pt>
                <c:pt idx="710">
                  <c:v>142</c:v>
                </c:pt>
                <c:pt idx="711">
                  <c:v>142</c:v>
                </c:pt>
                <c:pt idx="712">
                  <c:v>142</c:v>
                </c:pt>
                <c:pt idx="713">
                  <c:v>140</c:v>
                </c:pt>
                <c:pt idx="714">
                  <c:v>140</c:v>
                </c:pt>
                <c:pt idx="715">
                  <c:v>140</c:v>
                </c:pt>
                <c:pt idx="716">
                  <c:v>137</c:v>
                </c:pt>
                <c:pt idx="717">
                  <c:v>137</c:v>
                </c:pt>
                <c:pt idx="718">
                  <c:v>136</c:v>
                </c:pt>
                <c:pt idx="719">
                  <c:v>134</c:v>
                </c:pt>
                <c:pt idx="720">
                  <c:v>133</c:v>
                </c:pt>
                <c:pt idx="721">
                  <c:v>132</c:v>
                </c:pt>
                <c:pt idx="722">
                  <c:v>132</c:v>
                </c:pt>
                <c:pt idx="723">
                  <c:v>131</c:v>
                </c:pt>
                <c:pt idx="724">
                  <c:v>128</c:v>
                </c:pt>
                <c:pt idx="725">
                  <c:v>128</c:v>
                </c:pt>
                <c:pt idx="726">
                  <c:v>127</c:v>
                </c:pt>
                <c:pt idx="727">
                  <c:v>127</c:v>
                </c:pt>
                <c:pt idx="728">
                  <c:v>127</c:v>
                </c:pt>
                <c:pt idx="729">
                  <c:v>126</c:v>
                </c:pt>
                <c:pt idx="730">
                  <c:v>125</c:v>
                </c:pt>
                <c:pt idx="731">
                  <c:v>125</c:v>
                </c:pt>
                <c:pt idx="732">
                  <c:v>124</c:v>
                </c:pt>
                <c:pt idx="733">
                  <c:v>124</c:v>
                </c:pt>
                <c:pt idx="734">
                  <c:v>124</c:v>
                </c:pt>
                <c:pt idx="735">
                  <c:v>123</c:v>
                </c:pt>
                <c:pt idx="736">
                  <c:v>123</c:v>
                </c:pt>
                <c:pt idx="737">
                  <c:v>123</c:v>
                </c:pt>
                <c:pt idx="738">
                  <c:v>123</c:v>
                </c:pt>
                <c:pt idx="739">
                  <c:v>122</c:v>
                </c:pt>
                <c:pt idx="740">
                  <c:v>122</c:v>
                </c:pt>
                <c:pt idx="741">
                  <c:v>120</c:v>
                </c:pt>
                <c:pt idx="742">
                  <c:v>120</c:v>
                </c:pt>
                <c:pt idx="743">
                  <c:v>120</c:v>
                </c:pt>
                <c:pt idx="744">
                  <c:v>120</c:v>
                </c:pt>
                <c:pt idx="745">
                  <c:v>119</c:v>
                </c:pt>
                <c:pt idx="746">
                  <c:v>119</c:v>
                </c:pt>
                <c:pt idx="747">
                  <c:v>118</c:v>
                </c:pt>
                <c:pt idx="748">
                  <c:v>117</c:v>
                </c:pt>
                <c:pt idx="749">
                  <c:v>117</c:v>
                </c:pt>
                <c:pt idx="750">
                  <c:v>117</c:v>
                </c:pt>
                <c:pt idx="751">
                  <c:v>115</c:v>
                </c:pt>
                <c:pt idx="752">
                  <c:v>112</c:v>
                </c:pt>
                <c:pt idx="753">
                  <c:v>111</c:v>
                </c:pt>
                <c:pt idx="754">
                  <c:v>111</c:v>
                </c:pt>
                <c:pt idx="755">
                  <c:v>110</c:v>
                </c:pt>
                <c:pt idx="756">
                  <c:v>109</c:v>
                </c:pt>
                <c:pt idx="757">
                  <c:v>109</c:v>
                </c:pt>
                <c:pt idx="758">
                  <c:v>108</c:v>
                </c:pt>
                <c:pt idx="759">
                  <c:v>107</c:v>
                </c:pt>
                <c:pt idx="760">
                  <c:v>107</c:v>
                </c:pt>
                <c:pt idx="761">
                  <c:v>107</c:v>
                </c:pt>
                <c:pt idx="762">
                  <c:v>106</c:v>
                </c:pt>
                <c:pt idx="763">
                  <c:v>106</c:v>
                </c:pt>
                <c:pt idx="764">
                  <c:v>104</c:v>
                </c:pt>
                <c:pt idx="765">
                  <c:v>104</c:v>
                </c:pt>
                <c:pt idx="766">
                  <c:v>101</c:v>
                </c:pt>
                <c:pt idx="767">
                  <c:v>101</c:v>
                </c:pt>
                <c:pt idx="768">
                  <c:v>101</c:v>
                </c:pt>
                <c:pt idx="769">
                  <c:v>100</c:v>
                </c:pt>
                <c:pt idx="770">
                  <c:v>100</c:v>
                </c:pt>
                <c:pt idx="771">
                  <c:v>100</c:v>
                </c:pt>
                <c:pt idx="772">
                  <c:v>100</c:v>
                </c:pt>
                <c:pt idx="773">
                  <c:v>100</c:v>
                </c:pt>
                <c:pt idx="774">
                  <c:v>98</c:v>
                </c:pt>
                <c:pt idx="775">
                  <c:v>98</c:v>
                </c:pt>
                <c:pt idx="776">
                  <c:v>98</c:v>
                </c:pt>
                <c:pt idx="777">
                  <c:v>98</c:v>
                </c:pt>
                <c:pt idx="778">
                  <c:v>96</c:v>
                </c:pt>
                <c:pt idx="779">
                  <c:v>96</c:v>
                </c:pt>
                <c:pt idx="780">
                  <c:v>95</c:v>
                </c:pt>
                <c:pt idx="781">
                  <c:v>95</c:v>
                </c:pt>
                <c:pt idx="782">
                  <c:v>95</c:v>
                </c:pt>
                <c:pt idx="783">
                  <c:v>95</c:v>
                </c:pt>
                <c:pt idx="784">
                  <c:v>94</c:v>
                </c:pt>
                <c:pt idx="785">
                  <c:v>94</c:v>
                </c:pt>
                <c:pt idx="786">
                  <c:v>94</c:v>
                </c:pt>
                <c:pt idx="787">
                  <c:v>93</c:v>
                </c:pt>
                <c:pt idx="788">
                  <c:v>93</c:v>
                </c:pt>
                <c:pt idx="789">
                  <c:v>92</c:v>
                </c:pt>
                <c:pt idx="790">
                  <c:v>92</c:v>
                </c:pt>
                <c:pt idx="791">
                  <c:v>92</c:v>
                </c:pt>
                <c:pt idx="792">
                  <c:v>91</c:v>
                </c:pt>
                <c:pt idx="793">
                  <c:v>90</c:v>
                </c:pt>
                <c:pt idx="794">
                  <c:v>90</c:v>
                </c:pt>
                <c:pt idx="795">
                  <c:v>90</c:v>
                </c:pt>
                <c:pt idx="796">
                  <c:v>89</c:v>
                </c:pt>
                <c:pt idx="797">
                  <c:v>88</c:v>
                </c:pt>
                <c:pt idx="798">
                  <c:v>88</c:v>
                </c:pt>
                <c:pt idx="799">
                  <c:v>87</c:v>
                </c:pt>
                <c:pt idx="800">
                  <c:v>87</c:v>
                </c:pt>
                <c:pt idx="801">
                  <c:v>85</c:v>
                </c:pt>
                <c:pt idx="802">
                  <c:v>85</c:v>
                </c:pt>
                <c:pt idx="803">
                  <c:v>85</c:v>
                </c:pt>
                <c:pt idx="804">
                  <c:v>85</c:v>
                </c:pt>
                <c:pt idx="805">
                  <c:v>85</c:v>
                </c:pt>
                <c:pt idx="806">
                  <c:v>84</c:v>
                </c:pt>
                <c:pt idx="807">
                  <c:v>84</c:v>
                </c:pt>
                <c:pt idx="808">
                  <c:v>84</c:v>
                </c:pt>
                <c:pt idx="809">
                  <c:v>84</c:v>
                </c:pt>
                <c:pt idx="810">
                  <c:v>84</c:v>
                </c:pt>
                <c:pt idx="811">
                  <c:v>83</c:v>
                </c:pt>
                <c:pt idx="812">
                  <c:v>83</c:v>
                </c:pt>
                <c:pt idx="813">
                  <c:v>82</c:v>
                </c:pt>
                <c:pt idx="814">
                  <c:v>82</c:v>
                </c:pt>
                <c:pt idx="815">
                  <c:v>82</c:v>
                </c:pt>
                <c:pt idx="816">
                  <c:v>82</c:v>
                </c:pt>
                <c:pt idx="817">
                  <c:v>82</c:v>
                </c:pt>
                <c:pt idx="818">
                  <c:v>81</c:v>
                </c:pt>
                <c:pt idx="819">
                  <c:v>81</c:v>
                </c:pt>
                <c:pt idx="820">
                  <c:v>80</c:v>
                </c:pt>
                <c:pt idx="821">
                  <c:v>80</c:v>
                </c:pt>
                <c:pt idx="822">
                  <c:v>80</c:v>
                </c:pt>
                <c:pt idx="823">
                  <c:v>80</c:v>
                </c:pt>
                <c:pt idx="824">
                  <c:v>80</c:v>
                </c:pt>
                <c:pt idx="825">
                  <c:v>80</c:v>
                </c:pt>
                <c:pt idx="826">
                  <c:v>80</c:v>
                </c:pt>
                <c:pt idx="827">
                  <c:v>79</c:v>
                </c:pt>
                <c:pt idx="828">
                  <c:v>79</c:v>
                </c:pt>
                <c:pt idx="829">
                  <c:v>79</c:v>
                </c:pt>
                <c:pt idx="830">
                  <c:v>79</c:v>
                </c:pt>
                <c:pt idx="831">
                  <c:v>79</c:v>
                </c:pt>
                <c:pt idx="832">
                  <c:v>78</c:v>
                </c:pt>
                <c:pt idx="833">
                  <c:v>77</c:v>
                </c:pt>
                <c:pt idx="834">
                  <c:v>76</c:v>
                </c:pt>
                <c:pt idx="835">
                  <c:v>76</c:v>
                </c:pt>
                <c:pt idx="836">
                  <c:v>76</c:v>
                </c:pt>
                <c:pt idx="837">
                  <c:v>76</c:v>
                </c:pt>
                <c:pt idx="838">
                  <c:v>75</c:v>
                </c:pt>
                <c:pt idx="839">
                  <c:v>75</c:v>
                </c:pt>
                <c:pt idx="840">
                  <c:v>74</c:v>
                </c:pt>
                <c:pt idx="841">
                  <c:v>74</c:v>
                </c:pt>
                <c:pt idx="842">
                  <c:v>73</c:v>
                </c:pt>
                <c:pt idx="843">
                  <c:v>73</c:v>
                </c:pt>
                <c:pt idx="844">
                  <c:v>73</c:v>
                </c:pt>
                <c:pt idx="845">
                  <c:v>72</c:v>
                </c:pt>
                <c:pt idx="846">
                  <c:v>72</c:v>
                </c:pt>
                <c:pt idx="847">
                  <c:v>71</c:v>
                </c:pt>
                <c:pt idx="848">
                  <c:v>71</c:v>
                </c:pt>
                <c:pt idx="849">
                  <c:v>69</c:v>
                </c:pt>
                <c:pt idx="850">
                  <c:v>69</c:v>
                </c:pt>
                <c:pt idx="851">
                  <c:v>68</c:v>
                </c:pt>
                <c:pt idx="852">
                  <c:v>68</c:v>
                </c:pt>
                <c:pt idx="853">
                  <c:v>68</c:v>
                </c:pt>
                <c:pt idx="854">
                  <c:v>68</c:v>
                </c:pt>
                <c:pt idx="855">
                  <c:v>68</c:v>
                </c:pt>
                <c:pt idx="856">
                  <c:v>68</c:v>
                </c:pt>
                <c:pt idx="857">
                  <c:v>67</c:v>
                </c:pt>
                <c:pt idx="858">
                  <c:v>67</c:v>
                </c:pt>
                <c:pt idx="859">
                  <c:v>67</c:v>
                </c:pt>
                <c:pt idx="860">
                  <c:v>67</c:v>
                </c:pt>
                <c:pt idx="861">
                  <c:v>67</c:v>
                </c:pt>
                <c:pt idx="862">
                  <c:v>67</c:v>
                </c:pt>
                <c:pt idx="863">
                  <c:v>67</c:v>
                </c:pt>
                <c:pt idx="864">
                  <c:v>66</c:v>
                </c:pt>
                <c:pt idx="865">
                  <c:v>66</c:v>
                </c:pt>
                <c:pt idx="866">
                  <c:v>66</c:v>
                </c:pt>
                <c:pt idx="867">
                  <c:v>66</c:v>
                </c:pt>
                <c:pt idx="868">
                  <c:v>65</c:v>
                </c:pt>
                <c:pt idx="869">
                  <c:v>65</c:v>
                </c:pt>
                <c:pt idx="870">
                  <c:v>65</c:v>
                </c:pt>
                <c:pt idx="871">
                  <c:v>64</c:v>
                </c:pt>
                <c:pt idx="872">
                  <c:v>64</c:v>
                </c:pt>
                <c:pt idx="873">
                  <c:v>64</c:v>
                </c:pt>
                <c:pt idx="874">
                  <c:v>63</c:v>
                </c:pt>
                <c:pt idx="875">
                  <c:v>63</c:v>
                </c:pt>
                <c:pt idx="876">
                  <c:v>63</c:v>
                </c:pt>
                <c:pt idx="877">
                  <c:v>62</c:v>
                </c:pt>
                <c:pt idx="878">
                  <c:v>62</c:v>
                </c:pt>
                <c:pt idx="879">
                  <c:v>62</c:v>
                </c:pt>
                <c:pt idx="880">
                  <c:v>62</c:v>
                </c:pt>
                <c:pt idx="881">
                  <c:v>61</c:v>
                </c:pt>
                <c:pt idx="882">
                  <c:v>61</c:v>
                </c:pt>
                <c:pt idx="883">
                  <c:v>60</c:v>
                </c:pt>
                <c:pt idx="884">
                  <c:v>59</c:v>
                </c:pt>
                <c:pt idx="885">
                  <c:v>59</c:v>
                </c:pt>
                <c:pt idx="886">
                  <c:v>58</c:v>
                </c:pt>
                <c:pt idx="887">
                  <c:v>57</c:v>
                </c:pt>
                <c:pt idx="888">
                  <c:v>57</c:v>
                </c:pt>
                <c:pt idx="889">
                  <c:v>57</c:v>
                </c:pt>
                <c:pt idx="890">
                  <c:v>56</c:v>
                </c:pt>
                <c:pt idx="891">
                  <c:v>56</c:v>
                </c:pt>
                <c:pt idx="892">
                  <c:v>56</c:v>
                </c:pt>
                <c:pt idx="893">
                  <c:v>56</c:v>
                </c:pt>
                <c:pt idx="894">
                  <c:v>56</c:v>
                </c:pt>
                <c:pt idx="895">
                  <c:v>55</c:v>
                </c:pt>
                <c:pt idx="896">
                  <c:v>55</c:v>
                </c:pt>
                <c:pt idx="897">
                  <c:v>55</c:v>
                </c:pt>
                <c:pt idx="898">
                  <c:v>55</c:v>
                </c:pt>
                <c:pt idx="899">
                  <c:v>55</c:v>
                </c:pt>
                <c:pt idx="900">
                  <c:v>54</c:v>
                </c:pt>
                <c:pt idx="901">
                  <c:v>54</c:v>
                </c:pt>
                <c:pt idx="902">
                  <c:v>54</c:v>
                </c:pt>
                <c:pt idx="903">
                  <c:v>54</c:v>
                </c:pt>
                <c:pt idx="904">
                  <c:v>53</c:v>
                </c:pt>
                <c:pt idx="905">
                  <c:v>53</c:v>
                </c:pt>
                <c:pt idx="906">
                  <c:v>53</c:v>
                </c:pt>
                <c:pt idx="907">
                  <c:v>53</c:v>
                </c:pt>
                <c:pt idx="908">
                  <c:v>53</c:v>
                </c:pt>
                <c:pt idx="909">
                  <c:v>52</c:v>
                </c:pt>
                <c:pt idx="910">
                  <c:v>52</c:v>
                </c:pt>
                <c:pt idx="911">
                  <c:v>52</c:v>
                </c:pt>
                <c:pt idx="912">
                  <c:v>52</c:v>
                </c:pt>
                <c:pt idx="913">
                  <c:v>51</c:v>
                </c:pt>
                <c:pt idx="914">
                  <c:v>51</c:v>
                </c:pt>
                <c:pt idx="915">
                  <c:v>50</c:v>
                </c:pt>
                <c:pt idx="916">
                  <c:v>50</c:v>
                </c:pt>
                <c:pt idx="917">
                  <c:v>50</c:v>
                </c:pt>
                <c:pt idx="918">
                  <c:v>48</c:v>
                </c:pt>
                <c:pt idx="919">
                  <c:v>48</c:v>
                </c:pt>
                <c:pt idx="920">
                  <c:v>47</c:v>
                </c:pt>
                <c:pt idx="921">
                  <c:v>47</c:v>
                </c:pt>
                <c:pt idx="922">
                  <c:v>47</c:v>
                </c:pt>
                <c:pt idx="923">
                  <c:v>47</c:v>
                </c:pt>
                <c:pt idx="924">
                  <c:v>47</c:v>
                </c:pt>
                <c:pt idx="925">
                  <c:v>47</c:v>
                </c:pt>
                <c:pt idx="926">
                  <c:v>47</c:v>
                </c:pt>
                <c:pt idx="927">
                  <c:v>46</c:v>
                </c:pt>
                <c:pt idx="928">
                  <c:v>46</c:v>
                </c:pt>
                <c:pt idx="929">
                  <c:v>46</c:v>
                </c:pt>
                <c:pt idx="930">
                  <c:v>45</c:v>
                </c:pt>
                <c:pt idx="931">
                  <c:v>45</c:v>
                </c:pt>
                <c:pt idx="932">
                  <c:v>45</c:v>
                </c:pt>
                <c:pt idx="933">
                  <c:v>44</c:v>
                </c:pt>
                <c:pt idx="934">
                  <c:v>44</c:v>
                </c:pt>
                <c:pt idx="935">
                  <c:v>44</c:v>
                </c:pt>
                <c:pt idx="936">
                  <c:v>44</c:v>
                </c:pt>
                <c:pt idx="937">
                  <c:v>44</c:v>
                </c:pt>
                <c:pt idx="938">
                  <c:v>43</c:v>
                </c:pt>
                <c:pt idx="939">
                  <c:v>43</c:v>
                </c:pt>
                <c:pt idx="940">
                  <c:v>43</c:v>
                </c:pt>
                <c:pt idx="941">
                  <c:v>43</c:v>
                </c:pt>
                <c:pt idx="942">
                  <c:v>43</c:v>
                </c:pt>
                <c:pt idx="943">
                  <c:v>43</c:v>
                </c:pt>
                <c:pt idx="944">
                  <c:v>42</c:v>
                </c:pt>
                <c:pt idx="945">
                  <c:v>42</c:v>
                </c:pt>
                <c:pt idx="946">
                  <c:v>42</c:v>
                </c:pt>
                <c:pt idx="947">
                  <c:v>42</c:v>
                </c:pt>
                <c:pt idx="948">
                  <c:v>42</c:v>
                </c:pt>
                <c:pt idx="949">
                  <c:v>42</c:v>
                </c:pt>
                <c:pt idx="950">
                  <c:v>42</c:v>
                </c:pt>
                <c:pt idx="951">
                  <c:v>41</c:v>
                </c:pt>
                <c:pt idx="952">
                  <c:v>40</c:v>
                </c:pt>
                <c:pt idx="953">
                  <c:v>40</c:v>
                </c:pt>
                <c:pt idx="954">
                  <c:v>40</c:v>
                </c:pt>
                <c:pt idx="955">
                  <c:v>40</c:v>
                </c:pt>
                <c:pt idx="956">
                  <c:v>40</c:v>
                </c:pt>
                <c:pt idx="957">
                  <c:v>40</c:v>
                </c:pt>
                <c:pt idx="958">
                  <c:v>39</c:v>
                </c:pt>
                <c:pt idx="959">
                  <c:v>39</c:v>
                </c:pt>
                <c:pt idx="960">
                  <c:v>39</c:v>
                </c:pt>
                <c:pt idx="961">
                  <c:v>39</c:v>
                </c:pt>
                <c:pt idx="962">
                  <c:v>38</c:v>
                </c:pt>
                <c:pt idx="963">
                  <c:v>38</c:v>
                </c:pt>
                <c:pt idx="964">
                  <c:v>38</c:v>
                </c:pt>
                <c:pt idx="965">
                  <c:v>37</c:v>
                </c:pt>
                <c:pt idx="966">
                  <c:v>37</c:v>
                </c:pt>
                <c:pt idx="967">
                  <c:v>36</c:v>
                </c:pt>
                <c:pt idx="968">
                  <c:v>36</c:v>
                </c:pt>
                <c:pt idx="969">
                  <c:v>36</c:v>
                </c:pt>
                <c:pt idx="970">
                  <c:v>36</c:v>
                </c:pt>
                <c:pt idx="971">
                  <c:v>36</c:v>
                </c:pt>
                <c:pt idx="972">
                  <c:v>36</c:v>
                </c:pt>
                <c:pt idx="973">
                  <c:v>36</c:v>
                </c:pt>
                <c:pt idx="974">
                  <c:v>36</c:v>
                </c:pt>
                <c:pt idx="975">
                  <c:v>36</c:v>
                </c:pt>
                <c:pt idx="976">
                  <c:v>36</c:v>
                </c:pt>
                <c:pt idx="977">
                  <c:v>35</c:v>
                </c:pt>
                <c:pt idx="978">
                  <c:v>35</c:v>
                </c:pt>
                <c:pt idx="979">
                  <c:v>35</c:v>
                </c:pt>
                <c:pt idx="980">
                  <c:v>35</c:v>
                </c:pt>
                <c:pt idx="981">
                  <c:v>35</c:v>
                </c:pt>
                <c:pt idx="982">
                  <c:v>35</c:v>
                </c:pt>
                <c:pt idx="983">
                  <c:v>35</c:v>
                </c:pt>
                <c:pt idx="984">
                  <c:v>34</c:v>
                </c:pt>
                <c:pt idx="985">
                  <c:v>34</c:v>
                </c:pt>
                <c:pt idx="986">
                  <c:v>34</c:v>
                </c:pt>
                <c:pt idx="987">
                  <c:v>34</c:v>
                </c:pt>
                <c:pt idx="988">
                  <c:v>33</c:v>
                </c:pt>
                <c:pt idx="989">
                  <c:v>33</c:v>
                </c:pt>
                <c:pt idx="990">
                  <c:v>33</c:v>
                </c:pt>
                <c:pt idx="991">
                  <c:v>33</c:v>
                </c:pt>
                <c:pt idx="992">
                  <c:v>33</c:v>
                </c:pt>
                <c:pt idx="993">
                  <c:v>33</c:v>
                </c:pt>
                <c:pt idx="994">
                  <c:v>33</c:v>
                </c:pt>
                <c:pt idx="995">
                  <c:v>33</c:v>
                </c:pt>
                <c:pt idx="996">
                  <c:v>33</c:v>
                </c:pt>
                <c:pt idx="997">
                  <c:v>33</c:v>
                </c:pt>
                <c:pt idx="998">
                  <c:v>33</c:v>
                </c:pt>
                <c:pt idx="999">
                  <c:v>32</c:v>
                </c:pt>
                <c:pt idx="1000">
                  <c:v>32</c:v>
                </c:pt>
                <c:pt idx="1001">
                  <c:v>32</c:v>
                </c:pt>
                <c:pt idx="1002">
                  <c:v>32</c:v>
                </c:pt>
                <c:pt idx="1003">
                  <c:v>32</c:v>
                </c:pt>
                <c:pt idx="1004">
                  <c:v>32</c:v>
                </c:pt>
                <c:pt idx="1005">
                  <c:v>32</c:v>
                </c:pt>
                <c:pt idx="1006">
                  <c:v>32</c:v>
                </c:pt>
                <c:pt idx="1007">
                  <c:v>32</c:v>
                </c:pt>
                <c:pt idx="1008">
                  <c:v>32</c:v>
                </c:pt>
                <c:pt idx="1009">
                  <c:v>32</c:v>
                </c:pt>
                <c:pt idx="1010">
                  <c:v>32</c:v>
                </c:pt>
                <c:pt idx="1011">
                  <c:v>32</c:v>
                </c:pt>
                <c:pt idx="1012">
                  <c:v>32</c:v>
                </c:pt>
                <c:pt idx="1013">
                  <c:v>31</c:v>
                </c:pt>
                <c:pt idx="1014">
                  <c:v>31</c:v>
                </c:pt>
                <c:pt idx="1015">
                  <c:v>31</c:v>
                </c:pt>
                <c:pt idx="1016">
                  <c:v>31</c:v>
                </c:pt>
                <c:pt idx="1017">
                  <c:v>29</c:v>
                </c:pt>
                <c:pt idx="1018">
                  <c:v>29</c:v>
                </c:pt>
                <c:pt idx="1019">
                  <c:v>29</c:v>
                </c:pt>
                <c:pt idx="1020">
                  <c:v>29</c:v>
                </c:pt>
                <c:pt idx="1021">
                  <c:v>29</c:v>
                </c:pt>
                <c:pt idx="1022">
                  <c:v>29</c:v>
                </c:pt>
                <c:pt idx="1023">
                  <c:v>29</c:v>
                </c:pt>
                <c:pt idx="1024">
                  <c:v>29</c:v>
                </c:pt>
                <c:pt idx="1025">
                  <c:v>29</c:v>
                </c:pt>
                <c:pt idx="1026">
                  <c:v>28</c:v>
                </c:pt>
                <c:pt idx="1027">
                  <c:v>28</c:v>
                </c:pt>
                <c:pt idx="1028">
                  <c:v>28</c:v>
                </c:pt>
                <c:pt idx="1029">
                  <c:v>28</c:v>
                </c:pt>
                <c:pt idx="1030">
                  <c:v>28</c:v>
                </c:pt>
                <c:pt idx="1031">
                  <c:v>28</c:v>
                </c:pt>
                <c:pt idx="1032">
                  <c:v>28</c:v>
                </c:pt>
                <c:pt idx="1033">
                  <c:v>28</c:v>
                </c:pt>
                <c:pt idx="1034">
                  <c:v>27</c:v>
                </c:pt>
                <c:pt idx="1035">
                  <c:v>27</c:v>
                </c:pt>
                <c:pt idx="1036">
                  <c:v>26</c:v>
                </c:pt>
                <c:pt idx="1037">
                  <c:v>26</c:v>
                </c:pt>
                <c:pt idx="1038">
                  <c:v>26</c:v>
                </c:pt>
                <c:pt idx="1039">
                  <c:v>26</c:v>
                </c:pt>
                <c:pt idx="1040">
                  <c:v>26</c:v>
                </c:pt>
                <c:pt idx="1041">
                  <c:v>25</c:v>
                </c:pt>
                <c:pt idx="1042">
                  <c:v>25</c:v>
                </c:pt>
                <c:pt idx="1043">
                  <c:v>25</c:v>
                </c:pt>
                <c:pt idx="1044">
                  <c:v>25</c:v>
                </c:pt>
                <c:pt idx="1045">
                  <c:v>25</c:v>
                </c:pt>
                <c:pt idx="1046">
                  <c:v>24</c:v>
                </c:pt>
                <c:pt idx="1047">
                  <c:v>24</c:v>
                </c:pt>
                <c:pt idx="1048">
                  <c:v>24</c:v>
                </c:pt>
                <c:pt idx="1049">
                  <c:v>23</c:v>
                </c:pt>
                <c:pt idx="1050">
                  <c:v>23</c:v>
                </c:pt>
                <c:pt idx="1051">
                  <c:v>23</c:v>
                </c:pt>
                <c:pt idx="1052">
                  <c:v>23</c:v>
                </c:pt>
                <c:pt idx="1053">
                  <c:v>23</c:v>
                </c:pt>
                <c:pt idx="1054">
                  <c:v>23</c:v>
                </c:pt>
                <c:pt idx="1055">
                  <c:v>23</c:v>
                </c:pt>
                <c:pt idx="1056">
                  <c:v>22</c:v>
                </c:pt>
                <c:pt idx="1057">
                  <c:v>22</c:v>
                </c:pt>
                <c:pt idx="1058">
                  <c:v>22</c:v>
                </c:pt>
                <c:pt idx="1059">
                  <c:v>22</c:v>
                </c:pt>
                <c:pt idx="1060">
                  <c:v>21</c:v>
                </c:pt>
                <c:pt idx="1061">
                  <c:v>21</c:v>
                </c:pt>
                <c:pt idx="1062">
                  <c:v>21</c:v>
                </c:pt>
                <c:pt idx="1063">
                  <c:v>21</c:v>
                </c:pt>
                <c:pt idx="1064">
                  <c:v>21</c:v>
                </c:pt>
                <c:pt idx="1065">
                  <c:v>21</c:v>
                </c:pt>
                <c:pt idx="1066">
                  <c:v>21</c:v>
                </c:pt>
                <c:pt idx="1067">
                  <c:v>21</c:v>
                </c:pt>
                <c:pt idx="1068">
                  <c:v>21</c:v>
                </c:pt>
                <c:pt idx="1069">
                  <c:v>21</c:v>
                </c:pt>
                <c:pt idx="1070">
                  <c:v>21</c:v>
                </c:pt>
                <c:pt idx="1071">
                  <c:v>20</c:v>
                </c:pt>
                <c:pt idx="1072">
                  <c:v>20</c:v>
                </c:pt>
                <c:pt idx="1073">
                  <c:v>20</c:v>
                </c:pt>
                <c:pt idx="1074">
                  <c:v>20</c:v>
                </c:pt>
                <c:pt idx="1075">
                  <c:v>20</c:v>
                </c:pt>
                <c:pt idx="1076">
                  <c:v>20</c:v>
                </c:pt>
                <c:pt idx="1077">
                  <c:v>20</c:v>
                </c:pt>
                <c:pt idx="1078">
                  <c:v>20</c:v>
                </c:pt>
                <c:pt idx="1079">
                  <c:v>20</c:v>
                </c:pt>
                <c:pt idx="1080">
                  <c:v>20</c:v>
                </c:pt>
                <c:pt idx="1081">
                  <c:v>20</c:v>
                </c:pt>
                <c:pt idx="1082">
                  <c:v>19</c:v>
                </c:pt>
                <c:pt idx="1083">
                  <c:v>19</c:v>
                </c:pt>
                <c:pt idx="1084">
                  <c:v>19</c:v>
                </c:pt>
                <c:pt idx="1085">
                  <c:v>19</c:v>
                </c:pt>
                <c:pt idx="1086">
                  <c:v>19</c:v>
                </c:pt>
                <c:pt idx="1087">
                  <c:v>19</c:v>
                </c:pt>
                <c:pt idx="1088">
                  <c:v>19</c:v>
                </c:pt>
                <c:pt idx="1089">
                  <c:v>18</c:v>
                </c:pt>
                <c:pt idx="1090">
                  <c:v>18</c:v>
                </c:pt>
                <c:pt idx="1091">
                  <c:v>18</c:v>
                </c:pt>
                <c:pt idx="1092">
                  <c:v>18</c:v>
                </c:pt>
                <c:pt idx="1093">
                  <c:v>18</c:v>
                </c:pt>
                <c:pt idx="1094">
                  <c:v>17</c:v>
                </c:pt>
                <c:pt idx="1095">
                  <c:v>17</c:v>
                </c:pt>
                <c:pt idx="1096">
                  <c:v>17</c:v>
                </c:pt>
                <c:pt idx="1097">
                  <c:v>17</c:v>
                </c:pt>
                <c:pt idx="1098">
                  <c:v>17</c:v>
                </c:pt>
                <c:pt idx="1099">
                  <c:v>17</c:v>
                </c:pt>
                <c:pt idx="1100">
                  <c:v>17</c:v>
                </c:pt>
                <c:pt idx="1101">
                  <c:v>16</c:v>
                </c:pt>
                <c:pt idx="1102">
                  <c:v>16</c:v>
                </c:pt>
                <c:pt idx="1103">
                  <c:v>16</c:v>
                </c:pt>
                <c:pt idx="1104">
                  <c:v>16</c:v>
                </c:pt>
                <c:pt idx="1105">
                  <c:v>16</c:v>
                </c:pt>
                <c:pt idx="1106">
                  <c:v>16</c:v>
                </c:pt>
                <c:pt idx="1107">
                  <c:v>16</c:v>
                </c:pt>
                <c:pt idx="1108">
                  <c:v>16</c:v>
                </c:pt>
                <c:pt idx="1109">
                  <c:v>16</c:v>
                </c:pt>
                <c:pt idx="1110">
                  <c:v>16</c:v>
                </c:pt>
                <c:pt idx="1111">
                  <c:v>15</c:v>
                </c:pt>
                <c:pt idx="1112">
                  <c:v>15</c:v>
                </c:pt>
                <c:pt idx="1113">
                  <c:v>15</c:v>
                </c:pt>
                <c:pt idx="1114">
                  <c:v>15</c:v>
                </c:pt>
                <c:pt idx="1115">
                  <c:v>15</c:v>
                </c:pt>
                <c:pt idx="1116">
                  <c:v>15</c:v>
                </c:pt>
                <c:pt idx="1117">
                  <c:v>15</c:v>
                </c:pt>
                <c:pt idx="1118">
                  <c:v>15</c:v>
                </c:pt>
                <c:pt idx="1119">
                  <c:v>15</c:v>
                </c:pt>
                <c:pt idx="1120">
                  <c:v>15</c:v>
                </c:pt>
                <c:pt idx="1121">
                  <c:v>15</c:v>
                </c:pt>
                <c:pt idx="1122">
                  <c:v>14</c:v>
                </c:pt>
                <c:pt idx="1123">
                  <c:v>14</c:v>
                </c:pt>
                <c:pt idx="1124">
                  <c:v>14</c:v>
                </c:pt>
                <c:pt idx="1125">
                  <c:v>14</c:v>
                </c:pt>
                <c:pt idx="1126">
                  <c:v>14</c:v>
                </c:pt>
                <c:pt idx="1127">
                  <c:v>14</c:v>
                </c:pt>
                <c:pt idx="1128">
                  <c:v>14</c:v>
                </c:pt>
                <c:pt idx="1129">
                  <c:v>13</c:v>
                </c:pt>
                <c:pt idx="1130">
                  <c:v>13</c:v>
                </c:pt>
                <c:pt idx="1131">
                  <c:v>13</c:v>
                </c:pt>
                <c:pt idx="1132">
                  <c:v>12</c:v>
                </c:pt>
                <c:pt idx="1133">
                  <c:v>12</c:v>
                </c:pt>
                <c:pt idx="1134">
                  <c:v>12</c:v>
                </c:pt>
                <c:pt idx="1135">
                  <c:v>12</c:v>
                </c:pt>
                <c:pt idx="1136">
                  <c:v>12</c:v>
                </c:pt>
                <c:pt idx="1137">
                  <c:v>12</c:v>
                </c:pt>
                <c:pt idx="1138">
                  <c:v>12</c:v>
                </c:pt>
                <c:pt idx="1139">
                  <c:v>12</c:v>
                </c:pt>
                <c:pt idx="1140">
                  <c:v>12</c:v>
                </c:pt>
                <c:pt idx="1141">
                  <c:v>11</c:v>
                </c:pt>
                <c:pt idx="1142">
                  <c:v>11</c:v>
                </c:pt>
                <c:pt idx="1143">
                  <c:v>11</c:v>
                </c:pt>
                <c:pt idx="1144">
                  <c:v>11</c:v>
                </c:pt>
                <c:pt idx="1145">
                  <c:v>11</c:v>
                </c:pt>
                <c:pt idx="1146">
                  <c:v>11</c:v>
                </c:pt>
                <c:pt idx="1147">
                  <c:v>11</c:v>
                </c:pt>
                <c:pt idx="1148">
                  <c:v>11</c:v>
                </c:pt>
                <c:pt idx="1149">
                  <c:v>11</c:v>
                </c:pt>
                <c:pt idx="1150">
                  <c:v>11</c:v>
                </c:pt>
                <c:pt idx="1151">
                  <c:v>11</c:v>
                </c:pt>
                <c:pt idx="1152">
                  <c:v>10</c:v>
                </c:pt>
                <c:pt idx="1153">
                  <c:v>10</c:v>
                </c:pt>
                <c:pt idx="1154">
                  <c:v>10</c:v>
                </c:pt>
                <c:pt idx="1155">
                  <c:v>10</c:v>
                </c:pt>
                <c:pt idx="1156">
                  <c:v>10</c:v>
                </c:pt>
                <c:pt idx="1157">
                  <c:v>10</c:v>
                </c:pt>
                <c:pt idx="1158">
                  <c:v>10</c:v>
                </c:pt>
                <c:pt idx="1159">
                  <c:v>9</c:v>
                </c:pt>
                <c:pt idx="1160">
                  <c:v>9</c:v>
                </c:pt>
                <c:pt idx="1161">
                  <c:v>9</c:v>
                </c:pt>
                <c:pt idx="1162">
                  <c:v>9</c:v>
                </c:pt>
                <c:pt idx="1163">
                  <c:v>9</c:v>
                </c:pt>
                <c:pt idx="1164">
                  <c:v>9</c:v>
                </c:pt>
                <c:pt idx="1165">
                  <c:v>9</c:v>
                </c:pt>
                <c:pt idx="1166">
                  <c:v>9</c:v>
                </c:pt>
                <c:pt idx="1167">
                  <c:v>9</c:v>
                </c:pt>
                <c:pt idx="1168">
                  <c:v>9</c:v>
                </c:pt>
                <c:pt idx="1169">
                  <c:v>9</c:v>
                </c:pt>
                <c:pt idx="1170">
                  <c:v>8</c:v>
                </c:pt>
                <c:pt idx="1171">
                  <c:v>8</c:v>
                </c:pt>
                <c:pt idx="1172">
                  <c:v>8</c:v>
                </c:pt>
                <c:pt idx="1173">
                  <c:v>8</c:v>
                </c:pt>
                <c:pt idx="1174">
                  <c:v>8</c:v>
                </c:pt>
                <c:pt idx="1175">
                  <c:v>8</c:v>
                </c:pt>
                <c:pt idx="1176">
                  <c:v>8</c:v>
                </c:pt>
                <c:pt idx="1177">
                  <c:v>8</c:v>
                </c:pt>
                <c:pt idx="1178">
                  <c:v>7</c:v>
                </c:pt>
                <c:pt idx="1179">
                  <c:v>7</c:v>
                </c:pt>
                <c:pt idx="1180">
                  <c:v>7</c:v>
                </c:pt>
                <c:pt idx="1181">
                  <c:v>7</c:v>
                </c:pt>
                <c:pt idx="1182">
                  <c:v>7</c:v>
                </c:pt>
                <c:pt idx="1183">
                  <c:v>7</c:v>
                </c:pt>
                <c:pt idx="1184">
                  <c:v>7</c:v>
                </c:pt>
                <c:pt idx="1185">
                  <c:v>7</c:v>
                </c:pt>
                <c:pt idx="1186">
                  <c:v>7</c:v>
                </c:pt>
                <c:pt idx="1187">
                  <c:v>7</c:v>
                </c:pt>
                <c:pt idx="1188">
                  <c:v>6</c:v>
                </c:pt>
                <c:pt idx="1189">
                  <c:v>6</c:v>
                </c:pt>
                <c:pt idx="1190">
                  <c:v>6</c:v>
                </c:pt>
                <c:pt idx="1191">
                  <c:v>6</c:v>
                </c:pt>
                <c:pt idx="1192">
                  <c:v>6</c:v>
                </c:pt>
                <c:pt idx="1193">
                  <c:v>6</c:v>
                </c:pt>
                <c:pt idx="1194">
                  <c:v>6</c:v>
                </c:pt>
                <c:pt idx="1195">
                  <c:v>6</c:v>
                </c:pt>
                <c:pt idx="1196">
                  <c:v>6</c:v>
                </c:pt>
                <c:pt idx="1197">
                  <c:v>6</c:v>
                </c:pt>
                <c:pt idx="1198">
                  <c:v>5</c:v>
                </c:pt>
                <c:pt idx="1199">
                  <c:v>5</c:v>
                </c:pt>
                <c:pt idx="1200">
                  <c:v>5</c:v>
                </c:pt>
                <c:pt idx="1201">
                  <c:v>5</c:v>
                </c:pt>
                <c:pt idx="1202">
                  <c:v>5</c:v>
                </c:pt>
                <c:pt idx="1203">
                  <c:v>5</c:v>
                </c:pt>
                <c:pt idx="1204">
                  <c:v>5</c:v>
                </c:pt>
                <c:pt idx="1205">
                  <c:v>5</c:v>
                </c:pt>
                <c:pt idx="1206">
                  <c:v>5</c:v>
                </c:pt>
                <c:pt idx="1207">
                  <c:v>5</c:v>
                </c:pt>
                <c:pt idx="1208">
                  <c:v>5</c:v>
                </c:pt>
                <c:pt idx="1209">
                  <c:v>5</c:v>
                </c:pt>
                <c:pt idx="1210">
                  <c:v>5</c:v>
                </c:pt>
                <c:pt idx="1211">
                  <c:v>4</c:v>
                </c:pt>
                <c:pt idx="1212">
                  <c:v>4</c:v>
                </c:pt>
                <c:pt idx="1213">
                  <c:v>4</c:v>
                </c:pt>
                <c:pt idx="1214">
                  <c:v>4</c:v>
                </c:pt>
                <c:pt idx="1215">
                  <c:v>4</c:v>
                </c:pt>
                <c:pt idx="1216">
                  <c:v>4</c:v>
                </c:pt>
                <c:pt idx="1217">
                  <c:v>4</c:v>
                </c:pt>
                <c:pt idx="1218">
                  <c:v>4</c:v>
                </c:pt>
                <c:pt idx="1219">
                  <c:v>4</c:v>
                </c:pt>
                <c:pt idx="1220">
                  <c:v>4</c:v>
                </c:pt>
                <c:pt idx="1221">
                  <c:v>4</c:v>
                </c:pt>
                <c:pt idx="1222">
                  <c:v>4</c:v>
                </c:pt>
                <c:pt idx="1223">
                  <c:v>4</c:v>
                </c:pt>
                <c:pt idx="1224">
                  <c:v>4</c:v>
                </c:pt>
                <c:pt idx="1225">
                  <c:v>3</c:v>
                </c:pt>
                <c:pt idx="1226">
                  <c:v>3</c:v>
                </c:pt>
                <c:pt idx="1227">
                  <c:v>3</c:v>
                </c:pt>
                <c:pt idx="1228">
                  <c:v>3</c:v>
                </c:pt>
                <c:pt idx="1229">
                  <c:v>3</c:v>
                </c:pt>
                <c:pt idx="1230">
                  <c:v>3</c:v>
                </c:pt>
                <c:pt idx="1231">
                  <c:v>3</c:v>
                </c:pt>
                <c:pt idx="1232">
                  <c:v>3</c:v>
                </c:pt>
                <c:pt idx="1233">
                  <c:v>3</c:v>
                </c:pt>
                <c:pt idx="1234">
                  <c:v>3</c:v>
                </c:pt>
                <c:pt idx="1235">
                  <c:v>3</c:v>
                </c:pt>
                <c:pt idx="1236">
                  <c:v>3</c:v>
                </c:pt>
                <c:pt idx="1237">
                  <c:v>3</c:v>
                </c:pt>
                <c:pt idx="1238">
                  <c:v>3</c:v>
                </c:pt>
                <c:pt idx="1239">
                  <c:v>3</c:v>
                </c:pt>
                <c:pt idx="1240">
                  <c:v>2</c:v>
                </c:pt>
                <c:pt idx="1241">
                  <c:v>2</c:v>
                </c:pt>
                <c:pt idx="1242">
                  <c:v>2</c:v>
                </c:pt>
                <c:pt idx="1243">
                  <c:v>2</c:v>
                </c:pt>
                <c:pt idx="1244">
                  <c:v>2</c:v>
                </c:pt>
                <c:pt idx="1245">
                  <c:v>2</c:v>
                </c:pt>
                <c:pt idx="1246">
                  <c:v>2</c:v>
                </c:pt>
                <c:pt idx="1247">
                  <c:v>2</c:v>
                </c:pt>
                <c:pt idx="1248">
                  <c:v>2</c:v>
                </c:pt>
                <c:pt idx="1249">
                  <c:v>2</c:v>
                </c:pt>
                <c:pt idx="1250">
                  <c:v>2</c:v>
                </c:pt>
                <c:pt idx="1251">
                  <c:v>2</c:v>
                </c:pt>
                <c:pt idx="1252">
                  <c:v>2</c:v>
                </c:pt>
                <c:pt idx="1253">
                  <c:v>2</c:v>
                </c:pt>
                <c:pt idx="1254">
                  <c:v>2</c:v>
                </c:pt>
                <c:pt idx="1255">
                  <c:v>2</c:v>
                </c:pt>
                <c:pt idx="1256">
                  <c:v>2</c:v>
                </c:pt>
                <c:pt idx="1257">
                  <c:v>2</c:v>
                </c:pt>
                <c:pt idx="1258">
                  <c:v>2</c:v>
                </c:pt>
                <c:pt idx="1259">
                  <c:v>2</c:v>
                </c:pt>
                <c:pt idx="1260">
                  <c:v>2</c:v>
                </c:pt>
                <c:pt idx="1261">
                  <c:v>1</c:v>
                </c:pt>
                <c:pt idx="1262">
                  <c:v>1</c:v>
                </c:pt>
                <c:pt idx="1263">
                  <c:v>1</c:v>
                </c:pt>
                <c:pt idx="1264">
                  <c:v>1</c:v>
                </c:pt>
                <c:pt idx="1265">
                  <c:v>1</c:v>
                </c:pt>
                <c:pt idx="1266">
                  <c:v>1</c:v>
                </c:pt>
                <c:pt idx="1267">
                  <c:v>1</c:v>
                </c:pt>
                <c:pt idx="1268">
                  <c:v>1</c:v>
                </c:pt>
                <c:pt idx="1269">
                  <c:v>1</c:v>
                </c:pt>
                <c:pt idx="1270">
                  <c:v>1</c:v>
                </c:pt>
                <c:pt idx="1271">
                  <c:v>1</c:v>
                </c:pt>
                <c:pt idx="1272">
                  <c:v>1</c:v>
                </c:pt>
                <c:pt idx="1273">
                  <c:v>1</c:v>
                </c:pt>
                <c:pt idx="1274">
                  <c:v>1</c:v>
                </c:pt>
                <c:pt idx="1275">
                  <c:v>1</c:v>
                </c:pt>
                <c:pt idx="1276">
                  <c:v>1</c:v>
                </c:pt>
                <c:pt idx="1277">
                  <c:v>1</c:v>
                </c:pt>
                <c:pt idx="1278">
                  <c:v>1</c:v>
                </c:pt>
                <c:pt idx="1279">
                  <c:v>1</c:v>
                </c:pt>
                <c:pt idx="1280">
                  <c:v>1</c:v>
                </c:pt>
                <c:pt idx="1281">
                  <c:v>1</c:v>
                </c:pt>
                <c:pt idx="1282">
                  <c:v>1</c:v>
                </c:pt>
                <c:pt idx="1283">
                  <c:v>1</c:v>
                </c:pt>
                <c:pt idx="1284">
                  <c:v>1</c:v>
                </c:pt>
                <c:pt idx="1285">
                  <c:v>1</c:v>
                </c:pt>
                <c:pt idx="1286">
                  <c:v>1</c:v>
                </c:pt>
                <c:pt idx="1287">
                  <c:v>1</c:v>
                </c:pt>
                <c:pt idx="1288">
                  <c:v>1</c:v>
                </c:pt>
                <c:pt idx="1289">
                  <c:v>1</c:v>
                </c:pt>
                <c:pt idx="1290">
                  <c:v>1</c:v>
                </c:pt>
                <c:pt idx="1291">
                  <c:v>1</c:v>
                </c:pt>
                <c:pt idx="1292">
                  <c:v>1</c:v>
                </c:pt>
                <c:pt idx="1293">
                  <c:v>1</c:v>
                </c:pt>
                <c:pt idx="1294">
                  <c:v>1</c:v>
                </c:pt>
                <c:pt idx="1295">
                  <c:v>1</c:v>
                </c:pt>
                <c:pt idx="1296">
                  <c:v>1</c:v>
                </c:pt>
                <c:pt idx="1297">
                  <c:v>1</c:v>
                </c:pt>
                <c:pt idx="1298">
                  <c:v>1</c:v>
                </c:pt>
                <c:pt idx="1299">
                  <c:v>1</c:v>
                </c:pt>
                <c:pt idx="1300">
                  <c:v>1</c:v>
                </c:pt>
                <c:pt idx="1301">
                  <c:v>1</c:v>
                </c:pt>
                <c:pt idx="1302">
                  <c:v>1</c:v>
                </c:pt>
                <c:pt idx="1303">
                  <c:v>1</c:v>
                </c:pt>
                <c:pt idx="1304">
                  <c:v>1</c:v>
                </c:pt>
                <c:pt idx="1305">
                  <c:v>1</c:v>
                </c:pt>
                <c:pt idx="1306">
                  <c:v>1</c:v>
                </c:pt>
                <c:pt idx="1307">
                  <c:v>1</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numCache>
            </c:numRef>
          </c:yVal>
          <c:smooth val="0"/>
        </c:ser>
        <c:dLbls>
          <c:showLegendKey val="0"/>
          <c:showVal val="0"/>
          <c:showCatName val="0"/>
          <c:showSerName val="0"/>
          <c:showPercent val="0"/>
          <c:showBubbleSize val="0"/>
        </c:dLbls>
        <c:axId val="88259200"/>
        <c:axId val="88487040"/>
      </c:scatterChart>
      <c:valAx>
        <c:axId val="88259200"/>
        <c:scaling>
          <c:orientation val="minMax"/>
          <c:max val="1700"/>
          <c:min val="0"/>
        </c:scaling>
        <c:delete val="0"/>
        <c:axPos val="b"/>
        <c:title>
          <c:tx>
            <c:rich>
              <a:bodyPr/>
              <a:lstStyle/>
              <a:p>
                <a:pPr>
                  <a:defRPr>
                    <a:latin typeface="Arial" panose="020B0604020202020204" pitchFamily="34" charset="0"/>
                    <a:cs typeface="Arial" panose="020B0604020202020204" pitchFamily="34" charset="0"/>
                  </a:defRPr>
                </a:pPr>
                <a:r>
                  <a:rPr lang="en-AU" sz="800">
                    <a:latin typeface="Arial" panose="020B0604020202020204" pitchFamily="34" charset="0"/>
                    <a:cs typeface="Arial" panose="020B0604020202020204" pitchFamily="34" charset="0"/>
                  </a:rPr>
                  <a:t>Qualifications (ordered by enrolments)</a:t>
                </a:r>
              </a:p>
            </c:rich>
          </c:tx>
          <c:layout/>
          <c:overlay val="0"/>
        </c:title>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88487040"/>
        <c:crosses val="autoZero"/>
        <c:crossBetween val="midCat"/>
      </c:valAx>
      <c:valAx>
        <c:axId val="88487040"/>
        <c:scaling>
          <c:orientation val="minMax"/>
        </c:scaling>
        <c:delete val="0"/>
        <c:axPos val="l"/>
        <c:title>
          <c:tx>
            <c:rich>
              <a:bodyPr rot="-5400000" vert="horz"/>
              <a:lstStyle/>
              <a:p>
                <a:pPr>
                  <a:defRPr sz="800">
                    <a:latin typeface="Arial" panose="020B0604020202020204" pitchFamily="34" charset="0"/>
                    <a:cs typeface="Arial" panose="020B0604020202020204" pitchFamily="34" charset="0"/>
                  </a:defRPr>
                </a:pPr>
                <a:r>
                  <a:rPr lang="en-AU" sz="800">
                    <a:latin typeface="Arial" panose="020B0604020202020204" pitchFamily="34" charset="0"/>
                    <a:cs typeface="Arial" panose="020B0604020202020204" pitchFamily="34" charset="0"/>
                  </a:rPr>
                  <a:t>Number of enrolments</a:t>
                </a:r>
              </a:p>
            </c:rich>
          </c:tx>
          <c:layout/>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88259200"/>
        <c:crosses val="autoZero"/>
        <c:crossBetween val="midCat"/>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861067009875284E-2"/>
          <c:y val="3.9487302354353722E-2"/>
          <c:w val="0.8806311617790461"/>
          <c:h val="0.81179789349436016"/>
        </c:manualLayout>
      </c:layout>
      <c:scatterChart>
        <c:scatterStyle val="lineMarker"/>
        <c:varyColors val="0"/>
        <c:ser>
          <c:idx val="0"/>
          <c:order val="0"/>
          <c:tx>
            <c:strRef>
              <c:f>'Figure 4+5'!$C$1</c:f>
              <c:strCache>
                <c:ptCount val="1"/>
                <c:pt idx="0">
                  <c:v>SumEnrol</c:v>
                </c:pt>
              </c:strCache>
            </c:strRef>
          </c:tx>
          <c:spPr>
            <a:ln w="28575">
              <a:noFill/>
            </a:ln>
          </c:spPr>
          <c:marker>
            <c:symbol val="plus"/>
            <c:size val="5"/>
            <c:spPr>
              <a:ln>
                <a:solidFill>
                  <a:srgbClr val="439539"/>
                </a:solidFill>
              </a:ln>
            </c:spPr>
          </c:marker>
          <c:xVal>
            <c:strRef>
              <c:f>'Figure 4+5'!$B$2:$B$201</c:f>
              <c:strCache>
                <c:ptCount val="2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strCache>
            </c:strRef>
          </c:xVal>
          <c:yVal>
            <c:numRef>
              <c:f>'Figure 4+5'!$C$2:$C$201</c:f>
              <c:numCache>
                <c:formatCode>General</c:formatCode>
                <c:ptCount val="200"/>
                <c:pt idx="0">
                  <c:v>77678</c:v>
                </c:pt>
                <c:pt idx="1">
                  <c:v>70170</c:v>
                </c:pt>
                <c:pt idx="2">
                  <c:v>69115</c:v>
                </c:pt>
                <c:pt idx="3">
                  <c:v>57220</c:v>
                </c:pt>
                <c:pt idx="4">
                  <c:v>56689</c:v>
                </c:pt>
                <c:pt idx="5">
                  <c:v>54271</c:v>
                </c:pt>
                <c:pt idx="6">
                  <c:v>47415</c:v>
                </c:pt>
                <c:pt idx="7">
                  <c:v>46804</c:v>
                </c:pt>
                <c:pt idx="8">
                  <c:v>44575</c:v>
                </c:pt>
                <c:pt idx="9">
                  <c:v>35883</c:v>
                </c:pt>
                <c:pt idx="10">
                  <c:v>33546</c:v>
                </c:pt>
                <c:pt idx="11">
                  <c:v>33241</c:v>
                </c:pt>
                <c:pt idx="12">
                  <c:v>32608</c:v>
                </c:pt>
                <c:pt idx="13">
                  <c:v>31166</c:v>
                </c:pt>
                <c:pt idx="14">
                  <c:v>29729</c:v>
                </c:pt>
                <c:pt idx="15">
                  <c:v>29664</c:v>
                </c:pt>
                <c:pt idx="16">
                  <c:v>28475</c:v>
                </c:pt>
                <c:pt idx="17">
                  <c:v>25878</c:v>
                </c:pt>
                <c:pt idx="18">
                  <c:v>25158</c:v>
                </c:pt>
                <c:pt idx="19">
                  <c:v>24466</c:v>
                </c:pt>
                <c:pt idx="20">
                  <c:v>23628</c:v>
                </c:pt>
                <c:pt idx="21">
                  <c:v>23297</c:v>
                </c:pt>
                <c:pt idx="22">
                  <c:v>22878</c:v>
                </c:pt>
                <c:pt idx="23">
                  <c:v>22087</c:v>
                </c:pt>
                <c:pt idx="24">
                  <c:v>21811</c:v>
                </c:pt>
                <c:pt idx="25">
                  <c:v>21554</c:v>
                </c:pt>
                <c:pt idx="26">
                  <c:v>21506</c:v>
                </c:pt>
                <c:pt idx="27">
                  <c:v>21485</c:v>
                </c:pt>
                <c:pt idx="28">
                  <c:v>20089</c:v>
                </c:pt>
                <c:pt idx="29">
                  <c:v>19947</c:v>
                </c:pt>
                <c:pt idx="30">
                  <c:v>19853</c:v>
                </c:pt>
                <c:pt idx="31">
                  <c:v>18944</c:v>
                </c:pt>
                <c:pt idx="32">
                  <c:v>18529</c:v>
                </c:pt>
                <c:pt idx="33">
                  <c:v>18282</c:v>
                </c:pt>
                <c:pt idx="34">
                  <c:v>18139</c:v>
                </c:pt>
                <c:pt idx="35">
                  <c:v>17543</c:v>
                </c:pt>
                <c:pt idx="36">
                  <c:v>17268</c:v>
                </c:pt>
                <c:pt idx="37">
                  <c:v>17243</c:v>
                </c:pt>
                <c:pt idx="38">
                  <c:v>16975</c:v>
                </c:pt>
                <c:pt idx="39">
                  <c:v>16789</c:v>
                </c:pt>
                <c:pt idx="40">
                  <c:v>16468</c:v>
                </c:pt>
                <c:pt idx="41">
                  <c:v>16311</c:v>
                </c:pt>
                <c:pt idx="42">
                  <c:v>15900</c:v>
                </c:pt>
                <c:pt idx="43">
                  <c:v>15467</c:v>
                </c:pt>
                <c:pt idx="44">
                  <c:v>15169</c:v>
                </c:pt>
                <c:pt idx="45">
                  <c:v>15045</c:v>
                </c:pt>
                <c:pt idx="46">
                  <c:v>15008</c:v>
                </c:pt>
                <c:pt idx="47">
                  <c:v>14974</c:v>
                </c:pt>
                <c:pt idx="48">
                  <c:v>14861</c:v>
                </c:pt>
                <c:pt idx="49">
                  <c:v>14828</c:v>
                </c:pt>
                <c:pt idx="50">
                  <c:v>14178</c:v>
                </c:pt>
                <c:pt idx="51">
                  <c:v>13802</c:v>
                </c:pt>
                <c:pt idx="52">
                  <c:v>13603</c:v>
                </c:pt>
                <c:pt idx="53">
                  <c:v>13568</c:v>
                </c:pt>
                <c:pt idx="54">
                  <c:v>13472</c:v>
                </c:pt>
                <c:pt idx="55">
                  <c:v>13240</c:v>
                </c:pt>
                <c:pt idx="56">
                  <c:v>12656</c:v>
                </c:pt>
                <c:pt idx="57">
                  <c:v>12655</c:v>
                </c:pt>
                <c:pt idx="58">
                  <c:v>12503</c:v>
                </c:pt>
                <c:pt idx="59">
                  <c:v>12469</c:v>
                </c:pt>
                <c:pt idx="60">
                  <c:v>12441</c:v>
                </c:pt>
                <c:pt idx="61">
                  <c:v>12403</c:v>
                </c:pt>
                <c:pt idx="62">
                  <c:v>12222</c:v>
                </c:pt>
                <c:pt idx="63">
                  <c:v>12209</c:v>
                </c:pt>
                <c:pt idx="64">
                  <c:v>11622</c:v>
                </c:pt>
                <c:pt idx="65">
                  <c:v>11452</c:v>
                </c:pt>
                <c:pt idx="66">
                  <c:v>10837</c:v>
                </c:pt>
                <c:pt idx="67">
                  <c:v>10680</c:v>
                </c:pt>
                <c:pt idx="68">
                  <c:v>10624</c:v>
                </c:pt>
                <c:pt idx="69">
                  <c:v>10604</c:v>
                </c:pt>
                <c:pt idx="70">
                  <c:v>10476</c:v>
                </c:pt>
                <c:pt idx="71">
                  <c:v>10118</c:v>
                </c:pt>
                <c:pt idx="72">
                  <c:v>9799</c:v>
                </c:pt>
                <c:pt idx="73">
                  <c:v>9638</c:v>
                </c:pt>
                <c:pt idx="74">
                  <c:v>9360</c:v>
                </c:pt>
                <c:pt idx="75">
                  <c:v>9187</c:v>
                </c:pt>
                <c:pt idx="76">
                  <c:v>9182</c:v>
                </c:pt>
                <c:pt idx="77">
                  <c:v>8696</c:v>
                </c:pt>
                <c:pt idx="78">
                  <c:v>8690</c:v>
                </c:pt>
                <c:pt idx="79">
                  <c:v>8355</c:v>
                </c:pt>
                <c:pt idx="80">
                  <c:v>7955</c:v>
                </c:pt>
                <c:pt idx="81">
                  <c:v>7939</c:v>
                </c:pt>
                <c:pt idx="82">
                  <c:v>7856</c:v>
                </c:pt>
                <c:pt idx="83">
                  <c:v>7801</c:v>
                </c:pt>
                <c:pt idx="84">
                  <c:v>7631</c:v>
                </c:pt>
                <c:pt idx="85">
                  <c:v>7622</c:v>
                </c:pt>
                <c:pt idx="86">
                  <c:v>7572</c:v>
                </c:pt>
                <c:pt idx="87">
                  <c:v>7542</c:v>
                </c:pt>
                <c:pt idx="88">
                  <c:v>7485</c:v>
                </c:pt>
                <c:pt idx="89">
                  <c:v>7390</c:v>
                </c:pt>
                <c:pt idx="90">
                  <c:v>7304</c:v>
                </c:pt>
                <c:pt idx="91">
                  <c:v>7219</c:v>
                </c:pt>
                <c:pt idx="92">
                  <c:v>7190</c:v>
                </c:pt>
                <c:pt idx="93">
                  <c:v>7184</c:v>
                </c:pt>
                <c:pt idx="94">
                  <c:v>7150</c:v>
                </c:pt>
                <c:pt idx="95">
                  <c:v>7073</c:v>
                </c:pt>
                <c:pt idx="96">
                  <c:v>7063</c:v>
                </c:pt>
                <c:pt idx="97">
                  <c:v>6949</c:v>
                </c:pt>
                <c:pt idx="98">
                  <c:v>6902</c:v>
                </c:pt>
                <c:pt idx="99">
                  <c:v>6830</c:v>
                </c:pt>
                <c:pt idx="100">
                  <c:v>6772</c:v>
                </c:pt>
                <c:pt idx="101">
                  <c:v>6718</c:v>
                </c:pt>
                <c:pt idx="102">
                  <c:v>6630</c:v>
                </c:pt>
                <c:pt idx="103">
                  <c:v>6592</c:v>
                </c:pt>
                <c:pt idx="104">
                  <c:v>6589</c:v>
                </c:pt>
                <c:pt idx="105">
                  <c:v>6579</c:v>
                </c:pt>
                <c:pt idx="106">
                  <c:v>6575</c:v>
                </c:pt>
                <c:pt idx="107">
                  <c:v>6436</c:v>
                </c:pt>
                <c:pt idx="108">
                  <c:v>6386</c:v>
                </c:pt>
                <c:pt idx="109">
                  <c:v>6314</c:v>
                </c:pt>
                <c:pt idx="110">
                  <c:v>6308</c:v>
                </c:pt>
                <c:pt idx="111">
                  <c:v>6068</c:v>
                </c:pt>
                <c:pt idx="112">
                  <c:v>6065</c:v>
                </c:pt>
                <c:pt idx="113">
                  <c:v>5978</c:v>
                </c:pt>
                <c:pt idx="114">
                  <c:v>5934</c:v>
                </c:pt>
                <c:pt idx="115">
                  <c:v>5894</c:v>
                </c:pt>
                <c:pt idx="116">
                  <c:v>5857</c:v>
                </c:pt>
                <c:pt idx="117">
                  <c:v>5776</c:v>
                </c:pt>
                <c:pt idx="118">
                  <c:v>5690</c:v>
                </c:pt>
                <c:pt idx="119">
                  <c:v>5537</c:v>
                </c:pt>
                <c:pt idx="120">
                  <c:v>5518</c:v>
                </c:pt>
                <c:pt idx="121">
                  <c:v>5478</c:v>
                </c:pt>
                <c:pt idx="122">
                  <c:v>5452</c:v>
                </c:pt>
                <c:pt idx="123">
                  <c:v>5297</c:v>
                </c:pt>
                <c:pt idx="124">
                  <c:v>5232</c:v>
                </c:pt>
                <c:pt idx="125">
                  <c:v>5166</c:v>
                </c:pt>
                <c:pt idx="126">
                  <c:v>5102</c:v>
                </c:pt>
                <c:pt idx="127">
                  <c:v>5099</c:v>
                </c:pt>
                <c:pt idx="128">
                  <c:v>5067</c:v>
                </c:pt>
                <c:pt idx="129">
                  <c:v>4967</c:v>
                </c:pt>
                <c:pt idx="130">
                  <c:v>4962</c:v>
                </c:pt>
                <c:pt idx="131">
                  <c:v>4953</c:v>
                </c:pt>
                <c:pt idx="132">
                  <c:v>4942</c:v>
                </c:pt>
                <c:pt idx="133">
                  <c:v>4847</c:v>
                </c:pt>
                <c:pt idx="134">
                  <c:v>4840</c:v>
                </c:pt>
                <c:pt idx="135">
                  <c:v>4731</c:v>
                </c:pt>
                <c:pt idx="136">
                  <c:v>4702</c:v>
                </c:pt>
                <c:pt idx="137">
                  <c:v>4661</c:v>
                </c:pt>
                <c:pt idx="138">
                  <c:v>4595</c:v>
                </c:pt>
                <c:pt idx="139">
                  <c:v>4591</c:v>
                </c:pt>
                <c:pt idx="140">
                  <c:v>4580</c:v>
                </c:pt>
                <c:pt idx="141">
                  <c:v>4540</c:v>
                </c:pt>
                <c:pt idx="142">
                  <c:v>4514</c:v>
                </c:pt>
                <c:pt idx="143">
                  <c:v>4462</c:v>
                </c:pt>
                <c:pt idx="144">
                  <c:v>4448</c:v>
                </c:pt>
                <c:pt idx="145">
                  <c:v>4437</c:v>
                </c:pt>
                <c:pt idx="146">
                  <c:v>4356</c:v>
                </c:pt>
                <c:pt idx="147">
                  <c:v>4346</c:v>
                </c:pt>
                <c:pt idx="148">
                  <c:v>4339</c:v>
                </c:pt>
                <c:pt idx="149">
                  <c:v>4298</c:v>
                </c:pt>
                <c:pt idx="150">
                  <c:v>4293</c:v>
                </c:pt>
                <c:pt idx="151">
                  <c:v>4270</c:v>
                </c:pt>
                <c:pt idx="152">
                  <c:v>4225</c:v>
                </c:pt>
                <c:pt idx="153">
                  <c:v>4200</c:v>
                </c:pt>
                <c:pt idx="154">
                  <c:v>4187</c:v>
                </c:pt>
                <c:pt idx="155">
                  <c:v>3992</c:v>
                </c:pt>
                <c:pt idx="156">
                  <c:v>3747</c:v>
                </c:pt>
                <c:pt idx="157">
                  <c:v>3733</c:v>
                </c:pt>
                <c:pt idx="158">
                  <c:v>3731</c:v>
                </c:pt>
                <c:pt idx="159">
                  <c:v>3704</c:v>
                </c:pt>
                <c:pt idx="160">
                  <c:v>3699</c:v>
                </c:pt>
                <c:pt idx="161">
                  <c:v>3697</c:v>
                </c:pt>
                <c:pt idx="162">
                  <c:v>3653</c:v>
                </c:pt>
                <c:pt idx="163">
                  <c:v>3574</c:v>
                </c:pt>
                <c:pt idx="164">
                  <c:v>3553</c:v>
                </c:pt>
                <c:pt idx="165">
                  <c:v>3551</c:v>
                </c:pt>
                <c:pt idx="166">
                  <c:v>3479</c:v>
                </c:pt>
                <c:pt idx="167">
                  <c:v>3442</c:v>
                </c:pt>
                <c:pt idx="168">
                  <c:v>3398</c:v>
                </c:pt>
                <c:pt idx="169">
                  <c:v>3361</c:v>
                </c:pt>
                <c:pt idx="170">
                  <c:v>3338</c:v>
                </c:pt>
                <c:pt idx="171">
                  <c:v>3336</c:v>
                </c:pt>
                <c:pt idx="172">
                  <c:v>3314</c:v>
                </c:pt>
                <c:pt idx="173">
                  <c:v>3302</c:v>
                </c:pt>
                <c:pt idx="174">
                  <c:v>3295</c:v>
                </c:pt>
                <c:pt idx="175">
                  <c:v>3264</c:v>
                </c:pt>
                <c:pt idx="176">
                  <c:v>3234</c:v>
                </c:pt>
                <c:pt idx="177">
                  <c:v>3205</c:v>
                </c:pt>
                <c:pt idx="178">
                  <c:v>3197</c:v>
                </c:pt>
                <c:pt idx="179">
                  <c:v>3190</c:v>
                </c:pt>
                <c:pt idx="180">
                  <c:v>3168</c:v>
                </c:pt>
                <c:pt idx="181">
                  <c:v>3168</c:v>
                </c:pt>
                <c:pt idx="182">
                  <c:v>3143</c:v>
                </c:pt>
                <c:pt idx="183">
                  <c:v>3092</c:v>
                </c:pt>
                <c:pt idx="184">
                  <c:v>3077</c:v>
                </c:pt>
                <c:pt idx="185">
                  <c:v>3045</c:v>
                </c:pt>
                <c:pt idx="186">
                  <c:v>3029</c:v>
                </c:pt>
                <c:pt idx="187">
                  <c:v>3019</c:v>
                </c:pt>
                <c:pt idx="188">
                  <c:v>3000</c:v>
                </c:pt>
                <c:pt idx="189">
                  <c:v>2919</c:v>
                </c:pt>
                <c:pt idx="190">
                  <c:v>2891</c:v>
                </c:pt>
                <c:pt idx="191">
                  <c:v>2885</c:v>
                </c:pt>
                <c:pt idx="192">
                  <c:v>2822</c:v>
                </c:pt>
                <c:pt idx="193">
                  <c:v>2775</c:v>
                </c:pt>
                <c:pt idx="194">
                  <c:v>2773</c:v>
                </c:pt>
                <c:pt idx="195">
                  <c:v>2715</c:v>
                </c:pt>
                <c:pt idx="196">
                  <c:v>2693</c:v>
                </c:pt>
                <c:pt idx="197">
                  <c:v>2663</c:v>
                </c:pt>
                <c:pt idx="198">
                  <c:v>2564</c:v>
                </c:pt>
                <c:pt idx="199">
                  <c:v>2553</c:v>
                </c:pt>
              </c:numCache>
            </c:numRef>
          </c:yVal>
          <c:smooth val="0"/>
        </c:ser>
        <c:dLbls>
          <c:showLegendKey val="0"/>
          <c:showVal val="0"/>
          <c:showCatName val="0"/>
          <c:showSerName val="0"/>
          <c:showPercent val="0"/>
          <c:showBubbleSize val="0"/>
        </c:dLbls>
        <c:axId val="88513920"/>
        <c:axId val="88527616"/>
      </c:scatterChart>
      <c:valAx>
        <c:axId val="88513920"/>
        <c:scaling>
          <c:orientation val="minMax"/>
          <c:max val="200"/>
          <c:min val="0"/>
        </c:scaling>
        <c:delete val="0"/>
        <c:axPos val="b"/>
        <c:title>
          <c:tx>
            <c:rich>
              <a:bodyPr/>
              <a:lstStyle/>
              <a:p>
                <a:pPr>
                  <a:defRPr/>
                </a:pPr>
                <a:r>
                  <a:rPr lang="en-AU"/>
                  <a:t>Qualifications (ordered by enrolments)</a:t>
                </a:r>
              </a:p>
            </c:rich>
          </c:tx>
          <c:layout>
            <c:manualLayout>
              <c:xMode val="edge"/>
              <c:yMode val="edge"/>
              <c:x val="0.33720693959114806"/>
              <c:y val="0.93146262854327333"/>
            </c:manualLayout>
          </c:layout>
          <c:overlay val="0"/>
        </c:title>
        <c:majorTickMark val="out"/>
        <c:minorTickMark val="none"/>
        <c:tickLblPos val="nextTo"/>
        <c:txPr>
          <a:bodyPr rot="-5400000" vert="horz"/>
          <a:lstStyle/>
          <a:p>
            <a:pPr>
              <a:defRPr/>
            </a:pPr>
            <a:endParaRPr lang="en-US"/>
          </a:p>
        </c:txPr>
        <c:crossAx val="88527616"/>
        <c:crosses val="autoZero"/>
        <c:crossBetween val="midCat"/>
        <c:majorUnit val="5"/>
      </c:valAx>
      <c:valAx>
        <c:axId val="88527616"/>
        <c:scaling>
          <c:orientation val="minMax"/>
        </c:scaling>
        <c:delete val="0"/>
        <c:axPos val="l"/>
        <c:title>
          <c:tx>
            <c:rich>
              <a:bodyPr rot="-5400000" vert="horz"/>
              <a:lstStyle/>
              <a:p>
                <a:pPr>
                  <a:defRPr sz="750"/>
                </a:pPr>
                <a:r>
                  <a:rPr lang="en-AU" sz="750"/>
                  <a:t>Number of enrolments</a:t>
                </a:r>
              </a:p>
            </c:rich>
          </c:tx>
          <c:layout>
            <c:manualLayout>
              <c:xMode val="edge"/>
              <c:yMode val="edge"/>
              <c:x val="0"/>
              <c:y val="0.32315608818308378"/>
            </c:manualLayout>
          </c:layout>
          <c:overlay val="0"/>
        </c:title>
        <c:numFmt formatCode="General" sourceLinked="1"/>
        <c:majorTickMark val="out"/>
        <c:minorTickMark val="none"/>
        <c:tickLblPos val="nextTo"/>
        <c:txPr>
          <a:bodyPr/>
          <a:lstStyle/>
          <a:p>
            <a:pPr>
              <a:defRPr sz="750"/>
            </a:pPr>
            <a:endParaRPr lang="en-US"/>
          </a:p>
        </c:txPr>
        <c:crossAx val="88513920"/>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29801310243755E-2"/>
          <c:y val="2.5821596244131457E-2"/>
          <c:w val="0.88448871792892314"/>
          <c:h val="0.84819003093363332"/>
        </c:manualLayout>
      </c:layout>
      <c:scatterChart>
        <c:scatterStyle val="lineMarker"/>
        <c:varyColors val="0"/>
        <c:ser>
          <c:idx val="0"/>
          <c:order val="0"/>
          <c:tx>
            <c:strRef>
              <c:f>'Figure 6'!$C$1</c:f>
              <c:strCache>
                <c:ptCount val="1"/>
                <c:pt idx="0">
                  <c:v>SumEnrol</c:v>
                </c:pt>
              </c:strCache>
            </c:strRef>
          </c:tx>
          <c:spPr>
            <a:ln w="28575">
              <a:noFill/>
            </a:ln>
          </c:spPr>
          <c:marker>
            <c:symbol val="plus"/>
            <c:size val="5"/>
            <c:spPr>
              <a:ln>
                <a:solidFill>
                  <a:srgbClr val="78278B"/>
                </a:solidFill>
              </a:ln>
            </c:spPr>
          </c:marker>
          <c:xVal>
            <c:strRef>
              <c:f>'Figure 6'!$B$2:$B$1048521</c:f>
              <c:strCache>
                <c:ptCount val="16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strCache>
            </c:strRef>
          </c:xVal>
          <c:yVal>
            <c:numRef>
              <c:f>'Figure 6'!$C$2:$C$1048521</c:f>
              <c:numCache>
                <c:formatCode>General</c:formatCode>
                <c:ptCount val="1048520"/>
                <c:pt idx="200">
                  <c:v>2546</c:v>
                </c:pt>
                <c:pt idx="201">
                  <c:v>2507</c:v>
                </c:pt>
                <c:pt idx="202">
                  <c:v>2489</c:v>
                </c:pt>
                <c:pt idx="203">
                  <c:v>2458</c:v>
                </c:pt>
                <c:pt idx="204">
                  <c:v>2455</c:v>
                </c:pt>
                <c:pt idx="205">
                  <c:v>2422</c:v>
                </c:pt>
                <c:pt idx="206">
                  <c:v>2412</c:v>
                </c:pt>
                <c:pt idx="207">
                  <c:v>2404</c:v>
                </c:pt>
                <c:pt idx="208">
                  <c:v>2401</c:v>
                </c:pt>
                <c:pt idx="209">
                  <c:v>2393</c:v>
                </c:pt>
                <c:pt idx="210">
                  <c:v>2373</c:v>
                </c:pt>
                <c:pt idx="211">
                  <c:v>2363</c:v>
                </c:pt>
                <c:pt idx="212">
                  <c:v>2344</c:v>
                </c:pt>
                <c:pt idx="213">
                  <c:v>2332</c:v>
                </c:pt>
                <c:pt idx="214">
                  <c:v>2284</c:v>
                </c:pt>
                <c:pt idx="215">
                  <c:v>2280</c:v>
                </c:pt>
                <c:pt idx="216">
                  <c:v>2241</c:v>
                </c:pt>
                <c:pt idx="217">
                  <c:v>2225</c:v>
                </c:pt>
                <c:pt idx="218">
                  <c:v>2200</c:v>
                </c:pt>
                <c:pt idx="219">
                  <c:v>2169</c:v>
                </c:pt>
                <c:pt idx="220">
                  <c:v>2168</c:v>
                </c:pt>
                <c:pt idx="221">
                  <c:v>2165</c:v>
                </c:pt>
                <c:pt idx="222">
                  <c:v>2149</c:v>
                </c:pt>
                <c:pt idx="223">
                  <c:v>2142</c:v>
                </c:pt>
                <c:pt idx="224">
                  <c:v>2138</c:v>
                </c:pt>
                <c:pt idx="225">
                  <c:v>2119</c:v>
                </c:pt>
                <c:pt idx="226">
                  <c:v>2101</c:v>
                </c:pt>
                <c:pt idx="227">
                  <c:v>2079</c:v>
                </c:pt>
                <c:pt idx="228">
                  <c:v>2072</c:v>
                </c:pt>
                <c:pt idx="229">
                  <c:v>2059</c:v>
                </c:pt>
                <c:pt idx="230">
                  <c:v>2043</c:v>
                </c:pt>
                <c:pt idx="231">
                  <c:v>2023</c:v>
                </c:pt>
                <c:pt idx="232">
                  <c:v>2000</c:v>
                </c:pt>
                <c:pt idx="233">
                  <c:v>2000</c:v>
                </c:pt>
                <c:pt idx="234">
                  <c:v>1993</c:v>
                </c:pt>
                <c:pt idx="235">
                  <c:v>1985</c:v>
                </c:pt>
                <c:pt idx="236">
                  <c:v>1972</c:v>
                </c:pt>
                <c:pt idx="237">
                  <c:v>1949</c:v>
                </c:pt>
                <c:pt idx="238">
                  <c:v>1945</c:v>
                </c:pt>
                <c:pt idx="239">
                  <c:v>1932</c:v>
                </c:pt>
                <c:pt idx="240">
                  <c:v>1926</c:v>
                </c:pt>
                <c:pt idx="241">
                  <c:v>1920</c:v>
                </c:pt>
                <c:pt idx="242">
                  <c:v>1883</c:v>
                </c:pt>
                <c:pt idx="243">
                  <c:v>1850</c:v>
                </c:pt>
                <c:pt idx="244">
                  <c:v>1826</c:v>
                </c:pt>
                <c:pt idx="245">
                  <c:v>1817</c:v>
                </c:pt>
                <c:pt idx="246">
                  <c:v>1807</c:v>
                </c:pt>
                <c:pt idx="247">
                  <c:v>1807</c:v>
                </c:pt>
                <c:pt idx="248">
                  <c:v>1770</c:v>
                </c:pt>
                <c:pt idx="249">
                  <c:v>1762</c:v>
                </c:pt>
                <c:pt idx="250">
                  <c:v>1755</c:v>
                </c:pt>
                <c:pt idx="251">
                  <c:v>1752</c:v>
                </c:pt>
                <c:pt idx="252">
                  <c:v>1723</c:v>
                </c:pt>
                <c:pt idx="253">
                  <c:v>1715</c:v>
                </c:pt>
                <c:pt idx="254">
                  <c:v>1674</c:v>
                </c:pt>
                <c:pt idx="255">
                  <c:v>1655</c:v>
                </c:pt>
                <c:pt idx="256">
                  <c:v>1654</c:v>
                </c:pt>
                <c:pt idx="257">
                  <c:v>1652</c:v>
                </c:pt>
                <c:pt idx="258">
                  <c:v>1644</c:v>
                </c:pt>
                <c:pt idx="259">
                  <c:v>1631</c:v>
                </c:pt>
                <c:pt idx="260">
                  <c:v>1623</c:v>
                </c:pt>
                <c:pt idx="261">
                  <c:v>1619</c:v>
                </c:pt>
                <c:pt idx="262">
                  <c:v>1615</c:v>
                </c:pt>
                <c:pt idx="263">
                  <c:v>1598</c:v>
                </c:pt>
                <c:pt idx="264">
                  <c:v>1585</c:v>
                </c:pt>
                <c:pt idx="265">
                  <c:v>1583</c:v>
                </c:pt>
                <c:pt idx="266">
                  <c:v>1579</c:v>
                </c:pt>
                <c:pt idx="267">
                  <c:v>1578</c:v>
                </c:pt>
                <c:pt idx="268">
                  <c:v>1544</c:v>
                </c:pt>
                <c:pt idx="269">
                  <c:v>1537</c:v>
                </c:pt>
                <c:pt idx="270">
                  <c:v>1524</c:v>
                </c:pt>
                <c:pt idx="271">
                  <c:v>1500</c:v>
                </c:pt>
                <c:pt idx="272">
                  <c:v>1483</c:v>
                </c:pt>
                <c:pt idx="273">
                  <c:v>1483</c:v>
                </c:pt>
                <c:pt idx="274">
                  <c:v>1481</c:v>
                </c:pt>
                <c:pt idx="275">
                  <c:v>1478</c:v>
                </c:pt>
                <c:pt idx="276">
                  <c:v>1465</c:v>
                </c:pt>
                <c:pt idx="277">
                  <c:v>1447</c:v>
                </c:pt>
                <c:pt idx="278">
                  <c:v>1438</c:v>
                </c:pt>
                <c:pt idx="279">
                  <c:v>1427</c:v>
                </c:pt>
                <c:pt idx="280">
                  <c:v>1425</c:v>
                </c:pt>
                <c:pt idx="281">
                  <c:v>1424</c:v>
                </c:pt>
                <c:pt idx="282">
                  <c:v>1418</c:v>
                </c:pt>
                <c:pt idx="283">
                  <c:v>1407</c:v>
                </c:pt>
                <c:pt idx="284">
                  <c:v>1398</c:v>
                </c:pt>
                <c:pt idx="285">
                  <c:v>1364</c:v>
                </c:pt>
                <c:pt idx="286">
                  <c:v>1362</c:v>
                </c:pt>
                <c:pt idx="287">
                  <c:v>1339</c:v>
                </c:pt>
                <c:pt idx="288">
                  <c:v>1338</c:v>
                </c:pt>
                <c:pt idx="289">
                  <c:v>1338</c:v>
                </c:pt>
                <c:pt idx="290">
                  <c:v>1320</c:v>
                </c:pt>
                <c:pt idx="291">
                  <c:v>1295</c:v>
                </c:pt>
                <c:pt idx="292">
                  <c:v>1287</c:v>
                </c:pt>
                <c:pt idx="293">
                  <c:v>1285</c:v>
                </c:pt>
                <c:pt idx="294">
                  <c:v>1284</c:v>
                </c:pt>
                <c:pt idx="295">
                  <c:v>1279</c:v>
                </c:pt>
                <c:pt idx="296">
                  <c:v>1265</c:v>
                </c:pt>
                <c:pt idx="297">
                  <c:v>1263</c:v>
                </c:pt>
                <c:pt idx="298">
                  <c:v>1258</c:v>
                </c:pt>
                <c:pt idx="299">
                  <c:v>1255</c:v>
                </c:pt>
                <c:pt idx="300">
                  <c:v>1242</c:v>
                </c:pt>
                <c:pt idx="301">
                  <c:v>1238</c:v>
                </c:pt>
                <c:pt idx="302">
                  <c:v>1230</c:v>
                </c:pt>
                <c:pt idx="303">
                  <c:v>1182</c:v>
                </c:pt>
                <c:pt idx="304">
                  <c:v>1165</c:v>
                </c:pt>
                <c:pt idx="305">
                  <c:v>1161</c:v>
                </c:pt>
                <c:pt idx="306">
                  <c:v>1142</c:v>
                </c:pt>
                <c:pt idx="307">
                  <c:v>1109</c:v>
                </c:pt>
                <c:pt idx="308">
                  <c:v>1103</c:v>
                </c:pt>
                <c:pt idx="309">
                  <c:v>1093</c:v>
                </c:pt>
                <c:pt idx="310">
                  <c:v>1085</c:v>
                </c:pt>
                <c:pt idx="311">
                  <c:v>1064</c:v>
                </c:pt>
                <c:pt idx="312">
                  <c:v>1062</c:v>
                </c:pt>
                <c:pt idx="313">
                  <c:v>1055</c:v>
                </c:pt>
                <c:pt idx="314">
                  <c:v>1053</c:v>
                </c:pt>
                <c:pt idx="315">
                  <c:v>1047</c:v>
                </c:pt>
                <c:pt idx="316">
                  <c:v>1032</c:v>
                </c:pt>
                <c:pt idx="317">
                  <c:v>1029</c:v>
                </c:pt>
                <c:pt idx="318">
                  <c:v>1011</c:v>
                </c:pt>
                <c:pt idx="319">
                  <c:v>1010</c:v>
                </c:pt>
                <c:pt idx="320">
                  <c:v>1007</c:v>
                </c:pt>
                <c:pt idx="321">
                  <c:v>1004</c:v>
                </c:pt>
                <c:pt idx="322">
                  <c:v>997</c:v>
                </c:pt>
                <c:pt idx="323">
                  <c:v>995</c:v>
                </c:pt>
                <c:pt idx="324">
                  <c:v>992</c:v>
                </c:pt>
                <c:pt idx="325">
                  <c:v>981</c:v>
                </c:pt>
                <c:pt idx="326">
                  <c:v>975</c:v>
                </c:pt>
                <c:pt idx="327">
                  <c:v>964</c:v>
                </c:pt>
                <c:pt idx="328">
                  <c:v>964</c:v>
                </c:pt>
                <c:pt idx="329">
                  <c:v>961</c:v>
                </c:pt>
                <c:pt idx="330">
                  <c:v>959</c:v>
                </c:pt>
                <c:pt idx="331">
                  <c:v>957</c:v>
                </c:pt>
                <c:pt idx="332">
                  <c:v>935</c:v>
                </c:pt>
                <c:pt idx="333">
                  <c:v>932</c:v>
                </c:pt>
                <c:pt idx="334">
                  <c:v>930</c:v>
                </c:pt>
                <c:pt idx="335">
                  <c:v>929</c:v>
                </c:pt>
                <c:pt idx="336">
                  <c:v>920</c:v>
                </c:pt>
                <c:pt idx="337">
                  <c:v>916</c:v>
                </c:pt>
                <c:pt idx="338">
                  <c:v>903</c:v>
                </c:pt>
                <c:pt idx="339">
                  <c:v>901</c:v>
                </c:pt>
                <c:pt idx="340">
                  <c:v>898</c:v>
                </c:pt>
                <c:pt idx="341">
                  <c:v>892</c:v>
                </c:pt>
                <c:pt idx="342">
                  <c:v>887</c:v>
                </c:pt>
                <c:pt idx="343">
                  <c:v>886</c:v>
                </c:pt>
                <c:pt idx="344">
                  <c:v>883</c:v>
                </c:pt>
                <c:pt idx="345">
                  <c:v>881</c:v>
                </c:pt>
                <c:pt idx="346">
                  <c:v>874</c:v>
                </c:pt>
                <c:pt idx="347">
                  <c:v>869</c:v>
                </c:pt>
                <c:pt idx="348">
                  <c:v>867</c:v>
                </c:pt>
                <c:pt idx="349">
                  <c:v>860</c:v>
                </c:pt>
                <c:pt idx="350">
                  <c:v>847</c:v>
                </c:pt>
                <c:pt idx="351">
                  <c:v>846</c:v>
                </c:pt>
                <c:pt idx="352">
                  <c:v>841</c:v>
                </c:pt>
                <c:pt idx="353">
                  <c:v>841</c:v>
                </c:pt>
                <c:pt idx="354">
                  <c:v>839</c:v>
                </c:pt>
                <c:pt idx="355">
                  <c:v>837</c:v>
                </c:pt>
                <c:pt idx="356">
                  <c:v>836</c:v>
                </c:pt>
                <c:pt idx="357">
                  <c:v>835</c:v>
                </c:pt>
                <c:pt idx="358">
                  <c:v>826</c:v>
                </c:pt>
                <c:pt idx="359">
                  <c:v>819</c:v>
                </c:pt>
                <c:pt idx="360">
                  <c:v>815</c:v>
                </c:pt>
                <c:pt idx="361">
                  <c:v>813</c:v>
                </c:pt>
                <c:pt idx="362">
                  <c:v>812</c:v>
                </c:pt>
                <c:pt idx="363">
                  <c:v>810</c:v>
                </c:pt>
                <c:pt idx="364">
                  <c:v>808</c:v>
                </c:pt>
                <c:pt idx="365">
                  <c:v>798</c:v>
                </c:pt>
                <c:pt idx="366">
                  <c:v>793</c:v>
                </c:pt>
                <c:pt idx="367">
                  <c:v>785</c:v>
                </c:pt>
                <c:pt idx="368">
                  <c:v>776</c:v>
                </c:pt>
                <c:pt idx="369">
                  <c:v>776</c:v>
                </c:pt>
                <c:pt idx="370">
                  <c:v>771</c:v>
                </c:pt>
                <c:pt idx="371">
                  <c:v>758</c:v>
                </c:pt>
                <c:pt idx="372">
                  <c:v>758</c:v>
                </c:pt>
                <c:pt idx="373">
                  <c:v>757</c:v>
                </c:pt>
                <c:pt idx="374">
                  <c:v>749</c:v>
                </c:pt>
                <c:pt idx="375">
                  <c:v>747</c:v>
                </c:pt>
                <c:pt idx="376">
                  <c:v>740</c:v>
                </c:pt>
                <c:pt idx="377">
                  <c:v>739</c:v>
                </c:pt>
                <c:pt idx="378">
                  <c:v>738</c:v>
                </c:pt>
                <c:pt idx="379">
                  <c:v>732</c:v>
                </c:pt>
                <c:pt idx="380">
                  <c:v>729</c:v>
                </c:pt>
                <c:pt idx="381">
                  <c:v>728</c:v>
                </c:pt>
                <c:pt idx="382">
                  <c:v>723</c:v>
                </c:pt>
                <c:pt idx="383">
                  <c:v>719</c:v>
                </c:pt>
                <c:pt idx="384">
                  <c:v>716</c:v>
                </c:pt>
                <c:pt idx="385">
                  <c:v>716</c:v>
                </c:pt>
                <c:pt idx="386">
                  <c:v>715</c:v>
                </c:pt>
                <c:pt idx="387">
                  <c:v>713</c:v>
                </c:pt>
                <c:pt idx="388">
                  <c:v>710</c:v>
                </c:pt>
                <c:pt idx="389">
                  <c:v>710</c:v>
                </c:pt>
                <c:pt idx="390">
                  <c:v>706</c:v>
                </c:pt>
                <c:pt idx="391">
                  <c:v>703</c:v>
                </c:pt>
                <c:pt idx="392">
                  <c:v>702</c:v>
                </c:pt>
                <c:pt idx="393">
                  <c:v>698</c:v>
                </c:pt>
                <c:pt idx="394">
                  <c:v>686</c:v>
                </c:pt>
                <c:pt idx="395">
                  <c:v>685</c:v>
                </c:pt>
                <c:pt idx="396">
                  <c:v>682</c:v>
                </c:pt>
                <c:pt idx="397">
                  <c:v>680</c:v>
                </c:pt>
                <c:pt idx="398">
                  <c:v>680</c:v>
                </c:pt>
                <c:pt idx="399">
                  <c:v>671</c:v>
                </c:pt>
                <c:pt idx="400">
                  <c:v>670</c:v>
                </c:pt>
                <c:pt idx="401">
                  <c:v>666</c:v>
                </c:pt>
                <c:pt idx="402">
                  <c:v>653</c:v>
                </c:pt>
                <c:pt idx="403">
                  <c:v>652</c:v>
                </c:pt>
                <c:pt idx="404">
                  <c:v>645</c:v>
                </c:pt>
                <c:pt idx="405">
                  <c:v>644</c:v>
                </c:pt>
                <c:pt idx="406">
                  <c:v>638</c:v>
                </c:pt>
                <c:pt idx="407">
                  <c:v>634</c:v>
                </c:pt>
                <c:pt idx="408">
                  <c:v>632</c:v>
                </c:pt>
                <c:pt idx="409">
                  <c:v>629</c:v>
                </c:pt>
                <c:pt idx="410">
                  <c:v>628</c:v>
                </c:pt>
                <c:pt idx="411">
                  <c:v>625</c:v>
                </c:pt>
                <c:pt idx="412">
                  <c:v>623</c:v>
                </c:pt>
                <c:pt idx="413">
                  <c:v>620</c:v>
                </c:pt>
                <c:pt idx="414">
                  <c:v>619</c:v>
                </c:pt>
                <c:pt idx="415">
                  <c:v>619</c:v>
                </c:pt>
                <c:pt idx="416">
                  <c:v>616</c:v>
                </c:pt>
                <c:pt idx="417">
                  <c:v>616</c:v>
                </c:pt>
                <c:pt idx="418">
                  <c:v>613</c:v>
                </c:pt>
                <c:pt idx="419">
                  <c:v>608</c:v>
                </c:pt>
                <c:pt idx="420">
                  <c:v>606</c:v>
                </c:pt>
                <c:pt idx="421">
                  <c:v>601</c:v>
                </c:pt>
                <c:pt idx="422">
                  <c:v>597</c:v>
                </c:pt>
                <c:pt idx="423">
                  <c:v>590</c:v>
                </c:pt>
                <c:pt idx="424">
                  <c:v>589</c:v>
                </c:pt>
                <c:pt idx="425">
                  <c:v>589</c:v>
                </c:pt>
                <c:pt idx="426">
                  <c:v>588</c:v>
                </c:pt>
                <c:pt idx="427">
                  <c:v>587</c:v>
                </c:pt>
                <c:pt idx="428">
                  <c:v>582</c:v>
                </c:pt>
                <c:pt idx="429">
                  <c:v>581</c:v>
                </c:pt>
                <c:pt idx="430">
                  <c:v>580</c:v>
                </c:pt>
                <c:pt idx="431">
                  <c:v>579</c:v>
                </c:pt>
                <c:pt idx="432">
                  <c:v>563</c:v>
                </c:pt>
                <c:pt idx="433">
                  <c:v>562</c:v>
                </c:pt>
                <c:pt idx="434">
                  <c:v>561</c:v>
                </c:pt>
                <c:pt idx="435">
                  <c:v>557</c:v>
                </c:pt>
                <c:pt idx="436">
                  <c:v>555</c:v>
                </c:pt>
                <c:pt idx="437">
                  <c:v>548</c:v>
                </c:pt>
                <c:pt idx="438">
                  <c:v>547</c:v>
                </c:pt>
                <c:pt idx="439">
                  <c:v>546</c:v>
                </c:pt>
                <c:pt idx="440">
                  <c:v>545</c:v>
                </c:pt>
                <c:pt idx="441">
                  <c:v>539</c:v>
                </c:pt>
                <c:pt idx="442">
                  <c:v>537</c:v>
                </c:pt>
                <c:pt idx="443">
                  <c:v>536</c:v>
                </c:pt>
                <c:pt idx="444">
                  <c:v>531</c:v>
                </c:pt>
                <c:pt idx="445">
                  <c:v>526</c:v>
                </c:pt>
                <c:pt idx="446">
                  <c:v>525</c:v>
                </c:pt>
                <c:pt idx="447">
                  <c:v>523</c:v>
                </c:pt>
                <c:pt idx="448">
                  <c:v>521</c:v>
                </c:pt>
                <c:pt idx="449">
                  <c:v>519</c:v>
                </c:pt>
                <c:pt idx="450">
                  <c:v>519</c:v>
                </c:pt>
                <c:pt idx="451">
                  <c:v>512</c:v>
                </c:pt>
                <c:pt idx="452">
                  <c:v>512</c:v>
                </c:pt>
                <c:pt idx="453">
                  <c:v>511</c:v>
                </c:pt>
                <c:pt idx="454">
                  <c:v>509</c:v>
                </c:pt>
                <c:pt idx="455">
                  <c:v>508</c:v>
                </c:pt>
                <c:pt idx="456">
                  <c:v>505</c:v>
                </c:pt>
                <c:pt idx="457">
                  <c:v>504</c:v>
                </c:pt>
                <c:pt idx="458">
                  <c:v>501</c:v>
                </c:pt>
                <c:pt idx="459">
                  <c:v>499</c:v>
                </c:pt>
                <c:pt idx="460">
                  <c:v>494</c:v>
                </c:pt>
                <c:pt idx="461">
                  <c:v>492</c:v>
                </c:pt>
                <c:pt idx="462">
                  <c:v>490</c:v>
                </c:pt>
                <c:pt idx="463">
                  <c:v>487</c:v>
                </c:pt>
                <c:pt idx="464">
                  <c:v>484</c:v>
                </c:pt>
                <c:pt idx="465">
                  <c:v>483</c:v>
                </c:pt>
                <c:pt idx="466">
                  <c:v>480</c:v>
                </c:pt>
                <c:pt idx="467">
                  <c:v>478</c:v>
                </c:pt>
                <c:pt idx="468">
                  <c:v>478</c:v>
                </c:pt>
                <c:pt idx="469">
                  <c:v>477</c:v>
                </c:pt>
                <c:pt idx="470">
                  <c:v>476</c:v>
                </c:pt>
                <c:pt idx="471">
                  <c:v>475</c:v>
                </c:pt>
                <c:pt idx="472">
                  <c:v>475</c:v>
                </c:pt>
                <c:pt idx="473">
                  <c:v>473</c:v>
                </c:pt>
                <c:pt idx="474">
                  <c:v>472</c:v>
                </c:pt>
                <c:pt idx="475">
                  <c:v>468</c:v>
                </c:pt>
                <c:pt idx="476">
                  <c:v>468</c:v>
                </c:pt>
                <c:pt idx="477">
                  <c:v>454</c:v>
                </c:pt>
                <c:pt idx="478">
                  <c:v>454</c:v>
                </c:pt>
                <c:pt idx="479">
                  <c:v>449</c:v>
                </c:pt>
                <c:pt idx="480">
                  <c:v>448</c:v>
                </c:pt>
                <c:pt idx="481">
                  <c:v>447</c:v>
                </c:pt>
                <c:pt idx="482">
                  <c:v>447</c:v>
                </c:pt>
                <c:pt idx="483">
                  <c:v>444</c:v>
                </c:pt>
                <c:pt idx="484">
                  <c:v>437</c:v>
                </c:pt>
                <c:pt idx="485">
                  <c:v>436</c:v>
                </c:pt>
                <c:pt idx="486">
                  <c:v>435</c:v>
                </c:pt>
                <c:pt idx="487">
                  <c:v>434</c:v>
                </c:pt>
                <c:pt idx="488">
                  <c:v>434</c:v>
                </c:pt>
                <c:pt idx="489">
                  <c:v>429</c:v>
                </c:pt>
                <c:pt idx="490">
                  <c:v>428</c:v>
                </c:pt>
                <c:pt idx="491">
                  <c:v>427</c:v>
                </c:pt>
                <c:pt idx="492">
                  <c:v>424</c:v>
                </c:pt>
                <c:pt idx="493">
                  <c:v>423</c:v>
                </c:pt>
                <c:pt idx="494">
                  <c:v>421</c:v>
                </c:pt>
                <c:pt idx="495">
                  <c:v>419</c:v>
                </c:pt>
                <c:pt idx="496">
                  <c:v>417</c:v>
                </c:pt>
                <c:pt idx="497">
                  <c:v>412</c:v>
                </c:pt>
                <c:pt idx="498">
                  <c:v>410</c:v>
                </c:pt>
                <c:pt idx="499">
                  <c:v>403</c:v>
                </c:pt>
                <c:pt idx="500">
                  <c:v>402</c:v>
                </c:pt>
                <c:pt idx="501">
                  <c:v>402</c:v>
                </c:pt>
                <c:pt idx="502">
                  <c:v>402</c:v>
                </c:pt>
                <c:pt idx="503">
                  <c:v>401</c:v>
                </c:pt>
                <c:pt idx="504">
                  <c:v>400</c:v>
                </c:pt>
                <c:pt idx="505">
                  <c:v>394</c:v>
                </c:pt>
                <c:pt idx="506">
                  <c:v>393</c:v>
                </c:pt>
                <c:pt idx="507">
                  <c:v>391</c:v>
                </c:pt>
                <c:pt idx="508">
                  <c:v>387</c:v>
                </c:pt>
                <c:pt idx="509">
                  <c:v>387</c:v>
                </c:pt>
                <c:pt idx="510">
                  <c:v>386</c:v>
                </c:pt>
                <c:pt idx="511">
                  <c:v>379</c:v>
                </c:pt>
                <c:pt idx="512">
                  <c:v>378</c:v>
                </c:pt>
                <c:pt idx="513">
                  <c:v>378</c:v>
                </c:pt>
                <c:pt idx="514">
                  <c:v>375</c:v>
                </c:pt>
                <c:pt idx="515">
                  <c:v>374</c:v>
                </c:pt>
                <c:pt idx="516">
                  <c:v>373</c:v>
                </c:pt>
                <c:pt idx="517">
                  <c:v>371</c:v>
                </c:pt>
                <c:pt idx="518">
                  <c:v>370</c:v>
                </c:pt>
                <c:pt idx="519">
                  <c:v>370</c:v>
                </c:pt>
                <c:pt idx="520">
                  <c:v>366</c:v>
                </c:pt>
                <c:pt idx="521">
                  <c:v>365</c:v>
                </c:pt>
                <c:pt idx="522">
                  <c:v>365</c:v>
                </c:pt>
                <c:pt idx="523">
                  <c:v>363</c:v>
                </c:pt>
                <c:pt idx="524">
                  <c:v>359</c:v>
                </c:pt>
                <c:pt idx="525">
                  <c:v>358</c:v>
                </c:pt>
                <c:pt idx="526">
                  <c:v>358</c:v>
                </c:pt>
                <c:pt idx="527">
                  <c:v>358</c:v>
                </c:pt>
                <c:pt idx="528">
                  <c:v>358</c:v>
                </c:pt>
                <c:pt idx="529">
                  <c:v>354</c:v>
                </c:pt>
                <c:pt idx="530">
                  <c:v>353</c:v>
                </c:pt>
                <c:pt idx="531">
                  <c:v>352</c:v>
                </c:pt>
                <c:pt idx="532">
                  <c:v>351</c:v>
                </c:pt>
                <c:pt idx="533">
                  <c:v>351</c:v>
                </c:pt>
                <c:pt idx="534">
                  <c:v>351</c:v>
                </c:pt>
                <c:pt idx="535">
                  <c:v>342</c:v>
                </c:pt>
                <c:pt idx="536">
                  <c:v>337</c:v>
                </c:pt>
                <c:pt idx="537">
                  <c:v>337</c:v>
                </c:pt>
                <c:pt idx="538">
                  <c:v>336</c:v>
                </c:pt>
                <c:pt idx="539">
                  <c:v>329</c:v>
                </c:pt>
                <c:pt idx="540">
                  <c:v>328</c:v>
                </c:pt>
                <c:pt idx="541">
                  <c:v>328</c:v>
                </c:pt>
                <c:pt idx="542">
                  <c:v>327</c:v>
                </c:pt>
                <c:pt idx="543">
                  <c:v>327</c:v>
                </c:pt>
                <c:pt idx="544">
                  <c:v>324</c:v>
                </c:pt>
                <c:pt idx="545">
                  <c:v>323</c:v>
                </c:pt>
                <c:pt idx="546">
                  <c:v>320</c:v>
                </c:pt>
                <c:pt idx="547">
                  <c:v>320</c:v>
                </c:pt>
                <c:pt idx="548">
                  <c:v>319</c:v>
                </c:pt>
                <c:pt idx="549">
                  <c:v>319</c:v>
                </c:pt>
                <c:pt idx="550">
                  <c:v>318</c:v>
                </c:pt>
                <c:pt idx="551">
                  <c:v>315</c:v>
                </c:pt>
                <c:pt idx="552">
                  <c:v>314</c:v>
                </c:pt>
                <c:pt idx="553">
                  <c:v>314</c:v>
                </c:pt>
                <c:pt idx="554">
                  <c:v>313</c:v>
                </c:pt>
                <c:pt idx="555">
                  <c:v>311</c:v>
                </c:pt>
                <c:pt idx="556">
                  <c:v>308</c:v>
                </c:pt>
                <c:pt idx="557">
                  <c:v>308</c:v>
                </c:pt>
                <c:pt idx="558">
                  <c:v>308</c:v>
                </c:pt>
                <c:pt idx="559">
                  <c:v>305</c:v>
                </c:pt>
                <c:pt idx="560">
                  <c:v>305</c:v>
                </c:pt>
                <c:pt idx="561">
                  <c:v>303</c:v>
                </c:pt>
                <c:pt idx="562">
                  <c:v>302</c:v>
                </c:pt>
                <c:pt idx="563">
                  <c:v>302</c:v>
                </c:pt>
                <c:pt idx="564">
                  <c:v>298</c:v>
                </c:pt>
                <c:pt idx="565">
                  <c:v>298</c:v>
                </c:pt>
                <c:pt idx="566">
                  <c:v>297</c:v>
                </c:pt>
                <c:pt idx="567">
                  <c:v>296</c:v>
                </c:pt>
                <c:pt idx="568">
                  <c:v>291</c:v>
                </c:pt>
                <c:pt idx="569">
                  <c:v>288</c:v>
                </c:pt>
                <c:pt idx="570">
                  <c:v>288</c:v>
                </c:pt>
                <c:pt idx="571">
                  <c:v>283</c:v>
                </c:pt>
                <c:pt idx="572">
                  <c:v>281</c:v>
                </c:pt>
                <c:pt idx="573">
                  <c:v>281</c:v>
                </c:pt>
                <c:pt idx="574">
                  <c:v>280</c:v>
                </c:pt>
                <c:pt idx="575">
                  <c:v>274</c:v>
                </c:pt>
                <c:pt idx="576">
                  <c:v>273</c:v>
                </c:pt>
                <c:pt idx="577">
                  <c:v>271</c:v>
                </c:pt>
                <c:pt idx="578">
                  <c:v>271</c:v>
                </c:pt>
                <c:pt idx="579">
                  <c:v>270</c:v>
                </c:pt>
                <c:pt idx="580">
                  <c:v>269</c:v>
                </c:pt>
                <c:pt idx="581">
                  <c:v>264</c:v>
                </c:pt>
                <c:pt idx="582">
                  <c:v>263</c:v>
                </c:pt>
                <c:pt idx="583">
                  <c:v>262</c:v>
                </c:pt>
                <c:pt idx="584">
                  <c:v>262</c:v>
                </c:pt>
                <c:pt idx="585">
                  <c:v>262</c:v>
                </c:pt>
                <c:pt idx="586">
                  <c:v>261</c:v>
                </c:pt>
                <c:pt idx="587">
                  <c:v>258</c:v>
                </c:pt>
                <c:pt idx="588">
                  <c:v>256</c:v>
                </c:pt>
                <c:pt idx="589">
                  <c:v>255</c:v>
                </c:pt>
                <c:pt idx="590">
                  <c:v>254</c:v>
                </c:pt>
                <c:pt idx="591">
                  <c:v>253</c:v>
                </c:pt>
                <c:pt idx="592">
                  <c:v>253</c:v>
                </c:pt>
                <c:pt idx="593">
                  <c:v>252</c:v>
                </c:pt>
                <c:pt idx="594">
                  <c:v>252</c:v>
                </c:pt>
                <c:pt idx="595">
                  <c:v>249</c:v>
                </c:pt>
                <c:pt idx="596">
                  <c:v>249</c:v>
                </c:pt>
                <c:pt idx="597">
                  <c:v>249</c:v>
                </c:pt>
                <c:pt idx="598">
                  <c:v>249</c:v>
                </c:pt>
                <c:pt idx="599">
                  <c:v>249</c:v>
                </c:pt>
                <c:pt idx="600">
                  <c:v>248</c:v>
                </c:pt>
                <c:pt idx="601">
                  <c:v>248</c:v>
                </c:pt>
                <c:pt idx="602">
                  <c:v>248</c:v>
                </c:pt>
                <c:pt idx="603">
                  <c:v>246</c:v>
                </c:pt>
                <c:pt idx="604">
                  <c:v>246</c:v>
                </c:pt>
                <c:pt idx="605">
                  <c:v>243</c:v>
                </c:pt>
                <c:pt idx="606">
                  <c:v>242</c:v>
                </c:pt>
                <c:pt idx="607">
                  <c:v>241</c:v>
                </c:pt>
                <c:pt idx="608">
                  <c:v>241</c:v>
                </c:pt>
                <c:pt idx="609">
                  <c:v>240</c:v>
                </c:pt>
                <c:pt idx="610">
                  <c:v>239</c:v>
                </c:pt>
                <c:pt idx="611">
                  <c:v>238</c:v>
                </c:pt>
                <c:pt idx="612">
                  <c:v>237</c:v>
                </c:pt>
                <c:pt idx="613">
                  <c:v>237</c:v>
                </c:pt>
                <c:pt idx="614">
                  <c:v>233</c:v>
                </c:pt>
                <c:pt idx="615">
                  <c:v>232</c:v>
                </c:pt>
                <c:pt idx="616">
                  <c:v>232</c:v>
                </c:pt>
                <c:pt idx="617">
                  <c:v>232</c:v>
                </c:pt>
                <c:pt idx="618">
                  <c:v>228</c:v>
                </c:pt>
                <c:pt idx="619">
                  <c:v>224</c:v>
                </c:pt>
                <c:pt idx="620">
                  <c:v>224</c:v>
                </c:pt>
                <c:pt idx="621">
                  <c:v>220</c:v>
                </c:pt>
                <c:pt idx="622">
                  <c:v>217</c:v>
                </c:pt>
                <c:pt idx="623">
                  <c:v>216</c:v>
                </c:pt>
                <c:pt idx="624">
                  <c:v>216</c:v>
                </c:pt>
                <c:pt idx="625">
                  <c:v>216</c:v>
                </c:pt>
                <c:pt idx="626">
                  <c:v>212</c:v>
                </c:pt>
                <c:pt idx="627">
                  <c:v>212</c:v>
                </c:pt>
                <c:pt idx="628">
                  <c:v>211</c:v>
                </c:pt>
                <c:pt idx="629">
                  <c:v>211</c:v>
                </c:pt>
                <c:pt idx="630">
                  <c:v>210</c:v>
                </c:pt>
                <c:pt idx="631">
                  <c:v>210</c:v>
                </c:pt>
                <c:pt idx="632">
                  <c:v>209</c:v>
                </c:pt>
                <c:pt idx="633">
                  <c:v>206</c:v>
                </c:pt>
                <c:pt idx="634">
                  <c:v>204</c:v>
                </c:pt>
                <c:pt idx="635">
                  <c:v>204</c:v>
                </c:pt>
                <c:pt idx="636">
                  <c:v>201</c:v>
                </c:pt>
                <c:pt idx="637">
                  <c:v>198</c:v>
                </c:pt>
                <c:pt idx="638">
                  <c:v>198</c:v>
                </c:pt>
                <c:pt idx="639">
                  <c:v>197</c:v>
                </c:pt>
                <c:pt idx="640">
                  <c:v>197</c:v>
                </c:pt>
                <c:pt idx="641">
                  <c:v>197</c:v>
                </c:pt>
                <c:pt idx="642">
                  <c:v>195</c:v>
                </c:pt>
                <c:pt idx="643">
                  <c:v>192</c:v>
                </c:pt>
                <c:pt idx="644">
                  <c:v>191</c:v>
                </c:pt>
                <c:pt idx="645">
                  <c:v>191</c:v>
                </c:pt>
                <c:pt idx="646">
                  <c:v>190</c:v>
                </c:pt>
                <c:pt idx="647">
                  <c:v>189</c:v>
                </c:pt>
                <c:pt idx="648">
                  <c:v>188</c:v>
                </c:pt>
                <c:pt idx="649">
                  <c:v>187</c:v>
                </c:pt>
                <c:pt idx="650">
                  <c:v>187</c:v>
                </c:pt>
                <c:pt idx="651">
                  <c:v>186</c:v>
                </c:pt>
                <c:pt idx="652">
                  <c:v>185</c:v>
                </c:pt>
                <c:pt idx="653">
                  <c:v>184</c:v>
                </c:pt>
                <c:pt idx="654">
                  <c:v>181</c:v>
                </c:pt>
                <c:pt idx="655">
                  <c:v>181</c:v>
                </c:pt>
                <c:pt idx="656">
                  <c:v>180</c:v>
                </c:pt>
                <c:pt idx="657">
                  <c:v>179</c:v>
                </c:pt>
                <c:pt idx="658">
                  <c:v>179</c:v>
                </c:pt>
                <c:pt idx="659">
                  <c:v>179</c:v>
                </c:pt>
                <c:pt idx="660">
                  <c:v>178</c:v>
                </c:pt>
                <c:pt idx="661">
                  <c:v>178</c:v>
                </c:pt>
                <c:pt idx="662">
                  <c:v>177</c:v>
                </c:pt>
                <c:pt idx="663">
                  <c:v>177</c:v>
                </c:pt>
                <c:pt idx="664">
                  <c:v>177</c:v>
                </c:pt>
                <c:pt idx="665">
                  <c:v>177</c:v>
                </c:pt>
                <c:pt idx="666">
                  <c:v>175</c:v>
                </c:pt>
                <c:pt idx="667">
                  <c:v>174</c:v>
                </c:pt>
                <c:pt idx="668">
                  <c:v>174</c:v>
                </c:pt>
                <c:pt idx="669">
                  <c:v>171</c:v>
                </c:pt>
                <c:pt idx="670">
                  <c:v>171</c:v>
                </c:pt>
                <c:pt idx="671">
                  <c:v>171</c:v>
                </c:pt>
                <c:pt idx="672">
                  <c:v>170</c:v>
                </c:pt>
                <c:pt idx="673">
                  <c:v>170</c:v>
                </c:pt>
                <c:pt idx="674">
                  <c:v>170</c:v>
                </c:pt>
                <c:pt idx="675">
                  <c:v>169</c:v>
                </c:pt>
                <c:pt idx="676">
                  <c:v>167</c:v>
                </c:pt>
                <c:pt idx="677">
                  <c:v>166</c:v>
                </c:pt>
                <c:pt idx="678">
                  <c:v>166</c:v>
                </c:pt>
                <c:pt idx="679">
                  <c:v>166</c:v>
                </c:pt>
                <c:pt idx="680">
                  <c:v>164</c:v>
                </c:pt>
                <c:pt idx="681">
                  <c:v>164</c:v>
                </c:pt>
                <c:pt idx="682">
                  <c:v>163</c:v>
                </c:pt>
                <c:pt idx="683">
                  <c:v>161</c:v>
                </c:pt>
                <c:pt idx="684">
                  <c:v>160</c:v>
                </c:pt>
                <c:pt idx="685">
                  <c:v>160</c:v>
                </c:pt>
                <c:pt idx="686">
                  <c:v>159</c:v>
                </c:pt>
                <c:pt idx="687">
                  <c:v>159</c:v>
                </c:pt>
                <c:pt idx="688">
                  <c:v>159</c:v>
                </c:pt>
                <c:pt idx="689">
                  <c:v>156</c:v>
                </c:pt>
                <c:pt idx="690">
                  <c:v>156</c:v>
                </c:pt>
                <c:pt idx="691">
                  <c:v>153</c:v>
                </c:pt>
                <c:pt idx="692">
                  <c:v>153</c:v>
                </c:pt>
                <c:pt idx="693">
                  <c:v>153</c:v>
                </c:pt>
                <c:pt idx="694">
                  <c:v>152</c:v>
                </c:pt>
                <c:pt idx="695">
                  <c:v>151</c:v>
                </c:pt>
                <c:pt idx="696">
                  <c:v>151</c:v>
                </c:pt>
                <c:pt idx="697">
                  <c:v>150</c:v>
                </c:pt>
                <c:pt idx="698">
                  <c:v>149</c:v>
                </c:pt>
                <c:pt idx="699">
                  <c:v>148</c:v>
                </c:pt>
                <c:pt idx="700">
                  <c:v>148</c:v>
                </c:pt>
                <c:pt idx="701">
                  <c:v>148</c:v>
                </c:pt>
                <c:pt idx="702">
                  <c:v>147</c:v>
                </c:pt>
                <c:pt idx="703">
                  <c:v>147</c:v>
                </c:pt>
                <c:pt idx="704">
                  <c:v>147</c:v>
                </c:pt>
                <c:pt idx="705">
                  <c:v>146</c:v>
                </c:pt>
                <c:pt idx="706">
                  <c:v>145</c:v>
                </c:pt>
                <c:pt idx="707">
                  <c:v>145</c:v>
                </c:pt>
                <c:pt idx="708">
                  <c:v>144</c:v>
                </c:pt>
                <c:pt idx="709">
                  <c:v>143</c:v>
                </c:pt>
                <c:pt idx="710">
                  <c:v>142</c:v>
                </c:pt>
                <c:pt idx="711">
                  <c:v>142</c:v>
                </c:pt>
                <c:pt idx="712">
                  <c:v>142</c:v>
                </c:pt>
                <c:pt idx="713">
                  <c:v>140</c:v>
                </c:pt>
                <c:pt idx="714">
                  <c:v>140</c:v>
                </c:pt>
                <c:pt idx="715">
                  <c:v>140</c:v>
                </c:pt>
                <c:pt idx="716">
                  <c:v>137</c:v>
                </c:pt>
                <c:pt idx="717">
                  <c:v>137</c:v>
                </c:pt>
                <c:pt idx="718">
                  <c:v>136</c:v>
                </c:pt>
                <c:pt idx="719">
                  <c:v>134</c:v>
                </c:pt>
                <c:pt idx="720">
                  <c:v>133</c:v>
                </c:pt>
                <c:pt idx="721">
                  <c:v>132</c:v>
                </c:pt>
                <c:pt idx="722">
                  <c:v>132</c:v>
                </c:pt>
                <c:pt idx="723">
                  <c:v>131</c:v>
                </c:pt>
                <c:pt idx="724">
                  <c:v>128</c:v>
                </c:pt>
                <c:pt idx="725">
                  <c:v>128</c:v>
                </c:pt>
                <c:pt idx="726">
                  <c:v>127</c:v>
                </c:pt>
                <c:pt idx="727">
                  <c:v>127</c:v>
                </c:pt>
                <c:pt idx="728">
                  <c:v>127</c:v>
                </c:pt>
                <c:pt idx="729">
                  <c:v>126</c:v>
                </c:pt>
                <c:pt idx="730">
                  <c:v>125</c:v>
                </c:pt>
                <c:pt idx="731">
                  <c:v>125</c:v>
                </c:pt>
                <c:pt idx="732">
                  <c:v>124</c:v>
                </c:pt>
                <c:pt idx="733">
                  <c:v>124</c:v>
                </c:pt>
                <c:pt idx="734">
                  <c:v>124</c:v>
                </c:pt>
                <c:pt idx="735">
                  <c:v>123</c:v>
                </c:pt>
                <c:pt idx="736">
                  <c:v>123</c:v>
                </c:pt>
                <c:pt idx="737">
                  <c:v>123</c:v>
                </c:pt>
                <c:pt idx="738">
                  <c:v>123</c:v>
                </c:pt>
                <c:pt idx="739">
                  <c:v>122</c:v>
                </c:pt>
                <c:pt idx="740">
                  <c:v>122</c:v>
                </c:pt>
                <c:pt idx="741">
                  <c:v>120</c:v>
                </c:pt>
                <c:pt idx="742">
                  <c:v>120</c:v>
                </c:pt>
                <c:pt idx="743">
                  <c:v>120</c:v>
                </c:pt>
                <c:pt idx="744">
                  <c:v>120</c:v>
                </c:pt>
                <c:pt idx="745">
                  <c:v>119</c:v>
                </c:pt>
                <c:pt idx="746">
                  <c:v>119</c:v>
                </c:pt>
                <c:pt idx="747">
                  <c:v>118</c:v>
                </c:pt>
                <c:pt idx="748">
                  <c:v>117</c:v>
                </c:pt>
                <c:pt idx="749">
                  <c:v>117</c:v>
                </c:pt>
                <c:pt idx="750">
                  <c:v>117</c:v>
                </c:pt>
                <c:pt idx="751">
                  <c:v>115</c:v>
                </c:pt>
                <c:pt idx="752">
                  <c:v>112</c:v>
                </c:pt>
                <c:pt idx="753">
                  <c:v>111</c:v>
                </c:pt>
                <c:pt idx="754">
                  <c:v>111</c:v>
                </c:pt>
                <c:pt idx="755">
                  <c:v>110</c:v>
                </c:pt>
                <c:pt idx="756">
                  <c:v>109</c:v>
                </c:pt>
                <c:pt idx="757">
                  <c:v>109</c:v>
                </c:pt>
                <c:pt idx="758">
                  <c:v>108</c:v>
                </c:pt>
                <c:pt idx="759">
                  <c:v>107</c:v>
                </c:pt>
                <c:pt idx="760">
                  <c:v>107</c:v>
                </c:pt>
                <c:pt idx="761">
                  <c:v>107</c:v>
                </c:pt>
                <c:pt idx="762">
                  <c:v>106</c:v>
                </c:pt>
                <c:pt idx="763">
                  <c:v>106</c:v>
                </c:pt>
                <c:pt idx="764">
                  <c:v>104</c:v>
                </c:pt>
                <c:pt idx="765">
                  <c:v>104</c:v>
                </c:pt>
                <c:pt idx="766">
                  <c:v>101</c:v>
                </c:pt>
                <c:pt idx="767">
                  <c:v>101</c:v>
                </c:pt>
                <c:pt idx="768">
                  <c:v>101</c:v>
                </c:pt>
                <c:pt idx="769">
                  <c:v>100</c:v>
                </c:pt>
                <c:pt idx="770">
                  <c:v>100</c:v>
                </c:pt>
                <c:pt idx="771">
                  <c:v>100</c:v>
                </c:pt>
                <c:pt idx="772">
                  <c:v>100</c:v>
                </c:pt>
                <c:pt idx="773">
                  <c:v>100</c:v>
                </c:pt>
                <c:pt idx="774">
                  <c:v>98</c:v>
                </c:pt>
                <c:pt idx="775">
                  <c:v>98</c:v>
                </c:pt>
                <c:pt idx="776">
                  <c:v>98</c:v>
                </c:pt>
                <c:pt idx="777">
                  <c:v>98</c:v>
                </c:pt>
                <c:pt idx="778">
                  <c:v>96</c:v>
                </c:pt>
                <c:pt idx="779">
                  <c:v>96</c:v>
                </c:pt>
                <c:pt idx="780">
                  <c:v>95</c:v>
                </c:pt>
                <c:pt idx="781">
                  <c:v>95</c:v>
                </c:pt>
                <c:pt idx="782">
                  <c:v>95</c:v>
                </c:pt>
                <c:pt idx="783">
                  <c:v>95</c:v>
                </c:pt>
                <c:pt idx="784">
                  <c:v>94</c:v>
                </c:pt>
                <c:pt idx="785">
                  <c:v>94</c:v>
                </c:pt>
                <c:pt idx="786">
                  <c:v>94</c:v>
                </c:pt>
                <c:pt idx="787">
                  <c:v>93</c:v>
                </c:pt>
                <c:pt idx="788">
                  <c:v>93</c:v>
                </c:pt>
                <c:pt idx="789">
                  <c:v>92</c:v>
                </c:pt>
                <c:pt idx="790">
                  <c:v>92</c:v>
                </c:pt>
                <c:pt idx="791">
                  <c:v>92</c:v>
                </c:pt>
                <c:pt idx="792">
                  <c:v>91</c:v>
                </c:pt>
                <c:pt idx="793">
                  <c:v>90</c:v>
                </c:pt>
                <c:pt idx="794">
                  <c:v>90</c:v>
                </c:pt>
                <c:pt idx="795">
                  <c:v>90</c:v>
                </c:pt>
                <c:pt idx="796">
                  <c:v>89</c:v>
                </c:pt>
                <c:pt idx="797">
                  <c:v>88</c:v>
                </c:pt>
                <c:pt idx="798">
                  <c:v>88</c:v>
                </c:pt>
                <c:pt idx="799">
                  <c:v>87</c:v>
                </c:pt>
                <c:pt idx="800">
                  <c:v>87</c:v>
                </c:pt>
                <c:pt idx="801">
                  <c:v>85</c:v>
                </c:pt>
                <c:pt idx="802">
                  <c:v>85</c:v>
                </c:pt>
                <c:pt idx="803">
                  <c:v>85</c:v>
                </c:pt>
                <c:pt idx="804">
                  <c:v>85</c:v>
                </c:pt>
                <c:pt idx="805">
                  <c:v>85</c:v>
                </c:pt>
                <c:pt idx="806">
                  <c:v>84</c:v>
                </c:pt>
                <c:pt idx="807">
                  <c:v>84</c:v>
                </c:pt>
                <c:pt idx="808">
                  <c:v>84</c:v>
                </c:pt>
                <c:pt idx="809">
                  <c:v>84</c:v>
                </c:pt>
                <c:pt idx="810">
                  <c:v>84</c:v>
                </c:pt>
                <c:pt idx="811">
                  <c:v>83</c:v>
                </c:pt>
                <c:pt idx="812">
                  <c:v>83</c:v>
                </c:pt>
                <c:pt idx="813">
                  <c:v>82</c:v>
                </c:pt>
                <c:pt idx="814">
                  <c:v>82</c:v>
                </c:pt>
                <c:pt idx="815">
                  <c:v>82</c:v>
                </c:pt>
                <c:pt idx="816">
                  <c:v>82</c:v>
                </c:pt>
                <c:pt idx="817">
                  <c:v>82</c:v>
                </c:pt>
                <c:pt idx="818">
                  <c:v>81</c:v>
                </c:pt>
                <c:pt idx="819">
                  <c:v>81</c:v>
                </c:pt>
                <c:pt idx="820">
                  <c:v>80</c:v>
                </c:pt>
                <c:pt idx="821">
                  <c:v>80</c:v>
                </c:pt>
                <c:pt idx="822">
                  <c:v>80</c:v>
                </c:pt>
                <c:pt idx="823">
                  <c:v>80</c:v>
                </c:pt>
                <c:pt idx="824">
                  <c:v>80</c:v>
                </c:pt>
                <c:pt idx="825">
                  <c:v>80</c:v>
                </c:pt>
                <c:pt idx="826">
                  <c:v>80</c:v>
                </c:pt>
                <c:pt idx="827">
                  <c:v>79</c:v>
                </c:pt>
                <c:pt idx="828">
                  <c:v>79</c:v>
                </c:pt>
                <c:pt idx="829">
                  <c:v>79</c:v>
                </c:pt>
                <c:pt idx="830">
                  <c:v>79</c:v>
                </c:pt>
                <c:pt idx="831">
                  <c:v>79</c:v>
                </c:pt>
                <c:pt idx="832">
                  <c:v>78</c:v>
                </c:pt>
                <c:pt idx="833">
                  <c:v>77</c:v>
                </c:pt>
                <c:pt idx="834">
                  <c:v>76</c:v>
                </c:pt>
                <c:pt idx="835">
                  <c:v>76</c:v>
                </c:pt>
                <c:pt idx="836">
                  <c:v>76</c:v>
                </c:pt>
                <c:pt idx="837">
                  <c:v>76</c:v>
                </c:pt>
                <c:pt idx="838">
                  <c:v>75</c:v>
                </c:pt>
                <c:pt idx="839">
                  <c:v>75</c:v>
                </c:pt>
                <c:pt idx="840">
                  <c:v>74</c:v>
                </c:pt>
                <c:pt idx="841">
                  <c:v>74</c:v>
                </c:pt>
                <c:pt idx="842">
                  <c:v>73</c:v>
                </c:pt>
                <c:pt idx="843">
                  <c:v>73</c:v>
                </c:pt>
                <c:pt idx="844">
                  <c:v>73</c:v>
                </c:pt>
                <c:pt idx="845">
                  <c:v>72</c:v>
                </c:pt>
                <c:pt idx="846">
                  <c:v>72</c:v>
                </c:pt>
                <c:pt idx="847">
                  <c:v>71</c:v>
                </c:pt>
                <c:pt idx="848">
                  <c:v>71</c:v>
                </c:pt>
                <c:pt idx="849">
                  <c:v>69</c:v>
                </c:pt>
                <c:pt idx="850">
                  <c:v>69</c:v>
                </c:pt>
                <c:pt idx="851">
                  <c:v>68</c:v>
                </c:pt>
                <c:pt idx="852">
                  <c:v>68</c:v>
                </c:pt>
                <c:pt idx="853">
                  <c:v>68</c:v>
                </c:pt>
                <c:pt idx="854">
                  <c:v>68</c:v>
                </c:pt>
                <c:pt idx="855">
                  <c:v>68</c:v>
                </c:pt>
                <c:pt idx="856">
                  <c:v>68</c:v>
                </c:pt>
                <c:pt idx="857">
                  <c:v>67</c:v>
                </c:pt>
                <c:pt idx="858">
                  <c:v>67</c:v>
                </c:pt>
                <c:pt idx="859">
                  <c:v>67</c:v>
                </c:pt>
                <c:pt idx="860">
                  <c:v>67</c:v>
                </c:pt>
                <c:pt idx="861">
                  <c:v>67</c:v>
                </c:pt>
                <c:pt idx="862">
                  <c:v>67</c:v>
                </c:pt>
                <c:pt idx="863">
                  <c:v>67</c:v>
                </c:pt>
                <c:pt idx="864">
                  <c:v>66</c:v>
                </c:pt>
                <c:pt idx="865">
                  <c:v>66</c:v>
                </c:pt>
                <c:pt idx="866">
                  <c:v>66</c:v>
                </c:pt>
                <c:pt idx="867">
                  <c:v>66</c:v>
                </c:pt>
                <c:pt idx="868">
                  <c:v>65</c:v>
                </c:pt>
                <c:pt idx="869">
                  <c:v>65</c:v>
                </c:pt>
                <c:pt idx="870">
                  <c:v>65</c:v>
                </c:pt>
                <c:pt idx="871">
                  <c:v>64</c:v>
                </c:pt>
                <c:pt idx="872">
                  <c:v>64</c:v>
                </c:pt>
                <c:pt idx="873">
                  <c:v>64</c:v>
                </c:pt>
                <c:pt idx="874">
                  <c:v>63</c:v>
                </c:pt>
                <c:pt idx="875">
                  <c:v>63</c:v>
                </c:pt>
                <c:pt idx="876">
                  <c:v>63</c:v>
                </c:pt>
                <c:pt idx="877">
                  <c:v>62</c:v>
                </c:pt>
                <c:pt idx="878">
                  <c:v>62</c:v>
                </c:pt>
                <c:pt idx="879">
                  <c:v>62</c:v>
                </c:pt>
                <c:pt idx="880">
                  <c:v>62</c:v>
                </c:pt>
                <c:pt idx="881">
                  <c:v>61</c:v>
                </c:pt>
                <c:pt idx="882">
                  <c:v>61</c:v>
                </c:pt>
                <c:pt idx="883">
                  <c:v>60</c:v>
                </c:pt>
                <c:pt idx="884">
                  <c:v>59</c:v>
                </c:pt>
                <c:pt idx="885">
                  <c:v>59</c:v>
                </c:pt>
                <c:pt idx="886">
                  <c:v>58</c:v>
                </c:pt>
                <c:pt idx="887">
                  <c:v>57</c:v>
                </c:pt>
                <c:pt idx="888">
                  <c:v>57</c:v>
                </c:pt>
                <c:pt idx="889">
                  <c:v>57</c:v>
                </c:pt>
                <c:pt idx="890">
                  <c:v>56</c:v>
                </c:pt>
                <c:pt idx="891">
                  <c:v>56</c:v>
                </c:pt>
                <c:pt idx="892">
                  <c:v>56</c:v>
                </c:pt>
                <c:pt idx="893">
                  <c:v>56</c:v>
                </c:pt>
                <c:pt idx="894">
                  <c:v>56</c:v>
                </c:pt>
                <c:pt idx="895">
                  <c:v>55</c:v>
                </c:pt>
                <c:pt idx="896">
                  <c:v>55</c:v>
                </c:pt>
                <c:pt idx="897">
                  <c:v>55</c:v>
                </c:pt>
                <c:pt idx="898">
                  <c:v>55</c:v>
                </c:pt>
                <c:pt idx="899">
                  <c:v>55</c:v>
                </c:pt>
                <c:pt idx="900">
                  <c:v>54</c:v>
                </c:pt>
                <c:pt idx="901">
                  <c:v>54</c:v>
                </c:pt>
                <c:pt idx="902">
                  <c:v>54</c:v>
                </c:pt>
                <c:pt idx="903">
                  <c:v>54</c:v>
                </c:pt>
                <c:pt idx="904">
                  <c:v>53</c:v>
                </c:pt>
                <c:pt idx="905">
                  <c:v>53</c:v>
                </c:pt>
                <c:pt idx="906">
                  <c:v>53</c:v>
                </c:pt>
                <c:pt idx="907">
                  <c:v>53</c:v>
                </c:pt>
                <c:pt idx="908">
                  <c:v>53</c:v>
                </c:pt>
                <c:pt idx="909">
                  <c:v>52</c:v>
                </c:pt>
                <c:pt idx="910">
                  <c:v>52</c:v>
                </c:pt>
                <c:pt idx="911">
                  <c:v>52</c:v>
                </c:pt>
                <c:pt idx="912">
                  <c:v>52</c:v>
                </c:pt>
                <c:pt idx="913">
                  <c:v>51</c:v>
                </c:pt>
                <c:pt idx="914">
                  <c:v>51</c:v>
                </c:pt>
                <c:pt idx="915">
                  <c:v>50</c:v>
                </c:pt>
                <c:pt idx="916">
                  <c:v>50</c:v>
                </c:pt>
                <c:pt idx="917">
                  <c:v>50</c:v>
                </c:pt>
                <c:pt idx="918">
                  <c:v>48</c:v>
                </c:pt>
                <c:pt idx="919">
                  <c:v>48</c:v>
                </c:pt>
                <c:pt idx="920">
                  <c:v>47</c:v>
                </c:pt>
                <c:pt idx="921">
                  <c:v>47</c:v>
                </c:pt>
                <c:pt idx="922">
                  <c:v>47</c:v>
                </c:pt>
                <c:pt idx="923">
                  <c:v>47</c:v>
                </c:pt>
                <c:pt idx="924">
                  <c:v>47</c:v>
                </c:pt>
                <c:pt idx="925">
                  <c:v>47</c:v>
                </c:pt>
                <c:pt idx="926">
                  <c:v>47</c:v>
                </c:pt>
                <c:pt idx="927">
                  <c:v>46</c:v>
                </c:pt>
                <c:pt idx="928">
                  <c:v>46</c:v>
                </c:pt>
                <c:pt idx="929">
                  <c:v>46</c:v>
                </c:pt>
                <c:pt idx="930">
                  <c:v>45</c:v>
                </c:pt>
                <c:pt idx="931">
                  <c:v>45</c:v>
                </c:pt>
                <c:pt idx="932">
                  <c:v>45</c:v>
                </c:pt>
                <c:pt idx="933">
                  <c:v>44</c:v>
                </c:pt>
                <c:pt idx="934">
                  <c:v>44</c:v>
                </c:pt>
                <c:pt idx="935">
                  <c:v>44</c:v>
                </c:pt>
                <c:pt idx="936">
                  <c:v>44</c:v>
                </c:pt>
                <c:pt idx="937">
                  <c:v>44</c:v>
                </c:pt>
                <c:pt idx="938">
                  <c:v>43</c:v>
                </c:pt>
                <c:pt idx="939">
                  <c:v>43</c:v>
                </c:pt>
                <c:pt idx="940">
                  <c:v>43</c:v>
                </c:pt>
                <c:pt idx="941">
                  <c:v>43</c:v>
                </c:pt>
                <c:pt idx="942">
                  <c:v>43</c:v>
                </c:pt>
                <c:pt idx="943">
                  <c:v>43</c:v>
                </c:pt>
                <c:pt idx="944">
                  <c:v>42</c:v>
                </c:pt>
                <c:pt idx="945">
                  <c:v>42</c:v>
                </c:pt>
                <c:pt idx="946">
                  <c:v>42</c:v>
                </c:pt>
                <c:pt idx="947">
                  <c:v>42</c:v>
                </c:pt>
                <c:pt idx="948">
                  <c:v>42</c:v>
                </c:pt>
                <c:pt idx="949">
                  <c:v>42</c:v>
                </c:pt>
                <c:pt idx="950">
                  <c:v>42</c:v>
                </c:pt>
                <c:pt idx="951">
                  <c:v>41</c:v>
                </c:pt>
                <c:pt idx="952">
                  <c:v>40</c:v>
                </c:pt>
                <c:pt idx="953">
                  <c:v>40</c:v>
                </c:pt>
                <c:pt idx="954">
                  <c:v>40</c:v>
                </c:pt>
                <c:pt idx="955">
                  <c:v>40</c:v>
                </c:pt>
                <c:pt idx="956">
                  <c:v>40</c:v>
                </c:pt>
                <c:pt idx="957">
                  <c:v>40</c:v>
                </c:pt>
                <c:pt idx="958">
                  <c:v>39</c:v>
                </c:pt>
                <c:pt idx="959">
                  <c:v>39</c:v>
                </c:pt>
                <c:pt idx="960">
                  <c:v>39</c:v>
                </c:pt>
                <c:pt idx="961">
                  <c:v>39</c:v>
                </c:pt>
                <c:pt idx="962">
                  <c:v>38</c:v>
                </c:pt>
                <c:pt idx="963">
                  <c:v>38</c:v>
                </c:pt>
                <c:pt idx="964">
                  <c:v>38</c:v>
                </c:pt>
                <c:pt idx="965">
                  <c:v>37</c:v>
                </c:pt>
                <c:pt idx="966">
                  <c:v>37</c:v>
                </c:pt>
                <c:pt idx="967">
                  <c:v>36</c:v>
                </c:pt>
                <c:pt idx="968">
                  <c:v>36</c:v>
                </c:pt>
                <c:pt idx="969">
                  <c:v>36</c:v>
                </c:pt>
                <c:pt idx="970">
                  <c:v>36</c:v>
                </c:pt>
                <c:pt idx="971">
                  <c:v>36</c:v>
                </c:pt>
                <c:pt idx="972">
                  <c:v>36</c:v>
                </c:pt>
                <c:pt idx="973">
                  <c:v>36</c:v>
                </c:pt>
                <c:pt idx="974">
                  <c:v>36</c:v>
                </c:pt>
                <c:pt idx="975">
                  <c:v>36</c:v>
                </c:pt>
                <c:pt idx="976">
                  <c:v>36</c:v>
                </c:pt>
                <c:pt idx="977">
                  <c:v>35</c:v>
                </c:pt>
                <c:pt idx="978">
                  <c:v>35</c:v>
                </c:pt>
                <c:pt idx="979">
                  <c:v>35</c:v>
                </c:pt>
                <c:pt idx="980">
                  <c:v>35</c:v>
                </c:pt>
                <c:pt idx="981">
                  <c:v>35</c:v>
                </c:pt>
                <c:pt idx="982">
                  <c:v>35</c:v>
                </c:pt>
                <c:pt idx="983">
                  <c:v>35</c:v>
                </c:pt>
                <c:pt idx="984">
                  <c:v>34</c:v>
                </c:pt>
                <c:pt idx="985">
                  <c:v>34</c:v>
                </c:pt>
                <c:pt idx="986">
                  <c:v>34</c:v>
                </c:pt>
                <c:pt idx="987">
                  <c:v>34</c:v>
                </c:pt>
                <c:pt idx="988">
                  <c:v>33</c:v>
                </c:pt>
                <c:pt idx="989">
                  <c:v>33</c:v>
                </c:pt>
                <c:pt idx="990">
                  <c:v>33</c:v>
                </c:pt>
                <c:pt idx="991">
                  <c:v>33</c:v>
                </c:pt>
                <c:pt idx="992">
                  <c:v>33</c:v>
                </c:pt>
                <c:pt idx="993">
                  <c:v>33</c:v>
                </c:pt>
                <c:pt idx="994">
                  <c:v>33</c:v>
                </c:pt>
                <c:pt idx="995">
                  <c:v>33</c:v>
                </c:pt>
                <c:pt idx="996">
                  <c:v>33</c:v>
                </c:pt>
                <c:pt idx="997">
                  <c:v>33</c:v>
                </c:pt>
                <c:pt idx="998">
                  <c:v>33</c:v>
                </c:pt>
                <c:pt idx="999">
                  <c:v>32</c:v>
                </c:pt>
                <c:pt idx="1000">
                  <c:v>32</c:v>
                </c:pt>
                <c:pt idx="1001">
                  <c:v>32</c:v>
                </c:pt>
                <c:pt idx="1002">
                  <c:v>32</c:v>
                </c:pt>
                <c:pt idx="1003">
                  <c:v>32</c:v>
                </c:pt>
                <c:pt idx="1004">
                  <c:v>32</c:v>
                </c:pt>
                <c:pt idx="1005">
                  <c:v>32</c:v>
                </c:pt>
                <c:pt idx="1006">
                  <c:v>32</c:v>
                </c:pt>
                <c:pt idx="1007">
                  <c:v>32</c:v>
                </c:pt>
                <c:pt idx="1008">
                  <c:v>32</c:v>
                </c:pt>
                <c:pt idx="1009">
                  <c:v>32</c:v>
                </c:pt>
                <c:pt idx="1010">
                  <c:v>32</c:v>
                </c:pt>
                <c:pt idx="1011">
                  <c:v>32</c:v>
                </c:pt>
                <c:pt idx="1012">
                  <c:v>32</c:v>
                </c:pt>
                <c:pt idx="1013">
                  <c:v>31</c:v>
                </c:pt>
                <c:pt idx="1014">
                  <c:v>31</c:v>
                </c:pt>
                <c:pt idx="1015">
                  <c:v>31</c:v>
                </c:pt>
                <c:pt idx="1016">
                  <c:v>31</c:v>
                </c:pt>
                <c:pt idx="1017">
                  <c:v>29</c:v>
                </c:pt>
                <c:pt idx="1018">
                  <c:v>29</c:v>
                </c:pt>
                <c:pt idx="1019">
                  <c:v>29</c:v>
                </c:pt>
                <c:pt idx="1020">
                  <c:v>29</c:v>
                </c:pt>
                <c:pt idx="1021">
                  <c:v>29</c:v>
                </c:pt>
                <c:pt idx="1022">
                  <c:v>29</c:v>
                </c:pt>
                <c:pt idx="1023">
                  <c:v>29</c:v>
                </c:pt>
                <c:pt idx="1024">
                  <c:v>29</c:v>
                </c:pt>
                <c:pt idx="1025">
                  <c:v>29</c:v>
                </c:pt>
                <c:pt idx="1026">
                  <c:v>28</c:v>
                </c:pt>
                <c:pt idx="1027">
                  <c:v>28</c:v>
                </c:pt>
                <c:pt idx="1028">
                  <c:v>28</c:v>
                </c:pt>
                <c:pt idx="1029">
                  <c:v>28</c:v>
                </c:pt>
                <c:pt idx="1030">
                  <c:v>28</c:v>
                </c:pt>
                <c:pt idx="1031">
                  <c:v>28</c:v>
                </c:pt>
                <c:pt idx="1032">
                  <c:v>28</c:v>
                </c:pt>
                <c:pt idx="1033">
                  <c:v>28</c:v>
                </c:pt>
                <c:pt idx="1034">
                  <c:v>27</c:v>
                </c:pt>
                <c:pt idx="1035">
                  <c:v>27</c:v>
                </c:pt>
                <c:pt idx="1036">
                  <c:v>26</c:v>
                </c:pt>
                <c:pt idx="1037">
                  <c:v>26</c:v>
                </c:pt>
                <c:pt idx="1038">
                  <c:v>26</c:v>
                </c:pt>
                <c:pt idx="1039">
                  <c:v>26</c:v>
                </c:pt>
                <c:pt idx="1040">
                  <c:v>26</c:v>
                </c:pt>
                <c:pt idx="1041">
                  <c:v>25</c:v>
                </c:pt>
                <c:pt idx="1042">
                  <c:v>25</c:v>
                </c:pt>
                <c:pt idx="1043">
                  <c:v>25</c:v>
                </c:pt>
                <c:pt idx="1044">
                  <c:v>25</c:v>
                </c:pt>
                <c:pt idx="1045">
                  <c:v>25</c:v>
                </c:pt>
                <c:pt idx="1046">
                  <c:v>24</c:v>
                </c:pt>
                <c:pt idx="1047">
                  <c:v>24</c:v>
                </c:pt>
                <c:pt idx="1048">
                  <c:v>24</c:v>
                </c:pt>
                <c:pt idx="1049">
                  <c:v>23</c:v>
                </c:pt>
                <c:pt idx="1050">
                  <c:v>23</c:v>
                </c:pt>
                <c:pt idx="1051">
                  <c:v>23</c:v>
                </c:pt>
                <c:pt idx="1052">
                  <c:v>23</c:v>
                </c:pt>
                <c:pt idx="1053">
                  <c:v>23</c:v>
                </c:pt>
                <c:pt idx="1054">
                  <c:v>23</c:v>
                </c:pt>
                <c:pt idx="1055">
                  <c:v>23</c:v>
                </c:pt>
                <c:pt idx="1056">
                  <c:v>22</c:v>
                </c:pt>
                <c:pt idx="1057">
                  <c:v>22</c:v>
                </c:pt>
                <c:pt idx="1058">
                  <c:v>22</c:v>
                </c:pt>
                <c:pt idx="1059">
                  <c:v>22</c:v>
                </c:pt>
                <c:pt idx="1060">
                  <c:v>21</c:v>
                </c:pt>
                <c:pt idx="1061">
                  <c:v>21</c:v>
                </c:pt>
                <c:pt idx="1062">
                  <c:v>21</c:v>
                </c:pt>
                <c:pt idx="1063">
                  <c:v>21</c:v>
                </c:pt>
                <c:pt idx="1064">
                  <c:v>21</c:v>
                </c:pt>
                <c:pt idx="1065">
                  <c:v>21</c:v>
                </c:pt>
                <c:pt idx="1066">
                  <c:v>21</c:v>
                </c:pt>
                <c:pt idx="1067">
                  <c:v>21</c:v>
                </c:pt>
                <c:pt idx="1068">
                  <c:v>21</c:v>
                </c:pt>
                <c:pt idx="1069">
                  <c:v>21</c:v>
                </c:pt>
                <c:pt idx="1070">
                  <c:v>21</c:v>
                </c:pt>
                <c:pt idx="1071">
                  <c:v>20</c:v>
                </c:pt>
                <c:pt idx="1072">
                  <c:v>20</c:v>
                </c:pt>
                <c:pt idx="1073">
                  <c:v>20</c:v>
                </c:pt>
                <c:pt idx="1074">
                  <c:v>20</c:v>
                </c:pt>
                <c:pt idx="1075">
                  <c:v>20</c:v>
                </c:pt>
                <c:pt idx="1076">
                  <c:v>20</c:v>
                </c:pt>
                <c:pt idx="1077">
                  <c:v>20</c:v>
                </c:pt>
                <c:pt idx="1078">
                  <c:v>20</c:v>
                </c:pt>
                <c:pt idx="1079">
                  <c:v>20</c:v>
                </c:pt>
                <c:pt idx="1080">
                  <c:v>20</c:v>
                </c:pt>
                <c:pt idx="1081">
                  <c:v>20</c:v>
                </c:pt>
                <c:pt idx="1082">
                  <c:v>19</c:v>
                </c:pt>
                <c:pt idx="1083">
                  <c:v>19</c:v>
                </c:pt>
                <c:pt idx="1084">
                  <c:v>19</c:v>
                </c:pt>
                <c:pt idx="1085">
                  <c:v>19</c:v>
                </c:pt>
                <c:pt idx="1086">
                  <c:v>19</c:v>
                </c:pt>
                <c:pt idx="1087">
                  <c:v>19</c:v>
                </c:pt>
                <c:pt idx="1088">
                  <c:v>19</c:v>
                </c:pt>
                <c:pt idx="1089">
                  <c:v>18</c:v>
                </c:pt>
                <c:pt idx="1090">
                  <c:v>18</c:v>
                </c:pt>
                <c:pt idx="1091">
                  <c:v>18</c:v>
                </c:pt>
                <c:pt idx="1092">
                  <c:v>18</c:v>
                </c:pt>
                <c:pt idx="1093">
                  <c:v>18</c:v>
                </c:pt>
                <c:pt idx="1094">
                  <c:v>17</c:v>
                </c:pt>
                <c:pt idx="1095">
                  <c:v>17</c:v>
                </c:pt>
                <c:pt idx="1096">
                  <c:v>17</c:v>
                </c:pt>
                <c:pt idx="1097">
                  <c:v>17</c:v>
                </c:pt>
                <c:pt idx="1098">
                  <c:v>17</c:v>
                </c:pt>
                <c:pt idx="1099">
                  <c:v>17</c:v>
                </c:pt>
                <c:pt idx="1100">
                  <c:v>17</c:v>
                </c:pt>
                <c:pt idx="1101">
                  <c:v>16</c:v>
                </c:pt>
                <c:pt idx="1102">
                  <c:v>16</c:v>
                </c:pt>
                <c:pt idx="1103">
                  <c:v>16</c:v>
                </c:pt>
                <c:pt idx="1104">
                  <c:v>16</c:v>
                </c:pt>
                <c:pt idx="1105">
                  <c:v>16</c:v>
                </c:pt>
                <c:pt idx="1106">
                  <c:v>16</c:v>
                </c:pt>
                <c:pt idx="1107">
                  <c:v>16</c:v>
                </c:pt>
                <c:pt idx="1108">
                  <c:v>16</c:v>
                </c:pt>
                <c:pt idx="1109">
                  <c:v>16</c:v>
                </c:pt>
                <c:pt idx="1110">
                  <c:v>16</c:v>
                </c:pt>
                <c:pt idx="1111">
                  <c:v>15</c:v>
                </c:pt>
                <c:pt idx="1112">
                  <c:v>15</c:v>
                </c:pt>
                <c:pt idx="1113">
                  <c:v>15</c:v>
                </c:pt>
                <c:pt idx="1114">
                  <c:v>15</c:v>
                </c:pt>
                <c:pt idx="1115">
                  <c:v>15</c:v>
                </c:pt>
                <c:pt idx="1116">
                  <c:v>15</c:v>
                </c:pt>
                <c:pt idx="1117">
                  <c:v>15</c:v>
                </c:pt>
                <c:pt idx="1118">
                  <c:v>15</c:v>
                </c:pt>
                <c:pt idx="1119">
                  <c:v>15</c:v>
                </c:pt>
                <c:pt idx="1120">
                  <c:v>15</c:v>
                </c:pt>
                <c:pt idx="1121">
                  <c:v>15</c:v>
                </c:pt>
                <c:pt idx="1122">
                  <c:v>14</c:v>
                </c:pt>
                <c:pt idx="1123">
                  <c:v>14</c:v>
                </c:pt>
                <c:pt idx="1124">
                  <c:v>14</c:v>
                </c:pt>
                <c:pt idx="1125">
                  <c:v>14</c:v>
                </c:pt>
                <c:pt idx="1126">
                  <c:v>14</c:v>
                </c:pt>
                <c:pt idx="1127">
                  <c:v>14</c:v>
                </c:pt>
                <c:pt idx="1128">
                  <c:v>14</c:v>
                </c:pt>
                <c:pt idx="1129">
                  <c:v>13</c:v>
                </c:pt>
                <c:pt idx="1130">
                  <c:v>13</c:v>
                </c:pt>
                <c:pt idx="1131">
                  <c:v>13</c:v>
                </c:pt>
                <c:pt idx="1132">
                  <c:v>12</c:v>
                </c:pt>
                <c:pt idx="1133">
                  <c:v>12</c:v>
                </c:pt>
                <c:pt idx="1134">
                  <c:v>12</c:v>
                </c:pt>
                <c:pt idx="1135">
                  <c:v>12</c:v>
                </c:pt>
                <c:pt idx="1136">
                  <c:v>12</c:v>
                </c:pt>
                <c:pt idx="1137">
                  <c:v>12</c:v>
                </c:pt>
                <c:pt idx="1138">
                  <c:v>12</c:v>
                </c:pt>
                <c:pt idx="1139">
                  <c:v>12</c:v>
                </c:pt>
                <c:pt idx="1140">
                  <c:v>12</c:v>
                </c:pt>
                <c:pt idx="1141">
                  <c:v>11</c:v>
                </c:pt>
                <c:pt idx="1142">
                  <c:v>11</c:v>
                </c:pt>
                <c:pt idx="1143">
                  <c:v>11</c:v>
                </c:pt>
                <c:pt idx="1144">
                  <c:v>11</c:v>
                </c:pt>
                <c:pt idx="1145">
                  <c:v>11</c:v>
                </c:pt>
                <c:pt idx="1146">
                  <c:v>11</c:v>
                </c:pt>
                <c:pt idx="1147">
                  <c:v>11</c:v>
                </c:pt>
                <c:pt idx="1148">
                  <c:v>11</c:v>
                </c:pt>
                <c:pt idx="1149">
                  <c:v>11</c:v>
                </c:pt>
                <c:pt idx="1150">
                  <c:v>11</c:v>
                </c:pt>
                <c:pt idx="1151">
                  <c:v>11</c:v>
                </c:pt>
                <c:pt idx="1152">
                  <c:v>10</c:v>
                </c:pt>
                <c:pt idx="1153">
                  <c:v>10</c:v>
                </c:pt>
                <c:pt idx="1154">
                  <c:v>10</c:v>
                </c:pt>
                <c:pt idx="1155">
                  <c:v>10</c:v>
                </c:pt>
                <c:pt idx="1156">
                  <c:v>10</c:v>
                </c:pt>
                <c:pt idx="1157">
                  <c:v>10</c:v>
                </c:pt>
                <c:pt idx="1158">
                  <c:v>10</c:v>
                </c:pt>
                <c:pt idx="1159">
                  <c:v>9</c:v>
                </c:pt>
                <c:pt idx="1160">
                  <c:v>9</c:v>
                </c:pt>
                <c:pt idx="1161">
                  <c:v>9</c:v>
                </c:pt>
                <c:pt idx="1162">
                  <c:v>9</c:v>
                </c:pt>
                <c:pt idx="1163">
                  <c:v>9</c:v>
                </c:pt>
                <c:pt idx="1164">
                  <c:v>9</c:v>
                </c:pt>
                <c:pt idx="1165">
                  <c:v>9</c:v>
                </c:pt>
                <c:pt idx="1166">
                  <c:v>9</c:v>
                </c:pt>
                <c:pt idx="1167">
                  <c:v>9</c:v>
                </c:pt>
                <c:pt idx="1168">
                  <c:v>9</c:v>
                </c:pt>
                <c:pt idx="1169">
                  <c:v>9</c:v>
                </c:pt>
                <c:pt idx="1170">
                  <c:v>8</c:v>
                </c:pt>
                <c:pt idx="1171">
                  <c:v>8</c:v>
                </c:pt>
                <c:pt idx="1172">
                  <c:v>8</c:v>
                </c:pt>
                <c:pt idx="1173">
                  <c:v>8</c:v>
                </c:pt>
                <c:pt idx="1174">
                  <c:v>8</c:v>
                </c:pt>
                <c:pt idx="1175">
                  <c:v>8</c:v>
                </c:pt>
                <c:pt idx="1176">
                  <c:v>8</c:v>
                </c:pt>
                <c:pt idx="1177">
                  <c:v>8</c:v>
                </c:pt>
                <c:pt idx="1178">
                  <c:v>7</c:v>
                </c:pt>
                <c:pt idx="1179">
                  <c:v>7</c:v>
                </c:pt>
                <c:pt idx="1180">
                  <c:v>7</c:v>
                </c:pt>
                <c:pt idx="1181">
                  <c:v>7</c:v>
                </c:pt>
                <c:pt idx="1182">
                  <c:v>7</c:v>
                </c:pt>
                <c:pt idx="1183">
                  <c:v>7</c:v>
                </c:pt>
                <c:pt idx="1184">
                  <c:v>7</c:v>
                </c:pt>
                <c:pt idx="1185">
                  <c:v>7</c:v>
                </c:pt>
                <c:pt idx="1186">
                  <c:v>7</c:v>
                </c:pt>
                <c:pt idx="1187">
                  <c:v>7</c:v>
                </c:pt>
                <c:pt idx="1188">
                  <c:v>6</c:v>
                </c:pt>
                <c:pt idx="1189">
                  <c:v>6</c:v>
                </c:pt>
                <c:pt idx="1190">
                  <c:v>6</c:v>
                </c:pt>
                <c:pt idx="1191">
                  <c:v>6</c:v>
                </c:pt>
                <c:pt idx="1192">
                  <c:v>6</c:v>
                </c:pt>
                <c:pt idx="1193">
                  <c:v>6</c:v>
                </c:pt>
                <c:pt idx="1194">
                  <c:v>6</c:v>
                </c:pt>
                <c:pt idx="1195">
                  <c:v>6</c:v>
                </c:pt>
                <c:pt idx="1196">
                  <c:v>6</c:v>
                </c:pt>
                <c:pt idx="1197">
                  <c:v>6</c:v>
                </c:pt>
                <c:pt idx="1198">
                  <c:v>5</c:v>
                </c:pt>
                <c:pt idx="1199">
                  <c:v>5</c:v>
                </c:pt>
                <c:pt idx="1200">
                  <c:v>5</c:v>
                </c:pt>
                <c:pt idx="1201">
                  <c:v>5</c:v>
                </c:pt>
                <c:pt idx="1202">
                  <c:v>5</c:v>
                </c:pt>
                <c:pt idx="1203">
                  <c:v>5</c:v>
                </c:pt>
                <c:pt idx="1204">
                  <c:v>5</c:v>
                </c:pt>
                <c:pt idx="1205">
                  <c:v>5</c:v>
                </c:pt>
                <c:pt idx="1206">
                  <c:v>5</c:v>
                </c:pt>
                <c:pt idx="1207">
                  <c:v>5</c:v>
                </c:pt>
                <c:pt idx="1208">
                  <c:v>5</c:v>
                </c:pt>
                <c:pt idx="1209">
                  <c:v>5</c:v>
                </c:pt>
                <c:pt idx="1210">
                  <c:v>5</c:v>
                </c:pt>
                <c:pt idx="1211">
                  <c:v>4</c:v>
                </c:pt>
                <c:pt idx="1212">
                  <c:v>4</c:v>
                </c:pt>
                <c:pt idx="1213">
                  <c:v>4</c:v>
                </c:pt>
                <c:pt idx="1214">
                  <c:v>4</c:v>
                </c:pt>
                <c:pt idx="1215">
                  <c:v>4</c:v>
                </c:pt>
                <c:pt idx="1216">
                  <c:v>4</c:v>
                </c:pt>
                <c:pt idx="1217">
                  <c:v>4</c:v>
                </c:pt>
                <c:pt idx="1218">
                  <c:v>4</c:v>
                </c:pt>
                <c:pt idx="1219">
                  <c:v>4</c:v>
                </c:pt>
                <c:pt idx="1220">
                  <c:v>4</c:v>
                </c:pt>
                <c:pt idx="1221">
                  <c:v>4</c:v>
                </c:pt>
                <c:pt idx="1222">
                  <c:v>4</c:v>
                </c:pt>
                <c:pt idx="1223">
                  <c:v>4</c:v>
                </c:pt>
                <c:pt idx="1224">
                  <c:v>4</c:v>
                </c:pt>
                <c:pt idx="1225">
                  <c:v>3</c:v>
                </c:pt>
                <c:pt idx="1226">
                  <c:v>3</c:v>
                </c:pt>
                <c:pt idx="1227">
                  <c:v>3</c:v>
                </c:pt>
                <c:pt idx="1228">
                  <c:v>3</c:v>
                </c:pt>
                <c:pt idx="1229">
                  <c:v>3</c:v>
                </c:pt>
                <c:pt idx="1230">
                  <c:v>3</c:v>
                </c:pt>
                <c:pt idx="1231">
                  <c:v>3</c:v>
                </c:pt>
                <c:pt idx="1232">
                  <c:v>3</c:v>
                </c:pt>
                <c:pt idx="1233">
                  <c:v>3</c:v>
                </c:pt>
                <c:pt idx="1234">
                  <c:v>3</c:v>
                </c:pt>
                <c:pt idx="1235">
                  <c:v>3</c:v>
                </c:pt>
                <c:pt idx="1236">
                  <c:v>3</c:v>
                </c:pt>
                <c:pt idx="1237">
                  <c:v>3</c:v>
                </c:pt>
                <c:pt idx="1238">
                  <c:v>3</c:v>
                </c:pt>
                <c:pt idx="1239">
                  <c:v>3</c:v>
                </c:pt>
                <c:pt idx="1240">
                  <c:v>2</c:v>
                </c:pt>
                <c:pt idx="1241">
                  <c:v>2</c:v>
                </c:pt>
                <c:pt idx="1242">
                  <c:v>2</c:v>
                </c:pt>
                <c:pt idx="1243">
                  <c:v>2</c:v>
                </c:pt>
                <c:pt idx="1244">
                  <c:v>2</c:v>
                </c:pt>
                <c:pt idx="1245">
                  <c:v>2</c:v>
                </c:pt>
                <c:pt idx="1246">
                  <c:v>2</c:v>
                </c:pt>
                <c:pt idx="1247">
                  <c:v>2</c:v>
                </c:pt>
                <c:pt idx="1248">
                  <c:v>2</c:v>
                </c:pt>
                <c:pt idx="1249">
                  <c:v>2</c:v>
                </c:pt>
                <c:pt idx="1250">
                  <c:v>2</c:v>
                </c:pt>
                <c:pt idx="1251">
                  <c:v>2</c:v>
                </c:pt>
                <c:pt idx="1252">
                  <c:v>2</c:v>
                </c:pt>
                <c:pt idx="1253">
                  <c:v>2</c:v>
                </c:pt>
                <c:pt idx="1254">
                  <c:v>2</c:v>
                </c:pt>
                <c:pt idx="1255">
                  <c:v>2</c:v>
                </c:pt>
                <c:pt idx="1256">
                  <c:v>2</c:v>
                </c:pt>
                <c:pt idx="1257">
                  <c:v>2</c:v>
                </c:pt>
                <c:pt idx="1258">
                  <c:v>2</c:v>
                </c:pt>
                <c:pt idx="1259">
                  <c:v>2</c:v>
                </c:pt>
                <c:pt idx="1260">
                  <c:v>2</c:v>
                </c:pt>
                <c:pt idx="1261">
                  <c:v>1</c:v>
                </c:pt>
                <c:pt idx="1262">
                  <c:v>1</c:v>
                </c:pt>
                <c:pt idx="1263">
                  <c:v>1</c:v>
                </c:pt>
                <c:pt idx="1264">
                  <c:v>1</c:v>
                </c:pt>
                <c:pt idx="1265">
                  <c:v>1</c:v>
                </c:pt>
                <c:pt idx="1266">
                  <c:v>1</c:v>
                </c:pt>
                <c:pt idx="1267">
                  <c:v>1</c:v>
                </c:pt>
                <c:pt idx="1268">
                  <c:v>1</c:v>
                </c:pt>
                <c:pt idx="1269">
                  <c:v>1</c:v>
                </c:pt>
                <c:pt idx="1270">
                  <c:v>1</c:v>
                </c:pt>
                <c:pt idx="1271">
                  <c:v>1</c:v>
                </c:pt>
                <c:pt idx="1272">
                  <c:v>1</c:v>
                </c:pt>
                <c:pt idx="1273">
                  <c:v>1</c:v>
                </c:pt>
                <c:pt idx="1274">
                  <c:v>1</c:v>
                </c:pt>
                <c:pt idx="1275">
                  <c:v>1</c:v>
                </c:pt>
                <c:pt idx="1276">
                  <c:v>1</c:v>
                </c:pt>
                <c:pt idx="1277">
                  <c:v>1</c:v>
                </c:pt>
                <c:pt idx="1278">
                  <c:v>1</c:v>
                </c:pt>
                <c:pt idx="1279">
                  <c:v>1</c:v>
                </c:pt>
                <c:pt idx="1280">
                  <c:v>1</c:v>
                </c:pt>
                <c:pt idx="1281">
                  <c:v>1</c:v>
                </c:pt>
                <c:pt idx="1282">
                  <c:v>1</c:v>
                </c:pt>
                <c:pt idx="1283">
                  <c:v>1</c:v>
                </c:pt>
                <c:pt idx="1284">
                  <c:v>1</c:v>
                </c:pt>
                <c:pt idx="1285">
                  <c:v>1</c:v>
                </c:pt>
                <c:pt idx="1286">
                  <c:v>1</c:v>
                </c:pt>
                <c:pt idx="1287">
                  <c:v>1</c:v>
                </c:pt>
                <c:pt idx="1288">
                  <c:v>1</c:v>
                </c:pt>
                <c:pt idx="1289">
                  <c:v>1</c:v>
                </c:pt>
                <c:pt idx="1290">
                  <c:v>1</c:v>
                </c:pt>
                <c:pt idx="1291">
                  <c:v>1</c:v>
                </c:pt>
                <c:pt idx="1292">
                  <c:v>1</c:v>
                </c:pt>
                <c:pt idx="1293">
                  <c:v>1</c:v>
                </c:pt>
                <c:pt idx="1294">
                  <c:v>1</c:v>
                </c:pt>
                <c:pt idx="1295">
                  <c:v>1</c:v>
                </c:pt>
                <c:pt idx="1296">
                  <c:v>1</c:v>
                </c:pt>
                <c:pt idx="1297">
                  <c:v>1</c:v>
                </c:pt>
                <c:pt idx="1298">
                  <c:v>1</c:v>
                </c:pt>
                <c:pt idx="1299">
                  <c:v>1</c:v>
                </c:pt>
                <c:pt idx="1300">
                  <c:v>1</c:v>
                </c:pt>
                <c:pt idx="1301">
                  <c:v>1</c:v>
                </c:pt>
                <c:pt idx="1302">
                  <c:v>1</c:v>
                </c:pt>
                <c:pt idx="1303">
                  <c:v>1</c:v>
                </c:pt>
                <c:pt idx="1304">
                  <c:v>1</c:v>
                </c:pt>
                <c:pt idx="1305">
                  <c:v>1</c:v>
                </c:pt>
                <c:pt idx="1306">
                  <c:v>1</c:v>
                </c:pt>
                <c:pt idx="1307">
                  <c:v>1</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numCache>
            </c:numRef>
          </c:yVal>
          <c:smooth val="0"/>
        </c:ser>
        <c:dLbls>
          <c:showLegendKey val="0"/>
          <c:showVal val="0"/>
          <c:showCatName val="0"/>
          <c:showSerName val="0"/>
          <c:showPercent val="0"/>
          <c:showBubbleSize val="0"/>
        </c:dLbls>
        <c:axId val="88303872"/>
        <c:axId val="158532352"/>
      </c:scatterChart>
      <c:valAx>
        <c:axId val="88303872"/>
        <c:scaling>
          <c:orientation val="minMax"/>
          <c:max val="1700"/>
          <c:min val="200"/>
        </c:scaling>
        <c:delete val="0"/>
        <c:axPos val="b"/>
        <c:title>
          <c:tx>
            <c:rich>
              <a:bodyPr/>
              <a:lstStyle/>
              <a:p>
                <a:pPr>
                  <a:defRPr/>
                </a:pPr>
                <a:r>
                  <a:rPr lang="en-AU"/>
                  <a:t>Qualifications (ordered by enrolments)</a:t>
                </a:r>
              </a:p>
            </c:rich>
          </c:tx>
          <c:overlay val="0"/>
        </c:title>
        <c:majorTickMark val="out"/>
        <c:minorTickMark val="none"/>
        <c:tickLblPos val="nextTo"/>
        <c:crossAx val="158532352"/>
        <c:crosses val="autoZero"/>
        <c:crossBetween val="midCat"/>
      </c:valAx>
      <c:valAx>
        <c:axId val="158532352"/>
        <c:scaling>
          <c:orientation val="minMax"/>
        </c:scaling>
        <c:delete val="0"/>
        <c:axPos val="l"/>
        <c:numFmt formatCode="General" sourceLinked="1"/>
        <c:majorTickMark val="out"/>
        <c:minorTickMark val="none"/>
        <c:tickLblPos val="nextTo"/>
        <c:crossAx val="88303872"/>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46959755030621"/>
          <c:y val="4.6612033961851859E-2"/>
          <c:w val="0.80686299195382294"/>
          <c:h val="0.79539333624963549"/>
        </c:manualLayout>
      </c:layout>
      <c:barChart>
        <c:barDir val="col"/>
        <c:grouping val="clustered"/>
        <c:varyColors val="0"/>
        <c:ser>
          <c:idx val="0"/>
          <c:order val="0"/>
          <c:spPr>
            <a:solidFill>
              <a:sysClr val="windowText" lastClr="000000"/>
            </a:solidFill>
          </c:spPr>
          <c:invertIfNegative val="0"/>
          <c:dPt>
            <c:idx val="1"/>
            <c:invertIfNegative val="0"/>
            <c:bubble3D val="0"/>
          </c:dPt>
          <c:dPt>
            <c:idx val="2"/>
            <c:invertIfNegative val="0"/>
            <c:bubble3D val="0"/>
          </c:dPt>
          <c:val>
            <c:numRef>
              <c:f>'Figure 7-9 and Table 3'!$D$2:$D$78</c:f>
              <c:numCache>
                <c:formatCode>General</c:formatCode>
                <c:ptCount val="77"/>
                <c:pt idx="0">
                  <c:v>458772</c:v>
                </c:pt>
                <c:pt idx="1">
                  <c:v>362628</c:v>
                </c:pt>
                <c:pt idx="2">
                  <c:v>230772</c:v>
                </c:pt>
                <c:pt idx="3">
                  <c:v>205934</c:v>
                </c:pt>
                <c:pt idx="4">
                  <c:v>128022</c:v>
                </c:pt>
                <c:pt idx="5">
                  <c:v>118466</c:v>
                </c:pt>
                <c:pt idx="6">
                  <c:v>113473</c:v>
                </c:pt>
                <c:pt idx="7">
                  <c:v>106307</c:v>
                </c:pt>
                <c:pt idx="8">
                  <c:v>103537</c:v>
                </c:pt>
                <c:pt idx="9">
                  <c:v>99402</c:v>
                </c:pt>
                <c:pt idx="10">
                  <c:v>82528</c:v>
                </c:pt>
                <c:pt idx="11">
                  <c:v>72558</c:v>
                </c:pt>
                <c:pt idx="12">
                  <c:v>61601</c:v>
                </c:pt>
                <c:pt idx="13">
                  <c:v>60002</c:v>
                </c:pt>
                <c:pt idx="14">
                  <c:v>59418</c:v>
                </c:pt>
                <c:pt idx="15">
                  <c:v>58772</c:v>
                </c:pt>
                <c:pt idx="16">
                  <c:v>51405</c:v>
                </c:pt>
                <c:pt idx="17">
                  <c:v>32207</c:v>
                </c:pt>
                <c:pt idx="18">
                  <c:v>29605</c:v>
                </c:pt>
                <c:pt idx="19">
                  <c:v>23571</c:v>
                </c:pt>
                <c:pt idx="20">
                  <c:v>22125</c:v>
                </c:pt>
                <c:pt idx="21">
                  <c:v>22054</c:v>
                </c:pt>
                <c:pt idx="22">
                  <c:v>20605</c:v>
                </c:pt>
                <c:pt idx="23">
                  <c:v>20117</c:v>
                </c:pt>
                <c:pt idx="24">
                  <c:v>19553</c:v>
                </c:pt>
                <c:pt idx="25">
                  <c:v>17005</c:v>
                </c:pt>
                <c:pt idx="26">
                  <c:v>13367</c:v>
                </c:pt>
                <c:pt idx="27">
                  <c:v>13208</c:v>
                </c:pt>
                <c:pt idx="28">
                  <c:v>13058</c:v>
                </c:pt>
                <c:pt idx="29">
                  <c:v>11584</c:v>
                </c:pt>
                <c:pt idx="30">
                  <c:v>11362</c:v>
                </c:pt>
                <c:pt idx="31">
                  <c:v>10176</c:v>
                </c:pt>
                <c:pt idx="32">
                  <c:v>7468</c:v>
                </c:pt>
                <c:pt idx="33">
                  <c:v>7362</c:v>
                </c:pt>
                <c:pt idx="34">
                  <c:v>6962</c:v>
                </c:pt>
                <c:pt idx="35">
                  <c:v>6333</c:v>
                </c:pt>
                <c:pt idx="36">
                  <c:v>6211</c:v>
                </c:pt>
                <c:pt idx="37">
                  <c:v>4897</c:v>
                </c:pt>
                <c:pt idx="38">
                  <c:v>4048</c:v>
                </c:pt>
                <c:pt idx="39">
                  <c:v>3882</c:v>
                </c:pt>
                <c:pt idx="40">
                  <c:v>3475</c:v>
                </c:pt>
                <c:pt idx="41">
                  <c:v>3079</c:v>
                </c:pt>
                <c:pt idx="42">
                  <c:v>2871</c:v>
                </c:pt>
                <c:pt idx="43">
                  <c:v>2732</c:v>
                </c:pt>
                <c:pt idx="44">
                  <c:v>2660</c:v>
                </c:pt>
                <c:pt idx="45">
                  <c:v>2149</c:v>
                </c:pt>
                <c:pt idx="46">
                  <c:v>2027</c:v>
                </c:pt>
                <c:pt idx="47">
                  <c:v>1591</c:v>
                </c:pt>
                <c:pt idx="48">
                  <c:v>1421</c:v>
                </c:pt>
                <c:pt idx="49">
                  <c:v>1371</c:v>
                </c:pt>
                <c:pt idx="50">
                  <c:v>1336</c:v>
                </c:pt>
                <c:pt idx="51">
                  <c:v>992</c:v>
                </c:pt>
                <c:pt idx="52">
                  <c:v>708</c:v>
                </c:pt>
                <c:pt idx="53">
                  <c:v>686</c:v>
                </c:pt>
                <c:pt idx="54">
                  <c:v>203</c:v>
                </c:pt>
                <c:pt idx="55">
                  <c:v>156</c:v>
                </c:pt>
                <c:pt idx="56">
                  <c:v>112</c:v>
                </c:pt>
                <c:pt idx="57">
                  <c:v>101</c:v>
                </c:pt>
                <c:pt idx="58">
                  <c:v>89</c:v>
                </c:pt>
                <c:pt idx="59">
                  <c:v>83</c:v>
                </c:pt>
                <c:pt idx="60">
                  <c:v>71</c:v>
                </c:pt>
                <c:pt idx="61">
                  <c:v>66</c:v>
                </c:pt>
                <c:pt idx="62">
                  <c:v>64</c:v>
                </c:pt>
                <c:pt idx="63">
                  <c:v>47</c:v>
                </c:pt>
                <c:pt idx="64">
                  <c:v>20</c:v>
                </c:pt>
                <c:pt idx="65">
                  <c:v>14</c:v>
                </c:pt>
                <c:pt idx="66">
                  <c:v>8</c:v>
                </c:pt>
                <c:pt idx="67">
                  <c:v>8</c:v>
                </c:pt>
                <c:pt idx="68">
                  <c:v>3</c:v>
                </c:pt>
                <c:pt idx="69">
                  <c:v>2</c:v>
                </c:pt>
                <c:pt idx="70">
                  <c:v>1</c:v>
                </c:pt>
                <c:pt idx="71">
                  <c:v>1</c:v>
                </c:pt>
                <c:pt idx="72">
                  <c:v>1</c:v>
                </c:pt>
                <c:pt idx="73">
                  <c:v>1</c:v>
                </c:pt>
                <c:pt idx="74">
                  <c:v>0</c:v>
                </c:pt>
                <c:pt idx="75">
                  <c:v>0</c:v>
                </c:pt>
                <c:pt idx="76">
                  <c:v>0</c:v>
                </c:pt>
              </c:numCache>
            </c:numRef>
          </c:val>
        </c:ser>
        <c:dLbls>
          <c:showLegendKey val="0"/>
          <c:showVal val="0"/>
          <c:showCatName val="0"/>
          <c:showSerName val="0"/>
          <c:showPercent val="0"/>
          <c:showBubbleSize val="0"/>
        </c:dLbls>
        <c:gapWidth val="150"/>
        <c:axId val="158558464"/>
        <c:axId val="158572928"/>
      </c:barChart>
      <c:catAx>
        <c:axId val="158558464"/>
        <c:scaling>
          <c:orientation val="minMax"/>
        </c:scaling>
        <c:delete val="1"/>
        <c:axPos val="b"/>
        <c:title>
          <c:tx>
            <c:rich>
              <a:bodyPr/>
              <a:lstStyle/>
              <a:p>
                <a:pPr>
                  <a:defRPr/>
                </a:pPr>
                <a:r>
                  <a:rPr lang="en-AU"/>
                  <a:t>Training</a:t>
                </a:r>
                <a:r>
                  <a:rPr lang="en-AU" baseline="0"/>
                  <a:t> packages (ordered by enrolments)</a:t>
                </a:r>
                <a:endParaRPr lang="en-AU"/>
              </a:p>
            </c:rich>
          </c:tx>
          <c:layout/>
          <c:overlay val="0"/>
        </c:title>
        <c:numFmt formatCode="General" sourceLinked="1"/>
        <c:majorTickMark val="out"/>
        <c:minorTickMark val="none"/>
        <c:tickLblPos val="nextTo"/>
        <c:crossAx val="158572928"/>
        <c:crosses val="autoZero"/>
        <c:auto val="1"/>
        <c:lblAlgn val="ctr"/>
        <c:lblOffset val="100"/>
        <c:noMultiLvlLbl val="0"/>
      </c:catAx>
      <c:valAx>
        <c:axId val="158572928"/>
        <c:scaling>
          <c:orientation val="minMax"/>
        </c:scaling>
        <c:delete val="0"/>
        <c:axPos val="l"/>
        <c:title>
          <c:tx>
            <c:rich>
              <a:bodyPr rot="-5400000" vert="horz"/>
              <a:lstStyle/>
              <a:p>
                <a:pPr>
                  <a:defRPr/>
                </a:pPr>
                <a:r>
                  <a:rPr lang="en-AU"/>
                  <a:t>Enrolments</a:t>
                </a:r>
              </a:p>
            </c:rich>
          </c:tx>
          <c:layout/>
          <c:overlay val="0"/>
        </c:title>
        <c:numFmt formatCode="General" sourceLinked="1"/>
        <c:majorTickMark val="out"/>
        <c:minorTickMark val="none"/>
        <c:tickLblPos val="nextTo"/>
        <c:crossAx val="15855846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39539"/>
            </a:solidFill>
          </c:spPr>
          <c:invertIfNegative val="0"/>
          <c:dPt>
            <c:idx val="1"/>
            <c:invertIfNegative val="0"/>
            <c:bubble3D val="0"/>
          </c:dPt>
          <c:dPt>
            <c:idx val="2"/>
            <c:invertIfNegative val="0"/>
            <c:bubble3D val="0"/>
          </c:dPt>
          <c:val>
            <c:numRef>
              <c:f>'Figure 7-9 and Table 3'!$D$2:$D$21</c:f>
              <c:numCache>
                <c:formatCode>General</c:formatCode>
                <c:ptCount val="20"/>
                <c:pt idx="0">
                  <c:v>458772</c:v>
                </c:pt>
                <c:pt idx="1">
                  <c:v>362628</c:v>
                </c:pt>
                <c:pt idx="2">
                  <c:v>230772</c:v>
                </c:pt>
                <c:pt idx="3">
                  <c:v>205934</c:v>
                </c:pt>
                <c:pt idx="4">
                  <c:v>128022</c:v>
                </c:pt>
                <c:pt idx="5">
                  <c:v>118466</c:v>
                </c:pt>
                <c:pt idx="6">
                  <c:v>113473</c:v>
                </c:pt>
                <c:pt idx="7">
                  <c:v>106307</c:v>
                </c:pt>
                <c:pt idx="8">
                  <c:v>103537</c:v>
                </c:pt>
                <c:pt idx="9">
                  <c:v>99402</c:v>
                </c:pt>
                <c:pt idx="10">
                  <c:v>82528</c:v>
                </c:pt>
                <c:pt idx="11">
                  <c:v>72558</c:v>
                </c:pt>
                <c:pt idx="12">
                  <c:v>61601</c:v>
                </c:pt>
                <c:pt idx="13">
                  <c:v>60002</c:v>
                </c:pt>
                <c:pt idx="14">
                  <c:v>59418</c:v>
                </c:pt>
                <c:pt idx="15">
                  <c:v>58772</c:v>
                </c:pt>
                <c:pt idx="16">
                  <c:v>51405</c:v>
                </c:pt>
                <c:pt idx="17">
                  <c:v>32207</c:v>
                </c:pt>
                <c:pt idx="18">
                  <c:v>29605</c:v>
                </c:pt>
                <c:pt idx="19">
                  <c:v>23571</c:v>
                </c:pt>
              </c:numCache>
            </c:numRef>
          </c:val>
        </c:ser>
        <c:dLbls>
          <c:showLegendKey val="0"/>
          <c:showVal val="0"/>
          <c:showCatName val="0"/>
          <c:showSerName val="0"/>
          <c:showPercent val="0"/>
          <c:showBubbleSize val="0"/>
        </c:dLbls>
        <c:gapWidth val="150"/>
        <c:axId val="158631040"/>
        <c:axId val="158632960"/>
      </c:barChart>
      <c:catAx>
        <c:axId val="158631040"/>
        <c:scaling>
          <c:orientation val="minMax"/>
        </c:scaling>
        <c:delete val="0"/>
        <c:axPos val="b"/>
        <c:title>
          <c:tx>
            <c:rich>
              <a:bodyPr/>
              <a:lstStyle/>
              <a:p>
                <a:pPr>
                  <a:defRPr/>
                </a:pPr>
                <a:r>
                  <a:rPr lang="en-AU"/>
                  <a:t>Training</a:t>
                </a:r>
                <a:r>
                  <a:rPr lang="en-AU" baseline="0"/>
                  <a:t> packages (ordered by enrolments)</a:t>
                </a:r>
                <a:endParaRPr lang="en-AU"/>
              </a:p>
            </c:rich>
          </c:tx>
          <c:layout/>
          <c:overlay val="0"/>
        </c:title>
        <c:numFmt formatCode="General" sourceLinked="1"/>
        <c:majorTickMark val="out"/>
        <c:minorTickMark val="none"/>
        <c:tickLblPos val="nextTo"/>
        <c:crossAx val="158632960"/>
        <c:crosses val="autoZero"/>
        <c:auto val="1"/>
        <c:lblAlgn val="ctr"/>
        <c:lblOffset val="100"/>
        <c:noMultiLvlLbl val="0"/>
      </c:catAx>
      <c:valAx>
        <c:axId val="158632960"/>
        <c:scaling>
          <c:orientation val="minMax"/>
        </c:scaling>
        <c:delete val="0"/>
        <c:axPos val="l"/>
        <c:title>
          <c:tx>
            <c:rich>
              <a:bodyPr rot="-5400000" vert="horz"/>
              <a:lstStyle/>
              <a:p>
                <a:pPr>
                  <a:defRPr/>
                </a:pPr>
                <a:r>
                  <a:rPr lang="en-AU"/>
                  <a:t>Enrolments</a:t>
                </a:r>
              </a:p>
            </c:rich>
          </c:tx>
          <c:layout/>
          <c:overlay val="0"/>
        </c:title>
        <c:numFmt formatCode="General" sourceLinked="1"/>
        <c:majorTickMark val="out"/>
        <c:minorTickMark val="none"/>
        <c:tickLblPos val="nextTo"/>
        <c:crossAx val="158631040"/>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78278B"/>
            </a:solidFill>
          </c:spPr>
          <c:invertIfNegative val="0"/>
          <c:dPt>
            <c:idx val="1"/>
            <c:invertIfNegative val="0"/>
            <c:bubble3D val="0"/>
          </c:dPt>
          <c:dPt>
            <c:idx val="2"/>
            <c:invertIfNegative val="0"/>
            <c:bubble3D val="0"/>
          </c:dPt>
          <c:cat>
            <c:numRef>
              <c:f>'Figure 7-9 and Table 3'!$A$22:$A$78</c:f>
              <c:numCache>
                <c:formatCode>General</c:formatCode>
                <c:ptCount val="57"/>
                <c:pt idx="0">
                  <c:v>21</c:v>
                </c:pt>
                <c:pt idx="1">
                  <c:v>22</c:v>
                </c:pt>
                <c:pt idx="2">
                  <c:v>23</c:v>
                </c:pt>
                <c:pt idx="3">
                  <c:v>24</c:v>
                </c:pt>
                <c:pt idx="4">
                  <c:v>25</c:v>
                </c:pt>
                <c:pt idx="5">
                  <c:v>26</c:v>
                </c:pt>
                <c:pt idx="6">
                  <c:v>27</c:v>
                </c:pt>
                <c:pt idx="7">
                  <c:v>28</c:v>
                </c:pt>
                <c:pt idx="8">
                  <c:v>29</c:v>
                </c:pt>
                <c:pt idx="9">
                  <c:v>30</c:v>
                </c:pt>
                <c:pt idx="10">
                  <c:v>31</c:v>
                </c:pt>
                <c:pt idx="11">
                  <c:v>32</c:v>
                </c:pt>
                <c:pt idx="12">
                  <c:v>33</c:v>
                </c:pt>
                <c:pt idx="13">
                  <c:v>34</c:v>
                </c:pt>
                <c:pt idx="14">
                  <c:v>35</c:v>
                </c:pt>
                <c:pt idx="15">
                  <c:v>36</c:v>
                </c:pt>
                <c:pt idx="16">
                  <c:v>37</c:v>
                </c:pt>
                <c:pt idx="17">
                  <c:v>38</c:v>
                </c:pt>
                <c:pt idx="18">
                  <c:v>39</c:v>
                </c:pt>
                <c:pt idx="19">
                  <c:v>40</c:v>
                </c:pt>
                <c:pt idx="20">
                  <c:v>41</c:v>
                </c:pt>
                <c:pt idx="21">
                  <c:v>42</c:v>
                </c:pt>
                <c:pt idx="22">
                  <c:v>43</c:v>
                </c:pt>
                <c:pt idx="23">
                  <c:v>44</c:v>
                </c:pt>
                <c:pt idx="24">
                  <c:v>45</c:v>
                </c:pt>
                <c:pt idx="25">
                  <c:v>46</c:v>
                </c:pt>
                <c:pt idx="26">
                  <c:v>47</c:v>
                </c:pt>
                <c:pt idx="27">
                  <c:v>48</c:v>
                </c:pt>
                <c:pt idx="28">
                  <c:v>49</c:v>
                </c:pt>
                <c:pt idx="29">
                  <c:v>50</c:v>
                </c:pt>
                <c:pt idx="30">
                  <c:v>51</c:v>
                </c:pt>
                <c:pt idx="31">
                  <c:v>52</c:v>
                </c:pt>
                <c:pt idx="32">
                  <c:v>53</c:v>
                </c:pt>
                <c:pt idx="33">
                  <c:v>54</c:v>
                </c:pt>
                <c:pt idx="34">
                  <c:v>55</c:v>
                </c:pt>
                <c:pt idx="35">
                  <c:v>56</c:v>
                </c:pt>
                <c:pt idx="36">
                  <c:v>57</c:v>
                </c:pt>
                <c:pt idx="37">
                  <c:v>58</c:v>
                </c:pt>
                <c:pt idx="38">
                  <c:v>59</c:v>
                </c:pt>
                <c:pt idx="39">
                  <c:v>60</c:v>
                </c:pt>
                <c:pt idx="40">
                  <c:v>61</c:v>
                </c:pt>
                <c:pt idx="41">
                  <c:v>62</c:v>
                </c:pt>
                <c:pt idx="42">
                  <c:v>63</c:v>
                </c:pt>
                <c:pt idx="43">
                  <c:v>64</c:v>
                </c:pt>
                <c:pt idx="44">
                  <c:v>65</c:v>
                </c:pt>
                <c:pt idx="45">
                  <c:v>66</c:v>
                </c:pt>
                <c:pt idx="46">
                  <c:v>67</c:v>
                </c:pt>
                <c:pt idx="47">
                  <c:v>68</c:v>
                </c:pt>
                <c:pt idx="48">
                  <c:v>69</c:v>
                </c:pt>
                <c:pt idx="49">
                  <c:v>70</c:v>
                </c:pt>
                <c:pt idx="50">
                  <c:v>71</c:v>
                </c:pt>
                <c:pt idx="51">
                  <c:v>72</c:v>
                </c:pt>
                <c:pt idx="52">
                  <c:v>73</c:v>
                </c:pt>
                <c:pt idx="53">
                  <c:v>74</c:v>
                </c:pt>
                <c:pt idx="54">
                  <c:v>75</c:v>
                </c:pt>
                <c:pt idx="55">
                  <c:v>76</c:v>
                </c:pt>
                <c:pt idx="56">
                  <c:v>77</c:v>
                </c:pt>
              </c:numCache>
            </c:numRef>
          </c:cat>
          <c:val>
            <c:numRef>
              <c:f>'Figure 7-9 and Table 3'!$D$22:$D$78</c:f>
              <c:numCache>
                <c:formatCode>General</c:formatCode>
                <c:ptCount val="57"/>
                <c:pt idx="0">
                  <c:v>22125</c:v>
                </c:pt>
                <c:pt idx="1">
                  <c:v>22054</c:v>
                </c:pt>
                <c:pt idx="2">
                  <c:v>20605</c:v>
                </c:pt>
                <c:pt idx="3">
                  <c:v>20117</c:v>
                </c:pt>
                <c:pt idx="4">
                  <c:v>19553</c:v>
                </c:pt>
                <c:pt idx="5">
                  <c:v>17005</c:v>
                </c:pt>
                <c:pt idx="6">
                  <c:v>13367</c:v>
                </c:pt>
                <c:pt idx="7">
                  <c:v>13208</c:v>
                </c:pt>
                <c:pt idx="8">
                  <c:v>13058</c:v>
                </c:pt>
                <c:pt idx="9">
                  <c:v>11584</c:v>
                </c:pt>
                <c:pt idx="10">
                  <c:v>11362</c:v>
                </c:pt>
                <c:pt idx="11">
                  <c:v>10176</c:v>
                </c:pt>
                <c:pt idx="12">
                  <c:v>7468</c:v>
                </c:pt>
                <c:pt idx="13">
                  <c:v>7362</c:v>
                </c:pt>
                <c:pt idx="14">
                  <c:v>6962</c:v>
                </c:pt>
                <c:pt idx="15">
                  <c:v>6333</c:v>
                </c:pt>
                <c:pt idx="16">
                  <c:v>6211</c:v>
                </c:pt>
                <c:pt idx="17">
                  <c:v>4897</c:v>
                </c:pt>
                <c:pt idx="18">
                  <c:v>4048</c:v>
                </c:pt>
                <c:pt idx="19">
                  <c:v>3882</c:v>
                </c:pt>
                <c:pt idx="20">
                  <c:v>3475</c:v>
                </c:pt>
                <c:pt idx="21">
                  <c:v>3079</c:v>
                </c:pt>
                <c:pt idx="22">
                  <c:v>2871</c:v>
                </c:pt>
                <c:pt idx="23">
                  <c:v>2732</c:v>
                </c:pt>
                <c:pt idx="24">
                  <c:v>2660</c:v>
                </c:pt>
                <c:pt idx="25">
                  <c:v>2149</c:v>
                </c:pt>
                <c:pt idx="26">
                  <c:v>2027</c:v>
                </c:pt>
                <c:pt idx="27">
                  <c:v>1591</c:v>
                </c:pt>
                <c:pt idx="28">
                  <c:v>1421</c:v>
                </c:pt>
                <c:pt idx="29">
                  <c:v>1371</c:v>
                </c:pt>
                <c:pt idx="30">
                  <c:v>1336</c:v>
                </c:pt>
                <c:pt idx="31">
                  <c:v>992</c:v>
                </c:pt>
                <c:pt idx="32">
                  <c:v>708</c:v>
                </c:pt>
                <c:pt idx="33">
                  <c:v>686</c:v>
                </c:pt>
                <c:pt idx="34">
                  <c:v>203</c:v>
                </c:pt>
                <c:pt idx="35">
                  <c:v>156</c:v>
                </c:pt>
                <c:pt idx="36">
                  <c:v>112</c:v>
                </c:pt>
                <c:pt idx="37">
                  <c:v>101</c:v>
                </c:pt>
                <c:pt idx="38">
                  <c:v>89</c:v>
                </c:pt>
                <c:pt idx="39">
                  <c:v>83</c:v>
                </c:pt>
                <c:pt idx="40">
                  <c:v>71</c:v>
                </c:pt>
                <c:pt idx="41">
                  <c:v>66</c:v>
                </c:pt>
                <c:pt idx="42">
                  <c:v>64</c:v>
                </c:pt>
                <c:pt idx="43">
                  <c:v>47</c:v>
                </c:pt>
                <c:pt idx="44">
                  <c:v>20</c:v>
                </c:pt>
                <c:pt idx="45">
                  <c:v>14</c:v>
                </c:pt>
                <c:pt idx="46">
                  <c:v>8</c:v>
                </c:pt>
                <c:pt idx="47">
                  <c:v>8</c:v>
                </c:pt>
                <c:pt idx="48">
                  <c:v>3</c:v>
                </c:pt>
                <c:pt idx="49">
                  <c:v>2</c:v>
                </c:pt>
                <c:pt idx="50">
                  <c:v>1</c:v>
                </c:pt>
                <c:pt idx="51">
                  <c:v>1</c:v>
                </c:pt>
                <c:pt idx="52">
                  <c:v>1</c:v>
                </c:pt>
                <c:pt idx="53">
                  <c:v>1</c:v>
                </c:pt>
                <c:pt idx="54">
                  <c:v>0</c:v>
                </c:pt>
                <c:pt idx="55">
                  <c:v>0</c:v>
                </c:pt>
                <c:pt idx="56">
                  <c:v>0</c:v>
                </c:pt>
              </c:numCache>
            </c:numRef>
          </c:val>
        </c:ser>
        <c:dLbls>
          <c:showLegendKey val="0"/>
          <c:showVal val="0"/>
          <c:showCatName val="0"/>
          <c:showSerName val="0"/>
          <c:showPercent val="0"/>
          <c:showBubbleSize val="0"/>
        </c:dLbls>
        <c:gapWidth val="150"/>
        <c:axId val="158347264"/>
        <c:axId val="158349184"/>
      </c:barChart>
      <c:catAx>
        <c:axId val="158347264"/>
        <c:scaling>
          <c:orientation val="minMax"/>
        </c:scaling>
        <c:delete val="0"/>
        <c:axPos val="b"/>
        <c:title>
          <c:tx>
            <c:rich>
              <a:bodyPr/>
              <a:lstStyle/>
              <a:p>
                <a:pPr>
                  <a:defRPr/>
                </a:pPr>
                <a:r>
                  <a:rPr lang="en-AU"/>
                  <a:t>Training</a:t>
                </a:r>
                <a:r>
                  <a:rPr lang="en-AU" baseline="0"/>
                  <a:t> packages (ordered by enrolments)</a:t>
                </a:r>
                <a:endParaRPr lang="en-AU"/>
              </a:p>
            </c:rich>
          </c:tx>
          <c:layout/>
          <c:overlay val="0"/>
        </c:title>
        <c:numFmt formatCode="General" sourceLinked="1"/>
        <c:majorTickMark val="out"/>
        <c:minorTickMark val="none"/>
        <c:tickLblPos val="nextTo"/>
        <c:crossAx val="158349184"/>
        <c:crosses val="autoZero"/>
        <c:auto val="1"/>
        <c:lblAlgn val="ctr"/>
        <c:lblOffset val="100"/>
        <c:noMultiLvlLbl val="0"/>
      </c:catAx>
      <c:valAx>
        <c:axId val="158349184"/>
        <c:scaling>
          <c:orientation val="minMax"/>
        </c:scaling>
        <c:delete val="0"/>
        <c:axPos val="l"/>
        <c:title>
          <c:tx>
            <c:rich>
              <a:bodyPr rot="-5400000" vert="horz"/>
              <a:lstStyle/>
              <a:p>
                <a:pPr>
                  <a:defRPr/>
                </a:pPr>
                <a:r>
                  <a:rPr lang="en-AU"/>
                  <a:t>Enrolments</a:t>
                </a:r>
              </a:p>
            </c:rich>
          </c:tx>
          <c:layout/>
          <c:overlay val="0"/>
        </c:title>
        <c:numFmt formatCode="General" sourceLinked="1"/>
        <c:majorTickMark val="out"/>
        <c:minorTickMark val="none"/>
        <c:tickLblPos val="nextTo"/>
        <c:crossAx val="158347264"/>
        <c:crosses val="autoZero"/>
        <c:crossBetween val="between"/>
      </c:valAx>
      <c:spPr>
        <a:noFill/>
        <a:ln w="25400">
          <a:noFill/>
        </a:ln>
      </c:spPr>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0.4759</cdr:x>
      <cdr:y>0.04861</cdr:y>
    </cdr:from>
    <cdr:to>
      <cdr:x>0.47831</cdr:x>
      <cdr:y>0.74653</cdr:y>
    </cdr:to>
    <cdr:cxnSp macro="">
      <cdr:nvCxnSpPr>
        <cdr:cNvPr id="5" name="Straight Connector 4"/>
        <cdr:cNvCxnSpPr/>
      </cdr:nvCxnSpPr>
      <cdr:spPr>
        <a:xfrm xmlns:a="http://schemas.openxmlformats.org/drawingml/2006/main" flipV="1">
          <a:off x="1881188" y="133350"/>
          <a:ext cx="9525" cy="1914525"/>
        </a:xfrm>
        <a:prstGeom xmlns:a="http://schemas.openxmlformats.org/drawingml/2006/main" prst="line">
          <a:avLst/>
        </a:prstGeom>
        <a:ln xmlns:a="http://schemas.openxmlformats.org/drawingml/2006/main" w="12700">
          <a:solidFill>
            <a:sysClr val="windowText" lastClr="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0.10157</cdr:x>
      <cdr:y>0.06107</cdr:y>
    </cdr:from>
    <cdr:to>
      <cdr:x>0.20369</cdr:x>
      <cdr:y>0.80811</cdr:y>
    </cdr:to>
    <cdr:sp macro="" textlink="">
      <cdr:nvSpPr>
        <cdr:cNvPr id="2" name="TextBox 1"/>
        <cdr:cNvSpPr txBox="1"/>
      </cdr:nvSpPr>
      <cdr:spPr>
        <a:xfrm xmlns:a="http://schemas.openxmlformats.org/drawingml/2006/main">
          <a:off x="511924" y="245164"/>
          <a:ext cx="514652" cy="2998969"/>
        </a:xfrm>
        <a:prstGeom xmlns:a="http://schemas.openxmlformats.org/drawingml/2006/main" prst="rect">
          <a:avLst/>
        </a:prstGeom>
        <a:solidFill xmlns:a="http://schemas.openxmlformats.org/drawingml/2006/main">
          <a:srgbClr val="439539">
            <a:alpha val="19000"/>
          </a:srgbClr>
        </a:solidFill>
        <a:ln xmlns:a="http://schemas.openxmlformats.org/drawingml/2006/main" w="19050">
          <a:noFill/>
        </a:ln>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0.20369</cdr:x>
      <cdr:y>0.06084</cdr:y>
    </cdr:from>
    <cdr:to>
      <cdr:x>0.96377</cdr:x>
      <cdr:y>0.80907</cdr:y>
    </cdr:to>
    <cdr:sp macro="" textlink="">
      <cdr:nvSpPr>
        <cdr:cNvPr id="3" name="TextBox 2"/>
        <cdr:cNvSpPr txBox="1"/>
      </cdr:nvSpPr>
      <cdr:spPr>
        <a:xfrm xmlns:a="http://schemas.openxmlformats.org/drawingml/2006/main">
          <a:off x="1026575" y="244240"/>
          <a:ext cx="3830821" cy="3003747"/>
        </a:xfrm>
        <a:prstGeom xmlns:a="http://schemas.openxmlformats.org/drawingml/2006/main" prst="rect">
          <a:avLst/>
        </a:prstGeom>
        <a:solidFill xmlns:a="http://schemas.openxmlformats.org/drawingml/2006/main">
          <a:srgbClr val="78278B">
            <a:alpha val="20000"/>
          </a:srgbClr>
        </a:solidFill>
        <a:ln xmlns:a="http://schemas.openxmlformats.org/drawingml/2006/main" w="19050">
          <a:noFill/>
        </a:ln>
      </cdr:spPr>
      <cdr:txBody>
        <a:bodyPr xmlns:a="http://schemas.openxmlformats.org/drawingml/2006/main" vertOverflow="clip" wrap="square" rtlCol="0"/>
        <a:lstStyle xmlns:a="http://schemas.openxmlformats.org/drawingml/2006/main"/>
        <a:p xmlns:a="http://schemas.openxmlformats.org/drawingml/2006/main">
          <a:r>
            <a:rPr lang="en-AU" sz="1100"/>
            <a:t>  </a:t>
          </a:r>
        </a:p>
      </cdr:txBody>
    </cdr:sp>
  </cdr:relSizeAnchor>
  <cdr:relSizeAnchor xmlns:cdr="http://schemas.openxmlformats.org/drawingml/2006/chartDrawing">
    <cdr:from>
      <cdr:x>0.36256</cdr:x>
      <cdr:y>0.92378</cdr:y>
    </cdr:from>
    <cdr:to>
      <cdr:x>0.5983</cdr:x>
      <cdr:y>0.96421</cdr:y>
    </cdr:to>
    <cdr:sp macro="" textlink="">
      <cdr:nvSpPr>
        <cdr:cNvPr id="4" name="TextBox 3"/>
        <cdr:cNvSpPr txBox="1"/>
      </cdr:nvSpPr>
      <cdr:spPr>
        <a:xfrm xmlns:a="http://schemas.openxmlformats.org/drawingml/2006/main">
          <a:off x="1827301" y="3615211"/>
          <a:ext cx="1188128" cy="158223"/>
        </a:xfrm>
        <a:prstGeom xmlns:a="http://schemas.openxmlformats.org/drawingml/2006/main" prst="rect">
          <a:avLst/>
        </a:prstGeom>
        <a:solidFill xmlns:a="http://schemas.openxmlformats.org/drawingml/2006/main">
          <a:srgbClr val="78278B">
            <a:alpha val="20000"/>
          </a:srgbClr>
        </a:solidFill>
      </cdr:spPr>
      <cdr:txBody>
        <a:bodyPr xmlns:a="http://schemas.openxmlformats.org/drawingml/2006/main" vertOverflow="clip" wrap="square" rtlCol="0" anchor="ctr"/>
        <a:lstStyle xmlns:a="http://schemas.openxmlformats.org/drawingml/2006/main"/>
        <a:p xmlns:a="http://schemas.openxmlformats.org/drawingml/2006/main">
          <a:pPr algn="ctr"/>
          <a:r>
            <a:rPr lang="en-AU" sz="800" b="1">
              <a:solidFill>
                <a:schemeClr val="tx1"/>
              </a:solidFill>
              <a:latin typeface="Arial" panose="020B0604020202020204" pitchFamily="34" charset="0"/>
              <a:cs typeface="Arial" panose="020B0604020202020204" pitchFamily="34" charset="0"/>
            </a:rPr>
            <a:t>Figure 6</a:t>
          </a:r>
        </a:p>
      </cdr:txBody>
    </cdr:sp>
  </cdr:relSizeAnchor>
  <cdr:relSizeAnchor xmlns:cdr="http://schemas.openxmlformats.org/drawingml/2006/chartDrawing">
    <cdr:from>
      <cdr:x>0.10433</cdr:x>
      <cdr:y>0.92378</cdr:y>
    </cdr:from>
    <cdr:to>
      <cdr:x>0.34007</cdr:x>
      <cdr:y>0.96421</cdr:y>
    </cdr:to>
    <cdr:sp macro="" textlink="">
      <cdr:nvSpPr>
        <cdr:cNvPr id="7" name="TextBox 6"/>
        <cdr:cNvSpPr txBox="1"/>
      </cdr:nvSpPr>
      <cdr:spPr>
        <a:xfrm xmlns:a="http://schemas.openxmlformats.org/drawingml/2006/main">
          <a:off x="525823" y="3615211"/>
          <a:ext cx="1188128" cy="158223"/>
        </a:xfrm>
        <a:prstGeom xmlns:a="http://schemas.openxmlformats.org/drawingml/2006/main" prst="rect">
          <a:avLst/>
        </a:prstGeom>
        <a:solidFill xmlns:a="http://schemas.openxmlformats.org/drawingml/2006/main">
          <a:srgbClr val="439539">
            <a:alpha val="20000"/>
          </a:srgbClr>
        </a:solidFill>
      </cdr:spPr>
      <cdr:txBody>
        <a:bodyPr xmlns:a="http://schemas.openxmlformats.org/drawingml/2006/main" vertOverflow="clip" wrap="square" rtlCol="0" anchor="ctr"/>
        <a:lstStyle xmlns:a="http://schemas.openxmlformats.org/drawingml/2006/main"/>
        <a:p xmlns:a="http://schemas.openxmlformats.org/drawingml/2006/main">
          <a:pPr algn="ctr"/>
          <a:r>
            <a:rPr lang="en-AU" sz="800" b="1">
              <a:solidFill>
                <a:schemeClr val="tx1"/>
              </a:solidFill>
              <a:latin typeface="Arial" panose="020B0604020202020204" pitchFamily="34" charset="0"/>
              <a:cs typeface="Arial" panose="020B0604020202020204" pitchFamily="34" charset="0"/>
            </a:rPr>
            <a:t>Figure 5</a:t>
          </a:r>
        </a:p>
      </cdr:txBody>
    </cdr:sp>
  </cdr:relSizeAnchor>
</c:userShapes>
</file>

<file path=word/drawings/drawing3.xml><?xml version="1.0" encoding="utf-8"?>
<c:userShapes xmlns:c="http://schemas.openxmlformats.org/drawingml/2006/chart">
  <cdr:relSizeAnchor xmlns:cdr="http://schemas.openxmlformats.org/drawingml/2006/chartDrawing">
    <cdr:from>
      <cdr:x>0.08911</cdr:x>
      <cdr:y>0.03697</cdr:y>
    </cdr:from>
    <cdr:to>
      <cdr:x>0.15116</cdr:x>
      <cdr:y>0.85165</cdr:y>
    </cdr:to>
    <cdr:sp macro="" textlink="">
      <cdr:nvSpPr>
        <cdr:cNvPr id="2" name="TextBox 1"/>
        <cdr:cNvSpPr txBox="1"/>
      </cdr:nvSpPr>
      <cdr:spPr>
        <a:xfrm xmlns:a="http://schemas.openxmlformats.org/drawingml/2006/main">
          <a:off x="458224" y="136555"/>
          <a:ext cx="319076" cy="3009261"/>
        </a:xfrm>
        <a:prstGeom xmlns:a="http://schemas.openxmlformats.org/drawingml/2006/main" prst="rect">
          <a:avLst/>
        </a:prstGeom>
        <a:solidFill xmlns:a="http://schemas.openxmlformats.org/drawingml/2006/main">
          <a:srgbClr val="439539">
            <a:alpha val="9804"/>
          </a:srgbClr>
        </a:solidFill>
        <a:ln xmlns:a="http://schemas.openxmlformats.org/drawingml/2006/main" w="19050">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AU" sz="1100"/>
        </a:p>
      </cdr:txBody>
    </cdr:sp>
  </cdr:relSizeAnchor>
  <cdr:relSizeAnchor xmlns:cdr="http://schemas.openxmlformats.org/drawingml/2006/chartDrawing">
    <cdr:from>
      <cdr:x>0.15157</cdr:x>
      <cdr:y>0.03751</cdr:y>
    </cdr:from>
    <cdr:to>
      <cdr:x>0.30311</cdr:x>
      <cdr:y>0.85035</cdr:y>
    </cdr:to>
    <cdr:sp macro="" textlink="">
      <cdr:nvSpPr>
        <cdr:cNvPr id="3" name="TextBox 1"/>
        <cdr:cNvSpPr txBox="1"/>
      </cdr:nvSpPr>
      <cdr:spPr>
        <a:xfrm xmlns:a="http://schemas.openxmlformats.org/drawingml/2006/main">
          <a:off x="779408" y="138550"/>
          <a:ext cx="779253" cy="3002462"/>
        </a:xfrm>
        <a:prstGeom xmlns:a="http://schemas.openxmlformats.org/drawingml/2006/main" prst="rect">
          <a:avLst/>
        </a:prstGeom>
        <a:solidFill xmlns:a="http://schemas.openxmlformats.org/drawingml/2006/main">
          <a:srgbClr val="439539">
            <a:alpha val="20000"/>
          </a:srgbClr>
        </a:solidFill>
        <a:ln xmlns:a="http://schemas.openxmlformats.org/drawingml/2006/main" w="19050">
          <a:noFill/>
        </a:ln>
        <a:effectLst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AU" sz="1100"/>
        </a:p>
      </cdr:txBody>
    </cdr:sp>
  </cdr:relSizeAnchor>
  <cdr:relSizeAnchor xmlns:cdr="http://schemas.openxmlformats.org/drawingml/2006/chartDrawing">
    <cdr:from>
      <cdr:x>0.30266</cdr:x>
      <cdr:y>0.03751</cdr:y>
    </cdr:from>
    <cdr:to>
      <cdr:x>0.64959</cdr:x>
      <cdr:y>0.85035</cdr:y>
    </cdr:to>
    <cdr:sp macro="" textlink="">
      <cdr:nvSpPr>
        <cdr:cNvPr id="4" name="TextBox 1"/>
        <cdr:cNvSpPr txBox="1"/>
      </cdr:nvSpPr>
      <cdr:spPr>
        <a:xfrm xmlns:a="http://schemas.openxmlformats.org/drawingml/2006/main">
          <a:off x="1556347" y="138550"/>
          <a:ext cx="1783994" cy="3002462"/>
        </a:xfrm>
        <a:prstGeom xmlns:a="http://schemas.openxmlformats.org/drawingml/2006/main" prst="rect">
          <a:avLst/>
        </a:prstGeom>
        <a:solidFill xmlns:a="http://schemas.openxmlformats.org/drawingml/2006/main">
          <a:srgbClr val="439539">
            <a:alpha val="30000"/>
          </a:srgbClr>
        </a:solidFill>
        <a:ln xmlns:a="http://schemas.openxmlformats.org/drawingml/2006/main" w="19050">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AU" sz="1100"/>
        </a:p>
      </cdr:txBody>
    </cdr:sp>
  </cdr:relSizeAnchor>
  <cdr:relSizeAnchor xmlns:cdr="http://schemas.openxmlformats.org/drawingml/2006/chartDrawing">
    <cdr:from>
      <cdr:x>0.66104</cdr:x>
      <cdr:y>0.06444</cdr:y>
    </cdr:from>
    <cdr:to>
      <cdr:x>1</cdr:x>
      <cdr:y>0.27903</cdr:y>
    </cdr:to>
    <cdr:sp macro="" textlink="">
      <cdr:nvSpPr>
        <cdr:cNvPr id="5" name="TextBox 4"/>
        <cdr:cNvSpPr txBox="1"/>
      </cdr:nvSpPr>
      <cdr:spPr>
        <a:xfrm xmlns:a="http://schemas.openxmlformats.org/drawingml/2006/main">
          <a:off x="3399851" y="238041"/>
          <a:ext cx="1742988" cy="7926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anose="020B0604020202020204" pitchFamily="34" charset="0"/>
              <a:cs typeface="Arial" panose="020B0604020202020204" pitchFamily="34" charset="0"/>
            </a:rPr>
            <a:t>Each green panel contains around 25% of all enrolments in 2015 (around 680 000</a:t>
          </a:r>
          <a:r>
            <a:rPr lang="en-AU" sz="800" baseline="0">
              <a:latin typeface="Arial" panose="020B0604020202020204" pitchFamily="34" charset="0"/>
              <a:cs typeface="Arial" panose="020B0604020202020204" pitchFamily="34" charset="0"/>
            </a:rPr>
            <a:t> enrolments)</a:t>
          </a:r>
          <a:endParaRPr lang="en-AU" sz="80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0.21421</cdr:x>
      <cdr:y>0.02072</cdr:y>
    </cdr:from>
    <cdr:to>
      <cdr:x>0.44318</cdr:x>
      <cdr:y>0.87313</cdr:y>
    </cdr:to>
    <cdr:sp macro="" textlink="">
      <cdr:nvSpPr>
        <cdr:cNvPr id="9" name="TextBox 1"/>
        <cdr:cNvSpPr txBox="1"/>
      </cdr:nvSpPr>
      <cdr:spPr>
        <a:xfrm xmlns:a="http://schemas.openxmlformats.org/drawingml/2006/main">
          <a:off x="1056904" y="58944"/>
          <a:ext cx="1129705" cy="2424936"/>
        </a:xfrm>
        <a:prstGeom xmlns:a="http://schemas.openxmlformats.org/drawingml/2006/main" prst="rect">
          <a:avLst/>
        </a:prstGeom>
        <a:solidFill xmlns:a="http://schemas.openxmlformats.org/drawingml/2006/main">
          <a:srgbClr val="78278B">
            <a:alpha val="9804"/>
          </a:srgbClr>
        </a:solidFill>
        <a:ln xmlns:a="http://schemas.openxmlformats.org/drawingml/2006/main" w="19050">
          <a:noFill/>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AU"/>
        </a:p>
      </cdr:txBody>
    </cdr:sp>
  </cdr:relSizeAnchor>
  <cdr:relSizeAnchor xmlns:cdr="http://schemas.openxmlformats.org/drawingml/2006/chartDrawing">
    <cdr:from>
      <cdr:x>0.44318</cdr:x>
      <cdr:y>0.02073</cdr:y>
    </cdr:from>
    <cdr:to>
      <cdr:x>0.68596</cdr:x>
      <cdr:y>0.87277</cdr:y>
    </cdr:to>
    <cdr:sp macro="" textlink="">
      <cdr:nvSpPr>
        <cdr:cNvPr id="12" name="TextBox 1"/>
        <cdr:cNvSpPr txBox="1"/>
      </cdr:nvSpPr>
      <cdr:spPr>
        <a:xfrm xmlns:a="http://schemas.openxmlformats.org/drawingml/2006/main">
          <a:off x="2186609" y="58973"/>
          <a:ext cx="1197859" cy="2423883"/>
        </a:xfrm>
        <a:prstGeom xmlns:a="http://schemas.openxmlformats.org/drawingml/2006/main" prst="rect">
          <a:avLst/>
        </a:prstGeom>
        <a:solidFill xmlns:a="http://schemas.openxmlformats.org/drawingml/2006/main">
          <a:srgbClr val="78278B">
            <a:alpha val="20000"/>
          </a:srgbClr>
        </a:solidFill>
        <a:ln xmlns:a="http://schemas.openxmlformats.org/drawingml/2006/main" w="19050">
          <a:noFill/>
        </a:ln>
        <a:effectLst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AU" sz="1100"/>
        </a:p>
      </cdr:txBody>
    </cdr:sp>
  </cdr:relSizeAnchor>
  <cdr:relSizeAnchor xmlns:cdr="http://schemas.openxmlformats.org/drawingml/2006/chartDrawing">
    <cdr:from>
      <cdr:x>0.68571</cdr:x>
      <cdr:y>0.02071</cdr:y>
    </cdr:from>
    <cdr:to>
      <cdr:x>0.92905</cdr:x>
      <cdr:y>0.8735</cdr:y>
    </cdr:to>
    <cdr:sp macro="" textlink="">
      <cdr:nvSpPr>
        <cdr:cNvPr id="13" name="TextBox 1"/>
        <cdr:cNvSpPr txBox="1"/>
      </cdr:nvSpPr>
      <cdr:spPr>
        <a:xfrm xmlns:a="http://schemas.openxmlformats.org/drawingml/2006/main">
          <a:off x="3383280" y="58916"/>
          <a:ext cx="1200595" cy="2426017"/>
        </a:xfrm>
        <a:prstGeom xmlns:a="http://schemas.openxmlformats.org/drawingml/2006/main" prst="rect">
          <a:avLst/>
        </a:prstGeom>
        <a:solidFill xmlns:a="http://schemas.openxmlformats.org/drawingml/2006/main">
          <a:srgbClr val="78278B">
            <a:alpha val="30000"/>
          </a:srgbClr>
        </a:solidFill>
        <a:ln xmlns:a="http://schemas.openxmlformats.org/drawingml/2006/main" w="19050">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AU" sz="1100"/>
        </a:p>
      </cdr:txBody>
    </cdr:sp>
  </cdr:relSizeAnchor>
</c:userShapes>
</file>

<file path=word/drawings/drawing5.xml><?xml version="1.0" encoding="utf-8"?>
<c:userShapes xmlns:c="http://schemas.openxmlformats.org/drawingml/2006/chart">
  <cdr:relSizeAnchor xmlns:cdr="http://schemas.openxmlformats.org/drawingml/2006/chartDrawing">
    <cdr:from>
      <cdr:x>0.16232</cdr:x>
      <cdr:y>0.04504</cdr:y>
    </cdr:from>
    <cdr:to>
      <cdr:x>0.37417</cdr:x>
      <cdr:y>0.84105</cdr:y>
    </cdr:to>
    <cdr:sp macro="" textlink="">
      <cdr:nvSpPr>
        <cdr:cNvPr id="2" name="TextBox 1"/>
        <cdr:cNvSpPr txBox="1"/>
      </cdr:nvSpPr>
      <cdr:spPr>
        <a:xfrm xmlns:a="http://schemas.openxmlformats.org/drawingml/2006/main">
          <a:off x="742127" y="135623"/>
          <a:ext cx="968563" cy="2396922"/>
        </a:xfrm>
        <a:prstGeom xmlns:a="http://schemas.openxmlformats.org/drawingml/2006/main" prst="rect">
          <a:avLst/>
        </a:prstGeom>
        <a:solidFill xmlns:a="http://schemas.openxmlformats.org/drawingml/2006/main">
          <a:srgbClr val="439539">
            <a:alpha val="20000"/>
          </a:srgbClr>
        </a:solidFill>
        <a:ln xmlns:a="http://schemas.openxmlformats.org/drawingml/2006/main" w="19050">
          <a:noFill/>
        </a:ln>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0.37299</cdr:x>
      <cdr:y>0.04555</cdr:y>
    </cdr:from>
    <cdr:to>
      <cdr:x>0.96996</cdr:x>
      <cdr:y>0.84393</cdr:y>
    </cdr:to>
    <cdr:sp macro="" textlink="">
      <cdr:nvSpPr>
        <cdr:cNvPr id="3" name="TextBox 2"/>
        <cdr:cNvSpPr txBox="1"/>
      </cdr:nvSpPr>
      <cdr:spPr>
        <a:xfrm xmlns:a="http://schemas.openxmlformats.org/drawingml/2006/main">
          <a:off x="1705310" y="137160"/>
          <a:ext cx="2729347" cy="2404057"/>
        </a:xfrm>
        <a:prstGeom xmlns:a="http://schemas.openxmlformats.org/drawingml/2006/main" prst="rect">
          <a:avLst/>
        </a:prstGeom>
        <a:solidFill xmlns:a="http://schemas.openxmlformats.org/drawingml/2006/main">
          <a:srgbClr val="78278B">
            <a:alpha val="20000"/>
          </a:srgbClr>
        </a:solidFill>
        <a:ln xmlns:a="http://schemas.openxmlformats.org/drawingml/2006/main" w="19050">
          <a:noFill/>
        </a:ln>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0.16724</cdr:x>
      <cdr:y>0.91001</cdr:y>
    </cdr:from>
    <cdr:to>
      <cdr:x>0.35077</cdr:x>
      <cdr:y>0.97453</cdr:y>
    </cdr:to>
    <cdr:sp macro="" textlink="">
      <cdr:nvSpPr>
        <cdr:cNvPr id="6" name="TextBox 1"/>
        <cdr:cNvSpPr txBox="1"/>
      </cdr:nvSpPr>
      <cdr:spPr>
        <a:xfrm xmlns:a="http://schemas.openxmlformats.org/drawingml/2006/main">
          <a:off x="765643" y="2740272"/>
          <a:ext cx="840220" cy="194295"/>
        </a:xfrm>
        <a:prstGeom xmlns:a="http://schemas.openxmlformats.org/drawingml/2006/main" prst="rect">
          <a:avLst/>
        </a:prstGeom>
        <a:solidFill xmlns:a="http://schemas.openxmlformats.org/drawingml/2006/main">
          <a:srgbClr val="439539">
            <a:alpha val="20000"/>
          </a:srgbClr>
        </a:solidFill>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b="1">
              <a:solidFill>
                <a:schemeClr val="tx1"/>
              </a:solidFill>
              <a:latin typeface="Arial" panose="020B0604020202020204" pitchFamily="34" charset="0"/>
              <a:cs typeface="Arial" panose="020B0604020202020204" pitchFamily="34" charset="0"/>
            </a:rPr>
            <a:t>Figure 8</a:t>
          </a:r>
        </a:p>
      </cdr:txBody>
    </cdr:sp>
  </cdr:relSizeAnchor>
  <cdr:relSizeAnchor xmlns:cdr="http://schemas.openxmlformats.org/drawingml/2006/chartDrawing">
    <cdr:from>
      <cdr:x>0.37908</cdr:x>
      <cdr:y>0.91001</cdr:y>
    </cdr:from>
    <cdr:to>
      <cdr:x>0.56261</cdr:x>
      <cdr:y>0.97453</cdr:y>
    </cdr:to>
    <cdr:sp macro="" textlink="">
      <cdr:nvSpPr>
        <cdr:cNvPr id="7" name="TextBox 1"/>
        <cdr:cNvSpPr txBox="1"/>
      </cdr:nvSpPr>
      <cdr:spPr>
        <a:xfrm xmlns:a="http://schemas.openxmlformats.org/drawingml/2006/main">
          <a:off x="1735461" y="2740272"/>
          <a:ext cx="840220" cy="194295"/>
        </a:xfrm>
        <a:prstGeom xmlns:a="http://schemas.openxmlformats.org/drawingml/2006/main" prst="rect">
          <a:avLst/>
        </a:prstGeom>
        <a:solidFill xmlns:a="http://schemas.openxmlformats.org/drawingml/2006/main">
          <a:srgbClr val="78278B">
            <a:alpha val="20000"/>
          </a:srgbClr>
        </a:solidFill>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b="1">
              <a:solidFill>
                <a:schemeClr val="tx1"/>
              </a:solidFill>
              <a:latin typeface="Arial" panose="020B0604020202020204" pitchFamily="34" charset="0"/>
              <a:cs typeface="Arial" panose="020B0604020202020204" pitchFamily="34" charset="0"/>
            </a:rPr>
            <a:t>Figure 9</a:t>
          </a:r>
        </a:p>
      </cdr:txBody>
    </cdr:sp>
  </cdr:relSizeAnchor>
</c:userShapes>
</file>

<file path=word/drawings/drawing6.xml><?xml version="1.0" encoding="utf-8"?>
<c:userShapes xmlns:c="http://schemas.openxmlformats.org/drawingml/2006/chart">
  <cdr:relSizeAnchor xmlns:cdr="http://schemas.openxmlformats.org/drawingml/2006/chartDrawing">
    <cdr:from>
      <cdr:x>0.14795</cdr:x>
      <cdr:y>0.05258</cdr:y>
    </cdr:from>
    <cdr:to>
      <cdr:x>0.23303</cdr:x>
      <cdr:y>0.84431</cdr:y>
    </cdr:to>
    <cdr:sp macro="" textlink="">
      <cdr:nvSpPr>
        <cdr:cNvPr id="2" name="TextBox 1"/>
        <cdr:cNvSpPr txBox="1"/>
      </cdr:nvSpPr>
      <cdr:spPr>
        <a:xfrm xmlns:a="http://schemas.openxmlformats.org/drawingml/2006/main">
          <a:off x="750171" y="162968"/>
          <a:ext cx="431424" cy="2453913"/>
        </a:xfrm>
        <a:prstGeom xmlns:a="http://schemas.openxmlformats.org/drawingml/2006/main" prst="rect">
          <a:avLst/>
        </a:prstGeom>
        <a:solidFill xmlns:a="http://schemas.openxmlformats.org/drawingml/2006/main">
          <a:srgbClr val="439539">
            <a:alpha val="10000"/>
          </a:srgbClr>
        </a:solidFill>
        <a:ln xmlns:a="http://schemas.openxmlformats.org/drawingml/2006/main" w="12700">
          <a:noFill/>
        </a:ln>
      </cdr:spPr>
      <cdr:txBody>
        <a:bodyPr xmlns:a="http://schemas.openxmlformats.org/drawingml/2006/main"/>
        <a:lstStyle xmlns:a="http://schemas.openxmlformats.org/drawingml/2006/main"/>
        <a:p xmlns:a="http://schemas.openxmlformats.org/drawingml/2006/main">
          <a:endParaRPr lang="en-AU"/>
        </a:p>
      </cdr:txBody>
    </cdr:sp>
  </cdr:relSizeAnchor>
  <cdr:relSizeAnchor xmlns:cdr="http://schemas.openxmlformats.org/drawingml/2006/chartDrawing">
    <cdr:from>
      <cdr:x>0.23303</cdr:x>
      <cdr:y>0.05258</cdr:y>
    </cdr:from>
    <cdr:to>
      <cdr:x>0.39581</cdr:x>
      <cdr:y>0.84275</cdr:y>
    </cdr:to>
    <cdr:sp macro="" textlink="">
      <cdr:nvSpPr>
        <cdr:cNvPr id="3" name="TextBox 1"/>
        <cdr:cNvSpPr txBox="1"/>
      </cdr:nvSpPr>
      <cdr:spPr>
        <a:xfrm xmlns:a="http://schemas.openxmlformats.org/drawingml/2006/main">
          <a:off x="1181595" y="162968"/>
          <a:ext cx="825334" cy="2449066"/>
        </a:xfrm>
        <a:prstGeom xmlns:a="http://schemas.openxmlformats.org/drawingml/2006/main" prst="rect">
          <a:avLst/>
        </a:prstGeom>
        <a:solidFill xmlns:a="http://schemas.openxmlformats.org/drawingml/2006/main">
          <a:srgbClr val="439539">
            <a:alpha val="20000"/>
          </a:srgbClr>
        </a:solidFill>
        <a:ln xmlns:a="http://schemas.openxmlformats.org/drawingml/2006/main" w="12700">
          <a:noFill/>
        </a:ln>
      </cdr:spPr>
      <cdr:txBody>
        <a:bodyPr xmlns:a="http://schemas.openxmlformats.org/drawingml/2006/main"/>
        <a:lstStyle xmlns:a="http://schemas.openxmlformats.org/drawingml/2006/main"/>
        <a:p xmlns:a="http://schemas.openxmlformats.org/drawingml/2006/main">
          <a:endParaRPr lang="en-AU"/>
        </a:p>
      </cdr:txBody>
    </cdr:sp>
  </cdr:relSizeAnchor>
  <cdr:relSizeAnchor xmlns:cdr="http://schemas.openxmlformats.org/drawingml/2006/chartDrawing">
    <cdr:from>
      <cdr:x>0.39581</cdr:x>
      <cdr:y>0.05258</cdr:y>
    </cdr:from>
    <cdr:to>
      <cdr:x>0.72252</cdr:x>
      <cdr:y>0.84094</cdr:y>
    </cdr:to>
    <cdr:sp macro="" textlink="">
      <cdr:nvSpPr>
        <cdr:cNvPr id="4" name="TextBox 1"/>
        <cdr:cNvSpPr txBox="1"/>
      </cdr:nvSpPr>
      <cdr:spPr>
        <a:xfrm xmlns:a="http://schemas.openxmlformats.org/drawingml/2006/main">
          <a:off x="2006930" y="162968"/>
          <a:ext cx="1656607" cy="2443461"/>
        </a:xfrm>
        <a:prstGeom xmlns:a="http://schemas.openxmlformats.org/drawingml/2006/main" prst="rect">
          <a:avLst/>
        </a:prstGeom>
        <a:solidFill xmlns:a="http://schemas.openxmlformats.org/drawingml/2006/main">
          <a:srgbClr val="439539">
            <a:alpha val="30000"/>
          </a:srgbClr>
        </a:solidFill>
        <a:ln xmlns:a="http://schemas.openxmlformats.org/drawingml/2006/main" w="12700">
          <a:noFill/>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AU"/>
        </a:p>
      </cdr:txBody>
    </cdr:sp>
  </cdr:relSizeAnchor>
  <cdr:relSizeAnchor xmlns:cdr="http://schemas.openxmlformats.org/drawingml/2006/chartDrawing">
    <cdr:from>
      <cdr:x>0.7381</cdr:x>
      <cdr:y>0.04745</cdr:y>
    </cdr:from>
    <cdr:to>
      <cdr:x>0.975</cdr:x>
      <cdr:y>0.32044</cdr:y>
    </cdr:to>
    <cdr:sp macro="" textlink="">
      <cdr:nvSpPr>
        <cdr:cNvPr id="6" name="Text Box 2"/>
        <cdr:cNvSpPr txBox="1">
          <a:spLocks xmlns:a="http://schemas.openxmlformats.org/drawingml/2006/main" noChangeArrowheads="1"/>
        </cdr:cNvSpPr>
      </cdr:nvSpPr>
      <cdr:spPr bwMode="auto">
        <a:xfrm xmlns:a="http://schemas.openxmlformats.org/drawingml/2006/main">
          <a:off x="3374571" y="130165"/>
          <a:ext cx="1083129" cy="7488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ts val="1300"/>
            </a:lnSpc>
            <a:spcBef>
              <a:spcPts val="800"/>
            </a:spcBef>
            <a:spcAft>
              <a:spcPts val="0"/>
            </a:spcAft>
          </a:pPr>
          <a:r>
            <a:rPr lang="en-AU" sz="800">
              <a:effectLst/>
              <a:latin typeface="Arial"/>
              <a:ea typeface="Times New Roman"/>
              <a:cs typeface="Times New Roman"/>
            </a:rPr>
            <a:t>Each green panel contains around 25% of all enrolments in 2015 (around 680</a:t>
          </a:r>
          <a:r>
            <a:rPr lang="en-AU" sz="800" baseline="0">
              <a:effectLst/>
              <a:latin typeface="Arial"/>
              <a:ea typeface="Times New Roman"/>
              <a:cs typeface="Times New Roman"/>
            </a:rPr>
            <a:t> 000 </a:t>
          </a:r>
          <a:r>
            <a:rPr lang="en-AU" sz="800">
              <a:effectLst/>
              <a:latin typeface="Arial"/>
              <a:ea typeface="Times New Roman"/>
              <a:cs typeface="Times New Roman"/>
            </a:rPr>
            <a:t>enrolments)</a:t>
          </a:r>
          <a:endParaRPr lang="en-AU" sz="950">
            <a:effectLst/>
            <a:latin typeface="Trebuchet MS"/>
            <a:ea typeface="Times New Roman"/>
            <a:cs typeface="Times New Roman"/>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9E92C-38A8-4E4E-9846-7ADBB5A5D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39</Pages>
  <Words>12300</Words>
  <Characters>70112</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82248</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Uptake and utility of VET qualifications</dc:title>
  <dc:creator>National Centre for Vocational Education Research</dc:creator>
  <cp:lastModifiedBy>Amy Mellow</cp:lastModifiedBy>
  <cp:revision>56</cp:revision>
  <cp:lastPrinted>2016-11-14T02:56:00Z</cp:lastPrinted>
  <dcterms:created xsi:type="dcterms:W3CDTF">2016-10-25T03:41:00Z</dcterms:created>
  <dcterms:modified xsi:type="dcterms:W3CDTF">2016-11-14T03:27:00Z</dcterms:modified>
</cp:coreProperties>
</file>