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8B61F" w14:textId="77777777" w:rsidR="001B40DA" w:rsidRDefault="001B40DA" w:rsidP="00F97AF3">
      <w:pPr>
        <w:pStyle w:val="Titlepage"/>
      </w:pPr>
      <w:bookmarkStart w:id="0" w:name="_Toc401914074"/>
      <w:bookmarkStart w:id="1" w:name="_Toc402786550"/>
      <w:bookmarkStart w:id="2" w:name="_Toc98394872"/>
      <w:bookmarkStart w:id="3" w:name="_Toc1464347"/>
      <w:bookmarkStart w:id="4" w:name="_Toc15024770"/>
      <w:bookmarkStart w:id="5" w:name="_Toc15026399"/>
      <w:bookmarkStart w:id="6" w:name="_Toc15026452"/>
      <w:bookmarkStart w:id="7" w:name="_GoBack"/>
      <w:bookmarkEnd w:id="7"/>
    </w:p>
    <w:p w14:paraId="1111FAAE" w14:textId="6855DD64" w:rsidR="00EA133E" w:rsidRDefault="00EA133E" w:rsidP="00621D9D">
      <w:pPr>
        <w:pStyle w:val="PublicationTitle"/>
        <w:spacing w:before="1080" w:after="600"/>
        <w:ind w:left="2552"/>
        <w:rPr>
          <w:rFonts w:ascii="Arial" w:hAnsi="Arial"/>
        </w:rPr>
      </w:pPr>
      <w:r>
        <w:rPr>
          <w:rFonts w:ascii="Arial" w:hAnsi="Arial"/>
          <w:noProof/>
        </w:rPr>
        <w:drawing>
          <wp:anchor distT="0" distB="0" distL="114300" distR="114300" simplePos="0" relativeHeight="251748352" behindDoc="0" locked="0" layoutInCell="1" allowOverlap="1" wp14:anchorId="115E1CEC" wp14:editId="010E07E8">
            <wp:simplePos x="0" y="0"/>
            <wp:positionH relativeFrom="column">
              <wp:posOffset>1709420</wp:posOffset>
            </wp:positionH>
            <wp:positionV relativeFrom="paragraph">
              <wp:posOffset>256804</wp:posOffset>
            </wp:positionV>
            <wp:extent cx="2408555" cy="513080"/>
            <wp:effectExtent l="0" t="0" r="0" b="1270"/>
            <wp:wrapSquare wrapText="bothSides"/>
            <wp:docPr id="249" name="Picture 249"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bookmarkStart w:id="8" w:name="_Toc296497508"/>
      <w:bookmarkStart w:id="9" w:name="_Toc296423677"/>
    </w:p>
    <w:p w14:paraId="79CAA6D8" w14:textId="1297471A" w:rsidR="00EA133E" w:rsidRPr="00EA133E" w:rsidRDefault="00EA133E" w:rsidP="00EA133E">
      <w:pPr>
        <w:pStyle w:val="PublicationTitle"/>
        <w:spacing w:before="1440" w:after="720"/>
        <w:ind w:left="2552"/>
        <w:rPr>
          <w:sz w:val="52"/>
          <w:szCs w:val="52"/>
        </w:rPr>
      </w:pPr>
      <w:r w:rsidRPr="00EA133E">
        <w:rPr>
          <w:sz w:val="52"/>
          <w:szCs w:val="52"/>
        </w:rPr>
        <w:t xml:space="preserve">Completion rates for group training organisations and direct employers: how do they compare?  </w:t>
      </w:r>
      <w:bookmarkEnd w:id="8"/>
      <w:bookmarkEnd w:id="9"/>
    </w:p>
    <w:p w14:paraId="6E6FB12A" w14:textId="49EF2517" w:rsidR="00EA133E" w:rsidRDefault="00EA133E" w:rsidP="00EA133E">
      <w:pPr>
        <w:pStyle w:val="PublicationTitle"/>
        <w:spacing w:before="1200" w:after="600"/>
        <w:ind w:left="2552"/>
        <w:rPr>
          <w:sz w:val="36"/>
          <w:szCs w:val="36"/>
        </w:rPr>
      </w:pPr>
      <w:r>
        <w:rPr>
          <w:sz w:val="36"/>
          <w:szCs w:val="36"/>
        </w:rPr>
        <w:t xml:space="preserve">Support document: literature review and other appendices </w:t>
      </w:r>
    </w:p>
    <w:p w14:paraId="09AFBF55" w14:textId="77777777" w:rsidR="00EA133E" w:rsidRDefault="00EA133E" w:rsidP="00EA133E">
      <w:pPr>
        <w:pStyle w:val="Authors"/>
        <w:ind w:left="2552"/>
      </w:pPr>
      <w:bookmarkStart w:id="10" w:name="_Toc98394874"/>
    </w:p>
    <w:p w14:paraId="4DEC8C79" w14:textId="70223CC0" w:rsidR="00EA133E" w:rsidRDefault="00EA133E" w:rsidP="00EA133E">
      <w:pPr>
        <w:pStyle w:val="Authors"/>
        <w:ind w:left="2552"/>
      </w:pPr>
      <w:r w:rsidRPr="00EA133E">
        <w:t>Lisel O’Dwyer</w:t>
      </w:r>
      <w:bookmarkEnd w:id="10"/>
      <w:r w:rsidR="00621D9D">
        <w:br/>
      </w:r>
      <w:r w:rsidR="00621D9D" w:rsidRPr="00621D9D">
        <w:t xml:space="preserve">National Centre for Vocational Education Research </w:t>
      </w:r>
    </w:p>
    <w:p w14:paraId="2859F633" w14:textId="38C8E94F" w:rsidR="00EA133E" w:rsidRDefault="00EA133E" w:rsidP="00EA133E">
      <w:pPr>
        <w:pStyle w:val="Authors"/>
        <w:ind w:left="2552"/>
      </w:pPr>
    </w:p>
    <w:p w14:paraId="1E46C896" w14:textId="25CFC1D5" w:rsidR="00EA133E" w:rsidRDefault="00EA133E" w:rsidP="00EA133E">
      <w:pPr>
        <w:pStyle w:val="Organisation"/>
        <w:ind w:left="2552"/>
      </w:pPr>
    </w:p>
    <w:p w14:paraId="1C89F5F7" w14:textId="6857635D" w:rsidR="00EA133E" w:rsidRDefault="00621D9D" w:rsidP="00EA133E">
      <w:pPr>
        <w:pStyle w:val="Organisation"/>
        <w:ind w:left="2552"/>
      </w:pPr>
      <w:r>
        <w:rPr>
          <w:noProof/>
        </w:rPr>
        <mc:AlternateContent>
          <mc:Choice Requires="wps">
            <w:drawing>
              <wp:anchor distT="0" distB="0" distL="114300" distR="114300" simplePos="0" relativeHeight="251751424" behindDoc="0" locked="0" layoutInCell="1" allowOverlap="1" wp14:anchorId="79428910" wp14:editId="2B9875A3">
                <wp:simplePos x="0" y="0"/>
                <wp:positionH relativeFrom="column">
                  <wp:posOffset>1532219</wp:posOffset>
                </wp:positionH>
                <wp:positionV relativeFrom="margin">
                  <wp:posOffset>6958234</wp:posOffset>
                </wp:positionV>
                <wp:extent cx="4071668" cy="1213485"/>
                <wp:effectExtent l="0" t="0" r="0" b="571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68"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2A36" w14:textId="511CC1DA" w:rsidR="00DF4B83" w:rsidRDefault="00DF4B83" w:rsidP="00EA133E">
                            <w:pPr>
                              <w:pStyle w:val="Text"/>
                              <w:shd w:val="clear" w:color="auto" w:fill="000000" w:themeFill="text1"/>
                              <w:ind w:right="0"/>
                            </w:pPr>
                            <w:r>
                              <w:t xml:space="preserve">This document was produced by the author(s) based on their research for the report </w:t>
                            </w:r>
                            <w:r w:rsidRPr="00621D9D">
                              <w:rPr>
                                <w:i/>
                              </w:rPr>
                              <w:t>Completion rates for group training organisations and direct employers: how do they compare?</w:t>
                            </w:r>
                            <w:r>
                              <w:rPr>
                                <w:i/>
                              </w:rPr>
                              <w:t xml:space="preserve">, </w:t>
                            </w:r>
                            <w:r>
                              <w:t>and is an added resource for further information. The report is available on NCVER’s Portal: &lt;</w:t>
                            </w:r>
                            <w:hyperlink r:id="rId9" w:history="1">
                              <w:r>
                                <w:rPr>
                                  <w:rStyle w:val="Hyperlink"/>
                                  <w:rFonts w:eastAsiaTheme="majorEastAsia"/>
                                </w:rPr>
                                <w:t>http://www.ncver.edu.au</w:t>
                              </w:r>
                            </w:hyperlink>
                            <w:r>
                              <w:t xml:space="preserve">&gt;.  </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28910" id="_x0000_t202" coordsize="21600,21600" o:spt="202" path="m,l,21600r21600,l21600,xe">
                <v:stroke joinstyle="miter"/>
                <v:path gradientshapeok="t" o:connecttype="rect"/>
              </v:shapetype>
              <v:shape id="Text Box 248" o:spid="_x0000_s1026" type="#_x0000_t202" style="position:absolute;left:0;text-align:left;margin-left:120.65pt;margin-top:547.9pt;width:320.6pt;height:9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vFtwIAAL4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" filled="f" stroked="f">
                <v:textbox>
                  <w:txbxContent>
                    <w:p w14:paraId="38572A36" w14:textId="511CC1DA" w:rsidR="00DF4B83" w:rsidRDefault="00DF4B83" w:rsidP="00EA133E">
                      <w:pPr>
                        <w:pStyle w:val="Text"/>
                        <w:shd w:val="clear" w:color="auto" w:fill="000000" w:themeFill="text1"/>
                        <w:ind w:right="0"/>
                      </w:pPr>
                      <w:r>
                        <w:t xml:space="preserve">This document was produced by the author(s) based on their research for the report </w:t>
                      </w:r>
                      <w:r w:rsidRPr="00621D9D">
                        <w:rPr>
                          <w:i/>
                        </w:rPr>
                        <w:t>Completion rates for group training organisations and direct employers: how do they compare?</w:t>
                      </w:r>
                      <w:r>
                        <w:rPr>
                          <w:i/>
                        </w:rPr>
                        <w:t xml:space="preserve">, </w:t>
                      </w:r>
                      <w:r>
                        <w:t>and is an added resource for further information. The report is available on NCVER’s Portal: &lt;</w:t>
                      </w:r>
                      <w:hyperlink r:id="rId10" w:history="1">
                        <w:r>
                          <w:rPr>
                            <w:rStyle w:val="Hyperlink"/>
                            <w:rFonts w:eastAsiaTheme="majorEastAsia"/>
                          </w:rPr>
                          <w:t>http://www.ncver.edu.au</w:t>
                        </w:r>
                      </w:hyperlink>
                      <w:r>
                        <w:t xml:space="preserve">&gt;.  </w:t>
                      </w:r>
                    </w:p>
                  </w:txbxContent>
                </v:textbox>
                <w10:wrap anchory="margin"/>
              </v:shape>
            </w:pict>
          </mc:Fallback>
        </mc:AlternateContent>
      </w:r>
    </w:p>
    <w:p w14:paraId="73ADC58A" w14:textId="2FBFB389" w:rsidR="00EA133E" w:rsidRDefault="00EA133E" w:rsidP="00EA133E">
      <w:pPr>
        <w:pStyle w:val="Text"/>
        <w:ind w:left="2552"/>
      </w:pPr>
    </w:p>
    <w:p w14:paraId="6C8043E7" w14:textId="3AEB1E21" w:rsidR="00EA133E" w:rsidRDefault="00EA133E" w:rsidP="00EA133E">
      <w:pPr>
        <w:pStyle w:val="Text"/>
        <w:ind w:left="2552"/>
      </w:pPr>
    </w:p>
    <w:p w14:paraId="0FB9F007" w14:textId="44283922" w:rsidR="00EA133E" w:rsidRDefault="00EA133E" w:rsidP="00EA133E">
      <w:pPr>
        <w:pStyle w:val="Text"/>
        <w:ind w:left="2552"/>
      </w:pPr>
    </w:p>
    <w:p w14:paraId="6B3A00CD" w14:textId="77777777" w:rsidR="00EA133E" w:rsidRDefault="00EA133E" w:rsidP="00EA133E">
      <w:pPr>
        <w:pStyle w:val="Text"/>
        <w:ind w:left="2552"/>
      </w:pPr>
    </w:p>
    <w:p w14:paraId="2B3DA485" w14:textId="77777777" w:rsidR="00EA133E" w:rsidRDefault="00EA133E" w:rsidP="00EA133E">
      <w:pPr>
        <w:pStyle w:val="Text"/>
        <w:ind w:left="2552"/>
      </w:pPr>
    </w:p>
    <w:p w14:paraId="76DD5974" w14:textId="77777777" w:rsidR="00EA133E" w:rsidRDefault="00EA133E" w:rsidP="00EA133E">
      <w:pPr>
        <w:pStyle w:val="Text"/>
        <w:ind w:left="2552"/>
      </w:pPr>
    </w:p>
    <w:p w14:paraId="24BDC0DC" w14:textId="77777777" w:rsidR="00EA133E" w:rsidRDefault="00EA133E" w:rsidP="00EA133E">
      <w:pPr>
        <w:pStyle w:val="Text"/>
        <w:ind w:left="2552"/>
      </w:pPr>
    </w:p>
    <w:p w14:paraId="1E9C8C5E" w14:textId="77777777" w:rsidR="00EA133E" w:rsidRDefault="00EA133E" w:rsidP="00EA133E">
      <w:pPr>
        <w:pStyle w:val="Heading3"/>
        <w:ind w:right="-1"/>
      </w:pPr>
      <w:r>
        <w:t>Publisher’s note</w:t>
      </w:r>
    </w:p>
    <w:p w14:paraId="76C1C0D2" w14:textId="57D04803" w:rsidR="00EA133E" w:rsidRDefault="00EA133E" w:rsidP="00EA133E">
      <w:pPr>
        <w:pStyle w:val="Imprint"/>
      </w:pPr>
      <w:r>
        <w:t xml:space="preserve">The views and opinions expressed in this document are those of the authors and do not necessarily reflect the views of the Australian Government </w:t>
      </w:r>
      <w:r w:rsidR="00621D9D">
        <w:t xml:space="preserve">or </w:t>
      </w:r>
      <w:r>
        <w:t>state and territory governments. Any errors and omissions are the responsibility of the author(s).</w:t>
      </w:r>
    </w:p>
    <w:p w14:paraId="6099E39E" w14:textId="77777777" w:rsidR="00621D9D" w:rsidRPr="00621D9D" w:rsidRDefault="00621D9D" w:rsidP="00621D9D">
      <w:pPr>
        <w:autoSpaceDE w:val="0"/>
        <w:autoSpaceDN w:val="0"/>
        <w:adjustRightInd w:val="0"/>
        <w:spacing w:before="0" w:line="240" w:lineRule="auto"/>
        <w:rPr>
          <w:rFonts w:eastAsiaTheme="minorHAnsi" w:cs="Trebuchet MS"/>
          <w:color w:val="000000"/>
          <w:sz w:val="24"/>
          <w:szCs w:val="24"/>
        </w:rPr>
      </w:pPr>
    </w:p>
    <w:p w14:paraId="020F2DDB" w14:textId="77777777" w:rsidR="00EA133E" w:rsidRDefault="00EA133E" w:rsidP="00EA133E">
      <w:pPr>
        <w:pStyle w:val="Imprint"/>
      </w:pPr>
    </w:p>
    <w:p w14:paraId="1B5EDDE3" w14:textId="77777777" w:rsidR="00EA133E" w:rsidRDefault="00EA133E" w:rsidP="00EA133E">
      <w:pPr>
        <w:pStyle w:val="Imprint"/>
      </w:pPr>
    </w:p>
    <w:p w14:paraId="21731134" w14:textId="77777777" w:rsidR="00EA133E" w:rsidRDefault="00EA133E" w:rsidP="00EA133E">
      <w:pPr>
        <w:pStyle w:val="Imprint"/>
      </w:pPr>
    </w:p>
    <w:p w14:paraId="5667CA29" w14:textId="77777777" w:rsidR="00EA133E" w:rsidRDefault="00EA133E" w:rsidP="00EA133E">
      <w:pPr>
        <w:pStyle w:val="Imprint"/>
      </w:pPr>
    </w:p>
    <w:p w14:paraId="66C371AA" w14:textId="77777777" w:rsidR="00EA133E" w:rsidRDefault="00EA133E" w:rsidP="00EA133E">
      <w:pPr>
        <w:pStyle w:val="Imprint"/>
      </w:pPr>
    </w:p>
    <w:p w14:paraId="72EC80BD" w14:textId="77777777" w:rsidR="00EA133E" w:rsidRDefault="00EA133E" w:rsidP="00EA133E">
      <w:pPr>
        <w:pStyle w:val="Imprint"/>
      </w:pPr>
    </w:p>
    <w:p w14:paraId="7613C7C5" w14:textId="6C6789D5" w:rsidR="00EA133E" w:rsidRDefault="00EA133E" w:rsidP="00EA133E">
      <w:pPr>
        <w:pStyle w:val="Imprint"/>
      </w:pPr>
    </w:p>
    <w:p w14:paraId="5B1F9C0D" w14:textId="77777777" w:rsidR="00621D9D" w:rsidRDefault="00621D9D" w:rsidP="00EA133E">
      <w:pPr>
        <w:pStyle w:val="Imprint"/>
      </w:pPr>
    </w:p>
    <w:p w14:paraId="6FE3CD2B" w14:textId="77777777" w:rsidR="00EA133E" w:rsidRDefault="00EA133E" w:rsidP="00EA133E">
      <w:pPr>
        <w:pStyle w:val="Imprint"/>
      </w:pPr>
    </w:p>
    <w:p w14:paraId="1142ED86" w14:textId="2EF15156" w:rsidR="00EA133E" w:rsidRDefault="00EC060E" w:rsidP="00EA133E">
      <w:pPr>
        <w:pStyle w:val="Text"/>
      </w:pPr>
      <w:r>
        <w:rPr>
          <w:noProof/>
        </w:rPr>
        <mc:AlternateContent>
          <mc:Choice Requires="wps">
            <w:drawing>
              <wp:anchor distT="0" distB="0" distL="114300" distR="114300" simplePos="0" relativeHeight="251749376" behindDoc="0" locked="0" layoutInCell="1" allowOverlap="1" wp14:anchorId="1E24336D" wp14:editId="7369CBC3">
                <wp:simplePos x="0" y="0"/>
                <wp:positionH relativeFrom="column">
                  <wp:posOffset>-3283</wp:posOffset>
                </wp:positionH>
                <wp:positionV relativeFrom="margin">
                  <wp:posOffset>3869978</wp:posOffset>
                </wp:positionV>
                <wp:extent cx="5727940" cy="5199380"/>
                <wp:effectExtent l="0" t="0" r="0" b="127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940" cy="519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6C43" w14:textId="5D58E83D" w:rsidR="00DF4B83" w:rsidRDefault="00DF4B83" w:rsidP="00EA133E">
                            <w:pPr>
                              <w:pStyle w:val="Imprint"/>
                              <w:spacing w:line="260" w:lineRule="exact"/>
                              <w:rPr>
                                <w:b/>
                              </w:rPr>
                            </w:pPr>
                            <w:r>
                              <w:rPr>
                                <w:b/>
                              </w:rPr>
                              <w:t>© Commonwealth of Australia, 2019</w:t>
                            </w:r>
                          </w:p>
                          <w:p w14:paraId="36D248EC" w14:textId="77777777" w:rsidR="00DF4B83" w:rsidRDefault="00DF4B83" w:rsidP="00621D9D">
                            <w:pPr>
                              <w:pStyle w:val="Imprint"/>
                              <w:spacing w:before="0" w:line="260" w:lineRule="exact"/>
                              <w:rPr>
                                <w:b/>
                              </w:rPr>
                            </w:pPr>
                          </w:p>
                          <w:p w14:paraId="007D0B47" w14:textId="148DAC3F" w:rsidR="00DF4B83" w:rsidRDefault="00DF4B83" w:rsidP="00EA133E">
                            <w:pPr>
                              <w:pStyle w:val="Imprint"/>
                              <w:spacing w:line="260" w:lineRule="exact"/>
                              <w:rPr>
                                <w:sz w:val="20"/>
                              </w:rPr>
                            </w:pPr>
                            <w:r>
                              <w:rPr>
                                <w:rFonts w:ascii="Times New Roman" w:hAnsi="Times New Roman"/>
                                <w:noProof/>
                                <w:sz w:val="20"/>
                                <w:lang w:eastAsia="en-AU"/>
                              </w:rPr>
                              <w:drawing>
                                <wp:inline distT="0" distB="0" distL="0" distR="0" wp14:anchorId="3929AADB" wp14:editId="726E8267">
                                  <wp:extent cx="845185" cy="301625"/>
                                  <wp:effectExtent l="0" t="0" r="0" b="3175"/>
                                  <wp:docPr id="43" name="Picture 4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185" cy="301625"/>
                                          </a:xfrm>
                                          <a:prstGeom prst="rect">
                                            <a:avLst/>
                                          </a:prstGeom>
                                          <a:noFill/>
                                          <a:ln>
                                            <a:noFill/>
                                          </a:ln>
                                        </pic:spPr>
                                      </pic:pic>
                                    </a:graphicData>
                                  </a:graphic>
                                </wp:inline>
                              </w:drawing>
                            </w:r>
                          </w:p>
                          <w:p w14:paraId="58265A77" w14:textId="77777777" w:rsidR="00DF4B83" w:rsidRDefault="00DF4B83" w:rsidP="00EA133E">
                            <w:pPr>
                              <w:pStyle w:val="Imprint"/>
                              <w:spacing w:line="260" w:lineRule="exac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2695F7F" w14:textId="77777777" w:rsidR="00DF4B83" w:rsidRDefault="00DF4B83" w:rsidP="00EA133E">
                            <w:pPr>
                              <w:pStyle w:val="Imprint"/>
                              <w:spacing w:line="260" w:lineRule="exac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14:paraId="2F816F64" w14:textId="77777777" w:rsidR="00DF4B83" w:rsidRDefault="00DF4B83" w:rsidP="00EA133E">
                            <w:pPr>
                              <w:pStyle w:val="Imprint"/>
                              <w:spacing w:line="260" w:lineRule="exact"/>
                            </w:pPr>
                            <w:r>
                              <w:t>The Creative Commons licence conditions do not apply to all logos, graphic design, artwork and photographs. Requests and enquiries concerning other reproduction and rights should be directed to the National Centre for Vocational Education Research (NCVER).</w:t>
                            </w:r>
                          </w:p>
                          <w:p w14:paraId="139B2A85" w14:textId="0B03C4C4" w:rsidR="00DF4B83" w:rsidRDefault="00DF4B83" w:rsidP="00EA133E">
                            <w:pPr>
                              <w:pStyle w:val="Imprint"/>
                              <w:spacing w:line="260" w:lineRule="exact"/>
                            </w:pPr>
                            <w:r>
                              <w:t xml:space="preserve">This document should be attributed as </w:t>
                            </w:r>
                            <w:r w:rsidRPr="00621D9D">
                              <w:t>O’Dwyer</w:t>
                            </w:r>
                            <w:r>
                              <w:t>,</w:t>
                            </w:r>
                            <w:r w:rsidRPr="00621D9D">
                              <w:t xml:space="preserve"> </w:t>
                            </w:r>
                            <w:r>
                              <w:t xml:space="preserve">Lisel 2019, </w:t>
                            </w:r>
                            <w:r w:rsidRPr="00621D9D">
                              <w:rPr>
                                <w:i/>
                              </w:rPr>
                              <w:t>Completion rates for group training organisations and direct employers: how do they compare?</w:t>
                            </w:r>
                            <w:r>
                              <w:rPr>
                                <w:i/>
                              </w:rPr>
                              <w:t xml:space="preserve"> Support Document: Literature reviews and other appendices,</w:t>
                            </w:r>
                            <w:r>
                              <w:t xml:space="preserve"> NCVER, Adelaide. </w:t>
                            </w:r>
                          </w:p>
                          <w:p w14:paraId="42BAE5F7" w14:textId="6E967F7B" w:rsidR="00DF4B83" w:rsidRDefault="00DF4B83" w:rsidP="00EA133E">
                            <w:pPr>
                              <w:pStyle w:val="Imprint"/>
                              <w:spacing w:line="260" w:lineRule="exact"/>
                            </w:pPr>
                            <w:r>
                              <w:t xml:space="preserve">This work has been produced by NCVER on behalf of the Australian Government and state and territory governments, with funding provided through the Australian Government Department of </w:t>
                            </w:r>
                            <w:r>
                              <w:rPr>
                                <w:szCs w:val="16"/>
                              </w:rPr>
                              <w:t>Employment, Skills, Small and Family Business</w:t>
                            </w:r>
                            <w:r>
                              <w:t>.</w:t>
                            </w:r>
                          </w:p>
                          <w:p w14:paraId="171510AC" w14:textId="77777777" w:rsidR="00DF4B83" w:rsidRDefault="00DF4B83" w:rsidP="00EA133E">
                            <w:pPr>
                              <w:pStyle w:val="Imprint"/>
                              <w:spacing w:line="260" w:lineRule="exact"/>
                              <w:rPr>
                                <w:color w:val="000000"/>
                              </w:rPr>
                            </w:pPr>
                            <w:r>
                              <w:rPr>
                                <w:color w:val="000000"/>
                              </w:rPr>
                              <w:t>Published by NCVER, ABN 87 007 967 311</w:t>
                            </w:r>
                          </w:p>
                          <w:p w14:paraId="1E2D4518" w14:textId="77777777" w:rsidR="00DF4B83" w:rsidRDefault="00DF4B83" w:rsidP="00EA133E">
                            <w:pPr>
                              <w:pStyle w:val="Imprint"/>
                              <w:spacing w:line="260" w:lineRule="exact"/>
                              <w:rPr>
                                <w:color w:val="000000"/>
                              </w:rPr>
                            </w:pPr>
                            <w:r>
                              <w:rPr>
                                <w:color w:val="000000"/>
                              </w:rPr>
                              <w:t>Level 5, 60 Light Square, Adelaide, SA 5000</w:t>
                            </w:r>
                            <w:r>
                              <w:rPr>
                                <w:color w:val="000000"/>
                              </w:rPr>
                              <w:br/>
                              <w:t>PO Box 8288 Station Arcade, Adelaide SA 5000, Australia</w:t>
                            </w:r>
                          </w:p>
                          <w:p w14:paraId="49C05C72" w14:textId="77777777" w:rsidR="00DF4B83" w:rsidRDefault="00DF4B83" w:rsidP="00EA133E">
                            <w:pPr>
                              <w:pStyle w:val="Imprint"/>
                              <w:spacing w:line="260" w:lineRule="exact"/>
                              <w:rPr>
                                <w:color w:val="000000"/>
                              </w:rPr>
                            </w:pPr>
                            <w:r>
                              <w:rPr>
                                <w:b/>
                                <w:color w:val="000000"/>
                              </w:rPr>
                              <w:t>Phone</w:t>
                            </w:r>
                            <w:r>
                              <w:rPr>
                                <w:color w:val="000000"/>
                              </w:rPr>
                              <w:t xml:space="preserve"> +61 8 8230 8400     </w:t>
                            </w:r>
                            <w:r>
                              <w:rPr>
                                <w:b/>
                                <w:color w:val="000000"/>
                              </w:rPr>
                              <w:t>Email</w:t>
                            </w:r>
                            <w:r>
                              <w:rPr>
                                <w:color w:val="000000"/>
                              </w:rPr>
                              <w:t xml:space="preserve"> </w:t>
                            </w:r>
                            <w:hyperlink r:id="rId12" w:history="1">
                              <w:r w:rsidRPr="00EC060E">
                                <w:rPr>
                                  <w:rStyle w:val="Hyperlink"/>
                                  <w:rFonts w:eastAsiaTheme="majorEastAsia"/>
                                  <w:sz w:val="16"/>
                                  <w:szCs w:val="16"/>
                                </w:rPr>
                                <w:t>ncver@ncver.edu.au</w:t>
                              </w:r>
                            </w:hyperlink>
                            <w:r>
                              <w:rPr>
                                <w:color w:val="000000"/>
                              </w:rPr>
                              <w:t xml:space="preserve">     </w:t>
                            </w:r>
                          </w:p>
                          <w:p w14:paraId="73A75A20" w14:textId="77777777" w:rsidR="00DF4B83" w:rsidRDefault="00DF4B83" w:rsidP="00EA133E">
                            <w:pPr>
                              <w:pStyle w:val="Imprint"/>
                              <w:spacing w:line="260" w:lineRule="exact"/>
                              <w:rPr>
                                <w:color w:val="000000"/>
                              </w:rPr>
                            </w:pPr>
                            <w:r>
                              <w:rPr>
                                <w:b/>
                                <w:color w:val="000000"/>
                              </w:rPr>
                              <w:t>Web</w:t>
                            </w:r>
                            <w:r>
                              <w:rPr>
                                <w:color w:val="000000"/>
                              </w:rPr>
                              <w:t xml:space="preserve"> </w:t>
                            </w:r>
                            <w:r w:rsidRPr="00EC060E">
                              <w:rPr>
                                <w:color w:val="000000"/>
                                <w:szCs w:val="16"/>
                              </w:rPr>
                              <w:t>&lt;https://www.ncver.edu.au&gt;  &lt;</w:t>
                            </w:r>
                            <w:hyperlink r:id="rId13" w:history="1">
                              <w:r w:rsidRPr="00EC060E">
                                <w:rPr>
                                  <w:rStyle w:val="Hyperlink"/>
                                  <w:rFonts w:eastAsiaTheme="majorEastAsia"/>
                                  <w:sz w:val="16"/>
                                  <w:szCs w:val="16"/>
                                </w:rPr>
                                <w:t>http://www.lsay.edu.au</w:t>
                              </w:r>
                            </w:hyperlink>
                            <w:r w:rsidRPr="00EC060E">
                              <w:rPr>
                                <w:color w:val="000000"/>
                                <w:szCs w:val="16"/>
                              </w:rPr>
                              <w:t>&gt;</w:t>
                            </w:r>
                          </w:p>
                          <w:p w14:paraId="68D9F8C6" w14:textId="696E837F" w:rsidR="00DF4B83" w:rsidRPr="00EC060E" w:rsidRDefault="00DF4B83" w:rsidP="00EC060E">
                            <w:pPr>
                              <w:pStyle w:val="Imprint"/>
                              <w:tabs>
                                <w:tab w:val="left" w:pos="851"/>
                              </w:tabs>
                              <w:spacing w:line="260" w:lineRule="exact"/>
                              <w:rPr>
                                <w:color w:val="000000"/>
                              </w:rPr>
                            </w:pPr>
                            <w:r>
                              <w:rPr>
                                <w:b/>
                                <w:color w:val="000000"/>
                              </w:rPr>
                              <w:t>Follow us:</w:t>
                            </w:r>
                            <w:r>
                              <w:rPr>
                                <w:color w:val="000000"/>
                              </w:rPr>
                              <w:t xml:space="preserve"> </w:t>
                            </w:r>
                            <w:r>
                              <w:rPr>
                                <w:color w:val="000000"/>
                              </w:rPr>
                              <w:tab/>
                            </w:r>
                            <w:r>
                              <w:rPr>
                                <w:rFonts w:ascii="Times New Roman" w:hAnsi="Times New Roman"/>
                                <w:noProof/>
                                <w:sz w:val="20"/>
                                <w:lang w:eastAsia="en-AU"/>
                              </w:rPr>
                              <w:drawing>
                                <wp:inline distT="0" distB="0" distL="0" distR="0" wp14:anchorId="0E8C5486" wp14:editId="18902413">
                                  <wp:extent cx="120650" cy="1466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Pr>
                                <w:color w:val="000000"/>
                              </w:rPr>
                              <w:t xml:space="preserve"> &lt;https://twitter.com/ncver&gt;</w:t>
                            </w:r>
                            <w:r>
                              <w:rPr>
                                <w:color w:val="000000"/>
                              </w:rPr>
                              <w:tab/>
                            </w:r>
                            <w:r>
                              <w:rPr>
                                <w:rFonts w:ascii="Times New Roman" w:hAnsi="Times New Roman"/>
                                <w:noProof/>
                                <w:sz w:val="20"/>
                                <w:lang w:eastAsia="en-AU"/>
                              </w:rPr>
                              <w:drawing>
                                <wp:inline distT="0" distB="0" distL="0" distR="0" wp14:anchorId="38935EAA" wp14:editId="5C6346B0">
                                  <wp:extent cx="129540" cy="146685"/>
                                  <wp:effectExtent l="0" t="0" r="381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Pr>
                                <w:color w:val="000000"/>
                              </w:rPr>
                              <w:t xml:space="preserve"> &lt;https://www.linkedin.com/company/ncver&gt;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E24336D" id="Text Box 247" o:spid="_x0000_s1027" type="#_x0000_t202" style="position:absolute;margin-left:-.25pt;margin-top:304.7pt;width:451pt;height:40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" filled="f" stroked="f">
                <v:textbox>
                  <w:txbxContent>
                    <w:p w14:paraId="08A36C43" w14:textId="5D58E83D" w:rsidR="00DF4B83" w:rsidRDefault="00DF4B83" w:rsidP="00EA133E">
                      <w:pPr>
                        <w:pStyle w:val="Imprint"/>
                        <w:spacing w:line="260" w:lineRule="exact"/>
                        <w:rPr>
                          <w:b/>
                        </w:rPr>
                      </w:pPr>
                      <w:r>
                        <w:rPr>
                          <w:b/>
                        </w:rPr>
                        <w:t>© Commonwealth of Australia, 2019</w:t>
                      </w:r>
                    </w:p>
                    <w:p w14:paraId="36D248EC" w14:textId="77777777" w:rsidR="00DF4B83" w:rsidRDefault="00DF4B83" w:rsidP="00621D9D">
                      <w:pPr>
                        <w:pStyle w:val="Imprint"/>
                        <w:spacing w:before="0" w:line="260" w:lineRule="exact"/>
                        <w:rPr>
                          <w:b/>
                        </w:rPr>
                      </w:pPr>
                    </w:p>
                    <w:p w14:paraId="007D0B47" w14:textId="148DAC3F" w:rsidR="00DF4B83" w:rsidRDefault="00DF4B83" w:rsidP="00EA133E">
                      <w:pPr>
                        <w:pStyle w:val="Imprint"/>
                        <w:spacing w:line="260" w:lineRule="exact"/>
                        <w:rPr>
                          <w:sz w:val="20"/>
                        </w:rPr>
                      </w:pPr>
                      <w:r>
                        <w:rPr>
                          <w:rFonts w:ascii="Times New Roman" w:hAnsi="Times New Roman"/>
                          <w:noProof/>
                          <w:sz w:val="20"/>
                          <w:lang w:eastAsia="en-AU"/>
                        </w:rPr>
                        <w:drawing>
                          <wp:inline distT="0" distB="0" distL="0" distR="0" wp14:anchorId="3929AADB" wp14:editId="726E8267">
                            <wp:extent cx="845185" cy="301625"/>
                            <wp:effectExtent l="0" t="0" r="0" b="3175"/>
                            <wp:docPr id="43" name="Picture 4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185" cy="301625"/>
                                    </a:xfrm>
                                    <a:prstGeom prst="rect">
                                      <a:avLst/>
                                    </a:prstGeom>
                                    <a:noFill/>
                                    <a:ln>
                                      <a:noFill/>
                                    </a:ln>
                                  </pic:spPr>
                                </pic:pic>
                              </a:graphicData>
                            </a:graphic>
                          </wp:inline>
                        </w:drawing>
                      </w:r>
                    </w:p>
                    <w:p w14:paraId="58265A77" w14:textId="77777777" w:rsidR="00DF4B83" w:rsidRDefault="00DF4B83" w:rsidP="00EA133E">
                      <w:pPr>
                        <w:pStyle w:val="Imprint"/>
                        <w:spacing w:line="260" w:lineRule="exac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2695F7F" w14:textId="77777777" w:rsidR="00DF4B83" w:rsidRDefault="00DF4B83" w:rsidP="00EA133E">
                      <w:pPr>
                        <w:pStyle w:val="Imprint"/>
                        <w:spacing w:line="260" w:lineRule="exact"/>
                      </w:pPr>
                      <w:r>
                        <w:t xml:space="preserve">The details of the relevant licence conditions are available on the Creative Commons website (accessible using the links </w:t>
                      </w:r>
                      <w:r>
                        <w:rPr>
                          <w:spacing w:val="-1"/>
                        </w:rPr>
                        <w:t>provided) as is the full legal code for the CC BY 3.0 AU licence &lt;http://creativecommons.org/licenses/by/3.0/legalcode&gt;.</w:t>
                      </w:r>
                      <w:r>
                        <w:rPr>
                          <w:spacing w:val="-2"/>
                        </w:rPr>
                        <w:t xml:space="preserve"> </w:t>
                      </w:r>
                    </w:p>
                    <w:p w14:paraId="2F816F64" w14:textId="77777777" w:rsidR="00DF4B83" w:rsidRDefault="00DF4B83" w:rsidP="00EA133E">
                      <w:pPr>
                        <w:pStyle w:val="Imprint"/>
                        <w:spacing w:line="260" w:lineRule="exact"/>
                      </w:pPr>
                      <w:r>
                        <w:t>The Creative Commons licence conditions do not apply to all logos, graphic design, artwork and photographs. Requests and enquiries concerning other reproduction and rights should be directed to the National Centre for Vocational Education Research (NCVER).</w:t>
                      </w:r>
                    </w:p>
                    <w:p w14:paraId="139B2A85" w14:textId="0B03C4C4" w:rsidR="00DF4B83" w:rsidRDefault="00DF4B83" w:rsidP="00EA133E">
                      <w:pPr>
                        <w:pStyle w:val="Imprint"/>
                        <w:spacing w:line="260" w:lineRule="exact"/>
                      </w:pPr>
                      <w:r>
                        <w:t xml:space="preserve">This document should be attributed as </w:t>
                      </w:r>
                      <w:r w:rsidRPr="00621D9D">
                        <w:t>O’Dwyer</w:t>
                      </w:r>
                      <w:r>
                        <w:t>,</w:t>
                      </w:r>
                      <w:r w:rsidRPr="00621D9D">
                        <w:t xml:space="preserve"> </w:t>
                      </w:r>
                      <w:r>
                        <w:t xml:space="preserve">Lisel 2019, </w:t>
                      </w:r>
                      <w:r w:rsidRPr="00621D9D">
                        <w:rPr>
                          <w:i/>
                        </w:rPr>
                        <w:t>Completion rates for group training organisations and direct employers: how do they compare?</w:t>
                      </w:r>
                      <w:r>
                        <w:rPr>
                          <w:i/>
                        </w:rPr>
                        <w:t xml:space="preserve"> Support Document: Literature reviews and other appendices,</w:t>
                      </w:r>
                      <w:r>
                        <w:t xml:space="preserve"> NCVER, Adelaide. </w:t>
                      </w:r>
                    </w:p>
                    <w:p w14:paraId="42BAE5F7" w14:textId="6E967F7B" w:rsidR="00DF4B83" w:rsidRDefault="00DF4B83" w:rsidP="00EA133E">
                      <w:pPr>
                        <w:pStyle w:val="Imprint"/>
                        <w:spacing w:line="260" w:lineRule="exact"/>
                      </w:pPr>
                      <w:r>
                        <w:t xml:space="preserve">This work has been produced by NCVER on behalf of the Australian Government and state and territory governments, with funding provided through the Australian Government Department of </w:t>
                      </w:r>
                      <w:r>
                        <w:rPr>
                          <w:szCs w:val="16"/>
                        </w:rPr>
                        <w:t>Employment, Skills, Small and Family Business</w:t>
                      </w:r>
                      <w:r>
                        <w:t>.</w:t>
                      </w:r>
                    </w:p>
                    <w:p w14:paraId="171510AC" w14:textId="77777777" w:rsidR="00DF4B83" w:rsidRDefault="00DF4B83" w:rsidP="00EA133E">
                      <w:pPr>
                        <w:pStyle w:val="Imprint"/>
                        <w:spacing w:line="260" w:lineRule="exact"/>
                        <w:rPr>
                          <w:color w:val="000000"/>
                        </w:rPr>
                      </w:pPr>
                      <w:r>
                        <w:rPr>
                          <w:color w:val="000000"/>
                        </w:rPr>
                        <w:t>Published by NCVER, ABN 87 007 967 311</w:t>
                      </w:r>
                    </w:p>
                    <w:p w14:paraId="1E2D4518" w14:textId="77777777" w:rsidR="00DF4B83" w:rsidRDefault="00DF4B83" w:rsidP="00EA133E">
                      <w:pPr>
                        <w:pStyle w:val="Imprint"/>
                        <w:spacing w:line="260" w:lineRule="exact"/>
                        <w:rPr>
                          <w:color w:val="000000"/>
                        </w:rPr>
                      </w:pPr>
                      <w:r>
                        <w:rPr>
                          <w:color w:val="000000"/>
                        </w:rPr>
                        <w:t>Level 5, 60 Light Square, Adelaide, SA 5000</w:t>
                      </w:r>
                      <w:r>
                        <w:rPr>
                          <w:color w:val="000000"/>
                        </w:rPr>
                        <w:br/>
                        <w:t>PO Box 8288 Station Arcade, Adelaide SA 5000, Australia</w:t>
                      </w:r>
                    </w:p>
                    <w:p w14:paraId="49C05C72" w14:textId="77777777" w:rsidR="00DF4B83" w:rsidRDefault="00DF4B83" w:rsidP="00EA133E">
                      <w:pPr>
                        <w:pStyle w:val="Imprint"/>
                        <w:spacing w:line="260" w:lineRule="exact"/>
                        <w:rPr>
                          <w:color w:val="000000"/>
                        </w:rPr>
                      </w:pPr>
                      <w:r>
                        <w:rPr>
                          <w:b/>
                          <w:color w:val="000000"/>
                        </w:rPr>
                        <w:t>Phone</w:t>
                      </w:r>
                      <w:r>
                        <w:rPr>
                          <w:color w:val="000000"/>
                        </w:rPr>
                        <w:t xml:space="preserve"> +61 8 8230 8400     </w:t>
                      </w:r>
                      <w:r>
                        <w:rPr>
                          <w:b/>
                          <w:color w:val="000000"/>
                        </w:rPr>
                        <w:t>Email</w:t>
                      </w:r>
                      <w:r>
                        <w:rPr>
                          <w:color w:val="000000"/>
                        </w:rPr>
                        <w:t xml:space="preserve"> </w:t>
                      </w:r>
                      <w:hyperlink r:id="rId16" w:history="1">
                        <w:r w:rsidRPr="00EC060E">
                          <w:rPr>
                            <w:rStyle w:val="Hyperlink"/>
                            <w:rFonts w:eastAsiaTheme="majorEastAsia"/>
                            <w:sz w:val="16"/>
                            <w:szCs w:val="16"/>
                          </w:rPr>
                          <w:t>ncver@ncver.edu.au</w:t>
                        </w:r>
                      </w:hyperlink>
                      <w:r>
                        <w:rPr>
                          <w:color w:val="000000"/>
                        </w:rPr>
                        <w:t xml:space="preserve">     </w:t>
                      </w:r>
                    </w:p>
                    <w:p w14:paraId="73A75A20" w14:textId="77777777" w:rsidR="00DF4B83" w:rsidRDefault="00DF4B83" w:rsidP="00EA133E">
                      <w:pPr>
                        <w:pStyle w:val="Imprint"/>
                        <w:spacing w:line="260" w:lineRule="exact"/>
                        <w:rPr>
                          <w:color w:val="000000"/>
                        </w:rPr>
                      </w:pPr>
                      <w:r>
                        <w:rPr>
                          <w:b/>
                          <w:color w:val="000000"/>
                        </w:rPr>
                        <w:t>Web</w:t>
                      </w:r>
                      <w:r>
                        <w:rPr>
                          <w:color w:val="000000"/>
                        </w:rPr>
                        <w:t xml:space="preserve"> </w:t>
                      </w:r>
                      <w:r w:rsidRPr="00EC060E">
                        <w:rPr>
                          <w:color w:val="000000"/>
                          <w:szCs w:val="16"/>
                        </w:rPr>
                        <w:t>&lt;https://www.ncver.edu.au&gt;  &lt;</w:t>
                      </w:r>
                      <w:hyperlink r:id="rId17" w:history="1">
                        <w:r w:rsidRPr="00EC060E">
                          <w:rPr>
                            <w:rStyle w:val="Hyperlink"/>
                            <w:rFonts w:eastAsiaTheme="majorEastAsia"/>
                            <w:sz w:val="16"/>
                            <w:szCs w:val="16"/>
                          </w:rPr>
                          <w:t>http://www.lsay.edu.au</w:t>
                        </w:r>
                      </w:hyperlink>
                      <w:r w:rsidRPr="00EC060E">
                        <w:rPr>
                          <w:color w:val="000000"/>
                          <w:szCs w:val="16"/>
                        </w:rPr>
                        <w:t>&gt;</w:t>
                      </w:r>
                    </w:p>
                    <w:p w14:paraId="68D9F8C6" w14:textId="696E837F" w:rsidR="00DF4B83" w:rsidRPr="00EC060E" w:rsidRDefault="00DF4B83" w:rsidP="00EC060E">
                      <w:pPr>
                        <w:pStyle w:val="Imprint"/>
                        <w:tabs>
                          <w:tab w:val="left" w:pos="851"/>
                        </w:tabs>
                        <w:spacing w:line="260" w:lineRule="exact"/>
                        <w:rPr>
                          <w:color w:val="000000"/>
                        </w:rPr>
                      </w:pPr>
                      <w:r>
                        <w:rPr>
                          <w:b/>
                          <w:color w:val="000000"/>
                        </w:rPr>
                        <w:t>Follow us:</w:t>
                      </w:r>
                      <w:r>
                        <w:rPr>
                          <w:color w:val="000000"/>
                        </w:rPr>
                        <w:t xml:space="preserve"> </w:t>
                      </w:r>
                      <w:r>
                        <w:rPr>
                          <w:color w:val="000000"/>
                        </w:rPr>
                        <w:tab/>
                      </w:r>
                      <w:r>
                        <w:rPr>
                          <w:rFonts w:ascii="Times New Roman" w:hAnsi="Times New Roman"/>
                          <w:noProof/>
                          <w:sz w:val="20"/>
                          <w:lang w:eastAsia="en-AU"/>
                        </w:rPr>
                        <w:drawing>
                          <wp:inline distT="0" distB="0" distL="0" distR="0" wp14:anchorId="0E8C5486" wp14:editId="18902413">
                            <wp:extent cx="120650" cy="1466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Pr>
                          <w:color w:val="000000"/>
                        </w:rPr>
                        <w:t xml:space="preserve"> &lt;https://twitter.com/ncver&gt;</w:t>
                      </w:r>
                      <w:r>
                        <w:rPr>
                          <w:color w:val="000000"/>
                        </w:rPr>
                        <w:tab/>
                      </w:r>
                      <w:r>
                        <w:rPr>
                          <w:rFonts w:ascii="Times New Roman" w:hAnsi="Times New Roman"/>
                          <w:noProof/>
                          <w:sz w:val="20"/>
                          <w:lang w:eastAsia="en-AU"/>
                        </w:rPr>
                        <w:drawing>
                          <wp:inline distT="0" distB="0" distL="0" distR="0" wp14:anchorId="38935EAA" wp14:editId="5C6346B0">
                            <wp:extent cx="129540" cy="146685"/>
                            <wp:effectExtent l="0" t="0" r="381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rPr>
                          <w:color w:val="000000"/>
                        </w:rPr>
                        <w:t xml:space="preserve"> &lt;https://www.linkedin.com/company/ncver&gt;</w:t>
                      </w:r>
                    </w:p>
                  </w:txbxContent>
                </v:textbox>
                <w10:wrap anchory="margin"/>
              </v:shape>
            </w:pict>
          </mc:Fallback>
        </mc:AlternateContent>
      </w:r>
    </w:p>
    <w:p w14:paraId="4F9EEDBE" w14:textId="77777777" w:rsidR="00EA133E" w:rsidRDefault="00EA133E" w:rsidP="00EA133E">
      <w:pPr>
        <w:pStyle w:val="Text"/>
      </w:pPr>
    </w:p>
    <w:p w14:paraId="1F13777B" w14:textId="77777777" w:rsidR="00EA133E" w:rsidRDefault="00EA133E" w:rsidP="00EA133E">
      <w:pPr>
        <w:pStyle w:val="Text"/>
      </w:pPr>
    </w:p>
    <w:p w14:paraId="48DB5AE9" w14:textId="05447962" w:rsidR="00EA133E" w:rsidRDefault="00EA133E" w:rsidP="00EA133E">
      <w:pPr>
        <w:pStyle w:val="Text"/>
      </w:pPr>
    </w:p>
    <w:p w14:paraId="223B8373" w14:textId="77777777" w:rsidR="00EA133E" w:rsidRDefault="00EA133E" w:rsidP="00EA133E">
      <w:pPr>
        <w:pStyle w:val="Text"/>
      </w:pPr>
    </w:p>
    <w:p w14:paraId="602E8E58" w14:textId="77777777" w:rsidR="00EA133E" w:rsidRDefault="00EA133E" w:rsidP="00EA133E">
      <w:pPr>
        <w:pStyle w:val="Text"/>
      </w:pPr>
    </w:p>
    <w:p w14:paraId="7517AF51" w14:textId="77777777" w:rsidR="00EA133E" w:rsidRDefault="00EA133E" w:rsidP="00EA133E">
      <w:pPr>
        <w:pStyle w:val="Contents"/>
      </w:pPr>
    </w:p>
    <w:p w14:paraId="28AD9F1A" w14:textId="77777777" w:rsidR="00EA133E" w:rsidRDefault="00EA133E" w:rsidP="00EA133E">
      <w:pPr>
        <w:pStyle w:val="Contents"/>
      </w:pPr>
    </w:p>
    <w:p w14:paraId="27BD78D8" w14:textId="77777777" w:rsidR="00EA133E" w:rsidRDefault="00EA133E" w:rsidP="00EA133E">
      <w:pPr>
        <w:spacing w:before="0" w:line="240" w:lineRule="auto"/>
        <w:rPr>
          <w:rFonts w:ascii="Arial" w:hAnsi="Arial" w:cs="Tahoma"/>
          <w:color w:val="000000"/>
          <w:kern w:val="28"/>
          <w:sz w:val="56"/>
          <w:szCs w:val="56"/>
        </w:rPr>
        <w:sectPr w:rsidR="00EA133E">
          <w:headerReference w:type="default" r:id="rId18"/>
          <w:footerReference w:type="first" r:id="rId19"/>
          <w:pgSz w:w="11907" w:h="16840"/>
          <w:pgMar w:top="1418" w:right="1701" w:bottom="1134" w:left="1418" w:header="709" w:footer="556" w:gutter="0"/>
          <w:cols w:space="720"/>
        </w:sectPr>
      </w:pPr>
    </w:p>
    <w:p w14:paraId="37AF9156" w14:textId="4E13086B" w:rsidR="001B40DA" w:rsidRPr="003813E4" w:rsidRDefault="001B40DA" w:rsidP="001B40DA">
      <w:pPr>
        <w:pStyle w:val="Contents"/>
      </w:pPr>
      <w:bookmarkStart w:id="11" w:name="_Toc296497516"/>
      <w:bookmarkStart w:id="12" w:name="_Toc298162801"/>
      <w:bookmarkStart w:id="13" w:name="_Toc316371580"/>
      <w:bookmarkStart w:id="14" w:name="_Toc15287577"/>
      <w:bookmarkStart w:id="15" w:name="_Toc495748330"/>
      <w:bookmarkStart w:id="16" w:name="_Toc495810630"/>
      <w:bookmarkStart w:id="17" w:name="_Toc6031787"/>
      <w:bookmarkStart w:id="18" w:name="_Toc6031844"/>
      <w:bookmarkEnd w:id="0"/>
      <w:bookmarkEnd w:id="1"/>
      <w:bookmarkEnd w:id="2"/>
      <w:bookmarkEnd w:id="3"/>
      <w:bookmarkEnd w:id="4"/>
      <w:bookmarkEnd w:id="5"/>
      <w:bookmarkEnd w:id="6"/>
      <w:r w:rsidRPr="00BE5DCB">
        <w:lastRenderedPageBreak/>
        <w:t>Contents</w:t>
      </w:r>
    </w:p>
    <w:p w14:paraId="7D69C40E" w14:textId="3B6ED4F9" w:rsidR="00B316FE" w:rsidRDefault="001B40DA">
      <w:pPr>
        <w:pStyle w:val="TOC1"/>
        <w:rPr>
          <w:rFonts w:asciiTheme="minorHAnsi" w:eastAsiaTheme="minorEastAsia" w:hAnsiTheme="minorHAnsi" w:cstheme="minorBidi"/>
          <w:noProof/>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B316FE">
        <w:rPr>
          <w:noProof/>
        </w:rPr>
        <w:t>Introduction</w:t>
      </w:r>
      <w:r w:rsidR="00B316FE">
        <w:rPr>
          <w:noProof/>
        </w:rPr>
        <w:tab/>
      </w:r>
      <w:r w:rsidR="00E774A7">
        <w:rPr>
          <w:noProof/>
        </w:rPr>
        <w:t xml:space="preserve">  </w:t>
      </w:r>
      <w:r w:rsidR="00B316FE">
        <w:rPr>
          <w:noProof/>
        </w:rPr>
        <w:fldChar w:fldCharType="begin"/>
      </w:r>
      <w:r w:rsidR="00B316FE">
        <w:rPr>
          <w:noProof/>
        </w:rPr>
        <w:instrText xml:space="preserve"> PAGEREF _Toc17104048 \h </w:instrText>
      </w:r>
      <w:r w:rsidR="00B316FE">
        <w:rPr>
          <w:noProof/>
        </w:rPr>
      </w:r>
      <w:r w:rsidR="00B316FE">
        <w:rPr>
          <w:noProof/>
        </w:rPr>
        <w:fldChar w:fldCharType="separate"/>
      </w:r>
      <w:r w:rsidR="008E7896">
        <w:rPr>
          <w:noProof/>
        </w:rPr>
        <w:t>5</w:t>
      </w:r>
      <w:r w:rsidR="00B316FE">
        <w:rPr>
          <w:noProof/>
        </w:rPr>
        <w:fldChar w:fldCharType="end"/>
      </w:r>
    </w:p>
    <w:p w14:paraId="5D93589A" w14:textId="171E8AE5" w:rsidR="00B316FE" w:rsidRDefault="00B316FE">
      <w:pPr>
        <w:pStyle w:val="TOC1"/>
        <w:rPr>
          <w:rFonts w:asciiTheme="minorHAnsi" w:eastAsiaTheme="minorEastAsia" w:hAnsiTheme="minorHAnsi" w:cstheme="minorBidi"/>
          <w:noProof/>
          <w:sz w:val="22"/>
          <w:szCs w:val="22"/>
          <w:lang w:eastAsia="en-AU"/>
        </w:rPr>
      </w:pPr>
      <w:r>
        <w:rPr>
          <w:noProof/>
        </w:rPr>
        <w:t>Literature review</w:t>
      </w:r>
      <w:r>
        <w:rPr>
          <w:noProof/>
        </w:rPr>
        <w:tab/>
      </w:r>
      <w:r w:rsidR="00E774A7">
        <w:rPr>
          <w:noProof/>
        </w:rPr>
        <w:t xml:space="preserve">  </w:t>
      </w:r>
      <w:r>
        <w:rPr>
          <w:noProof/>
        </w:rPr>
        <w:fldChar w:fldCharType="begin"/>
      </w:r>
      <w:r>
        <w:rPr>
          <w:noProof/>
        </w:rPr>
        <w:instrText xml:space="preserve"> PAGEREF _Toc17104049 \h </w:instrText>
      </w:r>
      <w:r>
        <w:rPr>
          <w:noProof/>
        </w:rPr>
      </w:r>
      <w:r>
        <w:rPr>
          <w:noProof/>
        </w:rPr>
        <w:fldChar w:fldCharType="separate"/>
      </w:r>
      <w:r w:rsidR="008E7896">
        <w:rPr>
          <w:noProof/>
        </w:rPr>
        <w:t>6</w:t>
      </w:r>
      <w:r>
        <w:rPr>
          <w:noProof/>
        </w:rPr>
        <w:fldChar w:fldCharType="end"/>
      </w:r>
    </w:p>
    <w:p w14:paraId="78BAEE2C" w14:textId="228373B2" w:rsidR="00B316FE" w:rsidRDefault="00B316FE">
      <w:pPr>
        <w:pStyle w:val="TOC2"/>
        <w:rPr>
          <w:rFonts w:asciiTheme="minorHAnsi" w:eastAsiaTheme="minorEastAsia" w:hAnsiTheme="minorHAnsi" w:cstheme="minorBidi"/>
          <w:noProof/>
          <w:sz w:val="22"/>
          <w:szCs w:val="22"/>
          <w:lang w:eastAsia="en-AU"/>
        </w:rPr>
      </w:pPr>
      <w:r>
        <w:rPr>
          <w:noProof/>
        </w:rPr>
        <w:t>Overview of method and findings</w:t>
      </w:r>
      <w:r>
        <w:rPr>
          <w:noProof/>
        </w:rPr>
        <w:tab/>
      </w:r>
      <w:r w:rsidR="00E774A7">
        <w:rPr>
          <w:noProof/>
        </w:rPr>
        <w:t xml:space="preserve">  </w:t>
      </w:r>
      <w:r>
        <w:rPr>
          <w:noProof/>
        </w:rPr>
        <w:fldChar w:fldCharType="begin"/>
      </w:r>
      <w:r>
        <w:rPr>
          <w:noProof/>
        </w:rPr>
        <w:instrText xml:space="preserve"> PAGEREF _Toc17104050 \h </w:instrText>
      </w:r>
      <w:r>
        <w:rPr>
          <w:noProof/>
        </w:rPr>
      </w:r>
      <w:r>
        <w:rPr>
          <w:noProof/>
        </w:rPr>
        <w:fldChar w:fldCharType="separate"/>
      </w:r>
      <w:r w:rsidR="008E7896">
        <w:rPr>
          <w:noProof/>
        </w:rPr>
        <w:t>6</w:t>
      </w:r>
      <w:r>
        <w:rPr>
          <w:noProof/>
        </w:rPr>
        <w:fldChar w:fldCharType="end"/>
      </w:r>
    </w:p>
    <w:p w14:paraId="36501335" w14:textId="44CA6A15" w:rsidR="00B316FE" w:rsidRDefault="00B316FE">
      <w:pPr>
        <w:pStyle w:val="TOC2"/>
        <w:rPr>
          <w:rFonts w:asciiTheme="minorHAnsi" w:eastAsiaTheme="minorEastAsia" w:hAnsiTheme="minorHAnsi" w:cstheme="minorBidi"/>
          <w:noProof/>
          <w:sz w:val="22"/>
          <w:szCs w:val="22"/>
          <w:lang w:eastAsia="en-AU"/>
        </w:rPr>
      </w:pPr>
      <w:r>
        <w:rPr>
          <w:noProof/>
        </w:rPr>
        <w:t>Background</w:t>
      </w:r>
      <w:r>
        <w:rPr>
          <w:noProof/>
        </w:rPr>
        <w:tab/>
      </w:r>
      <w:r w:rsidR="00E774A7">
        <w:rPr>
          <w:noProof/>
        </w:rPr>
        <w:t xml:space="preserve">  </w:t>
      </w:r>
      <w:r>
        <w:rPr>
          <w:noProof/>
        </w:rPr>
        <w:fldChar w:fldCharType="begin"/>
      </w:r>
      <w:r>
        <w:rPr>
          <w:noProof/>
        </w:rPr>
        <w:instrText xml:space="preserve"> PAGEREF _Toc17104051 \h </w:instrText>
      </w:r>
      <w:r>
        <w:rPr>
          <w:noProof/>
        </w:rPr>
      </w:r>
      <w:r>
        <w:rPr>
          <w:noProof/>
        </w:rPr>
        <w:fldChar w:fldCharType="separate"/>
      </w:r>
      <w:r w:rsidR="008E7896">
        <w:rPr>
          <w:noProof/>
        </w:rPr>
        <w:t>6</w:t>
      </w:r>
      <w:r>
        <w:rPr>
          <w:noProof/>
        </w:rPr>
        <w:fldChar w:fldCharType="end"/>
      </w:r>
    </w:p>
    <w:p w14:paraId="38FDB098" w14:textId="5ADD7469" w:rsidR="00B316FE" w:rsidRDefault="00B316FE">
      <w:pPr>
        <w:pStyle w:val="TOC2"/>
        <w:rPr>
          <w:rFonts w:asciiTheme="minorHAnsi" w:eastAsiaTheme="minorEastAsia" w:hAnsiTheme="minorHAnsi" w:cstheme="minorBidi"/>
          <w:noProof/>
          <w:sz w:val="22"/>
          <w:szCs w:val="22"/>
          <w:lang w:eastAsia="en-AU"/>
        </w:rPr>
      </w:pPr>
      <w:r>
        <w:rPr>
          <w:noProof/>
        </w:rPr>
        <w:t>Apprenticeship commencement, completion and cancellation</w:t>
      </w:r>
      <w:r>
        <w:rPr>
          <w:noProof/>
        </w:rPr>
        <w:tab/>
      </w:r>
      <w:r w:rsidR="00E774A7">
        <w:rPr>
          <w:noProof/>
        </w:rPr>
        <w:t xml:space="preserve">  </w:t>
      </w:r>
      <w:r>
        <w:rPr>
          <w:noProof/>
        </w:rPr>
        <w:fldChar w:fldCharType="begin"/>
      </w:r>
      <w:r>
        <w:rPr>
          <w:noProof/>
        </w:rPr>
        <w:instrText xml:space="preserve"> PAGEREF _Toc17104052 \h </w:instrText>
      </w:r>
      <w:r>
        <w:rPr>
          <w:noProof/>
        </w:rPr>
      </w:r>
      <w:r>
        <w:rPr>
          <w:noProof/>
        </w:rPr>
        <w:fldChar w:fldCharType="separate"/>
      </w:r>
      <w:r w:rsidR="008E7896">
        <w:rPr>
          <w:noProof/>
        </w:rPr>
        <w:t>8</w:t>
      </w:r>
      <w:r>
        <w:rPr>
          <w:noProof/>
        </w:rPr>
        <w:fldChar w:fldCharType="end"/>
      </w:r>
    </w:p>
    <w:p w14:paraId="776C96F9" w14:textId="14427537" w:rsidR="00B316FE" w:rsidRDefault="00B316FE">
      <w:pPr>
        <w:pStyle w:val="TOC2"/>
        <w:rPr>
          <w:rFonts w:asciiTheme="minorHAnsi" w:eastAsiaTheme="minorEastAsia" w:hAnsiTheme="minorHAnsi" w:cstheme="minorBidi"/>
          <w:noProof/>
          <w:sz w:val="22"/>
          <w:szCs w:val="22"/>
          <w:lang w:eastAsia="en-AU"/>
        </w:rPr>
      </w:pPr>
      <w:r>
        <w:rPr>
          <w:noProof/>
        </w:rPr>
        <w:t>GTO and private employer practices</w:t>
      </w:r>
      <w:r>
        <w:rPr>
          <w:noProof/>
        </w:rPr>
        <w:tab/>
      </w:r>
      <w:r>
        <w:rPr>
          <w:noProof/>
        </w:rPr>
        <w:fldChar w:fldCharType="begin"/>
      </w:r>
      <w:r>
        <w:rPr>
          <w:noProof/>
        </w:rPr>
        <w:instrText xml:space="preserve"> PAGEREF _Toc17104053 \h </w:instrText>
      </w:r>
      <w:r>
        <w:rPr>
          <w:noProof/>
        </w:rPr>
      </w:r>
      <w:r>
        <w:rPr>
          <w:noProof/>
        </w:rPr>
        <w:fldChar w:fldCharType="separate"/>
      </w:r>
      <w:r w:rsidR="008E7896">
        <w:rPr>
          <w:noProof/>
        </w:rPr>
        <w:t>13</w:t>
      </w:r>
      <w:r>
        <w:rPr>
          <w:noProof/>
        </w:rPr>
        <w:fldChar w:fldCharType="end"/>
      </w:r>
    </w:p>
    <w:p w14:paraId="1BE8D3E8" w14:textId="51C0FC28" w:rsidR="00B316FE" w:rsidRDefault="00B316FE">
      <w:pPr>
        <w:pStyle w:val="TOC2"/>
        <w:rPr>
          <w:rFonts w:asciiTheme="minorHAnsi" w:eastAsiaTheme="minorEastAsia" w:hAnsiTheme="minorHAnsi" w:cstheme="minorBidi"/>
          <w:noProof/>
          <w:sz w:val="22"/>
          <w:szCs w:val="22"/>
          <w:lang w:eastAsia="en-AU"/>
        </w:rPr>
      </w:pPr>
      <w:r>
        <w:rPr>
          <w:noProof/>
        </w:rPr>
        <w:t>Legislative frameworks</w:t>
      </w:r>
      <w:r>
        <w:rPr>
          <w:noProof/>
        </w:rPr>
        <w:tab/>
      </w:r>
      <w:r>
        <w:rPr>
          <w:noProof/>
        </w:rPr>
        <w:fldChar w:fldCharType="begin"/>
      </w:r>
      <w:r>
        <w:rPr>
          <w:noProof/>
        </w:rPr>
        <w:instrText xml:space="preserve"> PAGEREF _Toc17104054 \h </w:instrText>
      </w:r>
      <w:r>
        <w:rPr>
          <w:noProof/>
        </w:rPr>
      </w:r>
      <w:r>
        <w:rPr>
          <w:noProof/>
        </w:rPr>
        <w:fldChar w:fldCharType="separate"/>
      </w:r>
      <w:r w:rsidR="008E7896">
        <w:rPr>
          <w:noProof/>
        </w:rPr>
        <w:t>16</w:t>
      </w:r>
      <w:r>
        <w:rPr>
          <w:noProof/>
        </w:rPr>
        <w:fldChar w:fldCharType="end"/>
      </w:r>
    </w:p>
    <w:p w14:paraId="4E163217" w14:textId="6D784C74" w:rsidR="00B316FE" w:rsidRDefault="00B316FE">
      <w:pPr>
        <w:pStyle w:val="TOC1"/>
        <w:rPr>
          <w:rFonts w:asciiTheme="minorHAnsi" w:eastAsiaTheme="minorEastAsia" w:hAnsiTheme="minorHAnsi" w:cstheme="minorBidi"/>
          <w:noProof/>
          <w:sz w:val="22"/>
          <w:szCs w:val="22"/>
          <w:lang w:eastAsia="en-AU"/>
        </w:rPr>
      </w:pPr>
      <w:r>
        <w:rPr>
          <w:noProof/>
        </w:rPr>
        <w:t>References</w:t>
      </w:r>
      <w:r>
        <w:rPr>
          <w:noProof/>
        </w:rPr>
        <w:tab/>
      </w:r>
      <w:r>
        <w:rPr>
          <w:noProof/>
        </w:rPr>
        <w:fldChar w:fldCharType="begin"/>
      </w:r>
      <w:r>
        <w:rPr>
          <w:noProof/>
        </w:rPr>
        <w:instrText xml:space="preserve"> PAGEREF _Toc17104055 \h </w:instrText>
      </w:r>
      <w:r>
        <w:rPr>
          <w:noProof/>
        </w:rPr>
      </w:r>
      <w:r>
        <w:rPr>
          <w:noProof/>
        </w:rPr>
        <w:fldChar w:fldCharType="separate"/>
      </w:r>
      <w:r w:rsidR="008E7896">
        <w:rPr>
          <w:noProof/>
        </w:rPr>
        <w:t>24</w:t>
      </w:r>
      <w:r>
        <w:rPr>
          <w:noProof/>
        </w:rPr>
        <w:fldChar w:fldCharType="end"/>
      </w:r>
    </w:p>
    <w:p w14:paraId="448C68C8" w14:textId="6EEECB56" w:rsidR="00B316FE" w:rsidRDefault="00B316FE">
      <w:pPr>
        <w:pStyle w:val="TOC1"/>
        <w:rPr>
          <w:rFonts w:asciiTheme="minorHAnsi" w:eastAsiaTheme="minorEastAsia" w:hAnsiTheme="minorHAnsi" w:cstheme="minorBidi"/>
          <w:noProof/>
          <w:sz w:val="22"/>
          <w:szCs w:val="22"/>
          <w:lang w:eastAsia="en-AU"/>
        </w:rPr>
      </w:pPr>
      <w:r>
        <w:rPr>
          <w:noProof/>
        </w:rPr>
        <w:t>Appendix</w:t>
      </w:r>
      <w:r>
        <w:rPr>
          <w:noProof/>
        </w:rPr>
        <w:tab/>
      </w:r>
      <w:r w:rsidR="00E774A7">
        <w:rPr>
          <w:noProof/>
        </w:rPr>
        <w:fldChar w:fldCharType="begin"/>
      </w:r>
      <w:r w:rsidR="00E774A7">
        <w:rPr>
          <w:noProof/>
        </w:rPr>
        <w:instrText xml:space="preserve"> PAGEREF _Toc17104057 \h </w:instrText>
      </w:r>
      <w:r w:rsidR="00E774A7">
        <w:rPr>
          <w:noProof/>
        </w:rPr>
      </w:r>
      <w:r w:rsidR="00E774A7">
        <w:rPr>
          <w:noProof/>
        </w:rPr>
        <w:fldChar w:fldCharType="separate"/>
      </w:r>
      <w:r w:rsidR="008E7896">
        <w:rPr>
          <w:noProof/>
        </w:rPr>
        <w:t>26</w:t>
      </w:r>
      <w:r w:rsidR="00E774A7">
        <w:rPr>
          <w:noProof/>
        </w:rPr>
        <w:fldChar w:fldCharType="end"/>
      </w:r>
    </w:p>
    <w:p w14:paraId="599CA4FC" w14:textId="20D997AF" w:rsidR="00B316FE" w:rsidRDefault="00B316FE">
      <w:pPr>
        <w:pStyle w:val="TOC2"/>
        <w:rPr>
          <w:rFonts w:asciiTheme="minorHAnsi" w:eastAsiaTheme="minorEastAsia" w:hAnsiTheme="minorHAnsi" w:cstheme="minorBidi"/>
          <w:noProof/>
          <w:sz w:val="22"/>
          <w:szCs w:val="22"/>
          <w:lang w:eastAsia="en-AU"/>
        </w:rPr>
      </w:pPr>
      <w:r>
        <w:rPr>
          <w:noProof/>
        </w:rPr>
        <w:t xml:space="preserve">Timing of Commonwealth and state policies, programs and </w:t>
      </w:r>
      <w:r w:rsidR="00E774A7">
        <w:rPr>
          <w:noProof/>
        </w:rPr>
        <w:br/>
      </w:r>
      <w:r>
        <w:rPr>
          <w:noProof/>
        </w:rPr>
        <w:t xml:space="preserve">events with apprenticeship commencements, cancellations </w:t>
      </w:r>
      <w:r w:rsidR="00E774A7">
        <w:rPr>
          <w:noProof/>
        </w:rPr>
        <w:br/>
      </w:r>
      <w:r>
        <w:rPr>
          <w:noProof/>
        </w:rPr>
        <w:t>and completions by state, 2000–17</w:t>
      </w:r>
      <w:r>
        <w:rPr>
          <w:noProof/>
        </w:rPr>
        <w:tab/>
      </w:r>
      <w:r>
        <w:rPr>
          <w:noProof/>
        </w:rPr>
        <w:fldChar w:fldCharType="begin"/>
      </w:r>
      <w:r>
        <w:rPr>
          <w:noProof/>
        </w:rPr>
        <w:instrText xml:space="preserve"> PAGEREF _Toc17104057 \h </w:instrText>
      </w:r>
      <w:r>
        <w:rPr>
          <w:noProof/>
        </w:rPr>
      </w:r>
      <w:r>
        <w:rPr>
          <w:noProof/>
        </w:rPr>
        <w:fldChar w:fldCharType="separate"/>
      </w:r>
      <w:r w:rsidR="008E7896">
        <w:rPr>
          <w:noProof/>
        </w:rPr>
        <w:t>26</w:t>
      </w:r>
      <w:r>
        <w:rPr>
          <w:noProof/>
        </w:rPr>
        <w:fldChar w:fldCharType="end"/>
      </w:r>
    </w:p>
    <w:p w14:paraId="49196527" w14:textId="02AAFA38" w:rsidR="00361479" w:rsidRDefault="001B40DA" w:rsidP="001B40DA">
      <w:pPr>
        <w:pStyle w:val="Heading2"/>
        <w:rPr>
          <w:rFonts w:ascii="Avant Garde" w:hAnsi="Avant Garde"/>
          <w:noProof/>
          <w:color w:val="000000"/>
          <w:szCs w:val="19"/>
        </w:rPr>
      </w:pPr>
      <w:r>
        <w:rPr>
          <w:rFonts w:ascii="Avant Garde" w:hAnsi="Avant Garde"/>
          <w:noProof/>
          <w:color w:val="000000"/>
          <w:szCs w:val="19"/>
        </w:rPr>
        <w:fldChar w:fldCharType="end"/>
      </w:r>
    </w:p>
    <w:p w14:paraId="38A51FCD" w14:textId="77777777" w:rsidR="00361479" w:rsidRDefault="00361479">
      <w:pPr>
        <w:spacing w:line="324" w:lineRule="auto"/>
        <w:rPr>
          <w:rFonts w:ascii="Avant Garde" w:eastAsiaTheme="majorEastAsia" w:hAnsi="Avant Garde" w:cstheme="majorBidi"/>
          <w:noProof/>
          <w:color w:val="000000"/>
          <w:sz w:val="28"/>
          <w:szCs w:val="19"/>
        </w:rPr>
      </w:pPr>
      <w:r>
        <w:rPr>
          <w:rFonts w:ascii="Avant Garde" w:hAnsi="Avant Garde"/>
          <w:noProof/>
          <w:color w:val="000000"/>
          <w:szCs w:val="19"/>
        </w:rPr>
        <w:br w:type="page"/>
      </w:r>
    </w:p>
    <w:p w14:paraId="1A970568" w14:textId="1DFFCFF7" w:rsidR="00B316FE" w:rsidRDefault="00B316FE" w:rsidP="00B316FE">
      <w:pPr>
        <w:pStyle w:val="Heading1"/>
      </w:pPr>
      <w:bookmarkStart w:id="19" w:name="_Toc17104045"/>
      <w:bookmarkStart w:id="20" w:name="_Toc16770359"/>
      <w:r>
        <w:lastRenderedPageBreak/>
        <w:t>Tables and Figures</w:t>
      </w:r>
      <w:bookmarkEnd w:id="19"/>
    </w:p>
    <w:p w14:paraId="2C89CBE1" w14:textId="7646F0F6" w:rsidR="001B40DA" w:rsidRDefault="001B40DA" w:rsidP="001B40DA">
      <w:pPr>
        <w:pStyle w:val="Heading2"/>
      </w:pPr>
      <w:bookmarkStart w:id="21" w:name="_Toc17104046"/>
      <w:r>
        <w:t>Tables</w:t>
      </w:r>
      <w:bookmarkEnd w:id="11"/>
      <w:bookmarkEnd w:id="12"/>
      <w:bookmarkEnd w:id="13"/>
      <w:bookmarkEnd w:id="14"/>
      <w:bookmarkEnd w:id="20"/>
      <w:bookmarkEnd w:id="21"/>
    </w:p>
    <w:p w14:paraId="50285BC4" w14:textId="6317CE70" w:rsidR="001B40DA" w:rsidRDefault="001B40DA"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rPr>
          <w:szCs w:val="19"/>
        </w:rPr>
        <w:fldChar w:fldCharType="begin"/>
      </w:r>
      <w:r>
        <w:instrText xml:space="preserve"> TOC \f F \t "tabletitle" \c </w:instrText>
      </w:r>
      <w:r>
        <w:rPr>
          <w:szCs w:val="19"/>
        </w:rPr>
        <w:fldChar w:fldCharType="separate"/>
      </w:r>
      <w:r>
        <w:t xml:space="preserve">1 </w:t>
      </w:r>
      <w:r w:rsidR="00000F42">
        <w:tab/>
      </w:r>
      <w:r>
        <w:t xml:space="preserve">Main reason for not completing an apprenticeship, 2008 and </w:t>
      </w:r>
      <w:r w:rsidR="00000F42">
        <w:br/>
      </w:r>
      <w:r>
        <w:t>2010, trade occupations</w:t>
      </w:r>
      <w:r>
        <w:tab/>
      </w:r>
      <w:r>
        <w:fldChar w:fldCharType="begin"/>
      </w:r>
      <w:r>
        <w:instrText xml:space="preserve"> PAGEREF _Toc15287954 \h </w:instrText>
      </w:r>
      <w:r>
        <w:fldChar w:fldCharType="separate"/>
      </w:r>
      <w:r w:rsidR="008E7896">
        <w:t>10</w:t>
      </w:r>
      <w:r>
        <w:fldChar w:fldCharType="end"/>
      </w:r>
    </w:p>
    <w:p w14:paraId="37556198" w14:textId="7118DDC9" w:rsidR="001B40DA" w:rsidRDefault="001B40DA"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 xml:space="preserve">2 </w:t>
      </w:r>
      <w:r w:rsidR="00000F42">
        <w:tab/>
      </w:r>
      <w:r>
        <w:t xml:space="preserve">Practice differences and similarities between GTOS and </w:t>
      </w:r>
      <w:r w:rsidR="00000F42">
        <w:br/>
      </w:r>
      <w:r>
        <w:t>private employers</w:t>
      </w:r>
      <w:r>
        <w:tab/>
      </w:r>
      <w:r>
        <w:fldChar w:fldCharType="begin"/>
      </w:r>
      <w:r>
        <w:instrText xml:space="preserve"> PAGEREF _Toc15287955 \h </w:instrText>
      </w:r>
      <w:r>
        <w:fldChar w:fldCharType="separate"/>
      </w:r>
      <w:r w:rsidR="008E7896">
        <w:t>13</w:t>
      </w:r>
      <w:r>
        <w:fldChar w:fldCharType="end"/>
      </w:r>
    </w:p>
    <w:p w14:paraId="1826E3DA" w14:textId="275FA3DA" w:rsidR="00D50F5A" w:rsidRDefault="001B40DA" w:rsidP="001B40DA">
      <w:pPr>
        <w:pStyle w:val="Heading2"/>
        <w:rPr>
          <w:noProof/>
        </w:rPr>
      </w:pPr>
      <w:r>
        <w:fldChar w:fldCharType="end"/>
      </w:r>
      <w:bookmarkStart w:id="22" w:name="_Toc296497517"/>
      <w:bookmarkStart w:id="23" w:name="_Toc298162802"/>
      <w:bookmarkStart w:id="24" w:name="_Toc316371581"/>
      <w:bookmarkStart w:id="25" w:name="_Toc15287578"/>
      <w:bookmarkStart w:id="26" w:name="_Toc16770360"/>
      <w:bookmarkStart w:id="27" w:name="_Toc17104047"/>
      <w:r>
        <w:t>Figures</w:t>
      </w:r>
      <w:bookmarkEnd w:id="22"/>
      <w:bookmarkEnd w:id="23"/>
      <w:bookmarkEnd w:id="24"/>
      <w:bookmarkEnd w:id="25"/>
      <w:bookmarkEnd w:id="26"/>
      <w:bookmarkEnd w:id="27"/>
      <w:r>
        <w:rPr>
          <w:rFonts w:ascii="Garamond" w:hAnsi="Garamond" w:cs="Tahoma"/>
          <w:sz w:val="22"/>
          <w:szCs w:val="20"/>
        </w:rPr>
        <w:fldChar w:fldCharType="begin"/>
      </w:r>
      <w:r>
        <w:instrText xml:space="preserve"> TOC \t "Figuretitle" \c </w:instrText>
      </w:r>
      <w:r>
        <w:rPr>
          <w:rFonts w:ascii="Garamond" w:hAnsi="Garamond" w:cs="Tahoma"/>
          <w:sz w:val="22"/>
          <w:szCs w:val="20"/>
        </w:rPr>
        <w:fldChar w:fldCharType="separate"/>
      </w:r>
    </w:p>
    <w:p w14:paraId="64256227" w14:textId="6F8199F1" w:rsidR="00D50F5A" w:rsidRDefault="00D50F5A"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rPr>
          <w:lang w:eastAsia="en-AU"/>
        </w:rPr>
        <w:t xml:space="preserve">1 </w:t>
      </w:r>
      <w:r w:rsidR="00000F42">
        <w:rPr>
          <w:lang w:eastAsia="en-AU"/>
        </w:rPr>
        <w:tab/>
      </w:r>
      <w:r>
        <w:rPr>
          <w:lang w:eastAsia="en-AU"/>
        </w:rPr>
        <w:t xml:space="preserve">Number of apprenticeship commencements, cancellations </w:t>
      </w:r>
      <w:r w:rsidR="00000F42">
        <w:rPr>
          <w:lang w:eastAsia="en-AU"/>
        </w:rPr>
        <w:br/>
      </w:r>
      <w:r>
        <w:rPr>
          <w:lang w:eastAsia="en-AU"/>
        </w:rPr>
        <w:t xml:space="preserve">and completions by </w:t>
      </w:r>
      <w:r w:rsidR="006E0E84">
        <w:rPr>
          <w:lang w:eastAsia="en-AU"/>
        </w:rPr>
        <w:t>s</w:t>
      </w:r>
      <w:r>
        <w:rPr>
          <w:lang w:eastAsia="en-AU"/>
        </w:rPr>
        <w:t>tate, 1997</w:t>
      </w:r>
      <w:r w:rsidR="008145CF">
        <w:rPr>
          <w:lang w:eastAsia="en-AU"/>
        </w:rPr>
        <w:t>—20</w:t>
      </w:r>
      <w:r>
        <w:rPr>
          <w:lang w:eastAsia="en-AU"/>
        </w:rPr>
        <w:t>17</w:t>
      </w:r>
      <w:r>
        <w:tab/>
      </w:r>
      <w:r>
        <w:fldChar w:fldCharType="begin"/>
      </w:r>
      <w:r>
        <w:instrText xml:space="preserve"> PAGEREF _Toc15304995 \h </w:instrText>
      </w:r>
      <w:r>
        <w:fldChar w:fldCharType="separate"/>
      </w:r>
      <w:r w:rsidR="008E7896">
        <w:t>15</w:t>
      </w:r>
      <w:r>
        <w:fldChar w:fldCharType="end"/>
      </w:r>
    </w:p>
    <w:p w14:paraId="09336B55" w14:textId="260FCE77" w:rsidR="00D50F5A" w:rsidRDefault="00D50F5A"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 xml:space="preserve">2 </w:t>
      </w:r>
      <w:r w:rsidR="00000F42">
        <w:tab/>
      </w:r>
      <w:r>
        <w:t xml:space="preserve">Number of commencements, cancellations and completions </w:t>
      </w:r>
      <w:r w:rsidR="000C78A4">
        <w:br/>
      </w:r>
      <w:r>
        <w:t>and timing of policy changes, 2007</w:t>
      </w:r>
      <w:r w:rsidR="008145CF">
        <w:t>—</w:t>
      </w:r>
      <w:r>
        <w:t>17, Australia</w:t>
      </w:r>
      <w:r>
        <w:tab/>
      </w:r>
      <w:r>
        <w:fldChar w:fldCharType="begin"/>
      </w:r>
      <w:r>
        <w:instrText xml:space="preserve"> PAGEREF _Toc15304996 \h </w:instrText>
      </w:r>
      <w:r>
        <w:fldChar w:fldCharType="separate"/>
      </w:r>
      <w:r w:rsidR="008E7896">
        <w:t>17</w:t>
      </w:r>
      <w:r>
        <w:fldChar w:fldCharType="end"/>
      </w:r>
    </w:p>
    <w:p w14:paraId="14A94458" w14:textId="42B674D3"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A1</w:t>
      </w:r>
      <w:r w:rsidR="000C78A4">
        <w:tab/>
      </w:r>
      <w:r w:rsidR="00D50F5A">
        <w:t xml:space="preserve">Number of commencements, cancellations and completions and </w:t>
      </w:r>
      <w:r w:rsidR="000C78A4">
        <w:br/>
      </w:r>
      <w:r w:rsidR="00D50F5A">
        <w:t>timing of policy changes, New South Wales, 2007</w:t>
      </w:r>
      <w:r w:rsidR="008145CF">
        <w:t>—</w:t>
      </w:r>
      <w:r w:rsidR="00D50F5A">
        <w:t>17</w:t>
      </w:r>
      <w:r w:rsidR="00D50F5A">
        <w:tab/>
      </w:r>
      <w:r w:rsidR="00D50F5A">
        <w:fldChar w:fldCharType="begin"/>
      </w:r>
      <w:r w:rsidR="00D50F5A">
        <w:instrText xml:space="preserve"> PAGEREF _Toc15304997 \h </w:instrText>
      </w:r>
      <w:r w:rsidR="00D50F5A">
        <w:fldChar w:fldCharType="separate"/>
      </w:r>
      <w:r w:rsidR="008E7896">
        <w:t>26</w:t>
      </w:r>
      <w:r w:rsidR="00D50F5A">
        <w:fldChar w:fldCharType="end"/>
      </w:r>
    </w:p>
    <w:p w14:paraId="3CAF9ABE" w14:textId="3310D590"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A2</w:t>
      </w:r>
      <w:r w:rsidR="00D50F5A">
        <w:t xml:space="preserve"> </w:t>
      </w:r>
      <w:r w:rsidR="000C78A4">
        <w:tab/>
      </w:r>
      <w:r w:rsidR="00D50F5A">
        <w:t xml:space="preserve">Number of commencements, cancellations and completions and </w:t>
      </w:r>
      <w:r w:rsidR="000C78A4">
        <w:br/>
      </w:r>
      <w:r w:rsidR="00D50F5A">
        <w:t>timing of policy changes, Victoria, 2007</w:t>
      </w:r>
      <w:r w:rsidR="008145CF">
        <w:t>—</w:t>
      </w:r>
      <w:r w:rsidR="00D50F5A">
        <w:t>17</w:t>
      </w:r>
      <w:r w:rsidR="00D50F5A">
        <w:tab/>
      </w:r>
      <w:r w:rsidR="00D50F5A">
        <w:fldChar w:fldCharType="begin"/>
      </w:r>
      <w:r w:rsidR="00D50F5A">
        <w:instrText xml:space="preserve"> PAGEREF _Toc15304998 \h </w:instrText>
      </w:r>
      <w:r w:rsidR="00D50F5A">
        <w:fldChar w:fldCharType="separate"/>
      </w:r>
      <w:r w:rsidR="008E7896">
        <w:t>27</w:t>
      </w:r>
      <w:r w:rsidR="00D50F5A">
        <w:fldChar w:fldCharType="end"/>
      </w:r>
    </w:p>
    <w:p w14:paraId="4AA9D292" w14:textId="7FB20741"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A3</w:t>
      </w:r>
      <w:r w:rsidR="00D50F5A">
        <w:t xml:space="preserve"> </w:t>
      </w:r>
      <w:r w:rsidR="000C78A4">
        <w:tab/>
      </w:r>
      <w:r w:rsidR="00D50F5A">
        <w:t xml:space="preserve">Number of commencements, cancellations and completions and </w:t>
      </w:r>
      <w:r w:rsidR="000C78A4">
        <w:br/>
      </w:r>
      <w:r w:rsidR="00D50F5A">
        <w:t>timing of policy changes, Queensland, 2007</w:t>
      </w:r>
      <w:r w:rsidR="008145CF">
        <w:t>—</w:t>
      </w:r>
      <w:r w:rsidR="00D50F5A">
        <w:t>17</w:t>
      </w:r>
      <w:r w:rsidR="00D50F5A">
        <w:tab/>
      </w:r>
      <w:r w:rsidR="00D50F5A">
        <w:fldChar w:fldCharType="begin"/>
      </w:r>
      <w:r w:rsidR="00D50F5A">
        <w:instrText xml:space="preserve"> PAGEREF _Toc15304999 \h </w:instrText>
      </w:r>
      <w:r w:rsidR="00D50F5A">
        <w:fldChar w:fldCharType="separate"/>
      </w:r>
      <w:r w:rsidR="008E7896">
        <w:t>27</w:t>
      </w:r>
      <w:r w:rsidR="00D50F5A">
        <w:fldChar w:fldCharType="end"/>
      </w:r>
    </w:p>
    <w:p w14:paraId="700009BF" w14:textId="3EB6FCEE"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A4</w:t>
      </w:r>
      <w:r w:rsidR="00D50F5A">
        <w:t xml:space="preserve"> </w:t>
      </w:r>
      <w:r w:rsidR="000C78A4">
        <w:tab/>
      </w:r>
      <w:r w:rsidR="00D50F5A">
        <w:t xml:space="preserve">Number of commencements, cancellations and completions and </w:t>
      </w:r>
      <w:r w:rsidR="000C78A4">
        <w:br/>
      </w:r>
      <w:r w:rsidR="00D50F5A">
        <w:t>timing of policy changes, South Australia, 2007</w:t>
      </w:r>
      <w:r w:rsidR="008145CF">
        <w:t>—</w:t>
      </w:r>
      <w:r w:rsidR="00D50F5A">
        <w:t>17</w:t>
      </w:r>
      <w:r w:rsidR="00D50F5A">
        <w:tab/>
      </w:r>
      <w:r w:rsidR="00D50F5A">
        <w:fldChar w:fldCharType="begin"/>
      </w:r>
      <w:r w:rsidR="00D50F5A">
        <w:instrText xml:space="preserve"> PAGEREF _Toc15305001 \h </w:instrText>
      </w:r>
      <w:r w:rsidR="00D50F5A">
        <w:fldChar w:fldCharType="separate"/>
      </w:r>
      <w:r w:rsidR="008E7896">
        <w:t>27</w:t>
      </w:r>
      <w:r w:rsidR="00D50F5A">
        <w:fldChar w:fldCharType="end"/>
      </w:r>
    </w:p>
    <w:p w14:paraId="4C82D501" w14:textId="089AF090"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A5</w:t>
      </w:r>
      <w:r w:rsidR="00D50F5A">
        <w:t xml:space="preserve"> </w:t>
      </w:r>
      <w:r w:rsidR="000C78A4">
        <w:tab/>
      </w:r>
      <w:r w:rsidR="00D50F5A">
        <w:t xml:space="preserve">Number of commencements, cancellations and completions and </w:t>
      </w:r>
      <w:r w:rsidR="000C78A4">
        <w:br/>
      </w:r>
      <w:r w:rsidR="00D50F5A">
        <w:t>timing of policy changes, Western Australia, 2007</w:t>
      </w:r>
      <w:r w:rsidR="008145CF">
        <w:t>—</w:t>
      </w:r>
      <w:r w:rsidR="00D50F5A">
        <w:t>17</w:t>
      </w:r>
      <w:r w:rsidR="00D50F5A">
        <w:tab/>
      </w:r>
      <w:r w:rsidR="00D50F5A">
        <w:fldChar w:fldCharType="begin"/>
      </w:r>
      <w:r w:rsidR="00D50F5A">
        <w:instrText xml:space="preserve"> PAGEREF _Toc15305002 \h </w:instrText>
      </w:r>
      <w:r w:rsidR="00D50F5A">
        <w:fldChar w:fldCharType="separate"/>
      </w:r>
      <w:r w:rsidR="008E7896">
        <w:t>27</w:t>
      </w:r>
      <w:r w:rsidR="00D50F5A">
        <w:fldChar w:fldCharType="end"/>
      </w:r>
    </w:p>
    <w:p w14:paraId="52326180" w14:textId="4266CD66"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A6</w:t>
      </w:r>
      <w:r w:rsidR="00D50F5A">
        <w:t xml:space="preserve"> </w:t>
      </w:r>
      <w:r w:rsidR="000C78A4">
        <w:tab/>
      </w:r>
      <w:r w:rsidR="00D50F5A">
        <w:t xml:space="preserve">Number of cancellations and completions and timing of policy </w:t>
      </w:r>
      <w:r w:rsidR="000C78A4">
        <w:br/>
      </w:r>
      <w:r w:rsidR="00D50F5A">
        <w:t>changes, Tasmania, 2007</w:t>
      </w:r>
      <w:r w:rsidR="008145CF">
        <w:t>—</w:t>
      </w:r>
      <w:r w:rsidR="00D50F5A">
        <w:t>17</w:t>
      </w:r>
      <w:r w:rsidR="00D50F5A">
        <w:tab/>
      </w:r>
      <w:r w:rsidR="00D50F5A">
        <w:fldChar w:fldCharType="begin"/>
      </w:r>
      <w:r w:rsidR="00D50F5A">
        <w:instrText xml:space="preserve"> PAGEREF _Toc15305003 \h </w:instrText>
      </w:r>
      <w:r w:rsidR="00D50F5A">
        <w:fldChar w:fldCharType="separate"/>
      </w:r>
      <w:r w:rsidR="008E7896">
        <w:t>27</w:t>
      </w:r>
      <w:r w:rsidR="00D50F5A">
        <w:fldChar w:fldCharType="end"/>
      </w:r>
    </w:p>
    <w:p w14:paraId="71D3590B" w14:textId="1D35A9D9"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A7</w:t>
      </w:r>
      <w:r w:rsidR="00D50F5A">
        <w:t xml:space="preserve"> </w:t>
      </w:r>
      <w:r w:rsidR="000C78A4">
        <w:tab/>
      </w:r>
      <w:r w:rsidR="00D50F5A">
        <w:t xml:space="preserve">Number of commencements, cancellations and completions, </w:t>
      </w:r>
      <w:r w:rsidR="000C78A4">
        <w:br/>
      </w:r>
      <w:r w:rsidR="00D50F5A">
        <w:t>Northern Territory, 2007</w:t>
      </w:r>
      <w:r w:rsidR="008145CF">
        <w:t>—</w:t>
      </w:r>
      <w:r w:rsidR="00D50F5A">
        <w:t>17</w:t>
      </w:r>
      <w:r w:rsidR="00D50F5A">
        <w:tab/>
      </w:r>
      <w:r w:rsidR="00D50F5A">
        <w:fldChar w:fldCharType="begin"/>
      </w:r>
      <w:r w:rsidR="00D50F5A">
        <w:instrText xml:space="preserve"> PAGEREF _Toc15305004 \h </w:instrText>
      </w:r>
      <w:r w:rsidR="00D50F5A">
        <w:fldChar w:fldCharType="separate"/>
      </w:r>
      <w:r w:rsidR="008E7896">
        <w:t>27</w:t>
      </w:r>
      <w:r w:rsidR="00D50F5A">
        <w:fldChar w:fldCharType="end"/>
      </w:r>
    </w:p>
    <w:p w14:paraId="540BEA44" w14:textId="569F9BA5" w:rsidR="00D50F5A" w:rsidRDefault="00582AC2" w:rsidP="00B34F57">
      <w:pPr>
        <w:pStyle w:val="TableofFigures"/>
        <w:tabs>
          <w:tab w:val="clear" w:pos="284"/>
        </w:tabs>
        <w:ind w:left="426" w:hanging="426"/>
        <w:rPr>
          <w:rFonts w:asciiTheme="minorHAnsi" w:eastAsiaTheme="minorEastAsia" w:hAnsiTheme="minorHAnsi" w:cstheme="minorBidi"/>
          <w:color w:val="auto"/>
          <w:sz w:val="22"/>
          <w:szCs w:val="22"/>
          <w:lang w:eastAsia="en-AU"/>
        </w:rPr>
      </w:pPr>
      <w:r>
        <w:t>A8</w:t>
      </w:r>
      <w:r w:rsidR="00D50F5A">
        <w:t xml:space="preserve"> </w:t>
      </w:r>
      <w:r w:rsidR="000C78A4">
        <w:tab/>
      </w:r>
      <w:r w:rsidR="00D50F5A">
        <w:t xml:space="preserve">Number of commencements, cancellations and completions, </w:t>
      </w:r>
      <w:r w:rsidR="000C78A4">
        <w:br/>
      </w:r>
      <w:r w:rsidR="00D50F5A">
        <w:t>A</w:t>
      </w:r>
      <w:r w:rsidR="008145CF">
        <w:t xml:space="preserve">ustralian </w:t>
      </w:r>
      <w:r w:rsidR="00D50F5A">
        <w:t>C</w:t>
      </w:r>
      <w:r w:rsidR="008145CF">
        <w:t xml:space="preserve">apital </w:t>
      </w:r>
      <w:r w:rsidR="00D50F5A">
        <w:t>T</w:t>
      </w:r>
      <w:r w:rsidR="008145CF">
        <w:t>erritory</w:t>
      </w:r>
      <w:r w:rsidR="00D50F5A">
        <w:t>, 2007</w:t>
      </w:r>
      <w:r w:rsidR="008145CF">
        <w:t>—</w:t>
      </w:r>
      <w:r w:rsidR="00D50F5A">
        <w:t>17</w:t>
      </w:r>
      <w:r w:rsidR="00D50F5A">
        <w:tab/>
      </w:r>
      <w:r w:rsidR="00D50F5A">
        <w:fldChar w:fldCharType="begin"/>
      </w:r>
      <w:r w:rsidR="00D50F5A">
        <w:instrText xml:space="preserve"> PAGEREF _Toc15305005 \h </w:instrText>
      </w:r>
      <w:r w:rsidR="00D50F5A">
        <w:fldChar w:fldCharType="separate"/>
      </w:r>
      <w:r w:rsidR="008E7896">
        <w:t>27</w:t>
      </w:r>
      <w:r w:rsidR="00D50F5A">
        <w:fldChar w:fldCharType="end"/>
      </w:r>
    </w:p>
    <w:p w14:paraId="3305E3F7" w14:textId="77777777" w:rsidR="001B40DA" w:rsidRDefault="001B40DA" w:rsidP="00000F42">
      <w:pPr>
        <w:pStyle w:val="TableofFigures"/>
        <w:tabs>
          <w:tab w:val="clear" w:pos="6804"/>
          <w:tab w:val="right" w:pos="6096"/>
          <w:tab w:val="right" w:pos="6237"/>
          <w:tab w:val="right" w:pos="6379"/>
          <w:tab w:val="right" w:pos="6521"/>
          <w:tab w:val="right" w:pos="6663"/>
        </w:tabs>
      </w:pPr>
      <w:r>
        <w:fldChar w:fldCharType="end"/>
      </w:r>
    </w:p>
    <w:p w14:paraId="563DBA4E" w14:textId="76FD20F9" w:rsidR="00F97AF3" w:rsidRPr="00914715" w:rsidRDefault="00F97AF3" w:rsidP="00F97AF3">
      <w:pPr>
        <w:pStyle w:val="Text"/>
      </w:pPr>
      <w:r w:rsidRPr="00914715">
        <w:br w:type="page"/>
      </w:r>
    </w:p>
    <w:p w14:paraId="24F1C155" w14:textId="77777777" w:rsidR="00152BBB" w:rsidRDefault="00152BBB" w:rsidP="00152BBB">
      <w:pPr>
        <w:pStyle w:val="Heading1"/>
      </w:pPr>
      <w:bookmarkStart w:id="28" w:name="_Toc15287579"/>
      <w:bookmarkStart w:id="29" w:name="_Toc17104048"/>
      <w:bookmarkStart w:id="30" w:name="_Toc401914082"/>
      <w:r>
        <w:lastRenderedPageBreak/>
        <w:t>Introduction</w:t>
      </w:r>
      <w:bookmarkEnd w:id="28"/>
      <w:bookmarkEnd w:id="29"/>
      <w:r>
        <w:t xml:space="preserve"> </w:t>
      </w:r>
    </w:p>
    <w:p w14:paraId="6D0907D2" w14:textId="58C7D400" w:rsidR="00152BBB" w:rsidRDefault="00152BBB" w:rsidP="00152BBB">
      <w:pPr>
        <w:pStyle w:val="Text"/>
        <w:rPr>
          <w:rStyle w:val="TextChar"/>
          <w:rFonts w:eastAsiaTheme="majorEastAsia"/>
          <w:i/>
        </w:rPr>
      </w:pPr>
      <w:r>
        <w:rPr>
          <w:rStyle w:val="TextChar"/>
          <w:rFonts w:eastAsiaTheme="majorEastAsia"/>
        </w:rPr>
        <w:t xml:space="preserve">This supporting document contains details of two research elements undertaken for the report </w:t>
      </w:r>
      <w:r w:rsidR="0065448A" w:rsidRPr="0065448A">
        <w:rPr>
          <w:rStyle w:val="TextChar"/>
          <w:rFonts w:eastAsiaTheme="majorEastAsia"/>
          <w:i/>
        </w:rPr>
        <w:t>Completion rates for group training organisations and direct employers: how do they compare</w:t>
      </w:r>
      <w:r w:rsidRPr="0065448A">
        <w:rPr>
          <w:rStyle w:val="TextChar"/>
          <w:rFonts w:eastAsiaTheme="majorEastAsia"/>
          <w:i/>
        </w:rPr>
        <w:t>?</w:t>
      </w:r>
    </w:p>
    <w:p w14:paraId="7BB7F50D" w14:textId="1E8F2327" w:rsidR="00152BBB" w:rsidRDefault="00152BBB" w:rsidP="008145CF">
      <w:pPr>
        <w:pStyle w:val="Text"/>
        <w:numPr>
          <w:ilvl w:val="0"/>
          <w:numId w:val="47"/>
        </w:numPr>
        <w:rPr>
          <w:rStyle w:val="TextChar"/>
          <w:rFonts w:eastAsiaTheme="majorEastAsia"/>
        </w:rPr>
      </w:pPr>
      <w:r>
        <w:rPr>
          <w:rStyle w:val="TextChar"/>
          <w:rFonts w:eastAsiaTheme="majorEastAsia"/>
        </w:rPr>
        <w:t xml:space="preserve">A literature search was conducted to establish the existing evidence on apprentice and trainee completion rates, with a specific focus on evidence for </w:t>
      </w:r>
      <w:r w:rsidR="00C41121">
        <w:rPr>
          <w:rStyle w:val="TextChar"/>
          <w:rFonts w:eastAsiaTheme="majorEastAsia"/>
        </w:rPr>
        <w:t>group training organisations</w:t>
      </w:r>
      <w:r>
        <w:rPr>
          <w:rStyle w:val="TextChar"/>
          <w:rFonts w:eastAsiaTheme="majorEastAsia"/>
        </w:rPr>
        <w:t xml:space="preserve">. </w:t>
      </w:r>
    </w:p>
    <w:p w14:paraId="0453C0EB" w14:textId="6D498F91" w:rsidR="00FE0347" w:rsidRPr="00A23D50" w:rsidRDefault="00FE0347" w:rsidP="008145CF">
      <w:pPr>
        <w:pStyle w:val="Text"/>
        <w:numPr>
          <w:ilvl w:val="0"/>
          <w:numId w:val="47"/>
        </w:numPr>
      </w:pPr>
      <w:r>
        <w:t>A</w:t>
      </w:r>
      <w:r w:rsidRPr="00A23D50">
        <w:t xml:space="preserve"> review of comparative legislative frameworks and reporting practices</w:t>
      </w:r>
      <w:r w:rsidR="002C341D">
        <w:t xml:space="preserve"> was conducted.</w:t>
      </w:r>
      <w:r w:rsidRPr="00A23D50">
        <w:t xml:space="preserve"> </w:t>
      </w:r>
      <w:r w:rsidR="00FD27EA">
        <w:t>As part of this review, d</w:t>
      </w:r>
      <w:r w:rsidR="00FD27EA" w:rsidRPr="00FD27EA">
        <w:t xml:space="preserve">ata from the NCVER (2017) </w:t>
      </w:r>
      <w:r w:rsidR="00FD27EA" w:rsidRPr="00FD27EA">
        <w:rPr>
          <w:i/>
        </w:rPr>
        <w:t xml:space="preserve">Historical time series of apprenticeships and traineeships in Australia </w:t>
      </w:r>
      <w:r w:rsidR="00FD27EA" w:rsidRPr="00FD27EA">
        <w:t xml:space="preserve">were plotted by </w:t>
      </w:r>
      <w:r w:rsidR="002C341D">
        <w:t>s</w:t>
      </w:r>
      <w:r w:rsidR="00FD27EA" w:rsidRPr="00FD27EA">
        <w:t xml:space="preserve">tate for </w:t>
      </w:r>
      <w:r w:rsidR="00B8501B">
        <w:t>1997</w:t>
      </w:r>
      <w:r w:rsidR="002C341D">
        <w:t>—</w:t>
      </w:r>
      <w:r w:rsidR="00FD27EA" w:rsidRPr="00FD27EA">
        <w:t>2017 (</w:t>
      </w:r>
      <w:r w:rsidR="00D0400B">
        <w:t>f</w:t>
      </w:r>
      <w:r w:rsidR="00FD27EA" w:rsidRPr="00FD27EA">
        <w:t>igure 1)</w:t>
      </w:r>
      <w:r w:rsidR="00D0400B">
        <w:t>,</w:t>
      </w:r>
      <w:r w:rsidR="00FD27EA" w:rsidRPr="00FD27EA">
        <w:t xml:space="preserve"> and </w:t>
      </w:r>
      <w:r w:rsidR="00D0400B">
        <w:t xml:space="preserve">also </w:t>
      </w:r>
      <w:r w:rsidR="00FD27EA" w:rsidRPr="00FD27EA">
        <w:t xml:space="preserve">overlaid with </w:t>
      </w:r>
      <w:r w:rsidR="00D0400B">
        <w:t xml:space="preserve">the timing of </w:t>
      </w:r>
      <w:r w:rsidR="00FD27EA" w:rsidRPr="00FD27EA">
        <w:t>major policy initiatives or changes for 2007</w:t>
      </w:r>
      <w:r w:rsidR="002C341D">
        <w:t>—</w:t>
      </w:r>
      <w:r w:rsidR="00FD27EA" w:rsidRPr="00FD27EA">
        <w:t xml:space="preserve">17 </w:t>
      </w:r>
      <w:r w:rsidR="00FD27EA" w:rsidRPr="00873E4F">
        <w:t>(</w:t>
      </w:r>
      <w:r w:rsidR="00873E4F">
        <w:t>s</w:t>
      </w:r>
      <w:r w:rsidR="00D0400B">
        <w:t xml:space="preserve">ee </w:t>
      </w:r>
      <w:r w:rsidR="000668DE">
        <w:t>figure 2 and f</w:t>
      </w:r>
      <w:r w:rsidR="000668DE" w:rsidRPr="00FD27EA">
        <w:t xml:space="preserve">igures </w:t>
      </w:r>
      <w:r w:rsidR="002C341D">
        <w:t>A</w:t>
      </w:r>
      <w:r w:rsidR="00582AC2">
        <w:t>1</w:t>
      </w:r>
      <w:r w:rsidR="002C341D">
        <w:t>—A</w:t>
      </w:r>
      <w:r w:rsidR="00582AC2">
        <w:t>8</w:t>
      </w:r>
      <w:r w:rsidR="000668DE">
        <w:t xml:space="preserve"> in the </w:t>
      </w:r>
      <w:r w:rsidR="002C341D">
        <w:t>a</w:t>
      </w:r>
      <w:r w:rsidR="00D0400B">
        <w:t>ppendix</w:t>
      </w:r>
      <w:r w:rsidR="00FD27EA" w:rsidRPr="00FD27EA">
        <w:t>).</w:t>
      </w:r>
    </w:p>
    <w:p w14:paraId="12754C04" w14:textId="33412E35" w:rsidR="00152BBB" w:rsidRDefault="00152BBB" w:rsidP="00FE0347">
      <w:pPr>
        <w:pStyle w:val="Text"/>
        <w:ind w:left="720"/>
        <w:rPr>
          <w:rFonts w:eastAsiaTheme="majorEastAsia"/>
        </w:rPr>
      </w:pPr>
      <w:r>
        <w:rPr>
          <w:rStyle w:val="TextChar"/>
          <w:rFonts w:eastAsiaTheme="majorEastAsia"/>
        </w:rPr>
        <w:t xml:space="preserve"> </w:t>
      </w:r>
      <w:r>
        <w:br w:type="page"/>
      </w:r>
    </w:p>
    <w:p w14:paraId="112CE8AB" w14:textId="23EDF6D2" w:rsidR="00DC4BE9" w:rsidRDefault="00DC4BE9" w:rsidP="00C52605">
      <w:pPr>
        <w:pStyle w:val="Heading1"/>
      </w:pPr>
      <w:bookmarkStart w:id="31" w:name="_Toc15287580"/>
      <w:bookmarkStart w:id="32" w:name="_Toc17104049"/>
      <w:r w:rsidRPr="00C52605">
        <w:lastRenderedPageBreak/>
        <w:t>Literature</w:t>
      </w:r>
      <w:r>
        <w:t xml:space="preserve"> </w:t>
      </w:r>
      <w:r w:rsidR="00AB72D0">
        <w:t>r</w:t>
      </w:r>
      <w:r>
        <w:t>eview</w:t>
      </w:r>
      <w:bookmarkEnd w:id="31"/>
      <w:bookmarkEnd w:id="32"/>
    </w:p>
    <w:p w14:paraId="5EDE89B6" w14:textId="210DBF4B" w:rsidR="00E81D39" w:rsidRPr="003819EF" w:rsidRDefault="00E81D39" w:rsidP="00E81D39">
      <w:pPr>
        <w:pStyle w:val="Heading2"/>
        <w:rPr>
          <w:rStyle w:val="TextChar"/>
          <w:rFonts w:asciiTheme="majorHAnsi" w:eastAsiaTheme="majorEastAsia" w:hAnsiTheme="majorHAnsi" w:cstheme="majorBidi"/>
          <w:szCs w:val="26"/>
        </w:rPr>
      </w:pPr>
      <w:bookmarkStart w:id="33" w:name="_Toc15287581"/>
      <w:bookmarkStart w:id="34" w:name="_Toc17104050"/>
      <w:r>
        <w:rPr>
          <w:rStyle w:val="TextChar"/>
          <w:rFonts w:asciiTheme="majorHAnsi" w:eastAsiaTheme="majorEastAsia" w:hAnsiTheme="majorHAnsi" w:cstheme="majorBidi"/>
          <w:szCs w:val="26"/>
        </w:rPr>
        <w:t>Overview of m</w:t>
      </w:r>
      <w:r w:rsidRPr="003819EF">
        <w:rPr>
          <w:rStyle w:val="TextChar"/>
          <w:rFonts w:asciiTheme="majorHAnsi" w:eastAsiaTheme="majorEastAsia" w:hAnsiTheme="majorHAnsi" w:cstheme="majorBidi"/>
          <w:szCs w:val="26"/>
        </w:rPr>
        <w:t>ethod</w:t>
      </w:r>
      <w:r>
        <w:rPr>
          <w:rStyle w:val="TextChar"/>
          <w:rFonts w:asciiTheme="majorHAnsi" w:eastAsiaTheme="majorEastAsia" w:hAnsiTheme="majorHAnsi" w:cstheme="majorBidi"/>
          <w:szCs w:val="26"/>
        </w:rPr>
        <w:t xml:space="preserve"> and </w:t>
      </w:r>
      <w:r w:rsidR="00FD27EA">
        <w:rPr>
          <w:rStyle w:val="TextChar"/>
          <w:rFonts w:asciiTheme="majorHAnsi" w:eastAsiaTheme="majorEastAsia" w:hAnsiTheme="majorHAnsi" w:cstheme="majorBidi"/>
          <w:szCs w:val="26"/>
        </w:rPr>
        <w:t>findings</w:t>
      </w:r>
      <w:bookmarkEnd w:id="33"/>
      <w:bookmarkEnd w:id="34"/>
    </w:p>
    <w:p w14:paraId="1A55EC60" w14:textId="6862B996" w:rsidR="00E81D39" w:rsidRDefault="00E81D39" w:rsidP="00E81D39">
      <w:pPr>
        <w:pStyle w:val="Text"/>
        <w:rPr>
          <w:rStyle w:val="TextChar"/>
          <w:rFonts w:eastAsiaTheme="majorEastAsia"/>
        </w:rPr>
      </w:pPr>
      <w:bookmarkStart w:id="35" w:name="_Hlk15025303"/>
      <w:r>
        <w:rPr>
          <w:rStyle w:val="TextChar"/>
          <w:rFonts w:eastAsiaTheme="majorEastAsia"/>
        </w:rPr>
        <w:t xml:space="preserve">A literature search was conducted </w:t>
      </w:r>
      <w:bookmarkEnd w:id="35"/>
      <w:r>
        <w:rPr>
          <w:rStyle w:val="TextChar"/>
          <w:rFonts w:eastAsiaTheme="majorEastAsia"/>
        </w:rPr>
        <w:t>using VOCEDplus and other sources for all forms or resource types (</w:t>
      </w:r>
      <w:r w:rsidR="00AB72D0">
        <w:rPr>
          <w:noProof/>
        </w:rPr>
        <w:t>that is,</w:t>
      </w:r>
      <w:r w:rsidRPr="001E6BC7">
        <w:t xml:space="preserve"> reports, </w:t>
      </w:r>
      <w:r w:rsidRPr="00CD3BC7">
        <w:rPr>
          <w:noProof/>
        </w:rPr>
        <w:t>peer</w:t>
      </w:r>
      <w:r>
        <w:rPr>
          <w:noProof/>
        </w:rPr>
        <w:t>-</w:t>
      </w:r>
      <w:r w:rsidRPr="00CD3BC7">
        <w:rPr>
          <w:noProof/>
        </w:rPr>
        <w:t>reviewed</w:t>
      </w:r>
      <w:r w:rsidRPr="001E6BC7">
        <w:t xml:space="preserve"> journal articles, statistical reports, websites and conference papers) dated within the last five years</w:t>
      </w:r>
      <w:r>
        <w:t xml:space="preserve"> (2012</w:t>
      </w:r>
      <w:r w:rsidR="00582AC2">
        <w:t xml:space="preserve"> to </w:t>
      </w:r>
      <w:r>
        <w:t>March 2018)</w:t>
      </w:r>
      <w:r w:rsidRPr="001E6BC7">
        <w:t>.</w:t>
      </w:r>
      <w:r>
        <w:rPr>
          <w:rStyle w:val="TextChar"/>
          <w:rFonts w:eastAsiaTheme="majorEastAsia"/>
        </w:rPr>
        <w:t xml:space="preserve"> Keywords including </w:t>
      </w:r>
      <w:r w:rsidR="00D2072F">
        <w:rPr>
          <w:rStyle w:val="TextChar"/>
          <w:rFonts w:eastAsiaTheme="majorEastAsia"/>
        </w:rPr>
        <w:t>‘</w:t>
      </w:r>
      <w:r>
        <w:rPr>
          <w:rStyle w:val="TextChar"/>
          <w:rFonts w:eastAsiaTheme="majorEastAsia"/>
        </w:rPr>
        <w:t>apprentice</w:t>
      </w:r>
      <w:r w:rsidR="00D2072F">
        <w:rPr>
          <w:rStyle w:val="TextChar"/>
          <w:rFonts w:eastAsiaTheme="majorEastAsia"/>
        </w:rPr>
        <w:t>’</w:t>
      </w:r>
      <w:r>
        <w:rPr>
          <w:rStyle w:val="TextChar"/>
          <w:rFonts w:eastAsiaTheme="majorEastAsia"/>
        </w:rPr>
        <w:t xml:space="preserve">, </w:t>
      </w:r>
      <w:r w:rsidR="00D2072F">
        <w:rPr>
          <w:rStyle w:val="TextChar"/>
          <w:rFonts w:eastAsiaTheme="majorEastAsia"/>
        </w:rPr>
        <w:t>‘</w:t>
      </w:r>
      <w:r>
        <w:rPr>
          <w:rStyle w:val="TextChar"/>
          <w:rFonts w:eastAsiaTheme="majorEastAsia"/>
        </w:rPr>
        <w:t>completion</w:t>
      </w:r>
      <w:r w:rsidR="00D2072F">
        <w:rPr>
          <w:rStyle w:val="TextChar"/>
          <w:rFonts w:eastAsiaTheme="majorEastAsia"/>
        </w:rPr>
        <w:t>’</w:t>
      </w:r>
      <w:r>
        <w:rPr>
          <w:rStyle w:val="TextChar"/>
          <w:rFonts w:eastAsiaTheme="majorEastAsia"/>
        </w:rPr>
        <w:t xml:space="preserve">, </w:t>
      </w:r>
      <w:r w:rsidR="00D2072F">
        <w:rPr>
          <w:rStyle w:val="TextChar"/>
          <w:rFonts w:eastAsiaTheme="majorEastAsia"/>
        </w:rPr>
        <w:t>‘</w:t>
      </w:r>
      <w:r>
        <w:rPr>
          <w:rStyle w:val="TextChar"/>
          <w:rFonts w:eastAsiaTheme="majorEastAsia"/>
        </w:rPr>
        <w:t>Australia</w:t>
      </w:r>
      <w:r w:rsidR="00D2072F">
        <w:rPr>
          <w:rStyle w:val="TextChar"/>
          <w:rFonts w:eastAsiaTheme="majorEastAsia"/>
        </w:rPr>
        <w:t>’</w:t>
      </w:r>
      <w:r>
        <w:rPr>
          <w:rStyle w:val="TextChar"/>
          <w:rFonts w:eastAsiaTheme="majorEastAsia"/>
        </w:rPr>
        <w:t xml:space="preserve">, </w:t>
      </w:r>
      <w:r w:rsidR="00D2072F">
        <w:rPr>
          <w:rStyle w:val="TextChar"/>
          <w:rFonts w:eastAsiaTheme="majorEastAsia"/>
        </w:rPr>
        <w:t>‘</w:t>
      </w:r>
      <w:r>
        <w:rPr>
          <w:rStyle w:val="TextChar"/>
          <w:rFonts w:eastAsiaTheme="majorEastAsia"/>
        </w:rPr>
        <w:t>policy</w:t>
      </w:r>
      <w:r w:rsidR="00D2072F">
        <w:rPr>
          <w:rStyle w:val="TextChar"/>
          <w:rFonts w:eastAsiaTheme="majorEastAsia"/>
        </w:rPr>
        <w:t>’</w:t>
      </w:r>
      <w:r>
        <w:rPr>
          <w:rStyle w:val="TextChar"/>
          <w:rFonts w:eastAsiaTheme="majorEastAsia"/>
        </w:rPr>
        <w:t xml:space="preserve">, </w:t>
      </w:r>
      <w:r w:rsidR="00D2072F">
        <w:rPr>
          <w:rStyle w:val="TextChar"/>
          <w:rFonts w:eastAsiaTheme="majorEastAsia"/>
        </w:rPr>
        <w:t>‘</w:t>
      </w:r>
      <w:r>
        <w:rPr>
          <w:rStyle w:val="TextChar"/>
          <w:rFonts w:eastAsiaTheme="majorEastAsia"/>
        </w:rPr>
        <w:t>group training</w:t>
      </w:r>
      <w:r w:rsidR="00D2072F">
        <w:rPr>
          <w:rStyle w:val="TextChar"/>
          <w:rFonts w:eastAsiaTheme="majorEastAsia"/>
        </w:rPr>
        <w:t>’</w:t>
      </w:r>
      <w:r>
        <w:rPr>
          <w:rStyle w:val="TextChar"/>
          <w:rFonts w:eastAsiaTheme="majorEastAsia"/>
        </w:rPr>
        <w:t xml:space="preserve">, </w:t>
      </w:r>
      <w:r w:rsidR="00D2072F">
        <w:rPr>
          <w:rStyle w:val="TextChar"/>
          <w:rFonts w:eastAsiaTheme="majorEastAsia"/>
        </w:rPr>
        <w:t>‘</w:t>
      </w:r>
      <w:r>
        <w:rPr>
          <w:rStyle w:val="TextChar"/>
          <w:rFonts w:eastAsiaTheme="majorEastAsia"/>
        </w:rPr>
        <w:t>attrition</w:t>
      </w:r>
      <w:r w:rsidR="00D2072F">
        <w:rPr>
          <w:rStyle w:val="TextChar"/>
          <w:rFonts w:eastAsiaTheme="majorEastAsia"/>
        </w:rPr>
        <w:t>’</w:t>
      </w:r>
      <w:r>
        <w:rPr>
          <w:rStyle w:val="TextChar"/>
          <w:rFonts w:eastAsiaTheme="majorEastAsia"/>
        </w:rPr>
        <w:t xml:space="preserve"> and </w:t>
      </w:r>
      <w:r w:rsidR="00D2072F">
        <w:rPr>
          <w:rStyle w:val="TextChar"/>
          <w:rFonts w:eastAsiaTheme="majorEastAsia"/>
        </w:rPr>
        <w:t>‘</w:t>
      </w:r>
      <w:r>
        <w:rPr>
          <w:rStyle w:val="TextChar"/>
          <w:rFonts w:eastAsiaTheme="majorEastAsia"/>
        </w:rPr>
        <w:t>rates</w:t>
      </w:r>
      <w:r w:rsidR="00D2072F">
        <w:rPr>
          <w:rStyle w:val="TextChar"/>
          <w:rFonts w:eastAsiaTheme="majorEastAsia"/>
        </w:rPr>
        <w:t>’</w:t>
      </w:r>
      <w:r>
        <w:rPr>
          <w:rStyle w:val="TextChar"/>
          <w:rFonts w:eastAsiaTheme="majorEastAsia"/>
        </w:rPr>
        <w:t xml:space="preserve"> were used in various combinations to search abstracts. The </w:t>
      </w:r>
      <w:r w:rsidR="00582AC2">
        <w:rPr>
          <w:rStyle w:val="TextChar"/>
          <w:rFonts w:eastAsiaTheme="majorEastAsia"/>
        </w:rPr>
        <w:t>project advisory</w:t>
      </w:r>
      <w:r w:rsidR="008C3D13">
        <w:rPr>
          <w:rStyle w:val="TextChar"/>
          <w:rFonts w:eastAsiaTheme="majorEastAsia"/>
        </w:rPr>
        <w:t xml:space="preserve"> </w:t>
      </w:r>
      <w:r w:rsidR="00582AC2">
        <w:rPr>
          <w:rStyle w:val="TextChar"/>
          <w:rFonts w:eastAsiaTheme="majorEastAsia"/>
        </w:rPr>
        <w:t xml:space="preserve">group </w:t>
      </w:r>
      <w:r>
        <w:rPr>
          <w:rStyle w:val="TextChar"/>
          <w:rFonts w:eastAsiaTheme="majorEastAsia"/>
        </w:rPr>
        <w:t xml:space="preserve">was also asked to suggest any other publicly available sources that may not </w:t>
      </w:r>
      <w:r w:rsidRPr="00431C54">
        <w:rPr>
          <w:rStyle w:val="TextChar"/>
          <w:rFonts w:eastAsiaTheme="majorEastAsia"/>
          <w:noProof/>
        </w:rPr>
        <w:t>be identified</w:t>
      </w:r>
      <w:r>
        <w:rPr>
          <w:rStyle w:val="TextChar"/>
          <w:rFonts w:eastAsiaTheme="majorEastAsia"/>
        </w:rPr>
        <w:t xml:space="preserve"> via a traditional database literature search.</w:t>
      </w:r>
      <w:r w:rsidR="00582AC2">
        <w:rPr>
          <w:rStyle w:val="TextChar"/>
          <w:rFonts w:eastAsiaTheme="majorEastAsia"/>
        </w:rPr>
        <w:t xml:space="preserve"> </w:t>
      </w:r>
      <w:r>
        <w:rPr>
          <w:rStyle w:val="TextChar"/>
          <w:rFonts w:eastAsiaTheme="majorEastAsia"/>
        </w:rPr>
        <w:t>This strategy identified 84 items</w:t>
      </w:r>
      <w:r w:rsidR="00EF7BBC">
        <w:rPr>
          <w:rStyle w:val="TextChar"/>
          <w:rFonts w:eastAsiaTheme="majorEastAsia"/>
        </w:rPr>
        <w:t>:</w:t>
      </w:r>
      <w:r w:rsidRPr="000118D6">
        <w:rPr>
          <w:rStyle w:val="TextChar"/>
          <w:rFonts w:eastAsiaTheme="majorEastAsia"/>
        </w:rPr>
        <w:t xml:space="preserve"> </w:t>
      </w:r>
      <w:r>
        <w:rPr>
          <w:rStyle w:val="TextChar"/>
          <w:rFonts w:eastAsiaTheme="majorEastAsia"/>
        </w:rPr>
        <w:t xml:space="preserve">55 reporting research findings, 18 policy or legislation documents and 11 websites with information about </w:t>
      </w:r>
      <w:r w:rsidR="00EF7BBC">
        <w:rPr>
          <w:rStyle w:val="TextChar"/>
          <w:rFonts w:eastAsiaTheme="majorEastAsia"/>
        </w:rPr>
        <w:t>group training organisations (</w:t>
      </w:r>
      <w:r>
        <w:rPr>
          <w:rStyle w:val="TextChar"/>
          <w:rFonts w:eastAsiaTheme="majorEastAsia"/>
        </w:rPr>
        <w:t>GTOs</w:t>
      </w:r>
      <w:r w:rsidR="00EF7BBC">
        <w:rPr>
          <w:rStyle w:val="TextChar"/>
          <w:rFonts w:eastAsiaTheme="majorEastAsia"/>
        </w:rPr>
        <w:t>)</w:t>
      </w:r>
      <w:r>
        <w:rPr>
          <w:rStyle w:val="TextChar"/>
          <w:rFonts w:eastAsiaTheme="majorEastAsia"/>
        </w:rPr>
        <w:t xml:space="preserve">, </w:t>
      </w:r>
      <w:r w:rsidR="00B316FE">
        <w:rPr>
          <w:rStyle w:val="TextChar"/>
          <w:rFonts w:eastAsiaTheme="majorEastAsia"/>
        </w:rPr>
        <w:t xml:space="preserve">and </w:t>
      </w:r>
      <w:r>
        <w:rPr>
          <w:rStyle w:val="TextChar"/>
          <w:rFonts w:eastAsiaTheme="majorEastAsia"/>
        </w:rPr>
        <w:t xml:space="preserve">the Australian apprenticeship system, both national and </w:t>
      </w:r>
      <w:r w:rsidRPr="00CD3BC7">
        <w:rPr>
          <w:rStyle w:val="TextChar"/>
          <w:rFonts w:eastAsiaTheme="majorEastAsia"/>
          <w:noProof/>
        </w:rPr>
        <w:t>state</w:t>
      </w:r>
      <w:r>
        <w:rPr>
          <w:rStyle w:val="TextChar"/>
          <w:rFonts w:eastAsiaTheme="majorEastAsia"/>
          <w:noProof/>
        </w:rPr>
        <w:t>-</w:t>
      </w:r>
      <w:r w:rsidRPr="00CD3BC7">
        <w:rPr>
          <w:rStyle w:val="TextChar"/>
          <w:rFonts w:eastAsiaTheme="majorEastAsia"/>
          <w:noProof/>
        </w:rPr>
        <w:t>based</w:t>
      </w:r>
      <w:r>
        <w:rPr>
          <w:rStyle w:val="TextChar"/>
          <w:rFonts w:eastAsiaTheme="majorEastAsia"/>
        </w:rPr>
        <w:t xml:space="preserve">. </w:t>
      </w:r>
    </w:p>
    <w:p w14:paraId="22C334DE" w14:textId="4F1F24DB" w:rsidR="00E81D39" w:rsidRDefault="00E81D39" w:rsidP="00E81D39">
      <w:pPr>
        <w:pStyle w:val="Text"/>
      </w:pPr>
      <w:bookmarkStart w:id="36" w:name="_Hlk513040566"/>
      <w:r>
        <w:t>The reasons for cancellations are reasonably well documented in the literature covered.</w:t>
      </w:r>
      <w:r w:rsidRPr="00792842">
        <w:t xml:space="preserve"> </w:t>
      </w:r>
      <w:r w:rsidRPr="00792842">
        <w:rPr>
          <w:noProof/>
        </w:rPr>
        <w:t>The</w:t>
      </w:r>
      <w:r w:rsidRPr="00792842">
        <w:t xml:space="preserve"> literature has </w:t>
      </w:r>
      <w:r w:rsidRPr="00AF24CC">
        <w:rPr>
          <w:noProof/>
        </w:rPr>
        <w:t>been concerned</w:t>
      </w:r>
      <w:r w:rsidRPr="00792842">
        <w:t xml:space="preserve"> with </w:t>
      </w:r>
      <w:r>
        <w:t xml:space="preserve">cancellations and </w:t>
      </w:r>
      <w:r w:rsidRPr="00792842">
        <w:t>completion rates in general rather than breaking it down by GTO vs</w:t>
      </w:r>
      <w:r>
        <w:t xml:space="preserve"> direct employer,</w:t>
      </w:r>
      <w:r w:rsidRPr="00792842">
        <w:t xml:space="preserve"> </w:t>
      </w:r>
      <w:r w:rsidRPr="00F6305F">
        <w:rPr>
          <w:noProof/>
        </w:rPr>
        <w:t>and</w:t>
      </w:r>
      <w:r w:rsidRPr="00792842">
        <w:t xml:space="preserve"> so a gap remains for </w:t>
      </w:r>
      <w:r w:rsidR="00EF7BBC">
        <w:t xml:space="preserve">a </w:t>
      </w:r>
      <w:r w:rsidRPr="00792842">
        <w:t>further analysis of differences in outcomes for the two types of employers.</w:t>
      </w:r>
      <w:r>
        <w:t xml:space="preserve"> </w:t>
      </w:r>
      <w:r w:rsidRPr="00A11CD5">
        <w:t xml:space="preserve">A further gap is that the </w:t>
      </w:r>
      <w:r>
        <w:t>GTO</w:t>
      </w:r>
      <w:r w:rsidRPr="00A23D50">
        <w:t xml:space="preserve"> can be particularly helpful to small and medium</w:t>
      </w:r>
      <w:r w:rsidR="00EF7BBC">
        <w:t>-</w:t>
      </w:r>
      <w:r w:rsidRPr="00A23D50">
        <w:t>sized businesses that find committing to an apprenticeship difficult, lack the resources to manage an apprentice, or are unable to provide the full on</w:t>
      </w:r>
      <w:r w:rsidR="00EF7BBC">
        <w:t>-</w:t>
      </w:r>
      <w:r w:rsidRPr="00A23D50">
        <w:t>the</w:t>
      </w:r>
      <w:r w:rsidR="00EF7BBC">
        <w:t>-</w:t>
      </w:r>
      <w:r w:rsidRPr="00A23D50">
        <w:t>job training required for an apprenticeship.</w:t>
      </w:r>
      <w:r w:rsidR="00A11CD5" w:rsidRPr="00A11CD5">
        <w:t xml:space="preserve"> </w:t>
      </w:r>
      <w:r w:rsidR="00A11CD5" w:rsidRPr="00A23D50">
        <w:t>In considering the comparisons, it should be acknowledged that many direct employers also provide pastoral care and support to their apprentices, but this provision is often more difficult for small direct employers in particular.</w:t>
      </w:r>
      <w:r w:rsidR="00A11CD5" w:rsidRPr="00A11CD5">
        <w:t xml:space="preserve"> </w:t>
      </w:r>
      <w:r w:rsidR="00A11CD5" w:rsidRPr="003F032D">
        <w:t xml:space="preserve">Given that GTO apprentices and trainees are generally placed with small or medium host employers, </w:t>
      </w:r>
      <w:r w:rsidR="00A11CD5">
        <w:t xml:space="preserve">we should </w:t>
      </w:r>
      <w:r w:rsidR="00A11CD5" w:rsidRPr="003F032D">
        <w:t>compare their completion rates with those of small or medium direct employers.</w:t>
      </w:r>
      <w:r w:rsidR="00A11CD5">
        <w:t xml:space="preserve"> </w:t>
      </w:r>
      <w:r>
        <w:t xml:space="preserve">In sum, the literature tells us </w:t>
      </w:r>
      <w:r w:rsidRPr="003631AB">
        <w:rPr>
          <w:i/>
        </w:rPr>
        <w:t>why</w:t>
      </w:r>
      <w:r>
        <w:t xml:space="preserve"> apprentices may not complete </w:t>
      </w:r>
      <w:r w:rsidRPr="0098428F">
        <w:rPr>
          <w:noProof/>
        </w:rPr>
        <w:t>but</w:t>
      </w:r>
      <w:r>
        <w:t xml:space="preserve"> </w:t>
      </w:r>
      <w:r w:rsidR="00A11CD5">
        <w:t>further</w:t>
      </w:r>
      <w:r>
        <w:t xml:space="preserve"> investigat</w:t>
      </w:r>
      <w:r w:rsidR="00A11CD5">
        <w:t>ion that accounts for these gaps can establish clearer evidence on</w:t>
      </w:r>
      <w:r>
        <w:t xml:space="preserve"> whether </w:t>
      </w:r>
      <w:r w:rsidR="00A11CD5">
        <w:t xml:space="preserve">the </w:t>
      </w:r>
      <w:r>
        <w:t xml:space="preserve">GTO </w:t>
      </w:r>
      <w:r w:rsidR="00A11CD5">
        <w:t xml:space="preserve">is </w:t>
      </w:r>
      <w:r>
        <w:t xml:space="preserve">a negative, mitigating, neutral or positive factor in </w:t>
      </w:r>
      <w:r w:rsidR="00A11CD5">
        <w:t xml:space="preserve">apprentice and trainee </w:t>
      </w:r>
      <w:r>
        <w:t xml:space="preserve">completion rates. </w:t>
      </w:r>
      <w:bookmarkEnd w:id="36"/>
    </w:p>
    <w:p w14:paraId="19212000" w14:textId="35502476" w:rsidR="00F97AF3" w:rsidRPr="000E691E" w:rsidRDefault="00F97AF3" w:rsidP="00C52605">
      <w:pPr>
        <w:pStyle w:val="Heading2"/>
      </w:pPr>
      <w:bookmarkStart w:id="37" w:name="_Toc15287582"/>
      <w:bookmarkStart w:id="38" w:name="_Toc17104051"/>
      <w:r>
        <w:t>Background</w:t>
      </w:r>
      <w:bookmarkEnd w:id="37"/>
      <w:bookmarkEnd w:id="38"/>
    </w:p>
    <w:p w14:paraId="26D5556D" w14:textId="44ACA4B0" w:rsidR="00F97AF3" w:rsidRPr="002C07E7" w:rsidRDefault="00F97AF3" w:rsidP="00F97AF3">
      <w:pPr>
        <w:pStyle w:val="Text"/>
      </w:pPr>
      <w:bookmarkStart w:id="39" w:name="_Toc506299607"/>
      <w:bookmarkEnd w:id="30"/>
      <w:r w:rsidRPr="00552F34">
        <w:t xml:space="preserve">High rates of non-completion among apprentices and trainees are an enduring concern among governments, employers, </w:t>
      </w:r>
      <w:r w:rsidR="00B316FE">
        <w:t>GTOs</w:t>
      </w:r>
      <w:r w:rsidRPr="00552F34">
        <w:t xml:space="preserve"> and </w:t>
      </w:r>
      <w:r w:rsidR="00EF7BBC">
        <w:t>vocational education and training (</w:t>
      </w:r>
      <w:r w:rsidRPr="00552F34">
        <w:t>VET</w:t>
      </w:r>
      <w:r w:rsidR="00EF7BBC">
        <w:t>)</w:t>
      </w:r>
      <w:r w:rsidRPr="00552F34">
        <w:t xml:space="preserve"> providers because of the level of public investment in</w:t>
      </w:r>
      <w:r>
        <w:t xml:space="preserve"> apprentices</w:t>
      </w:r>
      <w:r w:rsidR="00B316FE">
        <w:t>hips</w:t>
      </w:r>
      <w:r>
        <w:t xml:space="preserve"> and</w:t>
      </w:r>
      <w:r w:rsidRPr="00552F34">
        <w:t xml:space="preserve"> traineeships and consequent shortages of skilled workers in many industries.</w:t>
      </w:r>
      <w:r>
        <w:t xml:space="preserve"> </w:t>
      </w:r>
    </w:p>
    <w:p w14:paraId="613AFDA1" w14:textId="620034F0" w:rsidR="00F97AF3" w:rsidRPr="00986557" w:rsidRDefault="00F97AF3" w:rsidP="00F97AF3">
      <w:pPr>
        <w:pStyle w:val="Text"/>
        <w:rPr>
          <w:rFonts w:cs="LegacySans-Book"/>
          <w:sz w:val="24"/>
          <w:szCs w:val="24"/>
        </w:rPr>
      </w:pPr>
      <w:r w:rsidRPr="006B6ED3">
        <w:rPr>
          <w:rFonts w:cs="Arial"/>
          <w:szCs w:val="19"/>
        </w:rPr>
        <w:t xml:space="preserve">The original objective for group training was to provide a legitimate framework for employers to participate in the </w:t>
      </w:r>
      <w:r w:rsidRPr="00897C36">
        <w:rPr>
          <w:rFonts w:cs="Arial"/>
          <w:noProof/>
          <w:szCs w:val="19"/>
        </w:rPr>
        <w:t>training</w:t>
      </w:r>
      <w:r w:rsidRPr="006B6ED3">
        <w:rPr>
          <w:rFonts w:cs="Arial"/>
          <w:szCs w:val="19"/>
        </w:rPr>
        <w:t xml:space="preserve"> of apprentices when they were </w:t>
      </w:r>
      <w:r w:rsidR="00CC07F5">
        <w:rPr>
          <w:rFonts w:cs="Arial"/>
          <w:szCs w:val="19"/>
        </w:rPr>
        <w:t xml:space="preserve">willing but </w:t>
      </w:r>
      <w:r w:rsidRPr="006B6ED3">
        <w:rPr>
          <w:rFonts w:cs="Arial"/>
          <w:szCs w:val="19"/>
        </w:rPr>
        <w:t>not able to commit to taking on an apprentice directly</w:t>
      </w:r>
      <w:r w:rsidR="00CC07F5">
        <w:rPr>
          <w:rFonts w:cs="Arial"/>
          <w:szCs w:val="19"/>
        </w:rPr>
        <w:t xml:space="preserve"> for various reasons such as </w:t>
      </w:r>
      <w:r w:rsidR="00EF7BBC">
        <w:rPr>
          <w:rFonts w:cs="Arial"/>
          <w:szCs w:val="19"/>
        </w:rPr>
        <w:t xml:space="preserve">having </w:t>
      </w:r>
      <w:r w:rsidR="00CC07F5">
        <w:rPr>
          <w:rFonts w:cs="Arial"/>
          <w:szCs w:val="19"/>
        </w:rPr>
        <w:t>insufficient work</w:t>
      </w:r>
      <w:r>
        <w:rPr>
          <w:rFonts w:cs="Arial"/>
          <w:szCs w:val="19"/>
        </w:rPr>
        <w:t xml:space="preserve">. </w:t>
      </w:r>
      <w:r w:rsidRPr="00741298">
        <w:rPr>
          <w:rFonts w:cs="Arial"/>
          <w:noProof/>
          <w:szCs w:val="19"/>
        </w:rPr>
        <w:t xml:space="preserve">By employing apprentices and trainees </w:t>
      </w:r>
      <w:r>
        <w:rPr>
          <w:rFonts w:cs="Arial"/>
          <w:noProof/>
          <w:szCs w:val="19"/>
        </w:rPr>
        <w:t xml:space="preserve">and placing them </w:t>
      </w:r>
      <w:r w:rsidRPr="00741298">
        <w:rPr>
          <w:rFonts w:cs="Arial"/>
          <w:noProof/>
          <w:szCs w:val="19"/>
        </w:rPr>
        <w:t xml:space="preserve">with employers, </w:t>
      </w:r>
      <w:r>
        <w:rPr>
          <w:rFonts w:cs="Arial"/>
          <w:szCs w:val="19"/>
        </w:rPr>
        <w:t>GTOs</w:t>
      </w:r>
      <w:r w:rsidRPr="006B6ED3">
        <w:rPr>
          <w:rFonts w:cs="Arial"/>
          <w:szCs w:val="19"/>
        </w:rPr>
        <w:t xml:space="preserve"> are responsible for ensuring the wellbeing of apprentices and trainees and that they receive suitable training and experience, including provision for rotation between employers</w:t>
      </w:r>
      <w:r w:rsidR="00EF7BBC">
        <w:rPr>
          <w:rFonts w:cs="Arial"/>
          <w:szCs w:val="19"/>
        </w:rPr>
        <w:t>,</w:t>
      </w:r>
      <w:r w:rsidRPr="006B6ED3">
        <w:rPr>
          <w:rFonts w:cs="Arial"/>
          <w:szCs w:val="19"/>
        </w:rPr>
        <w:t xml:space="preserve"> if necessary. Part of this role includes providing the additional care and ongoing support </w:t>
      </w:r>
      <w:r w:rsidRPr="00897C36">
        <w:rPr>
          <w:rFonts w:cs="Arial"/>
          <w:noProof/>
          <w:szCs w:val="19"/>
        </w:rPr>
        <w:t>necessary</w:t>
      </w:r>
      <w:r w:rsidRPr="006B6ED3">
        <w:rPr>
          <w:rFonts w:cs="Arial"/>
          <w:szCs w:val="19"/>
        </w:rPr>
        <w:t xml:space="preserve"> for the apprentice to </w:t>
      </w:r>
      <w:r w:rsidRPr="00937427">
        <w:rPr>
          <w:rFonts w:cs="Arial"/>
          <w:noProof/>
          <w:szCs w:val="19"/>
        </w:rPr>
        <w:t>complete</w:t>
      </w:r>
      <w:r w:rsidRPr="006B6ED3">
        <w:rPr>
          <w:rFonts w:cs="Arial"/>
          <w:szCs w:val="19"/>
        </w:rPr>
        <w:t xml:space="preserve"> the training contract.</w:t>
      </w:r>
      <w:r>
        <w:rPr>
          <w:rFonts w:cs="Arial"/>
          <w:szCs w:val="19"/>
        </w:rPr>
        <w:t xml:space="preserve"> </w:t>
      </w:r>
      <w:r w:rsidRPr="006B6ED3">
        <w:rPr>
          <w:rFonts w:cs="Arial"/>
          <w:szCs w:val="19"/>
        </w:rPr>
        <w:t>In this context, group training continues to play an important role today.</w:t>
      </w:r>
      <w:r>
        <w:rPr>
          <w:rFonts w:cs="Arial"/>
          <w:szCs w:val="19"/>
        </w:rPr>
        <w:t xml:space="preserve"> Compared </w:t>
      </w:r>
      <w:r w:rsidR="00EF7BBC">
        <w:rPr>
          <w:rFonts w:cs="Arial"/>
          <w:szCs w:val="19"/>
        </w:rPr>
        <w:t>with</w:t>
      </w:r>
      <w:r>
        <w:rPr>
          <w:rFonts w:cs="Arial"/>
          <w:szCs w:val="19"/>
        </w:rPr>
        <w:t xml:space="preserve"> </w:t>
      </w:r>
      <w:r w:rsidRPr="00B67337">
        <w:rPr>
          <w:rFonts w:cs="Arial"/>
          <w:noProof/>
          <w:szCs w:val="19"/>
        </w:rPr>
        <w:t>traditional</w:t>
      </w:r>
      <w:r>
        <w:rPr>
          <w:rFonts w:cs="Arial"/>
          <w:szCs w:val="19"/>
        </w:rPr>
        <w:t xml:space="preserve"> apprenticeships, group training provides many benefits for apprentices, such as </w:t>
      </w:r>
      <w:r w:rsidRPr="006B6ED3">
        <w:rPr>
          <w:rFonts w:cs="Arial"/>
          <w:szCs w:val="19"/>
        </w:rPr>
        <w:t xml:space="preserve">rigorous recruitment practice, structured programs, the provision of varied work, and </w:t>
      </w:r>
      <w:r>
        <w:rPr>
          <w:rFonts w:cs="Arial"/>
          <w:szCs w:val="19"/>
        </w:rPr>
        <w:t xml:space="preserve">formal </w:t>
      </w:r>
      <w:r w:rsidRPr="006B6ED3">
        <w:rPr>
          <w:rFonts w:cs="Arial"/>
          <w:szCs w:val="19"/>
        </w:rPr>
        <w:t>support and mentoring.</w:t>
      </w:r>
      <w:r w:rsidRPr="00BA30B8">
        <w:rPr>
          <w:rFonts w:cs="LegacySans-Book"/>
          <w:sz w:val="24"/>
          <w:szCs w:val="24"/>
        </w:rPr>
        <w:t xml:space="preserve"> </w:t>
      </w:r>
      <w:r w:rsidRPr="00BA30B8">
        <w:t xml:space="preserve">Group training operates in challenging </w:t>
      </w:r>
      <w:r>
        <w:t>environments</w:t>
      </w:r>
      <w:r w:rsidRPr="00BA30B8">
        <w:t xml:space="preserve">. Firms that engage group training may not have the skills or capacity to manage the apprentice relationship. Coverage extends across regional, rural and remote </w:t>
      </w:r>
      <w:r w:rsidRPr="00BA30B8">
        <w:lastRenderedPageBreak/>
        <w:t>areas</w:t>
      </w:r>
      <w:r w:rsidR="00EF7BBC">
        <w:t>,</w:t>
      </w:r>
      <w:r w:rsidRPr="00BA30B8">
        <w:t xml:space="preserve"> including Indigenous communities</w:t>
      </w:r>
      <w:r>
        <w:t>.</w:t>
      </w:r>
      <w:r w:rsidRPr="002F7976">
        <w:t xml:space="preserve"> GTOs have a significant community service element to their operations. GTOs also often cross-subsidise the more challenging, resource-intensive parts of their operations from other commercial activities</w:t>
      </w:r>
      <w:r>
        <w:t>. T</w:t>
      </w:r>
      <w:r w:rsidRPr="002F7976">
        <w:t>his function, with its strong social and community focus, is one that would not be absorbed by the private sector, without significant additional offsets</w:t>
      </w:r>
      <w:r w:rsidRPr="00986557">
        <w:rPr>
          <w:rFonts w:cs="LegacySans-Book"/>
          <w:sz w:val="24"/>
          <w:szCs w:val="24"/>
        </w:rPr>
        <w:t>.</w:t>
      </w:r>
      <w:r w:rsidRPr="002C07E7">
        <w:t xml:space="preserve"> GTOs are currently involved in about 12% of apprenticeships and traineeships (NCVER 20</w:t>
      </w:r>
      <w:r w:rsidR="003927EF">
        <w:t>18</w:t>
      </w:r>
      <w:r w:rsidRPr="002C07E7">
        <w:t>).</w:t>
      </w:r>
    </w:p>
    <w:p w14:paraId="2F20EAD2" w14:textId="15D31C1F" w:rsidR="00F97AF3" w:rsidRPr="006B6ED3" w:rsidRDefault="00F97AF3" w:rsidP="00F97AF3">
      <w:pPr>
        <w:pStyle w:val="Text"/>
        <w:rPr>
          <w:rFonts w:cs="Arial"/>
          <w:szCs w:val="19"/>
        </w:rPr>
      </w:pPr>
      <w:r w:rsidRPr="00897C36">
        <w:rPr>
          <w:rFonts w:cs="Arial"/>
          <w:noProof/>
          <w:szCs w:val="19"/>
        </w:rPr>
        <w:t xml:space="preserve">However, </w:t>
      </w:r>
      <w:r w:rsidR="00431C54">
        <w:rPr>
          <w:rFonts w:cs="Arial"/>
          <w:noProof/>
          <w:szCs w:val="19"/>
        </w:rPr>
        <w:t>despite</w:t>
      </w:r>
      <w:r w:rsidRPr="00897C36">
        <w:rPr>
          <w:rFonts w:cs="Arial"/>
          <w:noProof/>
          <w:szCs w:val="19"/>
        </w:rPr>
        <w:t xml:space="preserve"> the strengths of group training organisations, Bednarz (2014) found that </w:t>
      </w:r>
      <w:r>
        <w:rPr>
          <w:rFonts w:cs="Arial"/>
          <w:noProof/>
          <w:szCs w:val="19"/>
        </w:rPr>
        <w:t>the</w:t>
      </w:r>
      <w:r w:rsidRPr="00897C36">
        <w:rPr>
          <w:rFonts w:cs="Arial"/>
          <w:noProof/>
          <w:szCs w:val="19"/>
        </w:rPr>
        <w:t xml:space="preserve"> completion rates </w:t>
      </w:r>
      <w:r>
        <w:rPr>
          <w:rFonts w:cs="Arial"/>
          <w:noProof/>
          <w:szCs w:val="19"/>
        </w:rPr>
        <w:t>of GTO apprentices</w:t>
      </w:r>
      <w:r w:rsidRPr="00897C36">
        <w:rPr>
          <w:rFonts w:cs="Arial"/>
          <w:noProof/>
          <w:szCs w:val="19"/>
        </w:rPr>
        <w:t xml:space="preserve"> are not significantly higher than those of private employers</w:t>
      </w:r>
      <w:r>
        <w:rPr>
          <w:rFonts w:cs="Arial"/>
          <w:noProof/>
          <w:szCs w:val="19"/>
        </w:rPr>
        <w:t xml:space="preserve">. She </w:t>
      </w:r>
      <w:r w:rsidRPr="00897C36">
        <w:rPr>
          <w:rFonts w:cs="Arial"/>
          <w:noProof/>
          <w:szCs w:val="19"/>
        </w:rPr>
        <w:t xml:space="preserve">suggested that </w:t>
      </w:r>
      <w:r>
        <w:rPr>
          <w:rFonts w:cs="Arial"/>
          <w:noProof/>
          <w:szCs w:val="19"/>
        </w:rPr>
        <w:t>future research sh</w:t>
      </w:r>
      <w:r w:rsidRPr="00897C36">
        <w:rPr>
          <w:rFonts w:cs="Arial"/>
          <w:noProof/>
          <w:szCs w:val="19"/>
        </w:rPr>
        <w:t xml:space="preserve">ould investigate why </w:t>
      </w:r>
      <w:r>
        <w:rPr>
          <w:rFonts w:cs="Arial"/>
          <w:noProof/>
          <w:szCs w:val="19"/>
        </w:rPr>
        <w:t>GTOs</w:t>
      </w:r>
      <w:r w:rsidRPr="00897C36">
        <w:rPr>
          <w:rFonts w:cs="Arial"/>
          <w:noProof/>
          <w:szCs w:val="19"/>
        </w:rPr>
        <w:t xml:space="preserve"> do not seem to experience higher completion rates</w:t>
      </w:r>
      <w:r>
        <w:rPr>
          <w:rFonts w:cs="Arial"/>
          <w:noProof/>
          <w:szCs w:val="19"/>
        </w:rPr>
        <w:t xml:space="preserve">. The pattern has become known as the </w:t>
      </w:r>
      <w:r w:rsidR="00D2072F">
        <w:rPr>
          <w:rFonts w:cs="Arial"/>
          <w:noProof/>
          <w:szCs w:val="19"/>
        </w:rPr>
        <w:t>‘</w:t>
      </w:r>
      <w:r>
        <w:rPr>
          <w:rFonts w:cs="Arial"/>
          <w:noProof/>
          <w:szCs w:val="19"/>
        </w:rPr>
        <w:t>group training paradox</w:t>
      </w:r>
      <w:r w:rsidR="00D2072F">
        <w:rPr>
          <w:rFonts w:cs="Arial"/>
          <w:noProof/>
          <w:szCs w:val="19"/>
        </w:rPr>
        <w:t>’</w:t>
      </w:r>
      <w:r>
        <w:rPr>
          <w:rFonts w:cs="Arial"/>
          <w:noProof/>
          <w:szCs w:val="19"/>
        </w:rPr>
        <w:t xml:space="preserve"> (Bednarz 2014</w:t>
      </w:r>
      <w:r w:rsidR="00EF7BBC">
        <w:rPr>
          <w:rFonts w:cs="Arial"/>
          <w:noProof/>
          <w:szCs w:val="19"/>
        </w:rPr>
        <w:t>,</w:t>
      </w:r>
      <w:r>
        <w:rPr>
          <w:rFonts w:cs="Arial"/>
          <w:noProof/>
          <w:szCs w:val="19"/>
        </w:rPr>
        <w:t xml:space="preserve"> p.24).</w:t>
      </w:r>
    </w:p>
    <w:p w14:paraId="1CDD5242" w14:textId="1DAA90F9" w:rsidR="00F97AF3" w:rsidRPr="006B6ED3" w:rsidRDefault="00F97AF3" w:rsidP="00F97AF3">
      <w:pPr>
        <w:pStyle w:val="Text"/>
      </w:pPr>
      <w:r>
        <w:t>A range of possible</w:t>
      </w:r>
      <w:r w:rsidRPr="006B6ED3">
        <w:t xml:space="preserve"> factors potentially </w:t>
      </w:r>
      <w:r w:rsidRPr="00431C54">
        <w:rPr>
          <w:noProof/>
        </w:rPr>
        <w:t>influence</w:t>
      </w:r>
      <w:r w:rsidR="00431C54">
        <w:rPr>
          <w:noProof/>
        </w:rPr>
        <w:t>s</w:t>
      </w:r>
      <w:r w:rsidRPr="006B6ED3">
        <w:t xml:space="preserve"> the reported, or actual, completion rates of apprentices </w:t>
      </w:r>
      <w:r>
        <w:t xml:space="preserve">in GTOs when compared with the </w:t>
      </w:r>
      <w:r w:rsidRPr="00937427">
        <w:rPr>
          <w:noProof/>
        </w:rPr>
        <w:t>rates</w:t>
      </w:r>
      <w:r>
        <w:t xml:space="preserve"> for apprentices with private </w:t>
      </w:r>
      <w:r w:rsidR="00B316FE">
        <w:t xml:space="preserve">(direct) </w:t>
      </w:r>
      <w:r>
        <w:t>employers.</w:t>
      </w:r>
      <w:r w:rsidRPr="006B6ED3">
        <w:t xml:space="preserve"> First, </w:t>
      </w:r>
      <w:r>
        <w:t xml:space="preserve">the profiles of apprentices in GTOs and apprentices with private employers may be different. </w:t>
      </w:r>
      <w:r w:rsidRPr="006B6ED3">
        <w:t>Couldrey and Loveder</w:t>
      </w:r>
      <w:r>
        <w:t xml:space="preserve"> (</w:t>
      </w:r>
      <w:r w:rsidRPr="006B6ED3">
        <w:t>201</w:t>
      </w:r>
      <w:r w:rsidR="00F92E48">
        <w:t>6</w:t>
      </w:r>
      <w:r>
        <w:t>)</w:t>
      </w:r>
      <w:r w:rsidRPr="006B6ED3">
        <w:t xml:space="preserve"> report</w:t>
      </w:r>
      <w:r>
        <w:t xml:space="preserve"> </w:t>
      </w:r>
      <w:r w:rsidR="00F92E48">
        <w:t xml:space="preserve">that </w:t>
      </w:r>
      <w:r w:rsidR="00B316FE">
        <w:t>GTOs</w:t>
      </w:r>
      <w:r w:rsidRPr="006B6ED3">
        <w:t xml:space="preserve"> often engage with a more disadvantaged cohort of apprentices</w:t>
      </w:r>
      <w:r>
        <w:t xml:space="preserve"> than private employers</w:t>
      </w:r>
      <w:r w:rsidR="00EF7BBC">
        <w:t>,</w:t>
      </w:r>
      <w:r>
        <w:t xml:space="preserve"> who are more selective. GTOs must manage </w:t>
      </w:r>
      <w:r w:rsidRPr="006B6ED3">
        <w:t>an inherently higher risk of non-completion</w:t>
      </w:r>
      <w:r>
        <w:t xml:space="preserve"> related </w:t>
      </w:r>
      <w:r w:rsidRPr="00937427">
        <w:rPr>
          <w:noProof/>
        </w:rPr>
        <w:t>to individuals</w:t>
      </w:r>
      <w:r w:rsidR="00D2072F">
        <w:rPr>
          <w:noProof/>
        </w:rPr>
        <w:t>’</w:t>
      </w:r>
      <w:r w:rsidRPr="00937427">
        <w:rPr>
          <w:noProof/>
        </w:rPr>
        <w:t xml:space="preserve"> prior education leve</w:t>
      </w:r>
      <w:r>
        <w:rPr>
          <w:noProof/>
        </w:rPr>
        <w:t>ls, career aspirations and social networks and support</w:t>
      </w:r>
      <w:r w:rsidRPr="00937427">
        <w:rPr>
          <w:noProof/>
        </w:rPr>
        <w:t>.</w:t>
      </w:r>
      <w:r>
        <w:t xml:space="preserve"> These differences a</w:t>
      </w:r>
      <w:r w:rsidRPr="006B6ED3">
        <w:t>dd comple</w:t>
      </w:r>
      <w:r>
        <w:t>xity to the apprenticeship operating model.</w:t>
      </w:r>
    </w:p>
    <w:p w14:paraId="71A96AE4" w14:textId="43320D4A" w:rsidR="00F97AF3" w:rsidRDefault="00F97AF3" w:rsidP="00F97AF3">
      <w:pPr>
        <w:pStyle w:val="Text"/>
        <w:rPr>
          <w:noProof/>
        </w:rPr>
      </w:pPr>
      <w:r>
        <w:t>Reporting</w:t>
      </w:r>
      <w:r w:rsidRPr="00A668E5">
        <w:t xml:space="preserve"> differences </w:t>
      </w:r>
      <w:r>
        <w:t>may</w:t>
      </w:r>
      <w:r w:rsidRPr="00A668E5">
        <w:t xml:space="preserve"> </w:t>
      </w:r>
      <w:r>
        <w:t xml:space="preserve">also </w:t>
      </w:r>
      <w:r w:rsidRPr="00A668E5">
        <w:t>contribute to th</w:t>
      </w:r>
      <w:r>
        <w:t xml:space="preserve">e </w:t>
      </w:r>
      <w:r w:rsidR="00CC07F5">
        <w:t>comparative completion rates</w:t>
      </w:r>
      <w:r>
        <w:t>.</w:t>
      </w:r>
      <w:r w:rsidRPr="00A668E5">
        <w:t xml:space="preserve"> For example, </w:t>
      </w:r>
      <w:r w:rsidR="00873E4F">
        <w:t>GTOs</w:t>
      </w:r>
      <w:r w:rsidRPr="00A668E5">
        <w:t xml:space="preserve"> are legally required to register an apprentice before </w:t>
      </w:r>
      <w:r>
        <w:t xml:space="preserve">being </w:t>
      </w:r>
      <w:r w:rsidRPr="005054BB">
        <w:rPr>
          <w:noProof/>
        </w:rPr>
        <w:t>placed</w:t>
      </w:r>
      <w:r w:rsidRPr="00A668E5">
        <w:t xml:space="preserve"> with a host employer</w:t>
      </w:r>
      <w:r w:rsidRPr="005054BB">
        <w:rPr>
          <w:noProof/>
        </w:rPr>
        <w:t>, but</w:t>
      </w:r>
      <w:r w:rsidRPr="00A668E5">
        <w:t xml:space="preserve"> </w:t>
      </w:r>
      <w:r>
        <w:t>private</w:t>
      </w:r>
      <w:r w:rsidRPr="00A668E5">
        <w:t xml:space="preserve"> employers </w:t>
      </w:r>
      <w:r>
        <w:t xml:space="preserve">are </w:t>
      </w:r>
      <w:r w:rsidRPr="000112B0">
        <w:rPr>
          <w:noProof/>
        </w:rPr>
        <w:t>not.</w:t>
      </w:r>
      <w:r>
        <w:rPr>
          <w:noProof/>
        </w:rPr>
        <w:t xml:space="preserve"> </w:t>
      </w:r>
      <w:r w:rsidRPr="009F2DE3">
        <w:rPr>
          <w:noProof/>
        </w:rPr>
        <w:t xml:space="preserve">If private employers take a new apprentice on but dismiss them before registration occurs, the </w:t>
      </w:r>
      <w:r w:rsidRPr="00FB01B9">
        <w:rPr>
          <w:noProof/>
        </w:rPr>
        <w:t>dismissed</w:t>
      </w:r>
      <w:r w:rsidRPr="009F2DE3">
        <w:rPr>
          <w:noProof/>
        </w:rPr>
        <w:t xml:space="preserve"> </w:t>
      </w:r>
      <w:r w:rsidRPr="00897C36">
        <w:rPr>
          <w:noProof/>
        </w:rPr>
        <w:t>individuals</w:t>
      </w:r>
      <w:r w:rsidRPr="009F2DE3">
        <w:rPr>
          <w:noProof/>
        </w:rPr>
        <w:t xml:space="preserve"> </w:t>
      </w:r>
      <w:r w:rsidRPr="00897C36">
        <w:rPr>
          <w:noProof/>
        </w:rPr>
        <w:t>are not captured</w:t>
      </w:r>
      <w:r w:rsidRPr="009F2DE3">
        <w:rPr>
          <w:noProof/>
        </w:rPr>
        <w:t xml:space="preserve"> in the current data collection system as either commencing apprentices or non-completions, unlike apprentices in GTOs.</w:t>
      </w:r>
      <w:r w:rsidRPr="00D73744">
        <w:t xml:space="preserve"> </w:t>
      </w:r>
      <w:r>
        <w:t xml:space="preserve">Further, apprentices can resign from their position with a GTO to commence work with a new employer, represented by a cancellation of the contract with the GTO and commencement (and eventual completion) with the new employer. Conversely, private employers are not obligated to report a cancelled contract. </w:t>
      </w:r>
    </w:p>
    <w:p w14:paraId="0B76A085" w14:textId="64377D00" w:rsidR="00F97AF3" w:rsidRDefault="00F97AF3" w:rsidP="00F97AF3">
      <w:pPr>
        <w:pStyle w:val="Text"/>
      </w:pPr>
      <w:r>
        <w:rPr>
          <w:noProof/>
        </w:rPr>
        <w:t xml:space="preserve">Legislative and practice differences between GTOs and private employers may </w:t>
      </w:r>
      <w:r w:rsidRPr="00431C54">
        <w:rPr>
          <w:noProof/>
        </w:rPr>
        <w:t>differ</w:t>
      </w:r>
      <w:r w:rsidR="00431C54">
        <w:rPr>
          <w:noProof/>
        </w:rPr>
        <w:t>en</w:t>
      </w:r>
      <w:r w:rsidRPr="00431C54">
        <w:rPr>
          <w:noProof/>
        </w:rPr>
        <w:t>tially</w:t>
      </w:r>
      <w:r>
        <w:rPr>
          <w:noProof/>
        </w:rPr>
        <w:t xml:space="preserve"> </w:t>
      </w:r>
      <w:r w:rsidRPr="00431C54">
        <w:rPr>
          <w:noProof/>
        </w:rPr>
        <w:t>influe</w:t>
      </w:r>
      <w:r w:rsidR="00431C54">
        <w:rPr>
          <w:noProof/>
        </w:rPr>
        <w:t>n</w:t>
      </w:r>
      <w:r w:rsidRPr="00431C54">
        <w:rPr>
          <w:noProof/>
        </w:rPr>
        <w:t>ce</w:t>
      </w:r>
      <w:r>
        <w:rPr>
          <w:noProof/>
        </w:rPr>
        <w:t xml:space="preserve"> completion rates. For example,</w:t>
      </w:r>
      <w:r>
        <w:t xml:space="preserve"> </w:t>
      </w:r>
      <w:r w:rsidR="00431C54" w:rsidRPr="00431C54">
        <w:rPr>
          <w:noProof/>
        </w:rPr>
        <w:t>GTO</w:t>
      </w:r>
      <w:r w:rsidR="00431C54">
        <w:rPr>
          <w:noProof/>
        </w:rPr>
        <w:t xml:space="preserve">s are more readily able than private employers to </w:t>
      </w:r>
      <w:r w:rsidRPr="00431C54">
        <w:rPr>
          <w:noProof/>
        </w:rPr>
        <w:t>supply apprentices and report benchmarks</w:t>
      </w:r>
      <w:r>
        <w:t>.</w:t>
      </w:r>
    </w:p>
    <w:p w14:paraId="60F8D32C" w14:textId="5D14F66C" w:rsidR="00F97AF3" w:rsidRDefault="00F97AF3" w:rsidP="00F97AF3">
      <w:pPr>
        <w:pStyle w:val="Text"/>
      </w:pPr>
      <w:r>
        <w:t>GTOs</w:t>
      </w:r>
      <w:r w:rsidR="00D2072F">
        <w:t>’</w:t>
      </w:r>
      <w:r>
        <w:t xml:space="preserve"> attrition rates may not necessarily represent a failure to complete. Some apprentices</w:t>
      </w:r>
      <w:r w:rsidR="00EF7BBC">
        <w:t xml:space="preserve"> </w:t>
      </w:r>
      <w:r>
        <w:t xml:space="preserve">(particularly </w:t>
      </w:r>
      <w:r w:rsidRPr="00431C54">
        <w:rPr>
          <w:noProof/>
        </w:rPr>
        <w:t>school</w:t>
      </w:r>
      <w:r w:rsidR="00431C54">
        <w:rPr>
          <w:noProof/>
        </w:rPr>
        <w:t>-</w:t>
      </w:r>
      <w:r w:rsidRPr="00431C54">
        <w:rPr>
          <w:noProof/>
        </w:rPr>
        <w:t>based</w:t>
      </w:r>
      <w:r>
        <w:t xml:space="preserve"> apprentices and trainees) may leave a GTO to take up work with a private employer and complete their apprenticeship with that employer. Such completions are not attributed to the GTO even though they may have supported the apprentice through most of their training.</w:t>
      </w:r>
    </w:p>
    <w:p w14:paraId="44CA3C6A" w14:textId="07CC4CE0" w:rsidR="00F97AF3" w:rsidRDefault="00F97AF3" w:rsidP="00F97AF3">
      <w:pPr>
        <w:pStyle w:val="Text"/>
      </w:pPr>
      <w:r>
        <w:rPr>
          <w:noProof/>
        </w:rPr>
        <w:t>W</w:t>
      </w:r>
      <w:r w:rsidRPr="005054BB">
        <w:rPr>
          <w:noProof/>
        </w:rPr>
        <w:t xml:space="preserve">hile GTOs operate under approved national standards, they have </w:t>
      </w:r>
      <w:r w:rsidRPr="00741298">
        <w:rPr>
          <w:noProof/>
        </w:rPr>
        <w:t>different</w:t>
      </w:r>
      <w:r w:rsidRPr="005054BB">
        <w:rPr>
          <w:noProof/>
        </w:rPr>
        <w:t xml:space="preserve"> profiles and activities across jurisdictions.</w:t>
      </w:r>
      <w:r w:rsidR="00582AC2">
        <w:t xml:space="preserve"> </w:t>
      </w:r>
      <w:r>
        <w:t>T</w:t>
      </w:r>
      <w:r w:rsidRPr="006B6ED3">
        <w:t>ime series data show differences across jurisdictions</w:t>
      </w:r>
      <w:r w:rsidRPr="00741298">
        <w:t xml:space="preserve"> </w:t>
      </w:r>
      <w:r>
        <w:t xml:space="preserve">in rates of </w:t>
      </w:r>
      <w:r w:rsidRPr="006B6ED3">
        <w:t xml:space="preserve">apprentice and trainee completion </w:t>
      </w:r>
      <w:r w:rsidRPr="00741298">
        <w:rPr>
          <w:noProof/>
        </w:rPr>
        <w:t>and</w:t>
      </w:r>
      <w:r w:rsidRPr="006B6ED3">
        <w:t xml:space="preserve"> attrition/withdrawal numbers, </w:t>
      </w:r>
      <w:r>
        <w:t>so analyse</w:t>
      </w:r>
      <w:r w:rsidRPr="006B6ED3">
        <w:t xml:space="preserve">s of GTOs vs </w:t>
      </w:r>
      <w:r w:rsidRPr="00CA62D8">
        <w:rPr>
          <w:noProof/>
        </w:rPr>
        <w:t>non</w:t>
      </w:r>
      <w:r w:rsidRPr="00CD3BC7">
        <w:rPr>
          <w:noProof/>
        </w:rPr>
        <w:t>-</w:t>
      </w:r>
      <w:r w:rsidRPr="00FB01B9">
        <w:rPr>
          <w:noProof/>
        </w:rPr>
        <w:t>GTOs</w:t>
      </w:r>
      <w:r w:rsidRPr="006B6ED3">
        <w:t xml:space="preserve"> </w:t>
      </w:r>
      <w:r>
        <w:t>must consider</w:t>
      </w:r>
      <w:r w:rsidRPr="006B6ED3">
        <w:t xml:space="preserve"> completions in the context of jurisdictional policy and not assume national uniformity.</w:t>
      </w:r>
      <w:r w:rsidR="00582AC2">
        <w:t xml:space="preserve"> </w:t>
      </w:r>
    </w:p>
    <w:p w14:paraId="1D7C8AE6" w14:textId="77777777" w:rsidR="00F97AF3" w:rsidRPr="00877B41" w:rsidRDefault="00F97AF3" w:rsidP="00F97AF3">
      <w:pPr>
        <w:pStyle w:val="Text"/>
      </w:pPr>
      <w:r w:rsidRPr="00877B41">
        <w:t xml:space="preserve">Based on trends in employer demand for apprentices since 2012, Karmel (2017) argues that the traditional apprenticeship model is not universally highly valued by employers, and </w:t>
      </w:r>
      <w:r>
        <w:t xml:space="preserve">that </w:t>
      </w:r>
      <w:r w:rsidRPr="00877B41">
        <w:t>employer support seems to be on the decline in many occupations. If so, the role of GTOs is likely to become more important if Australia is to produce sufficient qualified workers in vocational fields</w:t>
      </w:r>
      <w:r>
        <w:t xml:space="preserve">, and </w:t>
      </w:r>
      <w:r w:rsidRPr="00CA62D8">
        <w:rPr>
          <w:noProof/>
        </w:rPr>
        <w:t>therefore</w:t>
      </w:r>
      <w:r>
        <w:t xml:space="preserve"> we must explore mechanisms underlying completion rates</w:t>
      </w:r>
      <w:r w:rsidRPr="00877B41">
        <w:t xml:space="preserve">. </w:t>
      </w:r>
    </w:p>
    <w:p w14:paraId="0473376F" w14:textId="77777777" w:rsidR="00E774A7" w:rsidRDefault="00E774A7" w:rsidP="00F97AF3">
      <w:pPr>
        <w:pStyle w:val="Text"/>
      </w:pPr>
    </w:p>
    <w:p w14:paraId="4DE94B9B" w14:textId="02940AE9" w:rsidR="00F97AF3" w:rsidRDefault="00F97AF3" w:rsidP="00F97AF3">
      <w:pPr>
        <w:pStyle w:val="Text"/>
        <w:rPr>
          <w:rStyle w:val="TextChar"/>
          <w:rFonts w:eastAsiaTheme="majorEastAsia"/>
        </w:rPr>
      </w:pPr>
      <w:r>
        <w:lastRenderedPageBreak/>
        <w:t>T</w:t>
      </w:r>
      <w:r w:rsidRPr="006B6ED3">
        <w:rPr>
          <w:szCs w:val="19"/>
        </w:rPr>
        <w:t>h</w:t>
      </w:r>
      <w:r>
        <w:rPr>
          <w:szCs w:val="19"/>
        </w:rPr>
        <w:t xml:space="preserve">is review is the first stage of the wider project on why </w:t>
      </w:r>
      <w:r w:rsidRPr="00ED4B82">
        <w:t xml:space="preserve">completion rates for apprentices employed by </w:t>
      </w:r>
      <w:r w:rsidR="00873E4F">
        <w:t>GTOs</w:t>
      </w:r>
      <w:r w:rsidRPr="00ED4B82">
        <w:t xml:space="preserve"> </w:t>
      </w:r>
      <w:r>
        <w:t xml:space="preserve">are not </w:t>
      </w:r>
      <w:r w:rsidRPr="00ED4B82">
        <w:t>significantly higher than for those employed by private employers</w:t>
      </w:r>
      <w:r>
        <w:t xml:space="preserve">. It </w:t>
      </w:r>
      <w:r w:rsidRPr="006841C8">
        <w:rPr>
          <w:rStyle w:val="TextChar"/>
          <w:rFonts w:eastAsiaTheme="majorEastAsia"/>
        </w:rPr>
        <w:t>compar</w:t>
      </w:r>
      <w:r>
        <w:rPr>
          <w:rStyle w:val="TextChar"/>
          <w:rFonts w:eastAsiaTheme="majorEastAsia"/>
        </w:rPr>
        <w:t>es</w:t>
      </w:r>
      <w:r w:rsidRPr="006841C8">
        <w:rPr>
          <w:rStyle w:val="TextChar"/>
          <w:rFonts w:eastAsiaTheme="majorEastAsia"/>
        </w:rPr>
        <w:t xml:space="preserve"> the practice</w:t>
      </w:r>
      <w:r>
        <w:rPr>
          <w:rStyle w:val="TextChar"/>
          <w:rFonts w:eastAsiaTheme="majorEastAsia"/>
        </w:rPr>
        <w:t>s of GTOs and private employers and jurisdictional</w:t>
      </w:r>
      <w:r w:rsidRPr="006841C8">
        <w:rPr>
          <w:rStyle w:val="TextChar"/>
          <w:rFonts w:eastAsiaTheme="majorEastAsia"/>
        </w:rPr>
        <w:t xml:space="preserve"> legislative frameworks</w:t>
      </w:r>
      <w:r>
        <w:rPr>
          <w:rStyle w:val="TextChar"/>
          <w:rFonts w:eastAsiaTheme="majorEastAsia"/>
        </w:rPr>
        <w:t xml:space="preserve">, drawing </w:t>
      </w:r>
      <w:r w:rsidRPr="006841C8">
        <w:rPr>
          <w:rStyle w:val="TextChar"/>
          <w:rFonts w:eastAsiaTheme="majorEastAsia"/>
        </w:rPr>
        <w:t>on publicly available literature and information</w:t>
      </w:r>
      <w:r>
        <w:rPr>
          <w:rStyle w:val="TextChar"/>
          <w:rFonts w:eastAsiaTheme="majorEastAsia"/>
        </w:rPr>
        <w:t xml:space="preserve"> </w:t>
      </w:r>
      <w:r w:rsidRPr="006841C8">
        <w:rPr>
          <w:rStyle w:val="TextChar"/>
          <w:rFonts w:eastAsiaTheme="majorEastAsia"/>
        </w:rPr>
        <w:t xml:space="preserve">to understand the structures within which </w:t>
      </w:r>
      <w:r w:rsidR="00873E4F">
        <w:t>GTOs</w:t>
      </w:r>
      <w:r w:rsidRPr="006841C8">
        <w:rPr>
          <w:rStyle w:val="TextChar"/>
          <w:rFonts w:eastAsiaTheme="majorEastAsia"/>
        </w:rPr>
        <w:t xml:space="preserve"> and private employers of apprentices operate, and how these potentially influence apprenticeship completion rates.</w:t>
      </w:r>
    </w:p>
    <w:p w14:paraId="76AF2CFC" w14:textId="77777777" w:rsidR="00F97AF3" w:rsidRDefault="00F97AF3" w:rsidP="00C52605">
      <w:pPr>
        <w:pStyle w:val="Heading2"/>
      </w:pPr>
      <w:bookmarkStart w:id="40" w:name="_Toc15287583"/>
      <w:bookmarkStart w:id="41" w:name="_Toc17104052"/>
      <w:bookmarkEnd w:id="39"/>
      <w:r>
        <w:t>Apprenticeship commencement, completion and cancellation</w:t>
      </w:r>
      <w:bookmarkEnd w:id="40"/>
      <w:bookmarkEnd w:id="41"/>
    </w:p>
    <w:p w14:paraId="395DB483" w14:textId="77777777" w:rsidR="00F97AF3" w:rsidRDefault="00F97AF3" w:rsidP="00C52605">
      <w:pPr>
        <w:pStyle w:val="Heading3"/>
      </w:pPr>
      <w:r w:rsidRPr="00CA62D8">
        <w:rPr>
          <w:noProof/>
        </w:rPr>
        <w:t>Individual</w:t>
      </w:r>
      <w:r>
        <w:rPr>
          <w:noProof/>
        </w:rPr>
        <w:t>-</w:t>
      </w:r>
      <w:r w:rsidRPr="00CA62D8">
        <w:rPr>
          <w:noProof/>
        </w:rPr>
        <w:t>level</w:t>
      </w:r>
      <w:r>
        <w:t xml:space="preserve"> factors influencing apprenticeship rates</w:t>
      </w:r>
    </w:p>
    <w:p w14:paraId="5AE2CDE5" w14:textId="161E77EC" w:rsidR="00F97AF3" w:rsidRDefault="00F97AF3" w:rsidP="00F97AF3">
      <w:pPr>
        <w:pStyle w:val="Text"/>
      </w:pPr>
      <w:r>
        <w:t>This section gives a brief overview of the recent literature on known factors influencing apprenticeship success and attrition, given that these factors appear to affect apprentices in both GTOs and</w:t>
      </w:r>
      <w:r w:rsidR="009360EA">
        <w:t xml:space="preserve"> direct employer</w:t>
      </w:r>
      <w:r>
        <w:t xml:space="preserve">s. </w:t>
      </w:r>
      <w:r w:rsidRPr="00CA62D8">
        <w:rPr>
          <w:noProof/>
        </w:rPr>
        <w:t>A considerable</w:t>
      </w:r>
      <w:r>
        <w:t xml:space="preserve"> amount of literature dating back </w:t>
      </w:r>
      <w:r w:rsidR="00873E4F">
        <w:t>10</w:t>
      </w:r>
      <w:r>
        <w:t xml:space="preserve"> years or more also exists (</w:t>
      </w:r>
      <w:r w:rsidR="00EF7BBC">
        <w:rPr>
          <w:noProof/>
        </w:rPr>
        <w:t>for example,</w:t>
      </w:r>
      <w:r>
        <w:t xml:space="preserve"> Ball 2005; Karmel </w:t>
      </w:r>
      <w:r w:rsidR="009D5D87">
        <w:t>&amp;</w:t>
      </w:r>
      <w:r>
        <w:t xml:space="preserve"> Virk 2006; Snell </w:t>
      </w:r>
      <w:r w:rsidR="009D5D87">
        <w:t>&amp;</w:t>
      </w:r>
      <w:r>
        <w:t xml:space="preserve"> Hart 2008). Commencements have also been </w:t>
      </w:r>
      <w:r w:rsidRPr="00792842">
        <w:rPr>
          <w:noProof/>
        </w:rPr>
        <w:t>attracting</w:t>
      </w:r>
      <w:r>
        <w:t xml:space="preserve"> recent attention from both </w:t>
      </w:r>
      <w:r w:rsidRPr="00185237">
        <w:rPr>
          <w:noProof/>
        </w:rPr>
        <w:t>resea</w:t>
      </w:r>
      <w:r>
        <w:rPr>
          <w:noProof/>
        </w:rPr>
        <w:t>r</w:t>
      </w:r>
      <w:r w:rsidRPr="00185237">
        <w:rPr>
          <w:noProof/>
        </w:rPr>
        <w:t>chers</w:t>
      </w:r>
      <w:r>
        <w:rPr>
          <w:noProof/>
        </w:rPr>
        <w:t xml:space="preserve"> </w:t>
      </w:r>
      <w:r w:rsidRPr="00185237">
        <w:rPr>
          <w:noProof/>
        </w:rPr>
        <w:t>and</w:t>
      </w:r>
      <w:r>
        <w:t xml:space="preserve"> the media</w:t>
      </w:r>
      <w:r w:rsidR="009D5D87">
        <w:t>,</w:t>
      </w:r>
      <w:r>
        <w:t xml:space="preserve"> given the downturn since 2013 in most jurisdictions and have an </w:t>
      </w:r>
      <w:r w:rsidRPr="00CA62D8">
        <w:rPr>
          <w:noProof/>
        </w:rPr>
        <w:t xml:space="preserve">obvious </w:t>
      </w:r>
      <w:r w:rsidRPr="00431C54">
        <w:rPr>
          <w:noProof/>
        </w:rPr>
        <w:t>flow</w:t>
      </w:r>
      <w:r w:rsidR="00431C54">
        <w:rPr>
          <w:noProof/>
        </w:rPr>
        <w:t>-</w:t>
      </w:r>
      <w:r w:rsidRPr="00431C54">
        <w:rPr>
          <w:noProof/>
        </w:rPr>
        <w:t>on</w:t>
      </w:r>
      <w:r>
        <w:t xml:space="preserve"> effect </w:t>
      </w:r>
      <w:r w:rsidR="00431C54">
        <w:rPr>
          <w:noProof/>
        </w:rPr>
        <w:t>on</w:t>
      </w:r>
      <w:r>
        <w:t xml:space="preserve"> absolute numbers of completions, but the focus of this section is on the comparative rate of completions.</w:t>
      </w:r>
    </w:p>
    <w:p w14:paraId="3D9F65D4" w14:textId="46CF3DC8" w:rsidR="00F97AF3" w:rsidRDefault="00F97AF3" w:rsidP="00F97AF3">
      <w:pPr>
        <w:pStyle w:val="Text"/>
      </w:pPr>
      <w:r>
        <w:t>The review found</w:t>
      </w:r>
      <w:r>
        <w:rPr>
          <w:rStyle w:val="TextChar"/>
          <w:rFonts w:eastAsiaTheme="majorEastAsia"/>
        </w:rPr>
        <w:t xml:space="preserve"> considerable overlap and consistency of findings</w:t>
      </w:r>
      <w:r w:rsidR="009D5D87">
        <w:rPr>
          <w:rStyle w:val="TextChar"/>
          <w:rFonts w:eastAsiaTheme="majorEastAsia"/>
        </w:rPr>
        <w:t>,</w:t>
      </w:r>
      <w:r>
        <w:rPr>
          <w:rStyle w:val="TextChar"/>
          <w:rFonts w:eastAsiaTheme="majorEastAsia"/>
        </w:rPr>
        <w:t xml:space="preserve"> although most </w:t>
      </w:r>
      <w:r>
        <w:t>research has not explicitly compared GTOs and</w:t>
      </w:r>
      <w:r w:rsidR="009360EA">
        <w:t xml:space="preserve"> direct employer</w:t>
      </w:r>
      <w:r w:rsidRPr="00CA62D8">
        <w:rPr>
          <w:noProof/>
        </w:rPr>
        <w:t>s</w:t>
      </w:r>
      <w:r>
        <w:t xml:space="preserve"> to investigate whether apprentices in GTOs and</w:t>
      </w:r>
      <w:r w:rsidR="009360EA">
        <w:t xml:space="preserve"> direct employer</w:t>
      </w:r>
      <w:r w:rsidRPr="00431C54">
        <w:rPr>
          <w:noProof/>
        </w:rPr>
        <w:t>s</w:t>
      </w:r>
      <w:r>
        <w:t xml:space="preserve"> are affected differently. </w:t>
      </w:r>
      <w:r w:rsidRPr="00CA62D8">
        <w:rPr>
          <w:noProof/>
        </w:rPr>
        <w:t>For example, Zoellner, Brearley and Oppermann (2017), Zoellner (2017) and Karmel and Roberts (2012) address total apprenticeships (</w:t>
      </w:r>
      <w:r w:rsidR="009D5D87">
        <w:rPr>
          <w:noProof/>
        </w:rPr>
        <w:t>that is,</w:t>
      </w:r>
      <w:r w:rsidRPr="00CA62D8">
        <w:rPr>
          <w:noProof/>
        </w:rPr>
        <w:t xml:space="preserve"> not distinguishing between GTO based apprenticeships and others)</w:t>
      </w:r>
      <w:r w:rsidR="009D5D87">
        <w:rPr>
          <w:noProof/>
        </w:rPr>
        <w:t>;</w:t>
      </w:r>
      <w:r w:rsidRPr="00CA62D8">
        <w:rPr>
          <w:noProof/>
        </w:rPr>
        <w:t xml:space="preserve"> Pearce (2017) examines apprenticeships in GTOs only (focusing on the apprentices themselves rather than the GTO as an employer)</w:t>
      </w:r>
      <w:r w:rsidR="009D5D87">
        <w:rPr>
          <w:noProof/>
        </w:rPr>
        <w:t>;</w:t>
      </w:r>
      <w:r w:rsidRPr="00CA62D8">
        <w:rPr>
          <w:noProof/>
        </w:rPr>
        <w:t xml:space="preserve"> and the Office of the Fair Work Ombudsman (2017) investigates apprenticeships with private employers only.</w:t>
      </w:r>
      <w:r>
        <w:t xml:space="preserve"> </w:t>
      </w:r>
      <w:r>
        <w:rPr>
          <w:noProof/>
        </w:rPr>
        <w:t>Also</w:t>
      </w:r>
      <w:r>
        <w:t>, the Australian National Audit Office (2017) considers alternative arrangements for apprenticeship training via a pilot program.</w:t>
      </w:r>
    </w:p>
    <w:p w14:paraId="2712394E" w14:textId="04EAC568" w:rsidR="00F97AF3" w:rsidRPr="00873E4F" w:rsidRDefault="00F97AF3" w:rsidP="00873E4F">
      <w:pPr>
        <w:pStyle w:val="Heading3"/>
        <w:rPr>
          <w:rStyle w:val="Heading4Char"/>
          <w:i w:val="0"/>
          <w:iCs w:val="0"/>
        </w:rPr>
      </w:pPr>
      <w:r w:rsidRPr="00873E4F">
        <w:rPr>
          <w:rStyle w:val="Heading4Char"/>
          <w:i w:val="0"/>
          <w:iCs w:val="0"/>
        </w:rPr>
        <w:t xml:space="preserve">Factors contributing to </w:t>
      </w:r>
      <w:r w:rsidR="00D84587" w:rsidRPr="00873E4F">
        <w:rPr>
          <w:rStyle w:val="Heading4Char"/>
          <w:i w:val="0"/>
          <w:iCs w:val="0"/>
        </w:rPr>
        <w:t xml:space="preserve">apprenticeship and traineeship </w:t>
      </w:r>
      <w:r w:rsidRPr="00873E4F">
        <w:rPr>
          <w:rStyle w:val="Heading4Char"/>
          <w:i w:val="0"/>
          <w:iCs w:val="0"/>
        </w:rPr>
        <w:t>completions</w:t>
      </w:r>
    </w:p>
    <w:p w14:paraId="012D1D29" w14:textId="253ACB36" w:rsidR="00F97AF3" w:rsidRPr="00365A37" w:rsidRDefault="00F97AF3" w:rsidP="00F97AF3">
      <w:pPr>
        <w:pStyle w:val="Text"/>
      </w:pPr>
      <w:r w:rsidRPr="00365A37">
        <w:t>Pearce</w:t>
      </w:r>
      <w:r w:rsidR="00D2072F">
        <w:t>’</w:t>
      </w:r>
      <w:r w:rsidRPr="00365A37">
        <w:t>s (2017) study of successful apprenticeships within the Australian building and construction industry employed by a GTO in the A</w:t>
      </w:r>
      <w:r w:rsidR="002F24B2">
        <w:t xml:space="preserve">ustralian Capital Territory </w:t>
      </w:r>
      <w:r w:rsidRPr="00365A37">
        <w:t>identifies:</w:t>
      </w:r>
    </w:p>
    <w:p w14:paraId="1CB295D9" w14:textId="6DB3BEB5" w:rsidR="00F97AF3" w:rsidRPr="002F7976" w:rsidRDefault="00873E4F" w:rsidP="00311092">
      <w:pPr>
        <w:pStyle w:val="Dotpoint1"/>
      </w:pPr>
      <w:r>
        <w:t>p</w:t>
      </w:r>
      <w:r w:rsidR="00F97AF3">
        <w:t>ositive</w:t>
      </w:r>
      <w:r w:rsidR="00F97AF3" w:rsidRPr="00365A37">
        <w:t xml:space="preserve"> influence of family and friends</w:t>
      </w:r>
      <w:r>
        <w:t xml:space="preserve"> who </w:t>
      </w:r>
      <w:r w:rsidR="00F97AF3" w:rsidRPr="002F7976">
        <w:t xml:space="preserve">place value on vocational education and training opportunities as </w:t>
      </w:r>
      <w:r w:rsidR="00F97AF3" w:rsidRPr="00FB01B9">
        <w:rPr>
          <w:noProof/>
        </w:rPr>
        <w:t>a worthwhile</w:t>
      </w:r>
      <w:r w:rsidR="00F97AF3" w:rsidRPr="002F7976">
        <w:t xml:space="preserve"> occupational choice</w:t>
      </w:r>
    </w:p>
    <w:p w14:paraId="3F49D820" w14:textId="40DDBBF2" w:rsidR="00F97AF3" w:rsidRPr="002F7976" w:rsidRDefault="00873E4F" w:rsidP="00311092">
      <w:pPr>
        <w:pStyle w:val="Dotpoint1"/>
      </w:pPr>
      <w:r>
        <w:t>p</w:t>
      </w:r>
      <w:r w:rsidR="00F97AF3" w:rsidRPr="00365A37">
        <w:t>ast experiences with work</w:t>
      </w:r>
      <w:r>
        <w:t xml:space="preserve"> i</w:t>
      </w:r>
      <w:r w:rsidR="00F97AF3" w:rsidRPr="002F7976">
        <w:t xml:space="preserve">ncluding prior work experience, either voluntary, part-time, full-time employment and work experience initiatives at secondary school and </w:t>
      </w:r>
      <w:r w:rsidR="00F97AF3" w:rsidRPr="00FB01B9">
        <w:rPr>
          <w:noProof/>
        </w:rPr>
        <w:t>prior</w:t>
      </w:r>
      <w:r w:rsidR="00F97AF3" w:rsidRPr="002F7976">
        <w:t xml:space="preserve"> unemployment evoking realisation of the need for a qualification</w:t>
      </w:r>
    </w:p>
    <w:p w14:paraId="6CC2EC8A" w14:textId="2570A516" w:rsidR="00F97AF3" w:rsidRPr="00873E4F" w:rsidRDefault="00873E4F" w:rsidP="00311092">
      <w:pPr>
        <w:pStyle w:val="Dotpoint1"/>
        <w:rPr>
          <w:rFonts w:ascii="Calibri" w:hAnsi="Calibri" w:cs="Calibri"/>
          <w:sz w:val="22"/>
          <w:szCs w:val="22"/>
        </w:rPr>
      </w:pPr>
      <w:r>
        <w:t>h</w:t>
      </w:r>
      <w:r w:rsidR="00F97AF3" w:rsidRPr="00365A37">
        <w:t>igh expectancy of completion</w:t>
      </w:r>
      <w:r>
        <w:t xml:space="preserve"> b</w:t>
      </w:r>
      <w:r w:rsidR="00F97AF3">
        <w:t xml:space="preserve">ased on </w:t>
      </w:r>
      <w:r w:rsidR="00F97AF3" w:rsidRPr="00431C54">
        <w:rPr>
          <w:noProof/>
        </w:rPr>
        <w:t>personal</w:t>
      </w:r>
      <w:r w:rsidR="00F97AF3">
        <w:t xml:space="preserve"> </w:t>
      </w:r>
      <w:r w:rsidR="00F97AF3" w:rsidRPr="00C42465">
        <w:t xml:space="preserve">belief that </w:t>
      </w:r>
      <w:r w:rsidR="00F97AF3" w:rsidRPr="00FB01B9">
        <w:rPr>
          <w:noProof/>
        </w:rPr>
        <w:t>completion</w:t>
      </w:r>
      <w:r w:rsidR="00F97AF3" w:rsidRPr="00C42465">
        <w:t xml:space="preserve"> of a trade qualification</w:t>
      </w:r>
      <w:r w:rsidR="00F97AF3" w:rsidRPr="00873E4F">
        <w:rPr>
          <w:rFonts w:ascii="Calibri" w:hAnsi="Calibri" w:cs="Calibri"/>
          <w:sz w:val="22"/>
          <w:szCs w:val="22"/>
        </w:rPr>
        <w:t xml:space="preserve"> </w:t>
      </w:r>
      <w:r w:rsidR="00F97AF3" w:rsidRPr="00C42465">
        <w:t>was not</w:t>
      </w:r>
      <w:r w:rsidR="00F97AF3">
        <w:t xml:space="preserve"> only </w:t>
      </w:r>
      <w:r w:rsidR="00F97AF3" w:rsidRPr="00CA62D8">
        <w:rPr>
          <w:noProof/>
        </w:rPr>
        <w:t>valuable</w:t>
      </w:r>
      <w:r w:rsidR="00F97AF3">
        <w:t xml:space="preserve"> but also achiev</w:t>
      </w:r>
      <w:r w:rsidR="00F97AF3" w:rsidRPr="00C42465">
        <w:t>able</w:t>
      </w:r>
    </w:p>
    <w:p w14:paraId="52D0EC45" w14:textId="532245F0" w:rsidR="00F97AF3" w:rsidRDefault="00873E4F" w:rsidP="00311092">
      <w:pPr>
        <w:pStyle w:val="Dotpoint1"/>
      </w:pPr>
      <w:r>
        <w:t>s</w:t>
      </w:r>
      <w:r w:rsidR="00F97AF3" w:rsidRPr="00365A37">
        <w:t xml:space="preserve">ponsorship </w:t>
      </w:r>
      <w:r w:rsidR="00F97AF3">
        <w:t xml:space="preserve">and informal support </w:t>
      </w:r>
      <w:r w:rsidR="00F97AF3" w:rsidRPr="00365A37">
        <w:t xml:space="preserve">of a more experienced </w:t>
      </w:r>
      <w:r w:rsidR="00D2072F">
        <w:t>‘</w:t>
      </w:r>
      <w:r w:rsidR="00F97AF3" w:rsidRPr="00365A37">
        <w:t>other</w:t>
      </w:r>
      <w:r w:rsidR="00D2072F">
        <w:t>’</w:t>
      </w:r>
      <w:r w:rsidR="00F97AF3" w:rsidRPr="00365A37">
        <w:t xml:space="preserve"> who has both a professional and personal interest </w:t>
      </w:r>
      <w:r w:rsidR="00F97AF3">
        <w:t>in the apprentice</w:t>
      </w:r>
      <w:r w:rsidR="00D2072F">
        <w:t>’</w:t>
      </w:r>
      <w:r w:rsidR="00F97AF3">
        <w:t>s development</w:t>
      </w:r>
      <w:r>
        <w:t>. S</w:t>
      </w:r>
      <w:r w:rsidR="00F97AF3">
        <w:t>ponsors manage the apprentices</w:t>
      </w:r>
      <w:r w:rsidR="00D2072F">
        <w:t>’</w:t>
      </w:r>
      <w:r w:rsidR="00F97AF3">
        <w:t xml:space="preserve"> learning environment and </w:t>
      </w:r>
      <w:r w:rsidR="00F97AF3" w:rsidRPr="002F7976">
        <w:t xml:space="preserve">serve as a knowledgeable and </w:t>
      </w:r>
      <w:r w:rsidR="00F97AF3" w:rsidRPr="00CA62D8">
        <w:rPr>
          <w:noProof/>
        </w:rPr>
        <w:t>credible</w:t>
      </w:r>
      <w:r w:rsidR="00F97AF3" w:rsidRPr="002F7976">
        <w:t xml:space="preserve"> resource</w:t>
      </w:r>
      <w:r w:rsidR="00F97AF3">
        <w:t xml:space="preserve">, </w:t>
      </w:r>
      <w:r w:rsidR="00F97AF3" w:rsidRPr="002F7976">
        <w:t>assist</w:t>
      </w:r>
      <w:r w:rsidR="00F97AF3">
        <w:t>ing</w:t>
      </w:r>
      <w:r w:rsidR="00F97AF3" w:rsidRPr="002F7976">
        <w:t xml:space="preserve"> apprentice</w:t>
      </w:r>
      <w:r w:rsidR="00F97AF3">
        <w:t>s</w:t>
      </w:r>
      <w:r w:rsidR="00F97AF3" w:rsidRPr="002F7976">
        <w:t xml:space="preserve"> </w:t>
      </w:r>
      <w:r w:rsidR="00F97AF3">
        <w:t xml:space="preserve">to </w:t>
      </w:r>
      <w:r w:rsidR="00F97AF3" w:rsidRPr="002F7976">
        <w:t>normalis</w:t>
      </w:r>
      <w:r w:rsidR="00F97AF3">
        <w:t>e</w:t>
      </w:r>
      <w:r w:rsidR="00F97AF3" w:rsidRPr="002F7976">
        <w:t xml:space="preserve"> expectations throughout their apprenticeship</w:t>
      </w:r>
    </w:p>
    <w:p w14:paraId="64E1E3E3" w14:textId="77777777" w:rsidR="00E774A7" w:rsidRPr="002F7976" w:rsidRDefault="00E774A7" w:rsidP="00E774A7">
      <w:pPr>
        <w:pStyle w:val="Dotpoint1"/>
        <w:numPr>
          <w:ilvl w:val="0"/>
          <w:numId w:val="0"/>
        </w:numPr>
        <w:ind w:left="284"/>
      </w:pPr>
    </w:p>
    <w:p w14:paraId="3E76D5A2" w14:textId="05E41689" w:rsidR="00F97AF3" w:rsidRPr="00070641" w:rsidRDefault="00873E4F" w:rsidP="00311092">
      <w:pPr>
        <w:pStyle w:val="Dotpoint1"/>
      </w:pPr>
      <w:r>
        <w:lastRenderedPageBreak/>
        <w:t>d</w:t>
      </w:r>
      <w:r w:rsidR="00F97AF3">
        <w:t xml:space="preserve">evelopment of </w:t>
      </w:r>
      <w:r w:rsidR="00F97AF3" w:rsidRPr="00E957AE">
        <w:rPr>
          <w:noProof/>
        </w:rPr>
        <w:t>self</w:t>
      </w:r>
      <w:r w:rsidR="00F97AF3">
        <w:rPr>
          <w:noProof/>
        </w:rPr>
        <w:t>-</w:t>
      </w:r>
      <w:r w:rsidR="00F97AF3" w:rsidRPr="00E957AE">
        <w:rPr>
          <w:noProof/>
        </w:rPr>
        <w:t>directed</w:t>
      </w:r>
      <w:r w:rsidR="00F97AF3" w:rsidRPr="007C4912">
        <w:t xml:space="preserve"> learning</w:t>
      </w:r>
      <w:r>
        <w:t xml:space="preserve"> e</w:t>
      </w:r>
      <w:r w:rsidR="00F97AF3" w:rsidRPr="007C4912">
        <w:t xml:space="preserve">nables apprentices to meet the minimum occupational standards (competence), but also develop </w:t>
      </w:r>
      <w:r w:rsidR="00F97AF3" w:rsidRPr="00431C54">
        <w:rPr>
          <w:noProof/>
        </w:rPr>
        <w:t>high</w:t>
      </w:r>
      <w:r w:rsidR="00431C54">
        <w:rPr>
          <w:noProof/>
        </w:rPr>
        <w:t xml:space="preserve"> </w:t>
      </w:r>
      <w:r w:rsidR="00F97AF3" w:rsidRPr="00431C54">
        <w:rPr>
          <w:noProof/>
        </w:rPr>
        <w:t>levels</w:t>
      </w:r>
      <w:r w:rsidR="00F97AF3" w:rsidRPr="007C4912">
        <w:t xml:space="preserve"> of discretion in their learning, greater autonomy and responsibility, and enhanced capacity for reflection (</w:t>
      </w:r>
      <w:r w:rsidR="00F97AF3">
        <w:t>especially critical reflection) throughout their careers</w:t>
      </w:r>
      <w:r w:rsidR="00F97AF3" w:rsidRPr="007C4912">
        <w:t xml:space="preserve"> </w:t>
      </w:r>
    </w:p>
    <w:p w14:paraId="28DBB88A" w14:textId="495043A8" w:rsidR="00F97AF3" w:rsidRDefault="00873E4F" w:rsidP="00311092">
      <w:pPr>
        <w:pStyle w:val="Dotpoint1"/>
      </w:pPr>
      <w:r>
        <w:t>n</w:t>
      </w:r>
      <w:r w:rsidR="00F97AF3" w:rsidRPr="00FD4B56">
        <w:t xml:space="preserve">on-technical attributes such as punctuality, effective communication, and the willingness to accept direction and </w:t>
      </w:r>
      <w:r w:rsidR="00F97AF3">
        <w:t xml:space="preserve">to </w:t>
      </w:r>
      <w:r w:rsidR="00F97AF3" w:rsidRPr="00FD4B56">
        <w:t>learn</w:t>
      </w:r>
      <w:r>
        <w:t xml:space="preserve"> is p</w:t>
      </w:r>
      <w:r w:rsidR="00F97AF3" w:rsidRPr="00FD4B56">
        <w:t>rioritised by employers over pre-existing technical or trade skills and knowledge</w:t>
      </w:r>
      <w:r w:rsidR="009D5D87">
        <w:t>.</w:t>
      </w:r>
      <w:r w:rsidR="00F97AF3" w:rsidRPr="00FD4B56">
        <w:t xml:space="preserve"> </w:t>
      </w:r>
    </w:p>
    <w:p w14:paraId="10434DFE" w14:textId="0728BDB3" w:rsidR="00F97AF3" w:rsidRDefault="00F97AF3" w:rsidP="00F97AF3">
      <w:pPr>
        <w:pStyle w:val="Text"/>
        <w:spacing w:before="120"/>
        <w:ind w:right="0"/>
      </w:pPr>
      <w:r>
        <w:t xml:space="preserve">Nelms </w:t>
      </w:r>
      <w:r w:rsidRPr="00E957AE">
        <w:rPr>
          <w:noProof/>
        </w:rPr>
        <w:t>et al</w:t>
      </w:r>
      <w:r>
        <w:rPr>
          <w:noProof/>
        </w:rPr>
        <w:t>.</w:t>
      </w:r>
      <w:r w:rsidR="00D2072F">
        <w:rPr>
          <w:noProof/>
        </w:rPr>
        <w:t>’</w:t>
      </w:r>
      <w:r w:rsidRPr="00E957AE">
        <w:rPr>
          <w:noProof/>
        </w:rPr>
        <w:t>s</w:t>
      </w:r>
      <w:r>
        <w:t xml:space="preserve"> (2017) review identified the supply</w:t>
      </w:r>
      <w:r w:rsidR="009D5D87">
        <w:t>-</w:t>
      </w:r>
      <w:r>
        <w:t>side factors (characteristics of apprentices)</w:t>
      </w:r>
      <w:r w:rsidR="009D5D87">
        <w:t>,</w:t>
      </w:r>
      <w:r>
        <w:t xml:space="preserve"> while Karmel (2017) identified the demand side.</w:t>
      </w:r>
    </w:p>
    <w:p w14:paraId="0113C42C" w14:textId="77777777" w:rsidR="00F97AF3" w:rsidRDefault="00F97AF3" w:rsidP="00F97AF3">
      <w:pPr>
        <w:pStyle w:val="Text"/>
        <w:spacing w:before="120"/>
        <w:ind w:right="0"/>
      </w:pPr>
      <w:r>
        <w:t>Apprentice characteristics associated with completion include:</w:t>
      </w:r>
    </w:p>
    <w:p w14:paraId="792872CC" w14:textId="3FC0238F" w:rsidR="00F97AF3" w:rsidRPr="00431C54" w:rsidRDefault="00873E4F" w:rsidP="00311092">
      <w:pPr>
        <w:pStyle w:val="Dotpoint1"/>
      </w:pPr>
      <w:r>
        <w:t>o</w:t>
      </w:r>
      <w:r w:rsidR="00F97AF3" w:rsidRPr="00431C54">
        <w:t>lder age</w:t>
      </w:r>
      <w:r>
        <w:t xml:space="preserve"> </w:t>
      </w:r>
      <w:r w:rsidR="00F97AF3" w:rsidRPr="00431C54">
        <w:t xml:space="preserve">apprentices aged </w:t>
      </w:r>
      <w:r w:rsidR="00F97AF3" w:rsidRPr="00431C54">
        <w:rPr>
          <w:noProof/>
        </w:rPr>
        <w:t>mid-30s</w:t>
      </w:r>
      <w:r w:rsidR="00F97AF3" w:rsidRPr="00431C54">
        <w:t xml:space="preserve"> and older are more likely to complete their training contract </w:t>
      </w:r>
    </w:p>
    <w:p w14:paraId="7C509D22" w14:textId="7EE4D33F" w:rsidR="00F97AF3" w:rsidRDefault="00873E4F" w:rsidP="00311092">
      <w:pPr>
        <w:pStyle w:val="Dotpoint1"/>
      </w:pPr>
      <w:r>
        <w:t>g</w:t>
      </w:r>
      <w:r w:rsidR="00F97AF3" w:rsidRPr="00431C54">
        <w:t>ender</w:t>
      </w:r>
      <w:r>
        <w:t xml:space="preserve">: </w:t>
      </w:r>
      <w:r w:rsidR="00F97AF3" w:rsidRPr="00431C54">
        <w:t>male apprentices more likely to complete than female</w:t>
      </w:r>
      <w:r>
        <w:t xml:space="preserve"> apprentices</w:t>
      </w:r>
      <w:r w:rsidR="00F97AF3" w:rsidRPr="00431C54">
        <w:t xml:space="preserve">, but female trainees </w:t>
      </w:r>
      <w:r>
        <w:t xml:space="preserve">are </w:t>
      </w:r>
      <w:r w:rsidR="00F97AF3" w:rsidRPr="00431C54">
        <w:t xml:space="preserve">more likely to complete than male trainees </w:t>
      </w:r>
    </w:p>
    <w:p w14:paraId="21886E1F" w14:textId="00EFC805" w:rsidR="00F97AF3" w:rsidRPr="00E56C39" w:rsidRDefault="00873E4F" w:rsidP="00311092">
      <w:pPr>
        <w:pStyle w:val="Dotpoint1"/>
        <w:rPr>
          <w:rFonts w:asciiTheme="minorHAnsi" w:hAnsiTheme="minorHAnsi" w:cs="Arial"/>
          <w:szCs w:val="19"/>
        </w:rPr>
      </w:pPr>
      <w:r>
        <w:t xml:space="preserve">disadvantage: </w:t>
      </w:r>
      <w:r w:rsidR="009D5D87">
        <w:t>b</w:t>
      </w:r>
      <w:r w:rsidR="00F97AF3" w:rsidRPr="00431C54">
        <w:t>eing Australian</w:t>
      </w:r>
      <w:r w:rsidR="008C3D13">
        <w:t>-</w:t>
      </w:r>
      <w:r w:rsidR="00F97AF3" w:rsidRPr="00431C54">
        <w:t xml:space="preserve">born, of English-speaking background </w:t>
      </w:r>
      <w:r w:rsidR="00F97AF3" w:rsidRPr="00E56C39">
        <w:rPr>
          <w:szCs w:val="19"/>
        </w:rPr>
        <w:t xml:space="preserve">and not </w:t>
      </w:r>
      <w:r w:rsidR="009D5D87" w:rsidRPr="00E56C39">
        <w:rPr>
          <w:szCs w:val="19"/>
        </w:rPr>
        <w:t>I</w:t>
      </w:r>
      <w:r w:rsidR="00F97AF3" w:rsidRPr="00E56C39">
        <w:rPr>
          <w:szCs w:val="19"/>
        </w:rPr>
        <w:t>ndigenous</w:t>
      </w:r>
      <w:r w:rsidRPr="00E56C39">
        <w:rPr>
          <w:szCs w:val="19"/>
        </w:rPr>
        <w:t>; h</w:t>
      </w:r>
      <w:r w:rsidR="00F97AF3" w:rsidRPr="00E56C39">
        <w:rPr>
          <w:szCs w:val="19"/>
        </w:rPr>
        <w:t xml:space="preserve">igher commencement rates of apprenticeships and traineeships among young </w:t>
      </w:r>
      <w:r w:rsidR="00F97AF3" w:rsidRPr="00E56C39">
        <w:rPr>
          <w:rFonts w:asciiTheme="minorHAnsi" w:hAnsiTheme="minorHAnsi"/>
          <w:szCs w:val="19"/>
        </w:rPr>
        <w:t>Indigenous</w:t>
      </w:r>
      <w:r w:rsidR="00F97AF3" w:rsidRPr="00E56C39">
        <w:rPr>
          <w:rFonts w:asciiTheme="minorHAnsi" w:hAnsiTheme="minorHAnsi" w:cs="Arial"/>
          <w:szCs w:val="19"/>
        </w:rPr>
        <w:t xml:space="preserve"> persons in 2014 compared with non-Indigenous persons but also higher attrition rates</w:t>
      </w:r>
      <w:r w:rsidRPr="00E56C39">
        <w:rPr>
          <w:rFonts w:asciiTheme="minorHAnsi" w:hAnsiTheme="minorHAnsi" w:cs="Arial"/>
          <w:szCs w:val="19"/>
        </w:rPr>
        <w:t xml:space="preserve">; </w:t>
      </w:r>
      <w:r w:rsidR="009D5D87" w:rsidRPr="00E56C39">
        <w:rPr>
          <w:rFonts w:asciiTheme="minorHAnsi" w:hAnsiTheme="minorHAnsi"/>
          <w:szCs w:val="19"/>
        </w:rPr>
        <w:t>n</w:t>
      </w:r>
      <w:r w:rsidR="00F97AF3" w:rsidRPr="00E56C39">
        <w:rPr>
          <w:rFonts w:asciiTheme="minorHAnsi" w:hAnsiTheme="minorHAnsi"/>
          <w:szCs w:val="19"/>
        </w:rPr>
        <w:t>o disability</w:t>
      </w:r>
      <w:r w:rsidR="00431C54" w:rsidRPr="00E56C39">
        <w:rPr>
          <w:rFonts w:asciiTheme="minorHAnsi" w:hAnsiTheme="minorHAnsi"/>
          <w:szCs w:val="19"/>
        </w:rPr>
        <w:t xml:space="preserve"> (</w:t>
      </w:r>
      <w:r w:rsidR="00431C54" w:rsidRPr="00E56C39">
        <w:rPr>
          <w:rFonts w:asciiTheme="minorHAnsi" w:hAnsiTheme="minorHAnsi"/>
          <w:noProof/>
          <w:szCs w:val="19"/>
        </w:rPr>
        <w:t>b</w:t>
      </w:r>
      <w:r w:rsidR="00F97AF3" w:rsidRPr="00E56C39">
        <w:rPr>
          <w:rFonts w:asciiTheme="minorHAnsi" w:hAnsiTheme="minorHAnsi"/>
          <w:noProof/>
          <w:szCs w:val="19"/>
        </w:rPr>
        <w:t>ut</w:t>
      </w:r>
      <w:r w:rsidR="00F97AF3" w:rsidRPr="00E56C39">
        <w:rPr>
          <w:rFonts w:asciiTheme="minorHAnsi" w:hAnsiTheme="minorHAnsi"/>
          <w:szCs w:val="19"/>
        </w:rPr>
        <w:t xml:space="preserve"> </w:t>
      </w:r>
      <w:r w:rsidR="00F97AF3" w:rsidRPr="00E56C39">
        <w:rPr>
          <w:rFonts w:asciiTheme="minorHAnsi" w:hAnsiTheme="minorHAnsi" w:cs="Arial"/>
          <w:szCs w:val="19"/>
        </w:rPr>
        <w:t>low observations for apprentices with disabilities mean</w:t>
      </w:r>
      <w:r w:rsidR="00E56C39">
        <w:rPr>
          <w:rFonts w:asciiTheme="minorHAnsi" w:hAnsiTheme="minorHAnsi" w:cs="Arial"/>
          <w:szCs w:val="19"/>
        </w:rPr>
        <w:t>s a</w:t>
      </w:r>
      <w:r w:rsidR="00582AC2" w:rsidRPr="00E56C39">
        <w:rPr>
          <w:rFonts w:asciiTheme="minorHAnsi" w:hAnsiTheme="minorHAnsi" w:cs="Arial"/>
          <w:szCs w:val="19"/>
        </w:rPr>
        <w:t xml:space="preserve"> </w:t>
      </w:r>
      <w:r w:rsidR="00F97AF3" w:rsidRPr="00E56C39">
        <w:rPr>
          <w:rFonts w:asciiTheme="minorHAnsi" w:hAnsiTheme="minorHAnsi" w:cs="Arial"/>
          <w:szCs w:val="19"/>
        </w:rPr>
        <w:t>large statistical error</w:t>
      </w:r>
      <w:r w:rsidR="00431C54" w:rsidRPr="00E56C39">
        <w:rPr>
          <w:rFonts w:asciiTheme="minorHAnsi" w:hAnsiTheme="minorHAnsi" w:cs="Arial"/>
          <w:szCs w:val="19"/>
        </w:rPr>
        <w:t>)</w:t>
      </w:r>
      <w:r w:rsidR="00582AC2" w:rsidRPr="00E56C39">
        <w:rPr>
          <w:rFonts w:asciiTheme="minorHAnsi" w:hAnsiTheme="minorHAnsi" w:cs="Arial"/>
          <w:szCs w:val="19"/>
        </w:rPr>
        <w:t xml:space="preserve"> </w:t>
      </w:r>
    </w:p>
    <w:p w14:paraId="27442782" w14:textId="22840F9D" w:rsidR="00F97AF3" w:rsidRDefault="00E56C39" w:rsidP="00311092">
      <w:pPr>
        <w:pStyle w:val="Dotpoint1"/>
      </w:pPr>
      <w:r>
        <w:t>r</w:t>
      </w:r>
      <w:r w:rsidR="00F97AF3">
        <w:t>ural location</w:t>
      </w:r>
      <w:r>
        <w:t xml:space="preserve">: </w:t>
      </w:r>
      <w:r w:rsidR="009D5D87">
        <w:t>a</w:t>
      </w:r>
      <w:r w:rsidR="00F97AF3" w:rsidRPr="0066293E">
        <w:t xml:space="preserve">pprentices and trainees in rural areas </w:t>
      </w:r>
      <w:r>
        <w:t xml:space="preserve">are </w:t>
      </w:r>
      <w:r w:rsidR="00F97AF3" w:rsidRPr="0066293E">
        <w:t>more likely to complete their contract than those in capital cities or remote locations</w:t>
      </w:r>
    </w:p>
    <w:p w14:paraId="7F698CFA" w14:textId="0BA8B8D4" w:rsidR="00F97AF3" w:rsidRDefault="00E56C39" w:rsidP="00311092">
      <w:pPr>
        <w:pStyle w:val="Dotpoint1"/>
      </w:pPr>
      <w:r>
        <w:t>p</w:t>
      </w:r>
      <w:r w:rsidR="00F97AF3">
        <w:t>re-apprenticeship course completion</w:t>
      </w:r>
      <w:r>
        <w:t xml:space="preserve"> is</w:t>
      </w:r>
      <w:r w:rsidR="00F97AF3">
        <w:t xml:space="preserve"> not consistent across all occupations</w:t>
      </w:r>
    </w:p>
    <w:p w14:paraId="61BE3C27" w14:textId="771B6238" w:rsidR="00F97AF3" w:rsidRDefault="00E56C39" w:rsidP="00311092">
      <w:pPr>
        <w:pStyle w:val="Dotpoint1"/>
      </w:pPr>
      <w:r>
        <w:t>e</w:t>
      </w:r>
      <w:r w:rsidR="00F97AF3">
        <w:t>xposure to trades work</w:t>
      </w:r>
      <w:r>
        <w:t xml:space="preserve"> gives </w:t>
      </w:r>
      <w:r w:rsidR="00F97AF3" w:rsidRPr="00572005">
        <w:t>a high degree of familiarity with trades and tradespeople gave apprentices interest in the work</w:t>
      </w:r>
    </w:p>
    <w:p w14:paraId="2E7F26C9" w14:textId="627A73B2" w:rsidR="00F97AF3" w:rsidRPr="009D5D87" w:rsidRDefault="00E56C39" w:rsidP="00311092">
      <w:pPr>
        <w:pStyle w:val="Dotpoint1"/>
      </w:pPr>
      <w:r>
        <w:t>i</w:t>
      </w:r>
      <w:r w:rsidR="00F97AF3">
        <w:t>ntrinsic motivation</w:t>
      </w:r>
      <w:r>
        <w:t xml:space="preserve"> as an </w:t>
      </w:r>
      <w:r w:rsidR="009D5D87">
        <w:t>i</w:t>
      </w:r>
      <w:r w:rsidR="00F97AF3" w:rsidRPr="009D5D87">
        <w:t>nherent drive and personal interest in the work and control over work</w:t>
      </w:r>
      <w:r>
        <w:t>.</w:t>
      </w:r>
    </w:p>
    <w:p w14:paraId="5EFFAF68" w14:textId="4F7AC45C" w:rsidR="00F97AF3" w:rsidRDefault="00F97AF3" w:rsidP="00C52605">
      <w:pPr>
        <w:pStyle w:val="Heading3"/>
      </w:pPr>
      <w:r>
        <w:t xml:space="preserve">Factors that affect </w:t>
      </w:r>
      <w:r w:rsidR="00D84587" w:rsidRPr="00AE1483">
        <w:rPr>
          <w:iCs/>
        </w:rPr>
        <w:t>apprenticeship and traineeship</w:t>
      </w:r>
      <w:r w:rsidR="00D84587">
        <w:rPr>
          <w:rStyle w:val="Heading4Char"/>
          <w:i w:val="0"/>
          <w:sz w:val="28"/>
        </w:rPr>
        <w:t xml:space="preserve"> </w:t>
      </w:r>
      <w:r>
        <w:t>completions</w:t>
      </w:r>
    </w:p>
    <w:p w14:paraId="11F90013" w14:textId="33885462" w:rsidR="00F97AF3" w:rsidRDefault="00F97AF3" w:rsidP="00F97AF3">
      <w:pPr>
        <w:pStyle w:val="Text"/>
      </w:pPr>
      <w:r>
        <w:t xml:space="preserve">Some of the factors identified by different researchers are linked. </w:t>
      </w:r>
      <w:r w:rsidRPr="00CA62D8">
        <w:rPr>
          <w:noProof/>
        </w:rPr>
        <w:t xml:space="preserve">For example, the factor </w:t>
      </w:r>
      <w:r w:rsidR="00D2072F">
        <w:rPr>
          <w:noProof/>
        </w:rPr>
        <w:t>‘</w:t>
      </w:r>
      <w:r w:rsidRPr="00CA62D8">
        <w:rPr>
          <w:noProof/>
        </w:rPr>
        <w:t>found the study too difficult</w:t>
      </w:r>
      <w:r w:rsidR="00D2072F">
        <w:rPr>
          <w:noProof/>
        </w:rPr>
        <w:t>’</w:t>
      </w:r>
      <w:r w:rsidRPr="00CA62D8">
        <w:rPr>
          <w:noProof/>
        </w:rPr>
        <w:t xml:space="preserve"> (Bednarz 2014) may be interchangeable with or linked to </w:t>
      </w:r>
      <w:r w:rsidR="00D2072F">
        <w:rPr>
          <w:noProof/>
        </w:rPr>
        <w:t>‘</w:t>
      </w:r>
      <w:r w:rsidRPr="00CA62D8">
        <w:rPr>
          <w:noProof/>
        </w:rPr>
        <w:t>low educational attainment</w:t>
      </w:r>
      <w:r w:rsidR="00D2072F">
        <w:rPr>
          <w:noProof/>
        </w:rPr>
        <w:t>’</w:t>
      </w:r>
      <w:r w:rsidRPr="00CA62D8">
        <w:rPr>
          <w:noProof/>
        </w:rPr>
        <w:t xml:space="preserve"> (Nelm</w:t>
      </w:r>
      <w:r w:rsidR="009D5D87">
        <w:rPr>
          <w:noProof/>
        </w:rPr>
        <w:t>s</w:t>
      </w:r>
      <w:r w:rsidRPr="00CA62D8">
        <w:rPr>
          <w:noProof/>
        </w:rPr>
        <w:t xml:space="preserve"> et al</w:t>
      </w:r>
      <w:r w:rsidR="009D5D87">
        <w:rPr>
          <w:noProof/>
        </w:rPr>
        <w:t>.</w:t>
      </w:r>
      <w:r w:rsidRPr="00CA62D8">
        <w:rPr>
          <w:noProof/>
        </w:rPr>
        <w:t xml:space="preserve"> 2017); a </w:t>
      </w:r>
      <w:r w:rsidR="00D2072F">
        <w:rPr>
          <w:noProof/>
        </w:rPr>
        <w:t>‘</w:t>
      </w:r>
      <w:r w:rsidRPr="00CA62D8">
        <w:rPr>
          <w:noProof/>
        </w:rPr>
        <w:t>high expectancy of completion</w:t>
      </w:r>
      <w:r w:rsidR="00D2072F">
        <w:rPr>
          <w:noProof/>
        </w:rPr>
        <w:t>’</w:t>
      </w:r>
      <w:r w:rsidRPr="00CA62D8">
        <w:rPr>
          <w:noProof/>
        </w:rPr>
        <w:t xml:space="preserve"> (Pearce 2017) may be analogous to </w:t>
      </w:r>
      <w:r w:rsidR="00D2072F">
        <w:rPr>
          <w:noProof/>
        </w:rPr>
        <w:t>‘</w:t>
      </w:r>
      <w:r w:rsidRPr="00CA62D8">
        <w:rPr>
          <w:noProof/>
        </w:rPr>
        <w:t>intrinsic motivation</w:t>
      </w:r>
      <w:r w:rsidR="00D2072F">
        <w:rPr>
          <w:noProof/>
        </w:rPr>
        <w:t>’</w:t>
      </w:r>
      <w:r w:rsidRPr="00CA62D8">
        <w:rPr>
          <w:noProof/>
        </w:rPr>
        <w:t xml:space="preserve"> (Nelm</w:t>
      </w:r>
      <w:r w:rsidR="009D5D87">
        <w:rPr>
          <w:noProof/>
        </w:rPr>
        <w:t>s</w:t>
      </w:r>
      <w:r w:rsidRPr="00CA62D8">
        <w:rPr>
          <w:noProof/>
        </w:rPr>
        <w:t xml:space="preserve"> et at</w:t>
      </w:r>
      <w:r w:rsidR="009D5D87">
        <w:rPr>
          <w:noProof/>
        </w:rPr>
        <w:t>.</w:t>
      </w:r>
      <w:r w:rsidRPr="00CA62D8">
        <w:rPr>
          <w:noProof/>
        </w:rPr>
        <w:t xml:space="preserve"> 2017).</w:t>
      </w:r>
      <w:r>
        <w:t xml:space="preserve"> Some factors are opposite sides of the same coin </w:t>
      </w:r>
      <w:r w:rsidR="009D5D87">
        <w:t>—</w:t>
      </w:r>
      <w:r>
        <w:t xml:space="preserve"> younger apprentices were less likely to complete than older apprentices (Pearce 2017; Nelm</w:t>
      </w:r>
      <w:r w:rsidR="009D5D87">
        <w:t>s et al.</w:t>
      </w:r>
      <w:r>
        <w:t xml:space="preserve"> 2017), while </w:t>
      </w:r>
      <w:r w:rsidRPr="00FB01B9">
        <w:rPr>
          <w:noProof/>
        </w:rPr>
        <w:t>older</w:t>
      </w:r>
      <w:r>
        <w:t xml:space="preserve"> apprentices were more likely to </w:t>
      </w:r>
      <w:r w:rsidRPr="00FB01B9">
        <w:rPr>
          <w:noProof/>
        </w:rPr>
        <w:t>complete</w:t>
      </w:r>
      <w:r>
        <w:t xml:space="preserve"> (</w:t>
      </w:r>
      <w:r w:rsidRPr="00F92E48">
        <w:t>NCVER 2017</w:t>
      </w:r>
      <w:r w:rsidR="00F92E48" w:rsidRPr="00F92E48">
        <w:t>a</w:t>
      </w:r>
      <w:r>
        <w:t>).</w:t>
      </w:r>
    </w:p>
    <w:p w14:paraId="338DEE6F" w14:textId="4B75C638" w:rsidR="00F97AF3" w:rsidRDefault="00F97AF3" w:rsidP="003F3641">
      <w:pPr>
        <w:pStyle w:val="Text"/>
      </w:pPr>
      <w:r>
        <w:t>Bednarz (2014) used findings from surveys undertaken by NCVER and other national surveys, industry studies and research papers to compile a list of 16 possible reasons for not completing an apprenticeship, as reported by apprentices (</w:t>
      </w:r>
      <w:r w:rsidR="009D5D87">
        <w:t>t</w:t>
      </w:r>
      <w:r>
        <w:t xml:space="preserve">able 1). These reasons can be summed up as </w:t>
      </w:r>
      <w:r w:rsidR="00D2072F">
        <w:t>‘</w:t>
      </w:r>
      <w:r>
        <w:t>related to the employment experience</w:t>
      </w:r>
      <w:r w:rsidR="00D2072F">
        <w:t>’</w:t>
      </w:r>
      <w:r>
        <w:t xml:space="preserve">, </w:t>
      </w:r>
      <w:r w:rsidR="00D2072F">
        <w:t>‘</w:t>
      </w:r>
      <w:r>
        <w:t>personal reasons</w:t>
      </w:r>
      <w:r w:rsidR="00D2072F">
        <w:t>’</w:t>
      </w:r>
      <w:r>
        <w:t xml:space="preserve">, and </w:t>
      </w:r>
      <w:r w:rsidR="00D2072F">
        <w:t>‘</w:t>
      </w:r>
      <w:r>
        <w:t>other</w:t>
      </w:r>
      <w:r w:rsidR="00D2072F">
        <w:t>’</w:t>
      </w:r>
      <w:r>
        <w:t>.</w:t>
      </w:r>
    </w:p>
    <w:p w14:paraId="76890BBB" w14:textId="77777777" w:rsidR="00E774A7" w:rsidRDefault="00E774A7">
      <w:pPr>
        <w:spacing w:line="324" w:lineRule="auto"/>
        <w:rPr>
          <w:rFonts w:ascii="Arial" w:hAnsi="Arial"/>
          <w:b/>
          <w:sz w:val="17"/>
        </w:rPr>
      </w:pPr>
      <w:bookmarkStart w:id="42" w:name="_Toc15287954"/>
      <w:r>
        <w:br w:type="page"/>
      </w:r>
    </w:p>
    <w:p w14:paraId="6700D9CF" w14:textId="6AAC7ECA" w:rsidR="00F97AF3" w:rsidRDefault="00F97AF3" w:rsidP="001B40DA">
      <w:pPr>
        <w:pStyle w:val="tabletitle"/>
      </w:pPr>
      <w:r>
        <w:lastRenderedPageBreak/>
        <w:t xml:space="preserve">Table 1 </w:t>
      </w:r>
      <w:r w:rsidRPr="00431C54">
        <w:rPr>
          <w:noProof/>
        </w:rPr>
        <w:t>Main</w:t>
      </w:r>
      <w:r w:rsidRPr="00865B97">
        <w:t xml:space="preserve"> </w:t>
      </w:r>
      <w:r w:rsidRPr="006A4575">
        <w:t>reason</w:t>
      </w:r>
      <w:r w:rsidRPr="00865B97">
        <w:t xml:space="preserve"> for no</w:t>
      </w:r>
      <w:r>
        <w:t xml:space="preserve">t completing an apprenticeship, </w:t>
      </w:r>
      <w:r w:rsidRPr="00865B97">
        <w:t>2008 and 2010</w:t>
      </w:r>
      <w:r>
        <w:t>, trade occupations</w:t>
      </w:r>
      <w:r>
        <w:rPr>
          <w:vertAlign w:val="superscript"/>
        </w:rPr>
        <w:t>1</w:t>
      </w:r>
      <w:bookmarkEnd w:id="42"/>
    </w:p>
    <w:tbl>
      <w:tblPr>
        <w:tblW w:w="8647" w:type="dxa"/>
        <w:tblBorders>
          <w:top w:val="single" w:sz="4" w:space="0" w:color="auto"/>
          <w:bottom w:val="single" w:sz="4" w:space="0" w:color="auto"/>
        </w:tblBorders>
        <w:tblLayout w:type="fixed"/>
        <w:tblLook w:val="0000" w:firstRow="0" w:lastRow="0" w:firstColumn="0" w:lastColumn="0" w:noHBand="0" w:noVBand="0"/>
      </w:tblPr>
      <w:tblGrid>
        <w:gridCol w:w="4361"/>
        <w:gridCol w:w="1559"/>
        <w:gridCol w:w="1913"/>
        <w:gridCol w:w="814"/>
      </w:tblGrid>
      <w:tr w:rsidR="00F97AF3" w:rsidRPr="0046423A" w14:paraId="43CC0D72" w14:textId="77777777" w:rsidTr="0065448A">
        <w:trPr>
          <w:cantSplit/>
          <w:trHeight w:val="258"/>
        </w:trPr>
        <w:tc>
          <w:tcPr>
            <w:tcW w:w="4361" w:type="dxa"/>
            <w:vMerge w:val="restart"/>
            <w:tcBorders>
              <w:top w:val="single" w:sz="4" w:space="0" w:color="auto"/>
              <w:right w:val="nil"/>
            </w:tcBorders>
          </w:tcPr>
          <w:p w14:paraId="26B0D0F6" w14:textId="77777777" w:rsidR="00F97AF3" w:rsidRPr="0046423A" w:rsidRDefault="00F97AF3" w:rsidP="00DC4BE9">
            <w:pPr>
              <w:spacing w:before="80" w:after="80" w:line="240" w:lineRule="auto"/>
              <w:rPr>
                <w:rFonts w:ascii="Arial" w:hAnsi="Arial"/>
                <w:b/>
                <w:sz w:val="17"/>
              </w:rPr>
            </w:pPr>
            <w:r w:rsidRPr="0046423A">
              <w:rPr>
                <w:rFonts w:ascii="Arial" w:hAnsi="Arial"/>
                <w:b/>
                <w:sz w:val="17"/>
              </w:rPr>
              <w:t>Main reason</w:t>
            </w:r>
          </w:p>
        </w:tc>
        <w:tc>
          <w:tcPr>
            <w:tcW w:w="1559" w:type="dxa"/>
            <w:tcBorders>
              <w:top w:val="single" w:sz="4" w:space="0" w:color="auto"/>
              <w:left w:val="nil"/>
              <w:bottom w:val="nil"/>
              <w:right w:val="nil"/>
            </w:tcBorders>
          </w:tcPr>
          <w:p w14:paraId="684D4362" w14:textId="77777777" w:rsidR="00F97AF3" w:rsidRPr="0046423A" w:rsidRDefault="00F97AF3" w:rsidP="00DC4BE9">
            <w:pPr>
              <w:spacing w:before="80" w:after="80" w:line="240" w:lineRule="auto"/>
              <w:jc w:val="center"/>
              <w:rPr>
                <w:rFonts w:ascii="Arial" w:hAnsi="Arial"/>
                <w:b/>
                <w:sz w:val="17"/>
              </w:rPr>
            </w:pPr>
            <w:r w:rsidRPr="0046423A">
              <w:rPr>
                <w:rFonts w:ascii="Arial" w:hAnsi="Arial"/>
                <w:b/>
                <w:sz w:val="17"/>
              </w:rPr>
              <w:t>2008</w:t>
            </w:r>
          </w:p>
        </w:tc>
        <w:tc>
          <w:tcPr>
            <w:tcW w:w="1913" w:type="dxa"/>
            <w:tcBorders>
              <w:top w:val="single" w:sz="4" w:space="0" w:color="auto"/>
              <w:left w:val="nil"/>
              <w:right w:val="nil"/>
            </w:tcBorders>
          </w:tcPr>
          <w:p w14:paraId="771EF485" w14:textId="77777777" w:rsidR="00F97AF3" w:rsidRPr="0046423A" w:rsidRDefault="00F97AF3" w:rsidP="00DC4BE9">
            <w:pPr>
              <w:spacing w:before="80" w:after="80" w:line="240" w:lineRule="auto"/>
              <w:jc w:val="center"/>
              <w:rPr>
                <w:rFonts w:ascii="Arial" w:hAnsi="Arial"/>
                <w:b/>
                <w:sz w:val="17"/>
              </w:rPr>
            </w:pPr>
            <w:r w:rsidRPr="0046423A">
              <w:rPr>
                <w:rFonts w:ascii="Arial" w:hAnsi="Arial"/>
                <w:b/>
                <w:sz w:val="17"/>
              </w:rPr>
              <w:t>2010</w:t>
            </w:r>
          </w:p>
        </w:tc>
        <w:tc>
          <w:tcPr>
            <w:tcW w:w="814" w:type="dxa"/>
            <w:tcBorders>
              <w:top w:val="single" w:sz="4" w:space="0" w:color="auto"/>
              <w:left w:val="nil"/>
              <w:right w:val="nil"/>
            </w:tcBorders>
          </w:tcPr>
          <w:p w14:paraId="79977E0F" w14:textId="77777777" w:rsidR="00F97AF3" w:rsidRPr="0046423A" w:rsidRDefault="00F97AF3" w:rsidP="00DC4BE9">
            <w:pPr>
              <w:spacing w:before="80" w:after="80" w:line="240" w:lineRule="auto"/>
              <w:jc w:val="center"/>
              <w:rPr>
                <w:rFonts w:ascii="Arial" w:hAnsi="Arial"/>
                <w:b/>
                <w:sz w:val="17"/>
              </w:rPr>
            </w:pPr>
          </w:p>
        </w:tc>
      </w:tr>
      <w:tr w:rsidR="00F97AF3" w:rsidRPr="0046423A" w14:paraId="2414BA1F" w14:textId="77777777" w:rsidTr="0065448A">
        <w:trPr>
          <w:cantSplit/>
          <w:trHeight w:val="256"/>
        </w:trPr>
        <w:tc>
          <w:tcPr>
            <w:tcW w:w="4361" w:type="dxa"/>
            <w:vMerge/>
            <w:tcBorders>
              <w:right w:val="nil"/>
            </w:tcBorders>
          </w:tcPr>
          <w:p w14:paraId="062C9BF8" w14:textId="77777777" w:rsidR="00F97AF3" w:rsidRPr="0046423A" w:rsidRDefault="00F97AF3" w:rsidP="00DC4BE9">
            <w:pPr>
              <w:tabs>
                <w:tab w:val="left" w:pos="992"/>
              </w:tabs>
              <w:spacing w:before="20" w:after="20" w:line="240" w:lineRule="auto"/>
              <w:rPr>
                <w:rFonts w:ascii="Tahoma" w:hAnsi="Tahoma"/>
                <w:i/>
                <w:sz w:val="17"/>
              </w:rPr>
            </w:pPr>
          </w:p>
        </w:tc>
        <w:tc>
          <w:tcPr>
            <w:tcW w:w="1559" w:type="dxa"/>
            <w:tcBorders>
              <w:top w:val="nil"/>
              <w:left w:val="nil"/>
              <w:bottom w:val="nil"/>
              <w:right w:val="nil"/>
            </w:tcBorders>
          </w:tcPr>
          <w:p w14:paraId="78682C7E" w14:textId="77777777" w:rsidR="00F97AF3" w:rsidRPr="0046423A" w:rsidRDefault="00F97AF3" w:rsidP="00DC4BE9">
            <w:pPr>
              <w:tabs>
                <w:tab w:val="left" w:pos="992"/>
              </w:tabs>
              <w:spacing w:before="20" w:after="20" w:line="240" w:lineRule="auto"/>
              <w:jc w:val="center"/>
              <w:rPr>
                <w:rFonts w:ascii="Tahoma" w:hAnsi="Tahoma"/>
                <w:sz w:val="17"/>
              </w:rPr>
            </w:pPr>
            <w:r w:rsidRPr="0046423A">
              <w:rPr>
                <w:rFonts w:ascii="Tahoma" w:hAnsi="Tahoma"/>
                <w:sz w:val="17"/>
              </w:rPr>
              <w:t>(n = 429)</w:t>
            </w:r>
          </w:p>
        </w:tc>
        <w:tc>
          <w:tcPr>
            <w:tcW w:w="1913" w:type="dxa"/>
            <w:tcBorders>
              <w:left w:val="nil"/>
              <w:right w:val="nil"/>
            </w:tcBorders>
          </w:tcPr>
          <w:p w14:paraId="4F7FCED7" w14:textId="77777777" w:rsidR="00F97AF3" w:rsidRPr="0046423A" w:rsidRDefault="00F97AF3" w:rsidP="00DC4BE9">
            <w:pPr>
              <w:tabs>
                <w:tab w:val="left" w:pos="992"/>
              </w:tabs>
              <w:spacing w:before="20" w:after="20" w:line="240" w:lineRule="auto"/>
              <w:jc w:val="center"/>
              <w:rPr>
                <w:rFonts w:ascii="Tahoma" w:hAnsi="Tahoma"/>
                <w:sz w:val="17"/>
              </w:rPr>
            </w:pPr>
            <w:r w:rsidRPr="0046423A">
              <w:rPr>
                <w:rFonts w:ascii="Tahoma" w:hAnsi="Tahoma"/>
                <w:sz w:val="17"/>
              </w:rPr>
              <w:t>(n = 1154)</w:t>
            </w:r>
          </w:p>
        </w:tc>
        <w:tc>
          <w:tcPr>
            <w:tcW w:w="814" w:type="dxa"/>
            <w:tcBorders>
              <w:left w:val="nil"/>
              <w:right w:val="nil"/>
            </w:tcBorders>
          </w:tcPr>
          <w:p w14:paraId="752EEBB0" w14:textId="77777777" w:rsidR="00F97AF3" w:rsidRPr="0046423A" w:rsidRDefault="00F97AF3" w:rsidP="00DC4BE9">
            <w:pPr>
              <w:tabs>
                <w:tab w:val="left" w:pos="992"/>
              </w:tabs>
              <w:spacing w:before="20" w:after="20" w:line="240" w:lineRule="auto"/>
              <w:jc w:val="center"/>
              <w:rPr>
                <w:rFonts w:ascii="Tahoma" w:hAnsi="Tahoma"/>
                <w:sz w:val="17"/>
              </w:rPr>
            </w:pPr>
          </w:p>
        </w:tc>
      </w:tr>
      <w:tr w:rsidR="00F97AF3" w:rsidRPr="0046423A" w14:paraId="1CA6B679" w14:textId="77777777" w:rsidTr="0065448A">
        <w:trPr>
          <w:cantSplit/>
          <w:trHeight w:val="256"/>
        </w:trPr>
        <w:tc>
          <w:tcPr>
            <w:tcW w:w="4361" w:type="dxa"/>
            <w:vMerge/>
            <w:tcBorders>
              <w:bottom w:val="single" w:sz="4" w:space="0" w:color="auto"/>
              <w:right w:val="nil"/>
            </w:tcBorders>
          </w:tcPr>
          <w:p w14:paraId="4A35026A" w14:textId="77777777" w:rsidR="00F97AF3" w:rsidRPr="0046423A" w:rsidRDefault="00F97AF3" w:rsidP="00DC4BE9">
            <w:pPr>
              <w:tabs>
                <w:tab w:val="left" w:pos="992"/>
              </w:tabs>
              <w:spacing w:before="20" w:after="20" w:line="240" w:lineRule="auto"/>
              <w:rPr>
                <w:rFonts w:ascii="Tahoma" w:hAnsi="Tahoma"/>
                <w:i/>
                <w:sz w:val="17"/>
              </w:rPr>
            </w:pPr>
          </w:p>
        </w:tc>
        <w:tc>
          <w:tcPr>
            <w:tcW w:w="1559" w:type="dxa"/>
            <w:tcBorders>
              <w:top w:val="nil"/>
              <w:left w:val="nil"/>
              <w:bottom w:val="single" w:sz="4" w:space="0" w:color="auto"/>
              <w:right w:val="nil"/>
            </w:tcBorders>
          </w:tcPr>
          <w:p w14:paraId="6EAA7D76" w14:textId="77777777" w:rsidR="00F97AF3" w:rsidRPr="0046423A" w:rsidRDefault="00F97AF3" w:rsidP="00DC4BE9">
            <w:pPr>
              <w:tabs>
                <w:tab w:val="left" w:pos="992"/>
              </w:tabs>
              <w:spacing w:before="20" w:after="20" w:line="240" w:lineRule="auto"/>
              <w:jc w:val="center"/>
              <w:rPr>
                <w:rFonts w:ascii="Tahoma" w:hAnsi="Tahoma"/>
                <w:sz w:val="17"/>
              </w:rPr>
            </w:pPr>
            <w:r w:rsidRPr="0046423A">
              <w:rPr>
                <w:rFonts w:ascii="Tahoma" w:hAnsi="Tahoma"/>
                <w:sz w:val="17"/>
              </w:rPr>
              <w:t>(%)</w:t>
            </w:r>
          </w:p>
        </w:tc>
        <w:tc>
          <w:tcPr>
            <w:tcW w:w="1913" w:type="dxa"/>
            <w:tcBorders>
              <w:left w:val="nil"/>
              <w:bottom w:val="single" w:sz="4" w:space="0" w:color="auto"/>
              <w:right w:val="nil"/>
            </w:tcBorders>
          </w:tcPr>
          <w:p w14:paraId="1D9C19B8" w14:textId="77777777" w:rsidR="00F97AF3" w:rsidRPr="0046423A" w:rsidRDefault="00F97AF3" w:rsidP="00DC4BE9">
            <w:pPr>
              <w:tabs>
                <w:tab w:val="left" w:pos="992"/>
              </w:tabs>
              <w:spacing w:before="20" w:after="20" w:line="240" w:lineRule="auto"/>
              <w:jc w:val="center"/>
              <w:rPr>
                <w:rFonts w:ascii="Tahoma" w:hAnsi="Tahoma"/>
                <w:sz w:val="17"/>
              </w:rPr>
            </w:pPr>
            <w:r w:rsidRPr="0046423A">
              <w:rPr>
                <w:rFonts w:ascii="Tahoma" w:hAnsi="Tahoma"/>
                <w:sz w:val="17"/>
              </w:rPr>
              <w:t>(%)</w:t>
            </w:r>
          </w:p>
        </w:tc>
        <w:tc>
          <w:tcPr>
            <w:tcW w:w="814" w:type="dxa"/>
            <w:tcBorders>
              <w:left w:val="nil"/>
              <w:bottom w:val="single" w:sz="4" w:space="0" w:color="auto"/>
              <w:right w:val="nil"/>
            </w:tcBorders>
          </w:tcPr>
          <w:p w14:paraId="08937972" w14:textId="77777777" w:rsidR="00F97AF3" w:rsidRPr="0046423A" w:rsidRDefault="00F97AF3" w:rsidP="00DC4BE9">
            <w:pPr>
              <w:tabs>
                <w:tab w:val="left" w:pos="992"/>
              </w:tabs>
              <w:spacing w:before="20" w:after="20" w:line="240" w:lineRule="auto"/>
              <w:jc w:val="center"/>
              <w:rPr>
                <w:rFonts w:ascii="Tahoma" w:hAnsi="Tahoma"/>
                <w:sz w:val="17"/>
              </w:rPr>
            </w:pPr>
          </w:p>
        </w:tc>
      </w:tr>
      <w:tr w:rsidR="00F97AF3" w:rsidRPr="0046423A" w14:paraId="4C9C3137" w14:textId="77777777" w:rsidTr="0065448A">
        <w:trPr>
          <w:cantSplit/>
        </w:trPr>
        <w:tc>
          <w:tcPr>
            <w:tcW w:w="4361" w:type="dxa"/>
            <w:tcBorders>
              <w:top w:val="nil"/>
              <w:bottom w:val="nil"/>
              <w:right w:val="nil"/>
            </w:tcBorders>
          </w:tcPr>
          <w:p w14:paraId="42B3124E"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Did not get on with </w:t>
            </w:r>
            <w:r w:rsidRPr="00431C54">
              <w:rPr>
                <w:rFonts w:ascii="Tahoma" w:hAnsi="Tahoma"/>
                <w:noProof/>
                <w:sz w:val="16"/>
              </w:rPr>
              <w:t>boss</w:t>
            </w:r>
            <w:r w:rsidRPr="0046423A">
              <w:rPr>
                <w:rFonts w:ascii="Tahoma" w:hAnsi="Tahoma"/>
                <w:sz w:val="16"/>
              </w:rPr>
              <w:t xml:space="preserve"> or other people at work </w:t>
            </w:r>
          </w:p>
        </w:tc>
        <w:tc>
          <w:tcPr>
            <w:tcW w:w="1559" w:type="dxa"/>
            <w:tcBorders>
              <w:top w:val="nil"/>
              <w:left w:val="nil"/>
              <w:bottom w:val="nil"/>
              <w:right w:val="nil"/>
            </w:tcBorders>
          </w:tcPr>
          <w:p w14:paraId="6AD205B6"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16.2</w:t>
            </w:r>
          </w:p>
        </w:tc>
        <w:tc>
          <w:tcPr>
            <w:tcW w:w="1913" w:type="dxa"/>
            <w:tcBorders>
              <w:top w:val="nil"/>
              <w:left w:val="nil"/>
              <w:bottom w:val="nil"/>
              <w:right w:val="nil"/>
            </w:tcBorders>
          </w:tcPr>
          <w:p w14:paraId="16320CFB"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10.2 </w:t>
            </w:r>
          </w:p>
        </w:tc>
        <w:tc>
          <w:tcPr>
            <w:tcW w:w="814" w:type="dxa"/>
            <w:tcBorders>
              <w:top w:val="nil"/>
              <w:left w:val="nil"/>
              <w:bottom w:val="nil"/>
              <w:right w:val="nil"/>
            </w:tcBorders>
          </w:tcPr>
          <w:p w14:paraId="1928C863"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70DFEDE5" w14:textId="77777777" w:rsidTr="0065448A">
        <w:trPr>
          <w:cantSplit/>
        </w:trPr>
        <w:tc>
          <w:tcPr>
            <w:tcW w:w="4361" w:type="dxa"/>
            <w:tcBorders>
              <w:top w:val="nil"/>
              <w:bottom w:val="nil"/>
              <w:right w:val="nil"/>
            </w:tcBorders>
          </w:tcPr>
          <w:p w14:paraId="1F18EE1D"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Did not like the type of work </w:t>
            </w:r>
          </w:p>
        </w:tc>
        <w:tc>
          <w:tcPr>
            <w:tcW w:w="1559" w:type="dxa"/>
            <w:tcBorders>
              <w:top w:val="nil"/>
              <w:left w:val="nil"/>
              <w:bottom w:val="nil"/>
              <w:right w:val="nil"/>
            </w:tcBorders>
          </w:tcPr>
          <w:p w14:paraId="1A738DED"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10.2 </w:t>
            </w:r>
          </w:p>
        </w:tc>
        <w:tc>
          <w:tcPr>
            <w:tcW w:w="1913" w:type="dxa"/>
            <w:tcBorders>
              <w:top w:val="nil"/>
              <w:left w:val="nil"/>
              <w:bottom w:val="nil"/>
              <w:right w:val="nil"/>
            </w:tcBorders>
          </w:tcPr>
          <w:p w14:paraId="5E188A33"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8.3 </w:t>
            </w:r>
          </w:p>
        </w:tc>
        <w:tc>
          <w:tcPr>
            <w:tcW w:w="814" w:type="dxa"/>
            <w:tcBorders>
              <w:top w:val="nil"/>
              <w:left w:val="nil"/>
              <w:bottom w:val="nil"/>
              <w:right w:val="nil"/>
            </w:tcBorders>
          </w:tcPr>
          <w:p w14:paraId="6E7A9CD8"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420CF1BD" w14:textId="77777777" w:rsidTr="0065448A">
        <w:trPr>
          <w:cantSplit/>
        </w:trPr>
        <w:tc>
          <w:tcPr>
            <w:tcW w:w="4361" w:type="dxa"/>
            <w:tcBorders>
              <w:top w:val="nil"/>
              <w:bottom w:val="nil"/>
              <w:right w:val="nil"/>
            </w:tcBorders>
          </w:tcPr>
          <w:p w14:paraId="59B66BE4"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Other reasons </w:t>
            </w:r>
          </w:p>
        </w:tc>
        <w:tc>
          <w:tcPr>
            <w:tcW w:w="1559" w:type="dxa"/>
            <w:tcBorders>
              <w:top w:val="nil"/>
              <w:left w:val="nil"/>
              <w:bottom w:val="nil"/>
              <w:right w:val="nil"/>
            </w:tcBorders>
          </w:tcPr>
          <w:p w14:paraId="4655F3DA"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10.2 </w:t>
            </w:r>
          </w:p>
        </w:tc>
        <w:tc>
          <w:tcPr>
            <w:tcW w:w="1913" w:type="dxa"/>
            <w:tcBorders>
              <w:top w:val="nil"/>
              <w:left w:val="nil"/>
              <w:bottom w:val="nil"/>
              <w:right w:val="nil"/>
            </w:tcBorders>
          </w:tcPr>
          <w:p w14:paraId="6A78CCDB"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1.5* </w:t>
            </w:r>
          </w:p>
        </w:tc>
        <w:tc>
          <w:tcPr>
            <w:tcW w:w="814" w:type="dxa"/>
            <w:tcBorders>
              <w:top w:val="nil"/>
              <w:left w:val="nil"/>
              <w:bottom w:val="nil"/>
              <w:right w:val="nil"/>
            </w:tcBorders>
          </w:tcPr>
          <w:p w14:paraId="3757E585"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0BFC1F4D" w14:textId="77777777" w:rsidTr="0065448A">
        <w:trPr>
          <w:cantSplit/>
        </w:trPr>
        <w:tc>
          <w:tcPr>
            <w:tcW w:w="4361" w:type="dxa"/>
            <w:tcBorders>
              <w:top w:val="nil"/>
              <w:bottom w:val="nil"/>
              <w:right w:val="nil"/>
            </w:tcBorders>
          </w:tcPr>
          <w:p w14:paraId="05A2B203"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Personal reasons</w:t>
            </w:r>
            <w:r w:rsidRPr="00FB01B9">
              <w:rPr>
                <w:rFonts w:ascii="Tahoma" w:hAnsi="Tahoma"/>
                <w:sz w:val="16"/>
                <w:vertAlign w:val="superscript"/>
              </w:rPr>
              <w:t>2</w:t>
            </w:r>
          </w:p>
        </w:tc>
        <w:tc>
          <w:tcPr>
            <w:tcW w:w="1559" w:type="dxa"/>
            <w:tcBorders>
              <w:top w:val="nil"/>
              <w:left w:val="nil"/>
              <w:bottom w:val="nil"/>
              <w:right w:val="nil"/>
            </w:tcBorders>
          </w:tcPr>
          <w:p w14:paraId="4D93C21B"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10.0 </w:t>
            </w:r>
          </w:p>
        </w:tc>
        <w:tc>
          <w:tcPr>
            <w:tcW w:w="1913" w:type="dxa"/>
            <w:tcBorders>
              <w:top w:val="nil"/>
              <w:left w:val="nil"/>
              <w:bottom w:val="nil"/>
              <w:right w:val="nil"/>
            </w:tcBorders>
          </w:tcPr>
          <w:p w14:paraId="388A554F"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15.7 </w:t>
            </w:r>
          </w:p>
        </w:tc>
        <w:tc>
          <w:tcPr>
            <w:tcW w:w="814" w:type="dxa"/>
            <w:tcBorders>
              <w:top w:val="nil"/>
              <w:left w:val="nil"/>
              <w:bottom w:val="nil"/>
              <w:right w:val="nil"/>
            </w:tcBorders>
          </w:tcPr>
          <w:p w14:paraId="2DF786D3"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235B08B6" w14:textId="77777777" w:rsidTr="0065448A">
        <w:trPr>
          <w:cantSplit/>
        </w:trPr>
        <w:tc>
          <w:tcPr>
            <w:tcW w:w="4361" w:type="dxa"/>
            <w:tcBorders>
              <w:top w:val="nil"/>
              <w:bottom w:val="nil"/>
              <w:right w:val="nil"/>
            </w:tcBorders>
          </w:tcPr>
          <w:p w14:paraId="62498DDC"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Left job or changed career </w:t>
            </w:r>
          </w:p>
        </w:tc>
        <w:tc>
          <w:tcPr>
            <w:tcW w:w="1559" w:type="dxa"/>
            <w:tcBorders>
              <w:top w:val="nil"/>
              <w:left w:val="nil"/>
              <w:bottom w:val="nil"/>
              <w:right w:val="nil"/>
            </w:tcBorders>
          </w:tcPr>
          <w:p w14:paraId="3AD4164D"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9.4</w:t>
            </w:r>
          </w:p>
        </w:tc>
        <w:tc>
          <w:tcPr>
            <w:tcW w:w="1913" w:type="dxa"/>
            <w:tcBorders>
              <w:top w:val="nil"/>
              <w:left w:val="nil"/>
              <w:bottom w:val="nil"/>
              <w:right w:val="nil"/>
            </w:tcBorders>
          </w:tcPr>
          <w:p w14:paraId="75685898"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12.5 </w:t>
            </w:r>
          </w:p>
        </w:tc>
        <w:tc>
          <w:tcPr>
            <w:tcW w:w="814" w:type="dxa"/>
            <w:tcBorders>
              <w:top w:val="nil"/>
              <w:left w:val="nil"/>
              <w:bottom w:val="nil"/>
              <w:right w:val="nil"/>
            </w:tcBorders>
          </w:tcPr>
          <w:p w14:paraId="3F1BAA24"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0FD3FABA" w14:textId="77777777" w:rsidTr="0065448A">
        <w:trPr>
          <w:cantSplit/>
        </w:trPr>
        <w:tc>
          <w:tcPr>
            <w:tcW w:w="4361" w:type="dxa"/>
            <w:tcBorders>
              <w:top w:val="nil"/>
              <w:bottom w:val="nil"/>
              <w:right w:val="nil"/>
            </w:tcBorders>
          </w:tcPr>
          <w:p w14:paraId="7669FB97"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Lost job or made redundant </w:t>
            </w:r>
          </w:p>
        </w:tc>
        <w:tc>
          <w:tcPr>
            <w:tcW w:w="1559" w:type="dxa"/>
            <w:tcBorders>
              <w:top w:val="nil"/>
              <w:left w:val="nil"/>
              <w:bottom w:val="nil"/>
              <w:right w:val="nil"/>
            </w:tcBorders>
          </w:tcPr>
          <w:p w14:paraId="5AE5C903"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8.9 </w:t>
            </w:r>
          </w:p>
        </w:tc>
        <w:tc>
          <w:tcPr>
            <w:tcW w:w="1913" w:type="dxa"/>
            <w:tcBorders>
              <w:top w:val="nil"/>
              <w:left w:val="nil"/>
              <w:bottom w:val="nil"/>
              <w:right w:val="nil"/>
            </w:tcBorders>
          </w:tcPr>
          <w:p w14:paraId="3C5D6D5A"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26.8 </w:t>
            </w:r>
          </w:p>
        </w:tc>
        <w:tc>
          <w:tcPr>
            <w:tcW w:w="814" w:type="dxa"/>
            <w:tcBorders>
              <w:top w:val="nil"/>
              <w:left w:val="nil"/>
              <w:bottom w:val="nil"/>
              <w:right w:val="nil"/>
            </w:tcBorders>
          </w:tcPr>
          <w:p w14:paraId="6738F9CC"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7F4991C8" w14:textId="77777777" w:rsidTr="0065448A">
        <w:trPr>
          <w:cantSplit/>
        </w:trPr>
        <w:tc>
          <w:tcPr>
            <w:tcW w:w="4361" w:type="dxa"/>
            <w:tcBorders>
              <w:top w:val="nil"/>
              <w:bottom w:val="nil"/>
              <w:right w:val="nil"/>
            </w:tcBorders>
          </w:tcPr>
          <w:p w14:paraId="52466F76"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The pay was too low </w:t>
            </w:r>
          </w:p>
        </w:tc>
        <w:tc>
          <w:tcPr>
            <w:tcW w:w="1559" w:type="dxa"/>
            <w:tcBorders>
              <w:top w:val="nil"/>
              <w:left w:val="nil"/>
              <w:bottom w:val="nil"/>
              <w:right w:val="nil"/>
            </w:tcBorders>
          </w:tcPr>
          <w:p w14:paraId="732EDD0D"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8.7 </w:t>
            </w:r>
          </w:p>
        </w:tc>
        <w:tc>
          <w:tcPr>
            <w:tcW w:w="1913" w:type="dxa"/>
            <w:tcBorders>
              <w:top w:val="nil"/>
              <w:left w:val="nil"/>
              <w:bottom w:val="nil"/>
              <w:right w:val="nil"/>
            </w:tcBorders>
          </w:tcPr>
          <w:p w14:paraId="67E33E19"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4.7 </w:t>
            </w:r>
          </w:p>
        </w:tc>
        <w:tc>
          <w:tcPr>
            <w:tcW w:w="814" w:type="dxa"/>
            <w:tcBorders>
              <w:top w:val="nil"/>
              <w:left w:val="nil"/>
              <w:bottom w:val="nil"/>
              <w:right w:val="nil"/>
            </w:tcBorders>
          </w:tcPr>
          <w:p w14:paraId="13D22106"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6EA521D1" w14:textId="77777777" w:rsidTr="0065448A">
        <w:trPr>
          <w:cantSplit/>
        </w:trPr>
        <w:tc>
          <w:tcPr>
            <w:tcW w:w="4361" w:type="dxa"/>
            <w:tcBorders>
              <w:top w:val="nil"/>
              <w:bottom w:val="nil"/>
              <w:right w:val="nil"/>
            </w:tcBorders>
          </w:tcPr>
          <w:p w14:paraId="446AA51C"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Was not happy with the on-the-job training </w:t>
            </w:r>
          </w:p>
        </w:tc>
        <w:tc>
          <w:tcPr>
            <w:tcW w:w="1559" w:type="dxa"/>
            <w:tcBorders>
              <w:top w:val="nil"/>
              <w:left w:val="nil"/>
              <w:bottom w:val="nil"/>
              <w:right w:val="nil"/>
            </w:tcBorders>
          </w:tcPr>
          <w:p w14:paraId="4A4CFBF6"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5.4* </w:t>
            </w:r>
          </w:p>
        </w:tc>
        <w:tc>
          <w:tcPr>
            <w:tcW w:w="1913" w:type="dxa"/>
            <w:tcBorders>
              <w:top w:val="nil"/>
              <w:left w:val="nil"/>
              <w:bottom w:val="nil"/>
              <w:right w:val="nil"/>
            </w:tcBorders>
          </w:tcPr>
          <w:p w14:paraId="066AEF93"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1.9 </w:t>
            </w:r>
          </w:p>
        </w:tc>
        <w:tc>
          <w:tcPr>
            <w:tcW w:w="814" w:type="dxa"/>
            <w:tcBorders>
              <w:top w:val="nil"/>
              <w:left w:val="nil"/>
              <w:bottom w:val="nil"/>
              <w:right w:val="nil"/>
            </w:tcBorders>
          </w:tcPr>
          <w:p w14:paraId="4F75A0C2"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1F332A59" w14:textId="77777777" w:rsidTr="0065448A">
        <w:trPr>
          <w:cantSplit/>
        </w:trPr>
        <w:tc>
          <w:tcPr>
            <w:tcW w:w="4361" w:type="dxa"/>
            <w:tcBorders>
              <w:top w:val="nil"/>
              <w:bottom w:val="nil"/>
              <w:right w:val="nil"/>
            </w:tcBorders>
          </w:tcPr>
          <w:p w14:paraId="500F4BFB"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Not happy with the job prospects in the industry </w:t>
            </w:r>
          </w:p>
        </w:tc>
        <w:tc>
          <w:tcPr>
            <w:tcW w:w="1559" w:type="dxa"/>
            <w:tcBorders>
              <w:top w:val="nil"/>
              <w:left w:val="nil"/>
              <w:bottom w:val="nil"/>
              <w:right w:val="nil"/>
            </w:tcBorders>
          </w:tcPr>
          <w:p w14:paraId="75E2BC2A"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3.6* </w:t>
            </w:r>
          </w:p>
        </w:tc>
        <w:tc>
          <w:tcPr>
            <w:tcW w:w="1913" w:type="dxa"/>
            <w:tcBorders>
              <w:top w:val="nil"/>
              <w:left w:val="nil"/>
              <w:bottom w:val="nil"/>
              <w:right w:val="nil"/>
            </w:tcBorders>
          </w:tcPr>
          <w:p w14:paraId="16598B40"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4.2 </w:t>
            </w:r>
          </w:p>
        </w:tc>
        <w:tc>
          <w:tcPr>
            <w:tcW w:w="814" w:type="dxa"/>
            <w:tcBorders>
              <w:top w:val="nil"/>
              <w:left w:val="nil"/>
              <w:bottom w:val="nil"/>
              <w:right w:val="nil"/>
            </w:tcBorders>
          </w:tcPr>
          <w:p w14:paraId="043FD0A0"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2B0EC97E" w14:textId="77777777" w:rsidTr="0065448A">
        <w:trPr>
          <w:cantSplit/>
        </w:trPr>
        <w:tc>
          <w:tcPr>
            <w:tcW w:w="4361" w:type="dxa"/>
            <w:tcBorders>
              <w:top w:val="nil"/>
              <w:bottom w:val="nil"/>
              <w:right w:val="nil"/>
            </w:tcBorders>
          </w:tcPr>
          <w:p w14:paraId="08EC4FDC"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Got offered a better job </w:t>
            </w:r>
          </w:p>
        </w:tc>
        <w:tc>
          <w:tcPr>
            <w:tcW w:w="1559" w:type="dxa"/>
            <w:tcBorders>
              <w:top w:val="nil"/>
              <w:left w:val="nil"/>
              <w:bottom w:val="nil"/>
              <w:right w:val="nil"/>
            </w:tcBorders>
          </w:tcPr>
          <w:p w14:paraId="6CC04EE3"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3.3* </w:t>
            </w:r>
          </w:p>
        </w:tc>
        <w:tc>
          <w:tcPr>
            <w:tcW w:w="1913" w:type="dxa"/>
            <w:tcBorders>
              <w:top w:val="nil"/>
              <w:left w:val="nil"/>
              <w:bottom w:val="nil"/>
              <w:right w:val="nil"/>
            </w:tcBorders>
          </w:tcPr>
          <w:p w14:paraId="289F3B80"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2.2 </w:t>
            </w:r>
          </w:p>
        </w:tc>
        <w:tc>
          <w:tcPr>
            <w:tcW w:w="814" w:type="dxa"/>
            <w:tcBorders>
              <w:top w:val="nil"/>
              <w:left w:val="nil"/>
              <w:bottom w:val="nil"/>
              <w:right w:val="nil"/>
            </w:tcBorders>
          </w:tcPr>
          <w:p w14:paraId="7FBA59AA"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7FE7A518" w14:textId="77777777" w:rsidTr="0065448A">
        <w:trPr>
          <w:cantSplit/>
        </w:trPr>
        <w:tc>
          <w:tcPr>
            <w:tcW w:w="4361" w:type="dxa"/>
            <w:tcBorders>
              <w:top w:val="nil"/>
              <w:bottom w:val="nil"/>
              <w:right w:val="nil"/>
            </w:tcBorders>
          </w:tcPr>
          <w:p w14:paraId="7154AEA1"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Apprenticeship/traineeship cancelled or discontinued </w:t>
            </w:r>
          </w:p>
        </w:tc>
        <w:tc>
          <w:tcPr>
            <w:tcW w:w="1559" w:type="dxa"/>
            <w:tcBorders>
              <w:top w:val="nil"/>
              <w:left w:val="nil"/>
              <w:bottom w:val="nil"/>
              <w:right w:val="nil"/>
            </w:tcBorders>
          </w:tcPr>
          <w:p w14:paraId="58BC37BE"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3.2* </w:t>
            </w:r>
          </w:p>
        </w:tc>
        <w:tc>
          <w:tcPr>
            <w:tcW w:w="1913" w:type="dxa"/>
            <w:tcBorders>
              <w:top w:val="nil"/>
              <w:left w:val="nil"/>
              <w:bottom w:val="nil"/>
              <w:right w:val="nil"/>
            </w:tcBorders>
          </w:tcPr>
          <w:p w14:paraId="47B36B89"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3.8 </w:t>
            </w:r>
          </w:p>
        </w:tc>
        <w:tc>
          <w:tcPr>
            <w:tcW w:w="814" w:type="dxa"/>
            <w:tcBorders>
              <w:top w:val="nil"/>
              <w:left w:val="nil"/>
              <w:bottom w:val="nil"/>
              <w:right w:val="nil"/>
            </w:tcBorders>
          </w:tcPr>
          <w:p w14:paraId="493135BE"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6EB58AEB" w14:textId="77777777" w:rsidTr="0065448A">
        <w:trPr>
          <w:cantSplit/>
        </w:trPr>
        <w:tc>
          <w:tcPr>
            <w:tcW w:w="4361" w:type="dxa"/>
            <w:tcBorders>
              <w:top w:val="nil"/>
              <w:bottom w:val="nil"/>
              <w:right w:val="nil"/>
            </w:tcBorders>
          </w:tcPr>
          <w:p w14:paraId="74B57936"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Poor working conditions </w:t>
            </w:r>
          </w:p>
        </w:tc>
        <w:tc>
          <w:tcPr>
            <w:tcW w:w="1559" w:type="dxa"/>
            <w:tcBorders>
              <w:top w:val="nil"/>
              <w:left w:val="nil"/>
              <w:bottom w:val="nil"/>
              <w:right w:val="nil"/>
            </w:tcBorders>
          </w:tcPr>
          <w:p w14:paraId="70F7F13E"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3.1* </w:t>
            </w:r>
          </w:p>
        </w:tc>
        <w:tc>
          <w:tcPr>
            <w:tcW w:w="1913" w:type="dxa"/>
            <w:tcBorders>
              <w:top w:val="nil"/>
              <w:left w:val="nil"/>
              <w:bottom w:val="nil"/>
              <w:right w:val="nil"/>
            </w:tcBorders>
          </w:tcPr>
          <w:p w14:paraId="72EED5A0"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3.1 </w:t>
            </w:r>
          </w:p>
        </w:tc>
        <w:tc>
          <w:tcPr>
            <w:tcW w:w="814" w:type="dxa"/>
            <w:tcBorders>
              <w:top w:val="nil"/>
              <w:left w:val="nil"/>
              <w:bottom w:val="nil"/>
              <w:right w:val="nil"/>
            </w:tcBorders>
          </w:tcPr>
          <w:p w14:paraId="4F864FF0"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3776FF49" w14:textId="77777777" w:rsidTr="0065448A">
        <w:trPr>
          <w:cantSplit/>
        </w:trPr>
        <w:tc>
          <w:tcPr>
            <w:tcW w:w="4361" w:type="dxa"/>
            <w:tcBorders>
              <w:top w:val="nil"/>
              <w:bottom w:val="nil"/>
              <w:right w:val="nil"/>
            </w:tcBorders>
          </w:tcPr>
          <w:p w14:paraId="459F4651" w14:textId="62C754C3"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Changed to another apprenticeship/traineeship </w:t>
            </w:r>
          </w:p>
        </w:tc>
        <w:tc>
          <w:tcPr>
            <w:tcW w:w="1559" w:type="dxa"/>
            <w:tcBorders>
              <w:top w:val="nil"/>
              <w:left w:val="nil"/>
              <w:bottom w:val="nil"/>
              <w:right w:val="nil"/>
            </w:tcBorders>
          </w:tcPr>
          <w:p w14:paraId="0A596F77"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3.1* </w:t>
            </w:r>
          </w:p>
        </w:tc>
        <w:tc>
          <w:tcPr>
            <w:tcW w:w="1913" w:type="dxa"/>
            <w:tcBorders>
              <w:top w:val="nil"/>
              <w:left w:val="nil"/>
              <w:bottom w:val="nil"/>
              <w:right w:val="nil"/>
            </w:tcBorders>
          </w:tcPr>
          <w:p w14:paraId="2415DA22"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1.1* </w:t>
            </w:r>
          </w:p>
        </w:tc>
        <w:tc>
          <w:tcPr>
            <w:tcW w:w="814" w:type="dxa"/>
            <w:tcBorders>
              <w:top w:val="nil"/>
              <w:left w:val="nil"/>
              <w:bottom w:val="nil"/>
              <w:right w:val="nil"/>
            </w:tcBorders>
          </w:tcPr>
          <w:p w14:paraId="755E2323"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1A4BB2A7" w14:textId="77777777" w:rsidTr="0065448A">
        <w:trPr>
          <w:cantSplit/>
        </w:trPr>
        <w:tc>
          <w:tcPr>
            <w:tcW w:w="4361" w:type="dxa"/>
            <w:tcBorders>
              <w:top w:val="nil"/>
              <w:bottom w:val="nil"/>
              <w:right w:val="nil"/>
            </w:tcBorders>
          </w:tcPr>
          <w:p w14:paraId="6B2C59E0"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Left to study elsewhere </w:t>
            </w:r>
          </w:p>
        </w:tc>
        <w:tc>
          <w:tcPr>
            <w:tcW w:w="1559" w:type="dxa"/>
            <w:tcBorders>
              <w:top w:val="nil"/>
              <w:left w:val="nil"/>
              <w:bottom w:val="nil"/>
              <w:right w:val="nil"/>
            </w:tcBorders>
          </w:tcPr>
          <w:p w14:paraId="1F80D5B9"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1.9* </w:t>
            </w:r>
          </w:p>
        </w:tc>
        <w:tc>
          <w:tcPr>
            <w:tcW w:w="1913" w:type="dxa"/>
            <w:tcBorders>
              <w:top w:val="nil"/>
              <w:left w:val="nil"/>
              <w:bottom w:val="nil"/>
              <w:right w:val="nil"/>
            </w:tcBorders>
          </w:tcPr>
          <w:p w14:paraId="2C93CAB0"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0.8* </w:t>
            </w:r>
          </w:p>
        </w:tc>
        <w:tc>
          <w:tcPr>
            <w:tcW w:w="814" w:type="dxa"/>
            <w:tcBorders>
              <w:top w:val="nil"/>
              <w:left w:val="nil"/>
              <w:bottom w:val="nil"/>
              <w:right w:val="nil"/>
            </w:tcBorders>
          </w:tcPr>
          <w:p w14:paraId="3CD3896B"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429608D6" w14:textId="77777777" w:rsidTr="0065448A">
        <w:trPr>
          <w:cantSplit/>
        </w:trPr>
        <w:tc>
          <w:tcPr>
            <w:tcW w:w="4361" w:type="dxa"/>
            <w:tcBorders>
              <w:top w:val="nil"/>
              <w:bottom w:val="nil"/>
              <w:right w:val="nil"/>
            </w:tcBorders>
          </w:tcPr>
          <w:p w14:paraId="65116FE8"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Found the study too difficult </w:t>
            </w:r>
          </w:p>
        </w:tc>
        <w:tc>
          <w:tcPr>
            <w:tcW w:w="1559" w:type="dxa"/>
            <w:tcBorders>
              <w:top w:val="nil"/>
              <w:left w:val="nil"/>
              <w:bottom w:val="nil"/>
              <w:right w:val="nil"/>
            </w:tcBorders>
          </w:tcPr>
          <w:p w14:paraId="68FEFCCF"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1.4* </w:t>
            </w:r>
          </w:p>
        </w:tc>
        <w:tc>
          <w:tcPr>
            <w:tcW w:w="1913" w:type="dxa"/>
            <w:tcBorders>
              <w:top w:val="nil"/>
              <w:left w:val="nil"/>
              <w:bottom w:val="nil"/>
              <w:right w:val="nil"/>
            </w:tcBorders>
          </w:tcPr>
          <w:p w14:paraId="19356FC3"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1.6 </w:t>
            </w:r>
          </w:p>
        </w:tc>
        <w:tc>
          <w:tcPr>
            <w:tcW w:w="814" w:type="dxa"/>
            <w:tcBorders>
              <w:top w:val="nil"/>
              <w:left w:val="nil"/>
              <w:bottom w:val="nil"/>
              <w:right w:val="nil"/>
            </w:tcBorders>
          </w:tcPr>
          <w:p w14:paraId="320D4829"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7F359961" w14:textId="77777777" w:rsidTr="0065448A">
        <w:trPr>
          <w:cantSplit/>
        </w:trPr>
        <w:tc>
          <w:tcPr>
            <w:tcW w:w="4361" w:type="dxa"/>
            <w:tcBorders>
              <w:top w:val="nil"/>
              <w:bottom w:val="nil"/>
              <w:right w:val="nil"/>
            </w:tcBorders>
          </w:tcPr>
          <w:p w14:paraId="10DDDF93" w14:textId="77777777" w:rsidR="00F97AF3" w:rsidRPr="0046423A" w:rsidRDefault="00F97AF3" w:rsidP="00DC4BE9">
            <w:pPr>
              <w:spacing w:before="40" w:after="40" w:line="240" w:lineRule="auto"/>
              <w:rPr>
                <w:rFonts w:ascii="Tahoma" w:hAnsi="Tahoma"/>
                <w:sz w:val="16"/>
              </w:rPr>
            </w:pPr>
            <w:r w:rsidRPr="0046423A">
              <w:rPr>
                <w:rFonts w:ascii="Tahoma" w:hAnsi="Tahoma"/>
                <w:sz w:val="16"/>
              </w:rPr>
              <w:t xml:space="preserve">Was not happy with the off-the-job training </w:t>
            </w:r>
          </w:p>
        </w:tc>
        <w:tc>
          <w:tcPr>
            <w:tcW w:w="1559" w:type="dxa"/>
            <w:tcBorders>
              <w:top w:val="nil"/>
              <w:left w:val="nil"/>
              <w:bottom w:val="nil"/>
              <w:right w:val="nil"/>
            </w:tcBorders>
          </w:tcPr>
          <w:p w14:paraId="2AD6B81C"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1.4* </w:t>
            </w:r>
          </w:p>
        </w:tc>
        <w:tc>
          <w:tcPr>
            <w:tcW w:w="1913" w:type="dxa"/>
            <w:tcBorders>
              <w:top w:val="nil"/>
              <w:left w:val="nil"/>
              <w:bottom w:val="nil"/>
              <w:right w:val="nil"/>
            </w:tcBorders>
          </w:tcPr>
          <w:p w14:paraId="0A61DC5F" w14:textId="77777777" w:rsidR="00F97AF3" w:rsidRPr="0046423A" w:rsidRDefault="00F97AF3" w:rsidP="00DC4BE9">
            <w:pPr>
              <w:tabs>
                <w:tab w:val="decimal" w:pos="851"/>
              </w:tabs>
              <w:spacing w:before="40" w:after="40" w:line="240" w:lineRule="auto"/>
              <w:rPr>
                <w:rFonts w:ascii="Tahoma" w:hAnsi="Tahoma"/>
                <w:sz w:val="16"/>
              </w:rPr>
            </w:pPr>
            <w:r w:rsidRPr="0046423A">
              <w:rPr>
                <w:rFonts w:ascii="Tahoma" w:hAnsi="Tahoma"/>
                <w:sz w:val="16"/>
              </w:rPr>
              <w:t xml:space="preserve">1.6* </w:t>
            </w:r>
          </w:p>
        </w:tc>
        <w:tc>
          <w:tcPr>
            <w:tcW w:w="814" w:type="dxa"/>
            <w:tcBorders>
              <w:top w:val="nil"/>
              <w:left w:val="nil"/>
              <w:bottom w:val="nil"/>
              <w:right w:val="nil"/>
            </w:tcBorders>
          </w:tcPr>
          <w:p w14:paraId="674FE5F3" w14:textId="77777777" w:rsidR="00F97AF3" w:rsidRPr="0046423A" w:rsidRDefault="00F97AF3" w:rsidP="00DC4BE9">
            <w:pPr>
              <w:tabs>
                <w:tab w:val="decimal" w:pos="851"/>
              </w:tabs>
              <w:spacing w:before="40" w:after="40" w:line="240" w:lineRule="auto"/>
              <w:rPr>
                <w:rFonts w:ascii="Tahoma" w:hAnsi="Tahoma"/>
                <w:sz w:val="16"/>
              </w:rPr>
            </w:pPr>
          </w:p>
        </w:tc>
      </w:tr>
      <w:tr w:rsidR="00F97AF3" w:rsidRPr="0046423A" w14:paraId="042E88E8" w14:textId="77777777" w:rsidTr="0065448A">
        <w:trPr>
          <w:cantSplit/>
        </w:trPr>
        <w:tc>
          <w:tcPr>
            <w:tcW w:w="4361" w:type="dxa"/>
            <w:tcBorders>
              <w:top w:val="nil"/>
              <w:bottom w:val="single" w:sz="4" w:space="0" w:color="auto"/>
              <w:right w:val="nil"/>
            </w:tcBorders>
          </w:tcPr>
          <w:p w14:paraId="464A12FA" w14:textId="77777777" w:rsidR="00F97AF3" w:rsidRPr="0046423A" w:rsidRDefault="00F97AF3" w:rsidP="00DC4BE9">
            <w:pPr>
              <w:spacing w:before="40" w:after="40" w:line="240" w:lineRule="auto"/>
              <w:rPr>
                <w:rFonts w:ascii="Tahoma" w:hAnsi="Tahoma"/>
                <w:b/>
                <w:sz w:val="16"/>
              </w:rPr>
            </w:pPr>
            <w:r w:rsidRPr="0046423A">
              <w:rPr>
                <w:rFonts w:ascii="Tahoma" w:hAnsi="Tahoma"/>
                <w:b/>
                <w:sz w:val="16"/>
              </w:rPr>
              <w:t xml:space="preserve">Total </w:t>
            </w:r>
          </w:p>
        </w:tc>
        <w:tc>
          <w:tcPr>
            <w:tcW w:w="1559" w:type="dxa"/>
            <w:tcBorders>
              <w:top w:val="nil"/>
              <w:left w:val="nil"/>
              <w:bottom w:val="single" w:sz="4" w:space="0" w:color="auto"/>
              <w:right w:val="nil"/>
            </w:tcBorders>
          </w:tcPr>
          <w:p w14:paraId="22C6DAA9" w14:textId="77777777" w:rsidR="00F97AF3" w:rsidRPr="0046423A" w:rsidRDefault="00F97AF3" w:rsidP="00DC4BE9">
            <w:pPr>
              <w:tabs>
                <w:tab w:val="decimal" w:pos="851"/>
              </w:tabs>
              <w:spacing w:before="40" w:after="40" w:line="240" w:lineRule="auto"/>
              <w:rPr>
                <w:rFonts w:ascii="Tahoma" w:hAnsi="Tahoma"/>
                <w:b/>
                <w:sz w:val="16"/>
              </w:rPr>
            </w:pPr>
            <w:r w:rsidRPr="0046423A">
              <w:rPr>
                <w:rFonts w:ascii="Tahoma" w:hAnsi="Tahoma"/>
                <w:b/>
                <w:sz w:val="16"/>
              </w:rPr>
              <w:t xml:space="preserve">100.0 </w:t>
            </w:r>
          </w:p>
        </w:tc>
        <w:tc>
          <w:tcPr>
            <w:tcW w:w="1913" w:type="dxa"/>
            <w:tcBorders>
              <w:top w:val="nil"/>
              <w:left w:val="nil"/>
              <w:bottom w:val="single" w:sz="4" w:space="0" w:color="auto"/>
              <w:right w:val="nil"/>
            </w:tcBorders>
          </w:tcPr>
          <w:p w14:paraId="41BF5711" w14:textId="77777777" w:rsidR="00F97AF3" w:rsidRPr="0046423A" w:rsidRDefault="00F97AF3" w:rsidP="00DC4BE9">
            <w:pPr>
              <w:tabs>
                <w:tab w:val="decimal" w:pos="851"/>
              </w:tabs>
              <w:spacing w:before="40" w:after="40" w:line="240" w:lineRule="auto"/>
              <w:rPr>
                <w:rFonts w:ascii="Tahoma" w:hAnsi="Tahoma"/>
                <w:b/>
                <w:sz w:val="16"/>
              </w:rPr>
            </w:pPr>
            <w:r w:rsidRPr="0046423A">
              <w:rPr>
                <w:rFonts w:ascii="Tahoma" w:hAnsi="Tahoma"/>
                <w:b/>
                <w:sz w:val="16"/>
              </w:rPr>
              <w:t xml:space="preserve">100.0 </w:t>
            </w:r>
          </w:p>
        </w:tc>
        <w:tc>
          <w:tcPr>
            <w:tcW w:w="814" w:type="dxa"/>
            <w:tcBorders>
              <w:top w:val="nil"/>
              <w:left w:val="nil"/>
              <w:bottom w:val="single" w:sz="4" w:space="0" w:color="auto"/>
              <w:right w:val="nil"/>
            </w:tcBorders>
          </w:tcPr>
          <w:p w14:paraId="647C0090" w14:textId="77777777" w:rsidR="00F97AF3" w:rsidRPr="0046423A" w:rsidRDefault="00F97AF3" w:rsidP="00DC4BE9">
            <w:pPr>
              <w:tabs>
                <w:tab w:val="decimal" w:pos="851"/>
              </w:tabs>
              <w:spacing w:before="40" w:after="40" w:line="240" w:lineRule="auto"/>
              <w:rPr>
                <w:rFonts w:ascii="Tahoma" w:hAnsi="Tahoma"/>
                <w:b/>
                <w:sz w:val="16"/>
              </w:rPr>
            </w:pPr>
          </w:p>
        </w:tc>
      </w:tr>
    </w:tbl>
    <w:p w14:paraId="0846D1AD" w14:textId="77777777" w:rsidR="00F97AF3" w:rsidRDefault="00F97AF3" w:rsidP="00F97AF3">
      <w:pPr>
        <w:pStyle w:val="Text"/>
        <w:spacing w:before="0" w:line="240" w:lineRule="auto"/>
        <w:ind w:right="0"/>
        <w:rPr>
          <w:sz w:val="15"/>
          <w:szCs w:val="15"/>
        </w:rPr>
      </w:pPr>
      <w:r w:rsidRPr="0046423A">
        <w:rPr>
          <w:sz w:val="15"/>
          <w:szCs w:val="15"/>
        </w:rPr>
        <w:t>Notes:</w:t>
      </w:r>
      <w:r w:rsidRPr="0046423A">
        <w:rPr>
          <w:sz w:val="15"/>
          <w:szCs w:val="15"/>
        </w:rPr>
        <w:tab/>
        <w:t xml:space="preserve">* indicates that the estimate has a relative standard error greater than 25% and therefore should </w:t>
      </w:r>
      <w:r w:rsidRPr="003B0620">
        <w:rPr>
          <w:noProof/>
          <w:sz w:val="15"/>
          <w:szCs w:val="15"/>
        </w:rPr>
        <w:t>be used</w:t>
      </w:r>
      <w:r w:rsidRPr="0046423A">
        <w:rPr>
          <w:sz w:val="15"/>
          <w:szCs w:val="15"/>
        </w:rPr>
        <w:t xml:space="preserve"> with caution.</w:t>
      </w:r>
    </w:p>
    <w:p w14:paraId="1FE67F77" w14:textId="77777777" w:rsidR="00F97AF3" w:rsidRPr="0046423A" w:rsidRDefault="00F97AF3" w:rsidP="00F97AF3">
      <w:pPr>
        <w:pStyle w:val="Text"/>
        <w:spacing w:before="0" w:line="240" w:lineRule="auto"/>
        <w:ind w:right="0"/>
        <w:rPr>
          <w:sz w:val="15"/>
          <w:szCs w:val="15"/>
        </w:rPr>
      </w:pPr>
    </w:p>
    <w:p w14:paraId="68B4B2BF" w14:textId="77777777" w:rsidR="00F97AF3" w:rsidRPr="0046423A" w:rsidRDefault="00F97AF3" w:rsidP="00F97AF3">
      <w:pPr>
        <w:pStyle w:val="Text"/>
        <w:spacing w:before="0" w:line="240" w:lineRule="auto"/>
        <w:ind w:right="0"/>
        <w:rPr>
          <w:sz w:val="15"/>
          <w:szCs w:val="15"/>
        </w:rPr>
      </w:pPr>
      <w:r w:rsidRPr="0046423A">
        <w:rPr>
          <w:sz w:val="15"/>
          <w:szCs w:val="15"/>
        </w:rPr>
        <w:tab/>
      </w:r>
      <w:r w:rsidRPr="00431C54">
        <w:rPr>
          <w:noProof/>
          <w:sz w:val="15"/>
          <w:szCs w:val="15"/>
        </w:rPr>
        <w:t>The table is sorted by the main reason</w:t>
      </w:r>
      <w:r w:rsidRPr="0046423A">
        <w:rPr>
          <w:sz w:val="15"/>
          <w:szCs w:val="15"/>
        </w:rPr>
        <w:t xml:space="preserve"> in 2008.</w:t>
      </w:r>
    </w:p>
    <w:p w14:paraId="773A4444" w14:textId="367D0FE7" w:rsidR="00F97AF3" w:rsidRDefault="00F97AF3" w:rsidP="00F97AF3">
      <w:pPr>
        <w:pStyle w:val="Text"/>
        <w:spacing w:before="0" w:line="240" w:lineRule="auto"/>
        <w:ind w:right="0"/>
        <w:rPr>
          <w:sz w:val="15"/>
          <w:szCs w:val="15"/>
        </w:rPr>
      </w:pPr>
      <w:r>
        <w:rPr>
          <w:sz w:val="15"/>
          <w:szCs w:val="15"/>
        </w:rPr>
        <w:tab/>
        <w:t xml:space="preserve">1 The last Apprentices and Trainees Destination Survey </w:t>
      </w:r>
      <w:r w:rsidRPr="00431C54">
        <w:rPr>
          <w:noProof/>
          <w:sz w:val="15"/>
          <w:szCs w:val="15"/>
        </w:rPr>
        <w:t>was</w:t>
      </w:r>
      <w:r>
        <w:rPr>
          <w:sz w:val="15"/>
          <w:szCs w:val="15"/>
        </w:rPr>
        <w:t xml:space="preserve"> 2010; this table cannot be updated.</w:t>
      </w:r>
      <w:r w:rsidR="00582AC2">
        <w:rPr>
          <w:sz w:val="15"/>
          <w:szCs w:val="15"/>
        </w:rPr>
        <w:t xml:space="preserve"> </w:t>
      </w:r>
    </w:p>
    <w:p w14:paraId="1159E0B6" w14:textId="5162D87B" w:rsidR="00F97AF3" w:rsidRPr="0046423A" w:rsidRDefault="00F97AF3" w:rsidP="00F97AF3">
      <w:pPr>
        <w:pStyle w:val="Text"/>
        <w:spacing w:before="0" w:line="240" w:lineRule="auto"/>
        <w:ind w:left="720" w:right="0"/>
        <w:rPr>
          <w:sz w:val="15"/>
          <w:szCs w:val="15"/>
        </w:rPr>
      </w:pPr>
      <w:r>
        <w:rPr>
          <w:sz w:val="15"/>
          <w:szCs w:val="15"/>
        </w:rPr>
        <w:t>2</w:t>
      </w:r>
      <w:r w:rsidRPr="0046423A">
        <w:rPr>
          <w:sz w:val="15"/>
          <w:szCs w:val="15"/>
        </w:rPr>
        <w:t xml:space="preserve"> </w:t>
      </w:r>
      <w:r w:rsidR="00D2072F">
        <w:rPr>
          <w:sz w:val="15"/>
          <w:szCs w:val="15"/>
        </w:rPr>
        <w:t>‘</w:t>
      </w:r>
      <w:r w:rsidRPr="0046423A">
        <w:rPr>
          <w:sz w:val="15"/>
          <w:szCs w:val="15"/>
        </w:rPr>
        <w:t>Personal reasons</w:t>
      </w:r>
      <w:r w:rsidR="00D2072F">
        <w:rPr>
          <w:sz w:val="15"/>
          <w:szCs w:val="15"/>
        </w:rPr>
        <w:t>’</w:t>
      </w:r>
      <w:r w:rsidRPr="0046423A">
        <w:rPr>
          <w:sz w:val="15"/>
          <w:szCs w:val="15"/>
        </w:rPr>
        <w:t xml:space="preserve"> </w:t>
      </w:r>
      <w:r w:rsidRPr="00431C54">
        <w:rPr>
          <w:noProof/>
          <w:sz w:val="15"/>
          <w:szCs w:val="15"/>
        </w:rPr>
        <w:t>includes</w:t>
      </w:r>
      <w:r w:rsidRPr="0046423A">
        <w:rPr>
          <w:sz w:val="15"/>
          <w:szCs w:val="15"/>
        </w:rPr>
        <w:t xml:space="preserve"> the following: family reasons, illness, lack of time, moved, problems with </w:t>
      </w:r>
      <w:r>
        <w:rPr>
          <w:sz w:val="15"/>
          <w:szCs w:val="15"/>
        </w:rPr>
        <w:t>t</w:t>
      </w:r>
      <w:r w:rsidRPr="0046423A">
        <w:rPr>
          <w:sz w:val="15"/>
          <w:szCs w:val="15"/>
        </w:rPr>
        <w:t>ravelling/transport.</w:t>
      </w:r>
    </w:p>
    <w:p w14:paraId="400E7145" w14:textId="77777777" w:rsidR="00F97AF3" w:rsidRPr="0046423A" w:rsidRDefault="00F97AF3" w:rsidP="00F97AF3">
      <w:pPr>
        <w:pStyle w:val="Text"/>
        <w:spacing w:before="0" w:line="240" w:lineRule="auto"/>
        <w:ind w:right="0"/>
        <w:rPr>
          <w:sz w:val="15"/>
          <w:szCs w:val="15"/>
        </w:rPr>
      </w:pPr>
      <w:r w:rsidRPr="0046423A">
        <w:rPr>
          <w:sz w:val="15"/>
          <w:szCs w:val="15"/>
        </w:rPr>
        <w:t>Source:</w:t>
      </w:r>
      <w:r w:rsidRPr="0046423A">
        <w:rPr>
          <w:sz w:val="15"/>
          <w:szCs w:val="15"/>
        </w:rPr>
        <w:tab/>
        <w:t>Apprentice and Trainee Destinations Survey (NCVER 2010, p.10), in Bednarz 2014, p.13).</w:t>
      </w:r>
    </w:p>
    <w:p w14:paraId="051C4507" w14:textId="18202592" w:rsidR="00F97AF3" w:rsidRDefault="00F97AF3" w:rsidP="00F97AF3">
      <w:pPr>
        <w:pStyle w:val="Text"/>
      </w:pPr>
      <w:r w:rsidRPr="00E91611">
        <w:t xml:space="preserve">Other </w:t>
      </w:r>
      <w:r w:rsidRPr="00E957AE">
        <w:rPr>
          <w:noProof/>
        </w:rPr>
        <w:t>supply</w:t>
      </w:r>
      <w:r>
        <w:rPr>
          <w:noProof/>
        </w:rPr>
        <w:t>-</w:t>
      </w:r>
      <w:r w:rsidRPr="00E957AE">
        <w:rPr>
          <w:noProof/>
        </w:rPr>
        <w:t>side</w:t>
      </w:r>
      <w:r>
        <w:t xml:space="preserve"> characteristics </w:t>
      </w:r>
      <w:r w:rsidRPr="00E91611">
        <w:t>associated with failing to complete apprenticeships</w:t>
      </w:r>
      <w:r>
        <w:t>, as</w:t>
      </w:r>
      <w:r w:rsidRPr="00E91611">
        <w:t xml:space="preserve"> reported by Nelm</w:t>
      </w:r>
      <w:r w:rsidR="009D5D87">
        <w:t>s</w:t>
      </w:r>
      <w:r w:rsidRPr="00E91611">
        <w:t xml:space="preserve"> </w:t>
      </w:r>
      <w:r w:rsidRPr="00E957AE">
        <w:rPr>
          <w:noProof/>
        </w:rPr>
        <w:t>et al</w:t>
      </w:r>
      <w:r>
        <w:rPr>
          <w:noProof/>
        </w:rPr>
        <w:t>.</w:t>
      </w:r>
      <w:r w:rsidRPr="00E91611">
        <w:t xml:space="preserve"> (2017) include</w:t>
      </w:r>
      <w:r>
        <w:t>:</w:t>
      </w:r>
    </w:p>
    <w:p w14:paraId="2890D2AB" w14:textId="64105E44" w:rsidR="00F97AF3" w:rsidRDefault="009D5D87" w:rsidP="0065448A">
      <w:pPr>
        <w:pStyle w:val="Dotpoint1"/>
      </w:pPr>
      <w:r>
        <w:t>l</w:t>
      </w:r>
      <w:r w:rsidR="00F97AF3">
        <w:t xml:space="preserve">ow </w:t>
      </w:r>
      <w:r w:rsidR="00F97AF3" w:rsidRPr="00CA62D8">
        <w:rPr>
          <w:noProof/>
        </w:rPr>
        <w:t>socioeconomic</w:t>
      </w:r>
      <w:r w:rsidR="00F97AF3">
        <w:t xml:space="preserve"> status family background</w:t>
      </w:r>
    </w:p>
    <w:p w14:paraId="56EEBBA4" w14:textId="270DECBB" w:rsidR="00F97AF3" w:rsidRDefault="009D5D87" w:rsidP="0065448A">
      <w:pPr>
        <w:pStyle w:val="Dotpoint1"/>
      </w:pPr>
      <w:r>
        <w:rPr>
          <w:noProof/>
        </w:rPr>
        <w:t>p</w:t>
      </w:r>
      <w:r w:rsidR="00F97AF3" w:rsidRPr="00E957AE">
        <w:rPr>
          <w:noProof/>
        </w:rPr>
        <w:t>art</w:t>
      </w:r>
      <w:r w:rsidR="00F97AF3">
        <w:rPr>
          <w:noProof/>
        </w:rPr>
        <w:t>-</w:t>
      </w:r>
      <w:r w:rsidR="00F97AF3" w:rsidRPr="00E957AE">
        <w:rPr>
          <w:noProof/>
        </w:rPr>
        <w:t>time</w:t>
      </w:r>
      <w:r w:rsidR="00F97AF3">
        <w:t xml:space="preserve"> work status</w:t>
      </w:r>
    </w:p>
    <w:p w14:paraId="1FA17466" w14:textId="124E471E" w:rsidR="00F97AF3" w:rsidRDefault="009D5D87" w:rsidP="0065448A">
      <w:pPr>
        <w:pStyle w:val="Dotpoint1"/>
      </w:pPr>
      <w:r>
        <w:t>l</w:t>
      </w:r>
      <w:r w:rsidR="00F97AF3">
        <w:t>ow qualification level</w:t>
      </w:r>
      <w:r>
        <w:t>.</w:t>
      </w:r>
    </w:p>
    <w:p w14:paraId="0FFB1D29" w14:textId="780C1B15" w:rsidR="00F97AF3" w:rsidRPr="004A2F7A" w:rsidRDefault="00F97AF3" w:rsidP="00F97AF3">
      <w:pPr>
        <w:pStyle w:val="Text"/>
      </w:pPr>
      <w:r w:rsidRPr="00E957AE">
        <w:rPr>
          <w:noProof/>
        </w:rPr>
        <w:t>Apprentices</w:t>
      </w:r>
      <w:r w:rsidRPr="004A2F7A">
        <w:t xml:space="preserve"> undertaking higher qualification levels (</w:t>
      </w:r>
      <w:r w:rsidR="009D5D87">
        <w:t>c</w:t>
      </w:r>
      <w:r w:rsidRPr="004A2F7A">
        <w:t xml:space="preserve">ertificate III or IV) </w:t>
      </w:r>
      <w:r>
        <w:t xml:space="preserve">are </w:t>
      </w:r>
      <w:r w:rsidRPr="004A2F7A">
        <w:t>almost twice as likely to compl</w:t>
      </w:r>
      <w:r>
        <w:t xml:space="preserve">ete as those doing </w:t>
      </w:r>
      <w:r w:rsidR="009D5D87">
        <w:t>c</w:t>
      </w:r>
      <w:r>
        <w:t>ertificate I or II</w:t>
      </w:r>
      <w:r w:rsidRPr="004A2F7A">
        <w:t>.</w:t>
      </w:r>
    </w:p>
    <w:p w14:paraId="2F9A78E6" w14:textId="6916F239" w:rsidR="00F97AF3" w:rsidRDefault="00F97AF3" w:rsidP="00F97AF3">
      <w:pPr>
        <w:pStyle w:val="Text"/>
      </w:pPr>
      <w:r>
        <w:t xml:space="preserve">Karmel (2017) reports </w:t>
      </w:r>
      <w:r w:rsidR="008D3859">
        <w:t xml:space="preserve">on </w:t>
      </w:r>
      <w:r w:rsidRPr="00E957AE">
        <w:rPr>
          <w:noProof/>
        </w:rPr>
        <w:t>demand</w:t>
      </w:r>
      <w:r>
        <w:rPr>
          <w:noProof/>
        </w:rPr>
        <w:t>-</w:t>
      </w:r>
      <w:r w:rsidRPr="00E957AE">
        <w:rPr>
          <w:noProof/>
        </w:rPr>
        <w:t>side</w:t>
      </w:r>
      <w:r>
        <w:t xml:space="preserve"> factors affecting withdrawals or cancellations including:</w:t>
      </w:r>
    </w:p>
    <w:p w14:paraId="541CE293" w14:textId="77777777" w:rsidR="00F97AF3" w:rsidRPr="009D5D87" w:rsidRDefault="00F97AF3" w:rsidP="0065448A">
      <w:pPr>
        <w:pStyle w:val="Dotpoint1"/>
      </w:pPr>
      <w:r w:rsidRPr="009D5D87">
        <w:t xml:space="preserve">losing the job or being made redundant (this factor </w:t>
      </w:r>
      <w:r w:rsidRPr="009D5D87">
        <w:rPr>
          <w:noProof/>
        </w:rPr>
        <w:t>generally</w:t>
      </w:r>
      <w:r w:rsidRPr="009D5D87">
        <w:t xml:space="preserve"> correlates with economic activity)</w:t>
      </w:r>
    </w:p>
    <w:p w14:paraId="732D0521" w14:textId="77777777" w:rsidR="00F97AF3" w:rsidRPr="009D5D87" w:rsidRDefault="00F97AF3" w:rsidP="0065448A">
      <w:pPr>
        <w:pStyle w:val="Dotpoint1"/>
      </w:pPr>
      <w:r w:rsidRPr="009D5D87">
        <w:rPr>
          <w:noProof/>
        </w:rPr>
        <w:t>size</w:t>
      </w:r>
      <w:r w:rsidRPr="009D5D87">
        <w:t xml:space="preserve"> of the company (with a positive relationship between size and completion rates)</w:t>
      </w:r>
    </w:p>
    <w:p w14:paraId="212ABA20" w14:textId="238F1E74" w:rsidR="00F97AF3" w:rsidRPr="009D5D87" w:rsidRDefault="00F97AF3" w:rsidP="0065448A">
      <w:pPr>
        <w:pStyle w:val="Dotpoint1"/>
      </w:pPr>
      <w:r w:rsidRPr="009D5D87">
        <w:t xml:space="preserve">employer type </w:t>
      </w:r>
      <w:r w:rsidR="008D3859">
        <w:t>—</w:t>
      </w:r>
      <w:r w:rsidRPr="009D5D87">
        <w:t xml:space="preserve"> government employers have higher rates of apprenticeship completions than private employers</w:t>
      </w:r>
    </w:p>
    <w:p w14:paraId="7F333044" w14:textId="111F0324" w:rsidR="00F97AF3" w:rsidRPr="00DF3B33" w:rsidRDefault="00F97AF3" w:rsidP="00F97AF3">
      <w:pPr>
        <w:pStyle w:val="Text"/>
      </w:pPr>
      <w:r w:rsidRPr="00DF3B33">
        <w:t>Adult trade apprentice completion rates have steadily increased over time, while younger trade apprentice completion rates are on a slow but steady decline. NCVER data show clear</w:t>
      </w:r>
      <w:r w:rsidRPr="00DF3B33">
        <w:rPr>
          <w:spacing w:val="-16"/>
        </w:rPr>
        <w:t xml:space="preserve"> </w:t>
      </w:r>
      <w:r w:rsidRPr="00DF3B33">
        <w:t>differences</w:t>
      </w:r>
      <w:r w:rsidRPr="00DF3B33">
        <w:rPr>
          <w:spacing w:val="-16"/>
        </w:rPr>
        <w:t xml:space="preserve"> </w:t>
      </w:r>
      <w:r w:rsidRPr="00DF3B33">
        <w:t>between</w:t>
      </w:r>
      <w:r w:rsidRPr="00DF3B33">
        <w:rPr>
          <w:spacing w:val="-16"/>
        </w:rPr>
        <w:t xml:space="preserve"> </w:t>
      </w:r>
      <w:r w:rsidRPr="00DF3B33">
        <w:t>younger</w:t>
      </w:r>
      <w:r w:rsidRPr="00DF3B33">
        <w:rPr>
          <w:spacing w:val="-16"/>
        </w:rPr>
        <w:t xml:space="preserve"> </w:t>
      </w:r>
      <w:r w:rsidRPr="00DF3B33">
        <w:t>and</w:t>
      </w:r>
      <w:r w:rsidRPr="00DF3B33">
        <w:rPr>
          <w:spacing w:val="-16"/>
        </w:rPr>
        <w:t xml:space="preserve"> </w:t>
      </w:r>
      <w:r w:rsidRPr="00DF3B33">
        <w:t>older</w:t>
      </w:r>
      <w:r w:rsidRPr="00DF3B33">
        <w:rPr>
          <w:spacing w:val="-17"/>
        </w:rPr>
        <w:t xml:space="preserve"> </w:t>
      </w:r>
      <w:r w:rsidRPr="00DF3B33">
        <w:t>apprentices.</w:t>
      </w:r>
      <w:r w:rsidRPr="00DF3B33">
        <w:rPr>
          <w:spacing w:val="-16"/>
        </w:rPr>
        <w:t xml:space="preserve"> </w:t>
      </w:r>
      <w:r w:rsidRPr="00DF3B33">
        <w:t>For</w:t>
      </w:r>
      <w:r w:rsidRPr="00DF3B33">
        <w:rPr>
          <w:spacing w:val="-17"/>
        </w:rPr>
        <w:t xml:space="preserve"> </w:t>
      </w:r>
      <w:r w:rsidRPr="00DF3B33">
        <w:t>adult</w:t>
      </w:r>
      <w:r w:rsidRPr="00DF3B33">
        <w:rPr>
          <w:spacing w:val="-16"/>
        </w:rPr>
        <w:t xml:space="preserve"> </w:t>
      </w:r>
      <w:r w:rsidRPr="00E957AE">
        <w:rPr>
          <w:noProof/>
        </w:rPr>
        <w:t>apprentices</w:t>
      </w:r>
      <w:r>
        <w:rPr>
          <w:noProof/>
        </w:rPr>
        <w:t>,</w:t>
      </w:r>
      <w:r w:rsidRPr="00DF3B33">
        <w:rPr>
          <w:spacing w:val="-16"/>
        </w:rPr>
        <w:t xml:space="preserve"> </w:t>
      </w:r>
      <w:r w:rsidRPr="00DF3B33">
        <w:t>the most</w:t>
      </w:r>
      <w:r w:rsidRPr="00DF3B33">
        <w:rPr>
          <w:spacing w:val="-17"/>
        </w:rPr>
        <w:t xml:space="preserve"> </w:t>
      </w:r>
      <w:r w:rsidRPr="00DF3B33">
        <w:t>prevalent</w:t>
      </w:r>
      <w:r w:rsidRPr="00DF3B33">
        <w:rPr>
          <w:spacing w:val="-16"/>
        </w:rPr>
        <w:t xml:space="preserve"> </w:t>
      </w:r>
      <w:r w:rsidRPr="00DF3B33">
        <w:t>reasons</w:t>
      </w:r>
      <w:r w:rsidRPr="00DF3B33">
        <w:rPr>
          <w:spacing w:val="-17"/>
        </w:rPr>
        <w:t xml:space="preserve"> </w:t>
      </w:r>
      <w:r w:rsidRPr="00DF3B33">
        <w:t>for</w:t>
      </w:r>
      <w:r w:rsidRPr="00DF3B33">
        <w:rPr>
          <w:spacing w:val="-17"/>
        </w:rPr>
        <w:t xml:space="preserve"> </w:t>
      </w:r>
      <w:r w:rsidRPr="00DF3B33">
        <w:t>non-completion</w:t>
      </w:r>
      <w:r w:rsidRPr="00DF3B33">
        <w:rPr>
          <w:spacing w:val="-16"/>
        </w:rPr>
        <w:t xml:space="preserve"> </w:t>
      </w:r>
      <w:r w:rsidRPr="00DF3B33">
        <w:t>are</w:t>
      </w:r>
      <w:r w:rsidRPr="00DF3B33">
        <w:rPr>
          <w:spacing w:val="-16"/>
        </w:rPr>
        <w:t xml:space="preserve"> </w:t>
      </w:r>
      <w:r w:rsidRPr="00DF3B33">
        <w:t>family</w:t>
      </w:r>
      <w:r w:rsidRPr="00DF3B33">
        <w:rPr>
          <w:spacing w:val="-16"/>
        </w:rPr>
        <w:t xml:space="preserve"> </w:t>
      </w:r>
      <w:r w:rsidRPr="00DF3B33">
        <w:t>or</w:t>
      </w:r>
      <w:r w:rsidRPr="00DF3B33">
        <w:rPr>
          <w:spacing w:val="-17"/>
        </w:rPr>
        <w:t xml:space="preserve"> </w:t>
      </w:r>
      <w:r w:rsidRPr="00DF3B33">
        <w:t>personal</w:t>
      </w:r>
      <w:r w:rsidRPr="00DF3B33">
        <w:rPr>
          <w:spacing w:val="-16"/>
        </w:rPr>
        <w:t xml:space="preserve"> </w:t>
      </w:r>
      <w:r w:rsidRPr="00DF3B33">
        <w:t>(both</w:t>
      </w:r>
      <w:r w:rsidRPr="00DF3B33">
        <w:rPr>
          <w:spacing w:val="-16"/>
        </w:rPr>
        <w:t xml:space="preserve"> </w:t>
      </w:r>
      <w:r w:rsidRPr="00DF3B33">
        <w:t>trade</w:t>
      </w:r>
      <w:r w:rsidRPr="00DF3B33">
        <w:rPr>
          <w:spacing w:val="-16"/>
        </w:rPr>
        <w:t xml:space="preserve"> </w:t>
      </w:r>
      <w:r w:rsidRPr="00DF3B33">
        <w:t>and</w:t>
      </w:r>
      <w:r w:rsidRPr="00DF3B33">
        <w:rPr>
          <w:spacing w:val="-16"/>
        </w:rPr>
        <w:t xml:space="preserve"> </w:t>
      </w:r>
      <w:r w:rsidRPr="00DF3B33">
        <w:t>non-trade</w:t>
      </w:r>
      <w:r w:rsidRPr="00DF3B33">
        <w:rPr>
          <w:spacing w:val="-16"/>
        </w:rPr>
        <w:t xml:space="preserve"> </w:t>
      </w:r>
      <w:r w:rsidRPr="00DF3B33">
        <w:t>apprenticeships)</w:t>
      </w:r>
      <w:r>
        <w:t xml:space="preserve">, </w:t>
      </w:r>
      <w:r w:rsidRPr="00DF3B33">
        <w:t xml:space="preserve">followed by a change in their job situation. For younger </w:t>
      </w:r>
      <w:r w:rsidRPr="00E957AE">
        <w:rPr>
          <w:noProof/>
        </w:rPr>
        <w:t>apprentices</w:t>
      </w:r>
      <w:r>
        <w:rPr>
          <w:noProof/>
        </w:rPr>
        <w:t>,</w:t>
      </w:r>
      <w:r w:rsidRPr="00DF3B33">
        <w:t xml:space="preserve"> the most prevalent reason is a change</w:t>
      </w:r>
      <w:r w:rsidRPr="00DF3B33">
        <w:rPr>
          <w:spacing w:val="-16"/>
        </w:rPr>
        <w:t xml:space="preserve"> </w:t>
      </w:r>
      <w:r w:rsidRPr="00DF3B33">
        <w:t>in</w:t>
      </w:r>
      <w:r w:rsidRPr="00DF3B33">
        <w:rPr>
          <w:spacing w:val="-16"/>
        </w:rPr>
        <w:t xml:space="preserve"> </w:t>
      </w:r>
      <w:r w:rsidRPr="00DF3B33">
        <w:t>their</w:t>
      </w:r>
      <w:r w:rsidRPr="00DF3B33">
        <w:rPr>
          <w:spacing w:val="-16"/>
        </w:rPr>
        <w:t xml:space="preserve"> </w:t>
      </w:r>
      <w:r w:rsidRPr="00DF3B33">
        <w:t>job</w:t>
      </w:r>
      <w:r w:rsidRPr="00DF3B33">
        <w:rPr>
          <w:spacing w:val="-17"/>
        </w:rPr>
        <w:t xml:space="preserve"> </w:t>
      </w:r>
      <w:r w:rsidRPr="00DF3B33">
        <w:t xml:space="preserve">situation (Hargreaves, Stanwick </w:t>
      </w:r>
      <w:r w:rsidR="008D3859">
        <w:t>&amp;</w:t>
      </w:r>
      <w:r w:rsidR="008C3D13">
        <w:t xml:space="preserve"> </w:t>
      </w:r>
      <w:r w:rsidRPr="00DF3B33">
        <w:t>Skuj</w:t>
      </w:r>
      <w:r w:rsidR="00E56C39">
        <w:t>ins</w:t>
      </w:r>
      <w:r w:rsidRPr="00DF3B33">
        <w:t xml:space="preserve"> 2017).</w:t>
      </w:r>
    </w:p>
    <w:p w14:paraId="69CFAE51" w14:textId="679778CC" w:rsidR="00F97AF3" w:rsidRDefault="00F97AF3" w:rsidP="00F97AF3">
      <w:pPr>
        <w:pStyle w:val="Text"/>
      </w:pPr>
      <w:r>
        <w:lastRenderedPageBreak/>
        <w:t>Zoellner, Brearley and Oppermann (2017) posit that apprentices in hotter parts of Australia are less likely to complete their training due to the extreme climatic conditions. We would expect this factor to affect GTO apprentices and</w:t>
      </w:r>
      <w:r w:rsidR="009360EA">
        <w:t xml:space="preserve"> direct employer</w:t>
      </w:r>
      <w:r>
        <w:t xml:space="preserve"> apprentices in the same areas equally, unless there is some unlikely systematic difference between the physical constitutions of the two groups, or if GTOs provide markedly different physical environments from</w:t>
      </w:r>
      <w:r w:rsidR="009360EA">
        <w:t xml:space="preserve"> direct employer</w:t>
      </w:r>
      <w:r>
        <w:t>s.</w:t>
      </w:r>
    </w:p>
    <w:p w14:paraId="5F5F3EF4" w14:textId="3EDB6AD3" w:rsidR="00F97AF3" w:rsidRDefault="00431C54" w:rsidP="00F97AF3">
      <w:pPr>
        <w:pStyle w:val="Text"/>
      </w:pPr>
      <w:r>
        <w:t>C</w:t>
      </w:r>
      <w:r w:rsidR="00F97AF3">
        <w:t xml:space="preserve">ompletion rates hovered at just over 50% of commencement rates for most jurisdictions until 2012, albeit with some fluctuation in the smaller jurisdictions and Victoria in 2003. </w:t>
      </w:r>
      <w:r w:rsidR="003927EF">
        <w:t>At the time of writing, t</w:t>
      </w:r>
      <w:r w:rsidR="00F97AF3">
        <w:t>he most recent rate</w:t>
      </w:r>
      <w:r w:rsidR="003927EF">
        <w:t xml:space="preserve"> </w:t>
      </w:r>
      <w:r w:rsidR="00F97AF3">
        <w:t>for Australia as a whole is 55.2% (NCVER 2017</w:t>
      </w:r>
      <w:r w:rsidR="003927EF">
        <w:t>b</w:t>
      </w:r>
      <w:r w:rsidR="00F97AF3">
        <w:t>).</w:t>
      </w:r>
      <w:r w:rsidR="00F97AF3" w:rsidRPr="002953B7">
        <w:t xml:space="preserve"> </w:t>
      </w:r>
      <w:r w:rsidR="00F97AF3">
        <w:t xml:space="preserve">Commentators unanimously agree that these rates are low </w:t>
      </w:r>
      <w:r w:rsidR="00F97AF3" w:rsidRPr="00E957AE">
        <w:rPr>
          <w:noProof/>
        </w:rPr>
        <w:t>re</w:t>
      </w:r>
      <w:r w:rsidR="00F97AF3">
        <w:rPr>
          <w:noProof/>
        </w:rPr>
        <w:t>lative</w:t>
      </w:r>
      <w:r w:rsidR="00F97AF3" w:rsidRPr="00E957AE">
        <w:rPr>
          <w:noProof/>
        </w:rPr>
        <w:t xml:space="preserve"> to</w:t>
      </w:r>
      <w:r w:rsidR="00F97AF3">
        <w:t xml:space="preserve"> commencement rates (Stromback </w:t>
      </w:r>
      <w:r w:rsidR="008D3859">
        <w:t>&amp;</w:t>
      </w:r>
      <w:r w:rsidR="00F97AF3">
        <w:t xml:space="preserve"> Mahe</w:t>
      </w:r>
      <w:r w:rsidR="003927EF">
        <w:t>n</w:t>
      </w:r>
      <w:r w:rsidR="00F97AF3">
        <w:t xml:space="preserve">dran 2010). Stromback </w:t>
      </w:r>
      <w:r w:rsidR="008C3D13">
        <w:t>and</w:t>
      </w:r>
      <w:r w:rsidR="00F97AF3">
        <w:t xml:space="preserve"> Mahendran (2010) attribute low completion rates to:</w:t>
      </w:r>
    </w:p>
    <w:p w14:paraId="63FEF533" w14:textId="77777777" w:rsidR="00F97AF3" w:rsidRDefault="00F97AF3" w:rsidP="0065448A">
      <w:pPr>
        <w:pStyle w:val="Dotpoint1"/>
      </w:pPr>
      <w:r>
        <w:t>legally binding contracts not enforced due to changing community values</w:t>
      </w:r>
    </w:p>
    <w:p w14:paraId="47118835" w14:textId="6DC839AB" w:rsidR="00F97AF3" w:rsidRDefault="00F97AF3" w:rsidP="0065448A">
      <w:pPr>
        <w:pStyle w:val="Dotpoint1"/>
      </w:pPr>
      <w:r>
        <w:t>declining status of tradespersons</w:t>
      </w:r>
      <w:r w:rsidR="00E56C39">
        <w:t>.</w:t>
      </w:r>
    </w:p>
    <w:p w14:paraId="06A33B90" w14:textId="7589A779" w:rsidR="00F97AF3" w:rsidRPr="00266A1E" w:rsidRDefault="00F97AF3" w:rsidP="00F97AF3">
      <w:pPr>
        <w:pStyle w:val="Text"/>
      </w:pPr>
      <w:r w:rsidRPr="00266A1E">
        <w:t xml:space="preserve">They suggest that this change in the status of tradespersons is due to the labour market becoming less structured. Other commentators point to secondary schools and parents nudging students toward higher education, seeing VET training as inferior (McEwen 2015; Hargreaves </w:t>
      </w:r>
      <w:r w:rsidR="008D3859">
        <w:t>&amp;</w:t>
      </w:r>
      <w:r w:rsidRPr="00266A1E">
        <w:t xml:space="preserve"> Osborne 2017). Workman and Luciani (2017) also point out that young people </w:t>
      </w:r>
      <w:r w:rsidRPr="00CA62D8">
        <w:rPr>
          <w:noProof/>
        </w:rPr>
        <w:t>generally</w:t>
      </w:r>
      <w:r w:rsidRPr="00266A1E">
        <w:t xml:space="preserve"> have no opportunity to research, trial and experience a range of vocational options before having to commit to a three</w:t>
      </w:r>
      <w:r w:rsidR="008D3859">
        <w:t>-</w:t>
      </w:r>
      <w:r w:rsidRPr="00266A1E">
        <w:t xml:space="preserve"> to </w:t>
      </w:r>
      <w:r w:rsidRPr="00E957AE">
        <w:rPr>
          <w:noProof/>
        </w:rPr>
        <w:t>four</w:t>
      </w:r>
      <w:r>
        <w:rPr>
          <w:noProof/>
        </w:rPr>
        <w:t>-</w:t>
      </w:r>
      <w:r w:rsidRPr="00E957AE">
        <w:rPr>
          <w:noProof/>
        </w:rPr>
        <w:t>year</w:t>
      </w:r>
      <w:r w:rsidRPr="00266A1E">
        <w:t xml:space="preserve"> qualification. They have no option but to rely on school, family or friends for initial career direction. A pilot project to enable young people to trial different vocational roles before making a career choice is currently </w:t>
      </w:r>
      <w:r w:rsidRPr="00CA62D8">
        <w:rPr>
          <w:noProof/>
        </w:rPr>
        <w:t>underway</w:t>
      </w:r>
      <w:r w:rsidRPr="00266A1E">
        <w:t xml:space="preserve">, involving GTOs (Workman </w:t>
      </w:r>
      <w:r w:rsidR="008D3859">
        <w:t>&amp;</w:t>
      </w:r>
      <w:r w:rsidRPr="00266A1E">
        <w:t xml:space="preserve"> Luciani 2017).</w:t>
      </w:r>
    </w:p>
    <w:p w14:paraId="3F30C2C7" w14:textId="043FDA7C" w:rsidR="00F97AF3" w:rsidRDefault="00F97AF3" w:rsidP="00F97AF3">
      <w:pPr>
        <w:pStyle w:val="Text"/>
      </w:pPr>
      <w:r>
        <w:t>Mangan and Trendle (2017) argue that some of the concern about the reduced completion rate for apprentices is unnecessarily pessimistic because many individuals who withdraw from an apprenticeship do so only temporarily and return later to complete the apprenticeship with the same or another employer. Using D</w:t>
      </w:r>
      <w:r w:rsidR="00E56C39">
        <w:t>irect Entry Level Training Administration (DELTA)</w:t>
      </w:r>
      <w:r>
        <w:t xml:space="preserve"> data for Queensland, they tracked 317 individuals who had cancelled up to three times over </w:t>
      </w:r>
      <w:r>
        <w:rPr>
          <w:noProof/>
        </w:rPr>
        <w:t>five</w:t>
      </w:r>
      <w:r>
        <w:t xml:space="preserve"> years and found:</w:t>
      </w:r>
    </w:p>
    <w:p w14:paraId="4CAD205D" w14:textId="4C9A4B97" w:rsidR="00F97AF3" w:rsidRDefault="00F97AF3" w:rsidP="0065448A">
      <w:pPr>
        <w:pStyle w:val="Dotpoint1"/>
      </w:pPr>
      <w:r>
        <w:t>The probability of a first cancellation rises sharply in the initial 20</w:t>
      </w:r>
      <w:r w:rsidR="008D3859">
        <w:t>—</w:t>
      </w:r>
      <w:r>
        <w:t>30 months, while first returns peak slightly later</w:t>
      </w:r>
      <w:r w:rsidR="008D3859">
        <w:t>.</w:t>
      </w:r>
    </w:p>
    <w:p w14:paraId="511EBDFD" w14:textId="717B40BF" w:rsidR="00F97AF3" w:rsidRDefault="00F97AF3" w:rsidP="00311092">
      <w:pPr>
        <w:pStyle w:val="Dotpoint1"/>
      </w:pPr>
      <w:r>
        <w:t xml:space="preserve">Being Indigenous is found to increase the risk of the transition to the </w:t>
      </w:r>
      <w:r w:rsidRPr="00E957AE">
        <w:rPr>
          <w:noProof/>
        </w:rPr>
        <w:t>first</w:t>
      </w:r>
      <w:r>
        <w:t xml:space="preserve"> </w:t>
      </w:r>
      <w:r w:rsidRPr="00E957AE">
        <w:rPr>
          <w:noProof/>
        </w:rPr>
        <w:t>cance</w:t>
      </w:r>
      <w:r>
        <w:rPr>
          <w:noProof/>
        </w:rPr>
        <w:t>l</w:t>
      </w:r>
      <w:r w:rsidRPr="00E957AE">
        <w:rPr>
          <w:noProof/>
        </w:rPr>
        <w:t>lation</w:t>
      </w:r>
      <w:r>
        <w:t xml:space="preserve"> by 41.1%</w:t>
      </w:r>
      <w:r w:rsidR="008D3859">
        <w:t>.</w:t>
      </w:r>
      <w:r>
        <w:t xml:space="preserve"> </w:t>
      </w:r>
      <w:r w:rsidR="00E56C39">
        <w:t xml:space="preserve">This </w:t>
      </w:r>
      <w:r>
        <w:t>is also associated with a decline in the probability of returning to training after a first cancellation (40.6% less likely than non-Indigenous to make this transition), while Indigenous persons are 52.7% more likely to make a second cancellation after returning to training</w:t>
      </w:r>
      <w:r w:rsidR="008D3859">
        <w:t>.</w:t>
      </w:r>
      <w:r w:rsidRPr="00141979">
        <w:t xml:space="preserve"> </w:t>
      </w:r>
    </w:p>
    <w:p w14:paraId="6AE7570A" w14:textId="34A8C9DC" w:rsidR="00F97AF3" w:rsidRDefault="00F97AF3" w:rsidP="00E56C39">
      <w:pPr>
        <w:pStyle w:val="Dotpoint1"/>
      </w:pPr>
      <w:r>
        <w:t xml:space="preserve">Having a disability or speaking a language other than English at home </w:t>
      </w:r>
      <w:r w:rsidR="008D3859">
        <w:t>is</w:t>
      </w:r>
      <w:r>
        <w:t xml:space="preserve"> associated with increases in the risk of first cancellations of 26.4% and 30.6%</w:t>
      </w:r>
      <w:r w:rsidR="008D3859">
        <w:t>.</w:t>
      </w:r>
      <w:r w:rsidR="00E56C39">
        <w:t xml:space="preserve"> </w:t>
      </w:r>
      <w:r w:rsidR="008D3859">
        <w:t>A</w:t>
      </w:r>
      <w:r>
        <w:t xml:space="preserve"> non-English speaking background does not affect the probability of completing after returning once or withdrawing and returning twice</w:t>
      </w:r>
      <w:r w:rsidR="008D3859">
        <w:t>.</w:t>
      </w:r>
    </w:p>
    <w:p w14:paraId="3A2395C0" w14:textId="3ED25BDA" w:rsidR="00F97AF3" w:rsidRDefault="00F97AF3" w:rsidP="00E56C39">
      <w:pPr>
        <w:pStyle w:val="Dotpoint1"/>
      </w:pPr>
      <w:r>
        <w:t xml:space="preserve">High school education level </w:t>
      </w:r>
      <w:r w:rsidRPr="003B0620">
        <w:rPr>
          <w:noProof/>
        </w:rPr>
        <w:t>is inversely associated</w:t>
      </w:r>
      <w:r>
        <w:t xml:space="preserve"> with the probability of cancelling</w:t>
      </w:r>
      <w:r w:rsidR="008D3859">
        <w:t>.</w:t>
      </w:r>
      <w:r>
        <w:t xml:space="preserve"> </w:t>
      </w:r>
      <w:r w:rsidR="008D3859">
        <w:t>L</w:t>
      </w:r>
      <w:r>
        <w:t xml:space="preserve">eaving before the completion of </w:t>
      </w:r>
      <w:r w:rsidR="008D3859">
        <w:t>Y</w:t>
      </w:r>
      <w:r>
        <w:t xml:space="preserve">ear 10 sees the probability of making the transition from enrolment to first cancellation increase by 9.8%, while completing </w:t>
      </w:r>
      <w:r w:rsidR="008D3859">
        <w:t>Y</w:t>
      </w:r>
      <w:r>
        <w:t xml:space="preserve">ear 11 or </w:t>
      </w:r>
      <w:r w:rsidR="008D3859">
        <w:t>Y</w:t>
      </w:r>
      <w:r>
        <w:t>ear 12 sees the risk of making this transition fall by 6.4% and 28.5%, respectively.</w:t>
      </w:r>
    </w:p>
    <w:p w14:paraId="0234A8FE" w14:textId="7C16D137" w:rsidR="00F97AF3" w:rsidRDefault="00F97AF3" w:rsidP="0065448A">
      <w:pPr>
        <w:pStyle w:val="Dotpoint1"/>
      </w:pPr>
      <w:r>
        <w:t>Cancelling more than once occurs at much lower frequencies</w:t>
      </w:r>
      <w:r w:rsidR="008D3859">
        <w:t>.</w:t>
      </w:r>
    </w:p>
    <w:p w14:paraId="3943BB44" w14:textId="126518C1" w:rsidR="00F97AF3" w:rsidRDefault="00F97AF3" w:rsidP="0065448A">
      <w:pPr>
        <w:pStyle w:val="Dotpoint1"/>
      </w:pPr>
      <w:r>
        <w:t xml:space="preserve">Gender </w:t>
      </w:r>
      <w:r w:rsidRPr="003B0620">
        <w:rPr>
          <w:noProof/>
        </w:rPr>
        <w:t>was not associated</w:t>
      </w:r>
      <w:r>
        <w:t xml:space="preserve"> with cancellations</w:t>
      </w:r>
      <w:r w:rsidR="008D3859">
        <w:t>.</w:t>
      </w:r>
    </w:p>
    <w:p w14:paraId="7673F2DF" w14:textId="456B22D9" w:rsidR="00F97AF3" w:rsidRDefault="00F97AF3" w:rsidP="0065448A">
      <w:pPr>
        <w:pStyle w:val="Dotpoint1"/>
      </w:pPr>
      <w:r>
        <w:t xml:space="preserve">A positive relationship </w:t>
      </w:r>
      <w:r w:rsidR="008D3859">
        <w:t xml:space="preserve">exists </w:t>
      </w:r>
      <w:r>
        <w:t>between accessibility and probability of withdrawing the first time</w:t>
      </w:r>
      <w:r w:rsidR="008D3859">
        <w:t>.</w:t>
      </w:r>
    </w:p>
    <w:p w14:paraId="59395DAE" w14:textId="3FE5A034" w:rsidR="00F97AF3" w:rsidRDefault="00F97AF3" w:rsidP="0065448A">
      <w:pPr>
        <w:pStyle w:val="Dotpoint1"/>
      </w:pPr>
      <w:r>
        <w:t xml:space="preserve">An inverse relationship </w:t>
      </w:r>
      <w:r w:rsidR="008D3859">
        <w:t xml:space="preserve">exists </w:t>
      </w:r>
      <w:r>
        <w:t xml:space="preserve">between income level and </w:t>
      </w:r>
      <w:r w:rsidRPr="003B0620">
        <w:rPr>
          <w:noProof/>
        </w:rPr>
        <w:t>probability</w:t>
      </w:r>
      <w:r>
        <w:t xml:space="preserve"> of the first withdrawal</w:t>
      </w:r>
      <w:r w:rsidR="008D3859">
        <w:t>.</w:t>
      </w:r>
    </w:p>
    <w:p w14:paraId="08CBC20B" w14:textId="118E0C96" w:rsidR="00F97AF3" w:rsidRDefault="00F97AF3" w:rsidP="0065448A">
      <w:pPr>
        <w:pStyle w:val="Dotpoint1"/>
      </w:pPr>
      <w:r>
        <w:lastRenderedPageBreak/>
        <w:t xml:space="preserve">An increase in income </w:t>
      </w:r>
      <w:r w:rsidRPr="00431C54">
        <w:rPr>
          <w:noProof/>
        </w:rPr>
        <w:t>is also associated</w:t>
      </w:r>
      <w:r>
        <w:t xml:space="preserve"> with a decrease in the probability of making the second transition (enrolment to completion)</w:t>
      </w:r>
      <w:r w:rsidR="008D3859">
        <w:t>.</w:t>
      </w:r>
    </w:p>
    <w:p w14:paraId="0BDFCDB5" w14:textId="77777777" w:rsidR="00F97AF3" w:rsidRDefault="00F97AF3" w:rsidP="0065448A">
      <w:pPr>
        <w:pStyle w:val="Dotpoint1"/>
      </w:pPr>
      <w:r>
        <w:t xml:space="preserve">Higher levels of education </w:t>
      </w:r>
      <w:r w:rsidRPr="00431C54">
        <w:rPr>
          <w:noProof/>
        </w:rPr>
        <w:t>are associated</w:t>
      </w:r>
      <w:r>
        <w:t xml:space="preserve"> with a decline in the risk of cancellation and an increase in the probability of a return to training for those who did cancel.</w:t>
      </w:r>
    </w:p>
    <w:p w14:paraId="23E34497" w14:textId="77777777" w:rsidR="00F97AF3" w:rsidRDefault="00F97AF3" w:rsidP="00F97AF3">
      <w:pPr>
        <w:pStyle w:val="Text"/>
      </w:pPr>
      <w:r>
        <w:t xml:space="preserve">These results suggest a need for targeted policy interventions to reduce the incidence of </w:t>
      </w:r>
      <w:r w:rsidRPr="00E957AE">
        <w:rPr>
          <w:noProof/>
        </w:rPr>
        <w:t>cancellation</w:t>
      </w:r>
      <w:r>
        <w:t xml:space="preserve"> and encourage a return to training for those who do quit. Mangan and Trendle (2017) suggest that the inverse relationship between income and withdrawals may be explained by apprentices in higher income trades being in greater demand and more likely to change employer (which would </w:t>
      </w:r>
      <w:r w:rsidRPr="00431C54">
        <w:rPr>
          <w:noProof/>
        </w:rPr>
        <w:t>be recorded</w:t>
      </w:r>
      <w:r>
        <w:t xml:space="preserve"> as a withdrawal).</w:t>
      </w:r>
    </w:p>
    <w:p w14:paraId="60CB124C" w14:textId="43433CB5" w:rsidR="00F97AF3" w:rsidRPr="00162BD3" w:rsidRDefault="00F97AF3" w:rsidP="00F97AF3">
      <w:pPr>
        <w:pStyle w:val="Text"/>
      </w:pPr>
      <w:r>
        <w:t>Gambin and Hogarth</w:t>
      </w:r>
      <w:r w:rsidR="00D2072F">
        <w:t>’</w:t>
      </w:r>
      <w:r>
        <w:t>s (201</w:t>
      </w:r>
      <w:r w:rsidR="00E56C39">
        <w:t>6</w:t>
      </w:r>
      <w:r>
        <w:t>) study of apprentices in England also found no gender effects except for in certain sectors and that local unemployment rates had a negative effect on lower</w:t>
      </w:r>
      <w:r w:rsidR="008D3859">
        <w:t>-</w:t>
      </w:r>
      <w:r>
        <w:t xml:space="preserve">level apprenticeship completion rates (although a positive effect on higher apprenticeship completion rates). They conclude that </w:t>
      </w:r>
      <w:r w:rsidRPr="00162BD3">
        <w:t>non-completion is not reducible to a single cause</w:t>
      </w:r>
      <w:r>
        <w:t xml:space="preserve"> and </w:t>
      </w:r>
      <w:r w:rsidRPr="00162BD3">
        <w:t xml:space="preserve">that </w:t>
      </w:r>
      <w:r w:rsidRPr="00E957AE">
        <w:rPr>
          <w:noProof/>
        </w:rPr>
        <w:t>large</w:t>
      </w:r>
      <w:r>
        <w:rPr>
          <w:noProof/>
        </w:rPr>
        <w:t>-</w:t>
      </w:r>
      <w:r w:rsidRPr="00E957AE">
        <w:rPr>
          <w:noProof/>
        </w:rPr>
        <w:t>scale</w:t>
      </w:r>
      <w:r w:rsidRPr="00162BD3">
        <w:t xml:space="preserve"> failure to complete apprenticeships may point to a skills mismatch between the individual</w:t>
      </w:r>
      <w:r w:rsidRPr="00E957AE">
        <w:rPr>
          <w:noProof/>
        </w:rPr>
        <w:t>,</w:t>
      </w:r>
      <w:r>
        <w:rPr>
          <w:noProof/>
        </w:rPr>
        <w:t xml:space="preserve"> </w:t>
      </w:r>
      <w:r w:rsidRPr="00E957AE">
        <w:rPr>
          <w:noProof/>
        </w:rPr>
        <w:t>employer</w:t>
      </w:r>
      <w:r w:rsidRPr="00162BD3">
        <w:t xml:space="preserve"> and apprenticeship.</w:t>
      </w:r>
      <w:r>
        <w:t xml:space="preserve"> The role of policy and legislation in comparing England</w:t>
      </w:r>
      <w:r w:rsidR="00D2072F">
        <w:t>’</w:t>
      </w:r>
      <w:r>
        <w:t xml:space="preserve">s completion rates with those of other countries </w:t>
      </w:r>
      <w:r w:rsidRPr="00431C54">
        <w:rPr>
          <w:noProof/>
        </w:rPr>
        <w:t>was not considered</w:t>
      </w:r>
      <w:r>
        <w:t>.</w:t>
      </w:r>
    </w:p>
    <w:p w14:paraId="6989C559" w14:textId="5541D03B" w:rsidR="00F97AF3" w:rsidRPr="00D50A44" w:rsidRDefault="00F97AF3" w:rsidP="00F97AF3">
      <w:pPr>
        <w:pStyle w:val="Text"/>
        <w:rPr>
          <w:rFonts w:ascii="Calibri" w:hAnsi="Calibri" w:cs="Calibri"/>
          <w:sz w:val="22"/>
          <w:szCs w:val="22"/>
        </w:rPr>
      </w:pPr>
      <w:r>
        <w:t>It is worth noting that research has found that some GTOs and private employers (as well as unions and association members) felt that there was too much concern about attrition.</w:t>
      </w:r>
      <w:r w:rsidR="00582AC2">
        <w:t xml:space="preserve"> </w:t>
      </w:r>
      <w:r>
        <w:t>They argue that some attrition is useful because it removes unsuitable individuals.</w:t>
      </w:r>
      <w:r w:rsidR="00582AC2">
        <w:t xml:space="preserve"> </w:t>
      </w:r>
      <w:r>
        <w:t xml:space="preserve">Attrition is also to </w:t>
      </w:r>
      <w:r w:rsidRPr="00431C54">
        <w:rPr>
          <w:noProof/>
        </w:rPr>
        <w:t>be expected</w:t>
      </w:r>
      <w:r>
        <w:t xml:space="preserve"> with Generation Y</w:t>
      </w:r>
      <w:r w:rsidR="00D2072F">
        <w:t>’</w:t>
      </w:r>
      <w:r>
        <w:t>s characteristic mobility</w:t>
      </w:r>
      <w:r w:rsidRPr="00A53B0B">
        <w:t xml:space="preserve"> </w:t>
      </w:r>
      <w:r>
        <w:t xml:space="preserve">(Walker </w:t>
      </w:r>
      <w:r w:rsidR="008D3859">
        <w:t>&amp;</w:t>
      </w:r>
      <w:r>
        <w:t xml:space="preserve"> Powers 2009, in Bednarz 2014). However, attrition still represents wasted time and resources and implies a need for better recruitment processes. Costs </w:t>
      </w:r>
      <w:r w:rsidRPr="00431C54">
        <w:rPr>
          <w:noProof/>
        </w:rPr>
        <w:t>are borne</w:t>
      </w:r>
      <w:r>
        <w:t xml:space="preserve"> by the individual non-completer, employers, </w:t>
      </w:r>
      <w:r w:rsidR="008D3859">
        <w:t xml:space="preserve">state and territory governments </w:t>
      </w:r>
      <w:r>
        <w:t xml:space="preserve">and the Australian Government. Deloitte Access Economics (2011) estimated that non-completion </w:t>
      </w:r>
      <w:r w:rsidRPr="00081836">
        <w:rPr>
          <w:noProof/>
        </w:rPr>
        <w:t>repres</w:t>
      </w:r>
      <w:r>
        <w:rPr>
          <w:noProof/>
        </w:rPr>
        <w:t>ent</w:t>
      </w:r>
      <w:r w:rsidRPr="00081836">
        <w:rPr>
          <w:noProof/>
        </w:rPr>
        <w:t>ed</w:t>
      </w:r>
      <w:r>
        <w:t xml:space="preserve"> a cost of $149 million (unadjusted) between 2010 and 2020 in N</w:t>
      </w:r>
      <w:r w:rsidR="00E56C39">
        <w:t>ew South Wales</w:t>
      </w:r>
      <w:r>
        <w:t xml:space="preserve"> alone. </w:t>
      </w:r>
      <w:r w:rsidR="008D3859">
        <w:rPr>
          <w:rFonts w:ascii="Calibri" w:hAnsi="Calibri" w:cs="Calibri"/>
          <w:noProof/>
          <w:sz w:val="22"/>
          <w:szCs w:val="22"/>
        </w:rPr>
        <w:t>The a</w:t>
      </w:r>
      <w:r w:rsidRPr="00431C54">
        <w:rPr>
          <w:rFonts w:ascii="Calibri" w:hAnsi="Calibri" w:cs="Calibri"/>
          <w:noProof/>
          <w:sz w:val="22"/>
          <w:szCs w:val="22"/>
        </w:rPr>
        <w:t xml:space="preserve">ssociated costs not included in this figure include a multiplier effect on the forgone productivity for the </w:t>
      </w:r>
      <w:r w:rsidR="008D3859">
        <w:rPr>
          <w:rFonts w:ascii="Calibri" w:hAnsi="Calibri" w:cs="Calibri"/>
          <w:noProof/>
          <w:sz w:val="22"/>
          <w:szCs w:val="22"/>
        </w:rPr>
        <w:t>s</w:t>
      </w:r>
      <w:r w:rsidRPr="00431C54">
        <w:rPr>
          <w:rFonts w:ascii="Calibri" w:hAnsi="Calibri" w:cs="Calibri"/>
          <w:noProof/>
          <w:sz w:val="22"/>
          <w:szCs w:val="22"/>
        </w:rPr>
        <w:t xml:space="preserve">tate and Australian economies, additional government transfer payments to non-completers between leaving the apprenticeship and gaining other employment, forgone revenue to the </w:t>
      </w:r>
      <w:r w:rsidR="008D3859" w:rsidRPr="00431C54">
        <w:rPr>
          <w:rFonts w:ascii="Calibri" w:hAnsi="Calibri" w:cs="Calibri"/>
          <w:noProof/>
          <w:sz w:val="22"/>
          <w:szCs w:val="22"/>
        </w:rPr>
        <w:t>state governmen</w:t>
      </w:r>
      <w:r w:rsidRPr="00431C54">
        <w:rPr>
          <w:rFonts w:ascii="Calibri" w:hAnsi="Calibri" w:cs="Calibri"/>
          <w:noProof/>
          <w:sz w:val="22"/>
          <w:szCs w:val="22"/>
        </w:rPr>
        <w:t>ts in the form of concessions (transport and payroll tax etc</w:t>
      </w:r>
      <w:r w:rsidR="008D3859">
        <w:rPr>
          <w:rFonts w:ascii="Calibri" w:hAnsi="Calibri" w:cs="Calibri"/>
          <w:noProof/>
          <w:sz w:val="22"/>
          <w:szCs w:val="22"/>
        </w:rPr>
        <w:t>.</w:t>
      </w:r>
      <w:r w:rsidRPr="00431C54">
        <w:rPr>
          <w:rFonts w:ascii="Calibri" w:hAnsi="Calibri" w:cs="Calibri"/>
          <w:noProof/>
          <w:sz w:val="22"/>
          <w:szCs w:val="22"/>
        </w:rPr>
        <w:t>) and additional outlays by government and employers for individuals moving between apprenticeship contracts (De</w:t>
      </w:r>
      <w:r w:rsidR="00E56C39">
        <w:rPr>
          <w:rFonts w:ascii="Calibri" w:hAnsi="Calibri" w:cs="Calibri"/>
          <w:noProof/>
          <w:sz w:val="22"/>
          <w:szCs w:val="22"/>
        </w:rPr>
        <w:t>l</w:t>
      </w:r>
      <w:r w:rsidRPr="00431C54">
        <w:rPr>
          <w:rFonts w:ascii="Calibri" w:hAnsi="Calibri" w:cs="Calibri"/>
          <w:noProof/>
          <w:sz w:val="22"/>
          <w:szCs w:val="22"/>
        </w:rPr>
        <w:t>oitte Access Economics 2011).</w:t>
      </w:r>
      <w:r w:rsidRPr="00D50A44">
        <w:rPr>
          <w:rFonts w:ascii="Calibri" w:hAnsi="Calibri" w:cs="Calibri"/>
          <w:sz w:val="22"/>
          <w:szCs w:val="22"/>
        </w:rPr>
        <w:t xml:space="preserve"> </w:t>
      </w:r>
    </w:p>
    <w:p w14:paraId="7D6AABAA" w14:textId="77777777" w:rsidR="0065448A" w:rsidRDefault="0065448A">
      <w:pPr>
        <w:spacing w:line="324" w:lineRule="auto"/>
        <w:rPr>
          <w:rFonts w:asciiTheme="majorHAnsi" w:eastAsiaTheme="majorEastAsia" w:hAnsiTheme="majorHAnsi" w:cstheme="majorBidi"/>
          <w:sz w:val="28"/>
          <w:szCs w:val="26"/>
        </w:rPr>
      </w:pPr>
      <w:bookmarkStart w:id="43" w:name="_Toc15287584"/>
      <w:r>
        <w:br w:type="page"/>
      </w:r>
    </w:p>
    <w:p w14:paraId="695B783A" w14:textId="685AC5FF" w:rsidR="00F97AF3" w:rsidRDefault="00F97AF3" w:rsidP="00C52605">
      <w:pPr>
        <w:pStyle w:val="Heading2"/>
      </w:pPr>
      <w:bookmarkStart w:id="44" w:name="_Toc17104053"/>
      <w:r>
        <w:lastRenderedPageBreak/>
        <w:t>GTO and private employer practices</w:t>
      </w:r>
      <w:bookmarkEnd w:id="43"/>
      <w:bookmarkEnd w:id="44"/>
    </w:p>
    <w:p w14:paraId="7520332A" w14:textId="6D129DCC" w:rsidR="00F97AF3" w:rsidRDefault="00F97AF3" w:rsidP="00F97AF3">
      <w:pPr>
        <w:pStyle w:val="Text"/>
      </w:pPr>
      <w:r>
        <w:t>Successful GTOs and private employers share many of the same practices. The focus below (</w:t>
      </w:r>
      <w:r w:rsidR="008D3859">
        <w:t>t</w:t>
      </w:r>
      <w:r>
        <w:t xml:space="preserve">able 2) is on practices </w:t>
      </w:r>
      <w:r w:rsidRPr="00CA62D8">
        <w:rPr>
          <w:noProof/>
        </w:rPr>
        <w:t>generally</w:t>
      </w:r>
      <w:r>
        <w:t xml:space="preserve"> used in one and not the other.</w:t>
      </w:r>
    </w:p>
    <w:p w14:paraId="185CBD2B" w14:textId="303AAD7A" w:rsidR="00F97AF3" w:rsidRDefault="00F97AF3" w:rsidP="00F97AF3">
      <w:pPr>
        <w:pStyle w:val="tabletitle"/>
      </w:pPr>
      <w:bookmarkStart w:id="45" w:name="_Toc15287955"/>
      <w:r>
        <w:t>Table 2 Practice differences and similarities between GTO</w:t>
      </w:r>
      <w:r w:rsidR="008C3D13">
        <w:t>s</w:t>
      </w:r>
      <w:r>
        <w:t xml:space="preserve"> and private employer</w:t>
      </w:r>
      <w:bookmarkEnd w:id="45"/>
      <w:r w:rsidR="00D2072F">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05"/>
        <w:gridCol w:w="2921"/>
      </w:tblGrid>
      <w:tr w:rsidR="00F97AF3" w:rsidRPr="00431C54" w14:paraId="65E4CA16" w14:textId="77777777" w:rsidTr="00CC430A">
        <w:tc>
          <w:tcPr>
            <w:tcW w:w="2952" w:type="dxa"/>
            <w:tcBorders>
              <w:top w:val="single" w:sz="4" w:space="0" w:color="auto"/>
              <w:bottom w:val="single" w:sz="4" w:space="0" w:color="auto"/>
            </w:tcBorders>
          </w:tcPr>
          <w:p w14:paraId="38D1CE19" w14:textId="20581ED3" w:rsidR="00F97AF3" w:rsidRPr="00431C54" w:rsidRDefault="00431C54" w:rsidP="00431C54">
            <w:pPr>
              <w:pStyle w:val="Tabletext"/>
              <w:rPr>
                <w:b/>
              </w:rPr>
            </w:pPr>
            <w:r w:rsidRPr="00431C54">
              <w:rPr>
                <w:b/>
              </w:rPr>
              <w:t>Practice</w:t>
            </w:r>
          </w:p>
        </w:tc>
        <w:tc>
          <w:tcPr>
            <w:tcW w:w="2905" w:type="dxa"/>
            <w:tcBorders>
              <w:top w:val="single" w:sz="4" w:space="0" w:color="auto"/>
              <w:bottom w:val="single" w:sz="4" w:space="0" w:color="auto"/>
            </w:tcBorders>
          </w:tcPr>
          <w:p w14:paraId="63DC66C1" w14:textId="77777777" w:rsidR="00F97AF3" w:rsidRPr="00431C54" w:rsidRDefault="00F97AF3" w:rsidP="00431C54">
            <w:pPr>
              <w:pStyle w:val="Tabletext"/>
              <w:rPr>
                <w:b/>
              </w:rPr>
            </w:pPr>
            <w:r w:rsidRPr="00431C54">
              <w:rPr>
                <w:b/>
              </w:rPr>
              <w:t>GTO</w:t>
            </w:r>
          </w:p>
        </w:tc>
        <w:tc>
          <w:tcPr>
            <w:tcW w:w="2921" w:type="dxa"/>
            <w:tcBorders>
              <w:top w:val="single" w:sz="4" w:space="0" w:color="auto"/>
              <w:bottom w:val="single" w:sz="4" w:space="0" w:color="auto"/>
            </w:tcBorders>
          </w:tcPr>
          <w:p w14:paraId="195ED381" w14:textId="586DC584" w:rsidR="00F97AF3" w:rsidRPr="00431C54" w:rsidRDefault="00F97AF3" w:rsidP="00431C54">
            <w:pPr>
              <w:pStyle w:val="Tabletext"/>
              <w:rPr>
                <w:b/>
              </w:rPr>
            </w:pPr>
            <w:r w:rsidRPr="00431C54">
              <w:rPr>
                <w:b/>
              </w:rPr>
              <w:t xml:space="preserve">Private </w:t>
            </w:r>
            <w:r w:rsidR="008D3859">
              <w:rPr>
                <w:b/>
              </w:rPr>
              <w:t>e</w:t>
            </w:r>
            <w:r w:rsidRPr="00431C54">
              <w:rPr>
                <w:b/>
              </w:rPr>
              <w:t>mployer</w:t>
            </w:r>
          </w:p>
        </w:tc>
      </w:tr>
      <w:tr w:rsidR="00431C54" w:rsidRPr="00431C54" w14:paraId="4EF4D6B0" w14:textId="77777777" w:rsidTr="00CC430A">
        <w:tc>
          <w:tcPr>
            <w:tcW w:w="2952" w:type="dxa"/>
            <w:tcBorders>
              <w:top w:val="single" w:sz="4" w:space="0" w:color="auto"/>
            </w:tcBorders>
          </w:tcPr>
          <w:p w14:paraId="075683C8" w14:textId="77777777" w:rsidR="00431C54" w:rsidRPr="00431C54" w:rsidRDefault="00431C54" w:rsidP="00431C54">
            <w:pPr>
              <w:pStyle w:val="Tabletext"/>
            </w:pPr>
          </w:p>
        </w:tc>
        <w:tc>
          <w:tcPr>
            <w:tcW w:w="2905" w:type="dxa"/>
            <w:tcBorders>
              <w:top w:val="single" w:sz="4" w:space="0" w:color="auto"/>
            </w:tcBorders>
          </w:tcPr>
          <w:p w14:paraId="1D0A563E" w14:textId="77777777" w:rsidR="00431C54" w:rsidRPr="00431C54" w:rsidRDefault="00431C54" w:rsidP="00431C54">
            <w:pPr>
              <w:pStyle w:val="Tabletext"/>
            </w:pPr>
          </w:p>
        </w:tc>
        <w:tc>
          <w:tcPr>
            <w:tcW w:w="2921" w:type="dxa"/>
            <w:tcBorders>
              <w:top w:val="single" w:sz="4" w:space="0" w:color="auto"/>
            </w:tcBorders>
          </w:tcPr>
          <w:p w14:paraId="309B400C" w14:textId="77777777" w:rsidR="00431C54" w:rsidRPr="00431C54" w:rsidRDefault="00431C54" w:rsidP="00431C54">
            <w:pPr>
              <w:pStyle w:val="Tabletext"/>
            </w:pPr>
          </w:p>
        </w:tc>
      </w:tr>
      <w:tr w:rsidR="00F97AF3" w:rsidRPr="00431C54" w14:paraId="4F3FCC88" w14:textId="77777777" w:rsidTr="00431C54">
        <w:tc>
          <w:tcPr>
            <w:tcW w:w="2952" w:type="dxa"/>
          </w:tcPr>
          <w:p w14:paraId="1529A01C" w14:textId="77777777" w:rsidR="00F97AF3" w:rsidRPr="00431C54" w:rsidRDefault="00F97AF3" w:rsidP="00431C54">
            <w:pPr>
              <w:pStyle w:val="Tabletext"/>
            </w:pPr>
            <w:r w:rsidRPr="00431C54">
              <w:t>Not-for-profit</w:t>
            </w:r>
          </w:p>
        </w:tc>
        <w:tc>
          <w:tcPr>
            <w:tcW w:w="2905" w:type="dxa"/>
          </w:tcPr>
          <w:p w14:paraId="78F01E25" w14:textId="77777777" w:rsidR="00F97AF3" w:rsidRPr="00431C54" w:rsidRDefault="00F97AF3" w:rsidP="00431C54">
            <w:pPr>
              <w:pStyle w:val="Tabletext"/>
            </w:pPr>
            <w:r w:rsidRPr="00431C54">
              <w:rPr>
                <w:noProof/>
              </w:rPr>
              <w:drawing>
                <wp:inline distT="0" distB="0" distL="0" distR="0" wp14:anchorId="400C7B92" wp14:editId="39ED68E8">
                  <wp:extent cx="124460" cy="124460"/>
                  <wp:effectExtent l="0" t="0" r="8890" b="8890"/>
                  <wp:docPr id="4" name="Picture 4"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31C54">
              <w:t xml:space="preserve"> (mostly)</w:t>
            </w:r>
          </w:p>
        </w:tc>
        <w:tc>
          <w:tcPr>
            <w:tcW w:w="2921" w:type="dxa"/>
          </w:tcPr>
          <w:p w14:paraId="2EC178B0" w14:textId="77777777" w:rsidR="00F97AF3" w:rsidRPr="00431C54" w:rsidRDefault="00F97AF3" w:rsidP="00431C54">
            <w:pPr>
              <w:pStyle w:val="Tabletext"/>
            </w:pPr>
          </w:p>
        </w:tc>
      </w:tr>
      <w:tr w:rsidR="00F97AF3" w:rsidRPr="00431C54" w14:paraId="753ABF7B" w14:textId="77777777" w:rsidTr="00431C54">
        <w:tc>
          <w:tcPr>
            <w:tcW w:w="2952" w:type="dxa"/>
          </w:tcPr>
          <w:p w14:paraId="5D965A04" w14:textId="26834B3F" w:rsidR="00F97AF3" w:rsidRPr="00431C54" w:rsidRDefault="00F97AF3" w:rsidP="00431C54">
            <w:pPr>
              <w:pStyle w:val="Tabletext"/>
            </w:pPr>
            <w:r w:rsidRPr="00431C54">
              <w:t>Workers</w:t>
            </w:r>
            <w:r w:rsidR="00D2072F">
              <w:t>’</w:t>
            </w:r>
            <w:r w:rsidRPr="00431C54">
              <w:t xml:space="preserve"> compensation premiums</w:t>
            </w:r>
          </w:p>
        </w:tc>
        <w:tc>
          <w:tcPr>
            <w:tcW w:w="2905" w:type="dxa"/>
          </w:tcPr>
          <w:p w14:paraId="6C0838C5" w14:textId="63BB9E20" w:rsidR="00F97AF3" w:rsidRPr="00431C54" w:rsidRDefault="00F97AF3" w:rsidP="00431C54">
            <w:pPr>
              <w:pStyle w:val="Tabletext"/>
            </w:pPr>
            <w:r w:rsidRPr="00431C54">
              <w:rPr>
                <w:noProof/>
              </w:rPr>
              <w:drawing>
                <wp:inline distT="0" distB="0" distL="0" distR="0" wp14:anchorId="63DE5017" wp14:editId="62B36AF4">
                  <wp:extent cx="124460" cy="124460"/>
                  <wp:effectExtent l="0" t="0" r="8890" b="8890"/>
                  <wp:docPr id="233" name="Picture 233"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31C54">
              <w:t xml:space="preserve"> (State differences (e.g. NSW has higher costs than other </w:t>
            </w:r>
            <w:r w:rsidR="00225580">
              <w:t>s</w:t>
            </w:r>
            <w:r w:rsidRPr="00431C54">
              <w:t xml:space="preserve">tates; SA is exempt) </w:t>
            </w:r>
          </w:p>
        </w:tc>
        <w:tc>
          <w:tcPr>
            <w:tcW w:w="2921" w:type="dxa"/>
          </w:tcPr>
          <w:p w14:paraId="1276DE4C" w14:textId="77777777" w:rsidR="00F97AF3" w:rsidRPr="00431C54" w:rsidRDefault="00F97AF3" w:rsidP="00431C54">
            <w:pPr>
              <w:pStyle w:val="Tabletext"/>
            </w:pPr>
          </w:p>
        </w:tc>
      </w:tr>
      <w:tr w:rsidR="00F97AF3" w:rsidRPr="00431C54" w14:paraId="65C4473F" w14:textId="77777777" w:rsidTr="00431C54">
        <w:tc>
          <w:tcPr>
            <w:tcW w:w="2952" w:type="dxa"/>
          </w:tcPr>
          <w:p w14:paraId="69D0C286" w14:textId="77777777" w:rsidR="00F97AF3" w:rsidRPr="00431C54" w:rsidRDefault="00F97AF3" w:rsidP="00431C54">
            <w:pPr>
              <w:pStyle w:val="Tabletext"/>
            </w:pPr>
            <w:r w:rsidRPr="00431C54">
              <w:t>Various forms (size, scope, structure, governance)</w:t>
            </w:r>
          </w:p>
        </w:tc>
        <w:tc>
          <w:tcPr>
            <w:tcW w:w="2905" w:type="dxa"/>
          </w:tcPr>
          <w:p w14:paraId="08C37DCD" w14:textId="77777777" w:rsidR="00F97AF3" w:rsidRPr="00431C54" w:rsidRDefault="00F97AF3" w:rsidP="00431C54">
            <w:pPr>
              <w:pStyle w:val="Tabletext"/>
            </w:pPr>
            <w:r w:rsidRPr="00431C54">
              <w:rPr>
                <w:noProof/>
              </w:rPr>
              <w:drawing>
                <wp:inline distT="0" distB="0" distL="0" distR="0" wp14:anchorId="181B025D" wp14:editId="5F365697">
                  <wp:extent cx="124460" cy="124460"/>
                  <wp:effectExtent l="0" t="0" r="8890" b="8890"/>
                  <wp:docPr id="6" name="Picture 6"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4EBDE342" w14:textId="77777777" w:rsidR="00F97AF3" w:rsidRPr="00431C54" w:rsidRDefault="00F97AF3" w:rsidP="00431C54">
            <w:pPr>
              <w:pStyle w:val="Tabletext"/>
            </w:pPr>
            <w:r w:rsidRPr="00431C54">
              <w:rPr>
                <w:noProof/>
              </w:rPr>
              <w:drawing>
                <wp:inline distT="0" distB="0" distL="0" distR="0" wp14:anchorId="42A4D086" wp14:editId="47E06D36">
                  <wp:extent cx="124460" cy="124460"/>
                  <wp:effectExtent l="0" t="0" r="8890" b="8890"/>
                  <wp:docPr id="7" name="Picture 7"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r>
      <w:tr w:rsidR="00F97AF3" w:rsidRPr="00431C54" w14:paraId="1FF2791A" w14:textId="77777777" w:rsidTr="00431C54">
        <w:tc>
          <w:tcPr>
            <w:tcW w:w="2952" w:type="dxa"/>
          </w:tcPr>
          <w:p w14:paraId="35EE27C9" w14:textId="77777777" w:rsidR="00F97AF3" w:rsidRPr="00431C54" w:rsidRDefault="00F97AF3" w:rsidP="00431C54">
            <w:pPr>
              <w:pStyle w:val="Tabletext"/>
            </w:pPr>
            <w:r w:rsidRPr="00431C54">
              <w:t>Requirement to provide evidence for continuous improvement processes</w:t>
            </w:r>
          </w:p>
        </w:tc>
        <w:tc>
          <w:tcPr>
            <w:tcW w:w="2905" w:type="dxa"/>
          </w:tcPr>
          <w:p w14:paraId="0C791314" w14:textId="77777777" w:rsidR="00F97AF3" w:rsidRPr="00431C54" w:rsidRDefault="00F97AF3" w:rsidP="00431C54">
            <w:pPr>
              <w:pStyle w:val="Tabletext"/>
            </w:pPr>
            <w:r w:rsidRPr="00431C54">
              <w:rPr>
                <w:noProof/>
              </w:rPr>
              <w:drawing>
                <wp:inline distT="0" distB="0" distL="0" distR="0" wp14:anchorId="07CA83DE" wp14:editId="7F31878E">
                  <wp:extent cx="121920" cy="1219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2921" w:type="dxa"/>
          </w:tcPr>
          <w:p w14:paraId="1BDD9D91" w14:textId="77777777" w:rsidR="00F97AF3" w:rsidRPr="00431C54" w:rsidRDefault="00F97AF3" w:rsidP="00431C54">
            <w:pPr>
              <w:pStyle w:val="Tabletext"/>
            </w:pPr>
          </w:p>
        </w:tc>
      </w:tr>
      <w:tr w:rsidR="00F97AF3" w:rsidRPr="00431C54" w14:paraId="0FEE2623" w14:textId="77777777" w:rsidTr="00431C54">
        <w:tc>
          <w:tcPr>
            <w:tcW w:w="2952" w:type="dxa"/>
          </w:tcPr>
          <w:p w14:paraId="341CA17A" w14:textId="77777777" w:rsidR="00F97AF3" w:rsidRPr="00431C54" w:rsidRDefault="00F97AF3" w:rsidP="00431C54">
            <w:pPr>
              <w:pStyle w:val="Tabletext"/>
            </w:pPr>
            <w:r w:rsidRPr="00431C54">
              <w:t>Recruitment process including assessment of LLN</w:t>
            </w:r>
          </w:p>
        </w:tc>
        <w:tc>
          <w:tcPr>
            <w:tcW w:w="2905" w:type="dxa"/>
          </w:tcPr>
          <w:p w14:paraId="496BA6A7" w14:textId="77777777" w:rsidR="00F97AF3" w:rsidRPr="00431C54" w:rsidRDefault="00F97AF3" w:rsidP="00431C54">
            <w:pPr>
              <w:pStyle w:val="Tabletext"/>
            </w:pPr>
            <w:r w:rsidRPr="00431C54">
              <w:rPr>
                <w:noProof/>
              </w:rPr>
              <w:drawing>
                <wp:inline distT="0" distB="0" distL="0" distR="0" wp14:anchorId="2A2A3D5C" wp14:editId="3180C61E">
                  <wp:extent cx="124460" cy="124460"/>
                  <wp:effectExtent l="0" t="0" r="8890" b="8890"/>
                  <wp:docPr id="9" name="Picture 9"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41E52CA2" w14:textId="77777777" w:rsidR="00F97AF3" w:rsidRPr="00431C54" w:rsidRDefault="00F97AF3" w:rsidP="00431C54">
            <w:pPr>
              <w:pStyle w:val="Tabletext"/>
            </w:pPr>
            <w:r w:rsidRPr="00431C54">
              <w:rPr>
                <w:noProof/>
              </w:rPr>
              <w:drawing>
                <wp:inline distT="0" distB="0" distL="0" distR="0" wp14:anchorId="343D429E" wp14:editId="2D317972">
                  <wp:extent cx="124460" cy="124460"/>
                  <wp:effectExtent l="0" t="0" r="8890" b="8890"/>
                  <wp:docPr id="14" name="Picture 14"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r>
      <w:tr w:rsidR="00F97AF3" w:rsidRPr="00431C54" w14:paraId="390EF2B2" w14:textId="77777777" w:rsidTr="00431C54">
        <w:tc>
          <w:tcPr>
            <w:tcW w:w="2952" w:type="dxa"/>
          </w:tcPr>
          <w:p w14:paraId="3E39B3AE" w14:textId="77777777" w:rsidR="00F97AF3" w:rsidRPr="00431C54" w:rsidRDefault="00F97AF3" w:rsidP="00431C54">
            <w:pPr>
              <w:pStyle w:val="Tabletext"/>
            </w:pPr>
            <w:r w:rsidRPr="00431C54">
              <w:t>Active participation in RTO training plan</w:t>
            </w:r>
          </w:p>
        </w:tc>
        <w:tc>
          <w:tcPr>
            <w:tcW w:w="2905" w:type="dxa"/>
          </w:tcPr>
          <w:p w14:paraId="46AEDF12" w14:textId="77777777" w:rsidR="00F97AF3" w:rsidRPr="00431C54" w:rsidRDefault="00F97AF3" w:rsidP="00431C54">
            <w:pPr>
              <w:pStyle w:val="Tabletext"/>
            </w:pPr>
            <w:r w:rsidRPr="00431C54">
              <w:rPr>
                <w:noProof/>
              </w:rPr>
              <w:drawing>
                <wp:inline distT="0" distB="0" distL="0" distR="0" wp14:anchorId="5E0CE048" wp14:editId="2F050A24">
                  <wp:extent cx="124460" cy="124460"/>
                  <wp:effectExtent l="0" t="0" r="8890" b="8890"/>
                  <wp:docPr id="15" name="Picture 15"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3DB08C9B" w14:textId="77777777" w:rsidR="00F97AF3" w:rsidRPr="00431C54" w:rsidRDefault="00F97AF3" w:rsidP="00431C54">
            <w:pPr>
              <w:pStyle w:val="Tabletext"/>
            </w:pPr>
          </w:p>
        </w:tc>
      </w:tr>
      <w:tr w:rsidR="00F97AF3" w:rsidRPr="00431C54" w14:paraId="41424244" w14:textId="77777777" w:rsidTr="00431C54">
        <w:tc>
          <w:tcPr>
            <w:tcW w:w="2952" w:type="dxa"/>
          </w:tcPr>
          <w:p w14:paraId="0D816F15" w14:textId="77777777" w:rsidR="00F97AF3" w:rsidRPr="00431C54" w:rsidRDefault="00F97AF3" w:rsidP="00431C54">
            <w:pPr>
              <w:pStyle w:val="Tabletext"/>
            </w:pPr>
            <w:r w:rsidRPr="00431C54">
              <w:t>Mentoring/pastoral care, monitoring and supporting apprentices to completion</w:t>
            </w:r>
          </w:p>
        </w:tc>
        <w:tc>
          <w:tcPr>
            <w:tcW w:w="2905" w:type="dxa"/>
          </w:tcPr>
          <w:p w14:paraId="398F38FE" w14:textId="77777777" w:rsidR="00F97AF3" w:rsidRPr="00431C54" w:rsidRDefault="00F97AF3" w:rsidP="00431C54">
            <w:pPr>
              <w:pStyle w:val="Tabletext"/>
            </w:pPr>
            <w:r w:rsidRPr="00431C54">
              <w:rPr>
                <w:noProof/>
              </w:rPr>
              <w:drawing>
                <wp:inline distT="0" distB="0" distL="0" distR="0" wp14:anchorId="6F62D4B4" wp14:editId="3D86DE20">
                  <wp:extent cx="124460" cy="124460"/>
                  <wp:effectExtent l="0" t="0" r="8890" b="8890"/>
                  <wp:docPr id="16" name="Picture 16"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468A433C" w14:textId="77777777" w:rsidR="00F97AF3" w:rsidRPr="00431C54" w:rsidRDefault="00F97AF3" w:rsidP="00431C54">
            <w:pPr>
              <w:pStyle w:val="Tabletext"/>
            </w:pPr>
            <w:r w:rsidRPr="00431C54">
              <w:t xml:space="preserve">May be provided by training organisation rather than </w:t>
            </w:r>
            <w:r w:rsidRPr="00431C54">
              <w:rPr>
                <w:noProof/>
              </w:rPr>
              <w:t>employer</w:t>
            </w:r>
            <w:r w:rsidRPr="00431C54">
              <w:t>. Available from some employers but not all</w:t>
            </w:r>
          </w:p>
        </w:tc>
      </w:tr>
      <w:tr w:rsidR="00F97AF3" w:rsidRPr="00431C54" w14:paraId="3E9C6173" w14:textId="77777777" w:rsidTr="00431C54">
        <w:tc>
          <w:tcPr>
            <w:tcW w:w="2952" w:type="dxa"/>
          </w:tcPr>
          <w:p w14:paraId="25F51301" w14:textId="77777777" w:rsidR="00F97AF3" w:rsidRPr="00431C54" w:rsidRDefault="00F97AF3" w:rsidP="00431C54">
            <w:pPr>
              <w:pStyle w:val="Tabletext"/>
            </w:pPr>
            <w:r w:rsidRPr="00431C54">
              <w:t>Required to demonstrate good governance and administration</w:t>
            </w:r>
          </w:p>
        </w:tc>
        <w:tc>
          <w:tcPr>
            <w:tcW w:w="2905" w:type="dxa"/>
          </w:tcPr>
          <w:p w14:paraId="45E6E135" w14:textId="77777777" w:rsidR="00F97AF3" w:rsidRPr="00431C54" w:rsidRDefault="00F97AF3" w:rsidP="00431C54">
            <w:pPr>
              <w:pStyle w:val="Tabletext"/>
            </w:pPr>
            <w:r w:rsidRPr="00431C54">
              <w:rPr>
                <w:noProof/>
              </w:rPr>
              <w:drawing>
                <wp:inline distT="0" distB="0" distL="0" distR="0" wp14:anchorId="7A043847" wp14:editId="0EF00703">
                  <wp:extent cx="124460" cy="124460"/>
                  <wp:effectExtent l="0" t="0" r="8890" b="8890"/>
                  <wp:docPr id="17" name="Picture 17"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455A91E9" w14:textId="77777777" w:rsidR="00F97AF3" w:rsidRPr="00431C54" w:rsidRDefault="00F97AF3" w:rsidP="00431C54">
            <w:pPr>
              <w:pStyle w:val="Tabletext"/>
            </w:pPr>
          </w:p>
        </w:tc>
      </w:tr>
      <w:tr w:rsidR="00F97AF3" w:rsidRPr="00431C54" w14:paraId="32C1CFF8" w14:textId="77777777" w:rsidTr="00431C54">
        <w:tc>
          <w:tcPr>
            <w:tcW w:w="2952" w:type="dxa"/>
          </w:tcPr>
          <w:p w14:paraId="10534F66" w14:textId="77777777" w:rsidR="00F97AF3" w:rsidRPr="00431C54" w:rsidRDefault="00F97AF3" w:rsidP="00431C54">
            <w:pPr>
              <w:pStyle w:val="Tabletext"/>
            </w:pPr>
            <w:r w:rsidRPr="00431C54">
              <w:t xml:space="preserve">Funding for </w:t>
            </w:r>
            <w:r w:rsidRPr="00431C54">
              <w:rPr>
                <w:noProof/>
              </w:rPr>
              <w:t>cost</w:t>
            </w:r>
            <w:r w:rsidRPr="00431C54">
              <w:t xml:space="preserve"> of apprentice</w:t>
            </w:r>
          </w:p>
        </w:tc>
        <w:tc>
          <w:tcPr>
            <w:tcW w:w="2905" w:type="dxa"/>
          </w:tcPr>
          <w:p w14:paraId="6719AEA1" w14:textId="77777777" w:rsidR="00F97AF3" w:rsidRPr="00431C54" w:rsidRDefault="00F97AF3" w:rsidP="00431C54">
            <w:pPr>
              <w:pStyle w:val="Tabletext"/>
            </w:pPr>
            <w:r w:rsidRPr="00431C54">
              <w:rPr>
                <w:noProof/>
              </w:rPr>
              <w:drawing>
                <wp:inline distT="0" distB="0" distL="0" distR="0" wp14:anchorId="2949C473" wp14:editId="0E0238C3">
                  <wp:extent cx="124460" cy="124460"/>
                  <wp:effectExtent l="0" t="0" r="8890" b="8890"/>
                  <wp:docPr id="19" name="Picture 19"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5F4D47A1" w14:textId="77777777" w:rsidR="00F97AF3" w:rsidRPr="00431C54" w:rsidRDefault="00F97AF3" w:rsidP="00431C54">
            <w:pPr>
              <w:pStyle w:val="Tabletext"/>
            </w:pPr>
          </w:p>
        </w:tc>
      </w:tr>
      <w:tr w:rsidR="00F97AF3" w:rsidRPr="00431C54" w14:paraId="68A2AAAC" w14:textId="77777777" w:rsidTr="00431C54">
        <w:tc>
          <w:tcPr>
            <w:tcW w:w="2952" w:type="dxa"/>
          </w:tcPr>
          <w:p w14:paraId="505426D3" w14:textId="77777777" w:rsidR="00F97AF3" w:rsidRPr="00431C54" w:rsidRDefault="00F97AF3" w:rsidP="00431C54">
            <w:pPr>
              <w:pStyle w:val="Tabletext"/>
            </w:pPr>
            <w:r w:rsidRPr="00431C54">
              <w:t>Clear information on obligations in one document</w:t>
            </w:r>
          </w:p>
        </w:tc>
        <w:tc>
          <w:tcPr>
            <w:tcW w:w="2905" w:type="dxa"/>
          </w:tcPr>
          <w:p w14:paraId="47623C4D" w14:textId="77777777" w:rsidR="00F97AF3" w:rsidRPr="00431C54" w:rsidRDefault="00F97AF3" w:rsidP="00431C54">
            <w:pPr>
              <w:pStyle w:val="Tabletext"/>
            </w:pPr>
            <w:r w:rsidRPr="00431C54">
              <w:rPr>
                <w:noProof/>
              </w:rPr>
              <w:drawing>
                <wp:inline distT="0" distB="0" distL="0" distR="0" wp14:anchorId="0648412C" wp14:editId="1CF8EE88">
                  <wp:extent cx="124460" cy="124460"/>
                  <wp:effectExtent l="0" t="0" r="8890" b="8890"/>
                  <wp:docPr id="23" name="Picture 23"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1EB03309" w14:textId="77777777" w:rsidR="00F97AF3" w:rsidRPr="00431C54" w:rsidRDefault="00F97AF3" w:rsidP="00431C54">
            <w:pPr>
              <w:pStyle w:val="Tabletext"/>
            </w:pPr>
          </w:p>
        </w:tc>
      </w:tr>
      <w:tr w:rsidR="00F97AF3" w:rsidRPr="00431C54" w14:paraId="2222358C" w14:textId="77777777" w:rsidTr="00431C54">
        <w:tc>
          <w:tcPr>
            <w:tcW w:w="2952" w:type="dxa"/>
          </w:tcPr>
          <w:p w14:paraId="437A707C" w14:textId="77777777" w:rsidR="00F97AF3" w:rsidRPr="00431C54" w:rsidRDefault="00F97AF3" w:rsidP="00431C54">
            <w:pPr>
              <w:pStyle w:val="Tabletext"/>
            </w:pPr>
            <w:r w:rsidRPr="00431C54">
              <w:t>Comparatively onerous administrative requirements</w:t>
            </w:r>
          </w:p>
        </w:tc>
        <w:tc>
          <w:tcPr>
            <w:tcW w:w="2905" w:type="dxa"/>
          </w:tcPr>
          <w:p w14:paraId="4B3A2362" w14:textId="77777777" w:rsidR="00F97AF3" w:rsidRPr="00431C54" w:rsidRDefault="00F97AF3" w:rsidP="00431C54">
            <w:pPr>
              <w:pStyle w:val="Tabletext"/>
            </w:pPr>
            <w:r w:rsidRPr="00431C54">
              <w:rPr>
                <w:noProof/>
              </w:rPr>
              <w:drawing>
                <wp:inline distT="0" distB="0" distL="0" distR="0" wp14:anchorId="14E39E11" wp14:editId="7B33B0AA">
                  <wp:extent cx="124460" cy="124460"/>
                  <wp:effectExtent l="0" t="0" r="8890" b="8890"/>
                  <wp:docPr id="228" name="Picture 228"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106C3461" w14:textId="77777777" w:rsidR="00F97AF3" w:rsidRPr="00431C54" w:rsidRDefault="00F97AF3" w:rsidP="00431C54">
            <w:pPr>
              <w:pStyle w:val="Tabletext"/>
            </w:pPr>
          </w:p>
        </w:tc>
      </w:tr>
      <w:tr w:rsidR="00F97AF3" w:rsidRPr="00431C54" w14:paraId="066485AF" w14:textId="77777777" w:rsidTr="00431C54">
        <w:tc>
          <w:tcPr>
            <w:tcW w:w="2952" w:type="dxa"/>
          </w:tcPr>
          <w:p w14:paraId="156CFA34" w14:textId="77777777" w:rsidR="00F97AF3" w:rsidRPr="00431C54" w:rsidRDefault="00F97AF3" w:rsidP="00431C54">
            <w:pPr>
              <w:pStyle w:val="Tabletext"/>
            </w:pPr>
            <w:r w:rsidRPr="00431C54">
              <w:t>Flexibility about timing and delivery of training</w:t>
            </w:r>
          </w:p>
        </w:tc>
        <w:tc>
          <w:tcPr>
            <w:tcW w:w="2905" w:type="dxa"/>
          </w:tcPr>
          <w:p w14:paraId="10C7552A" w14:textId="77777777" w:rsidR="00F97AF3" w:rsidRPr="00431C54" w:rsidRDefault="00F97AF3" w:rsidP="00431C54">
            <w:pPr>
              <w:pStyle w:val="Tabletext"/>
            </w:pPr>
            <w:r w:rsidRPr="00431C54">
              <w:rPr>
                <w:noProof/>
              </w:rPr>
              <w:drawing>
                <wp:inline distT="0" distB="0" distL="0" distR="0" wp14:anchorId="090D5655" wp14:editId="5FB5B5FF">
                  <wp:extent cx="124460" cy="124460"/>
                  <wp:effectExtent l="0" t="0" r="8890" b="8890"/>
                  <wp:docPr id="25" name="Picture 25"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4A1AEF8B" w14:textId="77777777" w:rsidR="00F97AF3" w:rsidRPr="00431C54" w:rsidRDefault="00F97AF3" w:rsidP="00431C54">
            <w:pPr>
              <w:pStyle w:val="Tabletext"/>
            </w:pPr>
          </w:p>
        </w:tc>
      </w:tr>
      <w:tr w:rsidR="00F97AF3" w:rsidRPr="00431C54" w14:paraId="2E9C4B50" w14:textId="77777777" w:rsidTr="00431C54">
        <w:tc>
          <w:tcPr>
            <w:tcW w:w="2952" w:type="dxa"/>
          </w:tcPr>
          <w:p w14:paraId="59694A69" w14:textId="77777777" w:rsidR="00F97AF3" w:rsidRPr="00431C54" w:rsidRDefault="00F97AF3" w:rsidP="00431C54">
            <w:pPr>
              <w:pStyle w:val="Tabletext"/>
            </w:pPr>
            <w:r w:rsidRPr="00431C54">
              <w:t>Optimise time of attendance at college while supplying host employer with another apprentice</w:t>
            </w:r>
          </w:p>
        </w:tc>
        <w:tc>
          <w:tcPr>
            <w:tcW w:w="2905" w:type="dxa"/>
          </w:tcPr>
          <w:p w14:paraId="3758950E" w14:textId="77777777" w:rsidR="00F97AF3" w:rsidRPr="00431C54" w:rsidRDefault="00F97AF3" w:rsidP="00431C54">
            <w:pPr>
              <w:pStyle w:val="Tabletext"/>
            </w:pPr>
            <w:r w:rsidRPr="00431C54">
              <w:rPr>
                <w:noProof/>
              </w:rPr>
              <w:drawing>
                <wp:inline distT="0" distB="0" distL="0" distR="0" wp14:anchorId="5913DD8A" wp14:editId="6A26D22B">
                  <wp:extent cx="124460" cy="124460"/>
                  <wp:effectExtent l="0" t="0" r="8890" b="8890"/>
                  <wp:docPr id="26" name="Picture 26"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5C5B1E0A" w14:textId="77777777" w:rsidR="00F97AF3" w:rsidRPr="00431C54" w:rsidRDefault="00F97AF3" w:rsidP="00431C54">
            <w:pPr>
              <w:pStyle w:val="Tabletext"/>
            </w:pPr>
          </w:p>
        </w:tc>
      </w:tr>
      <w:tr w:rsidR="00F97AF3" w:rsidRPr="00431C54" w14:paraId="2652BBC9" w14:textId="77777777" w:rsidTr="00431C54">
        <w:tc>
          <w:tcPr>
            <w:tcW w:w="2952" w:type="dxa"/>
          </w:tcPr>
          <w:p w14:paraId="3D020232" w14:textId="77777777" w:rsidR="00F97AF3" w:rsidRPr="00431C54" w:rsidRDefault="00F97AF3" w:rsidP="00431C54">
            <w:pPr>
              <w:pStyle w:val="Tabletext"/>
            </w:pPr>
            <w:r w:rsidRPr="00431C54">
              <w:t xml:space="preserve">Able to provide </w:t>
            </w:r>
            <w:r w:rsidRPr="00431C54">
              <w:rPr>
                <w:noProof/>
              </w:rPr>
              <w:t>full</w:t>
            </w:r>
            <w:r w:rsidRPr="00431C54">
              <w:t xml:space="preserve"> range of skills to work in the industry</w:t>
            </w:r>
          </w:p>
        </w:tc>
        <w:tc>
          <w:tcPr>
            <w:tcW w:w="2905" w:type="dxa"/>
          </w:tcPr>
          <w:p w14:paraId="111B129B" w14:textId="77777777" w:rsidR="00F97AF3" w:rsidRPr="00431C54" w:rsidRDefault="00F97AF3" w:rsidP="00431C54">
            <w:pPr>
              <w:pStyle w:val="Tabletext"/>
            </w:pPr>
            <w:r w:rsidRPr="00431C54">
              <w:rPr>
                <w:noProof/>
              </w:rPr>
              <w:drawing>
                <wp:inline distT="0" distB="0" distL="0" distR="0" wp14:anchorId="6E59B00F" wp14:editId="01C413A2">
                  <wp:extent cx="124460" cy="124460"/>
                  <wp:effectExtent l="0" t="0" r="8890" b="8890"/>
                  <wp:docPr id="29" name="Picture 29" descr="C:\Program Files (x86)\Microsoft Office\MEDIA\OFFICE14\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4\Bullets\BD21301_.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p>
        </w:tc>
        <w:tc>
          <w:tcPr>
            <w:tcW w:w="2921" w:type="dxa"/>
          </w:tcPr>
          <w:p w14:paraId="56A58100" w14:textId="77777777" w:rsidR="00F97AF3" w:rsidRPr="00431C54" w:rsidRDefault="00F97AF3" w:rsidP="00431C54">
            <w:pPr>
              <w:pStyle w:val="Tabletext"/>
            </w:pPr>
          </w:p>
        </w:tc>
      </w:tr>
    </w:tbl>
    <w:tbl>
      <w:tblPr>
        <w:tblW w:w="0" w:type="auto"/>
        <w:tblLook w:val="04A0" w:firstRow="1" w:lastRow="0" w:firstColumn="1" w:lastColumn="0" w:noHBand="0" w:noVBand="1"/>
      </w:tblPr>
      <w:tblGrid>
        <w:gridCol w:w="2952"/>
        <w:gridCol w:w="2905"/>
        <w:gridCol w:w="2921"/>
      </w:tblGrid>
      <w:tr w:rsidR="00F97AF3" w14:paraId="55439B94" w14:textId="77777777" w:rsidTr="00431C54">
        <w:tc>
          <w:tcPr>
            <w:tcW w:w="2952" w:type="dxa"/>
          </w:tcPr>
          <w:p w14:paraId="4EFADF3E" w14:textId="77777777" w:rsidR="00F97AF3" w:rsidRDefault="00F97AF3" w:rsidP="00DC4BE9">
            <w:pPr>
              <w:pStyle w:val="Tabletext"/>
            </w:pPr>
            <w:r>
              <w:t>Tax incentives</w:t>
            </w:r>
          </w:p>
        </w:tc>
        <w:tc>
          <w:tcPr>
            <w:tcW w:w="2905" w:type="dxa"/>
            <w:shd w:val="clear" w:color="auto" w:fill="auto"/>
          </w:tcPr>
          <w:p w14:paraId="09532378" w14:textId="12C30E78" w:rsidR="00F97AF3" w:rsidRDefault="00F97AF3" w:rsidP="00DC4BE9">
            <w:pPr>
              <w:pStyle w:val="Tabletext"/>
              <w:rPr>
                <w:noProof/>
                <w:lang w:eastAsia="en-AU"/>
              </w:rPr>
            </w:pPr>
            <w:r w:rsidRPr="00513394">
              <w:rPr>
                <w:noProof/>
                <w:lang w:eastAsia="en-AU"/>
              </w:rPr>
              <w:drawing>
                <wp:inline distT="0" distB="0" distL="0" distR="0" wp14:anchorId="5A31DBC8" wp14:editId="45C96EC3">
                  <wp:extent cx="121920" cy="1219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sidRPr="00513394">
              <w:rPr>
                <w:noProof/>
                <w:lang w:eastAsia="en-AU"/>
              </w:rPr>
              <w:t xml:space="preserve"> (for GTOs which are registered charities in some </w:t>
            </w:r>
            <w:r w:rsidR="008D3859">
              <w:rPr>
                <w:noProof/>
                <w:lang w:eastAsia="en-AU"/>
              </w:rPr>
              <w:t>s</w:t>
            </w:r>
            <w:r w:rsidRPr="00513394">
              <w:rPr>
                <w:noProof/>
                <w:lang w:eastAsia="en-AU"/>
              </w:rPr>
              <w:t>tates)</w:t>
            </w:r>
          </w:p>
        </w:tc>
        <w:tc>
          <w:tcPr>
            <w:tcW w:w="2921" w:type="dxa"/>
          </w:tcPr>
          <w:p w14:paraId="5584732E" w14:textId="77777777" w:rsidR="00F97AF3" w:rsidRDefault="00F97AF3" w:rsidP="00DC4BE9">
            <w:pPr>
              <w:pStyle w:val="Tabletext"/>
              <w:rPr>
                <w:noProof/>
                <w:lang w:eastAsia="en-AU"/>
              </w:rPr>
            </w:pPr>
            <w:r>
              <w:rPr>
                <w:noProof/>
                <w:lang w:eastAsia="en-AU"/>
              </w:rPr>
              <w:drawing>
                <wp:inline distT="0" distB="0" distL="0" distR="0" wp14:anchorId="5BAAF6EB" wp14:editId="48CF8B88">
                  <wp:extent cx="121920" cy="121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05"/>
        <w:gridCol w:w="2921"/>
      </w:tblGrid>
      <w:tr w:rsidR="00F97AF3" w14:paraId="3407684C" w14:textId="77777777" w:rsidTr="00431C54">
        <w:tc>
          <w:tcPr>
            <w:tcW w:w="2952" w:type="dxa"/>
          </w:tcPr>
          <w:p w14:paraId="1DB45DE0" w14:textId="35B306C9" w:rsidR="00F97AF3" w:rsidRDefault="00F97AF3" w:rsidP="00DC4BE9">
            <w:pPr>
              <w:pStyle w:val="Tabletext"/>
            </w:pPr>
            <w:r w:rsidRPr="00C35458">
              <w:t xml:space="preserve">Subsidy </w:t>
            </w:r>
            <w:r>
              <w:t xml:space="preserve">for disadvantaged apprentices (disabilities, </w:t>
            </w:r>
            <w:r w:rsidR="008D3859">
              <w:t>I</w:t>
            </w:r>
            <w:r>
              <w:t xml:space="preserve">ndigenous, rural areas </w:t>
            </w:r>
            <w:r w:rsidRPr="00431C54">
              <w:rPr>
                <w:noProof/>
              </w:rPr>
              <w:t>etc.</w:t>
            </w:r>
            <w:r>
              <w:t>)</w:t>
            </w:r>
          </w:p>
        </w:tc>
        <w:tc>
          <w:tcPr>
            <w:tcW w:w="2905" w:type="dxa"/>
          </w:tcPr>
          <w:p w14:paraId="2B821D70" w14:textId="77777777" w:rsidR="00F97AF3" w:rsidRDefault="00F97AF3" w:rsidP="00DC4BE9">
            <w:pPr>
              <w:pStyle w:val="Tabletext"/>
              <w:rPr>
                <w:noProof/>
                <w:lang w:eastAsia="en-AU"/>
              </w:rPr>
            </w:pPr>
            <w:r>
              <w:rPr>
                <w:noProof/>
                <w:lang w:eastAsia="en-AU"/>
              </w:rPr>
              <w:drawing>
                <wp:inline distT="0" distB="0" distL="0" distR="0" wp14:anchorId="5D28CB67" wp14:editId="011016F2">
                  <wp:extent cx="121920" cy="12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2921" w:type="dxa"/>
          </w:tcPr>
          <w:p w14:paraId="39B01AF8" w14:textId="77777777" w:rsidR="00F97AF3" w:rsidRDefault="00F97AF3" w:rsidP="00DC4BE9">
            <w:pPr>
              <w:pStyle w:val="Tabletext"/>
              <w:rPr>
                <w:noProof/>
                <w:lang w:eastAsia="en-AU"/>
              </w:rPr>
            </w:pPr>
            <w:r>
              <w:rPr>
                <w:noProof/>
                <w:lang w:eastAsia="en-AU"/>
              </w:rPr>
              <w:drawing>
                <wp:inline distT="0" distB="0" distL="0" distR="0" wp14:anchorId="614D044C" wp14:editId="62AAD543">
                  <wp:extent cx="121920" cy="121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r>
      <w:tr w:rsidR="00F97AF3" w14:paraId="01E5A2D1" w14:textId="77777777" w:rsidTr="00431C54">
        <w:tc>
          <w:tcPr>
            <w:tcW w:w="2952" w:type="dxa"/>
          </w:tcPr>
          <w:p w14:paraId="1B38FB09" w14:textId="77777777" w:rsidR="00F97AF3" w:rsidRPr="00C35458" w:rsidRDefault="00F97AF3" w:rsidP="00DC4BE9">
            <w:pPr>
              <w:pStyle w:val="Tabletext"/>
            </w:pPr>
            <w:r>
              <w:t xml:space="preserve">Cash incentives to take on </w:t>
            </w:r>
            <w:r w:rsidRPr="00431C54">
              <w:rPr>
                <w:noProof/>
              </w:rPr>
              <w:t>apprentice</w:t>
            </w:r>
          </w:p>
        </w:tc>
        <w:tc>
          <w:tcPr>
            <w:tcW w:w="2905" w:type="dxa"/>
          </w:tcPr>
          <w:p w14:paraId="7403506C" w14:textId="77777777" w:rsidR="00F97AF3" w:rsidRDefault="00F97AF3" w:rsidP="00DC4BE9">
            <w:pPr>
              <w:pStyle w:val="Tabletext"/>
              <w:rPr>
                <w:noProof/>
                <w:lang w:eastAsia="en-AU"/>
              </w:rPr>
            </w:pPr>
            <w:r>
              <w:rPr>
                <w:noProof/>
                <w:lang w:eastAsia="en-AU"/>
              </w:rPr>
              <w:drawing>
                <wp:inline distT="0" distB="0" distL="0" distR="0" wp14:anchorId="4EC46818" wp14:editId="5FDA4B1E">
                  <wp:extent cx="121920" cy="1219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2921" w:type="dxa"/>
          </w:tcPr>
          <w:p w14:paraId="3E313C5D" w14:textId="77777777" w:rsidR="00F97AF3" w:rsidRDefault="00F97AF3" w:rsidP="00DC4BE9">
            <w:pPr>
              <w:pStyle w:val="Tabletext"/>
              <w:rPr>
                <w:noProof/>
                <w:lang w:eastAsia="en-AU"/>
              </w:rPr>
            </w:pPr>
            <w:r>
              <w:rPr>
                <w:noProof/>
                <w:lang w:eastAsia="en-AU"/>
              </w:rPr>
              <w:drawing>
                <wp:inline distT="0" distB="0" distL="0" distR="0" wp14:anchorId="5480950A" wp14:editId="63E283FC">
                  <wp:extent cx="121920" cy="12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r>
      <w:tr w:rsidR="00F97AF3" w14:paraId="21FD5F91" w14:textId="77777777" w:rsidTr="00431C54">
        <w:tc>
          <w:tcPr>
            <w:tcW w:w="2952" w:type="dxa"/>
          </w:tcPr>
          <w:p w14:paraId="61A3D609" w14:textId="77777777" w:rsidR="00F97AF3" w:rsidRDefault="00F97AF3" w:rsidP="00DC4BE9">
            <w:pPr>
              <w:pStyle w:val="Tabletext"/>
            </w:pPr>
            <w:r>
              <w:t xml:space="preserve">Subsidy for occupations on </w:t>
            </w:r>
            <w:r w:rsidRPr="00081836">
              <w:rPr>
                <w:noProof/>
              </w:rPr>
              <w:t>nat</w:t>
            </w:r>
            <w:r>
              <w:rPr>
                <w:noProof/>
              </w:rPr>
              <w:t>i</w:t>
            </w:r>
            <w:r w:rsidRPr="00081836">
              <w:rPr>
                <w:noProof/>
              </w:rPr>
              <w:t>onal</w:t>
            </w:r>
            <w:r>
              <w:t xml:space="preserve"> Skills Needs List</w:t>
            </w:r>
          </w:p>
        </w:tc>
        <w:tc>
          <w:tcPr>
            <w:tcW w:w="2905" w:type="dxa"/>
          </w:tcPr>
          <w:p w14:paraId="6556F442" w14:textId="77777777" w:rsidR="00F97AF3" w:rsidRDefault="00F97AF3" w:rsidP="00DC4BE9">
            <w:pPr>
              <w:pStyle w:val="Tabletext"/>
              <w:rPr>
                <w:noProof/>
                <w:lang w:eastAsia="en-AU"/>
              </w:rPr>
            </w:pPr>
          </w:p>
        </w:tc>
        <w:tc>
          <w:tcPr>
            <w:tcW w:w="2921" w:type="dxa"/>
          </w:tcPr>
          <w:p w14:paraId="53E5626A" w14:textId="77777777" w:rsidR="00F97AF3" w:rsidRDefault="00F97AF3" w:rsidP="00DC4BE9">
            <w:pPr>
              <w:pStyle w:val="Tabletext"/>
              <w:rPr>
                <w:noProof/>
                <w:lang w:eastAsia="en-AU"/>
              </w:rPr>
            </w:pPr>
            <w:r>
              <w:rPr>
                <w:noProof/>
                <w:lang w:eastAsia="en-AU"/>
              </w:rPr>
              <w:drawing>
                <wp:inline distT="0" distB="0" distL="0" distR="0" wp14:anchorId="03EE5535" wp14:editId="694792FD">
                  <wp:extent cx="121920" cy="121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r>
      <w:tr w:rsidR="00F97AF3" w14:paraId="4CCD16BE" w14:textId="77777777" w:rsidTr="00CC430A">
        <w:tc>
          <w:tcPr>
            <w:tcW w:w="2952" w:type="dxa"/>
          </w:tcPr>
          <w:p w14:paraId="1047F61A" w14:textId="77777777" w:rsidR="00F97AF3" w:rsidRDefault="00F97AF3" w:rsidP="00DC4BE9">
            <w:pPr>
              <w:pStyle w:val="Tabletext"/>
            </w:pPr>
            <w:r>
              <w:t>Able to move apprentices to different host employers</w:t>
            </w:r>
          </w:p>
        </w:tc>
        <w:tc>
          <w:tcPr>
            <w:tcW w:w="2905" w:type="dxa"/>
          </w:tcPr>
          <w:p w14:paraId="33B8EE4E" w14:textId="77777777" w:rsidR="00F97AF3" w:rsidRDefault="00F97AF3" w:rsidP="00DC4BE9">
            <w:pPr>
              <w:pStyle w:val="Tabletext"/>
              <w:rPr>
                <w:noProof/>
                <w:lang w:eastAsia="en-AU"/>
              </w:rPr>
            </w:pPr>
            <w:r>
              <w:rPr>
                <w:noProof/>
                <w:lang w:eastAsia="en-AU"/>
              </w:rPr>
              <w:drawing>
                <wp:inline distT="0" distB="0" distL="0" distR="0" wp14:anchorId="79DEF1B6" wp14:editId="78EBD258">
                  <wp:extent cx="121920" cy="1219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2921" w:type="dxa"/>
          </w:tcPr>
          <w:p w14:paraId="589AFC47" w14:textId="77777777" w:rsidR="00F97AF3" w:rsidRDefault="00F97AF3" w:rsidP="00DC4BE9">
            <w:pPr>
              <w:pStyle w:val="Tabletext"/>
              <w:rPr>
                <w:noProof/>
                <w:lang w:eastAsia="en-AU"/>
              </w:rPr>
            </w:pPr>
          </w:p>
        </w:tc>
      </w:tr>
      <w:tr w:rsidR="00F97AF3" w14:paraId="0FCC9388" w14:textId="77777777" w:rsidTr="00CC430A">
        <w:tc>
          <w:tcPr>
            <w:tcW w:w="2952" w:type="dxa"/>
            <w:tcBorders>
              <w:bottom w:val="single" w:sz="4" w:space="0" w:color="auto"/>
            </w:tcBorders>
          </w:tcPr>
          <w:p w14:paraId="72EE66E3" w14:textId="77777777" w:rsidR="00F97AF3" w:rsidRDefault="00F97AF3" w:rsidP="00DC4BE9">
            <w:pPr>
              <w:pStyle w:val="Tabletext"/>
            </w:pPr>
            <w:r>
              <w:t xml:space="preserve">Cash incentives for </w:t>
            </w:r>
            <w:r w:rsidRPr="00081836">
              <w:rPr>
                <w:noProof/>
              </w:rPr>
              <w:t>empl</w:t>
            </w:r>
            <w:r>
              <w:rPr>
                <w:noProof/>
              </w:rPr>
              <w:t>o</w:t>
            </w:r>
            <w:r w:rsidRPr="00081836">
              <w:rPr>
                <w:noProof/>
              </w:rPr>
              <w:t>yers</w:t>
            </w:r>
            <w:r>
              <w:t xml:space="preserve"> whose apprentices </w:t>
            </w:r>
            <w:r w:rsidRPr="00081836">
              <w:rPr>
                <w:noProof/>
              </w:rPr>
              <w:t>complete</w:t>
            </w:r>
          </w:p>
        </w:tc>
        <w:tc>
          <w:tcPr>
            <w:tcW w:w="2905" w:type="dxa"/>
            <w:tcBorders>
              <w:bottom w:val="single" w:sz="4" w:space="0" w:color="auto"/>
            </w:tcBorders>
          </w:tcPr>
          <w:p w14:paraId="3EEE19F0" w14:textId="77777777" w:rsidR="00F97AF3" w:rsidRDefault="00F97AF3" w:rsidP="00DC4BE9">
            <w:pPr>
              <w:pStyle w:val="Tabletext"/>
              <w:rPr>
                <w:noProof/>
                <w:lang w:eastAsia="en-AU"/>
              </w:rPr>
            </w:pPr>
            <w:r>
              <w:rPr>
                <w:noProof/>
                <w:lang w:eastAsia="en-AU"/>
              </w:rPr>
              <w:drawing>
                <wp:inline distT="0" distB="0" distL="0" distR="0" wp14:anchorId="09F1644C" wp14:editId="0CA1617F">
                  <wp:extent cx="121920" cy="1219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c>
          <w:tcPr>
            <w:tcW w:w="2921" w:type="dxa"/>
            <w:tcBorders>
              <w:bottom w:val="single" w:sz="4" w:space="0" w:color="auto"/>
            </w:tcBorders>
          </w:tcPr>
          <w:p w14:paraId="4F65CF3F" w14:textId="77777777" w:rsidR="00F97AF3" w:rsidRDefault="00F97AF3" w:rsidP="00DC4BE9">
            <w:pPr>
              <w:pStyle w:val="Tabletext"/>
              <w:rPr>
                <w:noProof/>
                <w:lang w:eastAsia="en-AU"/>
              </w:rPr>
            </w:pPr>
            <w:r>
              <w:rPr>
                <w:noProof/>
                <w:lang w:eastAsia="en-AU"/>
              </w:rPr>
              <w:drawing>
                <wp:inline distT="0" distB="0" distL="0" distR="0" wp14:anchorId="26260D38" wp14:editId="1CD5ED25">
                  <wp:extent cx="121920" cy="121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p>
        </w:tc>
      </w:tr>
    </w:tbl>
    <w:p w14:paraId="28969B35" w14:textId="77777777" w:rsidR="00431C54" w:rsidRDefault="00431C54" w:rsidP="00431C54">
      <w:pPr>
        <w:pStyle w:val="Tabletext"/>
      </w:pPr>
    </w:p>
    <w:p w14:paraId="3644949C" w14:textId="7B7DEA68" w:rsidR="00F97AF3" w:rsidRDefault="00F97AF3" w:rsidP="00431C54">
      <w:pPr>
        <w:pStyle w:val="Tabletext"/>
      </w:pPr>
      <w:r>
        <w:t xml:space="preserve">Source: </w:t>
      </w:r>
      <w:r w:rsidRPr="003B0620">
        <w:rPr>
          <w:noProof/>
        </w:rPr>
        <w:t>Literature</w:t>
      </w:r>
      <w:r>
        <w:t xml:space="preserve"> review</w:t>
      </w:r>
    </w:p>
    <w:p w14:paraId="0005F41A" w14:textId="31F4B446" w:rsidR="00F97AF3" w:rsidRDefault="00F97AF3" w:rsidP="00F97AF3">
      <w:pPr>
        <w:pStyle w:val="Text"/>
      </w:pPr>
      <w:r>
        <w:rPr>
          <w:noProof/>
        </w:rPr>
        <w:t>Some commentators argue</w:t>
      </w:r>
      <w:r w:rsidRPr="00CA62D8">
        <w:rPr>
          <w:noProof/>
        </w:rPr>
        <w:t xml:space="preserve"> that only a relatively small proportion of employers will increase the provision of apprenticeships in response to financial incentives (</w:t>
      </w:r>
      <w:r w:rsidR="00EF7BBC">
        <w:rPr>
          <w:noProof/>
        </w:rPr>
        <w:t>for example,</w:t>
      </w:r>
      <w:r>
        <w:rPr>
          <w:noProof/>
        </w:rPr>
        <w:t xml:space="preserve"> </w:t>
      </w:r>
      <w:r w:rsidRPr="00CA62D8">
        <w:rPr>
          <w:noProof/>
        </w:rPr>
        <w:t xml:space="preserve">Kuczera 2017). </w:t>
      </w:r>
      <w:r>
        <w:rPr>
          <w:noProof/>
        </w:rPr>
        <w:t xml:space="preserve">Conversely, </w:t>
      </w:r>
      <w:r w:rsidRPr="00CA62D8">
        <w:rPr>
          <w:noProof/>
        </w:rPr>
        <w:t>Pfeife</w:t>
      </w:r>
      <w:r>
        <w:rPr>
          <w:noProof/>
        </w:rPr>
        <w:t xml:space="preserve">r (2016) found </w:t>
      </w:r>
      <w:r w:rsidRPr="003B0620">
        <w:rPr>
          <w:noProof/>
        </w:rPr>
        <w:t>withdrawal</w:t>
      </w:r>
      <w:r>
        <w:rPr>
          <w:noProof/>
        </w:rPr>
        <w:t xml:space="preserve"> of subsidies</w:t>
      </w:r>
      <w:r w:rsidRPr="00CA62D8">
        <w:rPr>
          <w:noProof/>
        </w:rPr>
        <w:t xml:space="preserve"> led to a decline in apprenticeship provision in sectors where employers could not count on the long-term benefits from apprenticeships.</w:t>
      </w:r>
      <w:r w:rsidRPr="00297E0E">
        <w:t xml:space="preserve"> These employers were not able to break even by the end of the program without the subsidy.</w:t>
      </w:r>
      <w:r>
        <w:t xml:space="preserve"> Kuczera (2017) argues that f</w:t>
      </w:r>
      <w:r w:rsidRPr="00081836">
        <w:rPr>
          <w:noProof/>
        </w:rPr>
        <w:t>inancial</w:t>
      </w:r>
      <w:r w:rsidRPr="003A5A19">
        <w:t xml:space="preserve"> incentives for apprenticeships are likely to have modest effects</w:t>
      </w:r>
      <w:r w:rsidR="00CC07F5">
        <w:t xml:space="preserve"> (see further detail in the section on </w:t>
      </w:r>
      <w:r w:rsidR="008D3859">
        <w:t>apprentice incentives</w:t>
      </w:r>
      <w:r w:rsidR="00CC07F5">
        <w:t>)</w:t>
      </w:r>
      <w:r w:rsidRPr="003A5A19">
        <w:t xml:space="preserve"> and will usually involve substantial deadweight (i.e. they subsidise apprenticeships that would have </w:t>
      </w:r>
      <w:r w:rsidRPr="00431C54">
        <w:rPr>
          <w:noProof/>
        </w:rPr>
        <w:t>been provided</w:t>
      </w:r>
      <w:r w:rsidRPr="003A5A19">
        <w:t xml:space="preserve"> </w:t>
      </w:r>
      <w:r w:rsidRPr="003B0620">
        <w:rPr>
          <w:noProof/>
        </w:rPr>
        <w:t>anyway</w:t>
      </w:r>
      <w:r w:rsidRPr="003A5A19">
        <w:t>).</w:t>
      </w:r>
      <w:r>
        <w:t xml:space="preserve"> There are also risks of unintended effects, such as encouraging the engagement of employers who are more interested in </w:t>
      </w:r>
      <w:r>
        <w:lastRenderedPageBreak/>
        <w:t xml:space="preserve">subsidies than skills development. </w:t>
      </w:r>
      <w:r w:rsidRPr="003A5A19">
        <w:t xml:space="preserve">Incentives should </w:t>
      </w:r>
      <w:r w:rsidRPr="003B0620">
        <w:rPr>
          <w:noProof/>
        </w:rPr>
        <w:t>be used</w:t>
      </w:r>
      <w:r w:rsidRPr="003A5A19">
        <w:t xml:space="preserve"> with caution </w:t>
      </w:r>
      <w:r w:rsidRPr="003B0620">
        <w:rPr>
          <w:noProof/>
        </w:rPr>
        <w:t>and</w:t>
      </w:r>
      <w:r w:rsidRPr="003A5A19">
        <w:t xml:space="preserve"> their impact should be evaluated carefully, including displacement effects</w:t>
      </w:r>
      <w:r w:rsidRPr="004D6F8D">
        <w:rPr>
          <w:rFonts w:ascii="Times New Roman" w:hAnsi="Times New Roman"/>
          <w:color w:val="000000"/>
        </w:rPr>
        <w:t xml:space="preserve"> </w:t>
      </w:r>
      <w:r>
        <w:t xml:space="preserve">(Kuczera 2017). </w:t>
      </w:r>
    </w:p>
    <w:p w14:paraId="7FD21178" w14:textId="6E7A5F66" w:rsidR="00F97AF3" w:rsidRDefault="00F97AF3" w:rsidP="00F97AF3">
      <w:pPr>
        <w:pStyle w:val="Text"/>
      </w:pPr>
      <w:r>
        <w:t xml:space="preserve">Apprenticeship commencements, cancellations and completions patterns over the last 17 years by jurisdiction often show similar patterns, </w:t>
      </w:r>
      <w:r w:rsidR="008D3859">
        <w:t>indicating</w:t>
      </w:r>
      <w:r>
        <w:t xml:space="preserve"> that legislation and wider economic or social conditions may have more impact on completion rates than </w:t>
      </w:r>
      <w:r w:rsidRPr="00253685">
        <w:rPr>
          <w:noProof/>
        </w:rPr>
        <w:t>individual</w:t>
      </w:r>
      <w:r>
        <w:rPr>
          <w:noProof/>
        </w:rPr>
        <w:t>-</w:t>
      </w:r>
      <w:r w:rsidRPr="00253685">
        <w:rPr>
          <w:noProof/>
        </w:rPr>
        <w:t>level</w:t>
      </w:r>
      <w:r>
        <w:t xml:space="preserve"> factors (</w:t>
      </w:r>
      <w:r w:rsidR="00501FDD">
        <w:t>f</w:t>
      </w:r>
      <w:r>
        <w:t>igure 1</w:t>
      </w:r>
      <w:r w:rsidR="0004327C">
        <w:t>)</w:t>
      </w:r>
      <w:r w:rsidR="0096205E">
        <w:t>.</w:t>
      </w:r>
      <w:r>
        <w:t xml:space="preserve"> </w:t>
      </w:r>
      <w:r w:rsidR="0096205E">
        <w:t>A</w:t>
      </w:r>
      <w:r>
        <w:t xml:space="preserve">ll </w:t>
      </w:r>
      <w:r w:rsidR="0096205E">
        <w:t xml:space="preserve">states </w:t>
      </w:r>
      <w:r w:rsidR="0004327C">
        <w:t xml:space="preserve">except </w:t>
      </w:r>
      <w:bookmarkStart w:id="46" w:name="_Hlk19286443"/>
      <w:r w:rsidR="00310579">
        <w:t xml:space="preserve">the </w:t>
      </w:r>
      <w:r w:rsidR="0004327C">
        <w:t xml:space="preserve">Northern </w:t>
      </w:r>
      <w:r w:rsidR="00310579">
        <w:t>T</w:t>
      </w:r>
      <w:r w:rsidR="0004327C">
        <w:t xml:space="preserve">erritory </w:t>
      </w:r>
      <w:bookmarkEnd w:id="46"/>
      <w:r>
        <w:t xml:space="preserve">have </w:t>
      </w:r>
      <w:r w:rsidRPr="003B0620">
        <w:rPr>
          <w:noProof/>
        </w:rPr>
        <w:t>peaks</w:t>
      </w:r>
      <w:r>
        <w:t xml:space="preserve"> </w:t>
      </w:r>
      <w:r w:rsidR="0004327C">
        <w:t xml:space="preserve">in commencements </w:t>
      </w:r>
      <w:r>
        <w:t>in 2012</w:t>
      </w:r>
      <w:r w:rsidR="0004327C">
        <w:t xml:space="preserve"> (</w:t>
      </w:r>
      <w:r w:rsidR="00310579">
        <w:t xml:space="preserve">the </w:t>
      </w:r>
      <w:r w:rsidR="0004327C">
        <w:t xml:space="preserve">Northern </w:t>
      </w:r>
      <w:r w:rsidR="00310579">
        <w:t>T</w:t>
      </w:r>
      <w:r w:rsidR="0004327C">
        <w:t>erritory peaked in 2010)</w:t>
      </w:r>
      <w:r>
        <w:t xml:space="preserve">, followed by sharp declines in commencement rates. </w:t>
      </w:r>
      <w:r>
        <w:rPr>
          <w:noProof/>
        </w:rPr>
        <w:t>Before</w:t>
      </w:r>
      <w:r>
        <w:t xml:space="preserve"> 2012 the jurisdictions </w:t>
      </w:r>
      <w:r w:rsidRPr="00253685">
        <w:rPr>
          <w:noProof/>
        </w:rPr>
        <w:t>generally</w:t>
      </w:r>
      <w:r>
        <w:t xml:space="preserve"> showed a gradual increase in commencement rates. </w:t>
      </w:r>
      <w:r w:rsidR="0004327C" w:rsidRPr="0004327C">
        <w:t xml:space="preserve">Since 2012, there have been several reductions in the incentives paid to employers, which appear to have </w:t>
      </w:r>
      <w:r w:rsidR="00310579">
        <w:t>influenced</w:t>
      </w:r>
      <w:r w:rsidR="0004327C" w:rsidRPr="0004327C">
        <w:t xml:space="preserve"> commencements and completions of apprenticeships and traineeships (Atkinson and Stanwick 2016, p24). </w:t>
      </w:r>
      <w:r>
        <w:t xml:space="preserve">Although there are many </w:t>
      </w:r>
      <w:r w:rsidR="008C3D13">
        <w:t>similarities, the</w:t>
      </w:r>
      <w:r w:rsidR="006C0FC5">
        <w:t xml:space="preserve"> </w:t>
      </w:r>
      <w:r>
        <w:t xml:space="preserve">differences between the jurisdictions may reflect the impact of different </w:t>
      </w:r>
      <w:r w:rsidR="006C0FC5">
        <w:t>s</w:t>
      </w:r>
      <w:r>
        <w:t>tate-based legislative frameworks, policy initiatives</w:t>
      </w:r>
      <w:r w:rsidR="0004327C">
        <w:t>,</w:t>
      </w:r>
      <w:r>
        <w:t xml:space="preserve"> </w:t>
      </w:r>
      <w:r w:rsidR="0004327C">
        <w:t xml:space="preserve">and </w:t>
      </w:r>
      <w:r>
        <w:t xml:space="preserve">local </w:t>
      </w:r>
      <w:r w:rsidR="0004327C">
        <w:t xml:space="preserve">industry </w:t>
      </w:r>
      <w:r>
        <w:t>conditions</w:t>
      </w:r>
      <w:r w:rsidR="0004327C">
        <w:t xml:space="preserve">, as well as the jurisdictional profile of the mix of trade and non-trade, employer characteristics and apprentice and trainee characteristics. </w:t>
      </w:r>
      <w:r>
        <w:t xml:space="preserve"> </w:t>
      </w:r>
    </w:p>
    <w:p w14:paraId="41ACE79B" w14:textId="77777777" w:rsidR="00431C54" w:rsidRDefault="00F97AF3" w:rsidP="00F97AF3">
      <w:pPr>
        <w:spacing w:before="0" w:line="240" w:lineRule="auto"/>
        <w:rPr>
          <w:noProof/>
          <w:lang w:eastAsia="en-AU"/>
        </w:rPr>
      </w:pPr>
      <w:r>
        <w:rPr>
          <w:lang w:eastAsia="en-AU"/>
        </w:rPr>
        <w:br w:type="page"/>
      </w:r>
    </w:p>
    <w:p w14:paraId="5F3EEB55" w14:textId="2DBFFEFF" w:rsidR="00431C54" w:rsidRDefault="00431C54" w:rsidP="00431C54">
      <w:pPr>
        <w:pStyle w:val="Figuretitle"/>
        <w:rPr>
          <w:lang w:eastAsia="en-AU"/>
        </w:rPr>
      </w:pPr>
      <w:bookmarkStart w:id="47" w:name="_Toc15304995"/>
      <w:r>
        <w:rPr>
          <w:lang w:eastAsia="en-AU"/>
        </w:rPr>
        <w:lastRenderedPageBreak/>
        <w:t xml:space="preserve">Figure 1 </w:t>
      </w:r>
      <w:r w:rsidR="0065448A">
        <w:rPr>
          <w:lang w:eastAsia="en-AU"/>
        </w:rPr>
        <w:tab/>
      </w:r>
      <w:r w:rsidR="00E71965">
        <w:rPr>
          <w:lang w:eastAsia="en-AU"/>
        </w:rPr>
        <w:t>Number of a</w:t>
      </w:r>
      <w:r>
        <w:rPr>
          <w:lang w:eastAsia="en-AU"/>
        </w:rPr>
        <w:t xml:space="preserve">pprenticeship commencements, cancellations and completions by </w:t>
      </w:r>
      <w:r w:rsidR="006C0FC5">
        <w:rPr>
          <w:lang w:eastAsia="en-AU"/>
        </w:rPr>
        <w:t>s</w:t>
      </w:r>
      <w:r>
        <w:rPr>
          <w:lang w:eastAsia="en-AU"/>
        </w:rPr>
        <w:t>tate</w:t>
      </w:r>
      <w:r w:rsidR="009C3F4C">
        <w:rPr>
          <w:lang w:eastAsia="en-AU"/>
        </w:rPr>
        <w:t xml:space="preserve"> and territory</w:t>
      </w:r>
      <w:r>
        <w:rPr>
          <w:lang w:eastAsia="en-AU"/>
        </w:rPr>
        <w:t>, 1997</w:t>
      </w:r>
      <w:r w:rsidR="006C0FC5">
        <w:rPr>
          <w:lang w:eastAsia="en-AU"/>
        </w:rPr>
        <w:t>–</w:t>
      </w:r>
      <w:r>
        <w:rPr>
          <w:lang w:eastAsia="en-AU"/>
        </w:rPr>
        <w:t>2017</w:t>
      </w:r>
      <w:bookmarkEnd w:id="47"/>
    </w:p>
    <w:p w14:paraId="30CFB7B3" w14:textId="74C7F451" w:rsidR="00631F3B" w:rsidRDefault="00861079" w:rsidP="00431C54">
      <w:pPr>
        <w:pStyle w:val="Tabletext"/>
        <w:rPr>
          <w:noProof/>
          <w:lang w:eastAsia="en-AU"/>
        </w:rPr>
      </w:pPr>
      <w:r>
        <w:rPr>
          <w:noProof/>
          <w:lang w:eastAsia="en-AU"/>
        </w:rPr>
        <w:drawing>
          <wp:inline distT="0" distB="0" distL="0" distR="0" wp14:anchorId="207C189B" wp14:editId="23F6BD8A">
            <wp:extent cx="4457700" cy="8581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1562" cy="8647112"/>
                    </a:xfrm>
                    <a:prstGeom prst="rect">
                      <a:avLst/>
                    </a:prstGeom>
                    <a:noFill/>
                  </pic:spPr>
                </pic:pic>
              </a:graphicData>
            </a:graphic>
          </wp:inline>
        </w:drawing>
      </w:r>
    </w:p>
    <w:p w14:paraId="38F53383" w14:textId="1A62F9B3" w:rsidR="00F97AF3" w:rsidRDefault="00431C54" w:rsidP="00431C54">
      <w:pPr>
        <w:pStyle w:val="Tabletext"/>
        <w:rPr>
          <w:lang w:eastAsia="en-AU"/>
        </w:rPr>
      </w:pPr>
      <w:r>
        <w:rPr>
          <w:noProof/>
          <w:lang w:eastAsia="en-AU"/>
        </w:rPr>
        <w:t xml:space="preserve">Source: </w:t>
      </w:r>
      <w:r w:rsidR="006C0FC5">
        <w:rPr>
          <w:noProof/>
          <w:lang w:eastAsia="en-AU"/>
        </w:rPr>
        <w:t xml:space="preserve">National </w:t>
      </w:r>
      <w:r>
        <w:rPr>
          <w:noProof/>
          <w:lang w:eastAsia="en-AU"/>
        </w:rPr>
        <w:t>Apprentices and Trainees Collection 1997</w:t>
      </w:r>
      <w:r w:rsidR="006C0FC5">
        <w:rPr>
          <w:noProof/>
          <w:lang w:eastAsia="en-AU"/>
        </w:rPr>
        <w:t>–</w:t>
      </w:r>
      <w:r>
        <w:rPr>
          <w:noProof/>
          <w:lang w:eastAsia="en-AU"/>
        </w:rPr>
        <w:t>2017</w:t>
      </w:r>
      <w:r w:rsidR="006C0FC5">
        <w:rPr>
          <w:noProof/>
          <w:lang w:eastAsia="en-AU"/>
        </w:rPr>
        <w:t>.</w:t>
      </w:r>
    </w:p>
    <w:p w14:paraId="31C5F970" w14:textId="77777777" w:rsidR="00F97AF3" w:rsidRDefault="00F97AF3" w:rsidP="00C52605">
      <w:pPr>
        <w:pStyle w:val="Heading2"/>
      </w:pPr>
      <w:bookmarkStart w:id="48" w:name="_Toc15287585"/>
      <w:bookmarkStart w:id="49" w:name="_Toc17104054"/>
      <w:r>
        <w:lastRenderedPageBreak/>
        <w:t>Legislative frameworks</w:t>
      </w:r>
      <w:bookmarkEnd w:id="48"/>
      <w:bookmarkEnd w:id="49"/>
    </w:p>
    <w:p w14:paraId="12FF1728" w14:textId="4C34A5AF" w:rsidR="00F97AF3" w:rsidRPr="00752D58" w:rsidRDefault="00F97AF3" w:rsidP="00F97AF3">
      <w:pPr>
        <w:pStyle w:val="Text"/>
      </w:pPr>
      <w:bookmarkStart w:id="50" w:name="_Hlk536790444"/>
      <w:r w:rsidRPr="00752D58">
        <w:t>GTOs</w:t>
      </w:r>
      <w:r w:rsidR="00D2072F">
        <w:t>’</w:t>
      </w:r>
      <w:r w:rsidRPr="00752D58">
        <w:t xml:space="preserve"> administrative costs were funded jointly by the </w:t>
      </w:r>
      <w:r w:rsidR="00677FF5">
        <w:t>Commonwealth</w:t>
      </w:r>
      <w:r w:rsidRPr="00752D58">
        <w:t xml:space="preserve"> </w:t>
      </w:r>
      <w:r w:rsidR="006C0FC5">
        <w:t xml:space="preserve">Government </w:t>
      </w:r>
      <w:r w:rsidRPr="00752D58">
        <w:t xml:space="preserve">and </w:t>
      </w:r>
      <w:r w:rsidR="006C0FC5" w:rsidRPr="00752D58">
        <w:t xml:space="preserve">state </w:t>
      </w:r>
      <w:r w:rsidR="006C0FC5" w:rsidRPr="00431C54">
        <w:rPr>
          <w:noProof/>
        </w:rPr>
        <w:t>governments</w:t>
      </w:r>
      <w:r w:rsidR="006C0FC5">
        <w:rPr>
          <w:noProof/>
        </w:rPr>
        <w:t>,</w:t>
      </w:r>
      <w:r w:rsidR="006C0FC5" w:rsidRPr="00431C54">
        <w:rPr>
          <w:noProof/>
        </w:rPr>
        <w:t xml:space="preserve"> </w:t>
      </w:r>
      <w:r w:rsidRPr="00431C54">
        <w:rPr>
          <w:noProof/>
        </w:rPr>
        <w:t>beginning</w:t>
      </w:r>
      <w:r w:rsidRPr="00752D58">
        <w:t xml:space="preserve"> in 1981. The Joint Group Training program was introduced in 2003 to replace the Joint Policy Program of the late 1990s but ceased in 2016. These changes occurred within the wider context of </w:t>
      </w:r>
      <w:bookmarkStart w:id="51" w:name="_Hlk536790629"/>
      <w:r w:rsidRPr="00752D58">
        <w:t>funding cuts to VET in general (</w:t>
      </w:r>
      <w:r w:rsidR="00431C54">
        <w:t>Burke 2018</w:t>
      </w:r>
      <w:r w:rsidRPr="00752D58">
        <w:t>; also see Fowler 201</w:t>
      </w:r>
      <w:r w:rsidR="003927EF">
        <w:t>8</w:t>
      </w:r>
      <w:r w:rsidRPr="00752D58">
        <w:t xml:space="preserve"> for the reasons for the cuts), </w:t>
      </w:r>
      <w:r>
        <w:t>including the apprentice</w:t>
      </w:r>
      <w:r w:rsidRPr="00752D58">
        <w:t>ship and traineeship</w:t>
      </w:r>
      <w:r>
        <w:t xml:space="preserve"> sector</w:t>
      </w:r>
      <w:r w:rsidRPr="00752D58">
        <w:t>. Expenditure on VET peaked at $7.2 billion in 2012</w:t>
      </w:r>
      <w:r w:rsidR="00431C54">
        <w:t>,</w:t>
      </w:r>
      <w:r w:rsidRPr="00752D58">
        <w:t xml:space="preserve"> declined to $5.7</w:t>
      </w:r>
      <w:r>
        <w:t xml:space="preserve"> </w:t>
      </w:r>
      <w:r w:rsidRPr="00752D58">
        <w:t>billion in 2016</w:t>
      </w:r>
      <w:r w:rsidR="00431C54">
        <w:t xml:space="preserve"> and rose slightly to $6.1 billion</w:t>
      </w:r>
      <w:r>
        <w:t xml:space="preserve"> in 2017</w:t>
      </w:r>
      <w:r w:rsidRPr="00752D58">
        <w:t xml:space="preserve"> (</w:t>
      </w:r>
      <w:r w:rsidR="00F6305F">
        <w:t>P</w:t>
      </w:r>
      <w:r w:rsidR="00431C54">
        <w:t>roductivity Commi</w:t>
      </w:r>
      <w:r w:rsidR="00F6305F">
        <w:t>s</w:t>
      </w:r>
      <w:r w:rsidR="00431C54">
        <w:t>sion 2019</w:t>
      </w:r>
      <w:r w:rsidRPr="00752D58">
        <w:t>).</w:t>
      </w:r>
      <w:bookmarkEnd w:id="50"/>
      <w:bookmarkEnd w:id="51"/>
      <w:r w:rsidRPr="00752D58">
        <w:t xml:space="preserve"> </w:t>
      </w:r>
    </w:p>
    <w:p w14:paraId="5F28085C" w14:textId="447A05A1" w:rsidR="00F97AF3" w:rsidRDefault="00F97AF3" w:rsidP="00F97AF3">
      <w:pPr>
        <w:pStyle w:val="Text"/>
      </w:pPr>
      <w:r>
        <w:t>The NCVER Timeline of</w:t>
      </w:r>
      <w:r w:rsidR="00677FF5">
        <w:t xml:space="preserve"> Australian</w:t>
      </w:r>
      <w:r>
        <w:t xml:space="preserve"> VET </w:t>
      </w:r>
      <w:r w:rsidR="00677FF5">
        <w:t>p</w:t>
      </w:r>
      <w:r>
        <w:t xml:space="preserve">olicy </w:t>
      </w:r>
      <w:r w:rsidR="00677FF5">
        <w:t>i</w:t>
      </w:r>
      <w:r>
        <w:t>nitiatives</w:t>
      </w:r>
      <w:r w:rsidR="00677FF5">
        <w:t>: 1998-2018</w:t>
      </w:r>
      <w:r>
        <w:t xml:space="preserve"> (</w:t>
      </w:r>
      <w:hyperlink r:id="rId25" w:history="1">
        <w:r w:rsidR="00AF1C4A">
          <w:rPr>
            <w:rStyle w:val="Hyperlink"/>
          </w:rPr>
          <w:t>&lt;http</w:t>
        </w:r>
        <w:r w:rsidRPr="00267C11">
          <w:rPr>
            <w:rStyle w:val="Hyperlink"/>
          </w:rPr>
          <w:t>://www.voced.edu.au/vet-knowledge-bank-timeline-australian-vet-policy-initiatives</w:t>
        </w:r>
      </w:hyperlink>
      <w:r>
        <w:t xml:space="preserve">) was used to identify the timing of both Commonwealth and </w:t>
      </w:r>
      <w:r w:rsidR="006C0FC5">
        <w:t>s</w:t>
      </w:r>
      <w:r>
        <w:t>tate VET apprenticeship</w:t>
      </w:r>
      <w:r w:rsidR="006C0FC5">
        <w:t>-</w:t>
      </w:r>
      <w:r>
        <w:t>related policies</w:t>
      </w:r>
      <w:r w:rsidR="006C0FC5">
        <w:t>,</w:t>
      </w:r>
      <w:r>
        <w:t xml:space="preserve"> as well as a range of other relevant policies, programs or wider events, against patterns in apprenticeship commencements, completions and cancellations. They </w:t>
      </w:r>
      <w:r w:rsidRPr="00431C54">
        <w:rPr>
          <w:noProof/>
        </w:rPr>
        <w:t>are categorised</w:t>
      </w:r>
      <w:r>
        <w:t xml:space="preserve"> as:</w:t>
      </w:r>
    </w:p>
    <w:p w14:paraId="2751983A" w14:textId="15820907" w:rsidR="00F97AF3" w:rsidRPr="008F739E" w:rsidRDefault="00F97AF3" w:rsidP="00677FF5">
      <w:pPr>
        <w:pStyle w:val="Dotpoint1"/>
        <w:rPr>
          <w:lang w:eastAsia="en-AU"/>
        </w:rPr>
      </w:pPr>
      <w:r w:rsidRPr="008F739E">
        <w:rPr>
          <w:lang w:eastAsia="en-AU"/>
        </w:rPr>
        <w:t xml:space="preserve">significant reforms to the VET sector, such as </w:t>
      </w:r>
      <w:r w:rsidRPr="00431C54">
        <w:rPr>
          <w:noProof/>
          <w:lang w:eastAsia="en-AU"/>
        </w:rPr>
        <w:t>introduction</w:t>
      </w:r>
      <w:r w:rsidRPr="008F739E">
        <w:rPr>
          <w:lang w:eastAsia="en-AU"/>
        </w:rPr>
        <w:t xml:space="preserve"> of student loans and demand</w:t>
      </w:r>
      <w:r>
        <w:rPr>
          <w:lang w:eastAsia="en-AU"/>
        </w:rPr>
        <w:t>-</w:t>
      </w:r>
      <w:r w:rsidRPr="00CD3BC7">
        <w:rPr>
          <w:noProof/>
          <w:lang w:eastAsia="en-AU"/>
        </w:rPr>
        <w:t>driven</w:t>
      </w:r>
      <w:r w:rsidRPr="008F739E">
        <w:rPr>
          <w:lang w:eastAsia="en-AU"/>
        </w:rPr>
        <w:t xml:space="preserve"> models of training</w:t>
      </w:r>
    </w:p>
    <w:p w14:paraId="238E9274" w14:textId="58135EB3" w:rsidR="00F97AF3" w:rsidRPr="008F739E" w:rsidRDefault="00677FF5" w:rsidP="00677FF5">
      <w:pPr>
        <w:pStyle w:val="Dotpoint1"/>
        <w:rPr>
          <w:lang w:eastAsia="en-AU"/>
        </w:rPr>
      </w:pPr>
      <w:r>
        <w:rPr>
          <w:lang w:eastAsia="en-AU"/>
        </w:rPr>
        <w:t>r</w:t>
      </w:r>
      <w:r w:rsidR="00F97AF3" w:rsidRPr="008F739E">
        <w:rPr>
          <w:lang w:eastAsia="en-AU"/>
        </w:rPr>
        <w:t>egulation</w:t>
      </w:r>
      <w:r>
        <w:rPr>
          <w:lang w:eastAsia="en-AU"/>
        </w:rPr>
        <w:t>s,</w:t>
      </w:r>
      <w:r w:rsidR="00F97AF3" w:rsidRPr="008F739E">
        <w:rPr>
          <w:lang w:eastAsia="en-AU"/>
        </w:rPr>
        <w:t xml:space="preserve"> </w:t>
      </w:r>
      <w:r w:rsidR="00F97AF3" w:rsidRPr="00431C54">
        <w:rPr>
          <w:noProof/>
          <w:lang w:eastAsia="en-AU"/>
        </w:rPr>
        <w:t>legislation</w:t>
      </w:r>
      <w:r w:rsidR="00F97AF3" w:rsidRPr="008F739E">
        <w:rPr>
          <w:lang w:eastAsia="en-AU"/>
        </w:rPr>
        <w:t>, funding and other government-d</w:t>
      </w:r>
      <w:r w:rsidR="00F97AF3">
        <w:rPr>
          <w:lang w:eastAsia="en-AU"/>
        </w:rPr>
        <w:t>riven impacts on the VET sector</w:t>
      </w:r>
    </w:p>
    <w:p w14:paraId="0C517241" w14:textId="4A737E51" w:rsidR="00F97AF3" w:rsidRPr="008F739E" w:rsidRDefault="00677FF5" w:rsidP="00311092">
      <w:pPr>
        <w:pStyle w:val="Dotpoint1"/>
        <w:rPr>
          <w:lang w:eastAsia="en-AU"/>
        </w:rPr>
      </w:pPr>
      <w:r>
        <w:rPr>
          <w:lang w:eastAsia="en-AU"/>
        </w:rPr>
        <w:t>i</w:t>
      </w:r>
      <w:r w:rsidRPr="008F739E">
        <w:rPr>
          <w:lang w:eastAsia="en-AU"/>
        </w:rPr>
        <w:t>nitiatives</w:t>
      </w:r>
      <w:r w:rsidR="00F97AF3" w:rsidRPr="008F739E">
        <w:rPr>
          <w:lang w:eastAsia="en-AU"/>
        </w:rPr>
        <w:t xml:space="preserve"> that were aimed to increase participation in VET</w:t>
      </w:r>
    </w:p>
    <w:p w14:paraId="2336663A" w14:textId="27CCFD1C" w:rsidR="00F97AF3" w:rsidRPr="008F739E" w:rsidRDefault="00677FF5" w:rsidP="00311092">
      <w:pPr>
        <w:pStyle w:val="Dotpoint1"/>
        <w:rPr>
          <w:lang w:eastAsia="en-AU"/>
        </w:rPr>
      </w:pPr>
      <w:r>
        <w:rPr>
          <w:lang w:eastAsia="en-AU"/>
        </w:rPr>
        <w:t>s</w:t>
      </w:r>
      <w:r w:rsidR="00F97AF3" w:rsidRPr="008F739E">
        <w:rPr>
          <w:lang w:eastAsia="en-AU"/>
        </w:rPr>
        <w:t>ocial</w:t>
      </w:r>
      <w:r>
        <w:rPr>
          <w:lang w:eastAsia="en-AU"/>
        </w:rPr>
        <w:t xml:space="preserve"> </w:t>
      </w:r>
      <w:r w:rsidR="00F97AF3" w:rsidRPr="008F739E">
        <w:rPr>
          <w:lang w:eastAsia="en-AU"/>
        </w:rPr>
        <w:t xml:space="preserve">initiatives </w:t>
      </w:r>
      <w:r w:rsidR="00F97AF3">
        <w:rPr>
          <w:lang w:eastAsia="en-AU"/>
        </w:rPr>
        <w:t>with</w:t>
      </w:r>
      <w:r w:rsidR="00F97AF3" w:rsidRPr="008F739E">
        <w:rPr>
          <w:lang w:eastAsia="en-AU"/>
        </w:rPr>
        <w:t xml:space="preserve"> a social inclusion element, for example, initiatives to support disadvantaged learners</w:t>
      </w:r>
    </w:p>
    <w:p w14:paraId="09CB7F20" w14:textId="5544AFD7" w:rsidR="00F97AF3" w:rsidRPr="008F739E" w:rsidRDefault="00F97AF3" w:rsidP="00311092">
      <w:pPr>
        <w:pStyle w:val="Dotpoint1"/>
        <w:rPr>
          <w:lang w:eastAsia="en-AU"/>
        </w:rPr>
      </w:pPr>
      <w:r w:rsidRPr="008F739E">
        <w:rPr>
          <w:lang w:eastAsia="en-AU"/>
        </w:rPr>
        <w:t xml:space="preserve">direct impact on commencement </w:t>
      </w:r>
      <w:r w:rsidRPr="00253685">
        <w:rPr>
          <w:noProof/>
          <w:lang w:eastAsia="en-AU"/>
        </w:rPr>
        <w:t>and</w:t>
      </w:r>
      <w:r w:rsidRPr="008F739E">
        <w:rPr>
          <w:lang w:eastAsia="en-AU"/>
        </w:rPr>
        <w:t xml:space="preserve"> completion of apprenticeships or traineeships</w:t>
      </w:r>
    </w:p>
    <w:p w14:paraId="3AF46CE8" w14:textId="738AB86E" w:rsidR="00F97AF3" w:rsidRPr="008F739E" w:rsidRDefault="00F97AF3" w:rsidP="00311092">
      <w:pPr>
        <w:pStyle w:val="Dotpoint1"/>
        <w:rPr>
          <w:lang w:eastAsia="en-AU"/>
        </w:rPr>
      </w:pPr>
      <w:r>
        <w:rPr>
          <w:lang w:eastAsia="en-AU"/>
        </w:rPr>
        <w:t xml:space="preserve">VET in </w:t>
      </w:r>
      <w:r w:rsidR="006C0FC5">
        <w:rPr>
          <w:lang w:eastAsia="en-AU"/>
        </w:rPr>
        <w:t>S</w:t>
      </w:r>
      <w:r>
        <w:rPr>
          <w:lang w:eastAsia="en-AU"/>
        </w:rPr>
        <w:t>chools</w:t>
      </w:r>
      <w:r w:rsidR="00677FF5">
        <w:rPr>
          <w:lang w:eastAsia="en-AU"/>
        </w:rPr>
        <w:t xml:space="preserve"> </w:t>
      </w:r>
      <w:r w:rsidRPr="008F739E">
        <w:rPr>
          <w:lang w:eastAsia="en-AU"/>
        </w:rPr>
        <w:t xml:space="preserve">focused on VET </w:t>
      </w:r>
      <w:r w:rsidRPr="00431C54">
        <w:rPr>
          <w:noProof/>
          <w:lang w:eastAsia="en-AU"/>
        </w:rPr>
        <w:t>undertaken</w:t>
      </w:r>
      <w:r w:rsidRPr="008F739E">
        <w:rPr>
          <w:lang w:eastAsia="en-AU"/>
        </w:rPr>
        <w:t xml:space="preserve"> at </w:t>
      </w:r>
      <w:r w:rsidRPr="00431C54">
        <w:rPr>
          <w:noProof/>
          <w:lang w:eastAsia="en-AU"/>
        </w:rPr>
        <w:t>school</w:t>
      </w:r>
      <w:r w:rsidRPr="008F739E">
        <w:rPr>
          <w:lang w:eastAsia="en-AU"/>
        </w:rPr>
        <w:t>, such as part of the senior secondary certificate or a school-based apprenticeship or traineeship</w:t>
      </w:r>
    </w:p>
    <w:p w14:paraId="5DF26EE2" w14:textId="1982D2E0" w:rsidR="00F97AF3" w:rsidRPr="008F739E" w:rsidRDefault="00677FF5" w:rsidP="00311092">
      <w:pPr>
        <w:pStyle w:val="Dotpoint1"/>
        <w:rPr>
          <w:lang w:eastAsia="en-AU"/>
        </w:rPr>
      </w:pPr>
      <w:r>
        <w:rPr>
          <w:lang w:eastAsia="en-AU"/>
        </w:rPr>
        <w:t>e</w:t>
      </w:r>
      <w:r w:rsidR="00F97AF3" w:rsidRPr="008F739E">
        <w:rPr>
          <w:lang w:eastAsia="en-AU"/>
        </w:rPr>
        <w:t>conomic objective</w:t>
      </w:r>
      <w:r>
        <w:rPr>
          <w:lang w:eastAsia="en-AU"/>
        </w:rPr>
        <w:t xml:space="preserve"> </w:t>
      </w:r>
      <w:r w:rsidR="00F97AF3">
        <w:rPr>
          <w:lang w:eastAsia="en-AU"/>
        </w:rPr>
        <w:t>i</w:t>
      </w:r>
      <w:r w:rsidR="00F97AF3" w:rsidRPr="008F739E">
        <w:rPr>
          <w:lang w:eastAsia="en-AU"/>
        </w:rPr>
        <w:t>nitiatives focused on improving labour market outcomes in a local area, such as skills shortages and retrenched workers</w:t>
      </w:r>
    </w:p>
    <w:p w14:paraId="3A7A4CE1" w14:textId="34363455" w:rsidR="00F97AF3" w:rsidRPr="008F739E" w:rsidRDefault="00F97AF3" w:rsidP="00311092">
      <w:pPr>
        <w:pStyle w:val="Dotpoint1"/>
        <w:rPr>
          <w:lang w:eastAsia="en-AU"/>
        </w:rPr>
      </w:pPr>
      <w:r w:rsidRPr="00431C54">
        <w:rPr>
          <w:noProof/>
          <w:lang w:eastAsia="en-AU"/>
        </w:rPr>
        <w:t xml:space="preserve">broad-ranging events </w:t>
      </w:r>
      <w:r w:rsidR="006C0FC5">
        <w:rPr>
          <w:noProof/>
          <w:lang w:eastAsia="en-AU"/>
        </w:rPr>
        <w:t>with</w:t>
      </w:r>
      <w:r w:rsidRPr="00431C54">
        <w:rPr>
          <w:noProof/>
          <w:lang w:eastAsia="en-AU"/>
        </w:rPr>
        <w:t xml:space="preserve"> a significant impact on the economy nationally or for the jurisdiction</w:t>
      </w:r>
      <w:r w:rsidRPr="008F739E">
        <w:rPr>
          <w:lang w:eastAsia="en-AU"/>
        </w:rPr>
        <w:t>.</w:t>
      </w:r>
    </w:p>
    <w:p w14:paraId="00E42809" w14:textId="6C516391" w:rsidR="00F97AF3" w:rsidRDefault="00F97AF3" w:rsidP="00F97AF3">
      <w:pPr>
        <w:pStyle w:val="Text"/>
      </w:pPr>
      <w:r>
        <w:t xml:space="preserve">Figure </w:t>
      </w:r>
      <w:r w:rsidR="00615A0A">
        <w:t>2</w:t>
      </w:r>
      <w:r>
        <w:t xml:space="preserve"> shows patterns in apprenticeship commencements, cancellations and completions by </w:t>
      </w:r>
      <w:r w:rsidR="006C0FC5">
        <w:t>s</w:t>
      </w:r>
      <w:r>
        <w:t>tate for 1997</w:t>
      </w:r>
      <w:r w:rsidR="006C0FC5">
        <w:t>—</w:t>
      </w:r>
      <w:r>
        <w:t>2017</w:t>
      </w:r>
      <w:r w:rsidR="006C0FC5">
        <w:t>,</w:t>
      </w:r>
      <w:r>
        <w:t xml:space="preserve"> while figures </w:t>
      </w:r>
      <w:r w:rsidR="006C0FC5">
        <w:t>A1—A8</w:t>
      </w:r>
      <w:r>
        <w:t xml:space="preserve"> </w:t>
      </w:r>
      <w:r w:rsidR="006C0FC5">
        <w:t>in the a</w:t>
      </w:r>
      <w:r>
        <w:t xml:space="preserve">ppendix show the underlying policies, programs or events that coincided with or </w:t>
      </w:r>
      <w:r w:rsidRPr="00CD3BC7">
        <w:rPr>
          <w:noProof/>
        </w:rPr>
        <w:t>pre</w:t>
      </w:r>
      <w:r>
        <w:rPr>
          <w:noProof/>
        </w:rPr>
        <w:t>-</w:t>
      </w:r>
      <w:r w:rsidRPr="00CD3BC7">
        <w:rPr>
          <w:noProof/>
        </w:rPr>
        <w:t>empted</w:t>
      </w:r>
      <w:r>
        <w:t xml:space="preserve"> a major change in any</w:t>
      </w:r>
      <w:r w:rsidR="006C0FC5">
        <w:t>,</w:t>
      </w:r>
      <w:r>
        <w:t xml:space="preserve"> or all</w:t>
      </w:r>
      <w:r w:rsidR="006C0FC5">
        <w:t>,</w:t>
      </w:r>
      <w:r>
        <w:t xml:space="preserve"> of these rates for each </w:t>
      </w:r>
      <w:r w:rsidR="006C0FC5">
        <w:t>s</w:t>
      </w:r>
      <w:r>
        <w:t>tate individually, for 2000</w:t>
      </w:r>
      <w:r w:rsidR="006C0FC5">
        <w:t>—</w:t>
      </w:r>
      <w:r>
        <w:t>17. Not all policies are listed, especially if they were targeted at small groups of workers or did not coincide with any significant changes in completion, cancellation or commencement rates.</w:t>
      </w:r>
    </w:p>
    <w:p w14:paraId="4BD85A3A" w14:textId="1EADDF6E" w:rsidR="00F97AF3" w:rsidRDefault="001E7A6B" w:rsidP="005073C8">
      <w:pPr>
        <w:spacing w:line="324" w:lineRule="auto"/>
      </w:pPr>
      <w:r>
        <w:rPr>
          <w:noProof/>
          <w:lang w:eastAsia="en-AU"/>
        </w:rPr>
        <w:lastRenderedPageBreak/>
        <mc:AlternateContent>
          <mc:Choice Requires="wps">
            <w:drawing>
              <wp:anchor distT="0" distB="0" distL="114300" distR="114300" simplePos="0" relativeHeight="251689984" behindDoc="0" locked="0" layoutInCell="1" allowOverlap="1" wp14:anchorId="2BA4BE58" wp14:editId="14C0920B">
                <wp:simplePos x="0" y="0"/>
                <wp:positionH relativeFrom="column">
                  <wp:posOffset>2145958</wp:posOffset>
                </wp:positionH>
                <wp:positionV relativeFrom="paragraph">
                  <wp:posOffset>3353753</wp:posOffset>
                </wp:positionV>
                <wp:extent cx="6983578" cy="392430"/>
                <wp:effectExtent l="0" t="0" r="1587"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83578" cy="392430"/>
                        </a:xfrm>
                        <a:prstGeom prst="rect">
                          <a:avLst/>
                        </a:prstGeom>
                        <a:noFill/>
                        <a:ln w="9525">
                          <a:noFill/>
                          <a:miter lim="800000"/>
                          <a:headEnd/>
                          <a:tailEnd/>
                        </a:ln>
                      </wps:spPr>
                      <wps:txbx>
                        <w:txbxContent>
                          <w:p w14:paraId="51DE7E20"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AA5ACD3" w14:textId="4DFF2FED" w:rsidR="00DF4B83" w:rsidRPr="00AF24CC" w:rsidRDefault="00DF4B83" w:rsidP="00B3500C">
                            <w:pPr>
                              <w:pStyle w:val="Text"/>
                              <w:spacing w:before="40"/>
                              <w:ind w:right="0"/>
                              <w:rPr>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A4BE58" id="Text Box 2" o:spid="_x0000_s1028" type="#_x0000_t202" style="position:absolute;margin-left:168.95pt;margin-top:264.1pt;width:549.9pt;height:30.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" filled="f" stroked="f">
                <v:textbox style="mso-fit-shape-to-text:t">
                  <w:txbxContent>
                    <w:p w14:paraId="51DE7E20"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AA5ACD3" w14:textId="4DFF2FED" w:rsidR="00DF4B83" w:rsidRPr="00AF24CC" w:rsidRDefault="00DF4B83" w:rsidP="00B3500C">
                      <w:pPr>
                        <w:pStyle w:val="Text"/>
                        <w:spacing w:before="40"/>
                        <w:ind w:right="0"/>
                        <w:rPr>
                          <w:sz w:val="18"/>
                        </w:rPr>
                      </w:pPr>
                    </w:p>
                  </w:txbxContent>
                </v:textbox>
              </v:shape>
            </w:pict>
          </mc:Fallback>
        </mc:AlternateContent>
      </w:r>
      <w:r w:rsidR="00F92E48" w:rsidRPr="00047B34">
        <w:rPr>
          <w:noProof/>
          <w:lang w:eastAsia="en-AU"/>
        </w:rPr>
        <mc:AlternateContent>
          <mc:Choice Requires="wps">
            <w:drawing>
              <wp:anchor distT="0" distB="0" distL="114300" distR="114300" simplePos="0" relativeHeight="251687936" behindDoc="0" locked="0" layoutInCell="1" allowOverlap="1" wp14:anchorId="7DC521A8" wp14:editId="06FC7281">
                <wp:simplePos x="0" y="0"/>
                <wp:positionH relativeFrom="column">
                  <wp:posOffset>-3453129</wp:posOffset>
                </wp:positionH>
                <wp:positionV relativeFrom="paragraph">
                  <wp:posOffset>3309681</wp:posOffset>
                </wp:positionV>
                <wp:extent cx="6780686" cy="39243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80686" cy="392430"/>
                        </a:xfrm>
                        <a:prstGeom prst="rect">
                          <a:avLst/>
                        </a:prstGeom>
                        <a:noFill/>
                        <a:ln w="9525">
                          <a:noFill/>
                          <a:miter lim="800000"/>
                          <a:headEnd/>
                          <a:tailEnd/>
                        </a:ln>
                      </wps:spPr>
                      <wps:txbx>
                        <w:txbxContent>
                          <w:p w14:paraId="38E6E359" w14:textId="0F5B8959" w:rsidR="00DF4B83" w:rsidRPr="00F52630" w:rsidRDefault="00DF4B83" w:rsidP="00047B34">
                            <w:pPr>
                              <w:pStyle w:val="Figuretitle"/>
                              <w:rPr>
                                <w:sz w:val="19"/>
                              </w:rPr>
                            </w:pPr>
                            <w:bookmarkStart w:id="52" w:name="_Toc15304996"/>
                            <w:r>
                              <w:t>Figure 2   Number of commencements, cancellations and completions and timing of policy changes, 2007–17, Australia</w:t>
                            </w:r>
                            <w:bookmarkEnd w:id="52"/>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DC521A8" id="_x0000_s1029" type="#_x0000_t202" style="position:absolute;margin-left:-271.9pt;margin-top:260.6pt;width:533.9pt;height:30.9pt;rotation:-9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" filled="f" stroked="f">
                <v:textbox style="mso-fit-shape-to-text:t">
                  <w:txbxContent>
                    <w:p w14:paraId="38E6E359" w14:textId="0F5B8959" w:rsidR="00DF4B83" w:rsidRPr="00F52630" w:rsidRDefault="00DF4B83" w:rsidP="00047B34">
                      <w:pPr>
                        <w:pStyle w:val="Figuretitle"/>
                        <w:rPr>
                          <w:sz w:val="19"/>
                        </w:rPr>
                      </w:pPr>
                      <w:bookmarkStart w:id="53" w:name="_Toc15304996"/>
                      <w:r>
                        <w:t>Figure 2   Number of commencements, cancellations and completions and timing of policy changes, 2007–17, Australia</w:t>
                      </w:r>
                      <w:bookmarkEnd w:id="53"/>
                    </w:p>
                  </w:txbxContent>
                </v:textbox>
              </v:shape>
            </w:pict>
          </mc:Fallback>
        </mc:AlternateContent>
      </w:r>
      <w:r w:rsidR="005073C8">
        <w:rPr>
          <w:noProof/>
        </w:rPr>
        <w:drawing>
          <wp:anchor distT="0" distB="0" distL="114300" distR="114300" simplePos="0" relativeHeight="251741184" behindDoc="0" locked="0" layoutInCell="1" allowOverlap="1" wp14:anchorId="51C7667C" wp14:editId="3A159692">
            <wp:simplePos x="0" y="0"/>
            <wp:positionH relativeFrom="column">
              <wp:posOffset>-480060</wp:posOffset>
            </wp:positionH>
            <wp:positionV relativeFrom="paragraph">
              <wp:posOffset>1188085</wp:posOffset>
            </wp:positionV>
            <wp:extent cx="6836410" cy="4967605"/>
            <wp:effectExtent l="952" t="0" r="3493" b="3492"/>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836410" cy="4967605"/>
                    </a:xfrm>
                    <a:prstGeom prst="rect">
                      <a:avLst/>
                    </a:prstGeom>
                    <a:noFill/>
                  </pic:spPr>
                </pic:pic>
              </a:graphicData>
            </a:graphic>
            <wp14:sizeRelH relativeFrom="page">
              <wp14:pctWidth>0</wp14:pctWidth>
            </wp14:sizeRelH>
            <wp14:sizeRelV relativeFrom="page">
              <wp14:pctHeight>0</wp14:pctHeight>
            </wp14:sizeRelV>
          </wp:anchor>
        </w:drawing>
      </w:r>
    </w:p>
    <w:p w14:paraId="29D6E3B5" w14:textId="0D7362B7" w:rsidR="005073C8" w:rsidRDefault="005073C8" w:rsidP="005073C8">
      <w:pPr>
        <w:pStyle w:val="Text"/>
        <w:spacing w:before="0"/>
        <w:ind w:right="0"/>
      </w:pPr>
    </w:p>
    <w:p w14:paraId="437B4E10" w14:textId="76B5D56B" w:rsidR="005073C8" w:rsidRDefault="005073C8" w:rsidP="005073C8">
      <w:pPr>
        <w:pStyle w:val="Text"/>
        <w:spacing w:before="0"/>
        <w:ind w:right="0"/>
      </w:pPr>
    </w:p>
    <w:p w14:paraId="43E74A8E" w14:textId="1711DE9F" w:rsidR="00774063" w:rsidRDefault="005073C8" w:rsidP="005073C8">
      <w:pPr>
        <w:pStyle w:val="Text"/>
        <w:spacing w:after="120"/>
        <w:ind w:right="0"/>
      </w:pPr>
      <w:r>
        <w:t xml:space="preserve">All jurisdictions showed a high and then a sharp decline in commencements in 2012 (figure 2), followed by a similarly pronounced but lagged peak </w:t>
      </w:r>
      <w:r w:rsidRPr="00CD3BC7">
        <w:rPr>
          <w:noProof/>
        </w:rPr>
        <w:t>and decline</w:t>
      </w:r>
      <w:r>
        <w:t xml:space="preserve"> in completions in 2013 onward (although the decline in both was not as pronounced for Western Australia and the Northern Territory). Four Commonwealth-based changes </w:t>
      </w:r>
      <w:r w:rsidRPr="00253685">
        <w:rPr>
          <w:noProof/>
        </w:rPr>
        <w:t>or</w:t>
      </w:r>
      <w:r>
        <w:t xml:space="preserve"> initiatives occurred or ceased at the time of the peak in commencements. </w:t>
      </w:r>
    </w:p>
    <w:p w14:paraId="23964943" w14:textId="77777777" w:rsidR="00E774A7" w:rsidRDefault="00E774A7" w:rsidP="005073C8">
      <w:pPr>
        <w:pStyle w:val="Text"/>
        <w:spacing w:after="120"/>
        <w:ind w:right="0"/>
      </w:pPr>
    </w:p>
    <w:p w14:paraId="1CF060DC" w14:textId="24217AC3" w:rsidR="005073C8" w:rsidRDefault="00774063" w:rsidP="005073C8">
      <w:pPr>
        <w:pStyle w:val="Text"/>
        <w:spacing w:after="120"/>
        <w:ind w:right="0"/>
      </w:pPr>
      <w:r>
        <w:lastRenderedPageBreak/>
        <w:t xml:space="preserve">1. </w:t>
      </w:r>
      <w:r w:rsidR="005073C8">
        <w:t>The new regulatory policies were:</w:t>
      </w:r>
    </w:p>
    <w:p w14:paraId="2B2A9BF4" w14:textId="3D2EC46A" w:rsidR="00F97AF3" w:rsidRPr="00774063" w:rsidRDefault="00F97AF3" w:rsidP="00311092">
      <w:pPr>
        <w:pStyle w:val="Dotpoint1"/>
        <w:rPr>
          <w:sz w:val="18"/>
          <w:szCs w:val="18"/>
          <w:lang w:eastAsia="en-AU"/>
        </w:rPr>
      </w:pPr>
      <w:r w:rsidRPr="00BC7E9C">
        <w:t>The National VET Regulator (Charges) Act 2012</w:t>
      </w:r>
      <w:r w:rsidR="00BC7E9C">
        <w:t xml:space="preserve"> (</w:t>
      </w:r>
      <w:r>
        <w:t>ongoing)</w:t>
      </w:r>
      <w:r w:rsidR="00774063">
        <w:t xml:space="preserve">. </w:t>
      </w:r>
      <w:r>
        <w:rPr>
          <w:lang w:eastAsia="en-AU"/>
        </w:rPr>
        <w:t xml:space="preserve">This Act </w:t>
      </w:r>
      <w:r w:rsidRPr="008A2647">
        <w:rPr>
          <w:lang w:eastAsia="en-AU"/>
        </w:rPr>
        <w:t>impose</w:t>
      </w:r>
      <w:r>
        <w:rPr>
          <w:lang w:eastAsia="en-AU"/>
        </w:rPr>
        <w:t>s</w:t>
      </w:r>
      <w:r w:rsidRPr="008A2647">
        <w:rPr>
          <w:lang w:eastAsia="en-AU"/>
        </w:rPr>
        <w:t xml:space="preserve"> charges </w:t>
      </w:r>
      <w:r w:rsidRPr="00431C54">
        <w:rPr>
          <w:noProof/>
          <w:lang w:eastAsia="en-AU"/>
        </w:rPr>
        <w:t>in relation to</w:t>
      </w:r>
      <w:r w:rsidRPr="008A2647">
        <w:rPr>
          <w:lang w:eastAsia="en-AU"/>
        </w:rPr>
        <w:t xml:space="preserve"> </w:t>
      </w:r>
      <w:r w:rsidRPr="00253685">
        <w:rPr>
          <w:noProof/>
          <w:lang w:eastAsia="en-AU"/>
        </w:rPr>
        <w:t>matters</w:t>
      </w:r>
      <w:r w:rsidRPr="008A2647">
        <w:rPr>
          <w:lang w:eastAsia="en-AU"/>
        </w:rPr>
        <w:t xml:space="preserve"> such as registration fees and audit expenses, under the </w:t>
      </w:r>
      <w:r w:rsidRPr="00774063">
        <w:rPr>
          <w:i/>
          <w:iCs/>
          <w:lang w:eastAsia="en-AU"/>
        </w:rPr>
        <w:t xml:space="preserve">National Vocational Education and Training Regulator Act 2011. </w:t>
      </w:r>
    </w:p>
    <w:p w14:paraId="4B30C937" w14:textId="58906323" w:rsidR="00F97AF3" w:rsidRDefault="00F97AF3" w:rsidP="00311092">
      <w:pPr>
        <w:pStyle w:val="Dotpoint1"/>
      </w:pPr>
      <w:r w:rsidRPr="008C4641">
        <w:t>National Partnership Agreement on Skills Reform</w:t>
      </w:r>
      <w:r>
        <w:t xml:space="preserve"> (2012</w:t>
      </w:r>
      <w:r w:rsidR="00BC7E9C">
        <w:t>—</w:t>
      </w:r>
      <w:r>
        <w:t>17)</w:t>
      </w:r>
      <w:r w:rsidR="00774063">
        <w:t xml:space="preserve">. </w:t>
      </w:r>
      <w:r w:rsidRPr="00C82E04">
        <w:t xml:space="preserve">The Council of Australian Governments (COAG) endorsed a set of reforms to the national training system </w:t>
      </w:r>
      <w:r w:rsidR="00774063">
        <w:t>i</w:t>
      </w:r>
      <w:r w:rsidRPr="00C82E04">
        <w:t xml:space="preserve">n April 2012. The National Partnership Agreement on Skills Reform (NPASR) committed states and territories to </w:t>
      </w:r>
      <w:r w:rsidRPr="00431C54">
        <w:rPr>
          <w:noProof/>
        </w:rPr>
        <w:t>achieving</w:t>
      </w:r>
      <w:r w:rsidRPr="00C82E04">
        <w:t xml:space="preserve"> reform directions agreed under the National Agreement for Skills and Workforce Development.</w:t>
      </w:r>
    </w:p>
    <w:p w14:paraId="29A41F4B" w14:textId="77777777" w:rsidR="00F97AF3" w:rsidRPr="00C82E04" w:rsidRDefault="00F97AF3" w:rsidP="00F97AF3">
      <w:pPr>
        <w:pStyle w:val="Text"/>
        <w:spacing w:before="0"/>
        <w:ind w:left="1440" w:right="0"/>
      </w:pPr>
    </w:p>
    <w:p w14:paraId="7C36CB93" w14:textId="77B2D1E3" w:rsidR="008C3D13" w:rsidRDefault="00774063" w:rsidP="00F97AF3">
      <w:pPr>
        <w:spacing w:before="0" w:line="240" w:lineRule="auto"/>
      </w:pPr>
      <w:r>
        <w:t xml:space="preserve">2. </w:t>
      </w:r>
      <w:r w:rsidR="00F97AF3">
        <w:t>A participation initiative ceased:</w:t>
      </w:r>
    </w:p>
    <w:p w14:paraId="02B7DE27" w14:textId="24735B5A" w:rsidR="00F97AF3" w:rsidRDefault="00F97AF3" w:rsidP="005073C8">
      <w:pPr>
        <w:pStyle w:val="Dotpoint1"/>
      </w:pPr>
      <w:r w:rsidRPr="008C4641">
        <w:t>Skilling Australia for the Future (2008</w:t>
      </w:r>
      <w:r w:rsidR="00BC7E9C">
        <w:t>—</w:t>
      </w:r>
      <w:r w:rsidRPr="008C4641">
        <w:t>12)</w:t>
      </w:r>
    </w:p>
    <w:p w14:paraId="62D23264" w14:textId="2B0BA14A" w:rsidR="00F97AF3" w:rsidRPr="00FB3CD3" w:rsidRDefault="00F97AF3" w:rsidP="005073C8">
      <w:pPr>
        <w:pStyle w:val="Dotpoint2"/>
        <w:rPr>
          <w:sz w:val="18"/>
          <w:szCs w:val="18"/>
          <w:lang w:eastAsia="en-AU"/>
        </w:rPr>
      </w:pPr>
      <w:r w:rsidRPr="00253685">
        <w:rPr>
          <w:noProof/>
          <w:lang w:eastAsia="en-AU"/>
        </w:rPr>
        <w:t>A $1.9 billion dollar package announced in the 2008</w:t>
      </w:r>
      <w:r w:rsidR="00BC7E9C">
        <w:rPr>
          <w:noProof/>
          <w:lang w:eastAsia="en-AU"/>
        </w:rPr>
        <w:t>—</w:t>
      </w:r>
      <w:r w:rsidRPr="00253685">
        <w:rPr>
          <w:noProof/>
          <w:lang w:eastAsia="en-AU"/>
        </w:rPr>
        <w:t xml:space="preserve">09 </w:t>
      </w:r>
      <w:r w:rsidR="00BC7E9C">
        <w:rPr>
          <w:noProof/>
          <w:lang w:eastAsia="en-AU"/>
        </w:rPr>
        <w:t>B</w:t>
      </w:r>
      <w:r w:rsidRPr="00253685">
        <w:rPr>
          <w:noProof/>
          <w:lang w:eastAsia="en-AU"/>
        </w:rPr>
        <w:t>udget</w:t>
      </w:r>
      <w:r w:rsidR="00BC7E9C">
        <w:rPr>
          <w:noProof/>
          <w:lang w:eastAsia="en-AU"/>
        </w:rPr>
        <w:t>,</w:t>
      </w:r>
      <w:r w:rsidRPr="00253685">
        <w:rPr>
          <w:noProof/>
          <w:lang w:eastAsia="en-AU"/>
        </w:rPr>
        <w:t xml:space="preserve"> comprising the following five elements: $884.6 million to provide an additional 238 200 </w:t>
      </w:r>
      <w:r w:rsidR="00774063">
        <w:rPr>
          <w:noProof/>
          <w:lang w:eastAsia="en-AU"/>
        </w:rPr>
        <w:t>VET</w:t>
      </w:r>
      <w:r w:rsidRPr="00253685">
        <w:rPr>
          <w:noProof/>
          <w:lang w:eastAsia="en-AU"/>
        </w:rPr>
        <w:t xml:space="preserve"> places to people currently outside the workforce; $704.6 million to provide an additional 391 800 places for people within the workforce; $242.2 million for an additional 85 000 Australian apprenticeship places; $83.2 million for strengthened industry skills councils; $4.1 million for skills and training information centres.</w:t>
      </w:r>
      <w:r w:rsidRPr="00FB3CD3">
        <w:rPr>
          <w:lang w:eastAsia="en-AU"/>
        </w:rPr>
        <w:t xml:space="preserve"> An additional $98.1 million </w:t>
      </w:r>
      <w:r w:rsidRPr="00431C54">
        <w:rPr>
          <w:noProof/>
          <w:lang w:eastAsia="en-AU"/>
        </w:rPr>
        <w:t>was provided</w:t>
      </w:r>
      <w:r w:rsidRPr="00FB3CD3">
        <w:rPr>
          <w:lang w:eastAsia="en-AU"/>
        </w:rPr>
        <w:t xml:space="preserve"> for grants for Year 9</w:t>
      </w:r>
      <w:r w:rsidR="00BC7E9C">
        <w:rPr>
          <w:lang w:eastAsia="en-AU"/>
        </w:rPr>
        <w:t>—</w:t>
      </w:r>
      <w:r w:rsidRPr="00FB3CD3">
        <w:rPr>
          <w:lang w:eastAsia="en-AU"/>
        </w:rPr>
        <w:t>12 students to participate in on-the-job training.</w:t>
      </w:r>
    </w:p>
    <w:p w14:paraId="34E41753" w14:textId="2F733477" w:rsidR="00F97AF3" w:rsidRDefault="00774063" w:rsidP="00F97AF3">
      <w:pPr>
        <w:pStyle w:val="Text"/>
      </w:pPr>
      <w:r>
        <w:t xml:space="preserve">3. </w:t>
      </w:r>
      <w:r w:rsidR="00F97AF3">
        <w:t>A program supporting general economic objectives ceased:</w:t>
      </w:r>
    </w:p>
    <w:p w14:paraId="2D5F9256" w14:textId="0C07784B" w:rsidR="00F97AF3" w:rsidRDefault="00F97AF3" w:rsidP="005073C8">
      <w:pPr>
        <w:pStyle w:val="Dotpoint1"/>
        <w:rPr>
          <w:sz w:val="18"/>
          <w:szCs w:val="18"/>
          <w:lang w:eastAsia="en-AU"/>
        </w:rPr>
      </w:pPr>
      <w:r w:rsidRPr="00FB3CD3">
        <w:rPr>
          <w:lang w:eastAsia="en-AU"/>
        </w:rPr>
        <w:t>National Partnership Agreement on Productivity Places Program</w:t>
      </w:r>
      <w:r>
        <w:rPr>
          <w:lang w:eastAsia="en-AU"/>
        </w:rPr>
        <w:t xml:space="preserve"> (2009</w:t>
      </w:r>
      <w:r w:rsidR="00BC7E9C">
        <w:rPr>
          <w:lang w:eastAsia="en-AU"/>
        </w:rPr>
        <w:t>—</w:t>
      </w:r>
      <w:r>
        <w:rPr>
          <w:lang w:eastAsia="en-AU"/>
        </w:rPr>
        <w:t>12)</w:t>
      </w:r>
    </w:p>
    <w:p w14:paraId="467DB626" w14:textId="75115911" w:rsidR="00F97AF3" w:rsidRPr="00C82E04" w:rsidRDefault="00F97AF3" w:rsidP="005073C8">
      <w:pPr>
        <w:pStyle w:val="Dotpoint2"/>
        <w:rPr>
          <w:sz w:val="18"/>
          <w:szCs w:val="18"/>
          <w:lang w:eastAsia="en-AU"/>
        </w:rPr>
      </w:pPr>
      <w:r>
        <w:rPr>
          <w:lang w:eastAsia="en-AU"/>
        </w:rPr>
        <w:t>P</w:t>
      </w:r>
      <w:r w:rsidRPr="00FB3CD3">
        <w:rPr>
          <w:lang w:eastAsia="en-AU"/>
        </w:rPr>
        <w:t>art of the Australian Government</w:t>
      </w:r>
      <w:r w:rsidR="00D2072F">
        <w:rPr>
          <w:lang w:eastAsia="en-AU"/>
        </w:rPr>
        <w:t>’</w:t>
      </w:r>
      <w:r w:rsidRPr="00FB3CD3">
        <w:rPr>
          <w:lang w:eastAsia="en-AU"/>
        </w:rPr>
        <w:t xml:space="preserve">s </w:t>
      </w:r>
      <w:r w:rsidR="00D2072F">
        <w:rPr>
          <w:lang w:eastAsia="en-AU"/>
        </w:rPr>
        <w:t>‘</w:t>
      </w:r>
      <w:r w:rsidRPr="00FB3CD3">
        <w:rPr>
          <w:lang w:eastAsia="en-AU"/>
        </w:rPr>
        <w:t>Skilling Australia for the future</w:t>
      </w:r>
      <w:r w:rsidR="00D2072F">
        <w:rPr>
          <w:lang w:eastAsia="en-AU"/>
        </w:rPr>
        <w:t>’</w:t>
      </w:r>
      <w:r w:rsidRPr="00FB3CD3">
        <w:rPr>
          <w:lang w:eastAsia="en-AU"/>
        </w:rPr>
        <w:t xml:space="preserve"> initiative</w:t>
      </w:r>
      <w:r>
        <w:rPr>
          <w:lang w:eastAsia="en-AU"/>
        </w:rPr>
        <w:t xml:space="preserve">, this </w:t>
      </w:r>
      <w:r w:rsidRPr="00FB3CD3">
        <w:rPr>
          <w:lang w:eastAsia="en-AU"/>
        </w:rPr>
        <w:t>program aimed to provide targeted training to support the development of skills in Australia to meet existing and future industry demands by funding training places for job seekers and existing workers in identified areas of skill shortages.</w:t>
      </w:r>
    </w:p>
    <w:p w14:paraId="5FC19F87" w14:textId="77777777" w:rsidR="00F97AF3" w:rsidRPr="00D422EC" w:rsidRDefault="00F97AF3" w:rsidP="00F97AF3">
      <w:pPr>
        <w:pStyle w:val="ListParagraph"/>
        <w:shd w:val="clear" w:color="auto" w:fill="FFFFFF"/>
        <w:spacing w:before="0" w:line="240" w:lineRule="auto"/>
        <w:ind w:left="1440"/>
        <w:rPr>
          <w:rFonts w:ascii="Arial" w:hAnsi="Arial" w:cs="Arial"/>
          <w:color w:val="000000"/>
          <w:sz w:val="18"/>
          <w:szCs w:val="18"/>
          <w:lang w:eastAsia="en-AU"/>
        </w:rPr>
      </w:pPr>
    </w:p>
    <w:p w14:paraId="2211E213" w14:textId="20DB7A25" w:rsidR="00F97AF3" w:rsidRPr="00D422EC" w:rsidRDefault="00774063" w:rsidP="00F97AF3">
      <w:pPr>
        <w:shd w:val="clear" w:color="auto" w:fill="FFFFFF"/>
        <w:spacing w:before="0" w:line="240" w:lineRule="auto"/>
        <w:rPr>
          <w:rFonts w:ascii="Arial" w:hAnsi="Arial" w:cs="Arial"/>
          <w:color w:val="000000"/>
          <w:sz w:val="18"/>
          <w:szCs w:val="18"/>
          <w:lang w:eastAsia="en-AU"/>
        </w:rPr>
      </w:pPr>
      <w:r>
        <w:t xml:space="preserve">4. </w:t>
      </w:r>
      <w:r w:rsidR="00F97AF3">
        <w:t>A significant change in apprentice and trainee support was:</w:t>
      </w:r>
    </w:p>
    <w:p w14:paraId="533F2873" w14:textId="308DE200" w:rsidR="00F97AF3" w:rsidRPr="005073C8" w:rsidRDefault="00F97AF3" w:rsidP="005073C8">
      <w:pPr>
        <w:pStyle w:val="Dotpoint1"/>
      </w:pPr>
      <w:r>
        <w:t>Removal of c</w:t>
      </w:r>
      <w:r w:rsidRPr="008C4641">
        <w:t>ommencement incentive payments</w:t>
      </w:r>
      <w:r>
        <w:t xml:space="preserve"> for some fields of study</w:t>
      </w:r>
      <w:r w:rsidRPr="008C4641">
        <w:t xml:space="preserve"> </w:t>
      </w:r>
      <w:r>
        <w:t>(2012 continuing)</w:t>
      </w:r>
    </w:p>
    <w:p w14:paraId="38FF9E97" w14:textId="77777777" w:rsidR="00F97AF3" w:rsidRPr="00D929D6" w:rsidRDefault="00F97AF3" w:rsidP="005073C8">
      <w:pPr>
        <w:pStyle w:val="Dotpoint2"/>
        <w:rPr>
          <w:sz w:val="18"/>
          <w:szCs w:val="18"/>
          <w:lang w:eastAsia="en-AU"/>
        </w:rPr>
      </w:pPr>
      <w:r w:rsidRPr="00D929D6">
        <w:rPr>
          <w:lang w:eastAsia="en-AU"/>
        </w:rPr>
        <w:t>Commencement incentives for existing worker apprenticeships and traineeships not on the National Skills Needs List (NSNL) were removed from 1 July 2012. Commencement and completion incentives for diploma and advanced diploma qualifications not leading to aged care, child care or enrolled nursing were removed from 23 October 2012. Commencement incentives for part-time apprenticeships and traineeships were removed from 23 October 2012. The following cohorts were unaffected: part-time, certificate III/IV qualifications on NSNL, school-based apprenticeships and traineeships, and part-time diploma and advanced diploma qualifications leading to aged care, child care or enrolled nursing.</w:t>
      </w:r>
    </w:p>
    <w:p w14:paraId="4173E664" w14:textId="54E0EA2E" w:rsidR="00F97AF3" w:rsidRPr="008C4641" w:rsidRDefault="00F97AF3" w:rsidP="00F97AF3">
      <w:pPr>
        <w:pStyle w:val="Text"/>
      </w:pPr>
      <w:r>
        <w:t>Other legislative, policy or program changes also occurred in 2012 but were unlikely to have had a noticeable effect on national commencement, cancellation and completion rates on a national scale</w:t>
      </w:r>
      <w:r w:rsidR="00BC7E9C">
        <w:t>;</w:t>
      </w:r>
      <w:r>
        <w:t xml:space="preserve"> </w:t>
      </w:r>
      <w:r w:rsidR="00BC7E9C">
        <w:t>f</w:t>
      </w:r>
      <w:r>
        <w:t>or example, the Productive Ageing Through Community Education program began in 2012 (and ended in 2014) but would have no real impact on apprenticeship completions</w:t>
      </w:r>
      <w:r w:rsidR="00BC7E9C">
        <w:t>,</w:t>
      </w:r>
      <w:r>
        <w:t xml:space="preserve"> given the relatively young age profiles of apprentices. However, the Indigenous Youth Careers Pathway Program (2012</w:t>
      </w:r>
      <w:r w:rsidR="00BC7E9C">
        <w:t xml:space="preserve">, </w:t>
      </w:r>
      <w:r>
        <w:t>ongoing) may have contributed to reducing the impact of other national policy changes on both commencements and completions in the Northern Territory.</w:t>
      </w:r>
    </w:p>
    <w:p w14:paraId="165A5483" w14:textId="0A75BA20" w:rsidR="00F97AF3" w:rsidRDefault="00F97AF3" w:rsidP="00F97AF3">
      <w:pPr>
        <w:pStyle w:val="Text"/>
      </w:pPr>
      <w:r>
        <w:lastRenderedPageBreak/>
        <w:t>Other Commonwealth actions immediately preceding the 2012 peak in commencements and likely to have supported the increase in commencements between 2009</w:t>
      </w:r>
      <w:r w:rsidR="00BC7E9C">
        <w:t xml:space="preserve"> and </w:t>
      </w:r>
      <w:r>
        <w:t>2012 (along with the mining boom</w:t>
      </w:r>
      <w:r w:rsidR="00CC07F5" w:rsidRPr="00BC7E9C">
        <w:rPr>
          <w:rStyle w:val="FootnoteReference"/>
          <w:vertAlign w:val="superscript"/>
        </w:rPr>
        <w:footnoteReference w:id="1"/>
      </w:r>
      <w:r>
        <w:t>) and completions in 2011</w:t>
      </w:r>
      <w:r w:rsidR="00BC7E9C">
        <w:t>—</w:t>
      </w:r>
      <w:r>
        <w:t>13 included:</w:t>
      </w:r>
    </w:p>
    <w:p w14:paraId="2268D253" w14:textId="0332647C" w:rsidR="00F97AF3" w:rsidRDefault="00774063" w:rsidP="005073C8">
      <w:pPr>
        <w:pStyle w:val="Dotpoint1"/>
      </w:pPr>
      <w:r>
        <w:t>s</w:t>
      </w:r>
      <w:r w:rsidR="00F97AF3">
        <w:t>upporting Adult Australian Apprentices (2010</w:t>
      </w:r>
      <w:r w:rsidR="00BC7E9C">
        <w:t>—</w:t>
      </w:r>
      <w:r w:rsidR="00F97AF3">
        <w:t>2015</w:t>
      </w:r>
      <w:r w:rsidR="00BC7E9C">
        <w:t>:</w:t>
      </w:r>
      <w:r w:rsidR="00F97AF3">
        <w:t xml:space="preserve"> weekly payments to apprentices ceased in 2015 but employers still received a </w:t>
      </w:r>
      <w:r w:rsidR="00D2072F">
        <w:t>one-off</w:t>
      </w:r>
      <w:r w:rsidR="00F97AF3">
        <w:t xml:space="preserve"> lump sum of $4000</w:t>
      </w:r>
      <w:r w:rsidR="00BC7E9C">
        <w:t>)</w:t>
      </w:r>
      <w:r w:rsidR="008C3D13">
        <w:t>.</w:t>
      </w:r>
    </w:p>
    <w:p w14:paraId="2A597E7D" w14:textId="5D9E0644" w:rsidR="00F97AF3" w:rsidRDefault="00F97AF3" w:rsidP="005073C8">
      <w:pPr>
        <w:pStyle w:val="Dotpoint1"/>
      </w:pPr>
      <w:r>
        <w:t>Building Australia</w:t>
      </w:r>
      <w:r w:rsidR="00D2072F">
        <w:t>’</w:t>
      </w:r>
      <w:r>
        <w:t>s Future Workforce (a VET reform initiative) (2011</w:t>
      </w:r>
      <w:r w:rsidR="00BC7E9C">
        <w:t>—</w:t>
      </w:r>
      <w:r>
        <w:t>14)</w:t>
      </w:r>
    </w:p>
    <w:p w14:paraId="46564E10" w14:textId="77777777" w:rsidR="00F97AF3" w:rsidRPr="00C82E04" w:rsidRDefault="00F97AF3" w:rsidP="005073C8">
      <w:pPr>
        <w:pStyle w:val="Dotpoint2"/>
      </w:pPr>
      <w:r w:rsidRPr="00C82E04">
        <w:t>This package aimed to upskill Australian workers (especially those in industries facing structural change), engage people outside the labour market and break the intergenerational transmission of disadvantage in some of the most disadvantaged locations across the country.</w:t>
      </w:r>
    </w:p>
    <w:p w14:paraId="77FD8EAE" w14:textId="0119F6E3" w:rsidR="00F97AF3" w:rsidRPr="008418A6" w:rsidRDefault="00F97AF3" w:rsidP="005073C8">
      <w:pPr>
        <w:pStyle w:val="Dotpoint1"/>
        <w:rPr>
          <w:sz w:val="18"/>
          <w:szCs w:val="18"/>
          <w:lang w:eastAsia="en-AU"/>
        </w:rPr>
      </w:pPr>
      <w:r w:rsidRPr="008418A6">
        <w:rPr>
          <w:lang w:eastAsia="en-AU"/>
        </w:rPr>
        <w:t>National Agreement for Skills and Workforce Development</w:t>
      </w:r>
      <w:r>
        <w:rPr>
          <w:lang w:eastAsia="en-AU"/>
        </w:rPr>
        <w:t xml:space="preserve"> (</w:t>
      </w:r>
      <w:r w:rsidRPr="008418A6">
        <w:rPr>
          <w:lang w:eastAsia="en-AU"/>
        </w:rPr>
        <w:t>2009</w:t>
      </w:r>
      <w:r w:rsidR="00BC7E9C">
        <w:rPr>
          <w:lang w:eastAsia="en-AU"/>
        </w:rPr>
        <w:t xml:space="preserve">, </w:t>
      </w:r>
      <w:r>
        <w:rPr>
          <w:lang w:eastAsia="en-AU"/>
        </w:rPr>
        <w:t>ongoing)</w:t>
      </w:r>
      <w:r w:rsidRPr="008418A6">
        <w:rPr>
          <w:sz w:val="18"/>
          <w:szCs w:val="18"/>
          <w:lang w:eastAsia="en-AU"/>
        </w:rPr>
        <w:t xml:space="preserve"> </w:t>
      </w:r>
    </w:p>
    <w:p w14:paraId="5557A55E" w14:textId="7CBDEB6F" w:rsidR="00F97AF3" w:rsidRPr="008418A6" w:rsidRDefault="00BC7E9C" w:rsidP="005073C8">
      <w:pPr>
        <w:pStyle w:val="Dotpoint2"/>
        <w:rPr>
          <w:sz w:val="18"/>
          <w:szCs w:val="18"/>
          <w:lang w:eastAsia="en-AU"/>
        </w:rPr>
      </w:pPr>
      <w:r>
        <w:rPr>
          <w:lang w:eastAsia="en-AU"/>
        </w:rPr>
        <w:t>A</w:t>
      </w:r>
      <w:r w:rsidR="00F97AF3" w:rsidRPr="008418A6">
        <w:rPr>
          <w:lang w:eastAsia="en-AU"/>
        </w:rPr>
        <w:t xml:space="preserve">n agreement between the Commonwealth of Australia and the states and territories that defines objectives, outcomes, outputs and performance measures, and clarifies roles and responsibilities to guide the Commonwealth and states and territories in the delivery of services across the skills and workforce development sector. </w:t>
      </w:r>
    </w:p>
    <w:p w14:paraId="1E6FE03E" w14:textId="6C924591" w:rsidR="00F97AF3" w:rsidRPr="008418A6" w:rsidRDefault="00F97AF3" w:rsidP="005073C8">
      <w:pPr>
        <w:pStyle w:val="Dotpoint1"/>
        <w:rPr>
          <w:sz w:val="18"/>
          <w:szCs w:val="18"/>
          <w:lang w:eastAsia="en-AU"/>
        </w:rPr>
      </w:pPr>
      <w:r w:rsidRPr="008418A6">
        <w:rPr>
          <w:lang w:eastAsia="en-AU"/>
        </w:rPr>
        <w:t>National Partnership Agreement on School Pathways Programs</w:t>
      </w:r>
      <w:r>
        <w:rPr>
          <w:lang w:eastAsia="en-AU"/>
        </w:rPr>
        <w:t xml:space="preserve"> (2009</w:t>
      </w:r>
      <w:r w:rsidR="00BC7E9C">
        <w:rPr>
          <w:lang w:eastAsia="en-AU"/>
        </w:rPr>
        <w:t>—</w:t>
      </w:r>
      <w:r>
        <w:rPr>
          <w:lang w:eastAsia="en-AU"/>
        </w:rPr>
        <w:t>16)</w:t>
      </w:r>
    </w:p>
    <w:p w14:paraId="44FA5CE0" w14:textId="6121EEFA" w:rsidR="00F97AF3" w:rsidRPr="008418A6" w:rsidRDefault="00BC7E9C" w:rsidP="005073C8">
      <w:pPr>
        <w:pStyle w:val="Dotpoint2"/>
        <w:rPr>
          <w:sz w:val="18"/>
          <w:szCs w:val="18"/>
          <w:lang w:eastAsia="en-AU"/>
        </w:rPr>
      </w:pPr>
      <w:r>
        <w:rPr>
          <w:noProof/>
          <w:lang w:eastAsia="en-AU"/>
        </w:rPr>
        <w:t>A</w:t>
      </w:r>
      <w:r w:rsidR="00F97AF3" w:rsidRPr="00253685">
        <w:rPr>
          <w:noProof/>
          <w:lang w:eastAsia="en-AU"/>
        </w:rPr>
        <w:t>n agreement</w:t>
      </w:r>
      <w:r w:rsidR="00F97AF3" w:rsidRPr="008418A6">
        <w:rPr>
          <w:lang w:eastAsia="en-AU"/>
        </w:rPr>
        <w:t xml:space="preserve"> between the Commonwealth, and the states of Western Australia and South Australia</w:t>
      </w:r>
      <w:r w:rsidR="00F97AF3">
        <w:rPr>
          <w:lang w:eastAsia="en-AU"/>
        </w:rPr>
        <w:t xml:space="preserve"> to</w:t>
      </w:r>
      <w:r w:rsidR="00F97AF3" w:rsidRPr="008418A6">
        <w:rPr>
          <w:lang w:eastAsia="en-AU"/>
        </w:rPr>
        <w:t xml:space="preserve"> </w:t>
      </w:r>
      <w:r w:rsidR="00F97AF3">
        <w:rPr>
          <w:lang w:eastAsia="en-AU"/>
        </w:rPr>
        <w:t xml:space="preserve">implement </w:t>
      </w:r>
      <w:r w:rsidR="00F97AF3" w:rsidRPr="008418A6">
        <w:rPr>
          <w:lang w:eastAsia="en-AU"/>
        </w:rPr>
        <w:t>School Pathway Programs</w:t>
      </w:r>
      <w:r w:rsidR="00F97AF3">
        <w:rPr>
          <w:lang w:eastAsia="en-AU"/>
        </w:rPr>
        <w:t xml:space="preserve"> (SPP). The SPPs</w:t>
      </w:r>
      <w:r w:rsidR="00F97AF3" w:rsidRPr="008418A6">
        <w:rPr>
          <w:lang w:eastAsia="en-AU"/>
        </w:rPr>
        <w:t xml:space="preserve"> </w:t>
      </w:r>
      <w:r w:rsidR="00F97AF3">
        <w:rPr>
          <w:lang w:eastAsia="en-AU"/>
        </w:rPr>
        <w:t>addressed</w:t>
      </w:r>
      <w:r w:rsidR="00F97AF3" w:rsidRPr="008418A6">
        <w:rPr>
          <w:lang w:eastAsia="en-AU"/>
        </w:rPr>
        <w:t xml:space="preserve"> </w:t>
      </w:r>
      <w:r w:rsidR="00F97AF3" w:rsidRPr="00253685">
        <w:rPr>
          <w:noProof/>
          <w:lang w:eastAsia="en-AU"/>
        </w:rPr>
        <w:t>skills</w:t>
      </w:r>
      <w:r w:rsidR="00F97AF3" w:rsidRPr="008418A6">
        <w:rPr>
          <w:lang w:eastAsia="en-AU"/>
        </w:rPr>
        <w:t xml:space="preserve"> shortage in the defence industry by increasing the pool of young people ready to move from school into further education and apprenticeships/internships</w:t>
      </w:r>
      <w:r>
        <w:rPr>
          <w:lang w:eastAsia="en-AU"/>
        </w:rPr>
        <w:t>,</w:t>
      </w:r>
      <w:r w:rsidR="00F97AF3" w:rsidRPr="008418A6">
        <w:rPr>
          <w:lang w:eastAsia="en-AU"/>
        </w:rPr>
        <w:t xml:space="preserve"> or scholarships and part-time work/study combinations in the defence industry. They were also intended to increase employer awareness of options for recruiting young people and the value to </w:t>
      </w:r>
      <w:r w:rsidR="00F97AF3" w:rsidRPr="00253685">
        <w:rPr>
          <w:noProof/>
          <w:lang w:eastAsia="en-AU"/>
        </w:rPr>
        <w:t>business</w:t>
      </w:r>
      <w:r w:rsidR="00F97AF3" w:rsidRPr="008418A6">
        <w:rPr>
          <w:lang w:eastAsia="en-AU"/>
        </w:rPr>
        <w:t xml:space="preserve"> of doing so. </w:t>
      </w:r>
      <w:r w:rsidR="00F97AF3">
        <w:rPr>
          <w:lang w:eastAsia="en-AU"/>
        </w:rPr>
        <w:t xml:space="preserve">The SPPs </w:t>
      </w:r>
      <w:r w:rsidR="00F97AF3" w:rsidRPr="008418A6">
        <w:rPr>
          <w:lang w:eastAsia="en-AU"/>
        </w:rPr>
        <w:t>focused on advanced manufacturing, maritime and technology skills. The original ag</w:t>
      </w:r>
      <w:r w:rsidR="00F97AF3">
        <w:rPr>
          <w:lang w:eastAsia="en-AU"/>
        </w:rPr>
        <w:t>reement expired on 30 June 2014. A</w:t>
      </w:r>
      <w:r w:rsidR="00F97AF3" w:rsidRPr="008418A6">
        <w:rPr>
          <w:lang w:eastAsia="en-AU"/>
        </w:rPr>
        <w:t xml:space="preserve"> new agreement was signed in 2015</w:t>
      </w:r>
      <w:r w:rsidR="00F97AF3">
        <w:rPr>
          <w:lang w:eastAsia="en-AU"/>
        </w:rPr>
        <w:t xml:space="preserve"> and</w:t>
      </w:r>
      <w:r w:rsidR="00F97AF3" w:rsidRPr="008418A6">
        <w:rPr>
          <w:lang w:eastAsia="en-AU"/>
        </w:rPr>
        <w:t xml:space="preserve"> expired in 2016. The program was also part of the Industry Skilling Program Enhancement (ISPE) initiative. The full text of this agreement may </w:t>
      </w:r>
      <w:r w:rsidR="00F97AF3" w:rsidRPr="00253685">
        <w:rPr>
          <w:noProof/>
          <w:lang w:eastAsia="en-AU"/>
        </w:rPr>
        <w:t>be found</w:t>
      </w:r>
      <w:r w:rsidR="00F97AF3" w:rsidRPr="008418A6">
        <w:rPr>
          <w:lang w:eastAsia="en-AU"/>
        </w:rPr>
        <w:t xml:space="preserve"> </w:t>
      </w:r>
      <w:r w:rsidR="00F97AF3" w:rsidRPr="00253685">
        <w:rPr>
          <w:noProof/>
          <w:lang w:eastAsia="en-AU"/>
        </w:rPr>
        <w:t>at:</w:t>
      </w:r>
      <w:r w:rsidR="00F97AF3" w:rsidRPr="008418A6">
        <w:rPr>
          <w:lang w:eastAsia="en-AU"/>
        </w:rPr>
        <w:t xml:space="preserve"> </w:t>
      </w:r>
      <w:r w:rsidR="00AF1C4A">
        <w:rPr>
          <w:lang w:eastAsia="en-AU"/>
        </w:rPr>
        <w:t>&lt;http</w:t>
      </w:r>
      <w:r w:rsidR="00F97AF3" w:rsidRPr="008418A6">
        <w:rPr>
          <w:lang w:eastAsia="en-AU"/>
        </w:rPr>
        <w:t>://hdl.voced.edu.au/10707/439706</w:t>
      </w:r>
      <w:r>
        <w:rPr>
          <w:lang w:eastAsia="en-AU"/>
        </w:rPr>
        <w:t>&gt;.</w:t>
      </w:r>
    </w:p>
    <w:p w14:paraId="53C9D99C" w14:textId="4BD0A3CB" w:rsidR="00F97AF3" w:rsidRPr="008004BD" w:rsidRDefault="00F97AF3" w:rsidP="00837EEF">
      <w:pPr>
        <w:pStyle w:val="Dotpoint1"/>
        <w:rPr>
          <w:sz w:val="18"/>
          <w:szCs w:val="18"/>
          <w:lang w:eastAsia="en-AU"/>
        </w:rPr>
      </w:pPr>
      <w:r w:rsidRPr="008004BD">
        <w:rPr>
          <w:lang w:eastAsia="en-AU"/>
        </w:rPr>
        <w:t>Apprentice Kickstart</w:t>
      </w:r>
      <w:r>
        <w:rPr>
          <w:lang w:eastAsia="en-AU"/>
        </w:rPr>
        <w:t xml:space="preserve"> (</w:t>
      </w:r>
      <w:r w:rsidRPr="008004BD">
        <w:rPr>
          <w:lang w:eastAsia="en-AU"/>
        </w:rPr>
        <w:t>2009</w:t>
      </w:r>
      <w:r w:rsidR="00BC7E9C">
        <w:rPr>
          <w:lang w:eastAsia="en-AU"/>
        </w:rPr>
        <w:t>—</w:t>
      </w:r>
      <w:r w:rsidRPr="008004BD">
        <w:rPr>
          <w:lang w:eastAsia="en-AU"/>
        </w:rPr>
        <w:t>10</w:t>
      </w:r>
      <w:r>
        <w:rPr>
          <w:lang w:eastAsia="en-AU"/>
        </w:rPr>
        <w:t>)</w:t>
      </w:r>
    </w:p>
    <w:p w14:paraId="01AE2685" w14:textId="088DE7BA" w:rsidR="00F97AF3" w:rsidRPr="008004BD" w:rsidRDefault="00BC7E9C" w:rsidP="005073C8">
      <w:pPr>
        <w:pStyle w:val="Dotpoint2"/>
        <w:rPr>
          <w:sz w:val="18"/>
          <w:szCs w:val="18"/>
          <w:lang w:eastAsia="en-AU"/>
        </w:rPr>
      </w:pPr>
      <w:r>
        <w:rPr>
          <w:noProof/>
          <w:lang w:eastAsia="en-AU"/>
        </w:rPr>
        <w:t>This was d</w:t>
      </w:r>
      <w:r w:rsidR="00F97AF3" w:rsidRPr="00253685">
        <w:rPr>
          <w:noProof/>
          <w:lang w:eastAsia="en-AU"/>
        </w:rPr>
        <w:t>esigned</w:t>
      </w:r>
      <w:r w:rsidR="00F97AF3" w:rsidRPr="008004BD">
        <w:rPr>
          <w:lang w:eastAsia="en-AU"/>
        </w:rPr>
        <w:t xml:space="preserve"> to maintain the increase in commencements of young people in traditional trade apprenticeships</w:t>
      </w:r>
      <w:r>
        <w:rPr>
          <w:lang w:eastAsia="en-AU"/>
        </w:rPr>
        <w:t xml:space="preserve"> with</w:t>
      </w:r>
      <w:r w:rsidR="00F97AF3" w:rsidRPr="008004BD">
        <w:rPr>
          <w:lang w:eastAsia="en-AU"/>
        </w:rPr>
        <w:t xml:space="preserve"> </w:t>
      </w:r>
      <w:r w:rsidRPr="008004BD">
        <w:rPr>
          <w:lang w:eastAsia="en-AU"/>
        </w:rPr>
        <w:t>skills shortage</w:t>
      </w:r>
      <w:r>
        <w:rPr>
          <w:lang w:eastAsia="en-AU"/>
        </w:rPr>
        <w:t>s</w:t>
      </w:r>
      <w:r w:rsidRPr="008004BD">
        <w:rPr>
          <w:lang w:eastAsia="en-AU"/>
        </w:rPr>
        <w:t xml:space="preserve"> </w:t>
      </w:r>
      <w:r w:rsidR="00F97AF3" w:rsidRPr="008004BD">
        <w:rPr>
          <w:lang w:eastAsia="en-AU"/>
        </w:rPr>
        <w:t xml:space="preserve">as the Australian economy recovered from the impact of the global recession. An extension of the Kickstart bonus to include enterprises that employed new apprentices over the period 12 May 2010 to 12 November 2010 was announced in the May 2010 </w:t>
      </w:r>
      <w:r>
        <w:rPr>
          <w:lang w:eastAsia="en-AU"/>
        </w:rPr>
        <w:t>B</w:t>
      </w:r>
      <w:r w:rsidR="00F97AF3" w:rsidRPr="008004BD">
        <w:rPr>
          <w:lang w:eastAsia="en-AU"/>
        </w:rPr>
        <w:t>udget.</w:t>
      </w:r>
    </w:p>
    <w:p w14:paraId="11085E90" w14:textId="6C0B786E" w:rsidR="00F97AF3" w:rsidRPr="008004BD" w:rsidRDefault="00774063" w:rsidP="00837EEF">
      <w:pPr>
        <w:pStyle w:val="Dotpoint1"/>
        <w:rPr>
          <w:sz w:val="18"/>
          <w:szCs w:val="18"/>
          <w:lang w:eastAsia="en-AU"/>
        </w:rPr>
      </w:pPr>
      <w:r>
        <w:rPr>
          <w:lang w:eastAsia="en-AU"/>
        </w:rPr>
        <w:t>s</w:t>
      </w:r>
      <w:r w:rsidR="00F97AF3" w:rsidRPr="008004BD">
        <w:rPr>
          <w:lang w:eastAsia="en-AU"/>
        </w:rPr>
        <w:t>ecuring Australian Apprenticeships and Traineeships</w:t>
      </w:r>
      <w:r w:rsidR="00F97AF3">
        <w:rPr>
          <w:lang w:eastAsia="en-AU"/>
        </w:rPr>
        <w:t xml:space="preserve"> (</w:t>
      </w:r>
      <w:r w:rsidR="00F97AF3" w:rsidRPr="008004BD">
        <w:rPr>
          <w:lang w:eastAsia="en-AU"/>
        </w:rPr>
        <w:t>2009</w:t>
      </w:r>
      <w:r w:rsidR="00BC7E9C">
        <w:rPr>
          <w:lang w:eastAsia="en-AU"/>
        </w:rPr>
        <w:t>—</w:t>
      </w:r>
      <w:r w:rsidR="00F97AF3" w:rsidRPr="008004BD">
        <w:rPr>
          <w:lang w:eastAsia="en-AU"/>
        </w:rPr>
        <w:t>10</w:t>
      </w:r>
      <w:r w:rsidR="00F97AF3">
        <w:rPr>
          <w:lang w:eastAsia="en-AU"/>
        </w:rPr>
        <w:t>)</w:t>
      </w:r>
    </w:p>
    <w:p w14:paraId="09206E2B" w14:textId="28187768" w:rsidR="00F97AF3" w:rsidRPr="008004BD" w:rsidRDefault="00BC7E9C" w:rsidP="00837EEF">
      <w:pPr>
        <w:pStyle w:val="Dotpoint2"/>
        <w:rPr>
          <w:sz w:val="18"/>
          <w:szCs w:val="18"/>
          <w:lang w:eastAsia="en-AU"/>
        </w:rPr>
      </w:pPr>
      <w:r>
        <w:rPr>
          <w:noProof/>
          <w:lang w:eastAsia="en-AU"/>
        </w:rPr>
        <w:t>P</w:t>
      </w:r>
      <w:r w:rsidR="00F97AF3" w:rsidRPr="00431C54">
        <w:rPr>
          <w:noProof/>
          <w:lang w:eastAsia="en-AU"/>
        </w:rPr>
        <w:t>rovided</w:t>
      </w:r>
      <w:r w:rsidR="00F97AF3">
        <w:rPr>
          <w:lang w:eastAsia="en-AU"/>
        </w:rPr>
        <w:t xml:space="preserve"> </w:t>
      </w:r>
      <w:r w:rsidR="00F97AF3" w:rsidRPr="008004BD">
        <w:rPr>
          <w:lang w:eastAsia="en-AU"/>
        </w:rPr>
        <w:t xml:space="preserve">financial support to employers who took on out-of-trade apprentices and trainees, or who </w:t>
      </w:r>
      <w:r w:rsidR="00F97AF3">
        <w:rPr>
          <w:lang w:eastAsia="en-AU"/>
        </w:rPr>
        <w:t xml:space="preserve">had </w:t>
      </w:r>
      <w:r w:rsidR="00F97AF3" w:rsidRPr="00431C54">
        <w:rPr>
          <w:noProof/>
          <w:lang w:eastAsia="en-AU"/>
        </w:rPr>
        <w:t>completing</w:t>
      </w:r>
      <w:r w:rsidR="00F97AF3" w:rsidRPr="008004BD">
        <w:rPr>
          <w:lang w:eastAsia="en-AU"/>
        </w:rPr>
        <w:t xml:space="preserve"> apprentices or trainees at the certificate III or IV level in skills shortage trades or </w:t>
      </w:r>
      <w:r w:rsidR="00F97AF3" w:rsidRPr="00431C54">
        <w:rPr>
          <w:noProof/>
          <w:lang w:eastAsia="en-AU"/>
        </w:rPr>
        <w:t>in</w:t>
      </w:r>
      <w:r w:rsidR="00F97AF3" w:rsidRPr="008004BD">
        <w:rPr>
          <w:lang w:eastAsia="en-AU"/>
        </w:rPr>
        <w:t xml:space="preserve"> selected diploma or advanced diploma level qualifications. The initiative came to an end in 2010</w:t>
      </w:r>
      <w:r>
        <w:rPr>
          <w:lang w:eastAsia="en-AU"/>
        </w:rPr>
        <w:t>.</w:t>
      </w:r>
    </w:p>
    <w:p w14:paraId="3C2F2669" w14:textId="074E8B77" w:rsidR="00F97AF3" w:rsidRPr="005D716A" w:rsidRDefault="00F97AF3" w:rsidP="00837EEF">
      <w:pPr>
        <w:pStyle w:val="Dotpoint1"/>
        <w:rPr>
          <w:sz w:val="18"/>
          <w:szCs w:val="18"/>
          <w:lang w:eastAsia="en-AU"/>
        </w:rPr>
      </w:pPr>
      <w:r w:rsidRPr="005D716A">
        <w:rPr>
          <w:lang w:eastAsia="en-AU"/>
        </w:rPr>
        <w:t>National Partnership Agreement on Pre-Apprenticeship Training</w:t>
      </w:r>
      <w:r>
        <w:rPr>
          <w:lang w:eastAsia="en-AU"/>
        </w:rPr>
        <w:t xml:space="preserve"> (</w:t>
      </w:r>
      <w:r w:rsidRPr="005D716A">
        <w:rPr>
          <w:lang w:eastAsia="en-AU"/>
        </w:rPr>
        <w:t>2010</w:t>
      </w:r>
      <w:r w:rsidR="00BC7E9C">
        <w:rPr>
          <w:lang w:eastAsia="en-AU"/>
        </w:rPr>
        <w:t>—</w:t>
      </w:r>
      <w:r w:rsidRPr="005D716A">
        <w:rPr>
          <w:lang w:eastAsia="en-AU"/>
        </w:rPr>
        <w:t>11</w:t>
      </w:r>
      <w:r>
        <w:rPr>
          <w:lang w:eastAsia="en-AU"/>
        </w:rPr>
        <w:t>)</w:t>
      </w:r>
    </w:p>
    <w:p w14:paraId="77E16C39" w14:textId="500917B8" w:rsidR="00F97AF3" w:rsidRPr="005D716A" w:rsidRDefault="00BC7E9C" w:rsidP="00837EEF">
      <w:pPr>
        <w:pStyle w:val="Dotpoint2"/>
        <w:rPr>
          <w:sz w:val="18"/>
          <w:szCs w:val="18"/>
          <w:lang w:eastAsia="en-AU"/>
        </w:rPr>
      </w:pPr>
      <w:r>
        <w:rPr>
          <w:noProof/>
          <w:lang w:eastAsia="en-AU"/>
        </w:rPr>
        <w:t>C</w:t>
      </w:r>
      <w:r w:rsidR="00F97AF3" w:rsidRPr="00431C54">
        <w:rPr>
          <w:noProof/>
          <w:lang w:eastAsia="en-AU"/>
        </w:rPr>
        <w:t>ontributed</w:t>
      </w:r>
      <w:r w:rsidR="00F97AF3" w:rsidRPr="005D716A">
        <w:rPr>
          <w:lang w:eastAsia="en-AU"/>
        </w:rPr>
        <w:t xml:space="preserve"> to increasing the number of pre-apprenticeship training opportunities, thereby resulting in an increased number of </w:t>
      </w:r>
      <w:r w:rsidR="00F97AF3" w:rsidRPr="007737D7">
        <w:rPr>
          <w:noProof/>
          <w:lang w:eastAsia="en-AU"/>
        </w:rPr>
        <w:t>better</w:t>
      </w:r>
      <w:r w:rsidR="00F97AF3">
        <w:rPr>
          <w:noProof/>
          <w:lang w:eastAsia="en-AU"/>
        </w:rPr>
        <w:t>-</w:t>
      </w:r>
      <w:r w:rsidR="00F97AF3" w:rsidRPr="007737D7">
        <w:rPr>
          <w:noProof/>
          <w:lang w:eastAsia="en-AU"/>
        </w:rPr>
        <w:t>prepared</w:t>
      </w:r>
      <w:r w:rsidR="00F97AF3" w:rsidRPr="005D716A">
        <w:rPr>
          <w:lang w:eastAsia="en-AU"/>
        </w:rPr>
        <w:t xml:space="preserve"> individuals taking up formal Australian </w:t>
      </w:r>
      <w:r>
        <w:rPr>
          <w:lang w:eastAsia="en-AU"/>
        </w:rPr>
        <w:lastRenderedPageBreak/>
        <w:t>a</w:t>
      </w:r>
      <w:r w:rsidR="00F97AF3" w:rsidRPr="005D716A">
        <w:rPr>
          <w:lang w:eastAsia="en-AU"/>
        </w:rPr>
        <w:t xml:space="preserve">pprenticeship training in traditional trade occupations. The full text of this agreement may </w:t>
      </w:r>
      <w:r w:rsidR="00F97AF3" w:rsidRPr="00431C54">
        <w:rPr>
          <w:noProof/>
          <w:lang w:eastAsia="en-AU"/>
        </w:rPr>
        <w:t>be found</w:t>
      </w:r>
      <w:r w:rsidR="00F97AF3" w:rsidRPr="005D716A">
        <w:rPr>
          <w:lang w:eastAsia="en-AU"/>
        </w:rPr>
        <w:t xml:space="preserve"> </w:t>
      </w:r>
      <w:r w:rsidR="00F97AF3" w:rsidRPr="00431C54">
        <w:rPr>
          <w:noProof/>
          <w:lang w:eastAsia="en-AU"/>
        </w:rPr>
        <w:t>at:</w:t>
      </w:r>
      <w:r w:rsidR="00F97AF3" w:rsidRPr="005D716A">
        <w:rPr>
          <w:lang w:eastAsia="en-AU"/>
        </w:rPr>
        <w:t xml:space="preserve"> </w:t>
      </w:r>
      <w:r w:rsidR="00AF1C4A">
        <w:rPr>
          <w:lang w:eastAsia="en-AU"/>
        </w:rPr>
        <w:t>&lt;http</w:t>
      </w:r>
      <w:r w:rsidR="00F97AF3" w:rsidRPr="005D716A">
        <w:rPr>
          <w:lang w:eastAsia="en-AU"/>
        </w:rPr>
        <w:t>://hdl.voced.edu.au/10707/448389</w:t>
      </w:r>
      <w:r>
        <w:rPr>
          <w:lang w:eastAsia="en-AU"/>
        </w:rPr>
        <w:t>&gt;.</w:t>
      </w:r>
    </w:p>
    <w:p w14:paraId="1E01BDFF" w14:textId="2CCA46D8" w:rsidR="00F97AF3" w:rsidRPr="005D716A" w:rsidRDefault="00F97AF3" w:rsidP="00837EEF">
      <w:pPr>
        <w:pStyle w:val="Dotpoint1"/>
        <w:rPr>
          <w:sz w:val="18"/>
          <w:szCs w:val="18"/>
          <w:lang w:eastAsia="en-AU"/>
        </w:rPr>
      </w:pPr>
      <w:r w:rsidRPr="005D716A">
        <w:rPr>
          <w:lang w:eastAsia="en-AU"/>
        </w:rPr>
        <w:t>Australian Apprenticeships Mentoring Package</w:t>
      </w:r>
      <w:r>
        <w:rPr>
          <w:lang w:eastAsia="en-AU"/>
        </w:rPr>
        <w:t xml:space="preserve"> (</w:t>
      </w:r>
      <w:r w:rsidRPr="005D716A">
        <w:rPr>
          <w:lang w:eastAsia="en-AU"/>
        </w:rPr>
        <w:t>2011</w:t>
      </w:r>
      <w:r w:rsidR="00BC7E9C">
        <w:rPr>
          <w:lang w:eastAsia="en-AU"/>
        </w:rPr>
        <w:t>—</w:t>
      </w:r>
      <w:r w:rsidRPr="005D716A">
        <w:rPr>
          <w:lang w:eastAsia="en-AU"/>
        </w:rPr>
        <w:t>15</w:t>
      </w:r>
      <w:r>
        <w:rPr>
          <w:lang w:eastAsia="en-AU"/>
        </w:rPr>
        <w:t>)</w:t>
      </w:r>
    </w:p>
    <w:p w14:paraId="43E299B5" w14:textId="69F08668" w:rsidR="00F97AF3" w:rsidRPr="005D716A" w:rsidRDefault="00BC7E9C" w:rsidP="00837EEF">
      <w:pPr>
        <w:pStyle w:val="Dotpoint2"/>
        <w:rPr>
          <w:sz w:val="18"/>
          <w:szCs w:val="18"/>
          <w:lang w:eastAsia="en-AU"/>
        </w:rPr>
      </w:pPr>
      <w:r>
        <w:rPr>
          <w:noProof/>
          <w:lang w:eastAsia="en-AU"/>
        </w:rPr>
        <w:t>A</w:t>
      </w:r>
      <w:r w:rsidR="00F97AF3" w:rsidRPr="00431C54">
        <w:rPr>
          <w:noProof/>
          <w:lang w:eastAsia="en-AU"/>
        </w:rPr>
        <w:t>imed</w:t>
      </w:r>
      <w:r w:rsidR="00F97AF3">
        <w:rPr>
          <w:lang w:eastAsia="en-AU"/>
        </w:rPr>
        <w:t xml:space="preserve"> to </w:t>
      </w:r>
      <w:r w:rsidR="00F97AF3" w:rsidRPr="005D716A">
        <w:rPr>
          <w:lang w:eastAsia="en-AU"/>
        </w:rPr>
        <w:t>increase the retention rates of Australian apprentices, particularly in the first 12 months of training, to improve completion rates and support the supply of skilled workers in sectors and occupations where there were current or emerging skills needs. It comprised two grant programs: the Australian Apprenticeships Mentoring Program and the Australian Apprenticeships Advisors Program.</w:t>
      </w:r>
    </w:p>
    <w:p w14:paraId="672F85D3" w14:textId="4C418A7C" w:rsidR="00F97AF3" w:rsidRDefault="00F97AF3" w:rsidP="00E774A7">
      <w:pPr>
        <w:pStyle w:val="Text"/>
        <w:ind w:right="-143"/>
        <w:rPr>
          <w:rFonts w:ascii="Arial" w:hAnsi="Arial" w:cs="Arial"/>
          <w:color w:val="000000"/>
          <w:sz w:val="20"/>
          <w:lang w:eastAsia="en-AU"/>
        </w:rPr>
      </w:pPr>
      <w:r>
        <w:t>Completion rates declined markedly in all states except the Northern Territory and to a lesser extent in Western Australia in 2013. Changes in the Commonwealth policy environment included</w:t>
      </w:r>
      <w:r w:rsidR="007829EB">
        <w:t xml:space="preserve"> the</w:t>
      </w:r>
      <w:r>
        <w:t xml:space="preserve"> </w:t>
      </w:r>
      <w:r w:rsidRPr="00BC7E9C">
        <w:rPr>
          <w:rFonts w:asciiTheme="minorHAnsi" w:hAnsiTheme="minorHAnsi"/>
          <w:sz w:val="18"/>
          <w:szCs w:val="18"/>
        </w:rPr>
        <w:t>c</w:t>
      </w:r>
      <w:r w:rsidRPr="00BC7E9C">
        <w:rPr>
          <w:rFonts w:asciiTheme="minorHAnsi" w:hAnsiTheme="minorHAnsi" w:cs="Arial"/>
          <w:color w:val="000000"/>
          <w:sz w:val="18"/>
          <w:szCs w:val="18"/>
          <w:lang w:eastAsia="en-AU"/>
        </w:rPr>
        <w:t>essation of</w:t>
      </w:r>
      <w:r>
        <w:rPr>
          <w:rFonts w:ascii="Arial" w:hAnsi="Arial" w:cs="Arial"/>
          <w:color w:val="000000"/>
          <w:sz w:val="20"/>
          <w:lang w:eastAsia="en-AU"/>
        </w:rPr>
        <w:t>:</w:t>
      </w:r>
    </w:p>
    <w:p w14:paraId="252DDE06" w14:textId="5B741AAE" w:rsidR="00F97AF3" w:rsidRPr="007E175C" w:rsidRDefault="00F97AF3" w:rsidP="00B17374">
      <w:pPr>
        <w:pStyle w:val="Dotpoint1"/>
        <w:rPr>
          <w:sz w:val="18"/>
          <w:szCs w:val="18"/>
          <w:lang w:eastAsia="en-AU"/>
        </w:rPr>
      </w:pPr>
      <w:r w:rsidRPr="007E175C">
        <w:rPr>
          <w:lang w:eastAsia="en-AU"/>
        </w:rPr>
        <w:t>National Partnership Agreement on Youth Attainment and Transitions (</w:t>
      </w:r>
      <w:r w:rsidRPr="005D716A">
        <w:rPr>
          <w:lang w:eastAsia="en-AU"/>
        </w:rPr>
        <w:t>2009</w:t>
      </w:r>
      <w:r w:rsidR="00BC7E9C">
        <w:rPr>
          <w:lang w:eastAsia="en-AU"/>
        </w:rPr>
        <w:t>—</w:t>
      </w:r>
      <w:r w:rsidRPr="005D716A">
        <w:rPr>
          <w:lang w:eastAsia="en-AU"/>
        </w:rPr>
        <w:t>13</w:t>
      </w:r>
      <w:r w:rsidRPr="007E175C">
        <w:rPr>
          <w:lang w:eastAsia="en-AU"/>
        </w:rPr>
        <w:t>)</w:t>
      </w:r>
    </w:p>
    <w:p w14:paraId="6BAB5502" w14:textId="05C4AB43" w:rsidR="00F97AF3" w:rsidRPr="005D716A" w:rsidRDefault="007829EB" w:rsidP="00B17374">
      <w:pPr>
        <w:pStyle w:val="Dotpoint2"/>
        <w:rPr>
          <w:sz w:val="18"/>
          <w:szCs w:val="18"/>
          <w:lang w:eastAsia="en-AU"/>
        </w:rPr>
      </w:pPr>
      <w:r>
        <w:rPr>
          <w:noProof/>
          <w:lang w:eastAsia="en-AU"/>
        </w:rPr>
        <w:t>A</w:t>
      </w:r>
      <w:r w:rsidR="00F97AF3" w:rsidRPr="00F6305F">
        <w:rPr>
          <w:noProof/>
          <w:lang w:eastAsia="en-AU"/>
        </w:rPr>
        <w:t>n agreement</w:t>
      </w:r>
      <w:r w:rsidR="00F97AF3" w:rsidRPr="005D716A">
        <w:rPr>
          <w:lang w:eastAsia="en-AU"/>
        </w:rPr>
        <w:t xml:space="preserve"> between the Commonwealth and states and territories aimed at improving outcomes in educational attainment, engagement of young people aged 15</w:t>
      </w:r>
      <w:r>
        <w:rPr>
          <w:lang w:eastAsia="en-AU"/>
        </w:rPr>
        <w:t>—</w:t>
      </w:r>
      <w:r w:rsidR="00F97AF3" w:rsidRPr="005D716A">
        <w:rPr>
          <w:lang w:eastAsia="en-AU"/>
        </w:rPr>
        <w:t xml:space="preserve">24 with education, training and employment, and the transitions of young people from school to further education, training or employment. The agreement expired on 31 December 2013. </w:t>
      </w:r>
    </w:p>
    <w:p w14:paraId="26E91CD9" w14:textId="49F535CB" w:rsidR="00F97AF3" w:rsidRPr="007E175C" w:rsidRDefault="00F97AF3" w:rsidP="00B17374">
      <w:pPr>
        <w:pStyle w:val="Dotpoint1"/>
        <w:rPr>
          <w:sz w:val="18"/>
          <w:szCs w:val="18"/>
          <w:lang w:eastAsia="en-AU"/>
        </w:rPr>
      </w:pPr>
      <w:r>
        <w:rPr>
          <w:lang w:eastAsia="en-AU"/>
        </w:rPr>
        <w:t>C</w:t>
      </w:r>
      <w:r w:rsidRPr="007E175C">
        <w:rPr>
          <w:lang w:eastAsia="en-AU"/>
        </w:rPr>
        <w:t>ompletion incentive payments</w:t>
      </w:r>
      <w:r>
        <w:rPr>
          <w:lang w:eastAsia="en-AU"/>
        </w:rPr>
        <w:t xml:space="preserve"> in some areas (2013</w:t>
      </w:r>
      <w:r w:rsidR="007829EB">
        <w:rPr>
          <w:lang w:eastAsia="en-AU"/>
        </w:rPr>
        <w:t>,</w:t>
      </w:r>
      <w:r>
        <w:rPr>
          <w:lang w:eastAsia="en-AU"/>
        </w:rPr>
        <w:t xml:space="preserve"> ongoing)</w:t>
      </w:r>
    </w:p>
    <w:p w14:paraId="580472B1" w14:textId="1E6DD14F" w:rsidR="00F97AF3" w:rsidRPr="007E175C" w:rsidRDefault="007829EB" w:rsidP="00B17374">
      <w:pPr>
        <w:pStyle w:val="Dotpoint2"/>
        <w:rPr>
          <w:sz w:val="18"/>
          <w:szCs w:val="18"/>
          <w:lang w:eastAsia="en-AU"/>
        </w:rPr>
      </w:pPr>
      <w:r>
        <w:rPr>
          <w:lang w:eastAsia="en-AU"/>
        </w:rPr>
        <w:t>C</w:t>
      </w:r>
      <w:r w:rsidR="00F97AF3" w:rsidRPr="007E175C">
        <w:rPr>
          <w:lang w:eastAsia="en-AU"/>
        </w:rPr>
        <w:t>ompletion incentives for existing worker apprenticeships and traineeships not on the National Skills Needs List were removed from 3 August 2013 (priority occupations such as aged care, child care, disability care and enrolled nurses</w:t>
      </w:r>
      <w:r w:rsidR="00774063">
        <w:rPr>
          <w:lang w:eastAsia="en-AU"/>
        </w:rPr>
        <w:t xml:space="preserve"> were</w:t>
      </w:r>
      <w:r w:rsidR="00F97AF3" w:rsidRPr="007E175C">
        <w:rPr>
          <w:lang w:eastAsia="en-AU"/>
        </w:rPr>
        <w:t xml:space="preserve"> exempt from the change).</w:t>
      </w:r>
    </w:p>
    <w:p w14:paraId="3DB0E38A" w14:textId="77777777" w:rsidR="00F97AF3" w:rsidRPr="00003853" w:rsidRDefault="00F97AF3" w:rsidP="00F97AF3">
      <w:pPr>
        <w:pStyle w:val="Text"/>
        <w:rPr>
          <w:sz w:val="18"/>
          <w:szCs w:val="18"/>
          <w:lang w:eastAsia="en-AU"/>
        </w:rPr>
      </w:pPr>
      <w:r w:rsidRPr="00003853">
        <w:rPr>
          <w:lang w:eastAsia="en-AU"/>
        </w:rPr>
        <w:t>Changes in the wider economic environment:</w:t>
      </w:r>
    </w:p>
    <w:p w14:paraId="46160CE9" w14:textId="136BE6B5" w:rsidR="00F97AF3" w:rsidRPr="00003853" w:rsidRDefault="00F97AF3" w:rsidP="00B17374">
      <w:pPr>
        <w:pStyle w:val="Dotpoint1"/>
        <w:rPr>
          <w:sz w:val="18"/>
          <w:szCs w:val="18"/>
          <w:lang w:eastAsia="en-AU"/>
        </w:rPr>
      </w:pPr>
      <w:r>
        <w:rPr>
          <w:lang w:eastAsia="en-AU"/>
        </w:rPr>
        <w:t>end of the mining boom (2003</w:t>
      </w:r>
      <w:r w:rsidR="007829EB">
        <w:rPr>
          <w:lang w:eastAsia="en-AU"/>
        </w:rPr>
        <w:t>—</w:t>
      </w:r>
      <w:r>
        <w:rPr>
          <w:lang w:eastAsia="en-AU"/>
        </w:rPr>
        <w:t>13)</w:t>
      </w:r>
    </w:p>
    <w:p w14:paraId="56FA1013" w14:textId="05741559" w:rsidR="00F97AF3" w:rsidRPr="00003853" w:rsidRDefault="00F97AF3" w:rsidP="00B17374">
      <w:pPr>
        <w:pStyle w:val="Dotpoint1"/>
        <w:rPr>
          <w:sz w:val="18"/>
          <w:szCs w:val="18"/>
          <w:lang w:eastAsia="en-AU"/>
        </w:rPr>
      </w:pPr>
      <w:r>
        <w:rPr>
          <w:lang w:eastAsia="en-AU"/>
        </w:rPr>
        <w:t>collapse of the automotive industry (2013</w:t>
      </w:r>
      <w:r w:rsidR="007829EB">
        <w:rPr>
          <w:lang w:eastAsia="en-AU"/>
        </w:rPr>
        <w:t>—</w:t>
      </w:r>
      <w:r>
        <w:rPr>
          <w:lang w:eastAsia="en-AU"/>
        </w:rPr>
        <w:t>17)</w:t>
      </w:r>
    </w:p>
    <w:p w14:paraId="5247830A" w14:textId="099922E1" w:rsidR="00F97AF3" w:rsidRPr="007E175C" w:rsidRDefault="00F97AF3" w:rsidP="00B17374">
      <w:pPr>
        <w:pStyle w:val="Dotpoint2"/>
        <w:rPr>
          <w:sz w:val="18"/>
          <w:szCs w:val="18"/>
          <w:lang w:eastAsia="en-AU"/>
        </w:rPr>
      </w:pPr>
      <w:r>
        <w:rPr>
          <w:lang w:eastAsia="en-AU"/>
        </w:rPr>
        <w:t xml:space="preserve">although concentrated in Victoria and South Australia, the patterns for both commencements and completions for these two </w:t>
      </w:r>
      <w:r w:rsidR="00774063">
        <w:rPr>
          <w:lang w:eastAsia="en-AU"/>
        </w:rPr>
        <w:t>s</w:t>
      </w:r>
      <w:r>
        <w:rPr>
          <w:lang w:eastAsia="en-AU"/>
        </w:rPr>
        <w:t xml:space="preserve">tates </w:t>
      </w:r>
      <w:r w:rsidR="00774063">
        <w:rPr>
          <w:noProof/>
          <w:lang w:eastAsia="en-AU"/>
        </w:rPr>
        <w:t>were</w:t>
      </w:r>
      <w:r>
        <w:rPr>
          <w:lang w:eastAsia="en-AU"/>
        </w:rPr>
        <w:t xml:space="preserve"> similar to those of other </w:t>
      </w:r>
      <w:r w:rsidR="00774063">
        <w:rPr>
          <w:lang w:eastAsia="en-AU"/>
        </w:rPr>
        <w:t>s</w:t>
      </w:r>
      <w:r>
        <w:rPr>
          <w:lang w:eastAsia="en-AU"/>
        </w:rPr>
        <w:t xml:space="preserve">tates, suggesting that </w:t>
      </w:r>
      <w:r w:rsidR="00774063">
        <w:rPr>
          <w:noProof/>
          <w:lang w:eastAsia="en-AU"/>
        </w:rPr>
        <w:t>s</w:t>
      </w:r>
      <w:r w:rsidRPr="007737D7">
        <w:rPr>
          <w:noProof/>
          <w:lang w:eastAsia="en-AU"/>
        </w:rPr>
        <w:t>tate</w:t>
      </w:r>
      <w:r>
        <w:rPr>
          <w:noProof/>
          <w:lang w:eastAsia="en-AU"/>
        </w:rPr>
        <w:t>-</w:t>
      </w:r>
      <w:r w:rsidRPr="007737D7">
        <w:rPr>
          <w:noProof/>
          <w:lang w:eastAsia="en-AU"/>
        </w:rPr>
        <w:t>based</w:t>
      </w:r>
      <w:r>
        <w:rPr>
          <w:lang w:eastAsia="en-AU"/>
        </w:rPr>
        <w:t xml:space="preserve"> policies may have prevented greater declines.</w:t>
      </w:r>
    </w:p>
    <w:p w14:paraId="1C7B042E" w14:textId="44011825" w:rsidR="00F97AF3" w:rsidRDefault="00F97AF3" w:rsidP="00F97AF3">
      <w:pPr>
        <w:pStyle w:val="Text"/>
      </w:pPr>
      <w:r>
        <w:t>O</w:t>
      </w:r>
      <w:r w:rsidRPr="00C2342C">
        <w:t>n 9 May 2017 in its 2017</w:t>
      </w:r>
      <w:r w:rsidR="007829EB">
        <w:t>—</w:t>
      </w:r>
      <w:r w:rsidRPr="00C2342C">
        <w:t xml:space="preserve">18 </w:t>
      </w:r>
      <w:r w:rsidR="007829EB">
        <w:t>B</w:t>
      </w:r>
      <w:r w:rsidRPr="00C2342C">
        <w:t>udget</w:t>
      </w:r>
      <w:r>
        <w:t>, t</w:t>
      </w:r>
      <w:r w:rsidRPr="00C2342C">
        <w:t>he Australian Government announced the new Skilling Australians Fund (an estimated $1.5 billion over four years with matching funds from the states and territories). Also announced was a new $60 million Industry Specialist Mentoring for Australian Apprentices program</w:t>
      </w:r>
      <w:r w:rsidR="007829EB">
        <w:t xml:space="preserve">, which </w:t>
      </w:r>
      <w:r w:rsidRPr="00C2342C">
        <w:t xml:space="preserve">will provide support to apprentices and trainees, particularly during their first two years, </w:t>
      </w:r>
      <w:r w:rsidRPr="007737D7">
        <w:rPr>
          <w:noProof/>
        </w:rPr>
        <w:t>to</w:t>
      </w:r>
      <w:r w:rsidRPr="00C2342C">
        <w:t xml:space="preserve"> improve retention rates.</w:t>
      </w:r>
      <w:r>
        <w:t xml:space="preserve"> The impact of these initiatives will </w:t>
      </w:r>
      <w:r w:rsidRPr="00F6305F">
        <w:rPr>
          <w:noProof/>
        </w:rPr>
        <w:t>be measured</w:t>
      </w:r>
      <w:r w:rsidRPr="007737D7">
        <w:rPr>
          <w:noProof/>
        </w:rPr>
        <w:t xml:space="preserve"> in</w:t>
      </w:r>
      <w:r>
        <w:t xml:space="preserve"> future analyses. </w:t>
      </w:r>
    </w:p>
    <w:p w14:paraId="365C219E" w14:textId="6FBDCF72" w:rsidR="00F97AF3" w:rsidRDefault="00F97AF3" w:rsidP="00F97AF3">
      <w:pPr>
        <w:pStyle w:val="Text"/>
      </w:pPr>
      <w:r>
        <w:t xml:space="preserve">Figures </w:t>
      </w:r>
      <w:r w:rsidR="007829EB">
        <w:t>A1—A8</w:t>
      </w:r>
      <w:r>
        <w:t xml:space="preserve"> </w:t>
      </w:r>
      <w:r w:rsidR="007829EB">
        <w:t>in the a</w:t>
      </w:r>
      <w:r>
        <w:t>ppendix identify possible key policy impacts on the apprenticeship commencement, cancellation and completion rates for each jurisdiction, based on the NCVER Knowledge Bank Policy Timeline</w:t>
      </w:r>
      <w:r w:rsidR="00774063">
        <w:t xml:space="preserve"> of Australian VET Policy Initiatives: 1998-2018</w:t>
      </w:r>
      <w:r>
        <w:t xml:space="preserve"> </w:t>
      </w:r>
      <w:hyperlink r:id="rId27" w:history="1">
        <w:r w:rsidR="00774063" w:rsidRPr="0044622C">
          <w:rPr>
            <w:rStyle w:val="Hyperlink"/>
          </w:rPr>
          <w:t>(&lt;http://www.voced.edu.au/vet-knowledge-bank-timeline-australian-vet-policy-initiatives&gt;).</w:t>
        </w:r>
      </w:hyperlink>
    </w:p>
    <w:p w14:paraId="07827A20" w14:textId="244B5034" w:rsidR="00F97AF3" w:rsidRDefault="00F97AF3" w:rsidP="00F97AF3">
      <w:pPr>
        <w:pStyle w:val="Text"/>
      </w:pPr>
      <w:r>
        <w:t>The Northern Territory was the only jurisdiction to show a marked decrease in cancellations in 2014</w:t>
      </w:r>
      <w:r w:rsidR="007829EB">
        <w:t>,</w:t>
      </w:r>
      <w:r>
        <w:t xml:space="preserve"> followed by a strong upsurge the following year (</w:t>
      </w:r>
      <w:r w:rsidR="007829EB">
        <w:t>f</w:t>
      </w:r>
      <w:r>
        <w:t xml:space="preserve">igure </w:t>
      </w:r>
      <w:r w:rsidR="007829EB">
        <w:t>A7</w:t>
      </w:r>
      <w:r>
        <w:t>), coinciding with Commonwealth actions in 2014 and 2015 including:</w:t>
      </w:r>
    </w:p>
    <w:p w14:paraId="3393DB4B" w14:textId="02FBA3FE" w:rsidR="00F97AF3" w:rsidRDefault="007829EB" w:rsidP="00317A0A">
      <w:pPr>
        <w:pStyle w:val="Dotpoint1"/>
      </w:pPr>
      <w:r>
        <w:t>c</w:t>
      </w:r>
      <w:r w:rsidR="00F97AF3">
        <w:t xml:space="preserve">essation of </w:t>
      </w:r>
      <w:r w:rsidR="00F97AF3" w:rsidRPr="000445FA">
        <w:t>Building Australia</w:t>
      </w:r>
      <w:r w:rsidR="00D2072F">
        <w:t>’</w:t>
      </w:r>
      <w:r w:rsidR="00F97AF3" w:rsidRPr="000445FA">
        <w:t>s Future Workforce (2011</w:t>
      </w:r>
      <w:r>
        <w:t>—</w:t>
      </w:r>
      <w:r w:rsidR="00F97AF3" w:rsidRPr="000445FA">
        <w:t>14)</w:t>
      </w:r>
    </w:p>
    <w:p w14:paraId="4A509287" w14:textId="77777777" w:rsidR="00F97AF3" w:rsidRDefault="00F97AF3" w:rsidP="00317A0A">
      <w:pPr>
        <w:pStyle w:val="Dotpoint1"/>
      </w:pPr>
      <w:r>
        <w:t>COAG</w:t>
      </w:r>
      <w:r w:rsidRPr="000445FA">
        <w:t xml:space="preserve"> VET reforms announced (ongoing)</w:t>
      </w:r>
    </w:p>
    <w:p w14:paraId="10122D6C" w14:textId="0A44D3EF" w:rsidR="00F97AF3" w:rsidRDefault="00F97AF3" w:rsidP="00317A0A">
      <w:pPr>
        <w:pStyle w:val="Dotpoint1"/>
      </w:pPr>
      <w:r w:rsidRPr="002F24B2">
        <w:rPr>
          <w:i/>
          <w:iCs/>
        </w:rPr>
        <w:lastRenderedPageBreak/>
        <w:t>A</w:t>
      </w:r>
      <w:r w:rsidR="003927EF">
        <w:rPr>
          <w:i/>
          <w:iCs/>
        </w:rPr>
        <w:t xml:space="preserve">ustralian </w:t>
      </w:r>
      <w:r w:rsidRPr="002F24B2">
        <w:rPr>
          <w:i/>
          <w:iCs/>
        </w:rPr>
        <w:t>W</w:t>
      </w:r>
      <w:r w:rsidR="003927EF">
        <w:rPr>
          <w:i/>
          <w:iCs/>
        </w:rPr>
        <w:t xml:space="preserve">orkplace and </w:t>
      </w:r>
      <w:r w:rsidRPr="002F24B2">
        <w:rPr>
          <w:i/>
          <w:iCs/>
        </w:rPr>
        <w:t>P</w:t>
      </w:r>
      <w:r w:rsidR="003927EF">
        <w:rPr>
          <w:i/>
          <w:iCs/>
        </w:rPr>
        <w:t>roductivity Agency</w:t>
      </w:r>
      <w:r w:rsidRPr="002F24B2">
        <w:rPr>
          <w:i/>
          <w:iCs/>
        </w:rPr>
        <w:t xml:space="preserve"> Act</w:t>
      </w:r>
      <w:r w:rsidRPr="000445FA">
        <w:t xml:space="preserve"> ended (2008</w:t>
      </w:r>
      <w:r w:rsidR="007829EB">
        <w:t>—</w:t>
      </w:r>
      <w:r w:rsidRPr="000445FA">
        <w:t>14)</w:t>
      </w:r>
    </w:p>
    <w:p w14:paraId="24653CB0" w14:textId="67A612AD" w:rsidR="00F97AF3" w:rsidRDefault="00F97AF3" w:rsidP="00317A0A">
      <w:pPr>
        <w:pStyle w:val="Dotpoint1"/>
      </w:pPr>
      <w:r w:rsidRPr="000445FA">
        <w:t>TAFE childcare qual</w:t>
      </w:r>
      <w:r>
        <w:t>ification</w:t>
      </w:r>
      <w:r w:rsidRPr="000445FA">
        <w:t xml:space="preserve"> fee waived (2009</w:t>
      </w:r>
      <w:r w:rsidR="007829EB">
        <w:t>—</w:t>
      </w:r>
      <w:r w:rsidRPr="000445FA">
        <w:t>14)</w:t>
      </w:r>
    </w:p>
    <w:p w14:paraId="5AD5E51B" w14:textId="5CC49E1B" w:rsidR="00F97AF3" w:rsidRDefault="007829EB" w:rsidP="00317A0A">
      <w:pPr>
        <w:pStyle w:val="Dotpoint1"/>
      </w:pPr>
      <w:r>
        <w:rPr>
          <w:noProof/>
        </w:rPr>
        <w:t>c</w:t>
      </w:r>
      <w:r w:rsidR="00F97AF3" w:rsidRPr="00F6305F">
        <w:rPr>
          <w:noProof/>
        </w:rPr>
        <w:t>losing</w:t>
      </w:r>
      <w:r w:rsidR="00F97AF3">
        <w:t xml:space="preserve"> of </w:t>
      </w:r>
      <w:r w:rsidR="00F97AF3" w:rsidRPr="000445FA">
        <w:t xml:space="preserve">Skills Connect </w:t>
      </w:r>
      <w:r w:rsidR="00865A57">
        <w:t>F</w:t>
      </w:r>
      <w:r w:rsidR="00F97AF3" w:rsidRPr="000445FA">
        <w:t>und (2011</w:t>
      </w:r>
      <w:r>
        <w:t>—</w:t>
      </w:r>
      <w:r w:rsidR="00F97AF3" w:rsidRPr="000445FA">
        <w:t>14)</w:t>
      </w:r>
    </w:p>
    <w:p w14:paraId="5AC32D59" w14:textId="015C385C" w:rsidR="00F97AF3" w:rsidRDefault="007829EB" w:rsidP="00317A0A">
      <w:pPr>
        <w:pStyle w:val="Dotpoint1"/>
      </w:pPr>
      <w:r>
        <w:t>c</w:t>
      </w:r>
      <w:r w:rsidR="00F97AF3">
        <w:t xml:space="preserve">essation of </w:t>
      </w:r>
      <w:r w:rsidR="00F97AF3" w:rsidRPr="000445FA">
        <w:t xml:space="preserve">Tools for </w:t>
      </w:r>
      <w:r w:rsidR="00F97AF3" w:rsidRPr="00F6305F">
        <w:rPr>
          <w:noProof/>
        </w:rPr>
        <w:t>Your</w:t>
      </w:r>
      <w:r w:rsidR="00F97AF3" w:rsidRPr="000445FA">
        <w:t xml:space="preserve"> Trade (2005</w:t>
      </w:r>
      <w:r>
        <w:t>—</w:t>
      </w:r>
      <w:r w:rsidR="00F97AF3" w:rsidRPr="000445FA">
        <w:t>14)</w:t>
      </w:r>
    </w:p>
    <w:p w14:paraId="0CAFA8CB" w14:textId="132213EE" w:rsidR="00F97AF3" w:rsidRDefault="007829EB" w:rsidP="00317A0A">
      <w:pPr>
        <w:pStyle w:val="Dotpoint1"/>
      </w:pPr>
      <w:r>
        <w:t>c</w:t>
      </w:r>
      <w:r w:rsidR="00F97AF3">
        <w:t xml:space="preserve">essation of </w:t>
      </w:r>
      <w:r w:rsidR="00F97AF3" w:rsidRPr="000445FA">
        <w:t>Accelerated Australian Apprenticeships (2011</w:t>
      </w:r>
      <w:r>
        <w:t>—</w:t>
      </w:r>
      <w:r w:rsidR="00F97AF3" w:rsidRPr="000445FA">
        <w:t>14)</w:t>
      </w:r>
    </w:p>
    <w:p w14:paraId="49EB3815" w14:textId="06388744" w:rsidR="00F97AF3" w:rsidRDefault="007829EB" w:rsidP="00317A0A">
      <w:pPr>
        <w:pStyle w:val="Dotpoint1"/>
      </w:pPr>
      <w:r>
        <w:t>i</w:t>
      </w:r>
      <w:r w:rsidR="00F97AF3" w:rsidRPr="000445FA">
        <w:t>ncrea</w:t>
      </w:r>
      <w:r w:rsidR="00F97AF3">
        <w:t>s</w:t>
      </w:r>
      <w:r w:rsidR="00F97AF3" w:rsidRPr="000445FA">
        <w:t>es to pay rates (ongoing)</w:t>
      </w:r>
    </w:p>
    <w:p w14:paraId="5FD34A47" w14:textId="2F916627" w:rsidR="00F97AF3" w:rsidRDefault="007829EB" w:rsidP="00317A0A">
      <w:pPr>
        <w:pStyle w:val="Dotpoint1"/>
      </w:pPr>
      <w:r>
        <w:t>i</w:t>
      </w:r>
      <w:r w:rsidR="00F97AF3">
        <w:t>ntroduction of Trade Support Loans (ongoing)</w:t>
      </w:r>
    </w:p>
    <w:p w14:paraId="47D57F07" w14:textId="68CA9B59" w:rsidR="00F97AF3" w:rsidRDefault="007829EB" w:rsidP="00317A0A">
      <w:pPr>
        <w:pStyle w:val="Dotpoint1"/>
      </w:pPr>
      <w:r>
        <w:t>c</w:t>
      </w:r>
      <w:r w:rsidR="00F97AF3">
        <w:t xml:space="preserve">losure of </w:t>
      </w:r>
      <w:r w:rsidR="00F97AF3" w:rsidRPr="00F6305F">
        <w:rPr>
          <w:noProof/>
        </w:rPr>
        <w:t>National</w:t>
      </w:r>
      <w:r w:rsidR="00F97AF3" w:rsidRPr="000445FA">
        <w:t xml:space="preserve"> Workforce Development Fund (2011</w:t>
      </w:r>
      <w:r>
        <w:t>—</w:t>
      </w:r>
      <w:r w:rsidR="00F97AF3" w:rsidRPr="000445FA">
        <w:t>14)</w:t>
      </w:r>
    </w:p>
    <w:p w14:paraId="64770555" w14:textId="7B9FA5CB" w:rsidR="00F97AF3" w:rsidRDefault="007829EB" w:rsidP="00317A0A">
      <w:pPr>
        <w:pStyle w:val="Dotpoint1"/>
      </w:pPr>
      <w:r>
        <w:t>c</w:t>
      </w:r>
      <w:r w:rsidR="00F97AF3">
        <w:t xml:space="preserve">losure of </w:t>
      </w:r>
      <w:r w:rsidR="00F97AF3" w:rsidRPr="00F6305F">
        <w:rPr>
          <w:noProof/>
        </w:rPr>
        <w:t>Critical</w:t>
      </w:r>
      <w:r w:rsidR="00F97AF3">
        <w:t xml:space="preserve"> Skills Investment Fund </w:t>
      </w:r>
      <w:r w:rsidR="00F97AF3" w:rsidRPr="000445FA">
        <w:t>(2011</w:t>
      </w:r>
      <w:r>
        <w:t>—</w:t>
      </w:r>
      <w:r w:rsidR="00F97AF3" w:rsidRPr="000445FA">
        <w:t>14)</w:t>
      </w:r>
    </w:p>
    <w:p w14:paraId="45148D42" w14:textId="7EC17303" w:rsidR="00F97AF3" w:rsidRPr="000445FA" w:rsidRDefault="003927EF" w:rsidP="00317A0A">
      <w:pPr>
        <w:pStyle w:val="Dotpoint1"/>
      </w:pPr>
      <w:r>
        <w:t xml:space="preserve">closure of </w:t>
      </w:r>
      <w:r w:rsidR="00F97AF3" w:rsidRPr="000445FA">
        <w:t xml:space="preserve">Training for Employment Scholarships and Youth </w:t>
      </w:r>
      <w:r w:rsidR="00F97AF3">
        <w:t>E</w:t>
      </w:r>
      <w:r w:rsidR="00F97AF3" w:rsidRPr="000445FA">
        <w:t>mployment Pathways (2014</w:t>
      </w:r>
      <w:r w:rsidR="007829EB">
        <w:t>—</w:t>
      </w:r>
      <w:r w:rsidR="00F97AF3" w:rsidRPr="000445FA">
        <w:t xml:space="preserve">17) </w:t>
      </w:r>
    </w:p>
    <w:p w14:paraId="407BEEB9" w14:textId="765F13BE" w:rsidR="00F97AF3" w:rsidRDefault="007829EB" w:rsidP="00317A0A">
      <w:pPr>
        <w:pStyle w:val="Dotpoint1"/>
      </w:pPr>
      <w:r>
        <w:t>c</w:t>
      </w:r>
      <w:r w:rsidR="00F97AF3">
        <w:t xml:space="preserve">losure of </w:t>
      </w:r>
      <w:r w:rsidR="00F97AF3" w:rsidRPr="000445FA">
        <w:t>Industry Skills Fund (2015</w:t>
      </w:r>
      <w:r>
        <w:t>—</w:t>
      </w:r>
      <w:r w:rsidR="00F97AF3" w:rsidRPr="000445FA">
        <w:t>16)</w:t>
      </w:r>
    </w:p>
    <w:p w14:paraId="6D820F90" w14:textId="177EB4A5" w:rsidR="00F97AF3" w:rsidRPr="000445FA" w:rsidRDefault="007829EB" w:rsidP="00317A0A">
      <w:pPr>
        <w:pStyle w:val="Dotpoint1"/>
      </w:pPr>
      <w:r>
        <w:t>c</w:t>
      </w:r>
      <w:r w:rsidR="00F97AF3">
        <w:t xml:space="preserve">essation of </w:t>
      </w:r>
      <w:r w:rsidR="00F97AF3" w:rsidRPr="000445FA">
        <w:t>Austr</w:t>
      </w:r>
      <w:r w:rsidR="00F97AF3">
        <w:t>a</w:t>
      </w:r>
      <w:r w:rsidR="00F97AF3" w:rsidRPr="000445FA">
        <w:t>lian Apprenticeships Mentoring Package (2011</w:t>
      </w:r>
      <w:r>
        <w:t>—</w:t>
      </w:r>
      <w:r w:rsidR="00F97AF3" w:rsidRPr="000445FA">
        <w:t>15)</w:t>
      </w:r>
      <w:r w:rsidR="008C3D13">
        <w:t>.</w:t>
      </w:r>
    </w:p>
    <w:p w14:paraId="319BF7C8" w14:textId="77777777" w:rsidR="00F97AF3" w:rsidRDefault="00F97AF3" w:rsidP="00F97AF3">
      <w:pPr>
        <w:pStyle w:val="Text"/>
      </w:pPr>
      <w:r>
        <w:t>Conversely, the Northern Territory was less affected than all other jurisdictions by Commonwealth actions in 2012.</w:t>
      </w:r>
    </w:p>
    <w:p w14:paraId="477D7FDC" w14:textId="5D3B5640" w:rsidR="00F97AF3" w:rsidRDefault="00F97AF3" w:rsidP="00F97AF3">
      <w:pPr>
        <w:pStyle w:val="Text"/>
      </w:pPr>
      <w:r>
        <w:t>Legislative changes in N</w:t>
      </w:r>
      <w:r w:rsidR="00865A57">
        <w:t xml:space="preserve">ew </w:t>
      </w:r>
      <w:r>
        <w:t>S</w:t>
      </w:r>
      <w:r w:rsidR="00865A57">
        <w:t xml:space="preserve">outh </w:t>
      </w:r>
      <w:r>
        <w:t>W</w:t>
      </w:r>
      <w:r w:rsidR="00865A57">
        <w:t>ales</w:t>
      </w:r>
      <w:r>
        <w:t xml:space="preserve"> largely emanated from the Commonwealth until 2011</w:t>
      </w:r>
      <w:r w:rsidR="003927EF">
        <w:t>. At that time,</w:t>
      </w:r>
      <w:r>
        <w:t xml:space="preserve"> </w:t>
      </w:r>
      <w:r w:rsidR="003927EF">
        <w:t xml:space="preserve">new </w:t>
      </w:r>
      <w:r w:rsidR="007829EB">
        <w:t>s</w:t>
      </w:r>
      <w:r>
        <w:t xml:space="preserve">tate-based policies appeared during the high rate of commencements </w:t>
      </w:r>
      <w:r w:rsidR="003927EF">
        <w:t>but</w:t>
      </w:r>
      <w:r>
        <w:t xml:space="preserve"> </w:t>
      </w:r>
      <w:r w:rsidR="003927EF">
        <w:t>changed</w:t>
      </w:r>
      <w:r>
        <w:t xml:space="preserve"> after all rates fell between 2013</w:t>
      </w:r>
      <w:r w:rsidR="007829EB">
        <w:t xml:space="preserve"> and </w:t>
      </w:r>
      <w:r>
        <w:t>2015. From 2013 onward, the rate of cancellations as a proportion of commencements was much higher than in preceding years</w:t>
      </w:r>
      <w:r w:rsidR="007829EB">
        <w:t>,</w:t>
      </w:r>
      <w:r>
        <w:t xml:space="preserve"> </w:t>
      </w:r>
      <w:r w:rsidR="00F6305F">
        <w:rPr>
          <w:noProof/>
        </w:rPr>
        <w:t>despite</w:t>
      </w:r>
      <w:r>
        <w:t xml:space="preserve"> positive </w:t>
      </w:r>
      <w:r w:rsidR="007829EB">
        <w:t>s</w:t>
      </w:r>
      <w:r>
        <w:t>tate-based changes including:</w:t>
      </w:r>
    </w:p>
    <w:p w14:paraId="349EEA59" w14:textId="110AEC55" w:rsidR="00F97AF3" w:rsidRDefault="00F97AF3" w:rsidP="00317A0A">
      <w:pPr>
        <w:pStyle w:val="Dotpoint1"/>
      </w:pPr>
      <w:r w:rsidRPr="00F12250">
        <w:t>Apprenticeship Compact</w:t>
      </w:r>
      <w:r>
        <w:t xml:space="preserve"> (2015</w:t>
      </w:r>
      <w:r w:rsidR="007829EB">
        <w:t xml:space="preserve">, </w:t>
      </w:r>
      <w:r>
        <w:t>ongoing)</w:t>
      </w:r>
    </w:p>
    <w:p w14:paraId="4F91207D" w14:textId="4070D531" w:rsidR="00F97AF3" w:rsidRPr="00716ECE" w:rsidRDefault="002F24B2" w:rsidP="00317A0A">
      <w:pPr>
        <w:pStyle w:val="Dotpoint2"/>
        <w:rPr>
          <w:sz w:val="18"/>
          <w:szCs w:val="18"/>
          <w:lang w:eastAsia="en-AU"/>
        </w:rPr>
      </w:pPr>
      <w:r>
        <w:rPr>
          <w:noProof/>
          <w:lang w:eastAsia="en-AU"/>
        </w:rPr>
        <w:t>A</w:t>
      </w:r>
      <w:r w:rsidR="00F97AF3" w:rsidRPr="00F6305F">
        <w:rPr>
          <w:noProof/>
          <w:lang w:eastAsia="en-AU"/>
        </w:rPr>
        <w:t>n industry</w:t>
      </w:r>
      <w:r w:rsidR="00F97AF3" w:rsidRPr="00716ECE">
        <w:rPr>
          <w:lang w:eastAsia="en-AU"/>
        </w:rPr>
        <w:t xml:space="preserve"> </w:t>
      </w:r>
      <w:r w:rsidR="00F97AF3" w:rsidRPr="00F6305F">
        <w:rPr>
          <w:noProof/>
          <w:lang w:eastAsia="en-AU"/>
        </w:rPr>
        <w:t>consortium</w:t>
      </w:r>
      <w:r w:rsidR="00F97AF3" w:rsidRPr="00716ECE">
        <w:rPr>
          <w:lang w:eastAsia="en-AU"/>
        </w:rPr>
        <w:t xml:space="preserve"> </w:t>
      </w:r>
      <w:r w:rsidR="00F97AF3">
        <w:rPr>
          <w:lang w:eastAsia="en-AU"/>
        </w:rPr>
        <w:t>forming</w:t>
      </w:r>
      <w:r w:rsidR="00F97AF3" w:rsidRPr="00716ECE">
        <w:rPr>
          <w:lang w:eastAsia="en-AU"/>
        </w:rPr>
        <w:t xml:space="preserve"> part of the NSW Government</w:t>
      </w:r>
      <w:r w:rsidR="00D2072F">
        <w:rPr>
          <w:lang w:eastAsia="en-AU"/>
        </w:rPr>
        <w:t>’</w:t>
      </w:r>
      <w:r w:rsidR="00F97AF3" w:rsidRPr="00716ECE">
        <w:rPr>
          <w:lang w:eastAsia="en-AU"/>
        </w:rPr>
        <w:t>s Reskilling NSW plan</w:t>
      </w:r>
      <w:r w:rsidR="00F97AF3">
        <w:rPr>
          <w:lang w:eastAsia="en-AU"/>
        </w:rPr>
        <w:t>. It includes the</w:t>
      </w:r>
      <w:r w:rsidR="00F97AF3" w:rsidRPr="00716ECE">
        <w:rPr>
          <w:lang w:eastAsia="en-AU"/>
        </w:rPr>
        <w:t xml:space="preserve"> Australian Constructors Association</w:t>
      </w:r>
      <w:r w:rsidR="00F97AF3">
        <w:rPr>
          <w:lang w:eastAsia="en-AU"/>
        </w:rPr>
        <w:t>, Australian Industry Group,</w:t>
      </w:r>
      <w:r w:rsidR="00F97AF3" w:rsidRPr="00716ECE">
        <w:rPr>
          <w:lang w:eastAsia="en-AU"/>
        </w:rPr>
        <w:t xml:space="preserve"> Civil Contractors Federation</w:t>
      </w:r>
      <w:r w:rsidR="00F97AF3">
        <w:rPr>
          <w:lang w:eastAsia="en-AU"/>
        </w:rPr>
        <w:t>, Housing Industry Association, Master Builders Association,</w:t>
      </w:r>
      <w:r w:rsidR="00F97AF3" w:rsidRPr="00716ECE">
        <w:rPr>
          <w:lang w:eastAsia="en-AU"/>
        </w:rPr>
        <w:t xml:space="preserve"> Motor Traders Association</w:t>
      </w:r>
      <w:r w:rsidR="00F97AF3">
        <w:rPr>
          <w:lang w:eastAsia="en-AU"/>
        </w:rPr>
        <w:t xml:space="preserve"> and the NSW Business Chamber</w:t>
      </w:r>
      <w:r>
        <w:rPr>
          <w:lang w:eastAsia="en-AU"/>
        </w:rPr>
        <w:t>.</w:t>
      </w:r>
    </w:p>
    <w:p w14:paraId="0D98322E" w14:textId="2E702180" w:rsidR="00F97AF3" w:rsidRPr="003968D0" w:rsidRDefault="00F97AF3" w:rsidP="00317A0A">
      <w:pPr>
        <w:pStyle w:val="Dotpoint1"/>
        <w:rPr>
          <w:sz w:val="18"/>
          <w:szCs w:val="18"/>
          <w:lang w:eastAsia="en-AU"/>
        </w:rPr>
      </w:pPr>
      <w:r>
        <w:rPr>
          <w:lang w:eastAsia="en-AU"/>
        </w:rPr>
        <w:t>Smart and Skilled (2015</w:t>
      </w:r>
      <w:r w:rsidR="007829EB">
        <w:rPr>
          <w:lang w:eastAsia="en-AU"/>
        </w:rPr>
        <w:t xml:space="preserve">, </w:t>
      </w:r>
      <w:r>
        <w:rPr>
          <w:lang w:eastAsia="en-AU"/>
        </w:rPr>
        <w:t>ongoing)</w:t>
      </w:r>
    </w:p>
    <w:p w14:paraId="22C9CF3A" w14:textId="2E762691" w:rsidR="00F97AF3" w:rsidRPr="00842D0A" w:rsidRDefault="002F24B2" w:rsidP="00317A0A">
      <w:pPr>
        <w:pStyle w:val="Dotpoint2"/>
      </w:pPr>
      <w:r>
        <w:t>P</w:t>
      </w:r>
      <w:r w:rsidR="00F97AF3" w:rsidRPr="00842D0A">
        <w:t xml:space="preserve">rovides eligible students with an entitlement to government-subsidised training up to and including </w:t>
      </w:r>
      <w:r w:rsidR="007829EB">
        <w:t>c</w:t>
      </w:r>
      <w:r w:rsidR="00F97AF3" w:rsidRPr="00842D0A">
        <w:t>ertificate III and government funding for higher-level courses (</w:t>
      </w:r>
      <w:r w:rsidR="007829EB">
        <w:t>c</w:t>
      </w:r>
      <w:r w:rsidR="00F97AF3" w:rsidRPr="00842D0A">
        <w:t>ertificate IV and above) in targeted priority areas</w:t>
      </w:r>
      <w:r>
        <w:t>.</w:t>
      </w:r>
    </w:p>
    <w:p w14:paraId="331FA69C" w14:textId="77777777" w:rsidR="00F97AF3" w:rsidRPr="00DA0E7A" w:rsidRDefault="00F97AF3" w:rsidP="00317A0A">
      <w:pPr>
        <w:pStyle w:val="Dotpoint1"/>
        <w:rPr>
          <w:sz w:val="18"/>
          <w:szCs w:val="18"/>
          <w:lang w:eastAsia="en-AU"/>
        </w:rPr>
      </w:pPr>
      <w:r>
        <w:rPr>
          <w:lang w:eastAsia="en-AU"/>
        </w:rPr>
        <w:t>Reskilling NSW</w:t>
      </w:r>
    </w:p>
    <w:p w14:paraId="60476D89" w14:textId="77717519" w:rsidR="00F97AF3" w:rsidRDefault="00F97AF3" w:rsidP="00317A0A">
      <w:pPr>
        <w:pStyle w:val="Dotpoint2"/>
      </w:pPr>
      <w:r w:rsidRPr="00DA0E7A">
        <w:t xml:space="preserve">$48 million for fee-free scholarships for 200 000 concession-eligible 15 to </w:t>
      </w:r>
      <w:r w:rsidRPr="00253685">
        <w:rPr>
          <w:noProof/>
        </w:rPr>
        <w:t>30</w:t>
      </w:r>
      <w:r>
        <w:rPr>
          <w:noProof/>
        </w:rPr>
        <w:t>-year-</w:t>
      </w:r>
      <w:r w:rsidRPr="00253685">
        <w:rPr>
          <w:noProof/>
        </w:rPr>
        <w:t>olds</w:t>
      </w:r>
      <w:r w:rsidRPr="00DA0E7A">
        <w:t xml:space="preserve"> to undertake government-subsidised </w:t>
      </w:r>
      <w:r w:rsidR="007829EB">
        <w:t>VET</w:t>
      </w:r>
      <w:r w:rsidRPr="00DA0E7A">
        <w:t xml:space="preserve"> certificate courses</w:t>
      </w:r>
    </w:p>
    <w:p w14:paraId="2F4209D2" w14:textId="23838147" w:rsidR="00F97AF3" w:rsidRDefault="002F24B2" w:rsidP="00317A0A">
      <w:pPr>
        <w:pStyle w:val="Dotpoint2"/>
        <w:numPr>
          <w:ilvl w:val="1"/>
          <w:numId w:val="7"/>
        </w:numPr>
        <w:ind w:left="993"/>
      </w:pPr>
      <w:r>
        <w:t>P</w:t>
      </w:r>
      <w:r w:rsidR="00F97AF3" w:rsidRPr="00DA0E7A">
        <w:t xml:space="preserve">riority to concession eligible social housing residents </w:t>
      </w:r>
    </w:p>
    <w:p w14:paraId="137F8A18" w14:textId="77777777" w:rsidR="00F97AF3" w:rsidRDefault="00F97AF3" w:rsidP="00317A0A">
      <w:pPr>
        <w:pStyle w:val="Dotpoint2"/>
        <w:numPr>
          <w:ilvl w:val="1"/>
          <w:numId w:val="7"/>
        </w:numPr>
        <w:ind w:left="993"/>
      </w:pPr>
      <w:r w:rsidRPr="00DA0E7A">
        <w:t xml:space="preserve">$27 million for workplace learning for over 40 000 government school students </w:t>
      </w:r>
    </w:p>
    <w:p w14:paraId="1EE1752A" w14:textId="77777777" w:rsidR="00F97AF3" w:rsidRPr="00DA0E7A" w:rsidRDefault="00F97AF3" w:rsidP="00317A0A">
      <w:pPr>
        <w:pStyle w:val="Dotpoint2"/>
        <w:numPr>
          <w:ilvl w:val="1"/>
          <w:numId w:val="7"/>
        </w:numPr>
        <w:ind w:left="993"/>
      </w:pPr>
      <w:r w:rsidRPr="00DA0E7A">
        <w:t>$8 million to provide viable pathways into education, training and employment for young people in regional areas.</w:t>
      </w:r>
    </w:p>
    <w:p w14:paraId="4A5899CF" w14:textId="77777777" w:rsidR="00F97AF3" w:rsidRDefault="00F97AF3" w:rsidP="00317A0A">
      <w:pPr>
        <w:pStyle w:val="Dotpoint1"/>
      </w:pPr>
      <w:r>
        <w:t>F</w:t>
      </w:r>
      <w:r w:rsidRPr="00F12250">
        <w:t>ee-free pre-apprenticeships (ongoing)</w:t>
      </w:r>
    </w:p>
    <w:p w14:paraId="441173F7" w14:textId="45263A67" w:rsidR="00F97AF3" w:rsidRDefault="002F24B2" w:rsidP="00317A0A">
      <w:pPr>
        <w:pStyle w:val="Dotpoint2"/>
      </w:pPr>
      <w:r>
        <w:rPr>
          <w:noProof/>
          <w:lang w:eastAsia="en-AU"/>
        </w:rPr>
        <w:lastRenderedPageBreak/>
        <w:t>E</w:t>
      </w:r>
      <w:r w:rsidR="00F97AF3" w:rsidRPr="00F6305F">
        <w:rPr>
          <w:noProof/>
          <w:lang w:eastAsia="en-AU"/>
        </w:rPr>
        <w:t>nables</w:t>
      </w:r>
      <w:r w:rsidR="00F97AF3" w:rsidRPr="00716ECE">
        <w:rPr>
          <w:lang w:eastAsia="en-AU"/>
        </w:rPr>
        <w:t xml:space="preserve"> individuals to undertake an introductory unit to get a taste of the trade or industry. If the individual like</w:t>
      </w:r>
      <w:r w:rsidR="00F97AF3">
        <w:rPr>
          <w:lang w:eastAsia="en-AU"/>
        </w:rPr>
        <w:t>s</w:t>
      </w:r>
      <w:r w:rsidR="00F97AF3" w:rsidRPr="00716ECE">
        <w:rPr>
          <w:lang w:eastAsia="en-AU"/>
        </w:rPr>
        <w:t xml:space="preserve"> the </w:t>
      </w:r>
      <w:r w:rsidR="00D2072F">
        <w:rPr>
          <w:lang w:eastAsia="en-AU"/>
        </w:rPr>
        <w:t>work,</w:t>
      </w:r>
      <w:r w:rsidR="00F97AF3" w:rsidRPr="00716ECE">
        <w:rPr>
          <w:lang w:eastAsia="en-AU"/>
        </w:rPr>
        <w:t xml:space="preserve"> </w:t>
      </w:r>
      <w:r w:rsidR="00F97AF3" w:rsidRPr="00F6305F">
        <w:rPr>
          <w:noProof/>
          <w:lang w:eastAsia="en-AU"/>
        </w:rPr>
        <w:t>they</w:t>
      </w:r>
      <w:r w:rsidR="00F97AF3" w:rsidRPr="00716ECE">
        <w:rPr>
          <w:lang w:eastAsia="en-AU"/>
        </w:rPr>
        <w:t xml:space="preserve"> are already on their way to studying for </w:t>
      </w:r>
      <w:r w:rsidR="00F97AF3" w:rsidRPr="00F6305F">
        <w:rPr>
          <w:noProof/>
          <w:lang w:eastAsia="en-AU"/>
        </w:rPr>
        <w:t>a full</w:t>
      </w:r>
      <w:r w:rsidR="00F97AF3" w:rsidRPr="00716ECE">
        <w:rPr>
          <w:lang w:eastAsia="en-AU"/>
        </w:rPr>
        <w:t xml:space="preserve"> qualification. </w:t>
      </w:r>
    </w:p>
    <w:p w14:paraId="6C9A956E" w14:textId="77777777" w:rsidR="00F97AF3" w:rsidRDefault="00F97AF3" w:rsidP="00317A0A">
      <w:pPr>
        <w:pStyle w:val="Dotpoint1"/>
      </w:pPr>
      <w:r w:rsidRPr="00F12250">
        <w:t>Fees capped</w:t>
      </w:r>
    </w:p>
    <w:p w14:paraId="0163A0D7" w14:textId="488FD73C" w:rsidR="00F97AF3" w:rsidRPr="00DA0E7A" w:rsidRDefault="002F24B2" w:rsidP="00317A0A">
      <w:pPr>
        <w:pStyle w:val="Dotpoint2"/>
      </w:pPr>
      <w:r>
        <w:rPr>
          <w:noProof/>
        </w:rPr>
        <w:t>S</w:t>
      </w:r>
      <w:r w:rsidR="00F97AF3" w:rsidRPr="00F6305F">
        <w:rPr>
          <w:noProof/>
        </w:rPr>
        <w:t>tudent</w:t>
      </w:r>
      <w:r w:rsidR="00F97AF3" w:rsidRPr="00DA0E7A">
        <w:t xml:space="preserve"> fees for traineeships </w:t>
      </w:r>
      <w:r w:rsidR="00F97AF3">
        <w:t xml:space="preserve">capped </w:t>
      </w:r>
      <w:r w:rsidR="00F97AF3" w:rsidRPr="00DA0E7A">
        <w:t xml:space="preserve">at $1000 as part of </w:t>
      </w:r>
      <w:r w:rsidR="00F97AF3" w:rsidRPr="00F6305F">
        <w:rPr>
          <w:noProof/>
        </w:rPr>
        <w:t>VET</w:t>
      </w:r>
      <w:r w:rsidR="00F97AF3">
        <w:t xml:space="preserve"> reform package</w:t>
      </w:r>
      <w:r w:rsidR="00F97AF3" w:rsidRPr="00DA0E7A">
        <w:t>. Fees for apprentices have been capped at $2000 since Smart and Skilled commenced.</w:t>
      </w:r>
    </w:p>
    <w:p w14:paraId="661DFF97" w14:textId="77777777" w:rsidR="00F97AF3" w:rsidRDefault="00F97AF3" w:rsidP="00317A0A">
      <w:pPr>
        <w:pStyle w:val="Dotpoint1"/>
      </w:pPr>
      <w:r w:rsidRPr="00F12250">
        <w:t xml:space="preserve">GTO </w:t>
      </w:r>
      <w:r>
        <w:t>Pre Training Partnering Program</w:t>
      </w:r>
    </w:p>
    <w:p w14:paraId="27E3397F" w14:textId="73AD3B6E" w:rsidR="00F97AF3" w:rsidRDefault="002F24B2" w:rsidP="00317A0A">
      <w:pPr>
        <w:pStyle w:val="Dotpoint2"/>
      </w:pPr>
      <w:r>
        <w:t>P</w:t>
      </w:r>
      <w:r w:rsidR="00F97AF3">
        <w:t xml:space="preserve">rovides eligible students with government-subsidised training up to and including </w:t>
      </w:r>
      <w:r>
        <w:t>c</w:t>
      </w:r>
      <w:r w:rsidR="00F97AF3">
        <w:t>ertificate III and government funding for higher-level courses (</w:t>
      </w:r>
      <w:r>
        <w:t>c</w:t>
      </w:r>
      <w:r w:rsidR="00F97AF3">
        <w:t>ertificate IV and above) in targeted priority areas.</w:t>
      </w:r>
    </w:p>
    <w:p w14:paraId="532182D2" w14:textId="77777777" w:rsidR="00F97AF3" w:rsidRDefault="00F97AF3" w:rsidP="00317A0A">
      <w:pPr>
        <w:pStyle w:val="Dotpoint1"/>
      </w:pPr>
      <w:r>
        <w:t xml:space="preserve">Apprenticeship </w:t>
      </w:r>
      <w:r w:rsidRPr="00F12250">
        <w:t xml:space="preserve">Completion </w:t>
      </w:r>
      <w:r>
        <w:t>Incentive</w:t>
      </w:r>
      <w:r w:rsidRPr="00F12250">
        <w:t xml:space="preserve"> Program</w:t>
      </w:r>
    </w:p>
    <w:p w14:paraId="47A48948" w14:textId="7F55D7DC" w:rsidR="00F97AF3" w:rsidRPr="00B15F89" w:rsidRDefault="002F24B2" w:rsidP="00317A0A">
      <w:pPr>
        <w:pStyle w:val="Dotpoint2"/>
      </w:pPr>
      <w:r>
        <w:t>P</w:t>
      </w:r>
      <w:r w:rsidR="00F97AF3" w:rsidRPr="00B15F89">
        <w:t xml:space="preserve">ayment of $1000 for each apprenticeship completion (up to a maximum cap for </w:t>
      </w:r>
      <w:r w:rsidR="00865A57">
        <w:t xml:space="preserve">the </w:t>
      </w:r>
      <w:r w:rsidR="00F97AF3" w:rsidRPr="00B15F89">
        <w:t>GTO</w:t>
      </w:r>
      <w:r w:rsidR="00F97AF3">
        <w:t xml:space="preserve"> for each year of the program).</w:t>
      </w:r>
    </w:p>
    <w:p w14:paraId="0E336494" w14:textId="43AFBB2F" w:rsidR="00F97AF3" w:rsidRPr="007A4E49" w:rsidRDefault="00F97AF3" w:rsidP="00F97AF3">
      <w:pPr>
        <w:pStyle w:val="Text"/>
      </w:pPr>
      <w:r w:rsidRPr="007A4E49">
        <w:t xml:space="preserve">Coinciding with a steep decline in commencements and a peak in cancellations in 2004, Victoria enacted the </w:t>
      </w:r>
      <w:r w:rsidRPr="002F24B2">
        <w:rPr>
          <w:i/>
          <w:iCs/>
        </w:rPr>
        <w:t>Education Workplace Learning Act</w:t>
      </w:r>
      <w:r w:rsidRPr="007A4E49">
        <w:t xml:space="preserve"> to make further provision for learning in the workplace. Other than programs aimed at migrants (Victoria</w:t>
      </w:r>
      <w:r w:rsidR="00D2072F">
        <w:t>’</w:t>
      </w:r>
      <w:r w:rsidRPr="007A4E49">
        <w:t>s skilled migration strategy and Global skills for Victoria), there were no Victorian</w:t>
      </w:r>
      <w:r>
        <w:t>-</w:t>
      </w:r>
      <w:r w:rsidRPr="007A4E49">
        <w:t xml:space="preserve">based initiatives specifically affecting apprenticeships between 2004 and 2009. In 2009 the Victorian Training Guarantee was phased in to begin deregulation of VET in Victoria and move into a demand-driven system. It entitled eligible individuals to access government-subsidised training places in accredited qualifications through a range of providers. While no longer called the Victorian Training Guarantee, the entitlement to a government training place </w:t>
      </w:r>
      <w:r w:rsidRPr="00F6305F">
        <w:rPr>
          <w:noProof/>
        </w:rPr>
        <w:t>is guaranteed</w:t>
      </w:r>
      <w:r w:rsidRPr="007A4E49">
        <w:t xml:space="preserve"> under the Victorian </w:t>
      </w:r>
      <w:r w:rsidRPr="002F24B2">
        <w:rPr>
          <w:i/>
          <w:iCs/>
        </w:rPr>
        <w:t>Education and Training Reform</w:t>
      </w:r>
      <w:r w:rsidRPr="007A4E49">
        <w:t xml:space="preserve"> </w:t>
      </w:r>
      <w:r w:rsidRPr="00865A57">
        <w:rPr>
          <w:i/>
        </w:rPr>
        <w:t>Act</w:t>
      </w:r>
      <w:r w:rsidRPr="007A4E49">
        <w:t xml:space="preserve"> </w:t>
      </w:r>
      <w:r w:rsidRPr="00865A57">
        <w:rPr>
          <w:i/>
        </w:rPr>
        <w:t>(2010 amendments)</w:t>
      </w:r>
      <w:r w:rsidRPr="007A4E49">
        <w:t xml:space="preserve"> for students up to 20 years of age, or those who are studying a higher qualification than they already hold. Commencement and completion rates both immediately </w:t>
      </w:r>
      <w:r w:rsidR="00D2072F" w:rsidRPr="007A4E49">
        <w:t>increased,</w:t>
      </w:r>
      <w:r w:rsidRPr="007A4E49">
        <w:t xml:space="preserve"> and cancellation rates declined slightly, although the latter rose again in 2010 and peaked in 2012. </w:t>
      </w:r>
    </w:p>
    <w:p w14:paraId="64A637F0" w14:textId="0AE63DB6" w:rsidR="00F97AF3" w:rsidRPr="007A4E49" w:rsidRDefault="00F97AF3" w:rsidP="00F97AF3">
      <w:pPr>
        <w:pStyle w:val="Text"/>
      </w:pPr>
      <w:r>
        <w:t>All jurisdictions except the N</w:t>
      </w:r>
      <w:r w:rsidR="002F24B2">
        <w:t>orthern Territory</w:t>
      </w:r>
      <w:r>
        <w:t xml:space="preserve"> showed a sharp peak in commencements in 2012</w:t>
      </w:r>
      <w:r w:rsidR="002F24B2">
        <w:t>,</w:t>
      </w:r>
      <w:r>
        <w:t xml:space="preserve"> followed by a steep decline in 2013, whether or not there were new </w:t>
      </w:r>
      <w:r w:rsidR="002F24B2">
        <w:rPr>
          <w:noProof/>
        </w:rPr>
        <w:t>s</w:t>
      </w:r>
      <w:r w:rsidRPr="00E957AE">
        <w:rPr>
          <w:noProof/>
        </w:rPr>
        <w:t>tate</w:t>
      </w:r>
      <w:r>
        <w:rPr>
          <w:noProof/>
        </w:rPr>
        <w:t>-</w:t>
      </w:r>
      <w:r w:rsidRPr="00E957AE">
        <w:rPr>
          <w:noProof/>
        </w:rPr>
        <w:t>based</w:t>
      </w:r>
      <w:r>
        <w:t xml:space="preserve"> initiatives or conditions at the time. B</w:t>
      </w:r>
      <w:r w:rsidRPr="007A4E49">
        <w:t xml:space="preserve">oth Commonwealth and </w:t>
      </w:r>
      <w:r w:rsidR="002F24B2">
        <w:rPr>
          <w:noProof/>
        </w:rPr>
        <w:t>s</w:t>
      </w:r>
      <w:r w:rsidRPr="00E957AE">
        <w:rPr>
          <w:noProof/>
        </w:rPr>
        <w:t>tate</w:t>
      </w:r>
      <w:r>
        <w:rPr>
          <w:noProof/>
        </w:rPr>
        <w:t>-</w:t>
      </w:r>
      <w:r w:rsidRPr="00E957AE">
        <w:rPr>
          <w:noProof/>
        </w:rPr>
        <w:t>based</w:t>
      </w:r>
      <w:r w:rsidRPr="007A4E49">
        <w:t xml:space="preserve"> changes </w:t>
      </w:r>
      <w:r>
        <w:t>in 2012 occurred a</w:t>
      </w:r>
      <w:r w:rsidRPr="007A4E49">
        <w:t xml:space="preserve">cross </w:t>
      </w:r>
      <w:r>
        <w:t>N</w:t>
      </w:r>
      <w:r w:rsidR="002F24B2">
        <w:t>ew South Wales</w:t>
      </w:r>
      <w:r>
        <w:t>, Victoria, Queensland and S</w:t>
      </w:r>
      <w:r w:rsidR="002F24B2">
        <w:t>outh Australia</w:t>
      </w:r>
      <w:r>
        <w:t xml:space="preserve">. The other </w:t>
      </w:r>
      <w:r w:rsidRPr="00E957AE">
        <w:rPr>
          <w:noProof/>
        </w:rPr>
        <w:t>juri</w:t>
      </w:r>
      <w:r>
        <w:rPr>
          <w:noProof/>
        </w:rPr>
        <w:t>s</w:t>
      </w:r>
      <w:r w:rsidRPr="00E957AE">
        <w:rPr>
          <w:noProof/>
        </w:rPr>
        <w:t>dictions</w:t>
      </w:r>
      <w:r w:rsidRPr="007A4E49">
        <w:t xml:space="preserve"> </w:t>
      </w:r>
      <w:r>
        <w:t xml:space="preserve">had no </w:t>
      </w:r>
      <w:r w:rsidR="002F24B2">
        <w:t>s</w:t>
      </w:r>
      <w:r>
        <w:t>tate-based activity</w:t>
      </w:r>
      <w:r w:rsidRPr="007A4E49">
        <w:t>. The Commonwealth changes were:</w:t>
      </w:r>
    </w:p>
    <w:p w14:paraId="57BCD88A" w14:textId="77777777" w:rsidR="00F97AF3" w:rsidRPr="00645499" w:rsidRDefault="00F97AF3" w:rsidP="002A0C33">
      <w:pPr>
        <w:pStyle w:val="Dotpoint1"/>
        <w:rPr>
          <w:lang w:eastAsia="en-AU"/>
        </w:rPr>
      </w:pPr>
      <w:r w:rsidRPr="00865A57">
        <w:rPr>
          <w:i/>
          <w:lang w:eastAsia="en-AU"/>
        </w:rPr>
        <w:t>National VET Regulator (Charges) Act</w:t>
      </w:r>
      <w:r w:rsidRPr="00645499">
        <w:rPr>
          <w:lang w:eastAsia="en-AU"/>
        </w:rPr>
        <w:t xml:space="preserve"> (ongoing)</w:t>
      </w:r>
    </w:p>
    <w:p w14:paraId="02CC049F" w14:textId="3DDA2764" w:rsidR="00F97AF3" w:rsidRPr="00645499" w:rsidRDefault="00F97AF3" w:rsidP="002A0C33">
      <w:pPr>
        <w:pStyle w:val="Dotpoint1"/>
        <w:rPr>
          <w:lang w:eastAsia="en-AU"/>
        </w:rPr>
      </w:pPr>
      <w:r w:rsidRPr="00645499">
        <w:rPr>
          <w:lang w:eastAsia="en-AU"/>
        </w:rPr>
        <w:t>National Partnership Agreement on Skills Reform</w:t>
      </w:r>
    </w:p>
    <w:p w14:paraId="67D9FD1C" w14:textId="6A8E6C47" w:rsidR="00F97AF3" w:rsidRPr="00645499" w:rsidRDefault="00F97AF3" w:rsidP="002A0C33">
      <w:pPr>
        <w:pStyle w:val="Dotpoint1"/>
        <w:rPr>
          <w:lang w:eastAsia="en-AU"/>
        </w:rPr>
      </w:pPr>
      <w:r w:rsidRPr="00645499">
        <w:rPr>
          <w:lang w:eastAsia="en-AU"/>
        </w:rPr>
        <w:t>Skilling Australia for the Future (2008</w:t>
      </w:r>
      <w:r w:rsidR="002F24B2">
        <w:rPr>
          <w:lang w:eastAsia="en-AU"/>
        </w:rPr>
        <w:t>—</w:t>
      </w:r>
      <w:r w:rsidRPr="00645499">
        <w:rPr>
          <w:lang w:eastAsia="en-AU"/>
        </w:rPr>
        <w:t>12)</w:t>
      </w:r>
    </w:p>
    <w:p w14:paraId="30D0019A" w14:textId="7B23EF8B" w:rsidR="00F97AF3" w:rsidRPr="00645499" w:rsidRDefault="002F24B2" w:rsidP="002A0C33">
      <w:pPr>
        <w:pStyle w:val="Dotpoint1"/>
        <w:rPr>
          <w:lang w:eastAsia="en-AU"/>
        </w:rPr>
      </w:pPr>
      <w:r>
        <w:rPr>
          <w:lang w:eastAsia="en-AU"/>
        </w:rPr>
        <w:t xml:space="preserve">removal of </w:t>
      </w:r>
      <w:r w:rsidR="00F97AF3" w:rsidRPr="00645499">
        <w:rPr>
          <w:lang w:eastAsia="en-AU"/>
        </w:rPr>
        <w:t>some commencement incentive payments.</w:t>
      </w:r>
    </w:p>
    <w:p w14:paraId="36DA470A" w14:textId="360976E6" w:rsidR="00F97AF3" w:rsidRPr="00B07294" w:rsidRDefault="00F97AF3" w:rsidP="00F97AF3">
      <w:pPr>
        <w:pStyle w:val="Text"/>
      </w:pPr>
      <w:r w:rsidRPr="00F6305F">
        <w:rPr>
          <w:noProof/>
        </w:rPr>
        <w:t>The patterns were similar</w:t>
      </w:r>
      <w:r w:rsidR="002F24B2">
        <w:rPr>
          <w:noProof/>
        </w:rPr>
        <w:t>,</w:t>
      </w:r>
      <w:r w:rsidRPr="00F6305F">
        <w:rPr>
          <w:noProof/>
        </w:rPr>
        <w:t xml:space="preserve"> regardless of whether the </w:t>
      </w:r>
      <w:r w:rsidR="002F24B2">
        <w:rPr>
          <w:noProof/>
        </w:rPr>
        <w:t>s</w:t>
      </w:r>
      <w:r w:rsidRPr="00F6305F">
        <w:rPr>
          <w:noProof/>
        </w:rPr>
        <w:t>tate initiatives were supportive of apprenticeships</w:t>
      </w:r>
      <w:r w:rsidR="002F24B2">
        <w:rPr>
          <w:noProof/>
        </w:rPr>
        <w:t xml:space="preserve">: </w:t>
      </w:r>
      <w:r w:rsidRPr="00F6305F">
        <w:rPr>
          <w:noProof/>
        </w:rPr>
        <w:t>N</w:t>
      </w:r>
      <w:r w:rsidR="00865A57">
        <w:rPr>
          <w:noProof/>
        </w:rPr>
        <w:t xml:space="preserve">ew </w:t>
      </w:r>
      <w:r w:rsidRPr="00F6305F">
        <w:rPr>
          <w:noProof/>
        </w:rPr>
        <w:t>S</w:t>
      </w:r>
      <w:r w:rsidR="00865A57">
        <w:rPr>
          <w:noProof/>
        </w:rPr>
        <w:t xml:space="preserve">outh </w:t>
      </w:r>
      <w:r w:rsidRPr="00F6305F">
        <w:rPr>
          <w:noProof/>
        </w:rPr>
        <w:t>W</w:t>
      </w:r>
      <w:r w:rsidR="00865A57">
        <w:rPr>
          <w:noProof/>
        </w:rPr>
        <w:t>ales</w:t>
      </w:r>
      <w:r w:rsidRPr="00F6305F">
        <w:rPr>
          <w:noProof/>
        </w:rPr>
        <w:t xml:space="preserve"> introduced the Public Sector App</w:t>
      </w:r>
      <w:r w:rsidR="00F6305F" w:rsidRPr="00F6305F">
        <w:rPr>
          <w:noProof/>
        </w:rPr>
        <w:t>r</w:t>
      </w:r>
      <w:r w:rsidRPr="00F6305F">
        <w:rPr>
          <w:noProof/>
        </w:rPr>
        <w:t>enticeship Strategy and S</w:t>
      </w:r>
      <w:r w:rsidR="00865A57">
        <w:rPr>
          <w:noProof/>
        </w:rPr>
        <w:t xml:space="preserve">outh </w:t>
      </w:r>
      <w:r w:rsidRPr="00F6305F">
        <w:rPr>
          <w:noProof/>
        </w:rPr>
        <w:t>A</w:t>
      </w:r>
      <w:r w:rsidR="00865A57">
        <w:rPr>
          <w:noProof/>
        </w:rPr>
        <w:t>ustralia</w:t>
      </w:r>
      <w:r w:rsidRPr="00F6305F">
        <w:rPr>
          <w:noProof/>
        </w:rPr>
        <w:t xml:space="preserve"> introduced Skills for All, the </w:t>
      </w:r>
      <w:r w:rsidRPr="002F24B2">
        <w:rPr>
          <w:i/>
          <w:iCs/>
          <w:noProof/>
        </w:rPr>
        <w:t xml:space="preserve">Vocational Education &amp; Training </w:t>
      </w:r>
      <w:r w:rsidR="002F24B2">
        <w:rPr>
          <w:i/>
          <w:iCs/>
          <w:noProof/>
        </w:rPr>
        <w:t>(</w:t>
      </w:r>
      <w:r w:rsidRPr="002F24B2">
        <w:rPr>
          <w:i/>
          <w:iCs/>
          <w:noProof/>
        </w:rPr>
        <w:t>Commonwealth Powers Act</w:t>
      </w:r>
      <w:r w:rsidR="002F24B2">
        <w:rPr>
          <w:i/>
          <w:iCs/>
          <w:noProof/>
        </w:rPr>
        <w:t>) (</w:t>
      </w:r>
      <w:r w:rsidRPr="002F24B2">
        <w:rPr>
          <w:i/>
          <w:iCs/>
          <w:noProof/>
        </w:rPr>
        <w:t>SA</w:t>
      </w:r>
      <w:r w:rsidR="002F24B2">
        <w:rPr>
          <w:i/>
          <w:iCs/>
          <w:noProof/>
        </w:rPr>
        <w:t>)</w:t>
      </w:r>
      <w:r w:rsidRPr="00F6305F">
        <w:rPr>
          <w:noProof/>
        </w:rPr>
        <w:t xml:space="preserve">, </w:t>
      </w:r>
      <w:r w:rsidRPr="002F24B2">
        <w:rPr>
          <w:i/>
          <w:iCs/>
          <w:noProof/>
        </w:rPr>
        <w:t>TAFE SA Act 2012</w:t>
      </w:r>
      <w:r w:rsidRPr="00F6305F">
        <w:rPr>
          <w:noProof/>
        </w:rPr>
        <w:t xml:space="preserve"> </w:t>
      </w:r>
      <w:r w:rsidR="00C520C0" w:rsidRPr="00C520C0">
        <w:rPr>
          <w:i/>
          <w:noProof/>
        </w:rPr>
        <w:t>(</w:t>
      </w:r>
      <w:r w:rsidRPr="00C520C0">
        <w:rPr>
          <w:i/>
          <w:noProof/>
        </w:rPr>
        <w:t>current</w:t>
      </w:r>
      <w:r w:rsidR="00C520C0" w:rsidRPr="00C520C0">
        <w:rPr>
          <w:i/>
          <w:noProof/>
        </w:rPr>
        <w:t>)</w:t>
      </w:r>
      <w:r w:rsidRPr="00F6305F">
        <w:rPr>
          <w:noProof/>
        </w:rPr>
        <w:t xml:space="preserve">, </w:t>
      </w:r>
      <w:r w:rsidR="002F24B2">
        <w:rPr>
          <w:noProof/>
        </w:rPr>
        <w:t xml:space="preserve">the </w:t>
      </w:r>
      <w:r w:rsidRPr="00F6305F">
        <w:rPr>
          <w:noProof/>
        </w:rPr>
        <w:t>Return To Work SA apprentice incentive</w:t>
      </w:r>
      <w:r w:rsidR="00582AC2">
        <w:rPr>
          <w:noProof/>
        </w:rPr>
        <w:t xml:space="preserve"> </w:t>
      </w:r>
      <w:r w:rsidRPr="00F6305F">
        <w:rPr>
          <w:noProof/>
        </w:rPr>
        <w:t>and the Critical Skills Investment program</w:t>
      </w:r>
      <w:r w:rsidR="002F24B2">
        <w:rPr>
          <w:noProof/>
        </w:rPr>
        <w:t>;</w:t>
      </w:r>
      <w:r w:rsidRPr="00F6305F">
        <w:rPr>
          <w:noProof/>
        </w:rPr>
        <w:t xml:space="preserve"> </w:t>
      </w:r>
      <w:r w:rsidR="002F24B2">
        <w:rPr>
          <w:noProof/>
        </w:rPr>
        <w:t>o</w:t>
      </w:r>
      <w:r w:rsidRPr="00F6305F">
        <w:rPr>
          <w:noProof/>
        </w:rPr>
        <w:t>r unhelpful</w:t>
      </w:r>
      <w:r w:rsidR="00407354">
        <w:rPr>
          <w:noProof/>
        </w:rPr>
        <w:t xml:space="preserve">: </w:t>
      </w:r>
      <w:r w:rsidRPr="00F6305F">
        <w:rPr>
          <w:noProof/>
        </w:rPr>
        <w:t>Victoria cut budgets to TAFE and the Skills Reform policy ceased, and in Queensland the Community Literacy Program, Training Initiatives for Regional and Remote Indigenous Adults and Toward Q2: Tomorrow</w:t>
      </w:r>
      <w:r w:rsidR="00D2072F">
        <w:rPr>
          <w:noProof/>
        </w:rPr>
        <w:t>’</w:t>
      </w:r>
      <w:r w:rsidRPr="00F6305F">
        <w:rPr>
          <w:noProof/>
        </w:rPr>
        <w:t>s Q</w:t>
      </w:r>
      <w:r w:rsidR="00C520C0">
        <w:rPr>
          <w:noProof/>
        </w:rPr>
        <w:t>ueenslan</w:t>
      </w:r>
      <w:r w:rsidRPr="00F6305F">
        <w:rPr>
          <w:noProof/>
        </w:rPr>
        <w:t>d, Skilling Queenslanders for Work and First Start programs all ceased.</w:t>
      </w:r>
      <w:r w:rsidRPr="00B07294">
        <w:t xml:space="preserve"> However, cancellation rates were relatively unresponsive.</w:t>
      </w:r>
    </w:p>
    <w:p w14:paraId="6EE41928" w14:textId="2872586A" w:rsidR="00F97AF3" w:rsidRDefault="00F97AF3" w:rsidP="00F97AF3">
      <w:pPr>
        <w:pStyle w:val="Text"/>
        <w:rPr>
          <w:lang w:eastAsia="en-AU"/>
        </w:rPr>
      </w:pPr>
      <w:r>
        <w:rPr>
          <w:lang w:eastAsia="en-AU"/>
        </w:rPr>
        <w:lastRenderedPageBreak/>
        <w:t>Finally, the Northern Territory is the only jurisdiction where cancellations were greater than completions over most of the 2000</w:t>
      </w:r>
      <w:r w:rsidR="002F24B2">
        <w:rPr>
          <w:lang w:eastAsia="en-AU"/>
        </w:rPr>
        <w:t>—</w:t>
      </w:r>
      <w:r>
        <w:rPr>
          <w:lang w:eastAsia="en-AU"/>
        </w:rPr>
        <w:t>17 period. The N</w:t>
      </w:r>
      <w:r w:rsidR="00C520C0">
        <w:rPr>
          <w:lang w:eastAsia="en-AU"/>
        </w:rPr>
        <w:t xml:space="preserve">orthern </w:t>
      </w:r>
      <w:r>
        <w:rPr>
          <w:lang w:eastAsia="en-AU"/>
        </w:rPr>
        <w:t>T</w:t>
      </w:r>
      <w:r w:rsidR="00C520C0">
        <w:rPr>
          <w:lang w:eastAsia="en-AU"/>
        </w:rPr>
        <w:t>erritory</w:t>
      </w:r>
      <w:r>
        <w:rPr>
          <w:lang w:eastAsia="en-AU"/>
        </w:rPr>
        <w:t xml:space="preserve"> was more responsive to Commonwealth policy changes in 2014 than any of the other jurisdictions, which were unaffected. Some changes were ostensibly progressive</w:t>
      </w:r>
      <w:r w:rsidR="00407354">
        <w:rPr>
          <w:lang w:eastAsia="en-AU"/>
        </w:rPr>
        <w:t>,</w:t>
      </w:r>
      <w:r>
        <w:rPr>
          <w:lang w:eastAsia="en-AU"/>
        </w:rPr>
        <w:t xml:space="preserve"> while others may have had a negative impact on apprenticeships, perhaps resulting in a net pattern of no change in jurisdictions other than the </w:t>
      </w:r>
      <w:r w:rsidR="00407354">
        <w:rPr>
          <w:lang w:eastAsia="en-AU"/>
        </w:rPr>
        <w:t>Northern Territory</w:t>
      </w:r>
      <w:r>
        <w:rPr>
          <w:lang w:eastAsia="en-AU"/>
        </w:rPr>
        <w:t>. They include:</w:t>
      </w:r>
    </w:p>
    <w:p w14:paraId="3FA5FB28" w14:textId="14D2AA4F" w:rsidR="00F97AF3" w:rsidRDefault="00407354" w:rsidP="002A0C33">
      <w:pPr>
        <w:pStyle w:val="Dotpoint1"/>
        <w:rPr>
          <w:lang w:eastAsia="en-AU"/>
        </w:rPr>
      </w:pPr>
      <w:r>
        <w:rPr>
          <w:lang w:eastAsia="en-AU"/>
        </w:rPr>
        <w:t>c</w:t>
      </w:r>
      <w:r w:rsidR="00F97AF3">
        <w:rPr>
          <w:lang w:eastAsia="en-AU"/>
        </w:rPr>
        <w:t xml:space="preserve">essation of </w:t>
      </w:r>
      <w:r w:rsidR="00F97AF3" w:rsidRPr="008A34D7">
        <w:rPr>
          <w:lang w:eastAsia="en-AU"/>
        </w:rPr>
        <w:t>Building Australia</w:t>
      </w:r>
      <w:r w:rsidR="00D2072F">
        <w:rPr>
          <w:lang w:eastAsia="en-AU"/>
        </w:rPr>
        <w:t>’</w:t>
      </w:r>
      <w:r w:rsidR="00F97AF3" w:rsidRPr="008A34D7">
        <w:rPr>
          <w:lang w:eastAsia="en-AU"/>
        </w:rPr>
        <w:t>s Future Workforce (2011</w:t>
      </w:r>
      <w:r>
        <w:rPr>
          <w:lang w:eastAsia="en-AU"/>
        </w:rPr>
        <w:t>—</w:t>
      </w:r>
      <w:r w:rsidR="00F97AF3" w:rsidRPr="008A34D7">
        <w:rPr>
          <w:lang w:eastAsia="en-AU"/>
        </w:rPr>
        <w:t>14)</w:t>
      </w:r>
    </w:p>
    <w:p w14:paraId="5DA10F76" w14:textId="4D71B6E2" w:rsidR="00F97AF3" w:rsidRDefault="00F97AF3" w:rsidP="002A0C33">
      <w:pPr>
        <w:pStyle w:val="Dotpoint1"/>
        <w:rPr>
          <w:lang w:eastAsia="en-AU"/>
        </w:rPr>
      </w:pPr>
      <w:r w:rsidRPr="008A34D7">
        <w:rPr>
          <w:lang w:eastAsia="en-AU"/>
        </w:rPr>
        <w:t>COAG</w:t>
      </w:r>
      <w:r w:rsidR="00D2072F">
        <w:rPr>
          <w:lang w:eastAsia="en-AU"/>
        </w:rPr>
        <w:t>’</w:t>
      </w:r>
      <w:r w:rsidRPr="008A34D7">
        <w:rPr>
          <w:lang w:eastAsia="en-AU"/>
        </w:rPr>
        <w:t>s VET reforms (</w:t>
      </w:r>
      <w:r>
        <w:rPr>
          <w:lang w:eastAsia="en-AU"/>
        </w:rPr>
        <w:t>2014</w:t>
      </w:r>
      <w:r w:rsidR="00407354">
        <w:rPr>
          <w:lang w:eastAsia="en-AU"/>
        </w:rPr>
        <w:t xml:space="preserve">, </w:t>
      </w:r>
      <w:r w:rsidRPr="008A34D7">
        <w:rPr>
          <w:lang w:eastAsia="en-AU"/>
        </w:rPr>
        <w:t>ongoing)</w:t>
      </w:r>
    </w:p>
    <w:p w14:paraId="06DB0B38" w14:textId="7D26472B" w:rsidR="00F97AF3" w:rsidRDefault="00407354" w:rsidP="002A0C33">
      <w:pPr>
        <w:pStyle w:val="Dotpoint1"/>
        <w:rPr>
          <w:lang w:eastAsia="en-AU"/>
        </w:rPr>
      </w:pPr>
      <w:r>
        <w:rPr>
          <w:noProof/>
          <w:lang w:eastAsia="en-AU"/>
        </w:rPr>
        <w:t>c</w:t>
      </w:r>
      <w:r w:rsidR="00F97AF3" w:rsidRPr="00E957AE">
        <w:rPr>
          <w:noProof/>
          <w:lang w:eastAsia="en-AU"/>
        </w:rPr>
        <w:t>essation</w:t>
      </w:r>
      <w:r w:rsidR="00F97AF3">
        <w:rPr>
          <w:lang w:eastAsia="en-AU"/>
        </w:rPr>
        <w:t xml:space="preserve"> of </w:t>
      </w:r>
      <w:r w:rsidR="00F97AF3" w:rsidRPr="00C520C0">
        <w:rPr>
          <w:i/>
          <w:lang w:eastAsia="en-AU"/>
        </w:rPr>
        <w:t>Australian Workforce and Productivity Act</w:t>
      </w:r>
      <w:r w:rsidR="00F97AF3" w:rsidRPr="008A34D7">
        <w:rPr>
          <w:lang w:eastAsia="en-AU"/>
        </w:rPr>
        <w:t xml:space="preserve"> (2008</w:t>
      </w:r>
      <w:r>
        <w:rPr>
          <w:lang w:eastAsia="en-AU"/>
        </w:rPr>
        <w:t>—</w:t>
      </w:r>
      <w:r w:rsidR="00F97AF3" w:rsidRPr="008A34D7">
        <w:rPr>
          <w:lang w:eastAsia="en-AU"/>
        </w:rPr>
        <w:t>14)</w:t>
      </w:r>
    </w:p>
    <w:p w14:paraId="1C4A25A8" w14:textId="5CBA3C2D" w:rsidR="00F97AF3" w:rsidRDefault="00407354" w:rsidP="002A0C33">
      <w:pPr>
        <w:pStyle w:val="Dotpoint1"/>
        <w:rPr>
          <w:lang w:eastAsia="en-AU"/>
        </w:rPr>
      </w:pPr>
      <w:r>
        <w:rPr>
          <w:lang w:eastAsia="en-AU"/>
        </w:rPr>
        <w:t>w</w:t>
      </w:r>
      <w:r w:rsidR="00F97AF3">
        <w:rPr>
          <w:lang w:eastAsia="en-AU"/>
        </w:rPr>
        <w:t xml:space="preserve">aiving fees for </w:t>
      </w:r>
      <w:r w:rsidR="00F97AF3" w:rsidRPr="008A34D7">
        <w:rPr>
          <w:lang w:eastAsia="en-AU"/>
        </w:rPr>
        <w:t>TAFE childcare qual</w:t>
      </w:r>
      <w:r w:rsidR="00F97AF3">
        <w:rPr>
          <w:lang w:eastAsia="en-AU"/>
        </w:rPr>
        <w:t xml:space="preserve">ifications </w:t>
      </w:r>
      <w:r w:rsidR="00F97AF3" w:rsidRPr="008A34D7">
        <w:rPr>
          <w:lang w:eastAsia="en-AU"/>
        </w:rPr>
        <w:t>(2009</w:t>
      </w:r>
      <w:r>
        <w:rPr>
          <w:lang w:eastAsia="en-AU"/>
        </w:rPr>
        <w:t>—</w:t>
      </w:r>
      <w:r w:rsidR="00F97AF3" w:rsidRPr="008A34D7">
        <w:rPr>
          <w:lang w:eastAsia="en-AU"/>
        </w:rPr>
        <w:t>14)</w:t>
      </w:r>
    </w:p>
    <w:p w14:paraId="63936E5A" w14:textId="0BE6FAE1" w:rsidR="00F97AF3" w:rsidRDefault="00407354" w:rsidP="002A0C33">
      <w:pPr>
        <w:pStyle w:val="Dotpoint1"/>
        <w:rPr>
          <w:lang w:eastAsia="en-AU"/>
        </w:rPr>
      </w:pPr>
      <w:r>
        <w:rPr>
          <w:lang w:eastAsia="en-AU"/>
        </w:rPr>
        <w:t>c</w:t>
      </w:r>
      <w:r w:rsidR="00F97AF3">
        <w:rPr>
          <w:lang w:eastAsia="en-AU"/>
        </w:rPr>
        <w:t xml:space="preserve">losure of the </w:t>
      </w:r>
      <w:r w:rsidR="00F97AF3" w:rsidRPr="008A34D7">
        <w:rPr>
          <w:lang w:eastAsia="en-AU"/>
        </w:rPr>
        <w:t xml:space="preserve">Skills Connect </w:t>
      </w:r>
      <w:r w:rsidR="00C520C0">
        <w:rPr>
          <w:lang w:eastAsia="en-AU"/>
        </w:rPr>
        <w:t>F</w:t>
      </w:r>
      <w:r w:rsidR="00F97AF3" w:rsidRPr="008A34D7">
        <w:rPr>
          <w:lang w:eastAsia="en-AU"/>
        </w:rPr>
        <w:t>und (2011</w:t>
      </w:r>
      <w:r>
        <w:rPr>
          <w:lang w:eastAsia="en-AU"/>
        </w:rPr>
        <w:t>—</w:t>
      </w:r>
      <w:r w:rsidR="00F97AF3" w:rsidRPr="008A34D7">
        <w:rPr>
          <w:lang w:eastAsia="en-AU"/>
        </w:rPr>
        <w:t>14)</w:t>
      </w:r>
    </w:p>
    <w:p w14:paraId="29FD681C" w14:textId="62794D82" w:rsidR="00F97AF3" w:rsidRDefault="00407354" w:rsidP="002A0C33">
      <w:pPr>
        <w:pStyle w:val="Dotpoint1"/>
        <w:rPr>
          <w:lang w:eastAsia="en-AU"/>
        </w:rPr>
      </w:pPr>
      <w:r>
        <w:rPr>
          <w:lang w:eastAsia="en-AU"/>
        </w:rPr>
        <w:t>c</w:t>
      </w:r>
      <w:r w:rsidR="00F97AF3">
        <w:rPr>
          <w:lang w:eastAsia="en-AU"/>
        </w:rPr>
        <w:t xml:space="preserve">essation of </w:t>
      </w:r>
      <w:r w:rsidR="00F97AF3" w:rsidRPr="008A34D7">
        <w:rPr>
          <w:lang w:eastAsia="en-AU"/>
        </w:rPr>
        <w:t xml:space="preserve">Tools for </w:t>
      </w:r>
      <w:r w:rsidR="00F97AF3" w:rsidRPr="00F6305F">
        <w:rPr>
          <w:noProof/>
          <w:lang w:eastAsia="en-AU"/>
        </w:rPr>
        <w:t>Your</w:t>
      </w:r>
      <w:r w:rsidR="00F97AF3" w:rsidRPr="008A34D7">
        <w:rPr>
          <w:lang w:eastAsia="en-AU"/>
        </w:rPr>
        <w:t xml:space="preserve"> Trade (2005</w:t>
      </w:r>
      <w:r>
        <w:rPr>
          <w:lang w:eastAsia="en-AU"/>
        </w:rPr>
        <w:t>—</w:t>
      </w:r>
      <w:r w:rsidR="00F97AF3" w:rsidRPr="008A34D7">
        <w:rPr>
          <w:lang w:eastAsia="en-AU"/>
        </w:rPr>
        <w:t>14)</w:t>
      </w:r>
    </w:p>
    <w:p w14:paraId="798FC5D9" w14:textId="75D7CD6D" w:rsidR="00F97AF3" w:rsidRDefault="00407354" w:rsidP="002A0C33">
      <w:pPr>
        <w:pStyle w:val="Dotpoint1"/>
        <w:rPr>
          <w:lang w:eastAsia="en-AU"/>
        </w:rPr>
      </w:pPr>
      <w:r>
        <w:rPr>
          <w:lang w:eastAsia="en-AU"/>
        </w:rPr>
        <w:t>c</w:t>
      </w:r>
      <w:r w:rsidR="00F97AF3">
        <w:rPr>
          <w:lang w:eastAsia="en-AU"/>
        </w:rPr>
        <w:t xml:space="preserve">essation of </w:t>
      </w:r>
      <w:r w:rsidR="00F97AF3" w:rsidRPr="008A34D7">
        <w:rPr>
          <w:lang w:eastAsia="en-AU"/>
        </w:rPr>
        <w:t>Accelerated Australian Apprenticeships (2011</w:t>
      </w:r>
      <w:r>
        <w:rPr>
          <w:lang w:eastAsia="en-AU"/>
        </w:rPr>
        <w:t>—</w:t>
      </w:r>
      <w:r w:rsidR="00F97AF3" w:rsidRPr="008A34D7">
        <w:rPr>
          <w:lang w:eastAsia="en-AU"/>
        </w:rPr>
        <w:t>14)</w:t>
      </w:r>
    </w:p>
    <w:p w14:paraId="1BA60135" w14:textId="187CFFC7" w:rsidR="00F97AF3" w:rsidRDefault="00407354" w:rsidP="002A0C33">
      <w:pPr>
        <w:pStyle w:val="Dotpoint1"/>
        <w:rPr>
          <w:lang w:eastAsia="en-AU"/>
        </w:rPr>
      </w:pPr>
      <w:r>
        <w:rPr>
          <w:lang w:eastAsia="en-AU"/>
        </w:rPr>
        <w:t>i</w:t>
      </w:r>
      <w:r w:rsidR="00F97AF3" w:rsidRPr="008A34D7">
        <w:rPr>
          <w:lang w:eastAsia="en-AU"/>
        </w:rPr>
        <w:t>ncrea</w:t>
      </w:r>
      <w:r w:rsidR="00F97AF3">
        <w:rPr>
          <w:lang w:eastAsia="en-AU"/>
        </w:rPr>
        <w:t>ses to pay rates</w:t>
      </w:r>
      <w:r w:rsidR="00F97AF3" w:rsidRPr="008A34D7">
        <w:rPr>
          <w:lang w:eastAsia="en-AU"/>
        </w:rPr>
        <w:t xml:space="preserve"> (ongoing)</w:t>
      </w:r>
    </w:p>
    <w:p w14:paraId="4A890CF8" w14:textId="0EF545E5" w:rsidR="00F97AF3" w:rsidRDefault="00407354" w:rsidP="002A0C33">
      <w:pPr>
        <w:pStyle w:val="Dotpoint1"/>
        <w:rPr>
          <w:lang w:eastAsia="en-AU"/>
        </w:rPr>
      </w:pPr>
      <w:r>
        <w:rPr>
          <w:lang w:eastAsia="en-AU"/>
        </w:rPr>
        <w:t>i</w:t>
      </w:r>
      <w:r w:rsidR="00F97AF3">
        <w:rPr>
          <w:lang w:eastAsia="en-AU"/>
        </w:rPr>
        <w:t xml:space="preserve">ntroduction of </w:t>
      </w:r>
      <w:r w:rsidR="00F97AF3" w:rsidRPr="008A34D7">
        <w:rPr>
          <w:lang w:eastAsia="en-AU"/>
        </w:rPr>
        <w:t>Trade Support Loans (ongoing)</w:t>
      </w:r>
    </w:p>
    <w:p w14:paraId="06C36136" w14:textId="2F1FC20D" w:rsidR="00F97AF3" w:rsidRDefault="00407354" w:rsidP="002A0C33">
      <w:pPr>
        <w:pStyle w:val="Dotpoint1"/>
        <w:rPr>
          <w:lang w:eastAsia="en-AU"/>
        </w:rPr>
      </w:pPr>
      <w:r>
        <w:rPr>
          <w:lang w:eastAsia="en-AU"/>
        </w:rPr>
        <w:t>c</w:t>
      </w:r>
      <w:r w:rsidR="00F97AF3">
        <w:rPr>
          <w:lang w:eastAsia="en-AU"/>
        </w:rPr>
        <w:t xml:space="preserve">essation of </w:t>
      </w:r>
      <w:r w:rsidR="00F97AF3" w:rsidRPr="008A34D7">
        <w:rPr>
          <w:lang w:eastAsia="en-AU"/>
        </w:rPr>
        <w:t>National Workforce Development Fund (2011</w:t>
      </w:r>
      <w:r>
        <w:rPr>
          <w:lang w:eastAsia="en-AU"/>
        </w:rPr>
        <w:t>—</w:t>
      </w:r>
      <w:r w:rsidR="00F97AF3" w:rsidRPr="008A34D7">
        <w:rPr>
          <w:lang w:eastAsia="en-AU"/>
        </w:rPr>
        <w:t>14)</w:t>
      </w:r>
    </w:p>
    <w:p w14:paraId="1075034D" w14:textId="7FBAA946" w:rsidR="00F97AF3" w:rsidRDefault="00407354" w:rsidP="002A0C33">
      <w:pPr>
        <w:pStyle w:val="Dotpoint1"/>
        <w:rPr>
          <w:lang w:eastAsia="en-AU"/>
        </w:rPr>
      </w:pPr>
      <w:r>
        <w:rPr>
          <w:lang w:eastAsia="en-AU"/>
        </w:rPr>
        <w:t>c</w:t>
      </w:r>
      <w:r w:rsidR="00F97AF3">
        <w:rPr>
          <w:lang w:eastAsia="en-AU"/>
        </w:rPr>
        <w:t>essation of the C</w:t>
      </w:r>
      <w:r w:rsidR="00F97AF3" w:rsidRPr="008A34D7">
        <w:rPr>
          <w:lang w:eastAsia="en-AU"/>
        </w:rPr>
        <w:t>ritical Skills Investment Fund (2011</w:t>
      </w:r>
      <w:r>
        <w:rPr>
          <w:lang w:eastAsia="en-AU"/>
        </w:rPr>
        <w:t>—</w:t>
      </w:r>
      <w:r w:rsidR="00F97AF3" w:rsidRPr="008A34D7">
        <w:rPr>
          <w:lang w:eastAsia="en-AU"/>
        </w:rPr>
        <w:t>14)</w:t>
      </w:r>
    </w:p>
    <w:p w14:paraId="740C5AAA" w14:textId="70922298" w:rsidR="00F97AF3" w:rsidRDefault="00407354" w:rsidP="002A0C33">
      <w:pPr>
        <w:pStyle w:val="Dotpoint1"/>
        <w:ind w:right="-284"/>
        <w:rPr>
          <w:lang w:eastAsia="en-AU"/>
        </w:rPr>
      </w:pPr>
      <w:r>
        <w:rPr>
          <w:lang w:eastAsia="en-AU"/>
        </w:rPr>
        <w:t>i</w:t>
      </w:r>
      <w:r w:rsidR="00F97AF3">
        <w:rPr>
          <w:lang w:eastAsia="en-AU"/>
        </w:rPr>
        <w:t xml:space="preserve">ntroduction of the </w:t>
      </w:r>
      <w:r w:rsidR="00F97AF3" w:rsidRPr="008A34D7">
        <w:rPr>
          <w:lang w:eastAsia="en-AU"/>
        </w:rPr>
        <w:t xml:space="preserve">Training for Employment Scholarships and Youth </w:t>
      </w:r>
      <w:r w:rsidR="00F97AF3">
        <w:rPr>
          <w:lang w:eastAsia="en-AU"/>
        </w:rPr>
        <w:t>E</w:t>
      </w:r>
      <w:r w:rsidR="00F97AF3" w:rsidRPr="008A34D7">
        <w:rPr>
          <w:lang w:eastAsia="en-AU"/>
        </w:rPr>
        <w:t>mployment Pathways (2014</w:t>
      </w:r>
      <w:r>
        <w:rPr>
          <w:lang w:eastAsia="en-AU"/>
        </w:rPr>
        <w:t>—</w:t>
      </w:r>
      <w:r w:rsidR="00F97AF3" w:rsidRPr="008A34D7">
        <w:rPr>
          <w:lang w:eastAsia="en-AU"/>
        </w:rPr>
        <w:t>17)</w:t>
      </w:r>
      <w:r>
        <w:rPr>
          <w:lang w:eastAsia="en-AU"/>
        </w:rPr>
        <w:t>.</w:t>
      </w:r>
      <w:r w:rsidR="00F97AF3" w:rsidRPr="008A34D7">
        <w:rPr>
          <w:lang w:eastAsia="en-AU"/>
        </w:rPr>
        <w:t xml:space="preserve"> </w:t>
      </w:r>
    </w:p>
    <w:p w14:paraId="0E8F93F6" w14:textId="77777777" w:rsidR="001E0C91" w:rsidRDefault="001E0C91">
      <w:pPr>
        <w:spacing w:line="324" w:lineRule="auto"/>
      </w:pPr>
      <w:r>
        <w:br w:type="page"/>
      </w:r>
    </w:p>
    <w:p w14:paraId="3A06977E" w14:textId="6419F98C" w:rsidR="00F97AF3" w:rsidRDefault="00F97AF3" w:rsidP="00283C02">
      <w:pPr>
        <w:pStyle w:val="Heading1"/>
        <w:spacing w:after="240"/>
      </w:pPr>
      <w:bookmarkStart w:id="54" w:name="_Toc15287586"/>
      <w:bookmarkStart w:id="55" w:name="_Toc17104055"/>
      <w:r w:rsidRPr="00283C02">
        <w:lastRenderedPageBreak/>
        <w:t>References</w:t>
      </w:r>
      <w:bookmarkEnd w:id="54"/>
      <w:bookmarkEnd w:id="55"/>
    </w:p>
    <w:p w14:paraId="6921F707" w14:textId="77777777" w:rsidR="00445240" w:rsidRPr="00445240" w:rsidRDefault="00445240" w:rsidP="00445240">
      <w:pPr>
        <w:pStyle w:val="References"/>
      </w:pPr>
      <w:r w:rsidRPr="00445240">
        <w:t>Atkinson, G &amp; Stanwick, J 2016, Trends in VET: policy and participation, NCVER, Adelaide.</w:t>
      </w:r>
    </w:p>
    <w:p w14:paraId="15175638" w14:textId="0300B88F" w:rsidR="00F97AF3" w:rsidRPr="005B644A" w:rsidRDefault="00F97AF3" w:rsidP="00F97AF3">
      <w:pPr>
        <w:pStyle w:val="References"/>
      </w:pPr>
      <w:r w:rsidRPr="005B644A">
        <w:t xml:space="preserve">Australian National Audit Office 2017, </w:t>
      </w:r>
      <w:r w:rsidRPr="005B644A">
        <w:rPr>
          <w:i/>
          <w:iCs/>
        </w:rPr>
        <w:t>Apprenticeship training: alternative delivery pilots,</w:t>
      </w:r>
      <w:r w:rsidRPr="005B644A">
        <w:t xml:space="preserve"> ANAO, Canberra,</w:t>
      </w:r>
      <w:r w:rsidR="00582AC2">
        <w:t xml:space="preserve"> </w:t>
      </w:r>
      <w:r w:rsidRPr="005B644A">
        <w:t>&lt;https://www.anao.gov.au/work/performance-audit/apprenticeship-training-alternative-delivery-pilots&gt;.</w:t>
      </w:r>
    </w:p>
    <w:p w14:paraId="3B535239" w14:textId="1A78617D" w:rsidR="00F97AF3" w:rsidRPr="005B644A" w:rsidRDefault="00F97AF3" w:rsidP="00F97AF3">
      <w:pPr>
        <w:pStyle w:val="References"/>
      </w:pPr>
      <w:r w:rsidRPr="005B644A">
        <w:t>Australian</w:t>
      </w:r>
      <w:r>
        <w:t xml:space="preserve"> National Training Authority 2017</w:t>
      </w:r>
      <w:r w:rsidRPr="005B644A">
        <w:t xml:space="preserve">, </w:t>
      </w:r>
      <w:r w:rsidRPr="00602C76">
        <w:rPr>
          <w:i/>
        </w:rPr>
        <w:t>Revised</w:t>
      </w:r>
      <w:r>
        <w:t xml:space="preserve"> </w:t>
      </w:r>
      <w:r w:rsidRPr="005B644A">
        <w:rPr>
          <w:i/>
          <w:iCs/>
        </w:rPr>
        <w:t>National Standards for Group Training Organisations,</w:t>
      </w:r>
      <w:r>
        <w:t xml:space="preserve"> ANTA, Brisbane, </w:t>
      </w:r>
      <w:r w:rsidR="001248AB">
        <w:t>&lt;</w:t>
      </w:r>
      <w:r w:rsidRPr="00602C76">
        <w:t>https://www.australianapprenticeships.gov.au/sites/ausapps/files/publication-documents/ed18-0014_group_training_national_standards_acc.pdf</w:t>
      </w:r>
      <w:r w:rsidR="001248AB">
        <w:t>&gt;.</w:t>
      </w:r>
      <w:r w:rsidR="00582AC2">
        <w:t xml:space="preserve"> </w:t>
      </w:r>
    </w:p>
    <w:p w14:paraId="65191E01" w14:textId="1740BCF9" w:rsidR="00F97AF3" w:rsidRPr="005B644A" w:rsidRDefault="00F97AF3" w:rsidP="00F97AF3">
      <w:pPr>
        <w:pStyle w:val="References"/>
      </w:pPr>
      <w:r w:rsidRPr="005B644A">
        <w:t xml:space="preserve">Ball, K, NCVER, 2005, </w:t>
      </w:r>
      <w:r w:rsidRPr="005B644A">
        <w:rPr>
          <w:i/>
          <w:iCs/>
        </w:rPr>
        <w:t>Factors influencing completion of apprenticeships and traineeships,</w:t>
      </w:r>
      <w:r>
        <w:t xml:space="preserve"> NCVER, Adelaide,</w:t>
      </w:r>
      <w:r w:rsidR="00582AC2">
        <w:t xml:space="preserve"> </w:t>
      </w:r>
      <w:r w:rsidR="00AF1C4A">
        <w:t>&lt;http</w:t>
      </w:r>
      <w:r w:rsidRPr="00602C76">
        <w:t>://hdl.voced.edu.au/10707/97715</w:t>
      </w:r>
      <w:r w:rsidR="00AF1C4A">
        <w:t>&gt;</w:t>
      </w:r>
      <w:r>
        <w:t>.</w:t>
      </w:r>
      <w:r w:rsidRPr="005B644A">
        <w:t xml:space="preserve"> </w:t>
      </w:r>
    </w:p>
    <w:p w14:paraId="2BFC7B6F" w14:textId="299E57A7" w:rsidR="00F97AF3" w:rsidRPr="005B644A" w:rsidRDefault="00F97AF3" w:rsidP="00F97AF3">
      <w:pPr>
        <w:pStyle w:val="References"/>
      </w:pPr>
      <w:r w:rsidRPr="005B644A">
        <w:t xml:space="preserve">Bednarz, </w:t>
      </w:r>
      <w:r w:rsidRPr="00431C54">
        <w:rPr>
          <w:noProof/>
        </w:rPr>
        <w:t>A 2014</w:t>
      </w:r>
      <w:r w:rsidRPr="005B644A">
        <w:t xml:space="preserve">, </w:t>
      </w:r>
      <w:r w:rsidRPr="005B644A">
        <w:rPr>
          <w:i/>
          <w:iCs/>
        </w:rPr>
        <w:t>Understanding the non-completion of apprentices,</w:t>
      </w:r>
      <w:r w:rsidRPr="005B644A">
        <w:t xml:space="preserve"> NCVER, Adelaide,</w:t>
      </w:r>
      <w:r w:rsidR="00582AC2">
        <w:t xml:space="preserve"> </w:t>
      </w:r>
      <w:r w:rsidRPr="005B644A">
        <w:t>&lt;http://www.ncver.edu.au/publications/2706.html&gt;.</w:t>
      </w:r>
    </w:p>
    <w:p w14:paraId="01F794A7" w14:textId="536FA8F2" w:rsidR="00431C54" w:rsidRPr="005B644A" w:rsidRDefault="00431C54" w:rsidP="00F97AF3">
      <w:pPr>
        <w:pStyle w:val="References"/>
      </w:pPr>
      <w:r w:rsidRPr="00431C54">
        <w:t xml:space="preserve">Burke, G, 2018, </w:t>
      </w:r>
      <w:r w:rsidRPr="00AF1C4A">
        <w:rPr>
          <w:i/>
          <w:iCs/>
        </w:rPr>
        <w:t xml:space="preserve">Changes in funding in Australian vocational education and their effects, </w:t>
      </w:r>
      <w:r w:rsidR="00407354">
        <w:rPr>
          <w:i/>
          <w:iCs/>
        </w:rPr>
        <w:t>v</w:t>
      </w:r>
      <w:r w:rsidRPr="00AF1C4A">
        <w:rPr>
          <w:i/>
          <w:iCs/>
        </w:rPr>
        <w:t xml:space="preserve">ocational education for the 21st </w:t>
      </w:r>
      <w:r w:rsidR="00AF1C4A" w:rsidRPr="00AF1C4A">
        <w:rPr>
          <w:i/>
          <w:iCs/>
        </w:rPr>
        <w:t>c</w:t>
      </w:r>
      <w:r w:rsidRPr="00AF1C4A">
        <w:rPr>
          <w:i/>
          <w:iCs/>
        </w:rPr>
        <w:t>entury: a series of policy discussion papers</w:t>
      </w:r>
      <w:r w:rsidRPr="00431C54">
        <w:t>, LH Martin Institute, University of Melbourne, Melbourne, &lt;https://melbourne-cshe.unimelb.edu.au/__data/assets/pdf_file/0010/2845774/Burke-Changes-in-funding-in-Australian-vocational-education-and-their-effects_.pdf&gt;.</w:t>
      </w:r>
    </w:p>
    <w:p w14:paraId="20ED4766" w14:textId="7DB13290" w:rsidR="00F97AF3" w:rsidRPr="005B644A" w:rsidRDefault="00F97AF3" w:rsidP="00F97AF3">
      <w:pPr>
        <w:pStyle w:val="References"/>
      </w:pPr>
      <w:r w:rsidRPr="00431C54">
        <w:rPr>
          <w:noProof/>
        </w:rPr>
        <w:t xml:space="preserve">Couldrey, M &amp; Loveder, P 2017, </w:t>
      </w:r>
      <w:r w:rsidRPr="00431C54">
        <w:rPr>
          <w:i/>
          <w:iCs/>
          <w:noProof/>
        </w:rPr>
        <w:t>The future of Australian apprenticeships: report of the stakeholder forum,</w:t>
      </w:r>
      <w:r w:rsidRPr="00431C54">
        <w:rPr>
          <w:noProof/>
        </w:rPr>
        <w:t xml:space="preserve"> NCVER, Adelaide,</w:t>
      </w:r>
      <w:r w:rsidR="00582AC2">
        <w:rPr>
          <w:noProof/>
        </w:rPr>
        <w:t xml:space="preserve"> </w:t>
      </w:r>
      <w:r w:rsidRPr="00431C54">
        <w:rPr>
          <w:noProof/>
        </w:rPr>
        <w:t>&lt;https://www.ncver.edu.au/publications/publications/all-publications/the-future-of-australian-apprenticeships-report-of-the-stakeholder-forum&gt;.</w:t>
      </w:r>
    </w:p>
    <w:p w14:paraId="1D2F0C4A" w14:textId="11EDC423" w:rsidR="00F97AF3" w:rsidRPr="005B644A" w:rsidRDefault="00F97AF3" w:rsidP="00F97AF3">
      <w:pPr>
        <w:pStyle w:val="References"/>
      </w:pPr>
      <w:r w:rsidRPr="005B644A">
        <w:t xml:space="preserve">Deloitte Access Economics 2011, </w:t>
      </w:r>
      <w:r w:rsidRPr="005B644A">
        <w:rPr>
          <w:i/>
          <w:iCs/>
        </w:rPr>
        <w:t>The cost of apprenticeship non-completion in NSW,</w:t>
      </w:r>
      <w:r w:rsidRPr="005B644A">
        <w:t xml:space="preserve"> NSW Board of Vocational Education and Training, Sydney,</w:t>
      </w:r>
      <w:r w:rsidR="00582AC2">
        <w:t xml:space="preserve"> </w:t>
      </w:r>
      <w:r w:rsidRPr="005B644A">
        <w:t>&lt;http://www.skillsboard.nsw.gov.au/sites/default/files/DAE_BVETReport.pdf&gt;.</w:t>
      </w:r>
    </w:p>
    <w:p w14:paraId="1A7C6A9A" w14:textId="698A3613" w:rsidR="00F97AF3" w:rsidRDefault="00F97AF3" w:rsidP="00F97AF3">
      <w:pPr>
        <w:pStyle w:val="References"/>
      </w:pPr>
      <w:r>
        <w:t xml:space="preserve">Fowler, C 2018, </w:t>
      </w:r>
      <w:r w:rsidR="00D2072F">
        <w:t>‘</w:t>
      </w:r>
      <w:r>
        <w:t>VET funding within the tertiary system: five policy reasons driving cost shifting</w:t>
      </w:r>
      <w:r w:rsidR="00D2072F">
        <w:t>’</w:t>
      </w:r>
      <w:r>
        <w:t xml:space="preserve">, </w:t>
      </w:r>
      <w:r>
        <w:rPr>
          <w:i/>
          <w:iCs/>
        </w:rPr>
        <w:t>Campus Review</w:t>
      </w:r>
      <w:r>
        <w:t>, &lt;https://www.campusreview.com.au/2018/08/vet-funding-within-the-tertiary-system-five-policy-reasons-driving-cost-shifting/&gt;.</w:t>
      </w:r>
    </w:p>
    <w:p w14:paraId="32126658" w14:textId="3A74E54B" w:rsidR="00F97AF3" w:rsidRPr="005B644A" w:rsidRDefault="00F97AF3" w:rsidP="00F97AF3">
      <w:pPr>
        <w:pStyle w:val="References"/>
      </w:pPr>
      <w:r w:rsidRPr="00431C54">
        <w:rPr>
          <w:noProof/>
        </w:rPr>
        <w:t xml:space="preserve">Gambin, L &amp; Hogarth, T 2016, </w:t>
      </w:r>
      <w:r w:rsidR="00D2072F">
        <w:rPr>
          <w:noProof/>
        </w:rPr>
        <w:t>‘</w:t>
      </w:r>
      <w:r w:rsidRPr="00431C54">
        <w:rPr>
          <w:noProof/>
        </w:rPr>
        <w:t>Factors affecting completion of apprenticeship training in England</w:t>
      </w:r>
      <w:r w:rsidR="00D2072F">
        <w:rPr>
          <w:noProof/>
        </w:rPr>
        <w:t>’</w:t>
      </w:r>
      <w:r w:rsidR="00407354">
        <w:rPr>
          <w:noProof/>
        </w:rPr>
        <w:t>,</w:t>
      </w:r>
      <w:r w:rsidRPr="00431C54">
        <w:rPr>
          <w:noProof/>
        </w:rPr>
        <w:t xml:space="preserve"> </w:t>
      </w:r>
      <w:r w:rsidRPr="00431C54">
        <w:rPr>
          <w:i/>
          <w:iCs/>
          <w:noProof/>
        </w:rPr>
        <w:t>Journal of Education and Work</w:t>
      </w:r>
      <w:r w:rsidRPr="00431C54">
        <w:rPr>
          <w:noProof/>
        </w:rPr>
        <w:t xml:space="preserve">, vol.29, no.4, </w:t>
      </w:r>
      <w:r w:rsidR="00AF1C4A">
        <w:rPr>
          <w:noProof/>
        </w:rPr>
        <w:t>pp.</w:t>
      </w:r>
      <w:r w:rsidRPr="00431C54">
        <w:rPr>
          <w:noProof/>
        </w:rPr>
        <w:t>470</w:t>
      </w:r>
      <w:r w:rsidR="00AF1C4A">
        <w:rPr>
          <w:noProof/>
        </w:rPr>
        <w:t>—</w:t>
      </w:r>
      <w:r w:rsidRPr="00431C54">
        <w:rPr>
          <w:noProof/>
        </w:rPr>
        <w:t xml:space="preserve">93, </w:t>
      </w:r>
      <w:r w:rsidR="00AF1C4A">
        <w:rPr>
          <w:noProof/>
        </w:rPr>
        <w:t>&lt;http</w:t>
      </w:r>
      <w:r w:rsidRPr="00431C54">
        <w:rPr>
          <w:noProof/>
        </w:rPr>
        <w:t>s://doi.org/10.1080/13639080.2014.997679&gt;.</w:t>
      </w:r>
    </w:p>
    <w:p w14:paraId="06ED13FE" w14:textId="12645D87" w:rsidR="00F97AF3" w:rsidRPr="005B644A" w:rsidRDefault="00F97AF3" w:rsidP="00F97AF3">
      <w:pPr>
        <w:pStyle w:val="References"/>
      </w:pPr>
      <w:r w:rsidRPr="005B644A">
        <w:t xml:space="preserve">Group Training Association of NSW and ACT 2014, </w:t>
      </w:r>
      <w:r w:rsidRPr="005B644A">
        <w:rPr>
          <w:i/>
          <w:iCs/>
        </w:rPr>
        <w:t>Group training pre-apprenticeships: helping young people get into the right career,</w:t>
      </w:r>
      <w:r w:rsidRPr="005B644A">
        <w:t xml:space="preserve"> Group Training Association of NSW and ACT, Homebush,</w:t>
      </w:r>
      <w:r w:rsidR="00582AC2">
        <w:t xml:space="preserve"> </w:t>
      </w:r>
      <w:r w:rsidR="00B51F62">
        <w:t xml:space="preserve">viewed </w:t>
      </w:r>
      <w:r w:rsidR="00B51F62" w:rsidRPr="00B51F62">
        <w:t>16 Mar 2018</w:t>
      </w:r>
      <w:r w:rsidR="00B51F62">
        <w:t xml:space="preserve">, </w:t>
      </w:r>
      <w:r w:rsidRPr="005B644A">
        <w:t>&lt;http://www.gtana.com.au/sb_cache/associationnews/id/195/f/GTA%20Pre%20Apprenticeships%20report_ONLINE_3.pdf&gt;.</w:t>
      </w:r>
    </w:p>
    <w:p w14:paraId="0E28D06E" w14:textId="161B91E3" w:rsidR="00F97AF3" w:rsidRPr="005B644A" w:rsidRDefault="00F97AF3" w:rsidP="00F97AF3">
      <w:pPr>
        <w:pStyle w:val="References"/>
      </w:pPr>
      <w:r w:rsidRPr="00431C54">
        <w:rPr>
          <w:noProof/>
        </w:rPr>
        <w:t xml:space="preserve">Hargreaves, J &amp; Osborne, K 2017, </w:t>
      </w:r>
      <w:r w:rsidRPr="00431C54">
        <w:rPr>
          <w:i/>
          <w:iCs/>
          <w:noProof/>
        </w:rPr>
        <w:t>Choosing VET: aspirations, intentions and choice,</w:t>
      </w:r>
      <w:r w:rsidRPr="00431C54">
        <w:rPr>
          <w:noProof/>
        </w:rPr>
        <w:t xml:space="preserve"> NCVER, Adelaide, &lt;https://www.ncver.edu.au/publications/publications/all-publications/choosing-vet-aspirations,-intention-and-choice&gt;.</w:t>
      </w:r>
    </w:p>
    <w:p w14:paraId="4ED0BE16" w14:textId="28F9B651" w:rsidR="00F97AF3" w:rsidRPr="005B644A" w:rsidRDefault="00F97AF3" w:rsidP="00F97AF3">
      <w:pPr>
        <w:pStyle w:val="References"/>
      </w:pPr>
      <w:r w:rsidRPr="00431C54">
        <w:rPr>
          <w:noProof/>
        </w:rPr>
        <w:t xml:space="preserve">Hargreaves, J, Stanwick, J &amp; Skujins, P 2017, </w:t>
      </w:r>
      <w:r w:rsidRPr="00431C54">
        <w:rPr>
          <w:i/>
          <w:iCs/>
          <w:noProof/>
        </w:rPr>
        <w:t>The changing nature of apprenticeships: 1996</w:t>
      </w:r>
      <w:r w:rsidR="00F77C2E">
        <w:rPr>
          <w:i/>
          <w:iCs/>
          <w:noProof/>
        </w:rPr>
        <w:t>—</w:t>
      </w:r>
      <w:r w:rsidRPr="00431C54">
        <w:rPr>
          <w:i/>
          <w:iCs/>
          <w:noProof/>
        </w:rPr>
        <w:t>2016,</w:t>
      </w:r>
      <w:r w:rsidRPr="00431C54">
        <w:rPr>
          <w:noProof/>
        </w:rPr>
        <w:t xml:space="preserve"> NCVER, Adelaide,</w:t>
      </w:r>
      <w:r w:rsidR="00B51F62">
        <w:rPr>
          <w:noProof/>
        </w:rPr>
        <w:t xml:space="preserve">viewed </w:t>
      </w:r>
      <w:r w:rsidR="00582AC2">
        <w:rPr>
          <w:noProof/>
        </w:rPr>
        <w:t xml:space="preserve"> </w:t>
      </w:r>
      <w:r w:rsidR="00B51F62" w:rsidRPr="00B51F62">
        <w:rPr>
          <w:noProof/>
        </w:rPr>
        <w:t>05 Apr 2018</w:t>
      </w:r>
      <w:r w:rsidR="00B51F62">
        <w:rPr>
          <w:noProof/>
        </w:rPr>
        <w:t xml:space="preserve">, </w:t>
      </w:r>
      <w:r w:rsidRPr="00431C54">
        <w:rPr>
          <w:noProof/>
        </w:rPr>
        <w:t>&lt;https://www.ncver.edu.au/publications/publications/all-publications/the-changing-nature-of-apprenticeships-1996-2016&gt;.</w:t>
      </w:r>
    </w:p>
    <w:p w14:paraId="72384570" w14:textId="092CAFE3" w:rsidR="003B0620" w:rsidRDefault="003B0620" w:rsidP="003B0620">
      <w:pPr>
        <w:pStyle w:val="References"/>
        <w:spacing w:before="160"/>
        <w:ind w:right="-851"/>
      </w:pPr>
      <w:r>
        <w:t xml:space="preserve">Harvey, B, 2010, </w:t>
      </w:r>
      <w:r w:rsidRPr="00F77C2E">
        <w:rPr>
          <w:i/>
          <w:iCs/>
        </w:rPr>
        <w:t>Apprentice and trainee statistics: estimation of contract completion and attrition rates</w:t>
      </w:r>
      <w:r>
        <w:t xml:space="preserve">, </w:t>
      </w:r>
      <w:r w:rsidR="00B51F62">
        <w:rPr>
          <w:noProof/>
        </w:rPr>
        <w:t>viewed  16</w:t>
      </w:r>
      <w:r w:rsidR="00B51F62" w:rsidRPr="00B51F62">
        <w:rPr>
          <w:noProof/>
        </w:rPr>
        <w:t xml:space="preserve"> </w:t>
      </w:r>
      <w:r w:rsidR="00B51F62">
        <w:rPr>
          <w:noProof/>
        </w:rPr>
        <w:t>Ma</w:t>
      </w:r>
      <w:r w:rsidR="00B51F62" w:rsidRPr="00B51F62">
        <w:rPr>
          <w:noProof/>
        </w:rPr>
        <w:t>r 2018</w:t>
      </w:r>
      <w:r w:rsidR="00B51F62">
        <w:rPr>
          <w:noProof/>
        </w:rPr>
        <w:t xml:space="preserve">, </w:t>
      </w:r>
      <w:r w:rsidR="00F77C2E">
        <w:t>&lt;</w:t>
      </w:r>
      <w:r w:rsidRPr="004C58B8">
        <w:t>https://www.ncver.edu.au/research-and-statistics/publications/all-publications/apprentice-and-trainee-statistics-estimation-of-contract-completion-and-attrition-rates</w:t>
      </w:r>
      <w:r w:rsidR="00F77C2E">
        <w:t>&gt;.</w:t>
      </w:r>
    </w:p>
    <w:p w14:paraId="2477847F" w14:textId="4F1D22EA" w:rsidR="00F97AF3" w:rsidRPr="005B644A" w:rsidRDefault="00F97AF3" w:rsidP="00F97AF3">
      <w:pPr>
        <w:pStyle w:val="References"/>
      </w:pPr>
      <w:r w:rsidRPr="00431C54">
        <w:rPr>
          <w:noProof/>
        </w:rPr>
        <w:t xml:space="preserve">Karmel, T 2017, </w:t>
      </w:r>
      <w:r w:rsidR="00D2072F">
        <w:rPr>
          <w:noProof/>
        </w:rPr>
        <w:t>‘</w:t>
      </w:r>
      <w:r w:rsidRPr="00F77C2E">
        <w:rPr>
          <w:noProof/>
        </w:rPr>
        <w:t>Part II: Demand-side factors affecting apprenticeships and traineeships</w:t>
      </w:r>
      <w:r w:rsidR="00D2072F">
        <w:rPr>
          <w:noProof/>
        </w:rPr>
        <w:t>’</w:t>
      </w:r>
      <w:r w:rsidRPr="00431C54">
        <w:rPr>
          <w:i/>
          <w:iCs/>
          <w:noProof/>
        </w:rPr>
        <w:t>, in Research Report 3/2017 Factors affecting apprenticeships and traineeships</w:t>
      </w:r>
      <w:r w:rsidRPr="00431C54">
        <w:rPr>
          <w:noProof/>
        </w:rPr>
        <w:t>,</w:t>
      </w:r>
      <w:r w:rsidR="00582AC2">
        <w:rPr>
          <w:noProof/>
        </w:rPr>
        <w:t xml:space="preserve"> </w:t>
      </w:r>
      <w:r w:rsidR="00B51F62">
        <w:rPr>
          <w:noProof/>
        </w:rPr>
        <w:t xml:space="preserve">viewed  </w:t>
      </w:r>
      <w:r w:rsidR="00B51F62" w:rsidRPr="00B51F62">
        <w:rPr>
          <w:noProof/>
        </w:rPr>
        <w:t>05 Apr 2018</w:t>
      </w:r>
      <w:r w:rsidR="00B51F62">
        <w:rPr>
          <w:noProof/>
        </w:rPr>
        <w:t xml:space="preserve">, </w:t>
      </w:r>
      <w:r w:rsidRPr="00431C54">
        <w:rPr>
          <w:noProof/>
        </w:rPr>
        <w:t>&lt;https://www.fwc.gov.au/documents/sites/wagereview2017/research/apprenticetrainee.pdf&gt;.</w:t>
      </w:r>
    </w:p>
    <w:p w14:paraId="1822BB61" w14:textId="2EEBC9B4" w:rsidR="00F97AF3" w:rsidRPr="005B644A" w:rsidRDefault="00F97AF3" w:rsidP="00F97AF3">
      <w:pPr>
        <w:pStyle w:val="References"/>
      </w:pPr>
      <w:r w:rsidRPr="005B644A">
        <w:t xml:space="preserve">Karmel, T &amp; Roberts, D 2012, </w:t>
      </w:r>
      <w:r w:rsidRPr="005B644A">
        <w:rPr>
          <w:i/>
          <w:iCs/>
        </w:rPr>
        <w:t xml:space="preserve">The role of </w:t>
      </w:r>
      <w:r w:rsidR="00D2072F">
        <w:rPr>
          <w:i/>
          <w:iCs/>
        </w:rPr>
        <w:t>‘</w:t>
      </w:r>
      <w:r w:rsidRPr="005B644A">
        <w:rPr>
          <w:i/>
          <w:iCs/>
        </w:rPr>
        <w:t>culture</w:t>
      </w:r>
      <w:r w:rsidR="00D2072F">
        <w:rPr>
          <w:i/>
          <w:iCs/>
        </w:rPr>
        <w:t>’</w:t>
      </w:r>
      <w:r w:rsidRPr="005B644A">
        <w:rPr>
          <w:i/>
          <w:iCs/>
        </w:rPr>
        <w:t xml:space="preserve"> in apprenticeship completions,</w:t>
      </w:r>
      <w:r w:rsidRPr="005B644A">
        <w:t xml:space="preserve"> NCVER, Adelaide,</w:t>
      </w:r>
      <w:r w:rsidR="00582AC2">
        <w:t xml:space="preserve"> </w:t>
      </w:r>
      <w:r w:rsidR="00B51F62">
        <w:t xml:space="preserve">viewed </w:t>
      </w:r>
      <w:r w:rsidR="00B51F62" w:rsidRPr="00B51F62">
        <w:t>21 Mar 2018</w:t>
      </w:r>
      <w:r w:rsidR="00B51F62">
        <w:t xml:space="preserve">, </w:t>
      </w:r>
      <w:r w:rsidRPr="005B644A">
        <w:t>&lt;http://www.ncver.edu.au/publications/2498.html&gt;.</w:t>
      </w:r>
    </w:p>
    <w:p w14:paraId="5622DB97" w14:textId="75659659" w:rsidR="003927EF" w:rsidRDefault="003927EF" w:rsidP="00F97AF3">
      <w:pPr>
        <w:pStyle w:val="References"/>
      </w:pPr>
      <w:r w:rsidRPr="003927EF">
        <w:t xml:space="preserve">Karmel, T &amp; Virk, G 2006, </w:t>
      </w:r>
      <w:r w:rsidRPr="003927EF">
        <w:rPr>
          <w:i/>
        </w:rPr>
        <w:t>What is happening to traditional apprentice completions?</w:t>
      </w:r>
      <w:r>
        <w:t xml:space="preserve"> NCVER occasional paper</w:t>
      </w:r>
      <w:r w:rsidRPr="003927EF">
        <w:t xml:space="preserve"> NCVER, Adelaide, https://vital.voced.edu.au/vital/access/services/Download/ngv:39057/SOURCE2?view=true</w:t>
      </w:r>
    </w:p>
    <w:p w14:paraId="1D0948FB" w14:textId="1212AEE9" w:rsidR="00F97AF3" w:rsidRPr="005B644A" w:rsidRDefault="00F97AF3" w:rsidP="00F97AF3">
      <w:pPr>
        <w:pStyle w:val="References"/>
      </w:pPr>
      <w:r w:rsidRPr="005B644A">
        <w:t xml:space="preserve">Kuczera, M 2017, </w:t>
      </w:r>
      <w:r w:rsidR="00D2072F">
        <w:t>‘</w:t>
      </w:r>
      <w:r w:rsidRPr="005B644A">
        <w:t>Incentives for apprenticeship</w:t>
      </w:r>
      <w:r w:rsidR="00D2072F">
        <w:t>’</w:t>
      </w:r>
      <w:r w:rsidR="00F77C2E">
        <w:t>,</w:t>
      </w:r>
      <w:r w:rsidRPr="005B644A">
        <w:t xml:space="preserve"> </w:t>
      </w:r>
      <w:r w:rsidRPr="005B644A">
        <w:rPr>
          <w:i/>
          <w:iCs/>
        </w:rPr>
        <w:t>OECD Education Working Papers</w:t>
      </w:r>
      <w:r w:rsidRPr="005B644A">
        <w:t>, no.152, 0_1,</w:t>
      </w:r>
      <w:r w:rsidR="00582AC2">
        <w:t xml:space="preserve"> </w:t>
      </w:r>
      <w:r w:rsidR="00AF1C4A">
        <w:t>&lt;http</w:t>
      </w:r>
      <w:r w:rsidRPr="005B644A">
        <w:t>://www.nebhe.org/info/pdf/events/meetings/commission/041217/OECD_Incentives_for_Apprenticeship.pdf&gt;.</w:t>
      </w:r>
    </w:p>
    <w:p w14:paraId="439EB2FA" w14:textId="003A2E22" w:rsidR="00F97AF3" w:rsidRPr="005B644A" w:rsidRDefault="00F97AF3" w:rsidP="00F97AF3">
      <w:pPr>
        <w:pStyle w:val="References"/>
      </w:pPr>
      <w:r w:rsidRPr="005B644A">
        <w:t xml:space="preserve">Mangan, J &amp; Trendle, B 2017, </w:t>
      </w:r>
      <w:r w:rsidR="00D2072F">
        <w:t>‘</w:t>
      </w:r>
      <w:r w:rsidRPr="005B644A">
        <w:t>Attrition and retention of apprentices: an exploration of event history data using a multi-state modelling framework</w:t>
      </w:r>
      <w:r w:rsidR="00D2072F">
        <w:t>’</w:t>
      </w:r>
      <w:r w:rsidR="00F77C2E">
        <w:t xml:space="preserve">, </w:t>
      </w:r>
      <w:r w:rsidRPr="005B644A">
        <w:rPr>
          <w:i/>
          <w:iCs/>
        </w:rPr>
        <w:t>Education Economics</w:t>
      </w:r>
      <w:r w:rsidRPr="005B644A">
        <w:t>, vol.25, no.4, pp.1</w:t>
      </w:r>
      <w:r w:rsidR="00F77C2E">
        <w:t>—</w:t>
      </w:r>
      <w:r w:rsidRPr="005B644A">
        <w:t xml:space="preserve">12, </w:t>
      </w:r>
      <w:r w:rsidR="00AF1C4A">
        <w:t>&lt;http</w:t>
      </w:r>
      <w:r w:rsidRPr="00602C76">
        <w:t>s://doi.org/10.1080/09645292.2016.1213795</w:t>
      </w:r>
      <w:r>
        <w:t>.</w:t>
      </w:r>
    </w:p>
    <w:p w14:paraId="01992ADB" w14:textId="77868FDD" w:rsidR="00F97AF3" w:rsidRPr="005B644A" w:rsidRDefault="00F97AF3" w:rsidP="00F97AF3">
      <w:pPr>
        <w:pStyle w:val="References"/>
      </w:pPr>
      <w:r w:rsidRPr="005B644A">
        <w:t xml:space="preserve">McEwen, M 2015, </w:t>
      </w:r>
      <w:r w:rsidRPr="005B644A">
        <w:rPr>
          <w:i/>
          <w:iCs/>
        </w:rPr>
        <w:t>Developmental research for promotion of the vocational education and training sector,</w:t>
      </w:r>
      <w:r w:rsidRPr="005B644A">
        <w:t xml:space="preserve"> NCVER, Adelaide, </w:t>
      </w:r>
      <w:r w:rsidR="00AF1C4A">
        <w:t>&lt;http</w:t>
      </w:r>
      <w:r w:rsidRPr="00602C76">
        <w:t>s://www.ncver.edu.au/publications/publications/all-publications/vocational-education-and-training-literacy-and-numeracy-review-of-research</w:t>
      </w:r>
      <w:r w:rsidR="00F77C2E">
        <w:t>&gt;.</w:t>
      </w:r>
    </w:p>
    <w:p w14:paraId="73491A89" w14:textId="29E297F2" w:rsidR="00F97AF3" w:rsidRPr="005B644A" w:rsidRDefault="00F97AF3" w:rsidP="00F97AF3">
      <w:pPr>
        <w:pStyle w:val="References"/>
      </w:pPr>
      <w:r w:rsidRPr="005B644A">
        <w:lastRenderedPageBreak/>
        <w:t xml:space="preserve">NCVER </w:t>
      </w:r>
      <w:r w:rsidR="00F77C2E">
        <w:t xml:space="preserve">(National Centre for Vocational Education Research) </w:t>
      </w:r>
      <w:r w:rsidRPr="005B644A">
        <w:t>2017</w:t>
      </w:r>
      <w:r w:rsidR="003927EF">
        <w:t>a</w:t>
      </w:r>
      <w:r w:rsidRPr="005B644A">
        <w:t xml:space="preserve">, </w:t>
      </w:r>
      <w:r w:rsidRPr="005B644A">
        <w:rPr>
          <w:i/>
          <w:iCs/>
        </w:rPr>
        <w:t>Australian vocational education and training statistics: apprentices and trainees 2016: annual,</w:t>
      </w:r>
      <w:r w:rsidRPr="005B644A">
        <w:t xml:space="preserve"> NCVER, Adelaide,</w:t>
      </w:r>
      <w:r w:rsidR="00582AC2">
        <w:t xml:space="preserve"> </w:t>
      </w:r>
      <w:r w:rsidRPr="005B644A">
        <w:t>&lt;https://www.ncver.edu.au/publications/publications/all-publications/apprentices-and-trainees-2016-annual&gt;.</w:t>
      </w:r>
    </w:p>
    <w:p w14:paraId="568BEFB5" w14:textId="1D2710D2" w:rsidR="00F97AF3" w:rsidRPr="005B644A" w:rsidRDefault="00F77C2E" w:rsidP="00F97AF3">
      <w:pPr>
        <w:pStyle w:val="References"/>
      </w:pPr>
      <w:r>
        <w:t>——</w:t>
      </w:r>
      <w:r w:rsidR="00F97AF3" w:rsidRPr="005B644A">
        <w:t>2017</w:t>
      </w:r>
      <w:r w:rsidR="003927EF">
        <w:t>b</w:t>
      </w:r>
      <w:r w:rsidR="00F97AF3" w:rsidRPr="005B644A">
        <w:t xml:space="preserve">, </w:t>
      </w:r>
      <w:r w:rsidR="00F97AF3" w:rsidRPr="005B644A">
        <w:rPr>
          <w:i/>
          <w:iCs/>
        </w:rPr>
        <w:t>Australian vocational education and training statistics: completion and attrition rates for apprentices and trainees 2016,</w:t>
      </w:r>
      <w:r w:rsidR="00F97AF3" w:rsidRPr="005B644A">
        <w:t xml:space="preserve"> NCVER, Adelaide,</w:t>
      </w:r>
      <w:r w:rsidR="00582AC2">
        <w:t xml:space="preserve"> </w:t>
      </w:r>
      <w:r w:rsidR="00F97AF3" w:rsidRPr="005B644A">
        <w:t>&lt;https://www.ncver.edu.au/publications/publications/all-publications/completion-and-attrition-rates-for-apprentices-and-trainees-2016&gt;.</w:t>
      </w:r>
    </w:p>
    <w:p w14:paraId="5177DFEC" w14:textId="3CFBD15A" w:rsidR="00F97AF3" w:rsidRDefault="00F77C2E" w:rsidP="00F97AF3">
      <w:pPr>
        <w:pStyle w:val="References"/>
      </w:pPr>
      <w:r>
        <w:t>——</w:t>
      </w:r>
      <w:r w:rsidR="00F97AF3" w:rsidRPr="005B644A">
        <w:t>2017</w:t>
      </w:r>
      <w:r w:rsidR="003927EF">
        <w:t>c</w:t>
      </w:r>
      <w:r w:rsidR="00F97AF3" w:rsidRPr="005B644A">
        <w:t xml:space="preserve">, </w:t>
      </w:r>
      <w:r w:rsidR="00D2072F">
        <w:t>‘</w:t>
      </w:r>
      <w:r w:rsidR="00F97AF3" w:rsidRPr="005B644A">
        <w:t>Completion and attrition rates for apprentices and trainees 2016</w:t>
      </w:r>
      <w:r w:rsidR="00D2072F">
        <w:t>’</w:t>
      </w:r>
      <w:r w:rsidR="00407354">
        <w:t>,</w:t>
      </w:r>
      <w:r w:rsidR="00582AC2">
        <w:t xml:space="preserve"> </w:t>
      </w:r>
      <w:r w:rsidR="002E0873">
        <w:t>&lt;</w:t>
      </w:r>
      <w:r w:rsidR="00F97AF3" w:rsidRPr="005B644A">
        <w:t>https://www.ncver.edu.au/data/data/all-data/completion-and-attrition-rates-for-apprentices-and-trainees-2016-state-and-territory-data-tables&gt;.</w:t>
      </w:r>
    </w:p>
    <w:p w14:paraId="239B2E55" w14:textId="27FF1B10" w:rsidR="003927EF" w:rsidRDefault="00F92E48" w:rsidP="00F97AF3">
      <w:pPr>
        <w:pStyle w:val="References"/>
      </w:pPr>
      <w:r>
        <w:t>——</w:t>
      </w:r>
      <w:r w:rsidR="003927EF">
        <w:t>2018 National Apprentice and Trainee Collection, collection no. 95, unpublished data.</w:t>
      </w:r>
    </w:p>
    <w:p w14:paraId="00BE0AAF" w14:textId="7A5109FD" w:rsidR="00F92E48" w:rsidRPr="005B644A" w:rsidRDefault="00F92E48" w:rsidP="00F97AF3">
      <w:pPr>
        <w:pStyle w:val="References"/>
      </w:pPr>
      <w:r>
        <w:t xml:space="preserve">——2019 </w:t>
      </w:r>
      <w:r w:rsidRPr="00F92E48">
        <w:t>Timeline of Australian VET policy initiatives 1998-2018</w:t>
      </w:r>
      <w:r>
        <w:t xml:space="preserve">, </w:t>
      </w:r>
      <w:hyperlink r:id="rId28" w:history="1">
        <w:r>
          <w:rPr>
            <w:rStyle w:val="Hyperlink"/>
            <w:rFonts w:eastAsiaTheme="majorEastAsia"/>
          </w:rPr>
          <w:t>https://www.voced.edu.au/vet-knowledge-bank-timeline-australian-vet-policy-initiatives</w:t>
        </w:r>
      </w:hyperlink>
      <w:r>
        <w:t>, viewed August 2019</w:t>
      </w:r>
    </w:p>
    <w:p w14:paraId="7ED65385" w14:textId="4C128354" w:rsidR="00F97AF3" w:rsidRPr="005B644A" w:rsidRDefault="00F97AF3" w:rsidP="00F97AF3">
      <w:pPr>
        <w:pStyle w:val="References"/>
      </w:pPr>
      <w:r w:rsidRPr="00431C54">
        <w:rPr>
          <w:noProof/>
        </w:rPr>
        <w:t xml:space="preserve">Nelms, L, Yuen, K, Pung, A, Farooqui, S, Walsh, J &amp; Karmel, T 2017, </w:t>
      </w:r>
      <w:r w:rsidR="00D2072F">
        <w:rPr>
          <w:noProof/>
        </w:rPr>
        <w:t>‘</w:t>
      </w:r>
      <w:r w:rsidRPr="002E0873">
        <w:rPr>
          <w:noProof/>
        </w:rPr>
        <w:t>Part I: Background and supply-side factors affecting commencement and completion of apprenticeships and traineeships</w:t>
      </w:r>
      <w:r w:rsidR="00D2072F">
        <w:rPr>
          <w:noProof/>
        </w:rPr>
        <w:t>’</w:t>
      </w:r>
      <w:r w:rsidRPr="002E0873">
        <w:rPr>
          <w:noProof/>
        </w:rPr>
        <w:t>, in</w:t>
      </w:r>
      <w:r w:rsidRPr="00431C54">
        <w:rPr>
          <w:i/>
          <w:iCs/>
          <w:noProof/>
        </w:rPr>
        <w:t xml:space="preserve"> Research </w:t>
      </w:r>
      <w:r w:rsidR="002E0873">
        <w:rPr>
          <w:i/>
          <w:iCs/>
          <w:noProof/>
        </w:rPr>
        <w:t>r</w:t>
      </w:r>
      <w:r w:rsidRPr="00431C54">
        <w:rPr>
          <w:i/>
          <w:iCs/>
          <w:noProof/>
        </w:rPr>
        <w:t>eport 3/2017, Factors affecting apprenticeships and traineeships</w:t>
      </w:r>
      <w:r w:rsidRPr="00431C54">
        <w:rPr>
          <w:noProof/>
        </w:rPr>
        <w:t>, Melbourne,</w:t>
      </w:r>
      <w:r w:rsidR="00582AC2">
        <w:rPr>
          <w:noProof/>
        </w:rPr>
        <w:t xml:space="preserve"> </w:t>
      </w:r>
      <w:r w:rsidRPr="00431C54">
        <w:rPr>
          <w:noProof/>
        </w:rPr>
        <w:t>&lt;https://www.fwc.gov.au/documents/sites/wagereview2017/research/apprenticetrainee.pdf&gt;.</w:t>
      </w:r>
    </w:p>
    <w:p w14:paraId="198BCEF6" w14:textId="5DF86B8E" w:rsidR="00F97AF3" w:rsidRPr="005B644A" w:rsidRDefault="00F97AF3" w:rsidP="00F97AF3">
      <w:pPr>
        <w:pStyle w:val="References"/>
      </w:pPr>
      <w:r w:rsidRPr="005B644A">
        <w:t xml:space="preserve">Office of the Fair Work Ombudsman 2017, </w:t>
      </w:r>
      <w:r w:rsidRPr="005B644A">
        <w:rPr>
          <w:i/>
          <w:iCs/>
        </w:rPr>
        <w:t>Fair trades: outcomes from the Fair Work Ombudsman</w:t>
      </w:r>
      <w:r w:rsidR="00D2072F">
        <w:rPr>
          <w:i/>
          <w:iCs/>
        </w:rPr>
        <w:t>’</w:t>
      </w:r>
      <w:r w:rsidRPr="005B644A">
        <w:rPr>
          <w:i/>
          <w:iCs/>
        </w:rPr>
        <w:t>s National Apprenticeship Campaign 2015,</w:t>
      </w:r>
      <w:r w:rsidRPr="005B644A">
        <w:t xml:space="preserve"> Office of the Fair Work Ombudsman, Sydney,</w:t>
      </w:r>
      <w:r w:rsidR="00582AC2">
        <w:t xml:space="preserve"> </w:t>
      </w:r>
      <w:r w:rsidRPr="005B644A">
        <w:t>&lt;http://asofia.com.au/wp-content/uploads/2017/04/National-Apprenticeship-Campaign-Report-March-2017.pdf&gt;.</w:t>
      </w:r>
    </w:p>
    <w:p w14:paraId="238F6BF1" w14:textId="08C6DCC4" w:rsidR="00F97AF3" w:rsidRPr="005B644A" w:rsidRDefault="00F97AF3" w:rsidP="00F97AF3">
      <w:pPr>
        <w:pStyle w:val="References"/>
      </w:pPr>
      <w:r w:rsidRPr="00431C54">
        <w:rPr>
          <w:noProof/>
        </w:rPr>
        <w:t xml:space="preserve">Pearce, D 2017, </w:t>
      </w:r>
      <w:r w:rsidRPr="00431C54">
        <w:rPr>
          <w:i/>
          <w:iCs/>
          <w:noProof/>
        </w:rPr>
        <w:t xml:space="preserve">Successful </w:t>
      </w:r>
      <w:r w:rsidR="002E0873" w:rsidRPr="00431C54">
        <w:rPr>
          <w:i/>
          <w:iCs/>
          <w:noProof/>
        </w:rPr>
        <w:t xml:space="preserve">apprenticeships: observations </w:t>
      </w:r>
      <w:r w:rsidRPr="00431C54">
        <w:rPr>
          <w:i/>
          <w:iCs/>
          <w:noProof/>
        </w:rPr>
        <w:t>from an Australian study,</w:t>
      </w:r>
      <w:r w:rsidRPr="00431C54">
        <w:rPr>
          <w:noProof/>
        </w:rPr>
        <w:t xml:space="preserve"> 2017, Washington, USA,</w:t>
      </w:r>
      <w:r w:rsidR="00582AC2">
        <w:rPr>
          <w:noProof/>
        </w:rPr>
        <w:t xml:space="preserve"> </w:t>
      </w:r>
      <w:r w:rsidRPr="00431C54">
        <w:rPr>
          <w:noProof/>
        </w:rPr>
        <w:t>&lt;http://www.inap.uni-bremen.de/dl/inap%20conference%20proceedings%202017.pdf#page=120&gt;.</w:t>
      </w:r>
    </w:p>
    <w:p w14:paraId="502CB559" w14:textId="0CCD17C1" w:rsidR="00F97AF3" w:rsidRPr="005B644A" w:rsidRDefault="00F97AF3" w:rsidP="00F97AF3">
      <w:pPr>
        <w:pStyle w:val="References"/>
      </w:pPr>
      <w:r w:rsidRPr="005B644A">
        <w:t xml:space="preserve">Pfeifer, H 2016, </w:t>
      </w:r>
      <w:r w:rsidRPr="005B644A">
        <w:rPr>
          <w:i/>
          <w:iCs/>
        </w:rPr>
        <w:t>Firms</w:t>
      </w:r>
      <w:r w:rsidR="00D2072F">
        <w:rPr>
          <w:i/>
          <w:iCs/>
        </w:rPr>
        <w:t>’</w:t>
      </w:r>
      <w:r w:rsidRPr="005B644A">
        <w:rPr>
          <w:i/>
          <w:iCs/>
        </w:rPr>
        <w:t xml:space="preserve"> motivation for training apprentices: an Australian-German comparison,</w:t>
      </w:r>
      <w:r w:rsidRPr="005B644A">
        <w:t xml:space="preserve"> NCVER, Adelaide, &lt;https://www.ncver.edu.au/publications/publications/all-publications/firms-motivation-for-training-apprentices-an-australian-german-comparison&gt;.</w:t>
      </w:r>
    </w:p>
    <w:p w14:paraId="129E909D" w14:textId="7669CFA3" w:rsidR="00F97AF3" w:rsidRDefault="00F97AF3" w:rsidP="00F97AF3">
      <w:pPr>
        <w:pStyle w:val="References"/>
      </w:pPr>
      <w:r>
        <w:t>Productivity Commission 201</w:t>
      </w:r>
      <w:r w:rsidR="00431C54">
        <w:t>9</w:t>
      </w:r>
      <w:r w:rsidR="002E0873">
        <w:t>,</w:t>
      </w:r>
      <w:r>
        <w:t xml:space="preserve"> </w:t>
      </w:r>
      <w:r w:rsidRPr="002E0873">
        <w:rPr>
          <w:i/>
          <w:iCs/>
        </w:rPr>
        <w:t xml:space="preserve">Report on </w:t>
      </w:r>
      <w:r w:rsidR="002E0873" w:rsidRPr="002E0873">
        <w:rPr>
          <w:i/>
          <w:iCs/>
        </w:rPr>
        <w:t>government services,</w:t>
      </w:r>
      <w:r w:rsidR="002E0873">
        <w:t xml:space="preserve"> </w:t>
      </w:r>
      <w:r>
        <w:t>201</w:t>
      </w:r>
      <w:r w:rsidR="00431C54">
        <w:t>9</w:t>
      </w:r>
      <w:r>
        <w:t xml:space="preserve">, </w:t>
      </w:r>
      <w:r w:rsidR="00AF1C4A">
        <w:t>&lt;http</w:t>
      </w:r>
      <w:r w:rsidRPr="00ED0C32">
        <w:t>s://www.pc.gov.au/research/ongoing/report-on-government-services/2018/child-care-education-and-training/vocational-education-and-training</w:t>
      </w:r>
      <w:r w:rsidR="002E0873">
        <w:t>&gt;.</w:t>
      </w:r>
    </w:p>
    <w:p w14:paraId="5F9D32C1" w14:textId="15D7629D" w:rsidR="00F97AF3" w:rsidRPr="005B644A" w:rsidRDefault="00F97AF3" w:rsidP="00F97AF3">
      <w:pPr>
        <w:pStyle w:val="References"/>
      </w:pPr>
      <w:r w:rsidRPr="005B644A">
        <w:t xml:space="preserve">Snell, D &amp; Hart, </w:t>
      </w:r>
      <w:r w:rsidRPr="00431C54">
        <w:rPr>
          <w:noProof/>
        </w:rPr>
        <w:t>A 2008</w:t>
      </w:r>
      <w:r w:rsidRPr="005B644A">
        <w:t xml:space="preserve">, </w:t>
      </w:r>
      <w:r w:rsidR="00D2072F">
        <w:t>‘</w:t>
      </w:r>
      <w:r w:rsidRPr="005B644A">
        <w:t xml:space="preserve">Reasons </w:t>
      </w:r>
      <w:r w:rsidR="003F5A51" w:rsidRPr="005B644A">
        <w:t>for non-completion and dissatisfaction among apprentices and trainees: a regional case study</w:t>
      </w:r>
      <w:r w:rsidR="00D2072F">
        <w:t>’</w:t>
      </w:r>
      <w:r w:rsidR="003F5A51">
        <w:t xml:space="preserve">, </w:t>
      </w:r>
      <w:r w:rsidRPr="005B644A">
        <w:rPr>
          <w:i/>
          <w:iCs/>
        </w:rPr>
        <w:t>International Journal of Training Research</w:t>
      </w:r>
      <w:r w:rsidRPr="005B644A">
        <w:t xml:space="preserve">, vol.6, no.1, </w:t>
      </w:r>
      <w:r w:rsidR="003F5A51">
        <w:t>pp.</w:t>
      </w:r>
      <w:r w:rsidRPr="005B644A">
        <w:t>44</w:t>
      </w:r>
      <w:r w:rsidR="003F5A51">
        <w:t>—</w:t>
      </w:r>
      <w:r w:rsidRPr="005B644A">
        <w:t>73,</w:t>
      </w:r>
      <w:r w:rsidR="00582AC2">
        <w:t xml:space="preserve"> </w:t>
      </w:r>
      <w:r w:rsidR="00AF1C4A">
        <w:t>&lt;http</w:t>
      </w:r>
      <w:r w:rsidRPr="005B644A">
        <w:t>s://doi.org/10.5172/ijtr.6.1.44&gt;.</w:t>
      </w:r>
    </w:p>
    <w:p w14:paraId="0A65B99B" w14:textId="18D1D48F" w:rsidR="003927EF" w:rsidRDefault="003927EF" w:rsidP="00F97AF3">
      <w:pPr>
        <w:pStyle w:val="References"/>
      </w:pPr>
      <w:r w:rsidRPr="003927EF">
        <w:t>Stromback, T &amp; Mahendran, A 2010, 'An analysis of factors contributing to apprenticeship and traineeship completion' International Journal of Training Research, vol.8, no.1, 63-79, https://doi.org/10.5172/ijtr.8.1.63&gt;.</w:t>
      </w:r>
    </w:p>
    <w:p w14:paraId="0393C00E" w14:textId="53D160E3" w:rsidR="00F97AF3" w:rsidRPr="005B644A" w:rsidRDefault="00F97AF3" w:rsidP="00F97AF3">
      <w:pPr>
        <w:pStyle w:val="References"/>
      </w:pPr>
      <w:r w:rsidRPr="005B644A">
        <w:t>Workman, G &amp; Luciani, D 2017,</w:t>
      </w:r>
      <w:r w:rsidR="00D2072F">
        <w:t>’</w:t>
      </w:r>
      <w:r w:rsidRPr="005B644A">
        <w:t xml:space="preserve">Australian </w:t>
      </w:r>
      <w:r w:rsidR="003F5A51">
        <w:t>m</w:t>
      </w:r>
      <w:r w:rsidRPr="005B644A">
        <w:t>ulti-industry pilot programs support better apprenticeship completion rates and employer engagement</w:t>
      </w:r>
      <w:r w:rsidR="00D2072F">
        <w:t>’</w:t>
      </w:r>
      <w:r w:rsidRPr="005B644A">
        <w:t xml:space="preserve">, </w:t>
      </w:r>
      <w:r w:rsidRPr="00A05547">
        <w:rPr>
          <w:szCs w:val="18"/>
        </w:rPr>
        <w:t xml:space="preserve">paper presented at </w:t>
      </w:r>
      <w:r w:rsidR="00A05547" w:rsidRPr="00A05547">
        <w:rPr>
          <w:rFonts w:asciiTheme="minorHAnsi" w:hAnsiTheme="minorHAnsi" w:cs="Arial"/>
          <w:i/>
          <w:iCs/>
          <w:szCs w:val="18"/>
        </w:rPr>
        <w:t>Modern apprenticeships: widening their scope, sustaining their quality</w:t>
      </w:r>
      <w:r w:rsidR="00A05547">
        <w:rPr>
          <w:rFonts w:asciiTheme="minorHAnsi" w:hAnsiTheme="minorHAnsi" w:cs="Arial"/>
          <w:szCs w:val="18"/>
        </w:rPr>
        <w:t xml:space="preserve">, </w:t>
      </w:r>
      <w:r w:rsidR="00A05547" w:rsidRPr="00A05547">
        <w:rPr>
          <w:rFonts w:asciiTheme="minorHAnsi" w:hAnsiTheme="minorHAnsi" w:cs="Arial"/>
          <w:szCs w:val="18"/>
        </w:rPr>
        <w:t>Proceedings of the Seventh Research Conference of the International Network for Innovative Apprenticeshi</w:t>
      </w:r>
      <w:r w:rsidR="00A05547">
        <w:rPr>
          <w:rFonts w:asciiTheme="minorHAnsi" w:hAnsiTheme="minorHAnsi" w:cs="Arial"/>
          <w:szCs w:val="18"/>
        </w:rPr>
        <w:t>ps,</w:t>
      </w:r>
      <w:r w:rsidRPr="00A05547">
        <w:rPr>
          <w:szCs w:val="18"/>
        </w:rPr>
        <w:t xml:space="preserve"> &lt;http://www.inap.unibremen.de/dl/inap%20conference%20proceedings%202017.</w:t>
      </w:r>
      <w:r w:rsidRPr="005B644A">
        <w:t>pdf&gt;.</w:t>
      </w:r>
    </w:p>
    <w:p w14:paraId="478BEAF7" w14:textId="12B7633D" w:rsidR="00F97AF3" w:rsidRPr="005B644A" w:rsidRDefault="00F97AF3" w:rsidP="00F97AF3">
      <w:pPr>
        <w:pStyle w:val="References"/>
      </w:pPr>
      <w:r w:rsidRPr="005B644A">
        <w:t>Zoellner, D 2017,</w:t>
      </w:r>
      <w:r w:rsidR="00D2072F">
        <w:t>’</w:t>
      </w:r>
      <w:r w:rsidRPr="005B644A">
        <w:t>Asking different questions of national VET data: identifying a new factor contributing to apprenticeship non-completions</w:t>
      </w:r>
      <w:r w:rsidR="00D2072F">
        <w:t>’</w:t>
      </w:r>
      <w:r w:rsidRPr="005B644A">
        <w:t xml:space="preserve">, paper presented at the </w:t>
      </w:r>
      <w:r w:rsidRPr="005B644A">
        <w:rPr>
          <w:i/>
          <w:iCs/>
        </w:rPr>
        <w:t>JVET 2017: Journal of Vocational Education and Training 12th International Conference</w:t>
      </w:r>
      <w:r w:rsidRPr="005B644A">
        <w:t>,</w:t>
      </w:r>
      <w:r w:rsidR="00582AC2">
        <w:t xml:space="preserve"> </w:t>
      </w:r>
      <w:r w:rsidR="00AF1C4A">
        <w:t>&lt;http</w:t>
      </w:r>
      <w:r w:rsidRPr="005D4699">
        <w:t>://hdl.voced.edu.au/10707/446034</w:t>
      </w:r>
      <w:r w:rsidR="00A05547">
        <w:t>&gt;</w:t>
      </w:r>
      <w:r w:rsidRPr="005D4699">
        <w:t>.</w:t>
      </w:r>
    </w:p>
    <w:p w14:paraId="5DC1DA79" w14:textId="29968408" w:rsidR="00F97AF3" w:rsidRPr="005B644A" w:rsidRDefault="00F97AF3" w:rsidP="00F97AF3">
      <w:pPr>
        <w:pStyle w:val="References"/>
      </w:pPr>
      <w:r w:rsidRPr="005B644A">
        <w:t xml:space="preserve">Zoellner, D, Brearley, M &amp; Oppermann, E 2017, </w:t>
      </w:r>
      <w:r w:rsidR="00D2072F">
        <w:t>‘</w:t>
      </w:r>
      <w:r w:rsidRPr="005B644A">
        <w:t>Regional disparities in apprentice attrition rates: heat and quarter four</w:t>
      </w:r>
      <w:r w:rsidR="00D2072F">
        <w:t>’</w:t>
      </w:r>
      <w:r w:rsidRPr="005B644A">
        <w:t>s significance in northern Australia</w:t>
      </w:r>
      <w:r w:rsidR="00D2072F">
        <w:t>’</w:t>
      </w:r>
      <w:r w:rsidR="00A05547">
        <w:t>,</w:t>
      </w:r>
      <w:r w:rsidRPr="005B644A">
        <w:t xml:space="preserve"> </w:t>
      </w:r>
      <w:r w:rsidRPr="005B644A">
        <w:rPr>
          <w:i/>
          <w:iCs/>
        </w:rPr>
        <w:t>International Journal of Training Research</w:t>
      </w:r>
      <w:r w:rsidRPr="005B644A">
        <w:t xml:space="preserve">, vol.15, no.2, </w:t>
      </w:r>
      <w:r w:rsidR="00A05547">
        <w:t>pp.</w:t>
      </w:r>
      <w:r w:rsidRPr="005B644A">
        <w:t>179</w:t>
      </w:r>
      <w:r w:rsidR="00A05547">
        <w:t>—</w:t>
      </w:r>
      <w:r w:rsidRPr="005B644A">
        <w:t xml:space="preserve">95, </w:t>
      </w:r>
      <w:r w:rsidR="00AF1C4A">
        <w:t>&lt;http</w:t>
      </w:r>
      <w:r w:rsidRPr="005B644A">
        <w:t>s://doi.org/10.1080/14480220.2017.1312694&gt;.</w:t>
      </w:r>
    </w:p>
    <w:p w14:paraId="70E73E81" w14:textId="77777777" w:rsidR="00F97AF3" w:rsidRDefault="00F97AF3" w:rsidP="00F97AF3">
      <w:pPr>
        <w:pStyle w:val="References"/>
      </w:pPr>
      <w:r>
        <w:br w:type="page"/>
      </w:r>
    </w:p>
    <w:p w14:paraId="7255BFF0" w14:textId="680B5168" w:rsidR="00F97AF3" w:rsidRDefault="00F97AF3" w:rsidP="00A05547">
      <w:pPr>
        <w:pStyle w:val="Heading1"/>
      </w:pPr>
      <w:bookmarkStart w:id="56" w:name="_Toc17104056"/>
      <w:bookmarkStart w:id="57" w:name="_Toc15287587"/>
      <w:bookmarkEnd w:id="15"/>
      <w:bookmarkEnd w:id="16"/>
      <w:bookmarkEnd w:id="17"/>
      <w:bookmarkEnd w:id="18"/>
      <w:r>
        <w:lastRenderedPageBreak/>
        <w:t>Appendix</w:t>
      </w:r>
      <w:bookmarkEnd w:id="56"/>
      <w:r>
        <w:t xml:space="preserve"> </w:t>
      </w:r>
      <w:bookmarkEnd w:id="57"/>
    </w:p>
    <w:p w14:paraId="5EB15BBD" w14:textId="5DA018A2" w:rsidR="00F97AF3" w:rsidRPr="00D3219D" w:rsidRDefault="00F97AF3" w:rsidP="00D3219D">
      <w:pPr>
        <w:pStyle w:val="Heading2"/>
      </w:pPr>
      <w:bookmarkStart w:id="58" w:name="_Toc15287588"/>
      <w:bookmarkStart w:id="59" w:name="_Toc17104057"/>
      <w:r w:rsidRPr="00D3219D">
        <w:t xml:space="preserve">Timing of Commonwealth and </w:t>
      </w:r>
      <w:r w:rsidR="00A05547" w:rsidRPr="00D3219D">
        <w:t>state policies, programs and events with apprenticeship</w:t>
      </w:r>
      <w:r w:rsidR="00836235">
        <w:t>/traineeship</w:t>
      </w:r>
      <w:r w:rsidR="00A05547" w:rsidRPr="00D3219D">
        <w:t xml:space="preserve"> commencements, cancellations and completions by state, </w:t>
      </w:r>
      <w:r w:rsidRPr="00D3219D">
        <w:t>20</w:t>
      </w:r>
      <w:r w:rsidR="00DF4B83">
        <w:t>07</w:t>
      </w:r>
      <w:r w:rsidR="00A05547">
        <w:t>–</w:t>
      </w:r>
      <w:r w:rsidRPr="00D3219D">
        <w:t>17</w:t>
      </w:r>
      <w:bookmarkEnd w:id="58"/>
      <w:bookmarkEnd w:id="59"/>
    </w:p>
    <w:p w14:paraId="6BAF323F" w14:textId="2E611736" w:rsidR="003B0620" w:rsidRPr="003B0620" w:rsidRDefault="003B0620" w:rsidP="003B0620">
      <w:r>
        <w:t>Note that completion rates for 2013</w:t>
      </w:r>
      <w:r w:rsidR="00A05547">
        <w:t>—</w:t>
      </w:r>
      <w:r>
        <w:t>17 are projected rates, not actual rates. See Harvey (2010) for details on estimation methods for completion rates.</w:t>
      </w:r>
    </w:p>
    <w:p w14:paraId="4ECDE0EC" w14:textId="01A59BDE" w:rsidR="00B4229B" w:rsidRDefault="0075091B" w:rsidP="00857C64">
      <w:pPr>
        <w:spacing w:before="0" w:line="240" w:lineRule="auto"/>
      </w:pPr>
      <w:r>
        <w:rPr>
          <w:noProof/>
          <w:lang w:eastAsia="en-AU"/>
        </w:rPr>
        <mc:AlternateContent>
          <mc:Choice Requires="wps">
            <w:drawing>
              <wp:anchor distT="0" distB="0" distL="114300" distR="114300" simplePos="0" relativeHeight="251673600" behindDoc="0" locked="0" layoutInCell="1" allowOverlap="1" wp14:anchorId="4542CC59" wp14:editId="30D605B7">
                <wp:simplePos x="0" y="0"/>
                <wp:positionH relativeFrom="column">
                  <wp:posOffset>2458085</wp:posOffset>
                </wp:positionH>
                <wp:positionV relativeFrom="paragraph">
                  <wp:posOffset>3891280</wp:posOffset>
                </wp:positionV>
                <wp:extent cx="6520180" cy="392430"/>
                <wp:effectExtent l="0" t="0" r="4445" b="0"/>
                <wp:wrapTopAndBottom/>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20180" cy="392430"/>
                        </a:xfrm>
                        <a:prstGeom prst="rect">
                          <a:avLst/>
                        </a:prstGeom>
                        <a:noFill/>
                        <a:ln w="9525">
                          <a:noFill/>
                          <a:miter lim="800000"/>
                          <a:headEnd/>
                          <a:tailEnd/>
                        </a:ln>
                      </wps:spPr>
                      <wps:txbx>
                        <w:txbxContent>
                          <w:p w14:paraId="4A2EB572"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CF4FD0D" w14:textId="08F2157B" w:rsidR="00DF4B83" w:rsidRPr="00AF24CC" w:rsidRDefault="00DF4B83" w:rsidP="00F97AF3">
                            <w:pPr>
                              <w:pStyle w:val="Text"/>
                              <w:spacing w:before="40"/>
                              <w:ind w:right="0"/>
                              <w:rPr>
                                <w:sz w:val="18"/>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542CC59" id="_x0000_s1030" type="#_x0000_t202" style="position:absolute;margin-left:193.55pt;margin-top:306.4pt;width:513.4pt;height:30.9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" filled="f" stroked="f">
                <v:textbox style="mso-fit-shape-to-text:t">
                  <w:txbxContent>
                    <w:p w14:paraId="4A2EB572"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CF4FD0D" w14:textId="08F2157B" w:rsidR="00DF4B83" w:rsidRPr="00AF24CC" w:rsidRDefault="00DF4B83" w:rsidP="00F97AF3">
                      <w:pPr>
                        <w:pStyle w:val="Text"/>
                        <w:spacing w:before="40"/>
                        <w:ind w:right="0"/>
                        <w:rPr>
                          <w:sz w:val="18"/>
                        </w:rPr>
                      </w:pPr>
                    </w:p>
                  </w:txbxContent>
                </v:textbox>
                <w10:wrap type="topAndBottom"/>
              </v:shape>
            </w:pict>
          </mc:Fallback>
        </mc:AlternateContent>
      </w:r>
      <w:r>
        <w:rPr>
          <w:noProof/>
        </w:rPr>
        <w:drawing>
          <wp:anchor distT="0" distB="0" distL="114300" distR="114300" simplePos="0" relativeHeight="251753472" behindDoc="0" locked="0" layoutInCell="1" allowOverlap="1" wp14:anchorId="63D289FA" wp14:editId="7846A3FF">
            <wp:simplePos x="0" y="0"/>
            <wp:positionH relativeFrom="column">
              <wp:posOffset>-514350</wp:posOffset>
            </wp:positionH>
            <wp:positionV relativeFrom="paragraph">
              <wp:posOffset>1555750</wp:posOffset>
            </wp:positionV>
            <wp:extent cx="7078345" cy="4629150"/>
            <wp:effectExtent l="5398"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078345" cy="4629150"/>
                    </a:xfrm>
                    <a:prstGeom prst="rect">
                      <a:avLst/>
                    </a:prstGeom>
                    <a:noFill/>
                  </pic:spPr>
                </pic:pic>
              </a:graphicData>
            </a:graphic>
            <wp14:sizeRelH relativeFrom="margin">
              <wp14:pctWidth>0</wp14:pctWidth>
            </wp14:sizeRelH>
            <wp14:sizeRelV relativeFrom="margin">
              <wp14:pctHeight>0</wp14:pctHeight>
            </wp14:sizeRelV>
          </wp:anchor>
        </w:drawing>
      </w:r>
      <w:r w:rsidR="00655D30">
        <w:rPr>
          <w:noProof/>
          <w:lang w:eastAsia="en-AU"/>
        </w:rPr>
        <mc:AlternateContent>
          <mc:Choice Requires="wps">
            <w:drawing>
              <wp:anchor distT="0" distB="0" distL="114300" distR="114300" simplePos="0" relativeHeight="251734527" behindDoc="0" locked="0" layoutInCell="1" allowOverlap="1" wp14:anchorId="6ACF982B" wp14:editId="6F2FF666">
                <wp:simplePos x="0" y="0"/>
                <wp:positionH relativeFrom="column">
                  <wp:posOffset>-3439795</wp:posOffset>
                </wp:positionH>
                <wp:positionV relativeFrom="paragraph">
                  <wp:posOffset>3604260</wp:posOffset>
                </wp:positionV>
                <wp:extent cx="7053580" cy="392430"/>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53580" cy="392430"/>
                        </a:xfrm>
                        <a:prstGeom prst="rect">
                          <a:avLst/>
                        </a:prstGeom>
                        <a:noFill/>
                        <a:ln w="9525">
                          <a:noFill/>
                          <a:miter lim="800000"/>
                          <a:headEnd/>
                          <a:tailEnd/>
                        </a:ln>
                      </wps:spPr>
                      <wps:txbx>
                        <w:txbxContent>
                          <w:p w14:paraId="6F1F9AD3" w14:textId="0DB0FA9C" w:rsidR="00DF4B83" w:rsidRPr="00F52630" w:rsidRDefault="00DF4B83" w:rsidP="00F52630">
                            <w:pPr>
                              <w:pStyle w:val="Figuretitle"/>
                              <w:rPr>
                                <w:sz w:val="19"/>
                              </w:rPr>
                            </w:pPr>
                            <w:bookmarkStart w:id="60" w:name="_Toc15304997"/>
                            <w:r>
                              <w:t>Figure A1</w:t>
                            </w:r>
                            <w:r>
                              <w:tab/>
                              <w:t xml:space="preserve"> Number of commencements, cancellations and completions and timing of policy changes, New South Wales, 2007—17</w:t>
                            </w:r>
                            <w:bookmarkEnd w:id="6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CF982B" id="_x0000_s1031" type="#_x0000_t202" style="position:absolute;margin-left:-270.85pt;margin-top:283.8pt;width:555.4pt;height:30.9pt;rotation:-90;z-index:25173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" filled="f" stroked="f">
                <v:textbox style="mso-fit-shape-to-text:t">
                  <w:txbxContent>
                    <w:p w14:paraId="6F1F9AD3" w14:textId="0DB0FA9C" w:rsidR="00DF4B83" w:rsidRPr="00F52630" w:rsidRDefault="00DF4B83" w:rsidP="00F52630">
                      <w:pPr>
                        <w:pStyle w:val="Figuretitle"/>
                        <w:rPr>
                          <w:sz w:val="19"/>
                        </w:rPr>
                      </w:pPr>
                      <w:bookmarkStart w:id="61" w:name="_Toc15304997"/>
                      <w:r>
                        <w:t>Figure A1</w:t>
                      </w:r>
                      <w:r>
                        <w:tab/>
                        <w:t xml:space="preserve"> Number of commencements, cancellations and completions and timing of policy changes, New South Wales, 2007—17</w:t>
                      </w:r>
                      <w:bookmarkEnd w:id="61"/>
                    </w:p>
                  </w:txbxContent>
                </v:textbox>
                <w10:wrap type="topAndBottom"/>
              </v:shape>
            </w:pict>
          </mc:Fallback>
        </mc:AlternateContent>
      </w:r>
      <w:r w:rsidR="00B4229B">
        <w:br w:type="page"/>
      </w:r>
    </w:p>
    <w:p w14:paraId="51905C61" w14:textId="76029593" w:rsidR="00F97AF3" w:rsidRDefault="00067FB3" w:rsidP="00F97AF3">
      <w:pPr>
        <w:spacing w:before="0" w:line="240" w:lineRule="auto"/>
      </w:pPr>
      <w:r>
        <w:rPr>
          <w:noProof/>
        </w:rPr>
        <w:lastRenderedPageBreak/>
        <w:drawing>
          <wp:anchor distT="0" distB="0" distL="114300" distR="114300" simplePos="0" relativeHeight="251752448" behindDoc="0" locked="0" layoutInCell="1" allowOverlap="1" wp14:anchorId="644000ED" wp14:editId="042FBF78">
            <wp:simplePos x="0" y="0"/>
            <wp:positionH relativeFrom="margin">
              <wp:align>center</wp:align>
            </wp:positionH>
            <wp:positionV relativeFrom="paragraph">
              <wp:posOffset>0</wp:posOffset>
            </wp:positionV>
            <wp:extent cx="4629600" cy="7080165"/>
            <wp:effectExtent l="0" t="0" r="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600" cy="7080165"/>
                    </a:xfrm>
                    <a:prstGeom prst="rect">
                      <a:avLst/>
                    </a:prstGeom>
                    <a:noFill/>
                  </pic:spPr>
                </pic:pic>
              </a:graphicData>
            </a:graphic>
            <wp14:sizeRelH relativeFrom="margin">
              <wp14:pctWidth>0</wp14:pctWidth>
            </wp14:sizeRelH>
            <wp14:sizeRelV relativeFrom="margin">
              <wp14:pctHeight>0</wp14:pctHeight>
            </wp14:sizeRelV>
          </wp:anchor>
        </w:drawing>
      </w:r>
      <w:r w:rsidR="001216FC">
        <w:rPr>
          <w:noProof/>
          <w:lang w:eastAsia="en-AU"/>
        </w:rPr>
        <mc:AlternateContent>
          <mc:Choice Requires="wps">
            <w:drawing>
              <wp:anchor distT="0" distB="0" distL="114300" distR="114300" simplePos="0" relativeHeight="251729920" behindDoc="0" locked="0" layoutInCell="1" allowOverlap="1" wp14:anchorId="4D5494AC" wp14:editId="7555EFC5">
                <wp:simplePos x="0" y="0"/>
                <wp:positionH relativeFrom="column">
                  <wp:posOffset>2534920</wp:posOffset>
                </wp:positionH>
                <wp:positionV relativeFrom="paragraph">
                  <wp:posOffset>3665220</wp:posOffset>
                </wp:positionV>
                <wp:extent cx="6360795" cy="392430"/>
                <wp:effectExtent l="0" t="0" r="0" b="0"/>
                <wp:wrapTopAndBottom/>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60795" cy="392430"/>
                        </a:xfrm>
                        <a:prstGeom prst="rect">
                          <a:avLst/>
                        </a:prstGeom>
                        <a:noFill/>
                        <a:ln w="9525">
                          <a:noFill/>
                          <a:miter lim="800000"/>
                          <a:headEnd/>
                          <a:tailEnd/>
                        </a:ln>
                      </wps:spPr>
                      <wps:txbx>
                        <w:txbxContent>
                          <w:p w14:paraId="2C1F99D5"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DCF0DF9" w14:textId="33FDD6A0" w:rsidR="00DF4B83" w:rsidRPr="00AF24CC" w:rsidRDefault="00DF4B83" w:rsidP="00B87F84">
                            <w:pPr>
                              <w:pStyle w:val="Text"/>
                              <w:spacing w:before="40"/>
                              <w:ind w:right="0"/>
                              <w:rPr>
                                <w:sz w:val="18"/>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D5494AC" id="_x0000_s1032" type="#_x0000_t202" style="position:absolute;margin-left:199.6pt;margin-top:288.6pt;width:500.85pt;height:30.9pt;rotation:-9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" filled="f" stroked="f">
                <v:textbox style="mso-fit-shape-to-text:t">
                  <w:txbxContent>
                    <w:p w14:paraId="2C1F99D5"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DCF0DF9" w14:textId="33FDD6A0" w:rsidR="00DF4B83" w:rsidRPr="00AF24CC" w:rsidRDefault="00DF4B83" w:rsidP="00B87F84">
                      <w:pPr>
                        <w:pStyle w:val="Text"/>
                        <w:spacing w:before="40"/>
                        <w:ind w:right="0"/>
                        <w:rPr>
                          <w:sz w:val="18"/>
                        </w:rPr>
                      </w:pPr>
                    </w:p>
                  </w:txbxContent>
                </v:textbox>
                <w10:wrap type="topAndBottom"/>
              </v:shape>
            </w:pict>
          </mc:Fallback>
        </mc:AlternateContent>
      </w:r>
      <w:r w:rsidR="00FC5875" w:rsidRPr="00047B34">
        <w:rPr>
          <w:noProof/>
          <w:lang w:eastAsia="en-AU"/>
        </w:rPr>
        <mc:AlternateContent>
          <mc:Choice Requires="wps">
            <w:drawing>
              <wp:anchor distT="0" distB="0" distL="114300" distR="114300" simplePos="0" relativeHeight="251692032" behindDoc="0" locked="0" layoutInCell="1" allowOverlap="1" wp14:anchorId="7EE385F9" wp14:editId="736E7B5B">
                <wp:simplePos x="0" y="0"/>
                <wp:positionH relativeFrom="column">
                  <wp:posOffset>-3528060</wp:posOffset>
                </wp:positionH>
                <wp:positionV relativeFrom="paragraph">
                  <wp:posOffset>3310255</wp:posOffset>
                </wp:positionV>
                <wp:extent cx="7012940" cy="392430"/>
                <wp:effectExtent l="0" t="0" r="0" b="0"/>
                <wp:wrapTopAndBottom/>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12940" cy="392430"/>
                        </a:xfrm>
                        <a:prstGeom prst="rect">
                          <a:avLst/>
                        </a:prstGeom>
                        <a:noFill/>
                        <a:ln w="9525">
                          <a:noFill/>
                          <a:miter lim="800000"/>
                          <a:headEnd/>
                          <a:tailEnd/>
                        </a:ln>
                      </wps:spPr>
                      <wps:txbx>
                        <w:txbxContent>
                          <w:p w14:paraId="1F97DDC0" w14:textId="75E9512C" w:rsidR="00DF4B83" w:rsidRPr="00F52630" w:rsidRDefault="00DF4B83" w:rsidP="00B3500C">
                            <w:pPr>
                              <w:pStyle w:val="Figuretitle"/>
                              <w:rPr>
                                <w:sz w:val="19"/>
                              </w:rPr>
                            </w:pPr>
                            <w:bookmarkStart w:id="62" w:name="_Toc15304998"/>
                            <w:r>
                              <w:t>Figure A2</w:t>
                            </w:r>
                            <w:r>
                              <w:tab/>
                              <w:t xml:space="preserve"> Number of commencements, cancellations and completions and timing of policy changes, Victoria, 2007—17</w:t>
                            </w:r>
                            <w:bookmarkEnd w:id="62"/>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EE385F9" id="_x0000_s1033" type="#_x0000_t202" style="position:absolute;margin-left:-277.8pt;margin-top:260.65pt;width:552.2pt;height:30.9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" filled="f" stroked="f">
                <v:textbox style="mso-fit-shape-to-text:t">
                  <w:txbxContent>
                    <w:p w14:paraId="1F97DDC0" w14:textId="75E9512C" w:rsidR="00DF4B83" w:rsidRPr="00F52630" w:rsidRDefault="00DF4B83" w:rsidP="00B3500C">
                      <w:pPr>
                        <w:pStyle w:val="Figuretitle"/>
                        <w:rPr>
                          <w:sz w:val="19"/>
                        </w:rPr>
                      </w:pPr>
                      <w:bookmarkStart w:id="63" w:name="_Toc15304998"/>
                      <w:r>
                        <w:t>Figure A2</w:t>
                      </w:r>
                      <w:r>
                        <w:tab/>
                        <w:t xml:space="preserve"> Number of commencements, cancellations and completions and timing of policy changes, Victoria, 2007—17</w:t>
                      </w:r>
                      <w:bookmarkEnd w:id="63"/>
                    </w:p>
                  </w:txbxContent>
                </v:textbox>
                <w10:wrap type="topAndBottom"/>
              </v:shape>
            </w:pict>
          </mc:Fallback>
        </mc:AlternateContent>
      </w:r>
    </w:p>
    <w:p w14:paraId="2A34D29A" w14:textId="190FA0BB" w:rsidR="00F97AF3" w:rsidRDefault="00860271" w:rsidP="00F97AF3">
      <w:pPr>
        <w:spacing w:before="0" w:line="240" w:lineRule="auto"/>
      </w:pPr>
      <w:r>
        <w:rPr>
          <w:noProof/>
        </w:rPr>
        <w:lastRenderedPageBreak/>
        <w:drawing>
          <wp:anchor distT="0" distB="0" distL="114300" distR="114300" simplePos="0" relativeHeight="251732992" behindDoc="0" locked="0" layoutInCell="1" allowOverlap="1" wp14:anchorId="2200B6AB" wp14:editId="1D9F5F17">
            <wp:simplePos x="0" y="0"/>
            <wp:positionH relativeFrom="column">
              <wp:posOffset>537845</wp:posOffset>
            </wp:positionH>
            <wp:positionV relativeFrom="paragraph">
              <wp:posOffset>593838</wp:posOffset>
            </wp:positionV>
            <wp:extent cx="4629150" cy="6381750"/>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9150" cy="6381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5648" behindDoc="0" locked="0" layoutInCell="1" allowOverlap="1" wp14:anchorId="23F7BA26" wp14:editId="09550716">
                <wp:simplePos x="0" y="0"/>
                <wp:positionH relativeFrom="column">
                  <wp:posOffset>2265680</wp:posOffset>
                </wp:positionH>
                <wp:positionV relativeFrom="paragraph">
                  <wp:posOffset>3701415</wp:posOffset>
                </wp:positionV>
                <wp:extent cx="6438265" cy="392430"/>
                <wp:effectExtent l="0" t="0" r="0" b="0"/>
                <wp:wrapTopAndBottom/>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38265" cy="392430"/>
                        </a:xfrm>
                        <a:prstGeom prst="rect">
                          <a:avLst/>
                        </a:prstGeom>
                        <a:noFill/>
                        <a:ln w="9525">
                          <a:noFill/>
                          <a:miter lim="800000"/>
                          <a:headEnd/>
                          <a:tailEnd/>
                        </a:ln>
                      </wps:spPr>
                      <wps:txbx>
                        <w:txbxContent>
                          <w:p w14:paraId="2593D923"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FB909AF" w14:textId="70F296E6" w:rsidR="00DF4B83" w:rsidRPr="00AF24CC" w:rsidRDefault="00DF4B83" w:rsidP="00F97AF3">
                            <w:pPr>
                              <w:pStyle w:val="Text"/>
                              <w:spacing w:before="40"/>
                              <w:ind w:right="0"/>
                              <w:rPr>
                                <w:sz w:val="18"/>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7BA26" id="_x0000_s1034" type="#_x0000_t202" style="position:absolute;margin-left:178.4pt;margin-top:291.45pt;width:506.95pt;height:30.9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" filled="f" stroked="f">
                <v:textbox style="mso-fit-shape-to-text:t">
                  <w:txbxContent>
                    <w:p w14:paraId="2593D923"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7FB909AF" w14:textId="70F296E6" w:rsidR="00DF4B83" w:rsidRPr="00AF24CC" w:rsidRDefault="00DF4B83" w:rsidP="00F97AF3">
                      <w:pPr>
                        <w:pStyle w:val="Text"/>
                        <w:spacing w:before="40"/>
                        <w:ind w:right="0"/>
                        <w:rPr>
                          <w:sz w:val="18"/>
                        </w:rPr>
                      </w:pPr>
                    </w:p>
                  </w:txbxContent>
                </v:textbox>
                <w10:wrap type="topAndBottom"/>
              </v:shape>
            </w:pict>
          </mc:Fallback>
        </mc:AlternateContent>
      </w:r>
      <w:r w:rsidRPr="00047B34">
        <w:rPr>
          <w:noProof/>
          <w:lang w:eastAsia="en-AU"/>
        </w:rPr>
        <mc:AlternateContent>
          <mc:Choice Requires="wps">
            <w:drawing>
              <wp:anchor distT="0" distB="0" distL="114300" distR="114300" simplePos="0" relativeHeight="251698176" behindDoc="0" locked="0" layoutInCell="1" allowOverlap="1" wp14:anchorId="44F239D9" wp14:editId="3CB0C0CB">
                <wp:simplePos x="0" y="0"/>
                <wp:positionH relativeFrom="column">
                  <wp:posOffset>-3387725</wp:posOffset>
                </wp:positionH>
                <wp:positionV relativeFrom="paragraph">
                  <wp:posOffset>3363595</wp:posOffset>
                </wp:positionV>
                <wp:extent cx="7118985" cy="392430"/>
                <wp:effectExtent l="4127" t="0" r="0" b="0"/>
                <wp:wrapTopAndBottom/>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18985" cy="392430"/>
                        </a:xfrm>
                        <a:prstGeom prst="rect">
                          <a:avLst/>
                        </a:prstGeom>
                        <a:noFill/>
                        <a:ln w="9525">
                          <a:noFill/>
                          <a:miter lim="800000"/>
                          <a:headEnd/>
                          <a:tailEnd/>
                        </a:ln>
                      </wps:spPr>
                      <wps:txbx>
                        <w:txbxContent>
                          <w:p w14:paraId="0D0D61C6" w14:textId="1123E408" w:rsidR="00DF4B83" w:rsidRPr="00F52630" w:rsidRDefault="00DF4B83" w:rsidP="00D043A0">
                            <w:pPr>
                              <w:pStyle w:val="Figuretitle"/>
                              <w:rPr>
                                <w:sz w:val="19"/>
                              </w:rPr>
                            </w:pPr>
                            <w:bookmarkStart w:id="64" w:name="_Toc15304999"/>
                            <w:r>
                              <w:t>Figure A3    Number of commencements, cancellations and completions and timing of policy changes, Queensland, 2007—17</w:t>
                            </w:r>
                            <w:bookmarkEnd w:id="64"/>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4F239D9" id="_x0000_s1035" type="#_x0000_t202" style="position:absolute;margin-left:-266.75pt;margin-top:264.85pt;width:560.55pt;height:30.9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" filled="f" stroked="f">
                <v:textbox style="mso-fit-shape-to-text:t">
                  <w:txbxContent>
                    <w:p w14:paraId="0D0D61C6" w14:textId="1123E408" w:rsidR="00DF4B83" w:rsidRPr="00F52630" w:rsidRDefault="00DF4B83" w:rsidP="00D043A0">
                      <w:pPr>
                        <w:pStyle w:val="Figuretitle"/>
                        <w:rPr>
                          <w:sz w:val="19"/>
                        </w:rPr>
                      </w:pPr>
                      <w:bookmarkStart w:id="65" w:name="_Toc15304999"/>
                      <w:r>
                        <w:t>Figure A3    Number of commencements, cancellations and completions and timing of policy changes, Queensland, 2007—17</w:t>
                      </w:r>
                      <w:bookmarkEnd w:id="65"/>
                    </w:p>
                  </w:txbxContent>
                </v:textbox>
                <w10:wrap type="topAndBottom"/>
              </v:shape>
            </w:pict>
          </mc:Fallback>
        </mc:AlternateContent>
      </w:r>
    </w:p>
    <w:p w14:paraId="47801DDC" w14:textId="52D3DA6E" w:rsidR="00F97AF3" w:rsidRDefault="001216FC" w:rsidP="00860C65">
      <w:pPr>
        <w:pStyle w:val="Figuretitle"/>
      </w:pPr>
      <w:bookmarkStart w:id="66" w:name="_Toc15287901"/>
      <w:bookmarkStart w:id="67" w:name="_Toc15305000"/>
      <w:r>
        <w:rPr>
          <w:noProof/>
          <w:lang w:eastAsia="en-AU"/>
        </w:rPr>
        <w:lastRenderedPageBreak/>
        <mc:AlternateContent>
          <mc:Choice Requires="wps">
            <w:drawing>
              <wp:anchor distT="0" distB="0" distL="114300" distR="114300" simplePos="0" relativeHeight="251666432" behindDoc="0" locked="0" layoutInCell="1" allowOverlap="1" wp14:anchorId="67007C4D" wp14:editId="646AD176">
                <wp:simplePos x="0" y="0"/>
                <wp:positionH relativeFrom="rightMargin">
                  <wp:posOffset>-3171425</wp:posOffset>
                </wp:positionH>
                <wp:positionV relativeFrom="paragraph">
                  <wp:posOffset>3489753</wp:posOffset>
                </wp:positionV>
                <wp:extent cx="6071069" cy="39243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71069" cy="392430"/>
                        </a:xfrm>
                        <a:prstGeom prst="rect">
                          <a:avLst/>
                        </a:prstGeom>
                        <a:noFill/>
                        <a:ln w="9525">
                          <a:noFill/>
                          <a:miter lim="800000"/>
                          <a:headEnd/>
                          <a:tailEnd/>
                        </a:ln>
                      </wps:spPr>
                      <wps:txbx>
                        <w:txbxContent>
                          <w:p w14:paraId="732ABA05"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5BCCAEEE" w14:textId="7BF14D2D" w:rsidR="00DF4B83" w:rsidRDefault="00DF4B83" w:rsidP="00F97AF3">
                            <w:pPr>
                              <w:pStyle w:val="Text"/>
                              <w:spacing w:before="0"/>
                              <w:ind w:right="0"/>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7007C4D" id="_x0000_s1036" type="#_x0000_t202" style="position:absolute;left:0;text-align:left;margin-left:-249.7pt;margin-top:274.8pt;width:478.05pt;height:30.9pt;rotation:-90;z-index:2516664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" filled="f" stroked="f">
                <v:textbox style="mso-fit-shape-to-text:t">
                  <w:txbxContent>
                    <w:p w14:paraId="732ABA05"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5BCCAEEE" w14:textId="7BF14D2D" w:rsidR="00DF4B83" w:rsidRDefault="00DF4B83" w:rsidP="00F97AF3">
                      <w:pPr>
                        <w:pStyle w:val="Text"/>
                        <w:spacing w:before="0"/>
                        <w:ind w:right="0"/>
                      </w:pPr>
                    </w:p>
                  </w:txbxContent>
                </v:textbox>
                <w10:wrap anchorx="margin"/>
              </v:shape>
            </w:pict>
          </mc:Fallback>
        </mc:AlternateContent>
      </w:r>
      <w:r w:rsidR="00860271" w:rsidRPr="00047B34">
        <w:rPr>
          <w:noProof/>
          <w:lang w:eastAsia="en-AU"/>
        </w:rPr>
        <mc:AlternateContent>
          <mc:Choice Requires="wps">
            <w:drawing>
              <wp:anchor distT="0" distB="0" distL="114300" distR="114300" simplePos="0" relativeHeight="251700224" behindDoc="0" locked="0" layoutInCell="1" allowOverlap="1" wp14:anchorId="2009E2C7" wp14:editId="1216C9AC">
                <wp:simplePos x="0" y="0"/>
                <wp:positionH relativeFrom="column">
                  <wp:posOffset>-3318807</wp:posOffset>
                </wp:positionH>
                <wp:positionV relativeFrom="paragraph">
                  <wp:posOffset>3194686</wp:posOffset>
                </wp:positionV>
                <wp:extent cx="6823971" cy="392430"/>
                <wp:effectExtent l="1674177" t="0" r="1708468"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971" cy="392430"/>
                        </a:xfrm>
                        <a:prstGeom prst="rect">
                          <a:avLst/>
                        </a:prstGeom>
                        <a:noFill/>
                        <a:ln w="9525">
                          <a:noFill/>
                          <a:miter lim="800000"/>
                          <a:headEnd/>
                          <a:tailEnd/>
                        </a:ln>
                      </wps:spPr>
                      <wps:txbx>
                        <w:txbxContent>
                          <w:p w14:paraId="3F72CA1E" w14:textId="1BAF25E0" w:rsidR="00DF4B83" w:rsidRPr="00F52630" w:rsidRDefault="00DF4B83" w:rsidP="00D043A0">
                            <w:pPr>
                              <w:pStyle w:val="Figuretitle"/>
                              <w:rPr>
                                <w:sz w:val="19"/>
                              </w:rPr>
                            </w:pPr>
                            <w:bookmarkStart w:id="68" w:name="_Toc15305001"/>
                            <w:r>
                              <w:t>Figure A4   Number of commencements, cancellations and completions and timing of policy changes, South Australia, 2007—17</w:t>
                            </w:r>
                            <w:bookmarkEnd w:id="68"/>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009E2C7" id="_x0000_s1037" type="#_x0000_t202" style="position:absolute;left:0;text-align:left;margin-left:-261.3pt;margin-top:251.55pt;width:537.3pt;height:30.9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" filled="f" stroked="f">
                <v:textbox style="mso-fit-shape-to-text:t">
                  <w:txbxContent>
                    <w:p w14:paraId="3F72CA1E" w14:textId="1BAF25E0" w:rsidR="00DF4B83" w:rsidRPr="00F52630" w:rsidRDefault="00DF4B83" w:rsidP="00D043A0">
                      <w:pPr>
                        <w:pStyle w:val="Figuretitle"/>
                        <w:rPr>
                          <w:sz w:val="19"/>
                        </w:rPr>
                      </w:pPr>
                      <w:bookmarkStart w:id="69" w:name="_Toc15305001"/>
                      <w:r>
                        <w:t>Figure A4   Number of commencements, cancellations and completions and timing of policy changes, South Australia, 2007—17</w:t>
                      </w:r>
                      <w:bookmarkEnd w:id="69"/>
                    </w:p>
                  </w:txbxContent>
                </v:textbox>
              </v:shape>
            </w:pict>
          </mc:Fallback>
        </mc:AlternateContent>
      </w:r>
      <w:r w:rsidR="00860271">
        <w:rPr>
          <w:noProof/>
        </w:rPr>
        <w:drawing>
          <wp:anchor distT="0" distB="0" distL="114300" distR="114300" simplePos="0" relativeHeight="251731968" behindDoc="0" locked="0" layoutInCell="1" allowOverlap="1" wp14:anchorId="36BE5A91" wp14:editId="6E16900E">
            <wp:simplePos x="0" y="0"/>
            <wp:positionH relativeFrom="column">
              <wp:posOffset>-153035</wp:posOffset>
            </wp:positionH>
            <wp:positionV relativeFrom="paragraph">
              <wp:posOffset>1622425</wp:posOffset>
            </wp:positionV>
            <wp:extent cx="5934710" cy="4304665"/>
            <wp:effectExtent l="0" t="4128" r="4763" b="4762"/>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5934710" cy="4304665"/>
                    </a:xfrm>
                    <a:prstGeom prst="rect">
                      <a:avLst/>
                    </a:prstGeom>
                    <a:noFill/>
                  </pic:spPr>
                </pic:pic>
              </a:graphicData>
            </a:graphic>
            <wp14:sizeRelH relativeFrom="margin">
              <wp14:pctWidth>0</wp14:pctWidth>
            </wp14:sizeRelH>
            <wp14:sizeRelV relativeFrom="margin">
              <wp14:pctHeight>0</wp14:pctHeight>
            </wp14:sizeRelV>
          </wp:anchor>
        </w:drawing>
      </w:r>
      <w:bookmarkEnd w:id="66"/>
      <w:bookmarkEnd w:id="67"/>
      <w:r w:rsidR="00860C65">
        <w:t xml:space="preserve"> </w:t>
      </w:r>
      <w:r w:rsidR="00F97AF3">
        <w:br w:type="page"/>
      </w:r>
    </w:p>
    <w:p w14:paraId="19065871" w14:textId="07EF21D3" w:rsidR="00F97AF3" w:rsidRDefault="001216FC" w:rsidP="00F97AF3">
      <w:pPr>
        <w:spacing w:before="0" w:line="240" w:lineRule="auto"/>
      </w:pPr>
      <w:r>
        <w:rPr>
          <w:noProof/>
          <w:lang w:eastAsia="en-AU"/>
        </w:rPr>
        <w:lastRenderedPageBreak/>
        <mc:AlternateContent>
          <mc:Choice Requires="wps">
            <w:drawing>
              <wp:anchor distT="0" distB="0" distL="114300" distR="114300" simplePos="0" relativeHeight="251670528" behindDoc="0" locked="0" layoutInCell="1" allowOverlap="1" wp14:anchorId="0DD6FF3C" wp14:editId="6F421731">
                <wp:simplePos x="0" y="0"/>
                <wp:positionH relativeFrom="rightMargin">
                  <wp:posOffset>-3241172</wp:posOffset>
                </wp:positionH>
                <wp:positionV relativeFrom="paragraph">
                  <wp:posOffset>3916272</wp:posOffset>
                </wp:positionV>
                <wp:extent cx="6862625" cy="494665"/>
                <wp:effectExtent l="254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62625" cy="494665"/>
                        </a:xfrm>
                        <a:prstGeom prst="rect">
                          <a:avLst/>
                        </a:prstGeom>
                        <a:noFill/>
                        <a:ln w="9525">
                          <a:noFill/>
                          <a:miter lim="800000"/>
                          <a:headEnd/>
                          <a:tailEnd/>
                        </a:ln>
                      </wps:spPr>
                      <wps:txbx>
                        <w:txbxContent>
                          <w:p w14:paraId="31D3184E"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3F920B2E" w14:textId="77777777" w:rsidR="00DF4B83" w:rsidRDefault="00DF4B83" w:rsidP="00F97AF3">
                            <w:pPr>
                              <w:pStyle w:val="Text"/>
                              <w:spacing w:before="0"/>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FF3C" id="_x0000_s1038" type="#_x0000_t202" style="position:absolute;margin-left:-255.2pt;margin-top:308.35pt;width:540.35pt;height:38.95pt;rotation:-90;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" filled="f" stroked="f">
                <v:textbox>
                  <w:txbxContent>
                    <w:p w14:paraId="31D3184E"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3F920B2E" w14:textId="77777777" w:rsidR="00DF4B83" w:rsidRDefault="00DF4B83" w:rsidP="00F97AF3">
                      <w:pPr>
                        <w:pStyle w:val="Text"/>
                        <w:spacing w:before="0"/>
                        <w:ind w:right="0"/>
                      </w:pPr>
                    </w:p>
                  </w:txbxContent>
                </v:textbox>
                <w10:wrap anchorx="margin"/>
              </v:shape>
            </w:pict>
          </mc:Fallback>
        </mc:AlternateContent>
      </w:r>
      <w:r w:rsidR="00860271">
        <w:rPr>
          <w:noProof/>
        </w:rPr>
        <w:drawing>
          <wp:anchor distT="0" distB="0" distL="114300" distR="114300" simplePos="0" relativeHeight="251736064" behindDoc="0" locked="0" layoutInCell="1" allowOverlap="1" wp14:anchorId="45599146" wp14:editId="2564275B">
            <wp:simplePos x="0" y="0"/>
            <wp:positionH relativeFrom="column">
              <wp:posOffset>-638175</wp:posOffset>
            </wp:positionH>
            <wp:positionV relativeFrom="paragraph">
              <wp:posOffset>1662430</wp:posOffset>
            </wp:positionV>
            <wp:extent cx="6874510" cy="4986655"/>
            <wp:effectExtent l="0" t="8573"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874510" cy="4986655"/>
                    </a:xfrm>
                    <a:prstGeom prst="rect">
                      <a:avLst/>
                    </a:prstGeom>
                    <a:noFill/>
                  </pic:spPr>
                </pic:pic>
              </a:graphicData>
            </a:graphic>
            <wp14:sizeRelH relativeFrom="margin">
              <wp14:pctWidth>0</wp14:pctWidth>
            </wp14:sizeRelH>
            <wp14:sizeRelV relativeFrom="margin">
              <wp14:pctHeight>0</wp14:pctHeight>
            </wp14:sizeRelV>
          </wp:anchor>
        </w:drawing>
      </w:r>
      <w:r w:rsidR="003927EF" w:rsidRPr="00047B34">
        <w:rPr>
          <w:noProof/>
          <w:lang w:eastAsia="en-AU"/>
        </w:rPr>
        <mc:AlternateContent>
          <mc:Choice Requires="wps">
            <w:drawing>
              <wp:anchor distT="0" distB="0" distL="114300" distR="114300" simplePos="0" relativeHeight="251703296" behindDoc="0" locked="0" layoutInCell="1" allowOverlap="1" wp14:anchorId="78FD8B5E" wp14:editId="74D6478C">
                <wp:simplePos x="0" y="0"/>
                <wp:positionH relativeFrom="column">
                  <wp:posOffset>-3520440</wp:posOffset>
                </wp:positionH>
                <wp:positionV relativeFrom="paragraph">
                  <wp:posOffset>3764915</wp:posOffset>
                </wp:positionV>
                <wp:extent cx="6984365" cy="67881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84365" cy="678815"/>
                        </a:xfrm>
                        <a:prstGeom prst="rect">
                          <a:avLst/>
                        </a:prstGeom>
                        <a:noFill/>
                        <a:ln w="9525">
                          <a:noFill/>
                          <a:miter lim="800000"/>
                          <a:headEnd/>
                          <a:tailEnd/>
                        </a:ln>
                      </wps:spPr>
                      <wps:txbx>
                        <w:txbxContent>
                          <w:p w14:paraId="0C0E73E8" w14:textId="4A5B37F5" w:rsidR="00DF4B83" w:rsidRPr="00F52630" w:rsidRDefault="00DF4B83" w:rsidP="005E7314">
                            <w:pPr>
                              <w:pStyle w:val="Figuretitle"/>
                              <w:rPr>
                                <w:sz w:val="19"/>
                              </w:rPr>
                            </w:pPr>
                            <w:bookmarkStart w:id="70" w:name="_Toc15305002"/>
                            <w:r>
                              <w:t>Figure A5</w:t>
                            </w:r>
                            <w:r>
                              <w:tab/>
                              <w:t xml:space="preserve"> Number of commencements, cancellations and completions and timing of policy changes, Western Australia, 2007—17</w:t>
                            </w:r>
                            <w:bookmarkEnd w:id="7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D8B5E" id="_x0000_s1039" type="#_x0000_t202" style="position:absolute;margin-left:-277.2pt;margin-top:296.45pt;width:549.95pt;height:53.4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" filled="f" stroked="f">
                <v:textbox>
                  <w:txbxContent>
                    <w:p w14:paraId="0C0E73E8" w14:textId="4A5B37F5" w:rsidR="00DF4B83" w:rsidRPr="00F52630" w:rsidRDefault="00DF4B83" w:rsidP="005E7314">
                      <w:pPr>
                        <w:pStyle w:val="Figuretitle"/>
                        <w:rPr>
                          <w:sz w:val="19"/>
                        </w:rPr>
                      </w:pPr>
                      <w:bookmarkStart w:id="71" w:name="_Toc15305002"/>
                      <w:r>
                        <w:t>Figure A5</w:t>
                      </w:r>
                      <w:r>
                        <w:tab/>
                        <w:t xml:space="preserve"> Number of commencements, cancellations and completions and timing of policy changes, Western Australia, 2007—17</w:t>
                      </w:r>
                      <w:bookmarkEnd w:id="71"/>
                    </w:p>
                  </w:txbxContent>
                </v:textbox>
              </v:shape>
            </w:pict>
          </mc:Fallback>
        </mc:AlternateContent>
      </w:r>
      <w:r w:rsidR="00F97AF3">
        <w:t xml:space="preserve"> </w:t>
      </w:r>
      <w:r w:rsidR="00F97AF3">
        <w:br w:type="page"/>
      </w:r>
      <w:r>
        <w:rPr>
          <w:noProof/>
          <w:lang w:eastAsia="en-AU"/>
        </w:rPr>
        <w:lastRenderedPageBreak/>
        <mc:AlternateContent>
          <mc:Choice Requires="wps">
            <w:drawing>
              <wp:anchor distT="0" distB="0" distL="114300" distR="114300" simplePos="0" relativeHeight="251676672" behindDoc="0" locked="0" layoutInCell="1" allowOverlap="1" wp14:anchorId="0F75BBE7" wp14:editId="6D11885E">
                <wp:simplePos x="0" y="0"/>
                <wp:positionH relativeFrom="rightMargin">
                  <wp:posOffset>-3149600</wp:posOffset>
                </wp:positionH>
                <wp:positionV relativeFrom="paragraph">
                  <wp:posOffset>3785235</wp:posOffset>
                </wp:positionV>
                <wp:extent cx="7323455" cy="629285"/>
                <wp:effectExtent l="0" t="0" r="5080" b="0"/>
                <wp:wrapTopAndBottom/>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7323455" cy="629285"/>
                        </a:xfrm>
                        <a:prstGeom prst="rect">
                          <a:avLst/>
                        </a:prstGeom>
                        <a:noFill/>
                        <a:ln w="9525">
                          <a:noFill/>
                          <a:miter lim="800000"/>
                          <a:headEnd/>
                          <a:tailEnd/>
                        </a:ln>
                      </wps:spPr>
                      <wps:txbx>
                        <w:txbxContent>
                          <w:p w14:paraId="6E567C4E"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00246851" w14:textId="06EBB19A" w:rsidR="00DF4B83" w:rsidRDefault="00DF4B83" w:rsidP="00F97AF3">
                            <w:pPr>
                              <w:pStyle w:val="Text"/>
                              <w:spacing w:before="0"/>
                              <w:ind w:right="0"/>
                            </w:pPr>
                          </w:p>
                          <w:p w14:paraId="1B091EC4" w14:textId="77777777" w:rsidR="00DF4B83" w:rsidRDefault="00DF4B83" w:rsidP="00F97AF3">
                            <w:pPr>
                              <w:pStyle w:val="Text"/>
                              <w:spacing w:before="0"/>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BBE7" id="_x0000_s1040" type="#_x0000_t202" style="position:absolute;margin-left:-248pt;margin-top:298.05pt;width:576.65pt;height:49.55pt;rotation:-90;flip:y;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" filled="f" stroked="f">
                <v:textbox>
                  <w:txbxContent>
                    <w:p w14:paraId="6E567C4E"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00246851" w14:textId="06EBB19A" w:rsidR="00DF4B83" w:rsidRDefault="00DF4B83" w:rsidP="00F97AF3">
                      <w:pPr>
                        <w:pStyle w:val="Text"/>
                        <w:spacing w:before="0"/>
                        <w:ind w:right="0"/>
                      </w:pPr>
                    </w:p>
                    <w:p w14:paraId="1B091EC4" w14:textId="77777777" w:rsidR="00DF4B83" w:rsidRDefault="00DF4B83" w:rsidP="00F97AF3">
                      <w:pPr>
                        <w:pStyle w:val="Text"/>
                        <w:spacing w:before="0"/>
                        <w:ind w:right="0"/>
                      </w:pPr>
                    </w:p>
                  </w:txbxContent>
                </v:textbox>
                <w10:wrap type="topAndBottom" anchorx="margin"/>
              </v:shape>
            </w:pict>
          </mc:Fallback>
        </mc:AlternateContent>
      </w:r>
      <w:r w:rsidR="00FC5875">
        <w:rPr>
          <w:noProof/>
        </w:rPr>
        <mc:AlternateContent>
          <mc:Choice Requires="wps">
            <w:drawing>
              <wp:anchor distT="45720" distB="45720" distL="114300" distR="114300" simplePos="0" relativeHeight="251744256" behindDoc="0" locked="0" layoutInCell="1" allowOverlap="1" wp14:anchorId="14BA1184" wp14:editId="078D29FC">
                <wp:simplePos x="0" y="0"/>
                <wp:positionH relativeFrom="column">
                  <wp:posOffset>-2390140</wp:posOffset>
                </wp:positionH>
                <wp:positionV relativeFrom="paragraph">
                  <wp:posOffset>4196715</wp:posOffset>
                </wp:positionV>
                <wp:extent cx="5570855" cy="14046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70855" cy="1404620"/>
                        </a:xfrm>
                        <a:prstGeom prst="rect">
                          <a:avLst/>
                        </a:prstGeom>
                        <a:solidFill>
                          <a:srgbClr val="FFFFFF"/>
                        </a:solidFill>
                        <a:ln w="9525">
                          <a:noFill/>
                          <a:miter lim="800000"/>
                          <a:headEnd/>
                          <a:tailEnd/>
                        </a:ln>
                      </wps:spPr>
                      <wps:txbx>
                        <w:txbxContent>
                          <w:p w14:paraId="367A2240" w14:textId="06CD933B" w:rsidR="00DF4B83" w:rsidRDefault="00DF4B83" w:rsidP="006C52F7">
                            <w:pPr>
                              <w:pStyle w:val="Figuretitle"/>
                            </w:pPr>
                            <w:bookmarkStart w:id="72" w:name="_Toc15305003"/>
                            <w:r>
                              <w:t>Figure A6</w:t>
                            </w:r>
                            <w:r>
                              <w:tab/>
                              <w:t xml:space="preserve"> Number of cancellations and completions and timing of policy changes, Tasmania, 2007—17</w:t>
                            </w:r>
                            <w:bookmarkEnd w:id="7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BA1184" id="_x0000_s1041" type="#_x0000_t202" style="position:absolute;margin-left:-188.2pt;margin-top:330.45pt;width:438.65pt;height:110.6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" stroked="f">
                <v:textbox style="mso-fit-shape-to-text:t">
                  <w:txbxContent>
                    <w:p w14:paraId="367A2240" w14:textId="06CD933B" w:rsidR="00DF4B83" w:rsidRDefault="00DF4B83" w:rsidP="006C52F7">
                      <w:pPr>
                        <w:pStyle w:val="Figuretitle"/>
                      </w:pPr>
                      <w:bookmarkStart w:id="73" w:name="_Toc15305003"/>
                      <w:r>
                        <w:t>Figure A6</w:t>
                      </w:r>
                      <w:r>
                        <w:tab/>
                        <w:t xml:space="preserve"> Number of cancellations and completions and timing of policy changes, Tasmania, 2007—17</w:t>
                      </w:r>
                      <w:bookmarkEnd w:id="73"/>
                    </w:p>
                  </w:txbxContent>
                </v:textbox>
                <w10:wrap type="topAndBottom"/>
              </v:shape>
            </w:pict>
          </mc:Fallback>
        </mc:AlternateContent>
      </w:r>
      <w:r w:rsidR="00FC5875">
        <w:rPr>
          <w:noProof/>
        </w:rPr>
        <w:drawing>
          <wp:anchor distT="0" distB="0" distL="114300" distR="114300" simplePos="0" relativeHeight="251737088" behindDoc="0" locked="0" layoutInCell="1" allowOverlap="1" wp14:anchorId="0250F24F" wp14:editId="602F0BB7">
            <wp:simplePos x="0" y="0"/>
            <wp:positionH relativeFrom="column">
              <wp:posOffset>-605790</wp:posOffset>
            </wp:positionH>
            <wp:positionV relativeFrom="paragraph">
              <wp:posOffset>1420495</wp:posOffset>
            </wp:positionV>
            <wp:extent cx="7223125" cy="5240020"/>
            <wp:effectExtent l="953"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223125" cy="5240020"/>
                    </a:xfrm>
                    <a:prstGeom prst="rect">
                      <a:avLst/>
                    </a:prstGeom>
                    <a:noFill/>
                  </pic:spPr>
                </pic:pic>
              </a:graphicData>
            </a:graphic>
            <wp14:sizeRelH relativeFrom="margin">
              <wp14:pctWidth>0</wp14:pctWidth>
            </wp14:sizeRelH>
            <wp14:sizeRelV relativeFrom="margin">
              <wp14:pctHeight>0</wp14:pctHeight>
            </wp14:sizeRelV>
          </wp:anchor>
        </w:drawing>
      </w:r>
      <w:r w:rsidR="00F97AF3">
        <w:rPr>
          <w:noProof/>
          <w:lang w:eastAsia="en-AU"/>
        </w:rPr>
        <mc:AlternateContent>
          <mc:Choice Requires="wps">
            <w:drawing>
              <wp:anchor distT="0" distB="0" distL="114300" distR="114300" simplePos="0" relativeHeight="251671552" behindDoc="0" locked="0" layoutInCell="1" allowOverlap="1" wp14:anchorId="17D95173" wp14:editId="735A7041">
                <wp:simplePos x="0" y="0"/>
                <wp:positionH relativeFrom="column">
                  <wp:posOffset>4076700</wp:posOffset>
                </wp:positionH>
                <wp:positionV relativeFrom="paragraph">
                  <wp:posOffset>3957955</wp:posOffset>
                </wp:positionV>
                <wp:extent cx="2360930" cy="2159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15900"/>
                        </a:xfrm>
                        <a:prstGeom prst="rect">
                          <a:avLst/>
                        </a:prstGeom>
                        <a:noFill/>
                        <a:ln w="9525">
                          <a:noFill/>
                          <a:miter lim="800000"/>
                          <a:headEnd/>
                          <a:tailEnd/>
                        </a:ln>
                      </wps:spPr>
                      <wps:txbx>
                        <w:txbxContent>
                          <w:p w14:paraId="37EF5A3F" w14:textId="77777777" w:rsidR="00DF4B83" w:rsidRDefault="00DF4B83" w:rsidP="00F97AF3">
                            <w:pPr>
                              <w:pStyle w:val="Text"/>
                            </w:pPr>
                            <w:r>
                              <w:t>Figure 7. Tasmania</w:t>
                            </w:r>
                          </w:p>
                        </w:txbxContent>
                      </wps:txbx>
                      <wps:bodyPr rot="0" vert="horz" wrap="square" lIns="91440" tIns="45720" rIns="91440" bIns="45720" anchor="t" anchorCtr="0">
                        <a:noAutofit/>
                      </wps:bodyPr>
                    </wps:wsp>
                  </a:graphicData>
                </a:graphic>
              </wp:anchor>
            </w:drawing>
          </mc:Choice>
          <mc:Fallback>
            <w:pict>
              <v:shape w14:anchorId="17D95173" id="_x0000_s1042" type="#_x0000_t202" style="position:absolute;margin-left:321pt;margin-top:311.65pt;width:185.9pt;height:1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" filled="f" stroked="f">
                <v:textbox>
                  <w:txbxContent>
                    <w:p w14:paraId="37EF5A3F" w14:textId="77777777" w:rsidR="00DF4B83" w:rsidRDefault="00DF4B83" w:rsidP="00F97AF3">
                      <w:pPr>
                        <w:pStyle w:val="Text"/>
                      </w:pPr>
                      <w:r>
                        <w:t>Figure 7. Tasmania</w:t>
                      </w:r>
                    </w:p>
                  </w:txbxContent>
                </v:textbox>
              </v:shape>
            </w:pict>
          </mc:Fallback>
        </mc:AlternateContent>
      </w:r>
      <w:r w:rsidR="00F97AF3">
        <w:br w:type="page"/>
      </w:r>
    </w:p>
    <w:p w14:paraId="237BA086" w14:textId="34D880B9" w:rsidR="00F97AF3" w:rsidRDefault="001216FC" w:rsidP="00F97AF3">
      <w:pPr>
        <w:spacing w:before="0" w:line="240" w:lineRule="auto"/>
        <w:rPr>
          <w:noProof/>
        </w:rPr>
      </w:pPr>
      <w:r>
        <w:rPr>
          <w:noProof/>
          <w:lang w:eastAsia="en-AU"/>
        </w:rPr>
        <w:lastRenderedPageBreak/>
        <mc:AlternateContent>
          <mc:Choice Requires="wps">
            <w:drawing>
              <wp:anchor distT="0" distB="0" distL="114300" distR="114300" simplePos="0" relativeHeight="251683839" behindDoc="0" locked="0" layoutInCell="1" allowOverlap="1" wp14:anchorId="6CE04F52" wp14:editId="6522424D">
                <wp:simplePos x="0" y="0"/>
                <wp:positionH relativeFrom="rightMargin">
                  <wp:posOffset>-3145790</wp:posOffset>
                </wp:positionH>
                <wp:positionV relativeFrom="paragraph">
                  <wp:posOffset>3701415</wp:posOffset>
                </wp:positionV>
                <wp:extent cx="6711315" cy="629285"/>
                <wp:effectExtent l="0" t="0" r="635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6711315" cy="629285"/>
                        </a:xfrm>
                        <a:prstGeom prst="rect">
                          <a:avLst/>
                        </a:prstGeom>
                        <a:noFill/>
                        <a:ln w="9525">
                          <a:noFill/>
                          <a:miter lim="800000"/>
                          <a:headEnd/>
                          <a:tailEnd/>
                        </a:ln>
                      </wps:spPr>
                      <wps:txbx>
                        <w:txbxContent>
                          <w:p w14:paraId="5DBF461F"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4ED8D974" w14:textId="77777777" w:rsidR="00DF4B83" w:rsidRDefault="00DF4B83" w:rsidP="00F97AF3">
                            <w:pPr>
                              <w:pStyle w:val="Text"/>
                              <w:spacing w:before="0"/>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04F52" id="_x0000_s1043" type="#_x0000_t202" style="position:absolute;margin-left:-247.7pt;margin-top:291.45pt;width:528.45pt;height:49.55pt;rotation:-90;flip:y;z-index:25168383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" filled="f" stroked="f">
                <v:textbox>
                  <w:txbxContent>
                    <w:p w14:paraId="5DBF461F" w14:textId="77777777" w:rsidR="00DF4B83" w:rsidRPr="005675A1" w:rsidRDefault="00DF4B83" w:rsidP="001216FC">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4ED8D974" w14:textId="77777777" w:rsidR="00DF4B83" w:rsidRDefault="00DF4B83" w:rsidP="00F97AF3">
                      <w:pPr>
                        <w:pStyle w:val="Text"/>
                        <w:spacing w:before="0"/>
                        <w:ind w:right="0"/>
                      </w:pPr>
                    </w:p>
                  </w:txbxContent>
                </v:textbox>
                <w10:wrap type="topAndBottom" anchorx="margin"/>
              </v:shape>
            </w:pict>
          </mc:Fallback>
        </mc:AlternateContent>
      </w:r>
      <w:r w:rsidR="00FC5875">
        <w:rPr>
          <w:noProof/>
        </w:rPr>
        <mc:AlternateContent>
          <mc:Choice Requires="wps">
            <w:drawing>
              <wp:anchor distT="45720" distB="45720" distL="114300" distR="114300" simplePos="0" relativeHeight="251745280" behindDoc="0" locked="0" layoutInCell="1" allowOverlap="1" wp14:anchorId="29E7997F" wp14:editId="3DA0D4A2">
                <wp:simplePos x="0" y="0"/>
                <wp:positionH relativeFrom="column">
                  <wp:posOffset>-2775585</wp:posOffset>
                </wp:positionH>
                <wp:positionV relativeFrom="paragraph">
                  <wp:posOffset>4269740</wp:posOffset>
                </wp:positionV>
                <wp:extent cx="5599430" cy="609600"/>
                <wp:effectExtent l="0" t="635" r="635" b="635"/>
                <wp:wrapTopAndBottom/>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99430" cy="609600"/>
                        </a:xfrm>
                        <a:prstGeom prst="rect">
                          <a:avLst/>
                        </a:prstGeom>
                        <a:solidFill>
                          <a:srgbClr val="FFFFFF"/>
                        </a:solidFill>
                        <a:ln w="9525">
                          <a:noFill/>
                          <a:miter lim="800000"/>
                          <a:headEnd/>
                          <a:tailEnd/>
                        </a:ln>
                      </wps:spPr>
                      <wps:txbx>
                        <w:txbxContent>
                          <w:p w14:paraId="0F349936" w14:textId="6FA96867" w:rsidR="00DF4B83" w:rsidRDefault="00DF4B83" w:rsidP="00D50F5A">
                            <w:pPr>
                              <w:pStyle w:val="Figuretitle"/>
                            </w:pPr>
                            <w:bookmarkStart w:id="74" w:name="_Toc15305004"/>
                            <w:r>
                              <w:t>Figure A7</w:t>
                            </w:r>
                            <w:r>
                              <w:tab/>
                              <w:t xml:space="preserve"> Number of commencements, cancellations and completions, Northern Territory, 2007—17</w:t>
                            </w:r>
                            <w:bookmarkEnd w:id="74"/>
                          </w:p>
                          <w:p w14:paraId="6ED126F3" w14:textId="77777777" w:rsidR="00DF4B83" w:rsidRDefault="00DF4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7997F" id="_x0000_s1044" type="#_x0000_t202" style="position:absolute;margin-left:-218.55pt;margin-top:336.2pt;width:440.9pt;height:48pt;rotation:-90;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" stroked="f">
                <v:textbox>
                  <w:txbxContent>
                    <w:p w14:paraId="0F349936" w14:textId="6FA96867" w:rsidR="00DF4B83" w:rsidRDefault="00DF4B83" w:rsidP="00D50F5A">
                      <w:pPr>
                        <w:pStyle w:val="Figuretitle"/>
                      </w:pPr>
                      <w:bookmarkStart w:id="75" w:name="_Toc15305004"/>
                      <w:r>
                        <w:t>Figure A7</w:t>
                      </w:r>
                      <w:r>
                        <w:tab/>
                        <w:t xml:space="preserve"> Number of commencements, cancellations and completions, Northern Territory, 2007—17</w:t>
                      </w:r>
                      <w:bookmarkEnd w:id="75"/>
                    </w:p>
                    <w:p w14:paraId="6ED126F3" w14:textId="77777777" w:rsidR="00DF4B83" w:rsidRDefault="00DF4B83"/>
                  </w:txbxContent>
                </v:textbox>
                <w10:wrap type="topAndBottom"/>
              </v:shape>
            </w:pict>
          </mc:Fallback>
        </mc:AlternateContent>
      </w:r>
      <w:r w:rsidR="00FC5875">
        <w:rPr>
          <w:noProof/>
        </w:rPr>
        <w:drawing>
          <wp:anchor distT="0" distB="0" distL="114300" distR="114300" simplePos="0" relativeHeight="251738112" behindDoc="0" locked="0" layoutInCell="1" allowOverlap="1" wp14:anchorId="0F7E14BE" wp14:editId="18A42A77">
            <wp:simplePos x="0" y="0"/>
            <wp:positionH relativeFrom="column">
              <wp:posOffset>-489585</wp:posOffset>
            </wp:positionH>
            <wp:positionV relativeFrom="paragraph">
              <wp:posOffset>1556385</wp:posOffset>
            </wp:positionV>
            <wp:extent cx="6665595" cy="4837430"/>
            <wp:effectExtent l="0" t="317" r="1587" b="1588"/>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6665595" cy="4837430"/>
                    </a:xfrm>
                    <a:prstGeom prst="rect">
                      <a:avLst/>
                    </a:prstGeom>
                    <a:noFill/>
                  </pic:spPr>
                </pic:pic>
              </a:graphicData>
            </a:graphic>
            <wp14:sizeRelH relativeFrom="margin">
              <wp14:pctWidth>0</wp14:pctWidth>
            </wp14:sizeRelH>
            <wp14:sizeRelV relativeFrom="margin">
              <wp14:pctHeight>0</wp14:pctHeight>
            </wp14:sizeRelV>
          </wp:anchor>
        </w:drawing>
      </w:r>
      <w:r w:rsidR="00F97AF3">
        <w:rPr>
          <w:noProof/>
        </w:rPr>
        <w:br w:type="page"/>
      </w:r>
    </w:p>
    <w:p w14:paraId="58C9F45E" w14:textId="1EFE0C45" w:rsidR="00F97AF3" w:rsidRDefault="00FC5875" w:rsidP="00D3219D">
      <w:pPr>
        <w:rPr>
          <w:noProof/>
        </w:rPr>
      </w:pPr>
      <w:r>
        <w:rPr>
          <w:noProof/>
          <w:lang w:eastAsia="en-AU"/>
        </w:rPr>
        <w:lastRenderedPageBreak/>
        <mc:AlternateContent>
          <mc:Choice Requires="wps">
            <w:drawing>
              <wp:anchor distT="0" distB="0" distL="114300" distR="114300" simplePos="0" relativeHeight="251682815" behindDoc="1" locked="0" layoutInCell="1" allowOverlap="1" wp14:anchorId="0CE41D99" wp14:editId="67AC26F5">
                <wp:simplePos x="0" y="0"/>
                <wp:positionH relativeFrom="rightMargin">
                  <wp:posOffset>-3082290</wp:posOffset>
                </wp:positionH>
                <wp:positionV relativeFrom="paragraph">
                  <wp:posOffset>3343910</wp:posOffset>
                </wp:positionV>
                <wp:extent cx="6178550" cy="540385"/>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78550" cy="540385"/>
                        </a:xfrm>
                        <a:prstGeom prst="rect">
                          <a:avLst/>
                        </a:prstGeom>
                        <a:noFill/>
                        <a:ln w="9525">
                          <a:noFill/>
                          <a:miter lim="800000"/>
                          <a:headEnd/>
                          <a:tailEnd/>
                        </a:ln>
                      </wps:spPr>
                      <wps:txbx>
                        <w:txbxContent>
                          <w:p w14:paraId="6147A0D7" w14:textId="42B08606" w:rsidR="00DF4B83" w:rsidRPr="005675A1" w:rsidRDefault="00DF4B83" w:rsidP="005675A1">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13F24B0C" w14:textId="77777777" w:rsidR="00DF4B83" w:rsidRDefault="00DF4B83" w:rsidP="00F97AF3">
                            <w:pPr>
                              <w:pStyle w:val="Text"/>
                              <w:spacing w:before="0"/>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41D99" id="_x0000_s1045" type="#_x0000_t202" style="position:absolute;margin-left:-242.7pt;margin-top:263.3pt;width:486.5pt;height:42.55pt;rotation:-90;z-index:-25163366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" filled="f" stroked="f">
                <v:textbox>
                  <w:txbxContent>
                    <w:p w14:paraId="6147A0D7" w14:textId="42B08606" w:rsidR="00DF4B83" w:rsidRPr="005675A1" w:rsidRDefault="00DF4B83" w:rsidP="005675A1">
                      <w:pPr>
                        <w:rPr>
                          <w:rFonts w:ascii="Calibri" w:hAnsi="Calibri"/>
                          <w:sz w:val="18"/>
                          <w:szCs w:val="18"/>
                        </w:rPr>
                      </w:pPr>
                      <w:r w:rsidRPr="005675A1">
                        <w:rPr>
                          <w:sz w:val="18"/>
                          <w:szCs w:val="18"/>
                        </w:rPr>
                        <w:t>Source: NCVER Timeline of Australian VET policy initiatives: 1998-2018</w:t>
                      </w:r>
                      <w:r>
                        <w:rPr>
                          <w:sz w:val="18"/>
                          <w:szCs w:val="18"/>
                        </w:rPr>
                        <w:t xml:space="preserve"> </w:t>
                      </w:r>
                      <w:r w:rsidRPr="00AF24CC">
                        <w:rPr>
                          <w:sz w:val="18"/>
                        </w:rPr>
                        <w:t xml:space="preserve">and </w:t>
                      </w:r>
                      <w:r w:rsidRPr="005675A1">
                        <w:rPr>
                          <w:sz w:val="18"/>
                          <w:szCs w:val="18"/>
                        </w:rPr>
                        <w:t>Historical time series of apprenticeships and traineeships in Australia from 1963</w:t>
                      </w:r>
                      <w:r>
                        <w:rPr>
                          <w:sz w:val="18"/>
                        </w:rPr>
                        <w:t>.</w:t>
                      </w:r>
                    </w:p>
                    <w:p w14:paraId="13F24B0C" w14:textId="77777777" w:rsidR="00DF4B83" w:rsidRDefault="00DF4B83" w:rsidP="00F97AF3">
                      <w:pPr>
                        <w:pStyle w:val="Text"/>
                        <w:spacing w:before="0"/>
                        <w:ind w:right="0"/>
                      </w:pPr>
                    </w:p>
                  </w:txbxContent>
                </v:textbox>
                <w10:wrap type="topAndBottom" anchorx="margin"/>
              </v:shape>
            </w:pict>
          </mc:Fallback>
        </mc:AlternateContent>
      </w:r>
      <w:r>
        <w:rPr>
          <w:noProof/>
        </w:rPr>
        <mc:AlternateContent>
          <mc:Choice Requires="wps">
            <w:drawing>
              <wp:anchor distT="45720" distB="45720" distL="114300" distR="114300" simplePos="0" relativeHeight="251746304" behindDoc="0" locked="0" layoutInCell="1" allowOverlap="1" wp14:anchorId="28D6C7F7" wp14:editId="170C90C3">
                <wp:simplePos x="0" y="0"/>
                <wp:positionH relativeFrom="column">
                  <wp:posOffset>-2451735</wp:posOffset>
                </wp:positionH>
                <wp:positionV relativeFrom="paragraph">
                  <wp:posOffset>2866390</wp:posOffset>
                </wp:positionV>
                <wp:extent cx="6305550" cy="1404620"/>
                <wp:effectExtent l="0" t="2540" r="0" b="0"/>
                <wp:wrapTopAndBottom/>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05550" cy="1404620"/>
                        </a:xfrm>
                        <a:prstGeom prst="rect">
                          <a:avLst/>
                        </a:prstGeom>
                        <a:solidFill>
                          <a:srgbClr val="FFFFFF"/>
                        </a:solidFill>
                        <a:ln w="9525">
                          <a:noFill/>
                          <a:miter lim="800000"/>
                          <a:headEnd/>
                          <a:tailEnd/>
                        </a:ln>
                      </wps:spPr>
                      <wps:txbx>
                        <w:txbxContent>
                          <w:p w14:paraId="364F9043" w14:textId="60784A4A" w:rsidR="00DF4B83" w:rsidRDefault="00DF4B83" w:rsidP="00A032B2">
                            <w:pPr>
                              <w:pStyle w:val="Figuretitle"/>
                            </w:pPr>
                            <w:bookmarkStart w:id="76" w:name="_Toc15305005"/>
                            <w:r>
                              <w:t>Figure A8    Number of commencements, cancellations and completions, Australian Capital Territory, 2007-17</w:t>
                            </w:r>
                            <w:bookmarkEnd w:id="7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D6C7F7" id="_x0000_s1046" type="#_x0000_t202" style="position:absolute;margin-left:-193.05pt;margin-top:225.7pt;width:496.5pt;height:110.6pt;rotation:-90;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" stroked="f">
                <v:textbox style="mso-fit-shape-to-text:t">
                  <w:txbxContent>
                    <w:p w14:paraId="364F9043" w14:textId="60784A4A" w:rsidR="00DF4B83" w:rsidRDefault="00DF4B83" w:rsidP="00A032B2">
                      <w:pPr>
                        <w:pStyle w:val="Figuretitle"/>
                      </w:pPr>
                      <w:bookmarkStart w:id="77" w:name="_Toc15305005"/>
                      <w:r>
                        <w:t>Figure A8    Number of commencements, cancellations and completions, Australian Capital Territory, 2007-17</w:t>
                      </w:r>
                      <w:bookmarkEnd w:id="77"/>
                    </w:p>
                  </w:txbxContent>
                </v:textbox>
                <w10:wrap type="topAndBottom"/>
              </v:shape>
            </w:pict>
          </mc:Fallback>
        </mc:AlternateContent>
      </w:r>
      <w:r>
        <w:rPr>
          <w:noProof/>
        </w:rPr>
        <w:drawing>
          <wp:anchor distT="0" distB="0" distL="114300" distR="114300" simplePos="0" relativeHeight="251739136" behindDoc="0" locked="0" layoutInCell="1" allowOverlap="1" wp14:anchorId="60401783" wp14:editId="37BFA39D">
            <wp:simplePos x="0" y="0"/>
            <wp:positionH relativeFrom="column">
              <wp:posOffset>-135255</wp:posOffset>
            </wp:positionH>
            <wp:positionV relativeFrom="paragraph">
              <wp:posOffset>1348105</wp:posOffset>
            </wp:positionV>
            <wp:extent cx="6203950" cy="4497705"/>
            <wp:effectExtent l="0" t="4128" r="2223" b="2222"/>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6203950" cy="4497705"/>
                    </a:xfrm>
                    <a:prstGeom prst="rect">
                      <a:avLst/>
                    </a:prstGeom>
                    <a:noFill/>
                  </pic:spPr>
                </pic:pic>
              </a:graphicData>
            </a:graphic>
          </wp:anchor>
        </w:drawing>
      </w:r>
    </w:p>
    <w:sectPr w:rsidR="00F97AF3" w:rsidSect="00EA133E">
      <w:headerReference w:type="default" r:id="rId37"/>
      <w:footerReference w:type="even" r:id="rId38"/>
      <w:footerReference w:type="default" r:id="rId39"/>
      <w:headerReference w:type="first" r:id="rId40"/>
      <w:footerReference w:type="first" r:id="rId41"/>
      <w:pgSz w:w="11907" w:h="16840" w:code="9"/>
      <w:pgMar w:top="1276" w:right="1701" w:bottom="1276" w:left="1418"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DCC15" w14:textId="77777777" w:rsidR="00DF4B83" w:rsidRDefault="00DF4B83" w:rsidP="009277DD">
      <w:pPr>
        <w:spacing w:before="0" w:line="240" w:lineRule="auto"/>
      </w:pPr>
      <w:r>
        <w:separator/>
      </w:r>
    </w:p>
  </w:endnote>
  <w:endnote w:type="continuationSeparator" w:id="0">
    <w:p w14:paraId="3E7488D1" w14:textId="77777777" w:rsidR="00DF4B83" w:rsidRDefault="00DF4B83" w:rsidP="009277D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LegacySans-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00BA7" w14:textId="6B634D1A" w:rsidR="00DF4B83" w:rsidRDefault="00DF4B83" w:rsidP="00D113F4">
    <w:pPr>
      <w:pStyle w:val="Footer"/>
      <w:tabs>
        <w:tab w:val="clear" w:pos="4513"/>
        <w:tab w:val="clear" w:pos="9026"/>
        <w:tab w:val="left" w:pos="711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8F473" w14:textId="459B7C56" w:rsidR="00DF4B83" w:rsidRPr="006D281B" w:rsidRDefault="00DF4B83" w:rsidP="00D113F4">
    <w:pPr>
      <w:pStyle w:val="Footer"/>
      <w:tabs>
        <w:tab w:val="right" w:pos="9356"/>
      </w:tabs>
      <w:ind w:left="-709" w:right="-993"/>
      <w:jc w:val="center"/>
      <w:rPr>
        <w:b/>
      </w:rPr>
    </w:pPr>
    <w:r w:rsidRPr="006D281B">
      <w:rPr>
        <w:b/>
        <w:color w:val="000000" w:themeColor="text1"/>
      </w:rPr>
      <w:fldChar w:fldCharType="begin"/>
    </w:r>
    <w:r w:rsidRPr="006D281B">
      <w:rPr>
        <w:b/>
        <w:color w:val="000000" w:themeColor="text1"/>
      </w:rPr>
      <w:instrText xml:space="preserve"> PAGE </w:instrText>
    </w:r>
    <w:r w:rsidRPr="006D281B">
      <w:rPr>
        <w:b/>
        <w:color w:val="000000" w:themeColor="text1"/>
      </w:rPr>
      <w:fldChar w:fldCharType="separate"/>
    </w:r>
    <w:r w:rsidRPr="006D281B">
      <w:rPr>
        <w:b/>
        <w:color w:val="000000" w:themeColor="text1"/>
      </w:rPr>
      <w:t>6</w:t>
    </w:r>
    <w:r w:rsidRPr="006D281B">
      <w:rPr>
        <w:b/>
        <w:color w:val="000000" w:themeColor="text1"/>
      </w:rPr>
      <w:fldChar w:fldCharType="end"/>
    </w:r>
    <w:r w:rsidRPr="006D281B">
      <w:rPr>
        <w:b/>
        <w:color w:val="000000" w:themeColor="text1"/>
      </w:rPr>
      <w:tab/>
    </w:r>
    <w:r w:rsidRPr="006D281B">
      <w:rPr>
        <w:b/>
        <w:color w:val="000000" w:themeColor="text1"/>
      </w:rPr>
      <w:tab/>
      <w:t>L</w:t>
    </w:r>
    <w:r w:rsidRPr="006D281B">
      <w:rPr>
        <w:b/>
        <w:noProof/>
      </w:rPr>
      <w:t>iterature review and other appendices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605C" w14:textId="0B98E457" w:rsidR="00DF4B83" w:rsidRPr="00D113F4" w:rsidRDefault="00DF4B83" w:rsidP="006D281B">
    <w:pPr>
      <w:pStyle w:val="Footer"/>
      <w:tabs>
        <w:tab w:val="clear" w:pos="4513"/>
        <w:tab w:val="clear" w:pos="9026"/>
        <w:tab w:val="right" w:pos="9923"/>
      </w:tabs>
      <w:ind w:left="-284" w:right="-710"/>
      <w:rPr>
        <w:b/>
      </w:rPr>
    </w:pPr>
    <w:r w:rsidRPr="00D113F4">
      <w:rPr>
        <w:b/>
        <w:color w:val="000000" w:themeColor="text1"/>
      </w:rPr>
      <w:t>NCVER</w:t>
    </w:r>
    <w:r w:rsidRPr="00D113F4">
      <w:rPr>
        <w:b/>
        <w:color w:val="000000" w:themeColor="text1"/>
      </w:rPr>
      <w:tab/>
    </w:r>
    <w:r w:rsidRPr="00D113F4">
      <w:rPr>
        <w:rStyle w:val="PageNumber"/>
        <w:rFonts w:ascii="Arial" w:eastAsiaTheme="majorEastAsia" w:hAnsi="Arial"/>
        <w:b/>
        <w:color w:val="000000" w:themeColor="text1"/>
        <w:sz w:val="17"/>
      </w:rPr>
      <w:fldChar w:fldCharType="begin"/>
    </w:r>
    <w:r w:rsidRPr="00D113F4">
      <w:rPr>
        <w:rStyle w:val="PageNumber"/>
        <w:rFonts w:ascii="Arial" w:eastAsiaTheme="majorEastAsia" w:hAnsi="Arial"/>
        <w:b/>
        <w:color w:val="000000" w:themeColor="text1"/>
        <w:sz w:val="17"/>
      </w:rPr>
      <w:instrText xml:space="preserve"> PAGE </w:instrText>
    </w:r>
    <w:r w:rsidRPr="00D113F4">
      <w:rPr>
        <w:rStyle w:val="PageNumber"/>
        <w:rFonts w:ascii="Arial" w:eastAsiaTheme="majorEastAsia" w:hAnsi="Arial"/>
        <w:b/>
        <w:color w:val="000000" w:themeColor="text1"/>
        <w:sz w:val="17"/>
      </w:rPr>
      <w:fldChar w:fldCharType="separate"/>
    </w:r>
    <w:r w:rsidRPr="00D113F4">
      <w:rPr>
        <w:rStyle w:val="PageNumber"/>
        <w:rFonts w:ascii="Arial" w:eastAsiaTheme="majorEastAsia" w:hAnsi="Arial"/>
        <w:b/>
        <w:color w:val="000000" w:themeColor="text1"/>
        <w:sz w:val="17"/>
      </w:rPr>
      <w:t>5</w:t>
    </w:r>
    <w:r w:rsidRPr="00D113F4">
      <w:rPr>
        <w:rStyle w:val="PageNumber"/>
        <w:rFonts w:ascii="Arial" w:eastAsiaTheme="majorEastAsia" w:hAnsi="Arial"/>
        <w:b/>
        <w:color w:val="000000" w:themeColor="text1"/>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3E4BA" w14:textId="77777777" w:rsidR="00DF4B83" w:rsidRDefault="00DF4B83" w:rsidP="00D113F4">
    <w:pPr>
      <w:pStyle w:val="Footer"/>
      <w:tabs>
        <w:tab w:val="clear" w:pos="4513"/>
        <w:tab w:val="clear" w:pos="9026"/>
        <w:tab w:val="left" w:pos="711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ACA5E" w14:textId="77777777" w:rsidR="00DF4B83" w:rsidRDefault="00DF4B83" w:rsidP="009277DD">
      <w:pPr>
        <w:spacing w:before="0" w:line="240" w:lineRule="auto"/>
      </w:pPr>
      <w:r>
        <w:separator/>
      </w:r>
    </w:p>
  </w:footnote>
  <w:footnote w:type="continuationSeparator" w:id="0">
    <w:p w14:paraId="10E5DDED" w14:textId="77777777" w:rsidR="00DF4B83" w:rsidRDefault="00DF4B83" w:rsidP="009277DD">
      <w:pPr>
        <w:spacing w:before="0" w:line="240" w:lineRule="auto"/>
      </w:pPr>
      <w:r>
        <w:continuationSeparator/>
      </w:r>
    </w:p>
  </w:footnote>
  <w:footnote w:id="1">
    <w:p w14:paraId="6FDACB39" w14:textId="611CA134" w:rsidR="00DF4B83" w:rsidRPr="00CC07F5" w:rsidRDefault="00DF4B83">
      <w:pPr>
        <w:pStyle w:val="FootnoteText"/>
        <w:rPr>
          <w:lang w:val="en-US"/>
        </w:rPr>
      </w:pPr>
      <w:r>
        <w:rPr>
          <w:rStyle w:val="FootnoteReference"/>
        </w:rPr>
        <w:footnoteRef/>
      </w:r>
      <w:r>
        <w:t xml:space="preserve"> The Western Australian mining boom peaked in July 2012, which no doubt had an effect on numbers at this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53D5" w14:textId="1CEE384F" w:rsidR="00DF4B83" w:rsidRDefault="00DF4B83">
    <w:pPr>
      <w:pStyle w:val="Header"/>
    </w:pPr>
    <w:r>
      <w:rPr>
        <w:noProof/>
        <w:lang w:eastAsia="en-AU"/>
      </w:rPr>
      <mc:AlternateContent>
        <mc:Choice Requires="wps">
          <w:drawing>
            <wp:anchor distT="0" distB="0" distL="114300" distR="114300" simplePos="0" relativeHeight="251659264" behindDoc="0" locked="0" layoutInCell="1" allowOverlap="1" wp14:anchorId="79F2FCC5" wp14:editId="4A6BFB71">
              <wp:simplePos x="0" y="0"/>
              <wp:positionH relativeFrom="column">
                <wp:posOffset>0</wp:posOffset>
              </wp:positionH>
              <wp:positionV relativeFrom="paragraph">
                <wp:posOffset>-440426</wp:posOffset>
              </wp:positionV>
              <wp:extent cx="1104900" cy="10769600"/>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408A" w14:textId="77777777" w:rsidR="00DF4B83" w:rsidRPr="00A9334E" w:rsidRDefault="00DF4B83" w:rsidP="00213903">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32D7D409" w14:textId="77777777" w:rsidR="00DF4B83" w:rsidRDefault="00DF4B83" w:rsidP="0021390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2FCC5" id="_x0000_t202" coordsize="21600,21600" o:spt="202" path="m,l,21600r21600,l21600,xe">
              <v:stroke joinstyle="miter"/>
              <v:path gradientshapeok="t" o:connecttype="rect"/>
            </v:shapetype>
            <v:shape id="Text Box 250" o:spid="_x0000_s1047" type="#_x0000_t202" style="position:absolute;margin-left:0;margin-top:-34.7pt;width:87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" filled="f" stroked="f">
              <v:textbox style="layout-flow:vertical;mso-layout-flow-alt:bottom-to-top">
                <w:txbxContent>
                  <w:p w14:paraId="46AB408A" w14:textId="77777777" w:rsidR="00DF4B83" w:rsidRPr="00A9334E" w:rsidRDefault="00DF4B83" w:rsidP="00213903">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32D7D409" w14:textId="77777777" w:rsidR="00DF4B83" w:rsidRDefault="00DF4B83" w:rsidP="0021390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A7E5A" w14:textId="77777777" w:rsidR="00DF4B83" w:rsidRDefault="00DF4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C492" w14:textId="77777777" w:rsidR="00DF4B83" w:rsidRDefault="00DF4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95CE154"/>
    <w:lvl w:ilvl="0">
      <w:start w:val="1"/>
      <w:numFmt w:val="bullet"/>
      <w:pStyle w:val="BulletList1"/>
      <w:lvlText w:val=""/>
      <w:lvlJc w:val="left"/>
      <w:pPr>
        <w:tabs>
          <w:tab w:val="num" w:pos="1209"/>
        </w:tabs>
        <w:ind w:left="1209" w:hanging="360"/>
      </w:pPr>
      <w:rPr>
        <w:rFonts w:ascii="Symbol" w:hAnsi="Symbol" w:hint="default"/>
      </w:rPr>
    </w:lvl>
  </w:abstractNum>
  <w:abstractNum w:abstractNumId="1" w15:restartNumberingAfterBreak="0">
    <w:nsid w:val="02FD5AC7"/>
    <w:multiLevelType w:val="hybridMultilevel"/>
    <w:tmpl w:val="8D00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B0613"/>
    <w:multiLevelType w:val="hybridMultilevel"/>
    <w:tmpl w:val="5FCC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F650F"/>
    <w:multiLevelType w:val="hybridMultilevel"/>
    <w:tmpl w:val="97482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9B3291"/>
    <w:multiLevelType w:val="hybridMultilevel"/>
    <w:tmpl w:val="1F464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227CE3"/>
    <w:multiLevelType w:val="hybridMultilevel"/>
    <w:tmpl w:val="D70EB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757244"/>
    <w:multiLevelType w:val="hybridMultilevel"/>
    <w:tmpl w:val="E18A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8535C"/>
    <w:multiLevelType w:val="hybridMultilevel"/>
    <w:tmpl w:val="74CE9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9754D"/>
    <w:multiLevelType w:val="hybridMultilevel"/>
    <w:tmpl w:val="CA721E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5F187F"/>
    <w:multiLevelType w:val="hybridMultilevel"/>
    <w:tmpl w:val="F606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A51CF"/>
    <w:multiLevelType w:val="multilevel"/>
    <w:tmpl w:val="D0F008C8"/>
    <w:numStyleLink w:val="BulletList"/>
  </w:abstractNum>
  <w:abstractNum w:abstractNumId="12" w15:restartNumberingAfterBreak="0">
    <w:nsid w:val="2BB20754"/>
    <w:multiLevelType w:val="hybridMultilevel"/>
    <w:tmpl w:val="D5523A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04F71"/>
    <w:multiLevelType w:val="hybridMultilevel"/>
    <w:tmpl w:val="E1E23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79606B"/>
    <w:multiLevelType w:val="hybridMultilevel"/>
    <w:tmpl w:val="7F6E05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50D52"/>
    <w:multiLevelType w:val="hybridMultilevel"/>
    <w:tmpl w:val="902C91C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AA3A36"/>
    <w:multiLevelType w:val="hybridMultilevel"/>
    <w:tmpl w:val="4B6CF7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E23271"/>
    <w:multiLevelType w:val="hybridMultilevel"/>
    <w:tmpl w:val="A7F2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A70002"/>
    <w:multiLevelType w:val="multilevel"/>
    <w:tmpl w:val="726ADEAE"/>
    <w:numStyleLink w:val="NumberList"/>
  </w:abstractNum>
  <w:abstractNum w:abstractNumId="19" w15:restartNumberingAfterBreak="0">
    <w:nsid w:val="368247CE"/>
    <w:multiLevelType w:val="hybridMultilevel"/>
    <w:tmpl w:val="2A988218"/>
    <w:lvl w:ilvl="0" w:tplc="316452FE">
      <w:start w:val="1"/>
      <w:numFmt w:val="bulle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970B42"/>
    <w:multiLevelType w:val="hybridMultilevel"/>
    <w:tmpl w:val="32960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A2410E"/>
    <w:multiLevelType w:val="hybridMultilevel"/>
    <w:tmpl w:val="2AF08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BC0D54"/>
    <w:multiLevelType w:val="hybridMultilevel"/>
    <w:tmpl w:val="F416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C10C7B"/>
    <w:multiLevelType w:val="hybridMultilevel"/>
    <w:tmpl w:val="E272C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FC69FA"/>
    <w:multiLevelType w:val="hybridMultilevel"/>
    <w:tmpl w:val="B1522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443D4D"/>
    <w:multiLevelType w:val="hybridMultilevel"/>
    <w:tmpl w:val="F2626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DA3029"/>
    <w:multiLevelType w:val="hybridMultilevel"/>
    <w:tmpl w:val="B658F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B4470"/>
    <w:multiLevelType w:val="hybridMultilevel"/>
    <w:tmpl w:val="468E0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E81426"/>
    <w:multiLevelType w:val="hybridMultilevel"/>
    <w:tmpl w:val="3CCCC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9C35FFE"/>
    <w:multiLevelType w:val="hybridMultilevel"/>
    <w:tmpl w:val="CF268FAC"/>
    <w:lvl w:ilvl="0" w:tplc="0C090001">
      <w:start w:val="1"/>
      <w:numFmt w:val="bullet"/>
      <w:lvlText w:val=""/>
      <w:lvlJc w:val="left"/>
      <w:pPr>
        <w:ind w:left="720" w:hanging="360"/>
      </w:pPr>
      <w:rPr>
        <w:rFonts w:ascii="Symbol" w:hAnsi="Symbo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1A6423"/>
    <w:multiLevelType w:val="hybridMultilevel"/>
    <w:tmpl w:val="A18E4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15:restartNumberingAfterBreak="0">
    <w:nsid w:val="5EB17309"/>
    <w:multiLevelType w:val="multilevel"/>
    <w:tmpl w:val="726ADEAE"/>
    <w:styleLink w:val="NumberList"/>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641"/>
        </w:tabs>
        <w:ind w:left="641" w:hanging="357"/>
      </w:pPr>
      <w:rPr>
        <w:rFonts w:hint="default"/>
      </w:rPr>
    </w:lvl>
    <w:lvl w:ilvl="2">
      <w:start w:val="1"/>
      <w:numFmt w:val="lowerRoman"/>
      <w:pStyle w:val="ListNumber3"/>
      <w:lvlText w:val="%3."/>
      <w:lvlJc w:val="left"/>
      <w:pPr>
        <w:tabs>
          <w:tab w:val="num" w:pos="924"/>
        </w:tabs>
        <w:ind w:left="924" w:hanging="357"/>
      </w:pPr>
      <w:rPr>
        <w:rFonts w:hint="default"/>
      </w:rPr>
    </w:lvl>
    <w:lvl w:ilvl="3">
      <w:start w:val="1"/>
      <w:numFmt w:val="decimal"/>
      <w:pStyle w:val="ListNumber4"/>
      <w:lvlText w:val="%4."/>
      <w:lvlJc w:val="left"/>
      <w:pPr>
        <w:tabs>
          <w:tab w:val="num" w:pos="1208"/>
        </w:tabs>
        <w:ind w:left="1208" w:hanging="357"/>
      </w:pPr>
      <w:rPr>
        <w:rFonts w:hint="default"/>
      </w:rPr>
    </w:lvl>
    <w:lvl w:ilvl="4">
      <w:start w:val="1"/>
      <w:numFmt w:val="lowerLetter"/>
      <w:pStyle w:val="ListNumber5"/>
      <w:lvlText w:val="%5."/>
      <w:lvlJc w:val="left"/>
      <w:pPr>
        <w:tabs>
          <w:tab w:val="num" w:pos="1491"/>
        </w:tabs>
        <w:ind w:left="1491" w:hanging="357"/>
      </w:pPr>
      <w:rPr>
        <w:rFonts w:hint="default"/>
      </w:rPr>
    </w:lvl>
    <w:lvl w:ilvl="5">
      <w:start w:val="1"/>
      <w:numFmt w:val="lowerRoman"/>
      <w:pStyle w:val="ListNumber6"/>
      <w:lvlText w:val="%6."/>
      <w:lvlJc w:val="left"/>
      <w:pPr>
        <w:tabs>
          <w:tab w:val="num" w:pos="1775"/>
        </w:tabs>
        <w:ind w:left="1775" w:hanging="357"/>
      </w:pPr>
      <w:rPr>
        <w:rFonts w:hint="default"/>
      </w:rPr>
    </w:lvl>
    <w:lvl w:ilvl="6">
      <w:start w:val="1"/>
      <w:numFmt w:val="decimal"/>
      <w:pStyle w:val="ListNumber7"/>
      <w:lvlText w:val="%7."/>
      <w:lvlJc w:val="left"/>
      <w:pPr>
        <w:tabs>
          <w:tab w:val="num" w:pos="2058"/>
        </w:tabs>
        <w:ind w:left="2058" w:hanging="357"/>
      </w:pPr>
      <w:rPr>
        <w:rFonts w:hint="default"/>
      </w:rPr>
    </w:lvl>
    <w:lvl w:ilvl="7">
      <w:start w:val="1"/>
      <w:numFmt w:val="lowerLetter"/>
      <w:pStyle w:val="ListNumber8"/>
      <w:lvlText w:val="%8."/>
      <w:lvlJc w:val="left"/>
      <w:pPr>
        <w:tabs>
          <w:tab w:val="num" w:pos="2342"/>
        </w:tabs>
        <w:ind w:left="2342" w:hanging="357"/>
      </w:pPr>
      <w:rPr>
        <w:rFonts w:hint="default"/>
      </w:rPr>
    </w:lvl>
    <w:lvl w:ilvl="8">
      <w:start w:val="1"/>
      <w:numFmt w:val="lowerRoman"/>
      <w:pStyle w:val="ListNumber9"/>
      <w:lvlText w:val="%9."/>
      <w:lvlJc w:val="left"/>
      <w:pPr>
        <w:tabs>
          <w:tab w:val="num" w:pos="2625"/>
        </w:tabs>
        <w:ind w:left="2625" w:hanging="357"/>
      </w:pPr>
      <w:rPr>
        <w:rFonts w:hint="default"/>
      </w:rPr>
    </w:lvl>
  </w:abstractNum>
  <w:abstractNum w:abstractNumId="34" w15:restartNumberingAfterBreak="0">
    <w:nsid w:val="60722E83"/>
    <w:multiLevelType w:val="multilevel"/>
    <w:tmpl w:val="D0F008C8"/>
    <w:styleLink w:val="BulletList"/>
    <w:lvl w:ilvl="0">
      <w:start w:val="1"/>
      <w:numFmt w:val="bullet"/>
      <w:pStyle w:val="ListBullet"/>
      <w:lvlText w:val=""/>
      <w:lvlJc w:val="left"/>
      <w:pPr>
        <w:tabs>
          <w:tab w:val="num" w:pos="357"/>
        </w:tabs>
        <w:ind w:left="360" w:hanging="360"/>
      </w:pPr>
      <w:rPr>
        <w:rFonts w:ascii="Wingdings 2" w:hAnsi="Wingdings 2" w:hint="default"/>
      </w:rPr>
    </w:lvl>
    <w:lvl w:ilvl="1">
      <w:start w:val="1"/>
      <w:numFmt w:val="bullet"/>
      <w:pStyle w:val="ListBullet2"/>
      <w:lvlText w:val="‒"/>
      <w:lvlJc w:val="left"/>
      <w:pPr>
        <w:tabs>
          <w:tab w:val="num" w:pos="641"/>
        </w:tabs>
        <w:ind w:left="641" w:hanging="357"/>
      </w:pPr>
      <w:rPr>
        <w:rFonts w:ascii="Arial" w:hAnsi="Arial" w:hint="default"/>
      </w:rPr>
    </w:lvl>
    <w:lvl w:ilvl="2">
      <w:start w:val="1"/>
      <w:numFmt w:val="bullet"/>
      <w:pStyle w:val="ListBullet3"/>
      <w:lvlText w:val=""/>
      <w:lvlJc w:val="left"/>
      <w:pPr>
        <w:tabs>
          <w:tab w:val="num" w:pos="924"/>
        </w:tabs>
        <w:ind w:left="924" w:hanging="357"/>
      </w:pPr>
      <w:rPr>
        <w:rFonts w:ascii="Symbol" w:hAnsi="Symbol" w:hint="default"/>
        <w:color w:val="auto"/>
      </w:rPr>
    </w:lvl>
    <w:lvl w:ilvl="3">
      <w:start w:val="1"/>
      <w:numFmt w:val="bullet"/>
      <w:pStyle w:val="ListBullet4"/>
      <w:lvlText w:val=""/>
      <w:lvlJc w:val="left"/>
      <w:pPr>
        <w:tabs>
          <w:tab w:val="num" w:pos="1208"/>
        </w:tabs>
        <w:ind w:left="1208" w:hanging="357"/>
      </w:pPr>
      <w:rPr>
        <w:rFonts w:ascii="Symbol" w:hAnsi="Symbol" w:hint="default"/>
        <w:color w:val="auto"/>
      </w:rPr>
    </w:lvl>
    <w:lvl w:ilvl="4">
      <w:start w:val="1"/>
      <w:numFmt w:val="bullet"/>
      <w:pStyle w:val="ListBullet5"/>
      <w:lvlText w:val="○"/>
      <w:lvlJc w:val="left"/>
      <w:pPr>
        <w:tabs>
          <w:tab w:val="num" w:pos="1491"/>
        </w:tabs>
        <w:ind w:left="1491" w:hanging="357"/>
      </w:pPr>
      <w:rPr>
        <w:rFonts w:ascii="Arial" w:hAnsi="Arial" w:hint="default"/>
      </w:rPr>
    </w:lvl>
    <w:lvl w:ilvl="5">
      <w:start w:val="1"/>
      <w:numFmt w:val="bullet"/>
      <w:pStyle w:val="ListBullet6"/>
      <w:lvlText w:val=""/>
      <w:lvlJc w:val="left"/>
      <w:pPr>
        <w:tabs>
          <w:tab w:val="num" w:pos="1775"/>
        </w:tabs>
        <w:ind w:left="1775" w:hanging="357"/>
      </w:pPr>
      <w:rPr>
        <w:rFonts w:ascii="Wingdings 2" w:hAnsi="Wingdings 2" w:hint="default"/>
      </w:rPr>
    </w:lvl>
    <w:lvl w:ilvl="6">
      <w:start w:val="1"/>
      <w:numFmt w:val="bullet"/>
      <w:pStyle w:val="ListBullet7"/>
      <w:lvlText w:val="‒"/>
      <w:lvlJc w:val="left"/>
      <w:pPr>
        <w:tabs>
          <w:tab w:val="num" w:pos="2058"/>
        </w:tabs>
        <w:ind w:left="2058" w:hanging="357"/>
      </w:pPr>
      <w:rPr>
        <w:rFonts w:ascii="Arial" w:hAnsi="Arial" w:hint="default"/>
      </w:rPr>
    </w:lvl>
    <w:lvl w:ilvl="7">
      <w:start w:val="1"/>
      <w:numFmt w:val="bullet"/>
      <w:pStyle w:val="ListBullet8"/>
      <w:lvlText w:val=""/>
      <w:lvlJc w:val="left"/>
      <w:pPr>
        <w:tabs>
          <w:tab w:val="num" w:pos="2342"/>
        </w:tabs>
        <w:ind w:left="2342" w:hanging="357"/>
      </w:pPr>
      <w:rPr>
        <w:rFonts w:ascii="Symbol" w:hAnsi="Symbol" w:hint="default"/>
        <w:color w:val="auto"/>
      </w:rPr>
    </w:lvl>
    <w:lvl w:ilvl="8">
      <w:start w:val="1"/>
      <w:numFmt w:val="bullet"/>
      <w:pStyle w:val="ListBullet9"/>
      <w:lvlText w:val=""/>
      <w:lvlJc w:val="left"/>
      <w:pPr>
        <w:tabs>
          <w:tab w:val="num" w:pos="2625"/>
        </w:tabs>
        <w:ind w:left="2625" w:hanging="357"/>
      </w:pPr>
      <w:rPr>
        <w:rFonts w:ascii="Symbol" w:hAnsi="Symbol" w:hint="default"/>
        <w:color w:val="auto"/>
      </w:rPr>
    </w:lvl>
  </w:abstractNum>
  <w:abstractNum w:abstractNumId="35"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471A61"/>
    <w:multiLevelType w:val="hybridMultilevel"/>
    <w:tmpl w:val="7E8E7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9" w15:restartNumberingAfterBreak="0">
    <w:nsid w:val="64974171"/>
    <w:multiLevelType w:val="hybridMultilevel"/>
    <w:tmpl w:val="7B48F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4A10AD"/>
    <w:multiLevelType w:val="hybridMultilevel"/>
    <w:tmpl w:val="119AB854"/>
    <w:lvl w:ilvl="0" w:tplc="F1E8F72C">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8D74216"/>
    <w:multiLevelType w:val="hybridMultilevel"/>
    <w:tmpl w:val="1A602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C317BE"/>
    <w:multiLevelType w:val="hybridMultilevel"/>
    <w:tmpl w:val="5A9C7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CE5C16"/>
    <w:multiLevelType w:val="hybridMultilevel"/>
    <w:tmpl w:val="F92CB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4F958AE"/>
    <w:multiLevelType w:val="hybridMultilevel"/>
    <w:tmpl w:val="6A7A39A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59778DF"/>
    <w:multiLevelType w:val="hybridMultilevel"/>
    <w:tmpl w:val="3A7CF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C46C13B2">
      <w:numFmt w:val="bullet"/>
      <w:lvlText w:val="•"/>
      <w:lvlJc w:val="left"/>
      <w:pPr>
        <w:ind w:left="3240" w:hanging="720"/>
      </w:pPr>
      <w:rPr>
        <w:rFonts w:ascii="Trebuchet MS" w:eastAsia="Times New Roman" w:hAnsi="Trebuchet MS" w:cs="Times New Roman"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321C37"/>
    <w:multiLevelType w:val="hybridMultilevel"/>
    <w:tmpl w:val="70643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11"/>
  </w:num>
  <w:num w:numId="4">
    <w:abstractNumId w:val="33"/>
  </w:num>
  <w:num w:numId="5">
    <w:abstractNumId w:val="18"/>
  </w:num>
  <w:num w:numId="6">
    <w:abstractNumId w:val="43"/>
  </w:num>
  <w:num w:numId="7">
    <w:abstractNumId w:val="35"/>
  </w:num>
  <w:num w:numId="8">
    <w:abstractNumId w:val="36"/>
  </w:num>
  <w:num w:numId="9">
    <w:abstractNumId w:val="7"/>
  </w:num>
  <w:num w:numId="10">
    <w:abstractNumId w:val="44"/>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29"/>
  </w:num>
  <w:num w:numId="14">
    <w:abstractNumId w:val="16"/>
  </w:num>
  <w:num w:numId="15">
    <w:abstractNumId w:val="46"/>
  </w:num>
  <w:num w:numId="16">
    <w:abstractNumId w:val="24"/>
  </w:num>
  <w:num w:numId="17">
    <w:abstractNumId w:val="31"/>
  </w:num>
  <w:num w:numId="18">
    <w:abstractNumId w:val="15"/>
  </w:num>
  <w:num w:numId="19">
    <w:abstractNumId w:val="2"/>
  </w:num>
  <w:num w:numId="20">
    <w:abstractNumId w:val="12"/>
  </w:num>
  <w:num w:numId="21">
    <w:abstractNumId w:val="39"/>
  </w:num>
  <w:num w:numId="22">
    <w:abstractNumId w:val="27"/>
  </w:num>
  <w:num w:numId="23">
    <w:abstractNumId w:val="21"/>
  </w:num>
  <w:num w:numId="24">
    <w:abstractNumId w:val="41"/>
  </w:num>
  <w:num w:numId="25">
    <w:abstractNumId w:val="13"/>
  </w:num>
  <w:num w:numId="26">
    <w:abstractNumId w:val="1"/>
  </w:num>
  <w:num w:numId="27">
    <w:abstractNumId w:val="14"/>
  </w:num>
  <w:num w:numId="28">
    <w:abstractNumId w:val="6"/>
  </w:num>
  <w:num w:numId="29">
    <w:abstractNumId w:val="10"/>
  </w:num>
  <w:num w:numId="30">
    <w:abstractNumId w:val="8"/>
  </w:num>
  <w:num w:numId="31">
    <w:abstractNumId w:val="47"/>
  </w:num>
  <w:num w:numId="32">
    <w:abstractNumId w:val="19"/>
  </w:num>
  <w:num w:numId="33">
    <w:abstractNumId w:val="45"/>
  </w:num>
  <w:num w:numId="34">
    <w:abstractNumId w:val="9"/>
  </w:num>
  <w:num w:numId="35">
    <w:abstractNumId w:val="3"/>
  </w:num>
  <w:num w:numId="36">
    <w:abstractNumId w:val="4"/>
  </w:num>
  <w:num w:numId="37">
    <w:abstractNumId w:val="26"/>
  </w:num>
  <w:num w:numId="38">
    <w:abstractNumId w:val="20"/>
  </w:num>
  <w:num w:numId="39">
    <w:abstractNumId w:val="28"/>
  </w:num>
  <w:num w:numId="40">
    <w:abstractNumId w:val="5"/>
  </w:num>
  <w:num w:numId="41">
    <w:abstractNumId w:val="17"/>
  </w:num>
  <w:num w:numId="42">
    <w:abstractNumId w:val="23"/>
  </w:num>
  <w:num w:numId="43">
    <w:abstractNumId w:val="22"/>
  </w:num>
  <w:num w:numId="44">
    <w:abstractNumId w:val="48"/>
  </w:num>
  <w:num w:numId="45">
    <w:abstractNumId w:val="42"/>
  </w:num>
  <w:num w:numId="46">
    <w:abstractNumId w:val="40"/>
  </w:num>
  <w:num w:numId="47">
    <w:abstractNumId w:val="30"/>
  </w:num>
  <w:num w:numId="48">
    <w:abstractNumId w:val="37"/>
  </w:num>
  <w:num w:numId="49">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NotTrackFormatting/>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3srAwMDUzNDE0MTZX0lEKTi0uzszPAykwMqkFAOo+WjQtAAAA"/>
  </w:docVars>
  <w:rsids>
    <w:rsidRoot w:val="00F97AF3"/>
    <w:rsid w:val="00000F42"/>
    <w:rsid w:val="00010D6B"/>
    <w:rsid w:val="00025F3C"/>
    <w:rsid w:val="0004327C"/>
    <w:rsid w:val="00043369"/>
    <w:rsid w:val="00047B34"/>
    <w:rsid w:val="00061F85"/>
    <w:rsid w:val="000668DE"/>
    <w:rsid w:val="00067FB3"/>
    <w:rsid w:val="00091B8D"/>
    <w:rsid w:val="000A618A"/>
    <w:rsid w:val="000C78A4"/>
    <w:rsid w:val="000D05CB"/>
    <w:rsid w:val="000E123E"/>
    <w:rsid w:val="000F398A"/>
    <w:rsid w:val="0011759D"/>
    <w:rsid w:val="001216FC"/>
    <w:rsid w:val="001248AB"/>
    <w:rsid w:val="00152BBB"/>
    <w:rsid w:val="00165F7A"/>
    <w:rsid w:val="001B40DA"/>
    <w:rsid w:val="001B5141"/>
    <w:rsid w:val="001C7116"/>
    <w:rsid w:val="001D0445"/>
    <w:rsid w:val="001E0C91"/>
    <w:rsid w:val="001E7A6B"/>
    <w:rsid w:val="00206C39"/>
    <w:rsid w:val="00213903"/>
    <w:rsid w:val="002151C6"/>
    <w:rsid w:val="00225580"/>
    <w:rsid w:val="00226ECE"/>
    <w:rsid w:val="00235E7E"/>
    <w:rsid w:val="002531B7"/>
    <w:rsid w:val="00260195"/>
    <w:rsid w:val="00272AD9"/>
    <w:rsid w:val="002764DB"/>
    <w:rsid w:val="00283C02"/>
    <w:rsid w:val="002952CC"/>
    <w:rsid w:val="002A0C33"/>
    <w:rsid w:val="002C341D"/>
    <w:rsid w:val="002E0873"/>
    <w:rsid w:val="002F24B2"/>
    <w:rsid w:val="00310579"/>
    <w:rsid w:val="00311092"/>
    <w:rsid w:val="003116DB"/>
    <w:rsid w:val="00317A0A"/>
    <w:rsid w:val="00361479"/>
    <w:rsid w:val="003819EF"/>
    <w:rsid w:val="00385F55"/>
    <w:rsid w:val="003927EF"/>
    <w:rsid w:val="0039402C"/>
    <w:rsid w:val="003B0620"/>
    <w:rsid w:val="003B13E0"/>
    <w:rsid w:val="003D0315"/>
    <w:rsid w:val="003E7D57"/>
    <w:rsid w:val="003F3641"/>
    <w:rsid w:val="003F5A51"/>
    <w:rsid w:val="00407354"/>
    <w:rsid w:val="00410751"/>
    <w:rsid w:val="00412474"/>
    <w:rsid w:val="004310EE"/>
    <w:rsid w:val="00431C54"/>
    <w:rsid w:val="00435973"/>
    <w:rsid w:val="00445240"/>
    <w:rsid w:val="00456A3E"/>
    <w:rsid w:val="00473C35"/>
    <w:rsid w:val="004A462B"/>
    <w:rsid w:val="004B2847"/>
    <w:rsid w:val="004B6AB7"/>
    <w:rsid w:val="004D0A79"/>
    <w:rsid w:val="004D7D50"/>
    <w:rsid w:val="004F53DD"/>
    <w:rsid w:val="00501FDD"/>
    <w:rsid w:val="005073C8"/>
    <w:rsid w:val="005675A1"/>
    <w:rsid w:val="005678F3"/>
    <w:rsid w:val="00582AC2"/>
    <w:rsid w:val="00584BD1"/>
    <w:rsid w:val="005A57A6"/>
    <w:rsid w:val="005B561A"/>
    <w:rsid w:val="005B5E08"/>
    <w:rsid w:val="005D43E3"/>
    <w:rsid w:val="005E1B18"/>
    <w:rsid w:val="005E7314"/>
    <w:rsid w:val="00603EDF"/>
    <w:rsid w:val="00615A0A"/>
    <w:rsid w:val="00621D9D"/>
    <w:rsid w:val="00631F3B"/>
    <w:rsid w:val="006443A9"/>
    <w:rsid w:val="00652C95"/>
    <w:rsid w:val="0065448A"/>
    <w:rsid w:val="00655D30"/>
    <w:rsid w:val="00677FF5"/>
    <w:rsid w:val="006917FC"/>
    <w:rsid w:val="00694D74"/>
    <w:rsid w:val="0069625E"/>
    <w:rsid w:val="00696D45"/>
    <w:rsid w:val="006B5C6E"/>
    <w:rsid w:val="006C0B43"/>
    <w:rsid w:val="006C0FC5"/>
    <w:rsid w:val="006C52F7"/>
    <w:rsid w:val="006D281B"/>
    <w:rsid w:val="006E0E84"/>
    <w:rsid w:val="007046F5"/>
    <w:rsid w:val="00721608"/>
    <w:rsid w:val="00727378"/>
    <w:rsid w:val="00735D6F"/>
    <w:rsid w:val="0075091B"/>
    <w:rsid w:val="0075492D"/>
    <w:rsid w:val="00761A84"/>
    <w:rsid w:val="0077133F"/>
    <w:rsid w:val="00774063"/>
    <w:rsid w:val="007829EB"/>
    <w:rsid w:val="007B35A5"/>
    <w:rsid w:val="007C7496"/>
    <w:rsid w:val="008145CF"/>
    <w:rsid w:val="00817DC4"/>
    <w:rsid w:val="00836235"/>
    <w:rsid w:val="00837EEF"/>
    <w:rsid w:val="00857C64"/>
    <w:rsid w:val="008601EF"/>
    <w:rsid w:val="00860271"/>
    <w:rsid w:val="00860C65"/>
    <w:rsid w:val="00861079"/>
    <w:rsid w:val="00865A57"/>
    <w:rsid w:val="00873E4F"/>
    <w:rsid w:val="008B0707"/>
    <w:rsid w:val="008C3D13"/>
    <w:rsid w:val="008D3859"/>
    <w:rsid w:val="008E7896"/>
    <w:rsid w:val="008F3516"/>
    <w:rsid w:val="008F592B"/>
    <w:rsid w:val="009110CB"/>
    <w:rsid w:val="00916771"/>
    <w:rsid w:val="009277DD"/>
    <w:rsid w:val="0093374B"/>
    <w:rsid w:val="009360EA"/>
    <w:rsid w:val="0096205E"/>
    <w:rsid w:val="00962E9C"/>
    <w:rsid w:val="00982F9E"/>
    <w:rsid w:val="0098428F"/>
    <w:rsid w:val="00991BD7"/>
    <w:rsid w:val="009978E1"/>
    <w:rsid w:val="009A29A9"/>
    <w:rsid w:val="009B58FF"/>
    <w:rsid w:val="009C3F4C"/>
    <w:rsid w:val="009D5D87"/>
    <w:rsid w:val="00A00AAC"/>
    <w:rsid w:val="00A032B2"/>
    <w:rsid w:val="00A05547"/>
    <w:rsid w:val="00A11CD5"/>
    <w:rsid w:val="00A14063"/>
    <w:rsid w:val="00A50F1F"/>
    <w:rsid w:val="00A84C31"/>
    <w:rsid w:val="00AA70EF"/>
    <w:rsid w:val="00AB72D0"/>
    <w:rsid w:val="00AD0B4B"/>
    <w:rsid w:val="00AD52E5"/>
    <w:rsid w:val="00AE1483"/>
    <w:rsid w:val="00AF1C4A"/>
    <w:rsid w:val="00B037E1"/>
    <w:rsid w:val="00B17374"/>
    <w:rsid w:val="00B201E5"/>
    <w:rsid w:val="00B21594"/>
    <w:rsid w:val="00B22455"/>
    <w:rsid w:val="00B316FE"/>
    <w:rsid w:val="00B34F57"/>
    <w:rsid w:val="00B3500C"/>
    <w:rsid w:val="00B402D5"/>
    <w:rsid w:val="00B4229B"/>
    <w:rsid w:val="00B45A3C"/>
    <w:rsid w:val="00B51F62"/>
    <w:rsid w:val="00B71575"/>
    <w:rsid w:val="00B8501B"/>
    <w:rsid w:val="00B87F84"/>
    <w:rsid w:val="00BB1320"/>
    <w:rsid w:val="00BB2A9C"/>
    <w:rsid w:val="00BC7E9C"/>
    <w:rsid w:val="00BE28B9"/>
    <w:rsid w:val="00BF34AE"/>
    <w:rsid w:val="00C24752"/>
    <w:rsid w:val="00C27618"/>
    <w:rsid w:val="00C41121"/>
    <w:rsid w:val="00C43707"/>
    <w:rsid w:val="00C520C0"/>
    <w:rsid w:val="00C52605"/>
    <w:rsid w:val="00C53059"/>
    <w:rsid w:val="00C602C4"/>
    <w:rsid w:val="00C74B1F"/>
    <w:rsid w:val="00C84F86"/>
    <w:rsid w:val="00CA00F5"/>
    <w:rsid w:val="00CC07F5"/>
    <w:rsid w:val="00CC0FEE"/>
    <w:rsid w:val="00CC430A"/>
    <w:rsid w:val="00CE28AA"/>
    <w:rsid w:val="00CE4CC7"/>
    <w:rsid w:val="00D0400B"/>
    <w:rsid w:val="00D043A0"/>
    <w:rsid w:val="00D113F4"/>
    <w:rsid w:val="00D13696"/>
    <w:rsid w:val="00D141DE"/>
    <w:rsid w:val="00D2072F"/>
    <w:rsid w:val="00D3219D"/>
    <w:rsid w:val="00D374B7"/>
    <w:rsid w:val="00D50F5A"/>
    <w:rsid w:val="00D84587"/>
    <w:rsid w:val="00D9173E"/>
    <w:rsid w:val="00D920AB"/>
    <w:rsid w:val="00DA6E25"/>
    <w:rsid w:val="00DC4BE9"/>
    <w:rsid w:val="00DE15CA"/>
    <w:rsid w:val="00DF4B83"/>
    <w:rsid w:val="00E13283"/>
    <w:rsid w:val="00E17368"/>
    <w:rsid w:val="00E3193D"/>
    <w:rsid w:val="00E378A8"/>
    <w:rsid w:val="00E4439C"/>
    <w:rsid w:val="00E517D0"/>
    <w:rsid w:val="00E56C39"/>
    <w:rsid w:val="00E71965"/>
    <w:rsid w:val="00E774A7"/>
    <w:rsid w:val="00E81D39"/>
    <w:rsid w:val="00E83D37"/>
    <w:rsid w:val="00E875E3"/>
    <w:rsid w:val="00EA133E"/>
    <w:rsid w:val="00EC060E"/>
    <w:rsid w:val="00ED6D20"/>
    <w:rsid w:val="00EE3BC9"/>
    <w:rsid w:val="00EE52A4"/>
    <w:rsid w:val="00EF7BBC"/>
    <w:rsid w:val="00F032C1"/>
    <w:rsid w:val="00F327C8"/>
    <w:rsid w:val="00F52630"/>
    <w:rsid w:val="00F6305F"/>
    <w:rsid w:val="00F76AED"/>
    <w:rsid w:val="00F77C2E"/>
    <w:rsid w:val="00F82834"/>
    <w:rsid w:val="00F908C3"/>
    <w:rsid w:val="00F92E48"/>
    <w:rsid w:val="00F9481C"/>
    <w:rsid w:val="00F97AF3"/>
    <w:rsid w:val="00FC5875"/>
    <w:rsid w:val="00FD27EA"/>
    <w:rsid w:val="00FD6CF8"/>
    <w:rsid w:val="00FE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EC4D80"/>
  <w15:chartTrackingRefBased/>
  <w15:docId w15:val="{FE9F1A5B-07CF-47C5-83A1-BCC212A3B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9"/>
        <w:szCs w:val="19"/>
        <w:lang w:val="en-US" w:eastAsia="en-US" w:bidi="ar-SA"/>
      </w:rPr>
    </w:rPrDefault>
    <w:pPrDefault>
      <w:pPr>
        <w:spacing w:before="160" w:line="324"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32"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semiHidden="1" w:uiPriority="34" w:unhideWhenUsed="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97AF3"/>
    <w:pPr>
      <w:spacing w:line="260" w:lineRule="exact"/>
    </w:pPr>
    <w:rPr>
      <w:rFonts w:ascii="Trebuchet MS" w:eastAsia="Times New Roman" w:hAnsi="Trebuchet MS" w:cs="Times New Roman"/>
      <w:szCs w:val="20"/>
      <w:lang w:val="en-AU"/>
    </w:rPr>
  </w:style>
  <w:style w:type="paragraph" w:styleId="Heading1">
    <w:name w:val="heading 1"/>
    <w:basedOn w:val="Normal"/>
    <w:next w:val="Normal"/>
    <w:link w:val="Heading1Char"/>
    <w:qFormat/>
    <w:rsid w:val="00B21594"/>
    <w:pPr>
      <w:keepNext/>
      <w:keepLines/>
      <w:spacing w:before="360" w:line="240" w:lineRule="auto"/>
      <w:outlineLvl w:val="0"/>
    </w:pPr>
    <w:rPr>
      <w:rFonts w:asciiTheme="majorHAnsi" w:eastAsiaTheme="majorEastAsia" w:hAnsiTheme="majorHAnsi" w:cstheme="majorBidi"/>
      <w:kern w:val="28"/>
      <w:sz w:val="44"/>
      <w:szCs w:val="32"/>
    </w:rPr>
  </w:style>
  <w:style w:type="paragraph" w:styleId="Heading2">
    <w:name w:val="heading 2"/>
    <w:basedOn w:val="Normal"/>
    <w:next w:val="Normal"/>
    <w:link w:val="Heading2Char"/>
    <w:unhideWhenUsed/>
    <w:qFormat/>
    <w:rsid w:val="00473C35"/>
    <w:pPr>
      <w:keepNext/>
      <w:keepLines/>
      <w:spacing w:before="360" w:line="240" w:lineRule="auto"/>
      <w:ind w:right="-369"/>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nhideWhenUsed/>
    <w:qFormat/>
    <w:rsid w:val="00473C35"/>
    <w:pPr>
      <w:keepNext/>
      <w:keepLines/>
      <w:spacing w:before="360" w:line="240" w:lineRule="auto"/>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nhideWhenUsed/>
    <w:qFormat/>
    <w:rsid w:val="00E17368"/>
    <w:pPr>
      <w:keepNext/>
      <w:keepLines/>
      <w:spacing w:before="240" w:line="240" w:lineRule="auto"/>
      <w:outlineLvl w:val="3"/>
    </w:pPr>
    <w:rPr>
      <w:rFonts w:asciiTheme="majorHAnsi" w:eastAsiaTheme="majorEastAsia" w:hAnsiTheme="majorHAnsi" w:cstheme="majorBidi"/>
      <w:i/>
      <w:iCs/>
      <w:sz w:val="24"/>
    </w:rPr>
  </w:style>
  <w:style w:type="paragraph" w:styleId="Heading5">
    <w:name w:val="heading 5"/>
    <w:basedOn w:val="Normal"/>
    <w:next w:val="Normal"/>
    <w:link w:val="Heading5Char"/>
    <w:unhideWhenUsed/>
    <w:qFormat/>
    <w:rsid w:val="00E17368"/>
    <w:pPr>
      <w:keepNext/>
      <w:keepLines/>
      <w:outlineLvl w:val="4"/>
    </w:pPr>
    <w:rPr>
      <w:rFonts w:ascii="Tahoma" w:eastAsiaTheme="majorEastAsia" w:hAnsi="Tahoma" w:cstheme="majorBidi"/>
      <w:b/>
    </w:rPr>
  </w:style>
  <w:style w:type="paragraph" w:styleId="Heading6">
    <w:name w:val="heading 6"/>
    <w:basedOn w:val="Normal"/>
    <w:next w:val="Normal"/>
    <w:link w:val="Heading6Char"/>
    <w:unhideWhenUsed/>
    <w:qFormat/>
    <w:rsid w:val="00E17368"/>
    <w:pPr>
      <w:keepNext/>
      <w:keepLines/>
      <w:spacing w:line="312" w:lineRule="auto"/>
      <w:ind w:left="2977"/>
      <w:outlineLvl w:val="5"/>
    </w:pPr>
    <w:rPr>
      <w:rFonts w:ascii="Tahoma" w:eastAsiaTheme="majorEastAsia" w:hAnsi="Tahoma" w:cstheme="majorBidi"/>
      <w:sz w:val="20"/>
    </w:rPr>
  </w:style>
  <w:style w:type="paragraph" w:styleId="Heading7">
    <w:name w:val="heading 7"/>
    <w:basedOn w:val="Normal"/>
    <w:next w:val="Normal"/>
    <w:link w:val="Heading7Char"/>
    <w:unhideWhenUsed/>
    <w:qFormat/>
    <w:rsid w:val="00E17368"/>
    <w:pPr>
      <w:keepNext/>
      <w:keepLines/>
      <w:spacing w:line="312" w:lineRule="auto"/>
      <w:jc w:val="center"/>
      <w:outlineLvl w:val="6"/>
    </w:pPr>
    <w:rPr>
      <w:rFonts w:ascii="Tahoma" w:eastAsiaTheme="majorEastAsia" w:hAnsi="Tahoma" w:cstheme="majorBidi"/>
      <w:iCs/>
      <w:sz w:val="20"/>
    </w:rPr>
  </w:style>
  <w:style w:type="paragraph" w:styleId="Heading8">
    <w:name w:val="heading 8"/>
    <w:basedOn w:val="Normal"/>
    <w:next w:val="Normal"/>
    <w:link w:val="Heading8Char"/>
    <w:unhideWhenUsed/>
    <w:qFormat/>
    <w:rsid w:val="002952CC"/>
    <w:pPr>
      <w:keepNext/>
      <w:keepLines/>
      <w:spacing w:line="312" w:lineRule="auto"/>
      <w:jc w:val="center"/>
      <w:outlineLvl w:val="7"/>
    </w:pPr>
    <w:rPr>
      <w:rFonts w:ascii="Tahoma" w:eastAsiaTheme="majorEastAsia" w:hAnsi="Tahoma" w:cstheme="majorBidi"/>
      <w:color w:val="BFBFBF" w:themeColor="background1" w:themeShade="BF"/>
      <w:spacing w:val="6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73C35"/>
    <w:rPr>
      <w:rFonts w:asciiTheme="majorHAnsi" w:eastAsiaTheme="majorEastAsia" w:hAnsiTheme="majorHAnsi" w:cstheme="majorBidi"/>
      <w:sz w:val="28"/>
      <w:szCs w:val="26"/>
    </w:rPr>
  </w:style>
  <w:style w:type="character" w:customStyle="1" w:styleId="Heading1Char">
    <w:name w:val="Heading 1 Char"/>
    <w:basedOn w:val="DefaultParagraphFont"/>
    <w:link w:val="Heading1"/>
    <w:rsid w:val="00B21594"/>
    <w:rPr>
      <w:rFonts w:asciiTheme="majorHAnsi" w:eastAsiaTheme="majorEastAsia" w:hAnsiTheme="majorHAnsi" w:cstheme="majorBidi"/>
      <w:kern w:val="28"/>
      <w:sz w:val="44"/>
      <w:szCs w:val="32"/>
    </w:rPr>
  </w:style>
  <w:style w:type="paragraph" w:styleId="Title">
    <w:name w:val="Title"/>
    <w:basedOn w:val="Normal"/>
    <w:next w:val="Normal"/>
    <w:link w:val="TitleChar"/>
    <w:uiPriority w:val="10"/>
    <w:qFormat/>
    <w:rsid w:val="002952CC"/>
    <w:pPr>
      <w:spacing w:before="0" w:after="120" w:line="240" w:lineRule="auto"/>
    </w:pPr>
    <w:rPr>
      <w:rFonts w:asciiTheme="majorHAnsi" w:eastAsiaTheme="majorEastAsia" w:hAnsiTheme="majorHAnsi" w:cstheme="majorBidi"/>
      <w:color w:val="0081C6" w:themeColor="accent4"/>
      <w:spacing w:val="-10"/>
      <w:kern w:val="28"/>
      <w:sz w:val="55"/>
      <w:szCs w:val="56"/>
    </w:rPr>
  </w:style>
  <w:style w:type="character" w:customStyle="1" w:styleId="Heading3Char">
    <w:name w:val="Heading 3 Char"/>
    <w:basedOn w:val="DefaultParagraphFont"/>
    <w:link w:val="Heading3"/>
    <w:rsid w:val="00473C35"/>
    <w:rPr>
      <w:rFonts w:asciiTheme="majorHAnsi" w:eastAsiaTheme="majorEastAsia" w:hAnsiTheme="majorHAnsi" w:cstheme="majorBidi"/>
      <w:sz w:val="24"/>
      <w:szCs w:val="24"/>
    </w:rPr>
  </w:style>
  <w:style w:type="character" w:customStyle="1" w:styleId="Heading4Char">
    <w:name w:val="Heading 4 Char"/>
    <w:basedOn w:val="DefaultParagraphFont"/>
    <w:link w:val="Heading4"/>
    <w:rsid w:val="00E17368"/>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E17368"/>
    <w:rPr>
      <w:rFonts w:ascii="Tahoma" w:eastAsiaTheme="majorEastAsia" w:hAnsi="Tahoma" w:cstheme="majorBidi"/>
      <w:b/>
    </w:rPr>
  </w:style>
  <w:style w:type="character" w:customStyle="1" w:styleId="Heading6Char">
    <w:name w:val="Heading 6 Char"/>
    <w:basedOn w:val="DefaultParagraphFont"/>
    <w:link w:val="Heading6"/>
    <w:uiPriority w:val="9"/>
    <w:semiHidden/>
    <w:rsid w:val="00E17368"/>
    <w:rPr>
      <w:rFonts w:ascii="Tahoma" w:eastAsiaTheme="majorEastAsia" w:hAnsi="Tahoma" w:cstheme="majorBidi"/>
      <w:sz w:val="20"/>
    </w:rPr>
  </w:style>
  <w:style w:type="character" w:customStyle="1" w:styleId="Heading7Char">
    <w:name w:val="Heading 7 Char"/>
    <w:basedOn w:val="DefaultParagraphFont"/>
    <w:link w:val="Heading7"/>
    <w:uiPriority w:val="9"/>
    <w:semiHidden/>
    <w:rsid w:val="00E17368"/>
    <w:rPr>
      <w:rFonts w:ascii="Tahoma" w:eastAsiaTheme="majorEastAsia" w:hAnsi="Tahoma" w:cstheme="majorBidi"/>
      <w:iCs/>
      <w:sz w:val="20"/>
    </w:rPr>
  </w:style>
  <w:style w:type="character" w:customStyle="1" w:styleId="Heading8Char">
    <w:name w:val="Heading 8 Char"/>
    <w:basedOn w:val="DefaultParagraphFont"/>
    <w:link w:val="Heading8"/>
    <w:uiPriority w:val="9"/>
    <w:semiHidden/>
    <w:rsid w:val="002952CC"/>
    <w:rPr>
      <w:rFonts w:ascii="Tahoma" w:eastAsiaTheme="majorEastAsia" w:hAnsi="Tahoma" w:cstheme="majorBidi"/>
      <w:color w:val="BFBFBF" w:themeColor="background1" w:themeShade="BF"/>
      <w:spacing w:val="60"/>
      <w:sz w:val="20"/>
      <w:szCs w:val="21"/>
    </w:rPr>
  </w:style>
  <w:style w:type="character" w:customStyle="1" w:styleId="TitleChar">
    <w:name w:val="Title Char"/>
    <w:basedOn w:val="DefaultParagraphFont"/>
    <w:link w:val="Title"/>
    <w:uiPriority w:val="10"/>
    <w:rsid w:val="00F908C3"/>
    <w:rPr>
      <w:rFonts w:asciiTheme="majorHAnsi" w:eastAsiaTheme="majorEastAsia" w:hAnsiTheme="majorHAnsi" w:cstheme="majorBidi"/>
      <w:color w:val="0081C6" w:themeColor="accent4"/>
      <w:spacing w:val="-10"/>
      <w:kern w:val="28"/>
      <w:sz w:val="55"/>
      <w:szCs w:val="56"/>
    </w:rPr>
  </w:style>
  <w:style w:type="paragraph" w:styleId="Subtitle">
    <w:name w:val="Subtitle"/>
    <w:basedOn w:val="Normal"/>
    <w:next w:val="Normal"/>
    <w:link w:val="SubtitleChar"/>
    <w:uiPriority w:val="18"/>
    <w:qFormat/>
    <w:rsid w:val="002952CC"/>
    <w:pPr>
      <w:numPr>
        <w:ilvl w:val="1"/>
      </w:numPr>
      <w:spacing w:before="0" w:after="120" w:line="240" w:lineRule="auto"/>
    </w:pPr>
    <w:rPr>
      <w:rFonts w:asciiTheme="majorHAnsi" w:eastAsiaTheme="minorEastAsia" w:hAnsiTheme="majorHAnsi"/>
      <w:color w:val="0081C6" w:themeColor="accent4"/>
      <w:kern w:val="28"/>
      <w:sz w:val="44"/>
      <w:szCs w:val="22"/>
    </w:rPr>
  </w:style>
  <w:style w:type="character" w:customStyle="1" w:styleId="SubtitleChar">
    <w:name w:val="Subtitle Char"/>
    <w:basedOn w:val="DefaultParagraphFont"/>
    <w:link w:val="Subtitle"/>
    <w:uiPriority w:val="18"/>
    <w:rsid w:val="00F908C3"/>
    <w:rPr>
      <w:rFonts w:asciiTheme="majorHAnsi" w:eastAsiaTheme="minorEastAsia" w:hAnsiTheme="majorHAnsi"/>
      <w:color w:val="0081C6" w:themeColor="accent4"/>
      <w:kern w:val="28"/>
      <w:sz w:val="44"/>
      <w:szCs w:val="22"/>
    </w:rPr>
  </w:style>
  <w:style w:type="character" w:styleId="IntenseEmphasis">
    <w:name w:val="Intense Emphasis"/>
    <w:basedOn w:val="DefaultParagraphFont"/>
    <w:uiPriority w:val="21"/>
    <w:qFormat/>
    <w:rsid w:val="00EE52A4"/>
    <w:rPr>
      <w:i/>
      <w:iCs/>
      <w:color w:val="0081C6" w:themeColor="accent4"/>
    </w:rPr>
  </w:style>
  <w:style w:type="paragraph" w:styleId="IntenseQuote">
    <w:name w:val="Intense Quote"/>
    <w:basedOn w:val="Normal"/>
    <w:next w:val="Normal"/>
    <w:link w:val="IntenseQuoteChar"/>
    <w:uiPriority w:val="30"/>
    <w:qFormat/>
    <w:rsid w:val="00EE52A4"/>
    <w:pPr>
      <w:pBdr>
        <w:top w:val="single" w:sz="4" w:space="10" w:color="0081C6" w:themeColor="accent4"/>
        <w:bottom w:val="single" w:sz="4" w:space="10" w:color="0081C6" w:themeColor="accent4"/>
      </w:pBdr>
      <w:spacing w:before="360" w:after="360"/>
      <w:ind w:left="864" w:right="864"/>
      <w:jc w:val="center"/>
    </w:pPr>
    <w:rPr>
      <w:i/>
      <w:iCs/>
      <w:color w:val="0081C6" w:themeColor="accent4"/>
    </w:rPr>
  </w:style>
  <w:style w:type="character" w:customStyle="1" w:styleId="IntenseQuoteChar">
    <w:name w:val="Intense Quote Char"/>
    <w:basedOn w:val="DefaultParagraphFont"/>
    <w:link w:val="IntenseQuote"/>
    <w:uiPriority w:val="30"/>
    <w:rsid w:val="00EE52A4"/>
    <w:rPr>
      <w:i/>
      <w:iCs/>
      <w:color w:val="0081C6" w:themeColor="accent4"/>
    </w:rPr>
  </w:style>
  <w:style w:type="paragraph" w:customStyle="1" w:styleId="Tabletext">
    <w:name w:val="Table text"/>
    <w:basedOn w:val="Normal"/>
    <w:uiPriority w:val="39"/>
    <w:unhideWhenUsed/>
    <w:qFormat/>
    <w:rsid w:val="00385F55"/>
    <w:pPr>
      <w:spacing w:before="0" w:line="240" w:lineRule="auto"/>
    </w:pPr>
    <w:rPr>
      <w:rFonts w:ascii="Arial" w:hAnsi="Arial"/>
      <w:sz w:val="17"/>
    </w:rPr>
  </w:style>
  <w:style w:type="paragraph" w:styleId="Caption">
    <w:name w:val="caption"/>
    <w:basedOn w:val="Normal"/>
    <w:next w:val="Normal"/>
    <w:uiPriority w:val="12"/>
    <w:qFormat/>
    <w:rsid w:val="002151C6"/>
    <w:pPr>
      <w:spacing w:before="360" w:after="80" w:line="240" w:lineRule="auto"/>
      <w:ind w:left="851" w:hanging="851"/>
    </w:pPr>
    <w:rPr>
      <w:rFonts w:ascii="Tahoma" w:hAnsi="Tahoma"/>
      <w:b/>
      <w:iCs/>
      <w:sz w:val="17"/>
      <w:szCs w:val="18"/>
    </w:rPr>
  </w:style>
  <w:style w:type="paragraph" w:customStyle="1" w:styleId="HiddenText">
    <w:name w:val="Hidden Text"/>
    <w:basedOn w:val="Normal"/>
    <w:uiPriority w:val="10"/>
    <w:qFormat/>
    <w:rsid w:val="002151C6"/>
    <w:rPr>
      <w:i/>
      <w:vanish/>
      <w:color w:val="0A8CFF" w:themeColor="accent1" w:themeTint="99"/>
    </w:rPr>
  </w:style>
  <w:style w:type="paragraph" w:customStyle="1" w:styleId="Citation">
    <w:name w:val="Citation"/>
    <w:basedOn w:val="Normal"/>
    <w:uiPriority w:val="13"/>
    <w:qFormat/>
    <w:rsid w:val="002151C6"/>
    <w:pPr>
      <w:spacing w:before="40" w:line="240" w:lineRule="auto"/>
      <w:ind w:left="567" w:hanging="567"/>
    </w:pPr>
    <w:rPr>
      <w:rFonts w:ascii="Arial" w:hAnsi="Arial"/>
      <w:sz w:val="15"/>
    </w:rPr>
  </w:style>
  <w:style w:type="paragraph" w:customStyle="1" w:styleId="Author">
    <w:name w:val="Author"/>
    <w:basedOn w:val="Normal"/>
    <w:uiPriority w:val="1"/>
    <w:qFormat/>
    <w:rsid w:val="002151C6"/>
    <w:pPr>
      <w:spacing w:before="0" w:after="200" w:line="276" w:lineRule="auto"/>
    </w:pPr>
    <w:rPr>
      <w:rFonts w:asciiTheme="majorHAnsi" w:hAnsiTheme="majorHAnsi"/>
      <w:sz w:val="28"/>
    </w:rPr>
  </w:style>
  <w:style w:type="paragraph" w:styleId="TOCHeading">
    <w:name w:val="TOC Heading"/>
    <w:basedOn w:val="Heading1"/>
    <w:next w:val="Normal"/>
    <w:uiPriority w:val="39"/>
    <w:qFormat/>
    <w:rsid w:val="002531B7"/>
    <w:pPr>
      <w:spacing w:before="0" w:after="360"/>
      <w:outlineLvl w:val="9"/>
    </w:pPr>
    <w:rPr>
      <w:sz w:val="56"/>
    </w:rPr>
  </w:style>
  <w:style w:type="paragraph" w:styleId="FootnoteText">
    <w:name w:val="footnote text"/>
    <w:basedOn w:val="Normal"/>
    <w:link w:val="FootnoteTextChar"/>
    <w:uiPriority w:val="99"/>
    <w:unhideWhenUsed/>
    <w:rsid w:val="00260195"/>
    <w:pPr>
      <w:tabs>
        <w:tab w:val="left" w:pos="1418"/>
      </w:tabs>
      <w:spacing w:before="0" w:line="312" w:lineRule="auto"/>
      <w:ind w:left="170" w:hanging="170"/>
    </w:pPr>
    <w:rPr>
      <w:sz w:val="16"/>
    </w:rPr>
  </w:style>
  <w:style w:type="character" w:customStyle="1" w:styleId="FootnoteTextChar">
    <w:name w:val="Footnote Text Char"/>
    <w:basedOn w:val="DefaultParagraphFont"/>
    <w:link w:val="FootnoteText"/>
    <w:uiPriority w:val="99"/>
    <w:rsid w:val="00260195"/>
    <w:rPr>
      <w:sz w:val="16"/>
      <w:szCs w:val="20"/>
    </w:rPr>
  </w:style>
  <w:style w:type="character" w:styleId="FootnoteReference">
    <w:name w:val="footnote reference"/>
    <w:basedOn w:val="DefaultParagraphFont"/>
    <w:uiPriority w:val="99"/>
    <w:unhideWhenUsed/>
    <w:rsid w:val="0093374B"/>
    <w:rPr>
      <w:rFonts w:asciiTheme="minorHAnsi" w:hAnsiTheme="minorHAnsi"/>
      <w:b w:val="0"/>
      <w:i w:val="0"/>
      <w:sz w:val="16"/>
      <w:vertAlign w:val="baseline"/>
    </w:rPr>
  </w:style>
  <w:style w:type="paragraph" w:styleId="TOC1">
    <w:name w:val="toc 1"/>
    <w:basedOn w:val="Normal"/>
    <w:next w:val="Normal"/>
    <w:autoRedefine/>
    <w:uiPriority w:val="39"/>
    <w:unhideWhenUsed/>
    <w:rsid w:val="009A29A9"/>
    <w:pPr>
      <w:tabs>
        <w:tab w:val="left" w:pos="6803"/>
      </w:tabs>
      <w:spacing w:before="120"/>
      <w:ind w:right="1985"/>
    </w:pPr>
  </w:style>
  <w:style w:type="paragraph" w:styleId="TOC2">
    <w:name w:val="toc 2"/>
    <w:basedOn w:val="Normal"/>
    <w:next w:val="Normal"/>
    <w:autoRedefine/>
    <w:uiPriority w:val="39"/>
    <w:unhideWhenUsed/>
    <w:rsid w:val="009A29A9"/>
    <w:pPr>
      <w:tabs>
        <w:tab w:val="left" w:pos="6804"/>
      </w:tabs>
      <w:spacing w:before="20" w:after="20"/>
      <w:ind w:left="284" w:right="-1"/>
    </w:pPr>
  </w:style>
  <w:style w:type="paragraph" w:styleId="TOC3">
    <w:name w:val="toc 3"/>
    <w:basedOn w:val="Normal"/>
    <w:next w:val="Normal"/>
    <w:autoRedefine/>
    <w:semiHidden/>
    <w:unhideWhenUsed/>
    <w:rsid w:val="00226ECE"/>
    <w:pPr>
      <w:tabs>
        <w:tab w:val="left" w:pos="6804"/>
      </w:tabs>
      <w:spacing w:before="20" w:after="20"/>
      <w:ind w:left="442"/>
    </w:pPr>
  </w:style>
  <w:style w:type="paragraph" w:styleId="TOC4">
    <w:name w:val="toc 4"/>
    <w:basedOn w:val="Normal"/>
    <w:next w:val="Normal"/>
    <w:autoRedefine/>
    <w:semiHidden/>
    <w:unhideWhenUsed/>
    <w:rsid w:val="00C74B1F"/>
    <w:pPr>
      <w:tabs>
        <w:tab w:val="left" w:pos="6804"/>
      </w:tabs>
      <w:spacing w:before="20" w:after="20"/>
      <w:ind w:left="658"/>
    </w:pPr>
  </w:style>
  <w:style w:type="paragraph" w:styleId="TOC6">
    <w:name w:val="toc 6"/>
    <w:basedOn w:val="Normal"/>
    <w:next w:val="Normal"/>
    <w:autoRedefine/>
    <w:uiPriority w:val="39"/>
    <w:semiHidden/>
    <w:unhideWhenUsed/>
    <w:rsid w:val="00226ECE"/>
    <w:pPr>
      <w:tabs>
        <w:tab w:val="left" w:pos="6804"/>
      </w:tabs>
      <w:spacing w:before="20" w:after="20"/>
      <w:ind w:left="760"/>
    </w:pPr>
  </w:style>
  <w:style w:type="paragraph" w:styleId="TOC7">
    <w:name w:val="toc 7"/>
    <w:basedOn w:val="Normal"/>
    <w:next w:val="Normal"/>
    <w:autoRedefine/>
    <w:uiPriority w:val="39"/>
    <w:semiHidden/>
    <w:unhideWhenUsed/>
    <w:rsid w:val="00C74B1F"/>
    <w:pPr>
      <w:tabs>
        <w:tab w:val="left" w:pos="6804"/>
      </w:tabs>
      <w:spacing w:before="20" w:after="20"/>
      <w:ind w:left="1140"/>
    </w:pPr>
  </w:style>
  <w:style w:type="paragraph" w:styleId="TOC8">
    <w:name w:val="toc 8"/>
    <w:basedOn w:val="Normal"/>
    <w:next w:val="Normal"/>
    <w:autoRedefine/>
    <w:uiPriority w:val="39"/>
    <w:semiHidden/>
    <w:unhideWhenUsed/>
    <w:rsid w:val="00C74B1F"/>
    <w:pPr>
      <w:tabs>
        <w:tab w:val="left" w:pos="6804"/>
      </w:tabs>
      <w:spacing w:before="20" w:after="20"/>
      <w:ind w:left="1332"/>
    </w:pPr>
  </w:style>
  <w:style w:type="paragraph" w:styleId="TOC5">
    <w:name w:val="toc 5"/>
    <w:basedOn w:val="Normal"/>
    <w:next w:val="Normal"/>
    <w:autoRedefine/>
    <w:uiPriority w:val="39"/>
    <w:semiHidden/>
    <w:unhideWhenUsed/>
    <w:rsid w:val="00C74B1F"/>
    <w:pPr>
      <w:tabs>
        <w:tab w:val="left" w:pos="6804"/>
      </w:tabs>
      <w:spacing w:before="20" w:after="20"/>
      <w:ind w:left="760"/>
    </w:pPr>
  </w:style>
  <w:style w:type="numbering" w:customStyle="1" w:styleId="BulletList">
    <w:name w:val="BulletList"/>
    <w:uiPriority w:val="99"/>
    <w:rsid w:val="008B0707"/>
    <w:pPr>
      <w:numPr>
        <w:numId w:val="1"/>
      </w:numPr>
    </w:pPr>
  </w:style>
  <w:style w:type="paragraph" w:styleId="ListBullet">
    <w:name w:val="List Bullet"/>
    <w:basedOn w:val="Normal"/>
    <w:qFormat/>
    <w:rsid w:val="00694D74"/>
    <w:pPr>
      <w:numPr>
        <w:numId w:val="3"/>
      </w:numPr>
      <w:spacing w:before="120"/>
      <w:ind w:left="284" w:hanging="284"/>
    </w:pPr>
  </w:style>
  <w:style w:type="paragraph" w:styleId="ListBullet2">
    <w:name w:val="List Bullet 2"/>
    <w:basedOn w:val="Normal"/>
    <w:uiPriority w:val="99"/>
    <w:unhideWhenUsed/>
    <w:rsid w:val="00694D74"/>
    <w:pPr>
      <w:numPr>
        <w:ilvl w:val="1"/>
        <w:numId w:val="3"/>
      </w:numPr>
      <w:spacing w:before="120"/>
      <w:ind w:left="585" w:hanging="284"/>
    </w:pPr>
  </w:style>
  <w:style w:type="paragraph" w:styleId="ListBullet3">
    <w:name w:val="List Bullet 3"/>
    <w:basedOn w:val="Normal"/>
    <w:uiPriority w:val="99"/>
    <w:unhideWhenUsed/>
    <w:rsid w:val="00694D74"/>
    <w:pPr>
      <w:numPr>
        <w:ilvl w:val="2"/>
        <w:numId w:val="3"/>
      </w:numPr>
      <w:spacing w:before="120"/>
      <w:ind w:left="851" w:hanging="284"/>
    </w:pPr>
  </w:style>
  <w:style w:type="paragraph" w:styleId="ListBullet4">
    <w:name w:val="List Bullet 4"/>
    <w:basedOn w:val="Normal"/>
    <w:uiPriority w:val="99"/>
    <w:unhideWhenUsed/>
    <w:rsid w:val="00694D74"/>
    <w:pPr>
      <w:numPr>
        <w:ilvl w:val="3"/>
        <w:numId w:val="3"/>
      </w:numPr>
      <w:spacing w:before="120"/>
      <w:ind w:left="1140" w:hanging="284"/>
    </w:pPr>
  </w:style>
  <w:style w:type="paragraph" w:styleId="ListBullet5">
    <w:name w:val="List Bullet 5"/>
    <w:basedOn w:val="Normal"/>
    <w:uiPriority w:val="99"/>
    <w:unhideWhenUsed/>
    <w:rsid w:val="00694D74"/>
    <w:pPr>
      <w:numPr>
        <w:ilvl w:val="4"/>
        <w:numId w:val="3"/>
      </w:numPr>
      <w:spacing w:before="120"/>
      <w:ind w:left="1418" w:hanging="284"/>
    </w:pPr>
  </w:style>
  <w:style w:type="numbering" w:customStyle="1" w:styleId="NumberList">
    <w:name w:val="NumberList"/>
    <w:uiPriority w:val="99"/>
    <w:rsid w:val="004D0A79"/>
    <w:pPr>
      <w:numPr>
        <w:numId w:val="4"/>
      </w:numPr>
    </w:pPr>
  </w:style>
  <w:style w:type="paragraph" w:customStyle="1" w:styleId="ListBullet6">
    <w:name w:val="List Bullet 6"/>
    <w:basedOn w:val="Normal"/>
    <w:uiPriority w:val="99"/>
    <w:unhideWhenUsed/>
    <w:rsid w:val="00694D74"/>
    <w:pPr>
      <w:numPr>
        <w:ilvl w:val="5"/>
        <w:numId w:val="3"/>
      </w:numPr>
      <w:tabs>
        <w:tab w:val="left" w:pos="1775"/>
      </w:tabs>
      <w:spacing w:before="120"/>
      <w:ind w:left="1702" w:hanging="284"/>
    </w:pPr>
  </w:style>
  <w:style w:type="paragraph" w:customStyle="1" w:styleId="ListBullet7">
    <w:name w:val="List Bullet 7"/>
    <w:basedOn w:val="Normal"/>
    <w:uiPriority w:val="99"/>
    <w:unhideWhenUsed/>
    <w:rsid w:val="00694D74"/>
    <w:pPr>
      <w:numPr>
        <w:ilvl w:val="6"/>
        <w:numId w:val="3"/>
      </w:numPr>
      <w:tabs>
        <w:tab w:val="left" w:pos="2058"/>
      </w:tabs>
      <w:spacing w:before="120"/>
      <w:ind w:left="2002" w:hanging="284"/>
    </w:pPr>
  </w:style>
  <w:style w:type="paragraph" w:customStyle="1" w:styleId="ListBullet8">
    <w:name w:val="List Bullet 8"/>
    <w:basedOn w:val="Normal"/>
    <w:uiPriority w:val="99"/>
    <w:unhideWhenUsed/>
    <w:rsid w:val="00694D74"/>
    <w:pPr>
      <w:numPr>
        <w:ilvl w:val="7"/>
        <w:numId w:val="3"/>
      </w:numPr>
      <w:tabs>
        <w:tab w:val="left" w:pos="2342"/>
      </w:tabs>
      <w:spacing w:before="120"/>
      <w:ind w:left="2269" w:hanging="284"/>
    </w:pPr>
  </w:style>
  <w:style w:type="paragraph" w:customStyle="1" w:styleId="ListBullet9">
    <w:name w:val="List Bullet 9"/>
    <w:basedOn w:val="Normal"/>
    <w:uiPriority w:val="99"/>
    <w:unhideWhenUsed/>
    <w:rsid w:val="00694D74"/>
    <w:pPr>
      <w:numPr>
        <w:ilvl w:val="8"/>
        <w:numId w:val="3"/>
      </w:numPr>
      <w:tabs>
        <w:tab w:val="left" w:pos="2625"/>
      </w:tabs>
      <w:spacing w:before="120"/>
      <w:ind w:left="2563" w:hanging="284"/>
    </w:pPr>
  </w:style>
  <w:style w:type="paragraph" w:styleId="ListNumber">
    <w:name w:val="List Number"/>
    <w:basedOn w:val="Normal"/>
    <w:qFormat/>
    <w:rsid w:val="00694D74"/>
    <w:pPr>
      <w:numPr>
        <w:numId w:val="5"/>
      </w:numPr>
      <w:spacing w:before="120"/>
      <w:ind w:left="284" w:hanging="284"/>
    </w:pPr>
  </w:style>
  <w:style w:type="paragraph" w:styleId="ListNumber2">
    <w:name w:val="List Number 2"/>
    <w:basedOn w:val="Normal"/>
    <w:uiPriority w:val="99"/>
    <w:unhideWhenUsed/>
    <w:rsid w:val="00694D74"/>
    <w:pPr>
      <w:numPr>
        <w:ilvl w:val="1"/>
        <w:numId w:val="5"/>
      </w:numPr>
      <w:spacing w:before="120"/>
      <w:ind w:left="573" w:hanging="284"/>
    </w:pPr>
  </w:style>
  <w:style w:type="paragraph" w:styleId="ListNumber3">
    <w:name w:val="List Number 3"/>
    <w:basedOn w:val="Normal"/>
    <w:uiPriority w:val="99"/>
    <w:unhideWhenUsed/>
    <w:rsid w:val="00694D74"/>
    <w:pPr>
      <w:numPr>
        <w:ilvl w:val="2"/>
        <w:numId w:val="5"/>
      </w:numPr>
      <w:spacing w:before="120"/>
      <w:ind w:left="857" w:hanging="284"/>
    </w:pPr>
  </w:style>
  <w:style w:type="paragraph" w:styleId="ListNumber4">
    <w:name w:val="List Number 4"/>
    <w:basedOn w:val="Normal"/>
    <w:uiPriority w:val="99"/>
    <w:unhideWhenUsed/>
    <w:rsid w:val="00694D74"/>
    <w:pPr>
      <w:numPr>
        <w:ilvl w:val="3"/>
        <w:numId w:val="5"/>
      </w:numPr>
      <w:spacing w:before="120"/>
      <w:ind w:left="1135" w:hanging="284"/>
    </w:pPr>
  </w:style>
  <w:style w:type="paragraph" w:styleId="ListNumber5">
    <w:name w:val="List Number 5"/>
    <w:basedOn w:val="Normal"/>
    <w:uiPriority w:val="99"/>
    <w:unhideWhenUsed/>
    <w:rsid w:val="00694D74"/>
    <w:pPr>
      <w:numPr>
        <w:ilvl w:val="4"/>
        <w:numId w:val="5"/>
      </w:numPr>
      <w:spacing w:before="120"/>
      <w:ind w:left="1418" w:hanging="284"/>
    </w:pPr>
  </w:style>
  <w:style w:type="paragraph" w:customStyle="1" w:styleId="ListNumber6">
    <w:name w:val="List Number 6"/>
    <w:basedOn w:val="Normal"/>
    <w:uiPriority w:val="99"/>
    <w:unhideWhenUsed/>
    <w:rsid w:val="00694D74"/>
    <w:pPr>
      <w:numPr>
        <w:ilvl w:val="5"/>
        <w:numId w:val="5"/>
      </w:numPr>
      <w:tabs>
        <w:tab w:val="left" w:pos="1775"/>
      </w:tabs>
      <w:spacing w:before="120"/>
      <w:ind w:left="1702" w:hanging="284"/>
    </w:pPr>
  </w:style>
  <w:style w:type="paragraph" w:customStyle="1" w:styleId="ListNumber7">
    <w:name w:val="List Number 7"/>
    <w:basedOn w:val="Normal"/>
    <w:uiPriority w:val="99"/>
    <w:unhideWhenUsed/>
    <w:rsid w:val="00694D74"/>
    <w:pPr>
      <w:numPr>
        <w:ilvl w:val="6"/>
        <w:numId w:val="5"/>
      </w:numPr>
      <w:tabs>
        <w:tab w:val="left" w:pos="2058"/>
      </w:tabs>
      <w:spacing w:before="120"/>
      <w:ind w:left="1985" w:hanging="284"/>
    </w:pPr>
  </w:style>
  <w:style w:type="paragraph" w:customStyle="1" w:styleId="ListNumber8">
    <w:name w:val="List Number 8"/>
    <w:basedOn w:val="Normal"/>
    <w:uiPriority w:val="99"/>
    <w:unhideWhenUsed/>
    <w:rsid w:val="00694D74"/>
    <w:pPr>
      <w:numPr>
        <w:ilvl w:val="7"/>
        <w:numId w:val="5"/>
      </w:numPr>
      <w:tabs>
        <w:tab w:val="left" w:pos="2342"/>
      </w:tabs>
      <w:spacing w:before="120"/>
      <w:ind w:left="2269" w:hanging="284"/>
    </w:pPr>
  </w:style>
  <w:style w:type="paragraph" w:customStyle="1" w:styleId="ListNumber9">
    <w:name w:val="List Number 9"/>
    <w:basedOn w:val="Normal"/>
    <w:uiPriority w:val="99"/>
    <w:unhideWhenUsed/>
    <w:rsid w:val="00694D74"/>
    <w:pPr>
      <w:numPr>
        <w:ilvl w:val="8"/>
        <w:numId w:val="5"/>
      </w:numPr>
      <w:tabs>
        <w:tab w:val="left" w:pos="2625"/>
      </w:tabs>
      <w:spacing w:before="120"/>
      <w:ind w:left="2552" w:hanging="284"/>
    </w:pPr>
  </w:style>
  <w:style w:type="table" w:customStyle="1" w:styleId="NCVERTable">
    <w:name w:val="NCVER Table"/>
    <w:basedOn w:val="TableNormal"/>
    <w:uiPriority w:val="99"/>
    <w:rsid w:val="005E1B18"/>
    <w:pPr>
      <w:spacing w:before="0" w:line="240" w:lineRule="auto"/>
    </w:pPr>
    <w:rPr>
      <w:rFonts w:ascii="Arial" w:hAnsi="Arial"/>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table" w:styleId="TableGrid">
    <w:name w:val="Table Grid"/>
    <w:basedOn w:val="TableNormal"/>
    <w:uiPriority w:val="59"/>
    <w:rsid w:val="00A1406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7D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277DD"/>
  </w:style>
  <w:style w:type="paragraph" w:styleId="Footer">
    <w:name w:val="footer"/>
    <w:basedOn w:val="Normal"/>
    <w:link w:val="FooterChar"/>
    <w:uiPriority w:val="99"/>
    <w:unhideWhenUsed/>
    <w:rsid w:val="00694D74"/>
    <w:pPr>
      <w:tabs>
        <w:tab w:val="center" w:pos="4513"/>
        <w:tab w:val="right" w:pos="9026"/>
      </w:tabs>
      <w:spacing w:before="0" w:line="367" w:lineRule="auto"/>
    </w:pPr>
    <w:rPr>
      <w:rFonts w:ascii="Arial" w:hAnsi="Arial"/>
      <w:sz w:val="17"/>
    </w:rPr>
  </w:style>
  <w:style w:type="character" w:customStyle="1" w:styleId="FooterChar">
    <w:name w:val="Footer Char"/>
    <w:basedOn w:val="DefaultParagraphFont"/>
    <w:link w:val="Footer"/>
    <w:uiPriority w:val="99"/>
    <w:rsid w:val="00694D74"/>
    <w:rPr>
      <w:rFonts w:ascii="Arial" w:hAnsi="Arial"/>
      <w:sz w:val="17"/>
    </w:rPr>
  </w:style>
  <w:style w:type="paragraph" w:styleId="Quote">
    <w:name w:val="Quote"/>
    <w:basedOn w:val="Normal"/>
    <w:next w:val="Normal"/>
    <w:link w:val="QuoteChar"/>
    <w:qFormat/>
    <w:rsid w:val="006C0B43"/>
    <w:pPr>
      <w:tabs>
        <w:tab w:val="right" w:pos="7853"/>
      </w:tabs>
      <w:spacing w:before="80"/>
      <w:ind w:left="567" w:right="652"/>
    </w:pPr>
    <w:rPr>
      <w:iCs/>
      <w:sz w:val="17"/>
    </w:rPr>
  </w:style>
  <w:style w:type="character" w:customStyle="1" w:styleId="QuoteChar">
    <w:name w:val="Quote Char"/>
    <w:basedOn w:val="DefaultParagraphFont"/>
    <w:link w:val="Quote"/>
    <w:uiPriority w:val="29"/>
    <w:rsid w:val="006C0B43"/>
    <w:rPr>
      <w:iCs/>
      <w:sz w:val="17"/>
    </w:rPr>
  </w:style>
  <w:style w:type="paragraph" w:customStyle="1" w:styleId="Tableheading1">
    <w:name w:val="Table heading 1"/>
    <w:basedOn w:val="Normal"/>
    <w:uiPriority w:val="39"/>
    <w:rsid w:val="00B201E5"/>
    <w:pPr>
      <w:spacing w:before="0" w:line="240" w:lineRule="auto"/>
    </w:pPr>
    <w:rPr>
      <w:rFonts w:ascii="Arial Bold" w:hAnsi="Arial Bold"/>
      <w:b/>
      <w:sz w:val="17"/>
    </w:rPr>
  </w:style>
  <w:style w:type="paragraph" w:customStyle="1" w:styleId="Tableheading2">
    <w:name w:val="Table heading 2"/>
    <w:basedOn w:val="Tableheading1"/>
    <w:uiPriority w:val="39"/>
    <w:qFormat/>
    <w:rsid w:val="00B201E5"/>
    <w:pPr>
      <w:jc w:val="center"/>
    </w:pPr>
    <w:rPr>
      <w:rFonts w:ascii="Arial" w:hAnsi="Arial"/>
      <w:b w:val="0"/>
    </w:rPr>
  </w:style>
  <w:style w:type="paragraph" w:customStyle="1" w:styleId="Tableheading3">
    <w:name w:val="Table heading 3"/>
    <w:basedOn w:val="Tableheading2"/>
    <w:uiPriority w:val="39"/>
    <w:qFormat/>
    <w:rsid w:val="00B201E5"/>
    <w:pPr>
      <w:jc w:val="left"/>
    </w:pPr>
    <w:rPr>
      <w:i/>
    </w:rPr>
  </w:style>
  <w:style w:type="paragraph" w:customStyle="1" w:styleId="Text">
    <w:name w:val="Text"/>
    <w:link w:val="TextChar"/>
    <w:qFormat/>
    <w:rsid w:val="00F97AF3"/>
    <w:pPr>
      <w:spacing w:line="300" w:lineRule="exact"/>
      <w:ind w:right="-1"/>
    </w:pPr>
    <w:rPr>
      <w:rFonts w:ascii="Trebuchet MS" w:eastAsia="Times New Roman" w:hAnsi="Trebuchet MS" w:cs="Times New Roman"/>
      <w:szCs w:val="20"/>
      <w:lang w:val="en-AU"/>
    </w:rPr>
  </w:style>
  <w:style w:type="character" w:customStyle="1" w:styleId="TextChar">
    <w:name w:val="Text Char"/>
    <w:basedOn w:val="DefaultParagraphFont"/>
    <w:link w:val="Text"/>
    <w:rsid w:val="00F97AF3"/>
    <w:rPr>
      <w:rFonts w:ascii="Trebuchet MS" w:eastAsia="Times New Roman" w:hAnsi="Trebuchet MS" w:cs="Times New Roman"/>
      <w:szCs w:val="20"/>
      <w:lang w:val="en-AU"/>
    </w:rPr>
  </w:style>
  <w:style w:type="character" w:styleId="PageNumber">
    <w:name w:val="page number"/>
    <w:basedOn w:val="DefaultParagraphFont"/>
    <w:rsid w:val="00F97AF3"/>
    <w:rPr>
      <w:rFonts w:ascii="Tahoma" w:hAnsi="Tahoma"/>
      <w:sz w:val="18"/>
    </w:rPr>
  </w:style>
  <w:style w:type="paragraph" w:customStyle="1" w:styleId="tabletitle">
    <w:name w:val="tabletitle"/>
    <w:next w:val="Text"/>
    <w:rsid w:val="00F97AF3"/>
    <w:pPr>
      <w:spacing w:before="360" w:after="80" w:line="240" w:lineRule="auto"/>
      <w:ind w:left="851" w:hanging="851"/>
    </w:pPr>
    <w:rPr>
      <w:rFonts w:ascii="Arial" w:eastAsia="Times New Roman" w:hAnsi="Arial" w:cs="Times New Roman"/>
      <w:b/>
      <w:sz w:val="17"/>
      <w:szCs w:val="20"/>
      <w:lang w:val="en-AU"/>
    </w:rPr>
  </w:style>
  <w:style w:type="paragraph" w:customStyle="1" w:styleId="Tablehead1">
    <w:name w:val="Tablehead1"/>
    <w:rsid w:val="00F97AF3"/>
    <w:pPr>
      <w:spacing w:before="80" w:after="80" w:line="240" w:lineRule="auto"/>
    </w:pPr>
    <w:rPr>
      <w:rFonts w:ascii="Arial" w:eastAsia="Times New Roman" w:hAnsi="Arial" w:cs="Times New Roman"/>
      <w:b/>
      <w:sz w:val="17"/>
      <w:szCs w:val="20"/>
      <w:lang w:val="en-AU"/>
    </w:rPr>
  </w:style>
  <w:style w:type="paragraph" w:customStyle="1" w:styleId="References">
    <w:name w:val="References"/>
    <w:rsid w:val="00F97AF3"/>
    <w:pPr>
      <w:spacing w:before="80" w:line="240" w:lineRule="auto"/>
      <w:ind w:left="284" w:right="-369" w:hanging="284"/>
    </w:pPr>
    <w:rPr>
      <w:rFonts w:ascii="Trebuchet MS" w:eastAsia="Times New Roman" w:hAnsi="Trebuchet MS" w:cs="Times New Roman"/>
      <w:sz w:val="18"/>
      <w:szCs w:val="20"/>
      <w:lang w:val="en-AU"/>
    </w:rPr>
  </w:style>
  <w:style w:type="paragraph" w:customStyle="1" w:styleId="Tablehead2">
    <w:name w:val="Tablehead2"/>
    <w:basedOn w:val="Tablehead1"/>
    <w:rsid w:val="00F97AF3"/>
  </w:style>
  <w:style w:type="paragraph" w:customStyle="1" w:styleId="Tablehead3">
    <w:name w:val="Tablehead3"/>
    <w:basedOn w:val="Tablehead2"/>
    <w:rsid w:val="00F97AF3"/>
  </w:style>
  <w:style w:type="paragraph" w:styleId="TableofFigures">
    <w:name w:val="table of figures"/>
    <w:basedOn w:val="TOC1"/>
    <w:next w:val="Normal"/>
    <w:uiPriority w:val="99"/>
    <w:rsid w:val="00F97AF3"/>
    <w:pPr>
      <w:tabs>
        <w:tab w:val="clear" w:pos="6803"/>
        <w:tab w:val="left" w:pos="284"/>
        <w:tab w:val="right" w:pos="6804"/>
      </w:tabs>
      <w:spacing w:before="80" w:line="300" w:lineRule="exact"/>
      <w:ind w:right="1984"/>
    </w:pPr>
    <w:rPr>
      <w:noProof/>
      <w:color w:val="000000"/>
    </w:rPr>
  </w:style>
  <w:style w:type="paragraph" w:customStyle="1" w:styleId="Imprint">
    <w:name w:val="Imprint"/>
    <w:basedOn w:val="Normal"/>
    <w:rsid w:val="00F97AF3"/>
    <w:pPr>
      <w:spacing w:line="260" w:lineRule="atLeast"/>
    </w:pPr>
    <w:rPr>
      <w:sz w:val="16"/>
    </w:rPr>
  </w:style>
  <w:style w:type="paragraph" w:customStyle="1" w:styleId="Figuretitle">
    <w:name w:val="Figuretitle"/>
    <w:basedOn w:val="tabletitle"/>
    <w:rsid w:val="00F97AF3"/>
  </w:style>
  <w:style w:type="paragraph" w:customStyle="1" w:styleId="Dotpoint1">
    <w:name w:val="Dotpoint1"/>
    <w:rsid w:val="00F97AF3"/>
    <w:pPr>
      <w:numPr>
        <w:numId w:val="6"/>
      </w:numPr>
      <w:tabs>
        <w:tab w:val="left" w:pos="284"/>
      </w:tabs>
      <w:spacing w:before="120" w:line="300" w:lineRule="exact"/>
      <w:ind w:left="284" w:hanging="284"/>
    </w:pPr>
    <w:rPr>
      <w:rFonts w:ascii="Trebuchet MS" w:eastAsia="Times New Roman" w:hAnsi="Trebuchet MS" w:cs="Times New Roman"/>
      <w:color w:val="000000"/>
      <w:szCs w:val="20"/>
      <w:lang w:val="en-AU"/>
    </w:rPr>
  </w:style>
  <w:style w:type="paragraph" w:customStyle="1" w:styleId="Dotpoint2">
    <w:name w:val="Dotpoint2"/>
    <w:basedOn w:val="Dotpoint1"/>
    <w:rsid w:val="00F97AF3"/>
    <w:pPr>
      <w:numPr>
        <w:numId w:val="7"/>
      </w:numPr>
      <w:tabs>
        <w:tab w:val="clear" w:pos="284"/>
        <w:tab w:val="left" w:pos="567"/>
      </w:tabs>
      <w:ind w:left="568" w:hanging="284"/>
    </w:pPr>
  </w:style>
  <w:style w:type="paragraph" w:customStyle="1" w:styleId="NumberedListContinuing">
    <w:name w:val="NumberedListContinuing"/>
    <w:basedOn w:val="Dotpoint1"/>
    <w:rsid w:val="00F97AF3"/>
    <w:pPr>
      <w:numPr>
        <w:numId w:val="13"/>
      </w:numPr>
      <w:tabs>
        <w:tab w:val="clear" w:pos="284"/>
      </w:tabs>
    </w:pPr>
    <w:rPr>
      <w:lang w:eastAsia="en-AU"/>
    </w:rPr>
  </w:style>
  <w:style w:type="paragraph" w:customStyle="1" w:styleId="Source">
    <w:name w:val="Source"/>
    <w:rsid w:val="00F97AF3"/>
    <w:pPr>
      <w:spacing w:before="40" w:line="240" w:lineRule="auto"/>
      <w:ind w:left="567" w:hanging="567"/>
    </w:pPr>
    <w:rPr>
      <w:rFonts w:ascii="Arial" w:eastAsia="Times New Roman" w:hAnsi="Arial" w:cs="Times New Roman"/>
      <w:sz w:val="15"/>
      <w:szCs w:val="20"/>
      <w:lang w:val="en-AU"/>
    </w:rPr>
  </w:style>
  <w:style w:type="paragraph" w:styleId="NormalWeb">
    <w:name w:val="Normal (Web)"/>
    <w:basedOn w:val="Normal"/>
    <w:uiPriority w:val="99"/>
    <w:rsid w:val="00F97AF3"/>
    <w:pPr>
      <w:spacing w:before="100" w:beforeAutospacing="1" w:after="240"/>
    </w:pPr>
    <w:rPr>
      <w:sz w:val="18"/>
      <w:szCs w:val="18"/>
    </w:rPr>
  </w:style>
  <w:style w:type="paragraph" w:customStyle="1" w:styleId="Titlepage">
    <w:name w:val="Title page"/>
    <w:basedOn w:val="Heading1"/>
    <w:next w:val="Titlepagesubtitle"/>
    <w:link w:val="TitlepageChar"/>
    <w:qFormat/>
    <w:rsid w:val="00F97AF3"/>
    <w:pPr>
      <w:keepLines w:val="0"/>
      <w:spacing w:before="0" w:after="120"/>
    </w:pPr>
    <w:rPr>
      <w:rFonts w:ascii="Arial" w:eastAsia="Times New Roman" w:hAnsi="Arial" w:cs="Arial"/>
      <w:color w:val="0081C6"/>
      <w:sz w:val="55"/>
      <w:szCs w:val="55"/>
    </w:rPr>
  </w:style>
  <w:style w:type="paragraph" w:styleId="BalloonText">
    <w:name w:val="Balloon Text"/>
    <w:basedOn w:val="Normal"/>
    <w:link w:val="BalloonTextChar"/>
    <w:semiHidden/>
    <w:rsid w:val="00F97A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97AF3"/>
    <w:rPr>
      <w:rFonts w:ascii="Tahoma" w:eastAsia="Times New Roman" w:hAnsi="Tahoma" w:cs="Tahoma"/>
      <w:sz w:val="16"/>
      <w:szCs w:val="16"/>
      <w:lang w:val="en-AU"/>
    </w:rPr>
  </w:style>
  <w:style w:type="character" w:styleId="Hyperlink">
    <w:name w:val="Hyperlink"/>
    <w:basedOn w:val="DefaultParagraphFont"/>
    <w:uiPriority w:val="99"/>
    <w:unhideWhenUsed/>
    <w:rsid w:val="00F97AF3"/>
    <w:rPr>
      <w:rFonts w:ascii="Trebuchet MS" w:hAnsi="Trebuchet MS"/>
      <w:color w:val="auto"/>
      <w:sz w:val="19"/>
      <w:u w:val="none"/>
    </w:rPr>
  </w:style>
  <w:style w:type="paragraph" w:styleId="ListParagraph">
    <w:name w:val="List Paragraph"/>
    <w:basedOn w:val="Normal"/>
    <w:uiPriority w:val="34"/>
    <w:qFormat/>
    <w:rsid w:val="00F97AF3"/>
    <w:pPr>
      <w:ind w:left="720"/>
      <w:contextualSpacing/>
    </w:pPr>
  </w:style>
  <w:style w:type="character" w:styleId="PlaceholderText">
    <w:name w:val="Placeholder Text"/>
    <w:basedOn w:val="DefaultParagraphFont"/>
    <w:uiPriority w:val="99"/>
    <w:semiHidden/>
    <w:rsid w:val="00F97AF3"/>
    <w:rPr>
      <w:color w:val="808080"/>
    </w:rPr>
  </w:style>
  <w:style w:type="paragraph" w:styleId="BodyText2">
    <w:name w:val="Body Text 2"/>
    <w:basedOn w:val="Normal"/>
    <w:link w:val="BodyText2Char"/>
    <w:rsid w:val="00F97AF3"/>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97AF3"/>
    <w:rPr>
      <w:rFonts w:ascii="Times New Roman" w:eastAsia="Times New Roman" w:hAnsi="Times New Roman" w:cs="Times New Roman"/>
      <w:sz w:val="22"/>
      <w:szCs w:val="20"/>
      <w:lang w:eastAsia="ko-KR"/>
    </w:rPr>
  </w:style>
  <w:style w:type="paragraph" w:styleId="BodyTextIndent">
    <w:name w:val="Body Text Indent"/>
    <w:basedOn w:val="Normal"/>
    <w:link w:val="BodyTextIndentChar"/>
    <w:rsid w:val="00F97AF3"/>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97AF3"/>
    <w:rPr>
      <w:rFonts w:ascii="Times New Roman" w:eastAsia="Times New Roman" w:hAnsi="Times New Roman" w:cs="Times New Roman"/>
      <w:sz w:val="22"/>
      <w:szCs w:val="20"/>
      <w:lang w:val="en-AU" w:eastAsia="en-AU"/>
    </w:rPr>
  </w:style>
  <w:style w:type="paragraph" w:customStyle="1" w:styleId="Tabletitle0">
    <w:name w:val="Tabletitle"/>
    <w:next w:val="Text"/>
    <w:rsid w:val="00F97AF3"/>
    <w:pPr>
      <w:spacing w:before="360" w:after="80" w:line="240" w:lineRule="auto"/>
      <w:ind w:left="851" w:hanging="851"/>
    </w:pPr>
    <w:rPr>
      <w:rFonts w:ascii="Tahoma" w:eastAsia="Times New Roman" w:hAnsi="Tahoma" w:cs="Times New Roman"/>
      <w:b/>
      <w:sz w:val="17"/>
      <w:szCs w:val="20"/>
      <w:lang w:val="en-AU"/>
    </w:rPr>
  </w:style>
  <w:style w:type="paragraph" w:customStyle="1" w:styleId="PublicationTitle">
    <w:name w:val="Publication Title"/>
    <w:qFormat/>
    <w:rsid w:val="00F97AF3"/>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Authors">
    <w:name w:val="Authors"/>
    <w:qFormat/>
    <w:rsid w:val="00F97AF3"/>
    <w:pPr>
      <w:spacing w:before="0" w:line="240" w:lineRule="auto"/>
      <w:ind w:left="1701" w:right="-1"/>
    </w:pPr>
    <w:rPr>
      <w:rFonts w:ascii="Tahoma" w:eastAsia="Times New Roman" w:hAnsi="Tahoma" w:cs="Tahoma"/>
      <w:sz w:val="28"/>
      <w:szCs w:val="20"/>
      <w:lang w:val="en-AU"/>
    </w:rPr>
  </w:style>
  <w:style w:type="paragraph" w:customStyle="1" w:styleId="Contents">
    <w:name w:val="Contents"/>
    <w:qFormat/>
    <w:rsid w:val="00F97AF3"/>
    <w:pPr>
      <w:spacing w:before="0" w:after="360" w:line="240" w:lineRule="auto"/>
    </w:pPr>
    <w:rPr>
      <w:rFonts w:ascii="Arial" w:eastAsia="Times New Roman" w:hAnsi="Arial" w:cs="Tahoma"/>
      <w:color w:val="000000"/>
      <w:kern w:val="28"/>
      <w:sz w:val="56"/>
      <w:szCs w:val="56"/>
      <w:lang w:val="en-AU"/>
    </w:rPr>
  </w:style>
  <w:style w:type="paragraph" w:customStyle="1" w:styleId="Abouttheresearchpubtitle">
    <w:name w:val="About the research pub title"/>
    <w:qFormat/>
    <w:rsid w:val="00F97AF3"/>
    <w:pPr>
      <w:spacing w:before="360" w:line="240" w:lineRule="auto"/>
    </w:pPr>
    <w:rPr>
      <w:rFonts w:ascii="Tahoma" w:eastAsia="Times New Roman" w:hAnsi="Tahoma" w:cs="Tahoma"/>
      <w:i/>
      <w:sz w:val="28"/>
      <w:szCs w:val="20"/>
      <w:lang w:val="en-AU"/>
    </w:rPr>
  </w:style>
  <w:style w:type="paragraph" w:customStyle="1" w:styleId="Abouttheresearch">
    <w:name w:val="About the research"/>
    <w:uiPriority w:val="1"/>
    <w:qFormat/>
    <w:rsid w:val="00F97AF3"/>
    <w:pPr>
      <w:spacing w:before="0" w:line="240" w:lineRule="auto"/>
    </w:pPr>
    <w:rPr>
      <w:rFonts w:ascii="Tahoma" w:eastAsia="Times New Roman" w:hAnsi="Tahoma" w:cs="Tahoma"/>
      <w:color w:val="000000"/>
      <w:kern w:val="28"/>
      <w:sz w:val="56"/>
      <w:szCs w:val="56"/>
      <w:lang w:val="en-AU"/>
    </w:rPr>
  </w:style>
  <w:style w:type="paragraph" w:customStyle="1" w:styleId="Keymessages">
    <w:name w:val="Key messages"/>
    <w:uiPriority w:val="1"/>
    <w:qFormat/>
    <w:rsid w:val="00F97AF3"/>
    <w:pPr>
      <w:spacing w:before="360" w:line="240" w:lineRule="auto"/>
    </w:pPr>
    <w:rPr>
      <w:rFonts w:ascii="Tahoma" w:eastAsia="Times New Roman" w:hAnsi="Tahoma" w:cs="Tahoma"/>
      <w:sz w:val="28"/>
      <w:szCs w:val="20"/>
      <w:lang w:val="en-AU"/>
    </w:rPr>
  </w:style>
  <w:style w:type="paragraph" w:customStyle="1" w:styleId="Organisation">
    <w:name w:val="Organisation"/>
    <w:basedOn w:val="Authors"/>
    <w:uiPriority w:val="1"/>
    <w:qFormat/>
    <w:rsid w:val="00F97AF3"/>
    <w:pPr>
      <w:spacing w:before="120"/>
      <w:ind w:right="0"/>
    </w:pPr>
    <w:rPr>
      <w:sz w:val="24"/>
    </w:rPr>
  </w:style>
  <w:style w:type="paragraph" w:customStyle="1" w:styleId="Head1">
    <w:name w:val="Head 1"/>
    <w:basedOn w:val="Normal"/>
    <w:rsid w:val="00F97AF3"/>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F97AF3"/>
    <w:pPr>
      <w:spacing w:before="0" w:line="240" w:lineRule="auto"/>
    </w:pPr>
    <w:rPr>
      <w:rFonts w:ascii="Arial" w:hAnsi="Arial"/>
      <w:sz w:val="72"/>
    </w:rPr>
  </w:style>
  <w:style w:type="paragraph" w:customStyle="1" w:styleId="Head3">
    <w:name w:val="Head 3"/>
    <w:basedOn w:val="Normal"/>
    <w:rsid w:val="00F97AF3"/>
    <w:pPr>
      <w:spacing w:before="0" w:line="240" w:lineRule="auto"/>
    </w:pPr>
    <w:rPr>
      <w:rFonts w:ascii="Arial" w:hAnsi="Arial"/>
      <w:sz w:val="22"/>
    </w:rPr>
  </w:style>
  <w:style w:type="paragraph" w:customStyle="1" w:styleId="Style1">
    <w:name w:val="Style1"/>
    <w:basedOn w:val="Normal"/>
    <w:rsid w:val="00F97AF3"/>
    <w:pPr>
      <w:spacing w:before="0" w:line="240" w:lineRule="auto"/>
    </w:pPr>
    <w:rPr>
      <w:rFonts w:ascii="Arial" w:hAnsi="Arial"/>
      <w:sz w:val="20"/>
    </w:rPr>
  </w:style>
  <w:style w:type="paragraph" w:customStyle="1" w:styleId="Style2">
    <w:name w:val="Style2"/>
    <w:basedOn w:val="Normal"/>
    <w:rsid w:val="00F97AF3"/>
    <w:pPr>
      <w:spacing w:before="0" w:line="240" w:lineRule="auto"/>
    </w:pPr>
    <w:rPr>
      <w:rFonts w:ascii="Arial" w:hAnsi="Arial"/>
      <w:sz w:val="18"/>
    </w:rPr>
  </w:style>
  <w:style w:type="paragraph" w:customStyle="1" w:styleId="Pop-3">
    <w:name w:val="Pop-3"/>
    <w:basedOn w:val="Normal"/>
    <w:rsid w:val="00F97AF3"/>
    <w:pPr>
      <w:spacing w:before="0" w:after="160" w:line="240" w:lineRule="auto"/>
    </w:pPr>
    <w:rPr>
      <w:rFonts w:ascii="Arial" w:hAnsi="Arial"/>
      <w:b/>
      <w:spacing w:val="8"/>
      <w:sz w:val="24"/>
      <w:szCs w:val="24"/>
      <w:lang w:val="en-US" w:eastAsia="en-AU"/>
    </w:rPr>
  </w:style>
  <w:style w:type="paragraph" w:customStyle="1" w:styleId="Pop-4">
    <w:name w:val="Pop-4"/>
    <w:basedOn w:val="Normal"/>
    <w:rsid w:val="00F97AF3"/>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F97AF3"/>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F97AF3"/>
  </w:style>
  <w:style w:type="paragraph" w:customStyle="1" w:styleId="Heading20">
    <w:name w:val="Heading2"/>
    <w:basedOn w:val="Heading3"/>
    <w:rsid w:val="00F97AF3"/>
    <w:pPr>
      <w:keepLines w:val="0"/>
      <w:spacing w:before="120" w:after="240"/>
    </w:pPr>
    <w:rPr>
      <w:rFonts w:ascii="Garamond" w:eastAsia="Times New Roman" w:hAnsi="Garamond" w:cs="Times New Roman"/>
      <w:sz w:val="32"/>
      <w:szCs w:val="32"/>
      <w:lang w:eastAsia="en-AU"/>
    </w:rPr>
  </w:style>
  <w:style w:type="paragraph" w:customStyle="1" w:styleId="Pop-bulletpt-level2">
    <w:name w:val="Pop-bulletpt-level2"/>
    <w:basedOn w:val="Normal"/>
    <w:rsid w:val="00F97AF3"/>
    <w:pPr>
      <w:numPr>
        <w:ilvl w:val="1"/>
        <w:numId w:val="8"/>
      </w:numPr>
      <w:spacing w:before="0" w:line="240" w:lineRule="auto"/>
    </w:pPr>
    <w:rPr>
      <w:rFonts w:ascii="Verdana" w:hAnsi="Verdana"/>
      <w:sz w:val="18"/>
      <w:szCs w:val="18"/>
      <w:lang w:val="en-US" w:eastAsia="en-AU"/>
    </w:rPr>
  </w:style>
  <w:style w:type="paragraph" w:customStyle="1" w:styleId="Subhd2">
    <w:name w:val="Subhd2"/>
    <w:basedOn w:val="Normal"/>
    <w:rsid w:val="00F97AF3"/>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F97AF3"/>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F97AF3"/>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F97AF3"/>
    <w:pPr>
      <w:numPr>
        <w:ilvl w:val="1"/>
        <w:numId w:val="9"/>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F97AF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F97AF3"/>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semiHidden/>
    <w:rsid w:val="00F97AF3"/>
    <w:rPr>
      <w:b/>
      <w:bCs/>
    </w:rPr>
  </w:style>
  <w:style w:type="character" w:customStyle="1" w:styleId="CommentSubjectChar">
    <w:name w:val="Comment Subject Char"/>
    <w:basedOn w:val="CommentTextChar"/>
    <w:link w:val="CommentSubject"/>
    <w:semiHidden/>
    <w:rsid w:val="00F97AF3"/>
    <w:rPr>
      <w:rFonts w:ascii="Times New Roman" w:eastAsia="Times New Roman" w:hAnsi="Times New Roman" w:cs="Times New Roman"/>
      <w:b/>
      <w:bCs/>
      <w:sz w:val="20"/>
      <w:szCs w:val="20"/>
      <w:lang w:val="en-AU" w:eastAsia="en-AU"/>
    </w:rPr>
  </w:style>
  <w:style w:type="character" w:styleId="FollowedHyperlink">
    <w:name w:val="FollowedHyperlink"/>
    <w:uiPriority w:val="99"/>
    <w:rsid w:val="00F97AF3"/>
    <w:rPr>
      <w:color w:val="800080"/>
      <w:u w:val="single"/>
    </w:rPr>
  </w:style>
  <w:style w:type="character" w:styleId="Strong">
    <w:name w:val="Strong"/>
    <w:uiPriority w:val="22"/>
    <w:qFormat/>
    <w:rsid w:val="00F97AF3"/>
    <w:rPr>
      <w:b/>
      <w:bCs/>
    </w:rPr>
  </w:style>
  <w:style w:type="character" w:customStyle="1" w:styleId="TableTextChar">
    <w:name w:val="Table Text Char"/>
    <w:basedOn w:val="DefaultParagraphFont"/>
    <w:link w:val="TableText0"/>
    <w:locked/>
    <w:rsid w:val="00F97AF3"/>
    <w:rPr>
      <w:rFonts w:ascii="Century Gothic" w:hAnsi="Century Gothic"/>
    </w:rPr>
  </w:style>
  <w:style w:type="paragraph" w:customStyle="1" w:styleId="TableText0">
    <w:name w:val="Table Text"/>
    <w:basedOn w:val="Normal"/>
    <w:link w:val="TableTextChar"/>
    <w:rsid w:val="00F97AF3"/>
    <w:pPr>
      <w:spacing w:before="60" w:after="60" w:line="240" w:lineRule="auto"/>
    </w:pPr>
    <w:rPr>
      <w:rFonts w:ascii="Century Gothic" w:eastAsiaTheme="minorHAnsi" w:hAnsi="Century Gothic" w:cstheme="minorBidi"/>
      <w:szCs w:val="19"/>
      <w:lang w:val="en-US"/>
    </w:rPr>
  </w:style>
  <w:style w:type="character" w:customStyle="1" w:styleId="Optional">
    <w:name w:val="Optional"/>
    <w:basedOn w:val="DefaultParagraphFont"/>
    <w:rsid w:val="00F97AF3"/>
    <w:rPr>
      <w:color w:val="0000FF"/>
    </w:rPr>
  </w:style>
  <w:style w:type="paragraph" w:styleId="Revision">
    <w:name w:val="Revision"/>
    <w:hidden/>
    <w:uiPriority w:val="71"/>
    <w:rsid w:val="00F97AF3"/>
    <w:pPr>
      <w:spacing w:before="0" w:line="240" w:lineRule="auto"/>
    </w:pPr>
    <w:rPr>
      <w:rFonts w:ascii="Times New Roman" w:eastAsia="Times New Roman" w:hAnsi="Times New Roman" w:cs="Times New Roman"/>
      <w:sz w:val="22"/>
      <w:szCs w:val="20"/>
      <w:lang w:val="en-AU" w:eastAsia="en-AU"/>
    </w:rPr>
  </w:style>
  <w:style w:type="paragraph" w:customStyle="1" w:styleId="DotPoints">
    <w:name w:val="DotPoints"/>
    <w:basedOn w:val="Normal"/>
    <w:rsid w:val="00F97AF3"/>
    <w:pPr>
      <w:numPr>
        <w:numId w:val="10"/>
      </w:numPr>
      <w:spacing w:before="0" w:line="240" w:lineRule="auto"/>
    </w:pPr>
    <w:rPr>
      <w:rFonts w:ascii="Verdana" w:hAnsi="Verdana"/>
      <w:sz w:val="22"/>
      <w:szCs w:val="24"/>
      <w:lang w:eastAsia="en-AU"/>
    </w:rPr>
  </w:style>
  <w:style w:type="paragraph" w:customStyle="1" w:styleId="Table-body">
    <w:name w:val="Table - body"/>
    <w:basedOn w:val="Normal"/>
    <w:rsid w:val="00F97AF3"/>
    <w:pPr>
      <w:spacing w:before="60" w:after="60" w:line="240" w:lineRule="auto"/>
    </w:pPr>
    <w:rPr>
      <w:rFonts w:ascii="Arial" w:hAnsi="Arial"/>
      <w:sz w:val="24"/>
    </w:rPr>
  </w:style>
  <w:style w:type="paragraph" w:customStyle="1" w:styleId="TableFont">
    <w:name w:val="TableFont"/>
    <w:basedOn w:val="Normal"/>
    <w:link w:val="TableFontChar"/>
    <w:uiPriority w:val="99"/>
    <w:rsid w:val="00F97AF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F97AF3"/>
    <w:rPr>
      <w:rFonts w:ascii="Arial" w:eastAsia="Times New Roman" w:hAnsi="Arial" w:cs="Arial"/>
      <w:color w:val="000000"/>
      <w:sz w:val="18"/>
      <w:szCs w:val="20"/>
      <w:lang w:val="en-GB"/>
    </w:rPr>
  </w:style>
  <w:style w:type="paragraph" w:customStyle="1" w:styleId="Normal1">
    <w:name w:val="Normal1"/>
    <w:basedOn w:val="Normal"/>
    <w:rsid w:val="00F97AF3"/>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F97AF3"/>
  </w:style>
  <w:style w:type="paragraph" w:customStyle="1" w:styleId="CM31">
    <w:name w:val="CM31"/>
    <w:basedOn w:val="Normal"/>
    <w:next w:val="Normal"/>
    <w:uiPriority w:val="99"/>
    <w:rsid w:val="00F97AF3"/>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F97AF3"/>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F97AF3"/>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F97AF3"/>
    <w:rPr>
      <w:rFonts w:ascii="Courier New" w:eastAsia="Times New Roman" w:hAnsi="Courier New" w:cs="Courier New"/>
      <w:sz w:val="20"/>
      <w:szCs w:val="20"/>
      <w:lang w:val="en-AU"/>
    </w:rPr>
  </w:style>
  <w:style w:type="paragraph" w:customStyle="1" w:styleId="MEBasic1">
    <w:name w:val="ME Basic 1"/>
    <w:basedOn w:val="Normal"/>
    <w:rsid w:val="00F97AF3"/>
    <w:pPr>
      <w:numPr>
        <w:numId w:val="12"/>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F97AF3"/>
    <w:pPr>
      <w:numPr>
        <w:ilvl w:val="1"/>
        <w:numId w:val="12"/>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F97AF3"/>
    <w:pPr>
      <w:numPr>
        <w:ilvl w:val="2"/>
        <w:numId w:val="12"/>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F97AF3"/>
    <w:pPr>
      <w:numPr>
        <w:ilvl w:val="3"/>
        <w:numId w:val="12"/>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F97AF3"/>
    <w:pPr>
      <w:numPr>
        <w:ilvl w:val="4"/>
        <w:numId w:val="12"/>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F97AF3"/>
    <w:pPr>
      <w:numPr>
        <w:ilvl w:val="1"/>
        <w:numId w:val="11"/>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F97AF3"/>
    <w:pPr>
      <w:numPr>
        <w:numId w:val="11"/>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F97AF3"/>
    <w:rPr>
      <w:rFonts w:ascii="Arial Bold" w:eastAsia="Times New Roman" w:hAnsi="Arial Bold" w:cs="Angsana New"/>
      <w:b/>
      <w:sz w:val="32"/>
      <w:szCs w:val="32"/>
      <w:lang w:val="en-AU" w:eastAsia="zh-CN" w:bidi="th-TH"/>
    </w:rPr>
  </w:style>
  <w:style w:type="paragraph" w:customStyle="1" w:styleId="BulletList1">
    <w:name w:val="Bullet List 1"/>
    <w:rsid w:val="00F97AF3"/>
    <w:pPr>
      <w:numPr>
        <w:numId w:val="2"/>
      </w:numPr>
      <w:tabs>
        <w:tab w:val="clear" w:pos="1209"/>
        <w:tab w:val="num" w:pos="720"/>
      </w:tabs>
      <w:spacing w:before="0" w:line="240" w:lineRule="auto"/>
      <w:ind w:left="720"/>
    </w:pPr>
    <w:rPr>
      <w:rFonts w:ascii="Verdana" w:hAnsi="Verdana"/>
      <w:lang w:val="en-AU" w:eastAsia="en-AU"/>
    </w:rPr>
  </w:style>
  <w:style w:type="paragraph" w:customStyle="1" w:styleId="Header1">
    <w:name w:val="Header 1"/>
    <w:basedOn w:val="Normal"/>
    <w:rsid w:val="00F97AF3"/>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F97AF3"/>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F97AF3"/>
    <w:pPr>
      <w:autoSpaceDE w:val="0"/>
      <w:autoSpaceDN w:val="0"/>
      <w:adjustRightInd w:val="0"/>
      <w:spacing w:before="0" w:line="240" w:lineRule="auto"/>
    </w:pPr>
    <w:rPr>
      <w:rFonts w:ascii="Garamond" w:eastAsia="Calibri" w:hAnsi="Garamond" w:cs="Garamond"/>
      <w:color w:val="000000"/>
      <w:sz w:val="24"/>
      <w:szCs w:val="24"/>
      <w:lang w:val="en-AU"/>
    </w:rPr>
  </w:style>
  <w:style w:type="character" w:styleId="Emphasis">
    <w:name w:val="Emphasis"/>
    <w:basedOn w:val="DefaultParagraphFont"/>
    <w:uiPriority w:val="20"/>
    <w:qFormat/>
    <w:rsid w:val="00F97AF3"/>
    <w:rPr>
      <w:i/>
      <w:iCs/>
    </w:rPr>
  </w:style>
  <w:style w:type="paragraph" w:customStyle="1" w:styleId="Reference">
    <w:name w:val="Reference"/>
    <w:basedOn w:val="Text"/>
    <w:rsid w:val="00F97AF3"/>
    <w:pPr>
      <w:spacing w:before="0" w:after="120" w:line="240" w:lineRule="auto"/>
      <w:ind w:right="0"/>
    </w:pPr>
    <w:rPr>
      <w:rFonts w:ascii="Verdana" w:hAnsi="Verdana"/>
      <w:spacing w:val="8"/>
      <w:sz w:val="18"/>
      <w:szCs w:val="18"/>
      <w:lang w:eastAsia="en-AU"/>
    </w:rPr>
  </w:style>
  <w:style w:type="character" w:customStyle="1" w:styleId="s">
    <w:name w:val="s"/>
    <w:basedOn w:val="DefaultParagraphFont"/>
    <w:rsid w:val="00F97AF3"/>
  </w:style>
  <w:style w:type="paragraph" w:customStyle="1" w:styleId="Titlepagesubtitle">
    <w:name w:val="Title page sub title"/>
    <w:basedOn w:val="Titlepage"/>
    <w:link w:val="TitlepagesubtitleChar"/>
    <w:uiPriority w:val="1"/>
    <w:qFormat/>
    <w:rsid w:val="00F97AF3"/>
    <w:rPr>
      <w:sz w:val="44"/>
      <w:szCs w:val="44"/>
    </w:rPr>
  </w:style>
  <w:style w:type="character" w:customStyle="1" w:styleId="TitlepageChar">
    <w:name w:val="Title page Char"/>
    <w:basedOn w:val="Heading1Char"/>
    <w:link w:val="Titlepage"/>
    <w:rsid w:val="00F97AF3"/>
    <w:rPr>
      <w:rFonts w:ascii="Arial" w:eastAsia="Times New Roman" w:hAnsi="Arial" w:cs="Arial"/>
      <w:color w:val="0081C6"/>
      <w:kern w:val="28"/>
      <w:sz w:val="55"/>
      <w:szCs w:val="55"/>
      <w:lang w:val="en-AU"/>
    </w:rPr>
  </w:style>
  <w:style w:type="character" w:customStyle="1" w:styleId="TitlepagesubtitleChar">
    <w:name w:val="Title page sub title Char"/>
    <w:basedOn w:val="TitlepageChar"/>
    <w:link w:val="Titlepagesubtitle"/>
    <w:uiPriority w:val="1"/>
    <w:rsid w:val="00F97AF3"/>
    <w:rPr>
      <w:rFonts w:ascii="Arial" w:eastAsia="Times New Roman" w:hAnsi="Arial" w:cs="Arial"/>
      <w:color w:val="0081C6"/>
      <w:kern w:val="28"/>
      <w:sz w:val="44"/>
      <w:szCs w:val="44"/>
      <w:lang w:val="en-AU"/>
    </w:rPr>
  </w:style>
  <w:style w:type="paragraph" w:customStyle="1" w:styleId="StyleTablehead2Centered">
    <w:name w:val="Style Tablehead2 + Centered"/>
    <w:basedOn w:val="Tablehead2"/>
    <w:rsid w:val="00F97AF3"/>
  </w:style>
  <w:style w:type="table" w:customStyle="1" w:styleId="TableGrid1">
    <w:name w:val="Table Grid1"/>
    <w:basedOn w:val="TableNormal"/>
    <w:next w:val="TableGrid"/>
    <w:uiPriority w:val="59"/>
    <w:rsid w:val="00F97AF3"/>
    <w:pPr>
      <w:spacing w:before="0" w:line="240" w:lineRule="auto"/>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7AF3"/>
    <w:pPr>
      <w:spacing w:before="0" w:line="240" w:lineRule="auto"/>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7AF3"/>
    <w:pPr>
      <w:spacing w:before="0" w:line="240" w:lineRule="auto"/>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97AF3"/>
    <w:pPr>
      <w:spacing w:before="0" w:line="240" w:lineRule="auto"/>
    </w:pPr>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rsid w:val="00F97AF3"/>
    <w:rPr>
      <w:sz w:val="16"/>
      <w:szCs w:val="16"/>
    </w:rPr>
  </w:style>
  <w:style w:type="paragraph" w:customStyle="1" w:styleId="Textmorebefore">
    <w:name w:val="Text more # before"/>
    <w:basedOn w:val="Text"/>
    <w:uiPriority w:val="1"/>
    <w:qFormat/>
    <w:rsid w:val="00F97AF3"/>
    <w:pPr>
      <w:spacing w:before="360"/>
      <w:ind w:right="0"/>
    </w:pPr>
  </w:style>
  <w:style w:type="paragraph" w:customStyle="1" w:styleId="firstelement">
    <w:name w:val="first_element"/>
    <w:basedOn w:val="Normal"/>
    <w:rsid w:val="00F97AF3"/>
    <w:pPr>
      <w:spacing w:before="100" w:beforeAutospacing="1" w:after="100" w:afterAutospacing="1" w:line="240" w:lineRule="auto"/>
    </w:pPr>
    <w:rPr>
      <w:rFonts w:ascii="Calibri" w:hAnsi="Calibri"/>
      <w:sz w:val="24"/>
      <w:szCs w:val="24"/>
      <w:lang w:eastAsia="en-AU"/>
    </w:rPr>
  </w:style>
  <w:style w:type="character" w:customStyle="1" w:styleId="UnresolvedMention1">
    <w:name w:val="Unresolved Mention1"/>
    <w:basedOn w:val="DefaultParagraphFont"/>
    <w:uiPriority w:val="99"/>
    <w:semiHidden/>
    <w:unhideWhenUsed/>
    <w:rsid w:val="00F97AF3"/>
    <w:rPr>
      <w:color w:val="808080"/>
      <w:shd w:val="clear" w:color="auto" w:fill="E6E6E6"/>
    </w:rPr>
  </w:style>
  <w:style w:type="character" w:styleId="UnresolvedMention">
    <w:name w:val="Unresolved Mention"/>
    <w:basedOn w:val="DefaultParagraphFont"/>
    <w:uiPriority w:val="99"/>
    <w:semiHidden/>
    <w:unhideWhenUsed/>
    <w:rsid w:val="00431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913897">
      <w:bodyDiv w:val="1"/>
      <w:marLeft w:val="0"/>
      <w:marRight w:val="0"/>
      <w:marTop w:val="0"/>
      <w:marBottom w:val="0"/>
      <w:divBdr>
        <w:top w:val="none" w:sz="0" w:space="0" w:color="auto"/>
        <w:left w:val="none" w:sz="0" w:space="0" w:color="auto"/>
        <w:bottom w:val="none" w:sz="0" w:space="0" w:color="auto"/>
        <w:right w:val="none" w:sz="0" w:space="0" w:color="auto"/>
      </w:divBdr>
    </w:div>
    <w:div w:id="1288463419">
      <w:bodyDiv w:val="1"/>
      <w:marLeft w:val="0"/>
      <w:marRight w:val="0"/>
      <w:marTop w:val="0"/>
      <w:marBottom w:val="0"/>
      <w:divBdr>
        <w:top w:val="none" w:sz="0" w:space="0" w:color="auto"/>
        <w:left w:val="none" w:sz="0" w:space="0" w:color="auto"/>
        <w:bottom w:val="none" w:sz="0" w:space="0" w:color="auto"/>
        <w:right w:val="none" w:sz="0" w:space="0" w:color="auto"/>
      </w:divBdr>
    </w:div>
    <w:div w:id="1425954188">
      <w:bodyDiv w:val="1"/>
      <w:marLeft w:val="0"/>
      <w:marRight w:val="0"/>
      <w:marTop w:val="0"/>
      <w:marBottom w:val="0"/>
      <w:divBdr>
        <w:top w:val="none" w:sz="0" w:space="0" w:color="auto"/>
        <w:left w:val="none" w:sz="0" w:space="0" w:color="auto"/>
        <w:bottom w:val="none" w:sz="0" w:space="0" w:color="auto"/>
        <w:right w:val="none" w:sz="0" w:space="0" w:color="auto"/>
      </w:divBdr>
    </w:div>
    <w:div w:id="1693529972">
      <w:bodyDiv w:val="1"/>
      <w:marLeft w:val="0"/>
      <w:marRight w:val="0"/>
      <w:marTop w:val="0"/>
      <w:marBottom w:val="0"/>
      <w:divBdr>
        <w:top w:val="none" w:sz="0" w:space="0" w:color="auto"/>
        <w:left w:val="none" w:sz="0" w:space="0" w:color="auto"/>
        <w:bottom w:val="none" w:sz="0" w:space="0" w:color="auto"/>
        <w:right w:val="none" w:sz="0" w:space="0" w:color="auto"/>
      </w:divBdr>
    </w:div>
    <w:div w:id="1837265692">
      <w:bodyDiv w:val="1"/>
      <w:marLeft w:val="0"/>
      <w:marRight w:val="0"/>
      <w:marTop w:val="0"/>
      <w:marBottom w:val="0"/>
      <w:divBdr>
        <w:top w:val="none" w:sz="0" w:space="0" w:color="auto"/>
        <w:left w:val="none" w:sz="0" w:space="0" w:color="auto"/>
        <w:bottom w:val="none" w:sz="0" w:space="0" w:color="auto"/>
        <w:right w:val="none" w:sz="0" w:space="0" w:color="auto"/>
      </w:divBdr>
    </w:div>
    <w:div w:id="196824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lsay.edu.au" TargetMode="Externa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hyperlink" Target="http://www.lsay.edu.au" TargetMode="External"/><Relationship Id="rId25" Type="http://schemas.openxmlformats.org/officeDocument/2006/relationships/hyperlink" Target="http://www.voced.edu.au/vet-knowledge-bank-timeline-australian-vet-policy-initiatives-1998-2017" TargetMode="External"/><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image" Target="media/image5.gif"/><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s://www.voced.edu.au/vet-knowledge-bank-timeline-australian-vet-policy-initiatives" TargetMode="External"/><Relationship Id="rId36" Type="http://schemas.openxmlformats.org/officeDocument/2006/relationships/image" Target="media/image18.png"/><Relationship Id="rId10" Type="http://schemas.openxmlformats.org/officeDocument/2006/relationships/hyperlink" Target="http://www.ncver.edu.au" TargetMode="Externa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ncver.edu.au"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yperlink" Target="file:///C:\Users\liselodwyer\AppData\Roaming\OpenText\DM\Temp\(%3chttp:\www.voced.edu.au\vet-knowledge-bank-timeline-australian-vet-policy-initiatives%3e)"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NCVER">
      <a:dk1>
        <a:sysClr val="windowText" lastClr="000000"/>
      </a:dk1>
      <a:lt1>
        <a:sysClr val="window" lastClr="FFFFFF"/>
      </a:lt1>
      <a:dk2>
        <a:srgbClr val="003767"/>
      </a:dk2>
      <a:lt2>
        <a:srgbClr val="E8F6E6"/>
      </a:lt2>
      <a:accent1>
        <a:srgbClr val="003767"/>
      </a:accent1>
      <a:accent2>
        <a:srgbClr val="439539"/>
      </a:accent2>
      <a:accent3>
        <a:srgbClr val="8414B5"/>
      </a:accent3>
      <a:accent4>
        <a:srgbClr val="0081C6"/>
      </a:accent4>
      <a:accent5>
        <a:srgbClr val="ED7D31"/>
      </a:accent5>
      <a:accent6>
        <a:srgbClr val="403B71"/>
      </a:accent6>
      <a:hlink>
        <a:srgbClr val="0563C1"/>
      </a:hlink>
      <a:folHlink>
        <a:srgbClr val="954F72"/>
      </a:folHlink>
    </a:clrScheme>
    <a:fontScheme name="NCVER">
      <a:majorFont>
        <a:latin typeface="Arial"/>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458C-CFBB-45CD-8132-69E0D0EF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33</Pages>
  <Words>8716</Words>
  <Characters>49687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Lisel O'Dwyer</dc:creator>
  <cp:keywords/>
  <dc:description/>
  <cp:lastModifiedBy>Lea-Ann Harris</cp:lastModifiedBy>
  <cp:revision>2</cp:revision>
  <cp:lastPrinted>2019-09-24T03:38:00Z</cp:lastPrinted>
  <dcterms:created xsi:type="dcterms:W3CDTF">2019-09-24T03:56:00Z</dcterms:created>
  <dcterms:modified xsi:type="dcterms:W3CDTF">2019-09-24T03:56:00Z</dcterms:modified>
</cp:coreProperties>
</file>