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header2.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781B26" w14:textId="77777777" w:rsidR="00CF6073" w:rsidRDefault="00CF6073" w:rsidP="00D461A8">
      <w:pPr>
        <w:tabs>
          <w:tab w:val="left" w:pos="5640"/>
        </w:tabs>
      </w:pPr>
      <w:bookmarkStart w:id="0" w:name="_Toc401914074"/>
      <w:bookmarkStart w:id="1" w:name="_Toc416260885"/>
      <w:bookmarkStart w:id="2" w:name="_Toc98394872"/>
    </w:p>
    <w:p w14:paraId="52F79A1B" w14:textId="20711D88" w:rsidR="00EB0AD7" w:rsidRPr="00DA7709" w:rsidRDefault="00E168B5" w:rsidP="00D461A8">
      <w:pPr>
        <w:tabs>
          <w:tab w:val="left" w:pos="5640"/>
        </w:tabs>
        <w:sectPr w:rsidR="00EB0AD7" w:rsidRPr="00DA7709" w:rsidSect="00E10CD4">
          <w:pgSz w:w="11907" w:h="16840" w:code="9"/>
          <w:pgMar w:top="1418" w:right="1701" w:bottom="1134" w:left="1418" w:header="709" w:footer="556" w:gutter="0"/>
          <w:cols w:space="708"/>
          <w:docGrid w:linePitch="360"/>
        </w:sectPr>
      </w:pPr>
      <w:r>
        <w:rPr>
          <w:noProof/>
          <w:lang w:eastAsia="en-AU"/>
        </w:rPr>
        <w:drawing>
          <wp:anchor distT="0" distB="0" distL="114300" distR="114300" simplePos="0" relativeHeight="251794432" behindDoc="0" locked="0" layoutInCell="1" allowOverlap="1" wp14:anchorId="6758708F" wp14:editId="2D4DF14E">
            <wp:simplePos x="0" y="0"/>
            <wp:positionH relativeFrom="column">
              <wp:posOffset>4640580</wp:posOffset>
            </wp:positionH>
            <wp:positionV relativeFrom="paragraph">
              <wp:posOffset>9088755</wp:posOffset>
            </wp:positionV>
            <wp:extent cx="1791335" cy="227965"/>
            <wp:effectExtent l="0" t="0" r="0" b="63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CVER_Tagline.wmf"/>
                    <pic:cNvPicPr/>
                  </pic:nvPicPr>
                  <pic:blipFill>
                    <a:blip r:embed="rId8">
                      <a:extLst>
                        <a:ext uri="{28A0092B-C50C-407E-A947-70E740481C1C}">
                          <a14:useLocalDpi xmlns:a14="http://schemas.microsoft.com/office/drawing/2010/main" val="0"/>
                        </a:ext>
                      </a:extLst>
                    </a:blip>
                    <a:stretch>
                      <a:fillRect/>
                    </a:stretch>
                  </pic:blipFill>
                  <pic:spPr>
                    <a:xfrm>
                      <a:off x="0" y="0"/>
                      <a:ext cx="1791335" cy="22796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30976" behindDoc="0" locked="0" layoutInCell="1" allowOverlap="1" wp14:anchorId="4215C911" wp14:editId="2E86AA79">
            <wp:simplePos x="0" y="0"/>
            <wp:positionH relativeFrom="column">
              <wp:posOffset>-588010</wp:posOffset>
            </wp:positionH>
            <wp:positionV relativeFrom="paragraph">
              <wp:posOffset>3359150</wp:posOffset>
            </wp:positionV>
            <wp:extent cx="7001510" cy="5600700"/>
            <wp:effectExtent l="0" t="0" r="889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9763" t="10811" r="22659" b="8096"/>
                    <a:stretch/>
                  </pic:blipFill>
                  <pic:spPr bwMode="auto">
                    <a:xfrm>
                      <a:off x="0" y="0"/>
                      <a:ext cx="7001510" cy="5600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556EA">
        <w:rPr>
          <w:noProof/>
          <w:lang w:eastAsia="en-AU"/>
        </w:rPr>
        <mc:AlternateContent>
          <mc:Choice Requires="wps">
            <w:drawing>
              <wp:anchor distT="0" distB="0" distL="114300" distR="114300" simplePos="0" relativeHeight="251753472" behindDoc="0" locked="0" layoutInCell="1" allowOverlap="1" wp14:anchorId="3F3A18F1" wp14:editId="00F69451">
                <wp:simplePos x="0" y="0"/>
                <wp:positionH relativeFrom="column">
                  <wp:posOffset>4666615</wp:posOffset>
                </wp:positionH>
                <wp:positionV relativeFrom="paragraph">
                  <wp:posOffset>-591820</wp:posOffset>
                </wp:positionV>
                <wp:extent cx="1743075" cy="279400"/>
                <wp:effectExtent l="0" t="0" r="9525" b="6350"/>
                <wp:wrapNone/>
                <wp:docPr id="45" name="Text Box 45"/>
                <wp:cNvGraphicFramePr/>
                <a:graphic xmlns:a="http://schemas.openxmlformats.org/drawingml/2006/main">
                  <a:graphicData uri="http://schemas.microsoft.com/office/word/2010/wordprocessingShape">
                    <wps:wsp>
                      <wps:cNvSpPr txBox="1"/>
                      <wps:spPr>
                        <a:xfrm>
                          <a:off x="0" y="0"/>
                          <a:ext cx="1743075" cy="279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132BB4E" w14:textId="1387D62B" w:rsidR="00FB52EF" w:rsidRPr="0088361A" w:rsidRDefault="00FB52EF" w:rsidP="00704F86">
                            <w:pPr>
                              <w:jc w:val="center"/>
                              <w:rPr>
                                <w:rFonts w:ascii="Arial Bold" w:hAnsi="Arial Bold" w:cs="Arial"/>
                                <w:b/>
                                <w:color w:val="FFFFFF" w:themeColor="background1"/>
                                <w:sz w:val="24"/>
                                <w:szCs w:val="24"/>
                              </w:rPr>
                            </w:pPr>
                            <w:r>
                              <w:rPr>
                                <w:rFonts w:ascii="Arial Bold" w:hAnsi="Arial Bold" w:cs="Arial"/>
                                <w:b/>
                                <w:caps/>
                                <w:color w:val="FFFFFF" w:themeColor="background1"/>
                                <w:sz w:val="24"/>
                                <w:szCs w:val="24"/>
                              </w:rPr>
                              <w:t>TECHNICAL PAPER</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3A18F1" id="_x0000_t202" coordsize="21600,21600" o:spt="202" path="m,l,21600r21600,l21600,xe">
                <v:stroke joinstyle="miter"/>
                <v:path gradientshapeok="t" o:connecttype="rect"/>
              </v:shapetype>
              <v:shape id="Text Box 45" o:spid="_x0000_s1026" type="#_x0000_t202" style="position:absolute;margin-left:367.45pt;margin-top:-46.6pt;width:137.25pt;height:22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" filled="f" stroked="f" strokeweight=".5pt">
                <v:textbox inset="1mm,0,1mm,0">
                  <w:txbxContent>
                    <w:p w14:paraId="0132BB4E" w14:textId="1387D62B" w:rsidR="00FB52EF" w:rsidRPr="0088361A" w:rsidRDefault="00FB52EF" w:rsidP="00704F86">
                      <w:pPr>
                        <w:jc w:val="center"/>
                        <w:rPr>
                          <w:rFonts w:ascii="Arial Bold" w:hAnsi="Arial Bold" w:cs="Arial"/>
                          <w:b/>
                          <w:color w:val="FFFFFF" w:themeColor="background1"/>
                          <w:sz w:val="24"/>
                          <w:szCs w:val="24"/>
                        </w:rPr>
                      </w:pPr>
                      <w:r>
                        <w:rPr>
                          <w:rFonts w:ascii="Arial Bold" w:hAnsi="Arial Bold" w:cs="Arial"/>
                          <w:b/>
                          <w:caps/>
                          <w:color w:val="FFFFFF" w:themeColor="background1"/>
                          <w:sz w:val="24"/>
                          <w:szCs w:val="24"/>
                        </w:rPr>
                        <w:t>TECHNICAL PAPER</w:t>
                      </w:r>
                    </w:p>
                  </w:txbxContent>
                </v:textbox>
              </v:shape>
            </w:pict>
          </mc:Fallback>
        </mc:AlternateContent>
      </w:r>
      <w:r w:rsidR="004556EA">
        <w:rPr>
          <w:noProof/>
          <w:lang w:eastAsia="en-AU"/>
        </w:rPr>
        <w:drawing>
          <wp:anchor distT="0" distB="0" distL="114300" distR="114300" simplePos="0" relativeHeight="251977728" behindDoc="1" locked="0" layoutInCell="1" allowOverlap="1" wp14:anchorId="770B3859" wp14:editId="0126396D">
            <wp:simplePos x="0" y="0"/>
            <wp:positionH relativeFrom="column">
              <wp:posOffset>-908050</wp:posOffset>
            </wp:positionH>
            <wp:positionV relativeFrom="paragraph">
              <wp:posOffset>-806450</wp:posOffset>
            </wp:positionV>
            <wp:extent cx="7572375" cy="1440815"/>
            <wp:effectExtent l="0" t="0" r="9525" b="698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7572375" cy="1440815"/>
                    </a:xfrm>
                    <a:prstGeom prst="rect">
                      <a:avLst/>
                    </a:prstGeom>
                    <a:noFill/>
                    <a:ln>
                      <a:noFill/>
                    </a:ln>
                  </pic:spPr>
                </pic:pic>
              </a:graphicData>
            </a:graphic>
            <wp14:sizeRelH relativeFrom="page">
              <wp14:pctWidth>0</wp14:pctWidth>
            </wp14:sizeRelH>
            <wp14:sizeRelV relativeFrom="page">
              <wp14:pctHeight>0</wp14:pctHeight>
            </wp14:sizeRelV>
          </wp:anchor>
        </w:drawing>
      </w:r>
      <w:r w:rsidR="00ED1C6D">
        <w:rPr>
          <w:noProof/>
          <w:lang w:eastAsia="en-AU"/>
        </w:rPr>
        <mc:AlternateContent>
          <mc:Choice Requires="wps">
            <w:drawing>
              <wp:anchor distT="0" distB="0" distL="114300" distR="114300" simplePos="0" relativeHeight="251757568" behindDoc="0" locked="0" layoutInCell="1" allowOverlap="1" wp14:anchorId="41D5A9E3" wp14:editId="3EB97E12">
                <wp:simplePos x="0" y="0"/>
                <wp:positionH relativeFrom="column">
                  <wp:posOffset>-680974</wp:posOffset>
                </wp:positionH>
                <wp:positionV relativeFrom="paragraph">
                  <wp:posOffset>635762</wp:posOffset>
                </wp:positionV>
                <wp:extent cx="6257925" cy="2406701"/>
                <wp:effectExtent l="0" t="0" r="0" b="12700"/>
                <wp:wrapNone/>
                <wp:docPr id="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57925" cy="240670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6C237B9" w14:textId="1A45F486" w:rsidR="00FB52EF" w:rsidRPr="00704F86" w:rsidRDefault="00FB52EF" w:rsidP="00621FAA">
                            <w:pPr>
                              <w:pStyle w:val="Titlepage"/>
                              <w:spacing w:after="0"/>
                              <w:ind w:left="0"/>
                              <w:rPr>
                                <w:b/>
                                <w:color w:val="0081C6"/>
                              </w:rPr>
                            </w:pPr>
                            <w:r>
                              <w:rPr>
                                <w:b/>
                                <w:color w:val="0081C6"/>
                              </w:rPr>
                              <w:t>Methodological approaches for projecting completion rates for apprentices and trainees</w:t>
                            </w:r>
                          </w:p>
                          <w:p w14:paraId="05F5561B" w14:textId="693F918E" w:rsidR="00FB52EF" w:rsidRPr="00753998" w:rsidRDefault="00FB52EF" w:rsidP="00C44B0C">
                            <w:pPr>
                              <w:pStyle w:val="Titlepage"/>
                              <w:spacing w:before="720" w:after="0"/>
                              <w:ind w:left="0"/>
                              <w:rPr>
                                <w:b/>
                                <w:color w:val="595959" w:themeColor="text1" w:themeTint="A6"/>
                                <w:sz w:val="27"/>
                                <w:szCs w:val="27"/>
                              </w:rPr>
                            </w:pPr>
                            <w:r>
                              <w:rPr>
                                <w:b/>
                                <w:color w:val="595959" w:themeColor="text1" w:themeTint="A6"/>
                                <w:sz w:val="27"/>
                                <w:szCs w:val="27"/>
                              </w:rPr>
                              <w:t>Michelle Hall</w:t>
                            </w:r>
                            <w:r>
                              <w:rPr>
                                <w:b/>
                                <w:color w:val="595959" w:themeColor="text1" w:themeTint="A6"/>
                                <w:sz w:val="27"/>
                                <w:szCs w:val="27"/>
                              </w:rPr>
                              <w:br/>
                              <w:t>Brian Harvey</w:t>
                            </w:r>
                          </w:p>
                          <w:p w14:paraId="1511E2A1" w14:textId="330F4B38" w:rsidR="00FB52EF" w:rsidRPr="00360FAD" w:rsidRDefault="00FB52EF" w:rsidP="00C44B0C">
                            <w:pPr>
                              <w:pStyle w:val="Titlepage"/>
                              <w:spacing w:after="0"/>
                              <w:ind w:left="0"/>
                              <w:rPr>
                                <w:color w:val="595959" w:themeColor="text1" w:themeTint="A6"/>
                                <w:sz w:val="27"/>
                                <w:szCs w:val="27"/>
                              </w:rPr>
                            </w:pPr>
                            <w:r w:rsidRPr="009845B9">
                              <w:rPr>
                                <w:color w:val="595959" w:themeColor="text1" w:themeTint="A6"/>
                                <w:sz w:val="27"/>
                                <w:szCs w:val="27"/>
                              </w:rPr>
                              <w:t>National Centre for Vocational Education Research</w:t>
                            </w:r>
                          </w:p>
                        </w:txbxContent>
                      </wps:txbx>
                      <wps:bodyPr rot="0" spcFirstLastPara="0" vertOverflow="overflow" horzOverflow="overflow" vert="horz" wrap="square" lIns="91440" tIns="4572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D5A9E3" id="Text Box 12" o:spid="_x0000_s1027" type="#_x0000_t202" style="position:absolute;margin-left:-53.6pt;margin-top:50.05pt;width:492.75pt;height:189.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" filled="f" stroked="f" strokeweight=".5pt">
                <v:textbox inset=",,,0">
                  <w:txbxContent>
                    <w:p w14:paraId="36C237B9" w14:textId="1A45F486" w:rsidR="00FB52EF" w:rsidRPr="00704F86" w:rsidRDefault="00FB52EF" w:rsidP="00621FAA">
                      <w:pPr>
                        <w:pStyle w:val="Titlepage"/>
                        <w:spacing w:after="0"/>
                        <w:ind w:left="0"/>
                        <w:rPr>
                          <w:b/>
                          <w:color w:val="0081C6"/>
                        </w:rPr>
                      </w:pPr>
                      <w:r>
                        <w:rPr>
                          <w:b/>
                          <w:color w:val="0081C6"/>
                        </w:rPr>
                        <w:t>Methodological approaches for projecting completion rates for apprentices and trainees</w:t>
                      </w:r>
                    </w:p>
                    <w:p w14:paraId="05F5561B" w14:textId="693F918E" w:rsidR="00FB52EF" w:rsidRPr="00753998" w:rsidRDefault="00FB52EF" w:rsidP="00C44B0C">
                      <w:pPr>
                        <w:pStyle w:val="Titlepage"/>
                        <w:spacing w:before="720" w:after="0"/>
                        <w:ind w:left="0"/>
                        <w:rPr>
                          <w:b/>
                          <w:color w:val="595959" w:themeColor="text1" w:themeTint="A6"/>
                          <w:sz w:val="27"/>
                          <w:szCs w:val="27"/>
                        </w:rPr>
                      </w:pPr>
                      <w:r>
                        <w:rPr>
                          <w:b/>
                          <w:color w:val="595959" w:themeColor="text1" w:themeTint="A6"/>
                          <w:sz w:val="27"/>
                          <w:szCs w:val="27"/>
                        </w:rPr>
                        <w:t>Michelle Hall</w:t>
                      </w:r>
                      <w:r>
                        <w:rPr>
                          <w:b/>
                          <w:color w:val="595959" w:themeColor="text1" w:themeTint="A6"/>
                          <w:sz w:val="27"/>
                          <w:szCs w:val="27"/>
                        </w:rPr>
                        <w:br/>
                        <w:t>Brian Harvey</w:t>
                      </w:r>
                    </w:p>
                    <w:p w14:paraId="1511E2A1" w14:textId="330F4B38" w:rsidR="00FB52EF" w:rsidRPr="00360FAD" w:rsidRDefault="00FB52EF" w:rsidP="00C44B0C">
                      <w:pPr>
                        <w:pStyle w:val="Titlepage"/>
                        <w:spacing w:after="0"/>
                        <w:ind w:left="0"/>
                        <w:rPr>
                          <w:color w:val="595959" w:themeColor="text1" w:themeTint="A6"/>
                          <w:sz w:val="27"/>
                          <w:szCs w:val="27"/>
                        </w:rPr>
                      </w:pPr>
                      <w:r w:rsidRPr="009845B9">
                        <w:rPr>
                          <w:color w:val="595959" w:themeColor="text1" w:themeTint="A6"/>
                          <w:sz w:val="27"/>
                          <w:szCs w:val="27"/>
                        </w:rPr>
                        <w:t>National Centre for Vocational Education Research</w:t>
                      </w:r>
                    </w:p>
                  </w:txbxContent>
                </v:textbox>
              </v:shape>
            </w:pict>
          </mc:Fallback>
        </mc:AlternateContent>
      </w:r>
      <w:r w:rsidR="00E80325">
        <w:rPr>
          <w:noProof/>
          <w:lang w:eastAsia="en-AU"/>
        </w:rPr>
        <mc:AlternateContent>
          <mc:Choice Requires="wps">
            <w:drawing>
              <wp:anchor distT="0" distB="0" distL="114300" distR="114300" simplePos="0" relativeHeight="251759616" behindDoc="0" locked="0" layoutInCell="1" allowOverlap="1" wp14:anchorId="6527894F" wp14:editId="57BE7048">
                <wp:simplePos x="0" y="0"/>
                <wp:positionH relativeFrom="column">
                  <wp:posOffset>-582295</wp:posOffset>
                </wp:positionH>
                <wp:positionV relativeFrom="paragraph">
                  <wp:posOffset>2029460</wp:posOffset>
                </wp:positionV>
                <wp:extent cx="2115820" cy="0"/>
                <wp:effectExtent l="0" t="0" r="17780" b="19050"/>
                <wp:wrapNone/>
                <wp:docPr id="7" name="Straight Connector 7"/>
                <wp:cNvGraphicFramePr/>
                <a:graphic xmlns:a="http://schemas.openxmlformats.org/drawingml/2006/main">
                  <a:graphicData uri="http://schemas.microsoft.com/office/word/2010/wordprocessingShape">
                    <wps:wsp>
                      <wps:cNvCnPr/>
                      <wps:spPr>
                        <a:xfrm>
                          <a:off x="0" y="0"/>
                          <a:ext cx="2115820" cy="0"/>
                        </a:xfrm>
                        <a:prstGeom prst="line">
                          <a:avLst/>
                        </a:prstGeom>
                        <a:ln w="12700">
                          <a:solidFill>
                            <a:schemeClr val="tx1"/>
                          </a:solidFill>
                        </a:ln>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line w14:anchorId="42127764" id="Straight Connector 7" o:spid="_x0000_s1026" style="position:absolute;z-index:251759616;visibility:visible;mso-wrap-style:square;mso-wrap-distance-left:9pt;mso-wrap-distance-top:0;mso-wrap-distance-right:9pt;mso-wrap-distance-bottom:0;mso-position-horizontal:absolute;mso-position-horizontal-relative:text;mso-position-vertical:absolute;mso-position-vertical-relative:text" from="-45.85pt,159.8pt" to="120.75pt,15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" strokecolor="black [3213]" strokeweight="1pt"/>
            </w:pict>
          </mc:Fallback>
        </mc:AlternateContent>
      </w:r>
      <w:bookmarkEnd w:id="0"/>
      <w:bookmarkEnd w:id="1"/>
      <w:r w:rsidR="00D056F3">
        <w:br w:type="page"/>
      </w:r>
      <w:bookmarkStart w:id="3" w:name="_Toc495748330"/>
      <w:bookmarkStart w:id="4" w:name="_Toc495810630"/>
      <w:bookmarkStart w:id="5" w:name="_Toc6031787"/>
      <w:bookmarkStart w:id="6" w:name="_Toc6031844"/>
      <w:bookmarkEnd w:id="2"/>
    </w:p>
    <w:p w14:paraId="7FDFF025" w14:textId="77777777" w:rsidR="007C667B" w:rsidRPr="005C2FCF" w:rsidRDefault="007C667B" w:rsidP="007C667B">
      <w:pPr>
        <w:pStyle w:val="Heading3"/>
        <w:ind w:right="-1"/>
      </w:pPr>
      <w:bookmarkStart w:id="7" w:name="_Toc98394880"/>
      <w:bookmarkStart w:id="8" w:name="_Toc296423683"/>
      <w:bookmarkStart w:id="9" w:name="_Toc296497514"/>
      <w:r w:rsidRPr="005C2FCF">
        <w:lastRenderedPageBreak/>
        <w:t>Publisher’s note</w:t>
      </w:r>
    </w:p>
    <w:p w14:paraId="5350AAC6" w14:textId="77777777" w:rsidR="00FE792E" w:rsidRDefault="00FE792E" w:rsidP="00FE792E">
      <w:pPr>
        <w:pStyle w:val="Imprint"/>
      </w:pPr>
      <w:r w:rsidRPr="007C667B">
        <w:t>The views and opinions expressed in this document are thos</w:t>
      </w:r>
      <w:r w:rsidRPr="00FE792E">
        <w:t xml:space="preserve">e of </w:t>
      </w:r>
      <w:r w:rsidRPr="008C3142">
        <w:t>NCVER</w:t>
      </w:r>
      <w:r>
        <w:t xml:space="preserve"> </w:t>
      </w:r>
      <w:r w:rsidRPr="00FE792E">
        <w:t xml:space="preserve">and do not necessarily reflect the views of the Australian Government, or state and territory </w:t>
      </w:r>
      <w:r>
        <w:t>governments</w:t>
      </w:r>
      <w:r w:rsidRPr="00FE792E">
        <w:t>. Any interpretation of data is the responsibility of the author/project team.</w:t>
      </w:r>
    </w:p>
    <w:p w14:paraId="17492135" w14:textId="41AC52E7" w:rsidR="00FE792E" w:rsidRDefault="00FE792E" w:rsidP="00FE792E">
      <w:pPr>
        <w:pStyle w:val="Imprint"/>
        <w:ind w:right="-1"/>
      </w:pPr>
      <w:r>
        <w:t xml:space="preserve">To find other material of interest, search VOCEDplus (the UNESCO/NCVER international database </w:t>
      </w:r>
      <w:r w:rsidRPr="00CE248F">
        <w:t>&lt;</w:t>
      </w:r>
      <w:hyperlink r:id="rId11" w:history="1">
        <w:r w:rsidRPr="00CE248F">
          <w:t>http://www.voced.edu.au</w:t>
        </w:r>
      </w:hyperlink>
      <w:r w:rsidRPr="00CE248F">
        <w:t>&gt;)</w:t>
      </w:r>
      <w:r>
        <w:t xml:space="preserve"> using the following keywords: </w:t>
      </w:r>
      <w:r w:rsidR="004C049F">
        <w:t>apprentice; apprenticeship; apprenticeship contract; completion; data analysis; data collection; evaluation; outcomes of education and training; participation; providers of education and training; registered training organisation; qualifications; statistical method; statistics; students; trainee; vocational education and training.</w:t>
      </w:r>
    </w:p>
    <w:p w14:paraId="67860C11" w14:textId="66A08A5D" w:rsidR="00FE792E" w:rsidRDefault="00FE792E" w:rsidP="007C667B">
      <w:pPr>
        <w:pStyle w:val="Imprint"/>
      </w:pPr>
    </w:p>
    <w:p w14:paraId="37E905ED" w14:textId="01951D68" w:rsidR="001E065B" w:rsidRDefault="001E065B" w:rsidP="007C667B">
      <w:pPr>
        <w:pStyle w:val="Imprint"/>
      </w:pPr>
    </w:p>
    <w:p w14:paraId="5095DD1F" w14:textId="2050CCE6" w:rsidR="001E065B" w:rsidRDefault="001E065B" w:rsidP="007C667B">
      <w:pPr>
        <w:pStyle w:val="Imprint"/>
      </w:pPr>
    </w:p>
    <w:p w14:paraId="56D1624E" w14:textId="39B52081" w:rsidR="001E065B" w:rsidRDefault="001E065B" w:rsidP="007C667B">
      <w:pPr>
        <w:pStyle w:val="Imprint"/>
      </w:pPr>
    </w:p>
    <w:p w14:paraId="74ACCA5B" w14:textId="23DBE891" w:rsidR="001E065B" w:rsidRDefault="001E065B" w:rsidP="007C667B">
      <w:pPr>
        <w:pStyle w:val="Imprint"/>
      </w:pPr>
    </w:p>
    <w:p w14:paraId="4675BE8B" w14:textId="77777777" w:rsidR="001E065B" w:rsidRPr="007C667B" w:rsidRDefault="001E065B" w:rsidP="007C667B">
      <w:pPr>
        <w:pStyle w:val="Imprint"/>
      </w:pPr>
    </w:p>
    <w:p w14:paraId="1C89E47C" w14:textId="11CBA94D" w:rsidR="00C83D73" w:rsidRDefault="00234BEA" w:rsidP="007C667B">
      <w:pPr>
        <w:sectPr w:rsidR="00C83D73" w:rsidSect="00E10CD4">
          <w:footerReference w:type="even" r:id="rId12"/>
          <w:footerReference w:type="default" r:id="rId13"/>
          <w:pgSz w:w="11907" w:h="16840" w:code="9"/>
          <w:pgMar w:top="1276" w:right="1418" w:bottom="1276" w:left="1418" w:header="709" w:footer="556" w:gutter="0"/>
          <w:cols w:space="708"/>
          <w:docGrid w:linePitch="360"/>
        </w:sectPr>
      </w:pPr>
      <w:r>
        <w:rPr>
          <w:noProof/>
          <w:lang w:eastAsia="en-AU"/>
        </w:rPr>
        <w:drawing>
          <wp:anchor distT="0" distB="0" distL="114300" distR="114300" simplePos="0" relativeHeight="251765760" behindDoc="0" locked="0" layoutInCell="1" allowOverlap="1" wp14:anchorId="707D1FE6" wp14:editId="5CEFC219">
            <wp:simplePos x="0" y="0"/>
            <wp:positionH relativeFrom="column">
              <wp:posOffset>2114550</wp:posOffset>
            </wp:positionH>
            <wp:positionV relativeFrom="paragraph">
              <wp:posOffset>5462270</wp:posOffset>
            </wp:positionV>
            <wp:extent cx="139065" cy="152400"/>
            <wp:effectExtent l="0" t="0" r="0" b="0"/>
            <wp:wrapNone/>
            <wp:docPr id="24" name="Picture 24" descr="P:\PublicationComponents\logos\Social Media\InBug-16px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PublicationComponents\logos\Social Media\InBug-16px_0.png"/>
                    <pic:cNvPicPr>
                      <a:picLocks noChangeAspect="1" noChangeArrowheads="1"/>
                    </pic:cNvPicPr>
                  </pic:nvPicPr>
                  <pic:blipFill>
                    <a:blip r:embed="rId14" cstate="print">
                      <a:biLevel thresh="50000"/>
                      <a:extLst>
                        <a:ext uri="{28A0092B-C50C-407E-A947-70E740481C1C}">
                          <a14:useLocalDpi xmlns:a14="http://schemas.microsoft.com/office/drawing/2010/main" val="0"/>
                        </a:ext>
                      </a:extLst>
                    </a:blip>
                    <a:srcRect/>
                    <a:stretch>
                      <a:fillRect/>
                    </a:stretch>
                  </pic:blipFill>
                  <pic:spPr bwMode="auto">
                    <a:xfrm>
                      <a:off x="0" y="0"/>
                      <a:ext cx="139065" cy="152400"/>
                    </a:xfrm>
                    <a:prstGeom prst="rect">
                      <a:avLst/>
                    </a:prstGeom>
                    <a:noFill/>
                    <a:ln w="9525">
                      <a:noFill/>
                      <a:miter lim="800000"/>
                      <a:headEnd/>
                      <a:tailEnd/>
                    </a:ln>
                  </pic:spPr>
                </pic:pic>
              </a:graphicData>
            </a:graphic>
          </wp:anchor>
        </w:drawing>
      </w:r>
      <w:r>
        <w:rPr>
          <w:noProof/>
          <w:lang w:eastAsia="en-AU"/>
        </w:rPr>
        <w:drawing>
          <wp:anchor distT="0" distB="0" distL="114300" distR="114300" simplePos="0" relativeHeight="251766784" behindDoc="0" locked="0" layoutInCell="1" allowOverlap="1" wp14:anchorId="44A0F21C" wp14:editId="5AFCDF59">
            <wp:simplePos x="0" y="0"/>
            <wp:positionH relativeFrom="column">
              <wp:posOffset>544830</wp:posOffset>
            </wp:positionH>
            <wp:positionV relativeFrom="paragraph">
              <wp:posOffset>5462270</wp:posOffset>
            </wp:positionV>
            <wp:extent cx="141605" cy="152400"/>
            <wp:effectExtent l="0" t="0" r="0" b="0"/>
            <wp:wrapNone/>
            <wp:docPr id="13" name="Picture 1" descr="P:\PublicationComponents\logos\Social Media\Twitter_black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PublicationComponents\logos\Social Media\Twitter_blackbox.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1605" cy="152400"/>
                    </a:xfrm>
                    <a:prstGeom prst="rect">
                      <a:avLst/>
                    </a:prstGeom>
                    <a:noFill/>
                    <a:ln w="9525">
                      <a:noFill/>
                      <a:miter lim="800000"/>
                      <a:headEnd/>
                      <a:tailEnd/>
                    </a:ln>
                  </pic:spPr>
                </pic:pic>
              </a:graphicData>
            </a:graphic>
          </wp:anchor>
        </w:drawing>
      </w:r>
      <w:r w:rsidR="0012190E">
        <w:rPr>
          <w:noProof/>
          <w:lang w:eastAsia="en-AU"/>
        </w:rPr>
        <mc:AlternateContent>
          <mc:Choice Requires="wps">
            <w:drawing>
              <wp:anchor distT="0" distB="0" distL="114300" distR="114300" simplePos="0" relativeHeight="251762688" behindDoc="0" locked="0" layoutInCell="1" allowOverlap="1" wp14:anchorId="55CE88B7" wp14:editId="1BA61C0D">
                <wp:simplePos x="0" y="0"/>
                <wp:positionH relativeFrom="margin">
                  <wp:align>left</wp:align>
                </wp:positionH>
                <wp:positionV relativeFrom="paragraph">
                  <wp:posOffset>448382</wp:posOffset>
                </wp:positionV>
                <wp:extent cx="5596890" cy="5193102"/>
                <wp:effectExtent l="0" t="0" r="3810" b="7620"/>
                <wp:wrapNone/>
                <wp:docPr id="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6890" cy="51931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C2AC21" w14:textId="16A39DC8" w:rsidR="00FB52EF" w:rsidRPr="00A021FC" w:rsidRDefault="00FB52EF" w:rsidP="007C667B">
                            <w:pPr>
                              <w:pStyle w:val="Imprint"/>
                              <w:rPr>
                                <w:b/>
                              </w:rPr>
                            </w:pPr>
                            <w:r w:rsidRPr="00A021FC">
                              <w:rPr>
                                <w:b/>
                              </w:rPr>
                              <w:t xml:space="preserve">© </w:t>
                            </w:r>
                            <w:r w:rsidRPr="008C3142">
                              <w:rPr>
                                <w:b/>
                              </w:rPr>
                              <w:t>Commonwealth of Australia</w:t>
                            </w:r>
                            <w:r w:rsidRPr="00A021FC">
                              <w:rPr>
                                <w:b/>
                              </w:rPr>
                              <w:t xml:space="preserve">, </w:t>
                            </w:r>
                            <w:r w:rsidR="00234BEA">
                              <w:rPr>
                                <w:b/>
                              </w:rPr>
                              <w:t>2021</w:t>
                            </w:r>
                          </w:p>
                          <w:p w14:paraId="1D525BD6" w14:textId="77777777" w:rsidR="00FB52EF" w:rsidRDefault="00FB52EF" w:rsidP="007C667B">
                            <w:pPr>
                              <w:pStyle w:val="Imprint"/>
                              <w:rPr>
                                <w:sz w:val="20"/>
                              </w:rPr>
                            </w:pPr>
                            <w:r w:rsidRPr="00E80270">
                              <w:rPr>
                                <w:noProof/>
                                <w:sz w:val="20"/>
                                <w:lang w:eastAsia="en-AU"/>
                              </w:rPr>
                              <w:drawing>
                                <wp:inline distT="0" distB="0" distL="0" distR="0" wp14:anchorId="20FFA1D1" wp14:editId="09EFA3F9">
                                  <wp:extent cx="850265" cy="302895"/>
                                  <wp:effectExtent l="19050" t="0" r="6985" b="0"/>
                                  <wp:docPr id="38" name="Picture 1" descr="G:\pub_prod\PublicationComponents\logos\Creativecommons\CC BY logo.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pub_prod\PublicationComponents\logos\Creativecommons\CC BY logo.eps"/>
                                          <pic:cNvPicPr>
                                            <a:picLocks noChangeAspect="1" noChangeArrowheads="1"/>
                                          </pic:cNvPicPr>
                                        </pic:nvPicPr>
                                        <pic:blipFill>
                                          <a:blip r:embed="rId16" cstate="print"/>
                                          <a:srcRect/>
                                          <a:stretch>
                                            <a:fillRect/>
                                          </a:stretch>
                                        </pic:blipFill>
                                        <pic:spPr bwMode="auto">
                                          <a:xfrm>
                                            <a:off x="0" y="0"/>
                                            <a:ext cx="850265" cy="302895"/>
                                          </a:xfrm>
                                          <a:prstGeom prst="rect">
                                            <a:avLst/>
                                          </a:prstGeom>
                                          <a:noFill/>
                                          <a:ln w="9525">
                                            <a:noFill/>
                                            <a:miter lim="800000"/>
                                            <a:headEnd/>
                                            <a:tailEnd/>
                                          </a:ln>
                                        </pic:spPr>
                                      </pic:pic>
                                    </a:graphicData>
                                  </a:graphic>
                                </wp:inline>
                              </w:drawing>
                            </w:r>
                          </w:p>
                          <w:p w14:paraId="7B99DF27" w14:textId="1403F8F3" w:rsidR="00FB52EF" w:rsidRDefault="00FB52EF" w:rsidP="001D321A">
                            <w:pPr>
                              <w:pStyle w:val="Imprint"/>
                            </w:pPr>
                            <w:r w:rsidRPr="001D321A">
                              <w:t>With the exception of the Commonwealth Coat of Arms, the Department’s logo, any material protected by a trade mark and where otherwise noted</w:t>
                            </w:r>
                            <w:r w:rsidR="00914912">
                              <w:t>,</w:t>
                            </w:r>
                            <w:r w:rsidRPr="001D321A">
                              <w:t xml:space="preserve"> all material presented in this document is provided under a Creative Commons Attribution 3.0 Australia &lt;http://creativecommons.org/licenses/by/3.0/au&gt; licence. </w:t>
                            </w:r>
                          </w:p>
                          <w:p w14:paraId="5912E722" w14:textId="14A56B23" w:rsidR="00FB52EF" w:rsidRPr="001D321A" w:rsidRDefault="00FB52EF" w:rsidP="001D321A">
                            <w:pPr>
                              <w:pStyle w:val="Imprint"/>
                            </w:pPr>
                            <w:r w:rsidRPr="001D321A">
                              <w:t xml:space="preserve">The details of the relevant licence conditions are available on the Creative Commons website (accessible using the links </w:t>
                            </w:r>
                            <w:r w:rsidRPr="001D321A">
                              <w:rPr>
                                <w:spacing w:val="-1"/>
                              </w:rPr>
                              <w:t>provided)</w:t>
                            </w:r>
                            <w:r w:rsidR="005F7ACB">
                              <w:rPr>
                                <w:spacing w:val="-1"/>
                              </w:rPr>
                              <w:t>,</w:t>
                            </w:r>
                            <w:r w:rsidRPr="001D321A">
                              <w:rPr>
                                <w:spacing w:val="-1"/>
                              </w:rPr>
                              <w:t xml:space="preserve"> as is the full legal code for the CC BY 3.0 AU licence &lt;http://creativecommons.org/licenses/by/3.0/legalcode&gt;.</w:t>
                            </w:r>
                            <w:r w:rsidRPr="001D321A">
                              <w:rPr>
                                <w:spacing w:val="-2"/>
                              </w:rPr>
                              <w:t xml:space="preserve"> </w:t>
                            </w:r>
                          </w:p>
                          <w:p w14:paraId="4539E8E1" w14:textId="77777777" w:rsidR="00FB52EF" w:rsidRDefault="00FB52EF" w:rsidP="001D321A">
                            <w:pPr>
                              <w:pStyle w:val="Imprint"/>
                            </w:pPr>
                            <w:r w:rsidRPr="001D321A">
                              <w:t>The Creative Commons licence conditions do not apply to all logos, graphic design, artwork and photographs. Requests and enquiries concerning other reproduction and rights should be directed to the National Centre for Vocational Education Research (NCVER).</w:t>
                            </w:r>
                          </w:p>
                          <w:p w14:paraId="59A7DE4C" w14:textId="3E0A77D2" w:rsidR="00FB52EF" w:rsidRPr="00A021FC" w:rsidRDefault="00FB52EF" w:rsidP="001D321A">
                            <w:pPr>
                              <w:pStyle w:val="Imprint"/>
                            </w:pPr>
                            <w:r w:rsidRPr="00A021FC">
                              <w:t xml:space="preserve">This document should be attributed as </w:t>
                            </w:r>
                            <w:r w:rsidR="001668D1" w:rsidRPr="00914912">
                              <w:t>Hall, M &amp; Harvey, B</w:t>
                            </w:r>
                            <w:r w:rsidRPr="00914912">
                              <w:t xml:space="preserve"> </w:t>
                            </w:r>
                            <w:r w:rsidR="00621BE5" w:rsidRPr="00914912">
                              <w:t>2021</w:t>
                            </w:r>
                            <w:r w:rsidRPr="00914912">
                              <w:t xml:space="preserve">, </w:t>
                            </w:r>
                            <w:r w:rsidR="00621BE5">
                              <w:rPr>
                                <w:i/>
                              </w:rPr>
                              <w:t xml:space="preserve">Methodological approaches for </w:t>
                            </w:r>
                            <w:r w:rsidR="00E46C70">
                              <w:rPr>
                                <w:i/>
                              </w:rPr>
                              <w:t>projecting completion rates for apprentices and trainees</w:t>
                            </w:r>
                            <w:r w:rsidRPr="00A021FC">
                              <w:rPr>
                                <w:i/>
                              </w:rPr>
                              <w:t>,</w:t>
                            </w:r>
                            <w:r w:rsidRPr="00A021FC">
                              <w:t xml:space="preserve"> NCVER, Adelaide.</w:t>
                            </w:r>
                            <w:r>
                              <w:t xml:space="preserve"> </w:t>
                            </w:r>
                          </w:p>
                          <w:p w14:paraId="1807EC4B" w14:textId="76A8B972" w:rsidR="00FB52EF" w:rsidRPr="001D321A" w:rsidRDefault="00FB52EF" w:rsidP="001D321A">
                            <w:pPr>
                              <w:pStyle w:val="Imprint"/>
                            </w:pPr>
                            <w:r w:rsidRPr="001D321A">
                              <w:t xml:space="preserve">This work has been produced by NCVER on behalf of the Australian Government and state and territory governments, with funding provided through the </w:t>
                            </w:r>
                            <w:r>
                              <w:t xml:space="preserve">Australian Government </w:t>
                            </w:r>
                            <w:r w:rsidRPr="001D321A">
                              <w:t>Department of Education</w:t>
                            </w:r>
                            <w:r>
                              <w:t>, Skills and Employment</w:t>
                            </w:r>
                            <w:r w:rsidRPr="001D321A">
                              <w:t xml:space="preserve">. </w:t>
                            </w:r>
                          </w:p>
                          <w:p w14:paraId="0300B531" w14:textId="77777777" w:rsidR="00FB52EF" w:rsidRPr="00C9777B" w:rsidRDefault="00FB52EF" w:rsidP="001D321A">
                            <w:pPr>
                              <w:pStyle w:val="Imprint"/>
                            </w:pPr>
                            <w:r>
                              <w:rPr>
                                <w:smallCaps/>
                              </w:rPr>
                              <w:t>COVER IMAGE: GETTY IMAGES</w:t>
                            </w:r>
                          </w:p>
                          <w:p w14:paraId="4D33D844" w14:textId="7C8EC9B2" w:rsidR="00FB52EF" w:rsidRDefault="00FB52EF" w:rsidP="007C667B">
                            <w:pPr>
                              <w:pStyle w:val="Imprint"/>
                              <w:rPr>
                                <w:color w:val="000000"/>
                              </w:rPr>
                            </w:pPr>
                            <w:r w:rsidRPr="005C2FCF">
                              <w:rPr>
                                <w:color w:val="000000"/>
                              </w:rPr>
                              <w:t>ISBN</w:t>
                            </w:r>
                            <w:r>
                              <w:rPr>
                                <w:color w:val="000000"/>
                              </w:rPr>
                              <w:t xml:space="preserve"> </w:t>
                            </w:r>
                            <w:r w:rsidRPr="005C2FCF">
                              <w:rPr>
                                <w:color w:val="000000"/>
                              </w:rPr>
                              <w:tab/>
                            </w:r>
                            <w:r w:rsidR="00234BEA" w:rsidRPr="00234BEA">
                              <w:rPr>
                                <w:color w:val="000000"/>
                              </w:rPr>
                              <w:t>978-1-925717-78-5</w:t>
                            </w:r>
                          </w:p>
                          <w:p w14:paraId="58FC7CC6" w14:textId="502772BF" w:rsidR="00FB52EF" w:rsidRPr="005C2FCF" w:rsidRDefault="00FB52EF" w:rsidP="00CE248F">
                            <w:pPr>
                              <w:pStyle w:val="Imprint"/>
                              <w:spacing w:before="0"/>
                              <w:rPr>
                                <w:color w:val="000000"/>
                              </w:rPr>
                            </w:pPr>
                            <w:r w:rsidRPr="005C2FCF">
                              <w:rPr>
                                <w:color w:val="000000"/>
                              </w:rPr>
                              <w:t>TD/TNC</w:t>
                            </w:r>
                            <w:r w:rsidRPr="005C2FCF">
                              <w:rPr>
                                <w:color w:val="000000"/>
                              </w:rPr>
                              <w:tab/>
                            </w:r>
                            <w:r w:rsidR="00234BEA">
                              <w:rPr>
                                <w:color w:val="000000"/>
                              </w:rPr>
                              <w:t>144.17</w:t>
                            </w:r>
                          </w:p>
                          <w:p w14:paraId="694BA120" w14:textId="77777777" w:rsidR="00FB52EF" w:rsidRPr="005C2FCF" w:rsidRDefault="00FB52EF" w:rsidP="007C667B">
                            <w:pPr>
                              <w:pStyle w:val="Imprint"/>
                              <w:ind w:right="1700"/>
                              <w:rPr>
                                <w:color w:val="000000"/>
                              </w:rPr>
                            </w:pPr>
                            <w:r w:rsidRPr="005C2FCF">
                              <w:rPr>
                                <w:color w:val="000000"/>
                              </w:rPr>
                              <w:t>Published by NCVER</w:t>
                            </w:r>
                            <w:r>
                              <w:rPr>
                                <w:color w:val="000000"/>
                              </w:rPr>
                              <w:t xml:space="preserve">, </w:t>
                            </w:r>
                            <w:r w:rsidRPr="005C2FCF">
                              <w:rPr>
                                <w:color w:val="000000"/>
                              </w:rPr>
                              <w:t>ABN 87 007 967 311</w:t>
                            </w:r>
                          </w:p>
                          <w:p w14:paraId="157149BB" w14:textId="77777777" w:rsidR="00FB52EF" w:rsidRPr="005C2FCF" w:rsidRDefault="00FB52EF" w:rsidP="007C667B">
                            <w:pPr>
                              <w:pStyle w:val="Imprint"/>
                              <w:spacing w:before="80"/>
                              <w:rPr>
                                <w:color w:val="000000"/>
                              </w:rPr>
                            </w:pPr>
                            <w:r>
                              <w:rPr>
                                <w:color w:val="000000"/>
                              </w:rPr>
                              <w:t xml:space="preserve">Level 5, 60 Light Square, Adelaide </w:t>
                            </w:r>
                            <w:r w:rsidRPr="005C2FCF">
                              <w:rPr>
                                <w:color w:val="000000"/>
                              </w:rPr>
                              <w:t>SA 5000</w:t>
                            </w:r>
                            <w:r w:rsidRPr="005C2FCF">
                              <w:rPr>
                                <w:color w:val="000000"/>
                              </w:rPr>
                              <w:br/>
                              <w:t>PO Box 8288 Station Arcade, Adelaide SA 5000, Australia</w:t>
                            </w:r>
                          </w:p>
                          <w:p w14:paraId="36263D23" w14:textId="77777777" w:rsidR="00FB52EF" w:rsidRPr="002C3573" w:rsidRDefault="00FB52EF" w:rsidP="001D321A">
                            <w:pPr>
                              <w:pStyle w:val="Imprint"/>
                              <w:tabs>
                                <w:tab w:val="left" w:pos="2127"/>
                              </w:tabs>
                            </w:pPr>
                            <w:r w:rsidRPr="00D212FA">
                              <w:rPr>
                                <w:b/>
                              </w:rPr>
                              <w:t>P</w:t>
                            </w:r>
                            <w:r>
                              <w:rPr>
                                <w:b/>
                              </w:rPr>
                              <w:t>hone</w:t>
                            </w:r>
                            <w:r w:rsidRPr="00D212FA">
                              <w:t xml:space="preserve"> +61 8 8230 8400 </w:t>
                            </w:r>
                            <w:r>
                              <w:t xml:space="preserve"> </w:t>
                            </w:r>
                            <w:r w:rsidRPr="00D212FA">
                              <w:t xml:space="preserve"> </w:t>
                            </w:r>
                            <w:r>
                              <w:t xml:space="preserve">  </w:t>
                            </w:r>
                            <w:r>
                              <w:tab/>
                            </w:r>
                            <w:r w:rsidRPr="002C3573">
                              <w:rPr>
                                <w:b/>
                              </w:rPr>
                              <w:t>Email</w:t>
                            </w:r>
                            <w:r w:rsidRPr="002C3573">
                              <w:t xml:space="preserve"> </w:t>
                            </w:r>
                            <w:hyperlink r:id="rId17" w:history="1">
                              <w:r w:rsidRPr="004B031A">
                                <w:rPr>
                                  <w:rStyle w:val="Hyperlink"/>
                                  <w:sz w:val="16"/>
                                  <w:szCs w:val="16"/>
                                </w:rPr>
                                <w:t>ncver@ncver.edu.au</w:t>
                              </w:r>
                            </w:hyperlink>
                            <w:r w:rsidRPr="002C3573">
                              <w:t xml:space="preserve">    </w:t>
                            </w:r>
                            <w:r>
                              <w:br/>
                            </w:r>
                            <w:r w:rsidRPr="002C3573">
                              <w:rPr>
                                <w:b/>
                              </w:rPr>
                              <w:t>Web</w:t>
                            </w:r>
                            <w:r w:rsidRPr="002C3573">
                              <w:t xml:space="preserve"> &lt;http</w:t>
                            </w:r>
                            <w:r>
                              <w:t>s</w:t>
                            </w:r>
                            <w:r w:rsidRPr="002C3573">
                              <w:t>://www.ncver.edu.au&gt;  &lt;</w:t>
                            </w:r>
                            <w:hyperlink r:id="rId18" w:history="1">
                              <w:r w:rsidRPr="001D75B8">
                                <w:rPr>
                                  <w:rStyle w:val="Hyperlink"/>
                                  <w:sz w:val="16"/>
                                  <w:szCs w:val="16"/>
                                </w:rPr>
                                <w:t>https://www.lsay.edu.au</w:t>
                              </w:r>
                            </w:hyperlink>
                            <w:r w:rsidRPr="002C3573">
                              <w:t>&gt;</w:t>
                            </w:r>
                          </w:p>
                          <w:p w14:paraId="74043603" w14:textId="77777777" w:rsidR="00FB52EF" w:rsidRPr="00D212FA" w:rsidRDefault="00FB52EF" w:rsidP="007C667B">
                            <w:pPr>
                              <w:pStyle w:val="Imprint"/>
                              <w:tabs>
                                <w:tab w:val="left" w:pos="993"/>
                                <w:tab w:val="left" w:pos="3686"/>
                              </w:tabs>
                              <w:spacing w:before="0"/>
                            </w:pPr>
                            <w:r w:rsidRPr="00E65C3B">
                              <w:rPr>
                                <w:b/>
                              </w:rPr>
                              <w:t>Follow us:</w:t>
                            </w:r>
                            <w:r>
                              <w:t xml:space="preserve"> </w:t>
                            </w:r>
                            <w:r>
                              <w:tab/>
                              <w:t xml:space="preserve">   &lt;https://twitter.com/ncver&gt;</w:t>
                            </w:r>
                            <w:r>
                              <w:tab/>
                              <w:t>&lt;https://www.linkedin.com/company/ncver&gt;</w:t>
                            </w:r>
                          </w:p>
                        </w:txbxContent>
                      </wps:txbx>
                      <wps:bodyPr rot="0" vert="horz" wrap="square" lIns="0" tIns="45720" rIns="0" bIns="45720" anchor="b" anchorCtr="0" upright="1">
                        <a:noAutofit/>
                      </wps:bodyPr>
                    </wps:wsp>
                  </a:graphicData>
                </a:graphic>
                <wp14:sizeRelH relativeFrom="page">
                  <wp14:pctWidth>0</wp14:pctWidth>
                </wp14:sizeRelH>
                <wp14:sizeRelV relativeFrom="page">
                  <wp14:pctHeight>0</wp14:pctHeight>
                </wp14:sizeRelV>
              </wp:anchor>
            </w:drawing>
          </mc:Choice>
          <mc:Fallback>
            <w:pict>
              <v:shape w14:anchorId="55CE88B7" id="Text Box 14" o:spid="_x0000_s1028" type="#_x0000_t202" style="position:absolute;margin-left:0;margin-top:35.3pt;width:440.7pt;height:408.9pt;z-index:2517626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" filled="f" stroked="f">
                <v:textbox inset="0,,0">
                  <w:txbxContent>
                    <w:p w14:paraId="4EC2AC21" w14:textId="16A39DC8" w:rsidR="00FB52EF" w:rsidRPr="00A021FC" w:rsidRDefault="00FB52EF" w:rsidP="007C667B">
                      <w:pPr>
                        <w:pStyle w:val="Imprint"/>
                        <w:rPr>
                          <w:b/>
                        </w:rPr>
                      </w:pPr>
                      <w:r w:rsidRPr="00A021FC">
                        <w:rPr>
                          <w:b/>
                        </w:rPr>
                        <w:t xml:space="preserve">© </w:t>
                      </w:r>
                      <w:r w:rsidRPr="008C3142">
                        <w:rPr>
                          <w:b/>
                        </w:rPr>
                        <w:t>Commonwealth of Australia</w:t>
                      </w:r>
                      <w:r w:rsidRPr="00A021FC">
                        <w:rPr>
                          <w:b/>
                        </w:rPr>
                        <w:t xml:space="preserve">, </w:t>
                      </w:r>
                      <w:r w:rsidR="00234BEA">
                        <w:rPr>
                          <w:b/>
                        </w:rPr>
                        <w:t>2021</w:t>
                      </w:r>
                    </w:p>
                    <w:p w14:paraId="1D525BD6" w14:textId="77777777" w:rsidR="00FB52EF" w:rsidRDefault="00FB52EF" w:rsidP="007C667B">
                      <w:pPr>
                        <w:pStyle w:val="Imprint"/>
                        <w:rPr>
                          <w:sz w:val="20"/>
                        </w:rPr>
                      </w:pPr>
                      <w:r w:rsidRPr="00E80270">
                        <w:rPr>
                          <w:noProof/>
                          <w:sz w:val="20"/>
                          <w:lang w:eastAsia="en-AU"/>
                        </w:rPr>
                        <w:drawing>
                          <wp:inline distT="0" distB="0" distL="0" distR="0" wp14:anchorId="20FFA1D1" wp14:editId="09EFA3F9">
                            <wp:extent cx="850265" cy="302895"/>
                            <wp:effectExtent l="19050" t="0" r="6985" b="0"/>
                            <wp:docPr id="38" name="Picture 1" descr="G:\pub_prod\PublicationComponents\logos\Creativecommons\CC BY logo.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pub_prod\PublicationComponents\logos\Creativecommons\CC BY logo.eps"/>
                                    <pic:cNvPicPr>
                                      <a:picLocks noChangeAspect="1" noChangeArrowheads="1"/>
                                    </pic:cNvPicPr>
                                  </pic:nvPicPr>
                                  <pic:blipFill>
                                    <a:blip r:embed="rId16" cstate="print"/>
                                    <a:srcRect/>
                                    <a:stretch>
                                      <a:fillRect/>
                                    </a:stretch>
                                  </pic:blipFill>
                                  <pic:spPr bwMode="auto">
                                    <a:xfrm>
                                      <a:off x="0" y="0"/>
                                      <a:ext cx="850265" cy="302895"/>
                                    </a:xfrm>
                                    <a:prstGeom prst="rect">
                                      <a:avLst/>
                                    </a:prstGeom>
                                    <a:noFill/>
                                    <a:ln w="9525">
                                      <a:noFill/>
                                      <a:miter lim="800000"/>
                                      <a:headEnd/>
                                      <a:tailEnd/>
                                    </a:ln>
                                  </pic:spPr>
                                </pic:pic>
                              </a:graphicData>
                            </a:graphic>
                          </wp:inline>
                        </w:drawing>
                      </w:r>
                    </w:p>
                    <w:p w14:paraId="7B99DF27" w14:textId="1403F8F3" w:rsidR="00FB52EF" w:rsidRDefault="00FB52EF" w:rsidP="001D321A">
                      <w:pPr>
                        <w:pStyle w:val="Imprint"/>
                      </w:pPr>
                      <w:r w:rsidRPr="001D321A">
                        <w:t>With the exception of the Commonwealth Coat of Arms, the Department’s logo, any material protected by a trade mark and where otherwise noted</w:t>
                      </w:r>
                      <w:r w:rsidR="00914912">
                        <w:t>,</w:t>
                      </w:r>
                      <w:r w:rsidRPr="001D321A">
                        <w:t xml:space="preserve"> all material presented in this document is provided under a Creative Commons Attribution 3.0 Australia &lt;http://creativecommons.org/licenses/by/3.0/au&gt; licence. </w:t>
                      </w:r>
                    </w:p>
                    <w:p w14:paraId="5912E722" w14:textId="14A56B23" w:rsidR="00FB52EF" w:rsidRPr="001D321A" w:rsidRDefault="00FB52EF" w:rsidP="001D321A">
                      <w:pPr>
                        <w:pStyle w:val="Imprint"/>
                      </w:pPr>
                      <w:r w:rsidRPr="001D321A">
                        <w:t xml:space="preserve">The details of the relevant licence conditions are available on the Creative Commons website (accessible using the links </w:t>
                      </w:r>
                      <w:r w:rsidRPr="001D321A">
                        <w:rPr>
                          <w:spacing w:val="-1"/>
                        </w:rPr>
                        <w:t>provided)</w:t>
                      </w:r>
                      <w:r w:rsidR="005F7ACB">
                        <w:rPr>
                          <w:spacing w:val="-1"/>
                        </w:rPr>
                        <w:t>,</w:t>
                      </w:r>
                      <w:r w:rsidRPr="001D321A">
                        <w:rPr>
                          <w:spacing w:val="-1"/>
                        </w:rPr>
                        <w:t xml:space="preserve"> as is the full legal code for the CC BY 3.0 AU licence &lt;http://creativecommons.org/licenses/by/3.0/legalcode&gt;.</w:t>
                      </w:r>
                      <w:r w:rsidRPr="001D321A">
                        <w:rPr>
                          <w:spacing w:val="-2"/>
                        </w:rPr>
                        <w:t xml:space="preserve"> </w:t>
                      </w:r>
                    </w:p>
                    <w:p w14:paraId="4539E8E1" w14:textId="77777777" w:rsidR="00FB52EF" w:rsidRDefault="00FB52EF" w:rsidP="001D321A">
                      <w:pPr>
                        <w:pStyle w:val="Imprint"/>
                      </w:pPr>
                      <w:r w:rsidRPr="001D321A">
                        <w:t>The Creative Commons licence conditions do not apply to all logos, graphic design, artwork and photographs. Requests and enquiries concerning other reproduction and rights should be directed to the National Centre for Vocational Education Research (NCVER).</w:t>
                      </w:r>
                    </w:p>
                    <w:p w14:paraId="59A7DE4C" w14:textId="3E0A77D2" w:rsidR="00FB52EF" w:rsidRPr="00A021FC" w:rsidRDefault="00FB52EF" w:rsidP="001D321A">
                      <w:pPr>
                        <w:pStyle w:val="Imprint"/>
                      </w:pPr>
                      <w:r w:rsidRPr="00A021FC">
                        <w:t xml:space="preserve">This document should be attributed as </w:t>
                      </w:r>
                      <w:r w:rsidR="001668D1" w:rsidRPr="00914912">
                        <w:t>Hall, M &amp; Harvey, B</w:t>
                      </w:r>
                      <w:r w:rsidRPr="00914912">
                        <w:t xml:space="preserve"> </w:t>
                      </w:r>
                      <w:r w:rsidR="00621BE5" w:rsidRPr="00914912">
                        <w:t>2021</w:t>
                      </w:r>
                      <w:r w:rsidRPr="00914912">
                        <w:t xml:space="preserve">, </w:t>
                      </w:r>
                      <w:r w:rsidR="00621BE5">
                        <w:rPr>
                          <w:i/>
                        </w:rPr>
                        <w:t xml:space="preserve">Methodological approaches for </w:t>
                      </w:r>
                      <w:r w:rsidR="00E46C70">
                        <w:rPr>
                          <w:i/>
                        </w:rPr>
                        <w:t>projecting completion rates for apprentices and trainees</w:t>
                      </w:r>
                      <w:r w:rsidRPr="00A021FC">
                        <w:rPr>
                          <w:i/>
                        </w:rPr>
                        <w:t>,</w:t>
                      </w:r>
                      <w:r w:rsidRPr="00A021FC">
                        <w:t xml:space="preserve"> NCVER, Adelaide.</w:t>
                      </w:r>
                      <w:r>
                        <w:t xml:space="preserve"> </w:t>
                      </w:r>
                    </w:p>
                    <w:p w14:paraId="1807EC4B" w14:textId="76A8B972" w:rsidR="00FB52EF" w:rsidRPr="001D321A" w:rsidRDefault="00FB52EF" w:rsidP="001D321A">
                      <w:pPr>
                        <w:pStyle w:val="Imprint"/>
                      </w:pPr>
                      <w:r w:rsidRPr="001D321A">
                        <w:t xml:space="preserve">This work has been produced by NCVER on behalf of the Australian Government and state and territory governments, with funding provided through the </w:t>
                      </w:r>
                      <w:r>
                        <w:t xml:space="preserve">Australian Government </w:t>
                      </w:r>
                      <w:r w:rsidRPr="001D321A">
                        <w:t>Department of Education</w:t>
                      </w:r>
                      <w:r>
                        <w:t>, Skills and Employment</w:t>
                      </w:r>
                      <w:r w:rsidRPr="001D321A">
                        <w:t xml:space="preserve">. </w:t>
                      </w:r>
                    </w:p>
                    <w:p w14:paraId="0300B531" w14:textId="77777777" w:rsidR="00FB52EF" w:rsidRPr="00C9777B" w:rsidRDefault="00FB52EF" w:rsidP="001D321A">
                      <w:pPr>
                        <w:pStyle w:val="Imprint"/>
                      </w:pPr>
                      <w:r>
                        <w:rPr>
                          <w:smallCaps/>
                        </w:rPr>
                        <w:t>COVER IMAGE: GETTY IMAGES</w:t>
                      </w:r>
                    </w:p>
                    <w:p w14:paraId="4D33D844" w14:textId="7C8EC9B2" w:rsidR="00FB52EF" w:rsidRDefault="00FB52EF" w:rsidP="007C667B">
                      <w:pPr>
                        <w:pStyle w:val="Imprint"/>
                        <w:rPr>
                          <w:color w:val="000000"/>
                        </w:rPr>
                      </w:pPr>
                      <w:r w:rsidRPr="005C2FCF">
                        <w:rPr>
                          <w:color w:val="000000"/>
                        </w:rPr>
                        <w:t>ISBN</w:t>
                      </w:r>
                      <w:r>
                        <w:rPr>
                          <w:color w:val="000000"/>
                        </w:rPr>
                        <w:t xml:space="preserve"> </w:t>
                      </w:r>
                      <w:r w:rsidRPr="005C2FCF">
                        <w:rPr>
                          <w:color w:val="000000"/>
                        </w:rPr>
                        <w:tab/>
                      </w:r>
                      <w:r w:rsidR="00234BEA" w:rsidRPr="00234BEA">
                        <w:rPr>
                          <w:color w:val="000000"/>
                        </w:rPr>
                        <w:t>978-1-925717-78-5</w:t>
                      </w:r>
                    </w:p>
                    <w:p w14:paraId="58FC7CC6" w14:textId="502772BF" w:rsidR="00FB52EF" w:rsidRPr="005C2FCF" w:rsidRDefault="00FB52EF" w:rsidP="00CE248F">
                      <w:pPr>
                        <w:pStyle w:val="Imprint"/>
                        <w:spacing w:before="0"/>
                        <w:rPr>
                          <w:color w:val="000000"/>
                        </w:rPr>
                      </w:pPr>
                      <w:r w:rsidRPr="005C2FCF">
                        <w:rPr>
                          <w:color w:val="000000"/>
                        </w:rPr>
                        <w:t>TD/TNC</w:t>
                      </w:r>
                      <w:r w:rsidRPr="005C2FCF">
                        <w:rPr>
                          <w:color w:val="000000"/>
                        </w:rPr>
                        <w:tab/>
                      </w:r>
                      <w:r w:rsidR="00234BEA">
                        <w:rPr>
                          <w:color w:val="000000"/>
                        </w:rPr>
                        <w:t>144.17</w:t>
                      </w:r>
                    </w:p>
                    <w:p w14:paraId="694BA120" w14:textId="77777777" w:rsidR="00FB52EF" w:rsidRPr="005C2FCF" w:rsidRDefault="00FB52EF" w:rsidP="007C667B">
                      <w:pPr>
                        <w:pStyle w:val="Imprint"/>
                        <w:ind w:right="1700"/>
                        <w:rPr>
                          <w:color w:val="000000"/>
                        </w:rPr>
                      </w:pPr>
                      <w:r w:rsidRPr="005C2FCF">
                        <w:rPr>
                          <w:color w:val="000000"/>
                        </w:rPr>
                        <w:t>Published by NCVER</w:t>
                      </w:r>
                      <w:r>
                        <w:rPr>
                          <w:color w:val="000000"/>
                        </w:rPr>
                        <w:t xml:space="preserve">, </w:t>
                      </w:r>
                      <w:r w:rsidRPr="005C2FCF">
                        <w:rPr>
                          <w:color w:val="000000"/>
                        </w:rPr>
                        <w:t>ABN 87 007 967 311</w:t>
                      </w:r>
                    </w:p>
                    <w:p w14:paraId="157149BB" w14:textId="77777777" w:rsidR="00FB52EF" w:rsidRPr="005C2FCF" w:rsidRDefault="00FB52EF" w:rsidP="007C667B">
                      <w:pPr>
                        <w:pStyle w:val="Imprint"/>
                        <w:spacing w:before="80"/>
                        <w:rPr>
                          <w:color w:val="000000"/>
                        </w:rPr>
                      </w:pPr>
                      <w:r>
                        <w:rPr>
                          <w:color w:val="000000"/>
                        </w:rPr>
                        <w:t xml:space="preserve">Level 5, 60 Light Square, Adelaide </w:t>
                      </w:r>
                      <w:r w:rsidRPr="005C2FCF">
                        <w:rPr>
                          <w:color w:val="000000"/>
                        </w:rPr>
                        <w:t>SA 5000</w:t>
                      </w:r>
                      <w:r w:rsidRPr="005C2FCF">
                        <w:rPr>
                          <w:color w:val="000000"/>
                        </w:rPr>
                        <w:br/>
                        <w:t>PO Box 8288 Station Arcade, Adelaide SA 5000, Australia</w:t>
                      </w:r>
                    </w:p>
                    <w:p w14:paraId="36263D23" w14:textId="77777777" w:rsidR="00FB52EF" w:rsidRPr="002C3573" w:rsidRDefault="00FB52EF" w:rsidP="001D321A">
                      <w:pPr>
                        <w:pStyle w:val="Imprint"/>
                        <w:tabs>
                          <w:tab w:val="left" w:pos="2127"/>
                        </w:tabs>
                      </w:pPr>
                      <w:r w:rsidRPr="00D212FA">
                        <w:rPr>
                          <w:b/>
                        </w:rPr>
                        <w:t>P</w:t>
                      </w:r>
                      <w:r>
                        <w:rPr>
                          <w:b/>
                        </w:rPr>
                        <w:t>hone</w:t>
                      </w:r>
                      <w:r w:rsidRPr="00D212FA">
                        <w:t xml:space="preserve"> +61 8 8230 8400 </w:t>
                      </w:r>
                      <w:r>
                        <w:t xml:space="preserve"> </w:t>
                      </w:r>
                      <w:r w:rsidRPr="00D212FA">
                        <w:t xml:space="preserve"> </w:t>
                      </w:r>
                      <w:r>
                        <w:t xml:space="preserve">  </w:t>
                      </w:r>
                      <w:r>
                        <w:tab/>
                      </w:r>
                      <w:r w:rsidRPr="002C3573">
                        <w:rPr>
                          <w:b/>
                        </w:rPr>
                        <w:t>Email</w:t>
                      </w:r>
                      <w:r w:rsidRPr="002C3573">
                        <w:t xml:space="preserve"> </w:t>
                      </w:r>
                      <w:hyperlink r:id="rId19" w:history="1">
                        <w:r w:rsidRPr="004B031A">
                          <w:rPr>
                            <w:rStyle w:val="Hyperlink"/>
                            <w:sz w:val="16"/>
                            <w:szCs w:val="16"/>
                          </w:rPr>
                          <w:t>ncver@ncver.edu.au</w:t>
                        </w:r>
                      </w:hyperlink>
                      <w:r w:rsidRPr="002C3573">
                        <w:t xml:space="preserve">    </w:t>
                      </w:r>
                      <w:r>
                        <w:br/>
                      </w:r>
                      <w:r w:rsidRPr="002C3573">
                        <w:rPr>
                          <w:b/>
                        </w:rPr>
                        <w:t>Web</w:t>
                      </w:r>
                      <w:r w:rsidRPr="002C3573">
                        <w:t xml:space="preserve"> &lt;http</w:t>
                      </w:r>
                      <w:r>
                        <w:t>s</w:t>
                      </w:r>
                      <w:r w:rsidRPr="002C3573">
                        <w:t>://www.ncver.edu.au&gt;  &lt;</w:t>
                      </w:r>
                      <w:hyperlink r:id="rId20" w:history="1">
                        <w:r w:rsidRPr="001D75B8">
                          <w:rPr>
                            <w:rStyle w:val="Hyperlink"/>
                            <w:sz w:val="16"/>
                            <w:szCs w:val="16"/>
                          </w:rPr>
                          <w:t>https://www.lsay.edu.au</w:t>
                        </w:r>
                      </w:hyperlink>
                      <w:r w:rsidRPr="002C3573">
                        <w:t>&gt;</w:t>
                      </w:r>
                    </w:p>
                    <w:p w14:paraId="74043603" w14:textId="77777777" w:rsidR="00FB52EF" w:rsidRPr="00D212FA" w:rsidRDefault="00FB52EF" w:rsidP="007C667B">
                      <w:pPr>
                        <w:pStyle w:val="Imprint"/>
                        <w:tabs>
                          <w:tab w:val="left" w:pos="993"/>
                          <w:tab w:val="left" w:pos="3686"/>
                        </w:tabs>
                        <w:spacing w:before="0"/>
                      </w:pPr>
                      <w:r w:rsidRPr="00E65C3B">
                        <w:rPr>
                          <w:b/>
                        </w:rPr>
                        <w:t>Follow us:</w:t>
                      </w:r>
                      <w:r>
                        <w:t xml:space="preserve"> </w:t>
                      </w:r>
                      <w:r>
                        <w:tab/>
                        <w:t xml:space="preserve">   &lt;https://twitter.com/ncver&gt;</w:t>
                      </w:r>
                      <w:r>
                        <w:tab/>
                        <w:t>&lt;https://www.linkedin.com/company/ncver&gt;</w:t>
                      </w:r>
                    </w:p>
                  </w:txbxContent>
                </v:textbox>
                <w10:wrap anchorx="margin"/>
              </v:shape>
            </w:pict>
          </mc:Fallback>
        </mc:AlternateContent>
      </w:r>
      <w:r w:rsidR="007C667B" w:rsidRPr="005C2FCF">
        <w:br w:type="page"/>
      </w:r>
    </w:p>
    <w:p w14:paraId="725B92CB" w14:textId="2B1D34DF" w:rsidR="00B17E8F" w:rsidRDefault="00B17E8F" w:rsidP="00B17E8F">
      <w:pPr>
        <w:pStyle w:val="Heading1"/>
      </w:pPr>
      <w:bookmarkStart w:id="10" w:name="_Toc78364739"/>
      <w:r>
        <w:lastRenderedPageBreak/>
        <w:t>About the research</w:t>
      </w:r>
      <w:bookmarkEnd w:id="10"/>
    </w:p>
    <w:p w14:paraId="63B7D28D" w14:textId="242203C5" w:rsidR="00D060F6" w:rsidRDefault="00D060F6" w:rsidP="00D060F6">
      <w:pPr>
        <w:pStyle w:val="Abouttheresearchpubtitle"/>
      </w:pPr>
      <w:bookmarkStart w:id="11" w:name="_Toc98394877"/>
      <w:r w:rsidRPr="00D060F6">
        <w:t>Methodological approaches for projecting completion rates for apprentices and trainees</w:t>
      </w:r>
    </w:p>
    <w:p w14:paraId="1E155EEA" w14:textId="5D54E5D1" w:rsidR="00D060F6" w:rsidRPr="001B43CF" w:rsidRDefault="00D060F6" w:rsidP="00D060F6">
      <w:pPr>
        <w:pStyle w:val="Heading3"/>
        <w:ind w:right="-285"/>
      </w:pPr>
      <w:bookmarkStart w:id="12" w:name="_Toc296423681"/>
      <w:bookmarkStart w:id="13" w:name="_Toc296497512"/>
      <w:r>
        <w:t>Michelle Hall and Brian Harvey</w:t>
      </w:r>
      <w:r w:rsidRPr="005C2FCF">
        <w:t xml:space="preserve">, </w:t>
      </w:r>
      <w:bookmarkEnd w:id="11"/>
      <w:bookmarkEnd w:id="12"/>
      <w:bookmarkEnd w:id="13"/>
      <w:r w:rsidRPr="009845B9">
        <w:t>National Centre for Vocational Education Research</w:t>
      </w:r>
    </w:p>
    <w:p w14:paraId="19E304CE" w14:textId="5ED06020" w:rsidR="00D46C3D" w:rsidRDefault="00D46C3D" w:rsidP="00D46C3D">
      <w:pPr>
        <w:rPr>
          <w:rFonts w:cs="Arial"/>
          <w:color w:val="000000"/>
          <w:szCs w:val="22"/>
        </w:rPr>
      </w:pPr>
      <w:r>
        <w:rPr>
          <w:rFonts w:cs="Arial"/>
          <w:color w:val="000000"/>
          <w:szCs w:val="22"/>
        </w:rPr>
        <w:t>The purpose of this technical paper is to summarise exploratory work investigat</w:t>
      </w:r>
      <w:r w:rsidR="00F757A4">
        <w:rPr>
          <w:rFonts w:cs="Arial"/>
          <w:color w:val="000000"/>
          <w:szCs w:val="22"/>
        </w:rPr>
        <w:t>ing</w:t>
      </w:r>
      <w:r>
        <w:rPr>
          <w:rFonts w:cs="Arial"/>
          <w:color w:val="000000"/>
          <w:szCs w:val="22"/>
        </w:rPr>
        <w:t xml:space="preserve"> the effectiveness of the </w:t>
      </w:r>
      <w:r w:rsidR="0078707C">
        <w:rPr>
          <w:rFonts w:cs="Arial"/>
          <w:color w:val="000000"/>
          <w:szCs w:val="22"/>
        </w:rPr>
        <w:t xml:space="preserve">life tables </w:t>
      </w:r>
      <w:r>
        <w:rPr>
          <w:rFonts w:cs="Arial"/>
          <w:color w:val="000000"/>
          <w:szCs w:val="22"/>
        </w:rPr>
        <w:t>methodology</w:t>
      </w:r>
      <w:r w:rsidR="00EC4763">
        <w:rPr>
          <w:rFonts w:cs="Arial"/>
          <w:color w:val="000000"/>
          <w:szCs w:val="22"/>
        </w:rPr>
        <w:t>, which is currently</w:t>
      </w:r>
      <w:r>
        <w:rPr>
          <w:rFonts w:cs="Arial"/>
          <w:color w:val="000000"/>
          <w:szCs w:val="22"/>
        </w:rPr>
        <w:t xml:space="preserve"> used to calculate completion rate projections</w:t>
      </w:r>
      <w:r w:rsidR="0065361F">
        <w:rPr>
          <w:rFonts w:cs="Arial"/>
          <w:color w:val="000000"/>
          <w:szCs w:val="22"/>
        </w:rPr>
        <w:t xml:space="preserve"> for apprentices and trainees</w:t>
      </w:r>
      <w:r w:rsidR="00EC4763">
        <w:rPr>
          <w:rFonts w:cs="Arial"/>
          <w:color w:val="000000"/>
          <w:szCs w:val="22"/>
        </w:rPr>
        <w:t>,</w:t>
      </w:r>
      <w:r>
        <w:rPr>
          <w:rFonts w:cs="Arial"/>
          <w:color w:val="000000"/>
          <w:szCs w:val="22"/>
        </w:rPr>
        <w:t xml:space="preserve"> against two alternative methodological approaches </w:t>
      </w:r>
      <w:r w:rsidR="0065361F">
        <w:rPr>
          <w:rFonts w:cs="Arial"/>
          <w:color w:val="000000"/>
          <w:szCs w:val="22"/>
        </w:rPr>
        <w:t>−</w:t>
      </w:r>
      <w:r>
        <w:rPr>
          <w:rFonts w:cs="Arial"/>
          <w:color w:val="000000"/>
          <w:szCs w:val="22"/>
        </w:rPr>
        <w:t xml:space="preserve"> Markov chains and machine learning.</w:t>
      </w:r>
    </w:p>
    <w:p w14:paraId="3E1B775F" w14:textId="086B0FD8" w:rsidR="00B17E8F" w:rsidRDefault="00B30624" w:rsidP="00B17E8F">
      <w:pPr>
        <w:rPr>
          <w:rFonts w:cs="Arial"/>
          <w:color w:val="000000"/>
          <w:szCs w:val="22"/>
        </w:rPr>
      </w:pPr>
      <w:r>
        <w:rPr>
          <w:rFonts w:cs="Arial"/>
          <w:color w:val="000000"/>
          <w:szCs w:val="22"/>
        </w:rPr>
        <w:t>The National Centre for Vocational Education Research (</w:t>
      </w:r>
      <w:r w:rsidR="00D060F6">
        <w:rPr>
          <w:rFonts w:cs="Arial"/>
          <w:color w:val="000000"/>
          <w:szCs w:val="22"/>
        </w:rPr>
        <w:t>NCVER</w:t>
      </w:r>
      <w:r>
        <w:rPr>
          <w:rFonts w:cs="Arial"/>
          <w:color w:val="000000"/>
          <w:szCs w:val="22"/>
        </w:rPr>
        <w:t>)</w:t>
      </w:r>
      <w:r w:rsidR="00850E83">
        <w:rPr>
          <w:rFonts w:cs="Arial"/>
          <w:color w:val="000000"/>
          <w:szCs w:val="22"/>
        </w:rPr>
        <w:t xml:space="preserve"> </w:t>
      </w:r>
      <w:r w:rsidR="00852C0A">
        <w:rPr>
          <w:rFonts w:cs="Arial"/>
          <w:color w:val="000000"/>
          <w:szCs w:val="22"/>
        </w:rPr>
        <w:t>publishe</w:t>
      </w:r>
      <w:r w:rsidR="00850E83">
        <w:rPr>
          <w:rFonts w:cs="Arial"/>
          <w:color w:val="000000"/>
          <w:szCs w:val="22"/>
        </w:rPr>
        <w:t>s</w:t>
      </w:r>
      <w:r w:rsidR="00D060F6">
        <w:rPr>
          <w:rFonts w:cs="Arial"/>
          <w:color w:val="000000"/>
          <w:szCs w:val="22"/>
        </w:rPr>
        <w:t xml:space="preserve"> </w:t>
      </w:r>
      <w:r w:rsidR="00D060F6" w:rsidRPr="00AF0209">
        <w:rPr>
          <w:rFonts w:cs="Arial"/>
          <w:i/>
          <w:iCs/>
          <w:color w:val="000000"/>
          <w:szCs w:val="22"/>
        </w:rPr>
        <w:t xml:space="preserve">projected </w:t>
      </w:r>
      <w:r w:rsidR="00D060F6">
        <w:rPr>
          <w:rFonts w:cs="Arial"/>
          <w:color w:val="000000"/>
          <w:szCs w:val="22"/>
        </w:rPr>
        <w:t>contract completion rates for recent commencing cohorts of apprentices and trainees</w:t>
      </w:r>
      <w:r w:rsidR="005665A8">
        <w:rPr>
          <w:rFonts w:cs="Arial"/>
          <w:color w:val="000000"/>
          <w:szCs w:val="22"/>
        </w:rPr>
        <w:t xml:space="preserve">. </w:t>
      </w:r>
      <w:r w:rsidR="004C0088">
        <w:rPr>
          <w:rFonts w:cs="Arial"/>
          <w:color w:val="000000"/>
          <w:szCs w:val="22"/>
        </w:rPr>
        <w:t>Report</w:t>
      </w:r>
      <w:r w:rsidR="0012190E">
        <w:rPr>
          <w:rFonts w:cs="Arial"/>
          <w:color w:val="000000"/>
          <w:szCs w:val="22"/>
        </w:rPr>
        <w:t>ing</w:t>
      </w:r>
      <w:r w:rsidR="004C0088">
        <w:rPr>
          <w:rFonts w:cs="Arial"/>
          <w:color w:val="000000"/>
          <w:szCs w:val="22"/>
        </w:rPr>
        <w:t xml:space="preserve"> </w:t>
      </w:r>
      <w:r w:rsidR="000B059D">
        <w:rPr>
          <w:rFonts w:cs="Arial"/>
          <w:color w:val="000000"/>
          <w:szCs w:val="22"/>
        </w:rPr>
        <w:t xml:space="preserve">projected rates </w:t>
      </w:r>
      <w:r w:rsidR="0012190E">
        <w:rPr>
          <w:rFonts w:cs="Arial"/>
          <w:color w:val="000000"/>
          <w:szCs w:val="22"/>
        </w:rPr>
        <w:t xml:space="preserve">is </w:t>
      </w:r>
      <w:r w:rsidR="005665A8">
        <w:rPr>
          <w:rFonts w:cs="Arial"/>
          <w:color w:val="000000"/>
          <w:szCs w:val="22"/>
        </w:rPr>
        <w:t>necessary</w:t>
      </w:r>
      <w:r w:rsidR="00D060F6">
        <w:rPr>
          <w:rFonts w:cs="Arial"/>
          <w:color w:val="000000"/>
          <w:szCs w:val="22"/>
        </w:rPr>
        <w:t xml:space="preserve"> because </w:t>
      </w:r>
      <w:r w:rsidR="00D060F6" w:rsidRPr="00B30624">
        <w:rPr>
          <w:rFonts w:cs="Arial"/>
          <w:i/>
          <w:iCs/>
          <w:color w:val="000000"/>
          <w:szCs w:val="22"/>
        </w:rPr>
        <w:t>actual</w:t>
      </w:r>
      <w:r w:rsidR="00D060F6">
        <w:rPr>
          <w:rFonts w:cs="Arial"/>
          <w:color w:val="000000"/>
          <w:szCs w:val="22"/>
        </w:rPr>
        <w:t xml:space="preserve"> c</w:t>
      </w:r>
      <w:r w:rsidR="00B17E8F">
        <w:rPr>
          <w:rFonts w:cs="Arial"/>
          <w:color w:val="000000"/>
          <w:szCs w:val="22"/>
        </w:rPr>
        <w:t>ompletion rates cannot be known until enough time has passed for contracts to be completed and for the outcomes to be reported to NCVER.</w:t>
      </w:r>
    </w:p>
    <w:p w14:paraId="4E052B55" w14:textId="77777777" w:rsidR="00B17E8F" w:rsidRDefault="00B17E8F" w:rsidP="00B17E8F">
      <w:pPr>
        <w:rPr>
          <w:rFonts w:cs="Arial"/>
          <w:color w:val="000000"/>
          <w:szCs w:val="22"/>
        </w:rPr>
      </w:pPr>
      <w:r>
        <w:rPr>
          <w:rFonts w:cs="Arial"/>
          <w:color w:val="000000"/>
          <w:szCs w:val="22"/>
        </w:rPr>
        <w:t>This report includes:</w:t>
      </w:r>
    </w:p>
    <w:p w14:paraId="375C28FB" w14:textId="3582F9D3" w:rsidR="00B17E8F" w:rsidRPr="00290470" w:rsidRDefault="00B17E8F" w:rsidP="00B17E8F">
      <w:pPr>
        <w:pStyle w:val="Dotpoint1"/>
        <w:ind w:left="284" w:hanging="284"/>
      </w:pPr>
      <w:r w:rsidRPr="00290470">
        <w:t xml:space="preserve">an overview of </w:t>
      </w:r>
      <w:r w:rsidR="00810822">
        <w:t xml:space="preserve">the </w:t>
      </w:r>
      <w:r w:rsidRPr="00290470">
        <w:t>th</w:t>
      </w:r>
      <w:r>
        <w:t xml:space="preserve">ree methodologies </w:t>
      </w:r>
      <w:r w:rsidR="009442E9">
        <w:t xml:space="preserve">− life tables, Markov chains and machine learning − </w:t>
      </w:r>
      <w:r>
        <w:t xml:space="preserve">that </w:t>
      </w:r>
      <w:r w:rsidR="00FD69DC">
        <w:t>were</w:t>
      </w:r>
      <w:r>
        <w:t xml:space="preserve"> applied to calculate projected completion rates for apprentice and trainee contracts of training </w:t>
      </w:r>
    </w:p>
    <w:p w14:paraId="659CFB80" w14:textId="18C1E03D" w:rsidR="00B17E8F" w:rsidRPr="00B466BC" w:rsidRDefault="00B17E8F" w:rsidP="00B17E8F">
      <w:pPr>
        <w:pStyle w:val="Dotpoint1"/>
        <w:ind w:left="284" w:hanging="284"/>
      </w:pPr>
      <w:r w:rsidRPr="00290470">
        <w:t xml:space="preserve">a comparison of the </w:t>
      </w:r>
      <w:r w:rsidRPr="00B466BC">
        <w:t xml:space="preserve">accuracy of </w:t>
      </w:r>
      <w:r w:rsidR="00810822">
        <w:t xml:space="preserve">the </w:t>
      </w:r>
      <w:r w:rsidRPr="00B466BC">
        <w:t>projections generated by the three methodologies</w:t>
      </w:r>
    </w:p>
    <w:p w14:paraId="526940EE" w14:textId="77777777" w:rsidR="00B17E8F" w:rsidRPr="00B466BC" w:rsidRDefault="00B17E8F" w:rsidP="00B17E8F">
      <w:pPr>
        <w:pStyle w:val="Dotpoint1"/>
        <w:ind w:left="284" w:hanging="284"/>
      </w:pPr>
      <w:r w:rsidRPr="00B466BC">
        <w:t>an evaluation of the relative strengths and limitations of the three methodologies.</w:t>
      </w:r>
    </w:p>
    <w:p w14:paraId="6CECD746" w14:textId="44EE4DD7" w:rsidR="00D060F6" w:rsidRPr="00B466BC" w:rsidRDefault="00B17E8F" w:rsidP="00B17E8F">
      <w:pPr>
        <w:pStyle w:val="Heading2"/>
      </w:pPr>
      <w:bookmarkStart w:id="14" w:name="_Toc69126653"/>
      <w:bookmarkStart w:id="15" w:name="_Toc78364740"/>
      <w:r w:rsidRPr="00B466BC">
        <w:t xml:space="preserve">Key </w:t>
      </w:r>
      <w:bookmarkEnd w:id="14"/>
      <w:r w:rsidR="005665A8" w:rsidRPr="00B466BC">
        <w:t>messages</w:t>
      </w:r>
      <w:bookmarkEnd w:id="15"/>
    </w:p>
    <w:p w14:paraId="550B98EE" w14:textId="58A168E5" w:rsidR="00D060F6" w:rsidRPr="00B466BC" w:rsidRDefault="003D7479" w:rsidP="00D060F6">
      <w:pPr>
        <w:pStyle w:val="Dotpoint1"/>
        <w:ind w:left="284" w:hanging="284"/>
      </w:pPr>
      <w:r>
        <w:t>Between</w:t>
      </w:r>
      <w:r w:rsidR="00D46C3D" w:rsidRPr="00B466BC">
        <w:t xml:space="preserve"> 2013 </w:t>
      </w:r>
      <w:r>
        <w:t>and</w:t>
      </w:r>
      <w:r w:rsidR="00D46C3D" w:rsidRPr="00B466BC">
        <w:t xml:space="preserve"> 2015 </w:t>
      </w:r>
      <w:r w:rsidR="00810822">
        <w:t>−</w:t>
      </w:r>
      <w:r w:rsidR="00866502" w:rsidRPr="00B466BC">
        <w:t xml:space="preserve"> the three years of data for which projections were examined</w:t>
      </w:r>
      <w:r w:rsidR="00D46C3D" w:rsidRPr="00B466BC">
        <w:t xml:space="preserve"> </w:t>
      </w:r>
      <w:r w:rsidR="00DE3468">
        <w:t>−</w:t>
      </w:r>
      <w:r w:rsidR="00866502" w:rsidRPr="00B466BC">
        <w:t xml:space="preserve"> </w:t>
      </w:r>
      <w:r w:rsidR="00DE3468">
        <w:t xml:space="preserve">the </w:t>
      </w:r>
      <w:r w:rsidR="00866502" w:rsidRPr="00B466BC">
        <w:t>completion rate projections calculated using Markov chains and machine learning were</w:t>
      </w:r>
      <w:r w:rsidR="000D75D6" w:rsidRPr="00B466BC">
        <w:t xml:space="preserve"> generally more accurate</w:t>
      </w:r>
      <w:r w:rsidR="00866502" w:rsidRPr="00B466BC">
        <w:t xml:space="preserve"> </w:t>
      </w:r>
      <w:r w:rsidR="000D75D6" w:rsidRPr="00B466BC">
        <w:t>than</w:t>
      </w:r>
      <w:r w:rsidR="00866502" w:rsidRPr="00B466BC">
        <w:t xml:space="preserve"> </w:t>
      </w:r>
      <w:r w:rsidR="00F329E7">
        <w:t xml:space="preserve">the </w:t>
      </w:r>
      <w:r w:rsidR="00866502" w:rsidRPr="00B466BC">
        <w:t xml:space="preserve">rates </w:t>
      </w:r>
      <w:r w:rsidR="000219CF">
        <w:t>achieved</w:t>
      </w:r>
      <w:r w:rsidR="00866502" w:rsidRPr="00B466BC">
        <w:t xml:space="preserve"> using life tables</w:t>
      </w:r>
      <w:r w:rsidR="002029E9" w:rsidRPr="00B466BC">
        <w:t>. W</w:t>
      </w:r>
      <w:r w:rsidR="00585562" w:rsidRPr="00B466BC">
        <w:t xml:space="preserve">hen evaluated against </w:t>
      </w:r>
      <w:r w:rsidR="00B64888">
        <w:rPr>
          <w:i/>
          <w:iCs/>
        </w:rPr>
        <w:t>observed</w:t>
      </w:r>
      <w:r w:rsidR="00B64888" w:rsidRPr="00B64888">
        <w:rPr>
          <w:i/>
          <w:iCs/>
        </w:rPr>
        <w:t xml:space="preserve"> </w:t>
      </w:r>
      <w:r w:rsidR="00585562" w:rsidRPr="006B057D">
        <w:rPr>
          <w:i/>
          <w:iCs/>
        </w:rPr>
        <w:t>actual</w:t>
      </w:r>
      <w:r w:rsidR="00585562" w:rsidRPr="00B466BC">
        <w:t xml:space="preserve"> completion rates</w:t>
      </w:r>
      <w:r w:rsidR="0027506A" w:rsidRPr="00B466BC">
        <w:t>:</w:t>
      </w:r>
    </w:p>
    <w:p w14:paraId="3595197B" w14:textId="37C2B338" w:rsidR="001B27A7" w:rsidRPr="00B466BC" w:rsidRDefault="0005005C" w:rsidP="002029E9">
      <w:pPr>
        <w:pStyle w:val="Dotpoint2"/>
      </w:pPr>
      <w:r>
        <w:t>F</w:t>
      </w:r>
      <w:r w:rsidR="001B27A7" w:rsidRPr="00B466BC">
        <w:t xml:space="preserve">or </w:t>
      </w:r>
      <w:r w:rsidR="001B27A7" w:rsidRPr="00B86B27">
        <w:rPr>
          <w:i/>
          <w:iCs/>
        </w:rPr>
        <w:t>non-trade</w:t>
      </w:r>
      <w:r w:rsidR="001B27A7" w:rsidRPr="00B466BC">
        <w:t xml:space="preserve"> cohorts, </w:t>
      </w:r>
      <w:r w:rsidR="00F329E7">
        <w:t xml:space="preserve">the </w:t>
      </w:r>
      <w:r w:rsidR="001B27A7" w:rsidRPr="00B466BC">
        <w:t xml:space="preserve">error rates </w:t>
      </w:r>
      <w:r w:rsidR="00585562" w:rsidRPr="00B466BC">
        <w:t xml:space="preserve">were </w:t>
      </w:r>
      <w:r w:rsidR="000D75D6" w:rsidRPr="00B466BC">
        <w:t xml:space="preserve">the </w:t>
      </w:r>
      <w:r w:rsidR="00880CFB" w:rsidRPr="00B466BC">
        <w:t>lowest and most consistent</w:t>
      </w:r>
      <w:r w:rsidR="001B27A7" w:rsidRPr="00B466BC">
        <w:t xml:space="preserve"> for machine learning</w:t>
      </w:r>
      <w:r w:rsidR="00E7301E" w:rsidRPr="00B466BC">
        <w:t xml:space="preserve"> projections</w:t>
      </w:r>
      <w:r>
        <w:t>.</w:t>
      </w:r>
    </w:p>
    <w:p w14:paraId="134412E2" w14:textId="2C556A20" w:rsidR="001B27A7" w:rsidRPr="00B466BC" w:rsidRDefault="0005005C" w:rsidP="002029E9">
      <w:pPr>
        <w:pStyle w:val="Dotpoint2"/>
      </w:pPr>
      <w:r>
        <w:t>F</w:t>
      </w:r>
      <w:r w:rsidR="001B27A7" w:rsidRPr="00B466BC">
        <w:t xml:space="preserve">or </w:t>
      </w:r>
      <w:r w:rsidR="001B27A7" w:rsidRPr="00B86B27">
        <w:rPr>
          <w:i/>
          <w:iCs/>
        </w:rPr>
        <w:t>trade</w:t>
      </w:r>
      <w:r w:rsidR="001B27A7" w:rsidRPr="00B466BC">
        <w:t xml:space="preserve"> cohorts, </w:t>
      </w:r>
      <w:r w:rsidR="00F329E7">
        <w:t xml:space="preserve">the </w:t>
      </w:r>
      <w:r w:rsidR="001B27A7" w:rsidRPr="00B466BC">
        <w:t xml:space="preserve">error rates </w:t>
      </w:r>
      <w:r w:rsidR="00585562" w:rsidRPr="00B466BC">
        <w:t>were</w:t>
      </w:r>
      <w:r w:rsidR="000D75D6" w:rsidRPr="00B466BC">
        <w:t xml:space="preserve"> the </w:t>
      </w:r>
      <w:r w:rsidR="00880CFB" w:rsidRPr="00B466BC">
        <w:t>lowest and most consistent for</w:t>
      </w:r>
      <w:r w:rsidR="001B27A7" w:rsidRPr="00B466BC">
        <w:t xml:space="preserve"> Markov chains</w:t>
      </w:r>
      <w:r w:rsidR="00E7301E" w:rsidRPr="00B466BC">
        <w:t xml:space="preserve"> projections</w:t>
      </w:r>
      <w:r>
        <w:t>.</w:t>
      </w:r>
    </w:p>
    <w:p w14:paraId="14819565" w14:textId="6BC3E6E6" w:rsidR="000D75D6" w:rsidRPr="005A4F1E" w:rsidRDefault="000D75D6" w:rsidP="00A31028">
      <w:pPr>
        <w:pStyle w:val="Dotpoint1"/>
        <w:ind w:left="284" w:hanging="284"/>
      </w:pPr>
      <w:r w:rsidRPr="005A4F1E">
        <w:t>Each method ha</w:t>
      </w:r>
      <w:r w:rsidR="00E7301E" w:rsidRPr="005A4F1E">
        <w:t>s</w:t>
      </w:r>
      <w:r w:rsidRPr="005A4F1E">
        <w:t xml:space="preserve"> strengths and limitation</w:t>
      </w:r>
      <w:r w:rsidR="00E7301E" w:rsidRPr="005A4F1E">
        <w:t>s</w:t>
      </w:r>
      <w:r w:rsidRPr="005A4F1E">
        <w:t>:</w:t>
      </w:r>
    </w:p>
    <w:p w14:paraId="053483FD" w14:textId="1ED1B811" w:rsidR="000D75D6" w:rsidRPr="005A4F1E" w:rsidRDefault="00C171D5" w:rsidP="000D75D6">
      <w:pPr>
        <w:pStyle w:val="Dotpoint2"/>
      </w:pPr>
      <w:r w:rsidRPr="005A4F1E">
        <w:t xml:space="preserve">The </w:t>
      </w:r>
      <w:r w:rsidRPr="005A4F1E">
        <w:rPr>
          <w:i/>
          <w:iCs/>
        </w:rPr>
        <w:t>l</w:t>
      </w:r>
      <w:r w:rsidR="000D75D6" w:rsidRPr="005A4F1E">
        <w:rPr>
          <w:i/>
          <w:iCs/>
        </w:rPr>
        <w:t>ife tables</w:t>
      </w:r>
      <w:r w:rsidR="000D75D6" w:rsidRPr="005A4F1E">
        <w:t xml:space="preserve"> </w:t>
      </w:r>
      <w:r w:rsidRPr="005A4F1E">
        <w:t xml:space="preserve">approach </w:t>
      </w:r>
      <w:r w:rsidR="00496623" w:rsidRPr="005A4F1E">
        <w:t>calculates completion rate projections for</w:t>
      </w:r>
      <w:r w:rsidR="00A31028" w:rsidRPr="005A4F1E">
        <w:t xml:space="preserve"> December quarter </w:t>
      </w:r>
      <w:r w:rsidR="00496623" w:rsidRPr="005A4F1E">
        <w:t xml:space="preserve">commencing </w:t>
      </w:r>
      <w:r w:rsidR="00A31028" w:rsidRPr="005A4F1E">
        <w:t>cohorts</w:t>
      </w:r>
      <w:r w:rsidR="00496623" w:rsidRPr="005A4F1E">
        <w:t>, which are taken as prox</w:t>
      </w:r>
      <w:r w:rsidR="007C4507" w:rsidRPr="005A4F1E">
        <w:t>y rates</w:t>
      </w:r>
      <w:r w:rsidR="00496623" w:rsidRPr="005A4F1E">
        <w:t xml:space="preserve"> for annual commencing cohorts</w:t>
      </w:r>
      <w:r w:rsidR="00A31028" w:rsidRPr="005A4F1E">
        <w:t>. This</w:t>
      </w:r>
      <w:r w:rsidR="00E7301E" w:rsidRPr="005A4F1E">
        <w:t xml:space="preserve"> </w:t>
      </w:r>
      <w:r w:rsidR="00A31028" w:rsidRPr="005A4F1E">
        <w:t>may account for the lower accuracy of life tables projections</w:t>
      </w:r>
      <w:r w:rsidR="00852C0A" w:rsidRPr="005A4F1E">
        <w:t xml:space="preserve"> when evaluated against observed actual completion rates, which are calculated for annual cohorts</w:t>
      </w:r>
      <w:r w:rsidRPr="005A4F1E">
        <w:t>.</w:t>
      </w:r>
    </w:p>
    <w:p w14:paraId="406E3870" w14:textId="54CF74F6" w:rsidR="000D75D6" w:rsidRPr="005A4F1E" w:rsidRDefault="00DB1ABE" w:rsidP="000D75D6">
      <w:pPr>
        <w:pStyle w:val="Dotpoint2"/>
      </w:pPr>
      <w:r w:rsidRPr="005A4F1E">
        <w:t xml:space="preserve">The </w:t>
      </w:r>
      <w:r w:rsidR="000D75D6" w:rsidRPr="005A4F1E">
        <w:rPr>
          <w:i/>
          <w:iCs/>
        </w:rPr>
        <w:t>Markov chains</w:t>
      </w:r>
      <w:r w:rsidR="000D75D6" w:rsidRPr="005A4F1E">
        <w:t xml:space="preserve"> </w:t>
      </w:r>
      <w:r w:rsidRPr="005A4F1E">
        <w:t xml:space="preserve">approach </w:t>
      </w:r>
      <w:r w:rsidR="000D75D6" w:rsidRPr="005A4F1E">
        <w:t xml:space="preserve">produced the most accurate projections </w:t>
      </w:r>
      <w:r w:rsidR="00724098" w:rsidRPr="005A4F1E">
        <w:t>overall</w:t>
      </w:r>
      <w:r w:rsidR="000D75D6" w:rsidRPr="005A4F1E">
        <w:t xml:space="preserve">. However, </w:t>
      </w:r>
      <w:r w:rsidR="00842CD5" w:rsidRPr="005A4F1E">
        <w:t>this methodology</w:t>
      </w:r>
      <w:r w:rsidR="00A31028" w:rsidRPr="005A4F1E">
        <w:t xml:space="preserve"> generates projections with a 12</w:t>
      </w:r>
      <w:r w:rsidR="00842CD5" w:rsidRPr="005A4F1E">
        <w:t>-</w:t>
      </w:r>
      <w:r w:rsidR="00A31028" w:rsidRPr="005A4F1E">
        <w:t>month delay</w:t>
      </w:r>
      <w:r w:rsidR="00C84A9D" w:rsidRPr="005A4F1E">
        <w:t xml:space="preserve">, </w:t>
      </w:r>
      <w:r w:rsidR="00274600" w:rsidRPr="005A4F1E">
        <w:t>in contrast to</w:t>
      </w:r>
      <w:r w:rsidR="00A31028" w:rsidRPr="005A4F1E">
        <w:t xml:space="preserve"> </w:t>
      </w:r>
      <w:r w:rsidR="00842CD5" w:rsidRPr="005A4F1E">
        <w:t xml:space="preserve">the </w:t>
      </w:r>
      <w:r w:rsidR="00A31028" w:rsidRPr="005A4F1E">
        <w:t>life tables and machine learning</w:t>
      </w:r>
      <w:r w:rsidR="00842CD5" w:rsidRPr="005A4F1E">
        <w:t xml:space="preserve"> approaches</w:t>
      </w:r>
      <w:r w:rsidR="00A31028" w:rsidRPr="005A4F1E">
        <w:t>.</w:t>
      </w:r>
    </w:p>
    <w:p w14:paraId="5AC87CE5" w14:textId="5B21B730" w:rsidR="005A5D91" w:rsidRPr="005A4F1E" w:rsidRDefault="00453924" w:rsidP="00E7301E">
      <w:pPr>
        <w:pStyle w:val="Dotpoint2"/>
      </w:pPr>
      <w:r w:rsidRPr="005A4F1E">
        <w:t xml:space="preserve">The </w:t>
      </w:r>
      <w:r w:rsidRPr="005A4F1E">
        <w:rPr>
          <w:i/>
          <w:iCs/>
        </w:rPr>
        <w:t>m</w:t>
      </w:r>
      <w:r w:rsidR="000D75D6" w:rsidRPr="005A4F1E">
        <w:rPr>
          <w:i/>
          <w:iCs/>
        </w:rPr>
        <w:t>achine learning</w:t>
      </w:r>
      <w:r w:rsidR="00A31028" w:rsidRPr="005A4F1E">
        <w:t xml:space="preserve"> </w:t>
      </w:r>
      <w:r w:rsidRPr="005A4F1E">
        <w:t xml:space="preserve">methodology </w:t>
      </w:r>
      <w:r w:rsidR="00A31028" w:rsidRPr="005A4F1E">
        <w:t xml:space="preserve">produced highly accurate projections for non-trade cohorts, and </w:t>
      </w:r>
      <w:r w:rsidR="00DF30D1" w:rsidRPr="005A4F1E">
        <w:t xml:space="preserve">the </w:t>
      </w:r>
      <w:r w:rsidR="00A31028" w:rsidRPr="005A4F1E">
        <w:t>projections for trade cohorts</w:t>
      </w:r>
      <w:r w:rsidR="00E7301E" w:rsidRPr="005A4F1E">
        <w:t xml:space="preserve"> were </w:t>
      </w:r>
      <w:r w:rsidR="000F258C" w:rsidRPr="005A4F1E">
        <w:t>comparable</w:t>
      </w:r>
      <w:r w:rsidR="00E7301E" w:rsidRPr="005A4F1E">
        <w:t xml:space="preserve"> </w:t>
      </w:r>
      <w:r w:rsidR="00DF30D1" w:rsidRPr="005A4F1E">
        <w:t>with</w:t>
      </w:r>
      <w:r w:rsidR="00E7301E" w:rsidRPr="005A4F1E">
        <w:t xml:space="preserve"> those generated by Markov chains</w:t>
      </w:r>
      <w:r w:rsidR="00A31028" w:rsidRPr="005A4F1E">
        <w:t xml:space="preserve">. </w:t>
      </w:r>
      <w:r w:rsidR="00C00C44" w:rsidRPr="005A4F1E">
        <w:t xml:space="preserve">Unlike </w:t>
      </w:r>
      <w:r w:rsidR="00E7301E" w:rsidRPr="005A4F1E">
        <w:t>the other method</w:t>
      </w:r>
      <w:r w:rsidR="00C00C44" w:rsidRPr="005A4F1E">
        <w:t>s, strategies</w:t>
      </w:r>
      <w:r w:rsidR="007B54CB" w:rsidRPr="005A4F1E">
        <w:t xml:space="preserve"> such as adding additional attributes or improving the data quality of existing attributes </w:t>
      </w:r>
      <w:r w:rsidR="00E7301E" w:rsidRPr="005A4F1E">
        <w:t xml:space="preserve">can be </w:t>
      </w:r>
      <w:r w:rsidR="00E74E4D" w:rsidRPr="005A4F1E">
        <w:t>used</w:t>
      </w:r>
      <w:r w:rsidR="00E7301E" w:rsidRPr="005A4F1E">
        <w:t xml:space="preserve"> </w:t>
      </w:r>
      <w:r w:rsidR="00C00C44" w:rsidRPr="005A4F1E">
        <w:t xml:space="preserve">to improve the </w:t>
      </w:r>
      <w:r w:rsidR="00DE1969" w:rsidRPr="005A4F1E">
        <w:t>performance of th</w:t>
      </w:r>
      <w:r w:rsidR="00CB6129" w:rsidRPr="005A4F1E">
        <w:t>e</w:t>
      </w:r>
      <w:r w:rsidR="007B54CB" w:rsidRPr="005A4F1E">
        <w:t xml:space="preserve"> model.</w:t>
      </w:r>
    </w:p>
    <w:p w14:paraId="4310D756" w14:textId="6525E3B3" w:rsidR="00A31028" w:rsidRPr="00B466BC" w:rsidRDefault="00DE0D3F" w:rsidP="0024659B">
      <w:pPr>
        <w:pStyle w:val="Dotpoint1"/>
        <w:ind w:left="284" w:hanging="284"/>
      </w:pPr>
      <w:bookmarkStart w:id="16" w:name="_Hlk78883903"/>
      <w:r w:rsidRPr="005A4F1E">
        <w:lastRenderedPageBreak/>
        <w:t xml:space="preserve">All three methodological approaches draw on a five-year window of recent historical data to calculate projections. </w:t>
      </w:r>
      <w:r w:rsidR="00A31028" w:rsidRPr="005A4F1E">
        <w:t xml:space="preserve">Due to the significant disruption to apprentices and trainees </w:t>
      </w:r>
      <w:r w:rsidR="0024659B" w:rsidRPr="005A4F1E">
        <w:t>resulting from</w:t>
      </w:r>
      <w:r w:rsidR="00A31028" w:rsidRPr="005A4F1E">
        <w:t xml:space="preserve"> the COVID-19 pandemic, it is not clear whether the assumptions underlying </w:t>
      </w:r>
      <w:r w:rsidR="0024659B" w:rsidRPr="005A4F1E">
        <w:t>the methodologies remain valid</w:t>
      </w:r>
      <w:r w:rsidRPr="005A4F1E">
        <w:t xml:space="preserve"> for years where the reference period includes </w:t>
      </w:r>
      <w:r w:rsidR="00A31028" w:rsidRPr="005A4F1E">
        <w:t xml:space="preserve">disruption </w:t>
      </w:r>
      <w:r w:rsidRPr="005A4F1E">
        <w:t>from</w:t>
      </w:r>
      <w:r w:rsidR="00A31028" w:rsidRPr="005A4F1E">
        <w:t xml:space="preserve"> COVID-19.</w:t>
      </w:r>
      <w:r w:rsidR="0024659B" w:rsidRPr="005A4F1E">
        <w:t xml:space="preserve"> For</w:t>
      </w:r>
      <w:r w:rsidR="0024659B" w:rsidRPr="00B466BC">
        <w:t xml:space="preserve"> this reason, it is not </w:t>
      </w:r>
      <w:r w:rsidR="00366255">
        <w:t xml:space="preserve">considered </w:t>
      </w:r>
      <w:r w:rsidR="0024659B" w:rsidRPr="00B466BC">
        <w:t>appropriate to implement changes to the projection methodology used in NCVER reporting at this time.</w:t>
      </w:r>
    </w:p>
    <w:bookmarkEnd w:id="16"/>
    <w:p w14:paraId="6C44C6B5" w14:textId="77777777" w:rsidR="00D060F6" w:rsidRPr="005C2FCF" w:rsidRDefault="00D060F6" w:rsidP="00D060F6">
      <w:pPr>
        <w:pStyle w:val="Text"/>
      </w:pPr>
    </w:p>
    <w:p w14:paraId="2587FDEC" w14:textId="77777777" w:rsidR="00D060F6" w:rsidRPr="005C2FCF" w:rsidRDefault="00D060F6" w:rsidP="00D060F6">
      <w:pPr>
        <w:pStyle w:val="Text"/>
      </w:pPr>
      <w:r>
        <w:t>Simon Walker</w:t>
      </w:r>
      <w:r>
        <w:br/>
      </w:r>
      <w:r w:rsidRPr="005C2FCF">
        <w:t>Managing Director, NCVER</w:t>
      </w:r>
    </w:p>
    <w:p w14:paraId="6537E076" w14:textId="77777777" w:rsidR="00061F86" w:rsidRDefault="00061F86" w:rsidP="003813E4">
      <w:pPr>
        <w:pStyle w:val="Contents"/>
        <w:sectPr w:rsidR="00061F86" w:rsidSect="00E10CD4">
          <w:headerReference w:type="default" r:id="rId21"/>
          <w:footerReference w:type="even" r:id="rId22"/>
          <w:footerReference w:type="default" r:id="rId23"/>
          <w:pgSz w:w="11907" w:h="16840" w:code="9"/>
          <w:pgMar w:top="1276" w:right="1418" w:bottom="992" w:left="1418" w:header="709" w:footer="556" w:gutter="0"/>
          <w:cols w:space="708"/>
          <w:docGrid w:linePitch="360"/>
        </w:sectPr>
      </w:pPr>
    </w:p>
    <w:p w14:paraId="10B6527D" w14:textId="77777777" w:rsidR="00F013DF" w:rsidRDefault="00F013DF" w:rsidP="00F013DF">
      <w:pPr>
        <w:pStyle w:val="Heading1"/>
      </w:pPr>
      <w:bookmarkStart w:id="17" w:name="_Toc77943307"/>
      <w:r>
        <w:lastRenderedPageBreak/>
        <w:t>Acknowledgements</w:t>
      </w:r>
      <w:bookmarkEnd w:id="17"/>
    </w:p>
    <w:p w14:paraId="3D8743E7" w14:textId="114D72D9" w:rsidR="00F013DF" w:rsidRPr="00565026" w:rsidRDefault="00F013DF" w:rsidP="00F013DF">
      <w:pPr>
        <w:pStyle w:val="Text"/>
      </w:pPr>
      <w:r>
        <w:t xml:space="preserve">The authors would like to thank </w:t>
      </w:r>
      <w:r w:rsidRPr="00F013DF">
        <w:t>Javen Qinfeng Shi</w:t>
      </w:r>
      <w:r>
        <w:t xml:space="preserve"> from the Australian Institute for Machine Learning for feedback on </w:t>
      </w:r>
      <w:r w:rsidR="00496623">
        <w:t xml:space="preserve">the discussion of machine learning in </w:t>
      </w:r>
      <w:r>
        <w:t>an earlier version of this report.</w:t>
      </w:r>
    </w:p>
    <w:p w14:paraId="12FF6989" w14:textId="48968B98" w:rsidR="00EB0AD7" w:rsidRPr="003813E4" w:rsidRDefault="00F013DF" w:rsidP="00F013DF">
      <w:pPr>
        <w:pStyle w:val="Contents"/>
      </w:pPr>
      <w:r>
        <w:br w:type="page"/>
      </w:r>
      <w:r w:rsidR="002173AB" w:rsidRPr="00BE5DCB">
        <w:rPr>
          <w:noProof/>
          <w:lang w:eastAsia="en-AU"/>
        </w:rPr>
        <w:lastRenderedPageBreak/>
        <w:drawing>
          <wp:anchor distT="0" distB="0" distL="114300" distR="114300" simplePos="0" relativeHeight="252045312" behindDoc="0" locked="0" layoutInCell="1" allowOverlap="1" wp14:anchorId="6E2360FD" wp14:editId="184B8181">
            <wp:simplePos x="0" y="0"/>
            <wp:positionH relativeFrom="column">
              <wp:posOffset>2856230</wp:posOffset>
            </wp:positionH>
            <wp:positionV relativeFrom="paragraph">
              <wp:posOffset>492760</wp:posOffset>
            </wp:positionV>
            <wp:extent cx="419100" cy="419100"/>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419100" cy="419100"/>
                    </a:xfrm>
                    <a:prstGeom prst="rect">
                      <a:avLst/>
                    </a:prstGeom>
                    <a:noFill/>
                    <a:ln>
                      <a:noFill/>
                    </a:ln>
                  </pic:spPr>
                </pic:pic>
              </a:graphicData>
            </a:graphic>
            <wp14:sizeRelH relativeFrom="page">
              <wp14:pctWidth>0</wp14:pctWidth>
            </wp14:sizeRelH>
            <wp14:sizeRelV relativeFrom="page">
              <wp14:pctHeight>0</wp14:pctHeight>
            </wp14:sizeRelV>
          </wp:anchor>
        </w:drawing>
      </w:r>
      <w:r w:rsidR="002173AB" w:rsidRPr="00BE5DCB">
        <w:rPr>
          <w:noProof/>
          <w:lang w:eastAsia="en-AU"/>
        </w:rPr>
        <w:drawing>
          <wp:anchor distT="0" distB="0" distL="114300" distR="114300" simplePos="0" relativeHeight="252043264" behindDoc="0" locked="0" layoutInCell="1" allowOverlap="1" wp14:anchorId="3A1184C4" wp14:editId="52761D36">
            <wp:simplePos x="0" y="0"/>
            <wp:positionH relativeFrom="column">
              <wp:posOffset>2376170</wp:posOffset>
            </wp:positionH>
            <wp:positionV relativeFrom="paragraph">
              <wp:posOffset>492760</wp:posOffset>
            </wp:positionV>
            <wp:extent cx="419100" cy="419100"/>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419100" cy="419100"/>
                    </a:xfrm>
                    <a:prstGeom prst="rect">
                      <a:avLst/>
                    </a:prstGeom>
                    <a:noFill/>
                    <a:ln>
                      <a:noFill/>
                    </a:ln>
                  </pic:spPr>
                </pic:pic>
              </a:graphicData>
            </a:graphic>
            <wp14:sizeRelH relativeFrom="page">
              <wp14:pctWidth>0</wp14:pctWidth>
            </wp14:sizeRelH>
            <wp14:sizeRelV relativeFrom="page">
              <wp14:pctHeight>0</wp14:pctHeight>
            </wp14:sizeRelV>
          </wp:anchor>
        </w:drawing>
      </w:r>
      <w:r w:rsidR="002173AB" w:rsidRPr="00BE5DCB">
        <w:rPr>
          <w:noProof/>
          <w:lang w:eastAsia="en-AU"/>
        </w:rPr>
        <w:drawing>
          <wp:anchor distT="0" distB="0" distL="114300" distR="114300" simplePos="0" relativeHeight="252041216" behindDoc="0" locked="0" layoutInCell="1" allowOverlap="1" wp14:anchorId="5357585F" wp14:editId="2AE243FD">
            <wp:simplePos x="0" y="0"/>
            <wp:positionH relativeFrom="column">
              <wp:posOffset>1911350</wp:posOffset>
            </wp:positionH>
            <wp:positionV relativeFrom="paragraph">
              <wp:posOffset>515620</wp:posOffset>
            </wp:positionV>
            <wp:extent cx="419100" cy="419100"/>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419100" cy="419100"/>
                    </a:xfrm>
                    <a:prstGeom prst="rect">
                      <a:avLst/>
                    </a:prstGeom>
                    <a:noFill/>
                    <a:ln>
                      <a:noFill/>
                    </a:ln>
                  </pic:spPr>
                </pic:pic>
              </a:graphicData>
            </a:graphic>
            <wp14:sizeRelH relativeFrom="page">
              <wp14:pctWidth>0</wp14:pctWidth>
            </wp14:sizeRelH>
            <wp14:sizeRelV relativeFrom="page">
              <wp14:pctHeight>0</wp14:pctHeight>
            </wp14:sizeRelV>
          </wp:anchor>
        </w:drawing>
      </w:r>
      <w:r w:rsidR="002173AB" w:rsidRPr="00BE5DCB">
        <w:rPr>
          <w:noProof/>
          <w:lang w:eastAsia="en-AU"/>
        </w:rPr>
        <w:drawing>
          <wp:anchor distT="0" distB="0" distL="114300" distR="114300" simplePos="0" relativeHeight="252039168" behindDoc="0" locked="0" layoutInCell="1" allowOverlap="1" wp14:anchorId="5A83432E" wp14:editId="336D25DB">
            <wp:simplePos x="0" y="0"/>
            <wp:positionH relativeFrom="column">
              <wp:posOffset>1423670</wp:posOffset>
            </wp:positionH>
            <wp:positionV relativeFrom="paragraph">
              <wp:posOffset>515620</wp:posOffset>
            </wp:positionV>
            <wp:extent cx="419100" cy="419100"/>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419100" cy="419100"/>
                    </a:xfrm>
                    <a:prstGeom prst="rect">
                      <a:avLst/>
                    </a:prstGeom>
                    <a:noFill/>
                    <a:ln>
                      <a:noFill/>
                    </a:ln>
                  </pic:spPr>
                </pic:pic>
              </a:graphicData>
            </a:graphic>
            <wp14:sizeRelH relativeFrom="page">
              <wp14:pctWidth>0</wp14:pctWidth>
            </wp14:sizeRelH>
            <wp14:sizeRelV relativeFrom="page">
              <wp14:pctHeight>0</wp14:pctHeight>
            </wp14:sizeRelV>
          </wp:anchor>
        </w:drawing>
      </w:r>
      <w:r w:rsidR="002173AB" w:rsidRPr="00BE5DCB">
        <w:rPr>
          <w:noProof/>
          <w:lang w:eastAsia="en-AU"/>
        </w:rPr>
        <w:drawing>
          <wp:anchor distT="0" distB="0" distL="114300" distR="114300" simplePos="0" relativeHeight="252037120" behindDoc="0" locked="0" layoutInCell="1" allowOverlap="1" wp14:anchorId="176C75F3" wp14:editId="39E3D6BB">
            <wp:simplePos x="0" y="0"/>
            <wp:positionH relativeFrom="column">
              <wp:posOffset>951230</wp:posOffset>
            </wp:positionH>
            <wp:positionV relativeFrom="paragraph">
              <wp:posOffset>530860</wp:posOffset>
            </wp:positionV>
            <wp:extent cx="419100" cy="419100"/>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419100" cy="419100"/>
                    </a:xfrm>
                    <a:prstGeom prst="rect">
                      <a:avLst/>
                    </a:prstGeom>
                    <a:noFill/>
                    <a:ln>
                      <a:noFill/>
                    </a:ln>
                  </pic:spPr>
                </pic:pic>
              </a:graphicData>
            </a:graphic>
            <wp14:sizeRelH relativeFrom="page">
              <wp14:pctWidth>0</wp14:pctWidth>
            </wp14:sizeRelH>
            <wp14:sizeRelV relativeFrom="page">
              <wp14:pctHeight>0</wp14:pctHeight>
            </wp14:sizeRelV>
          </wp:anchor>
        </w:drawing>
      </w:r>
      <w:r w:rsidR="002173AB" w:rsidRPr="00BE5DCB">
        <w:rPr>
          <w:noProof/>
          <w:lang w:eastAsia="en-AU"/>
        </w:rPr>
        <w:drawing>
          <wp:anchor distT="0" distB="0" distL="114300" distR="114300" simplePos="0" relativeHeight="252035072" behindDoc="0" locked="0" layoutInCell="1" allowOverlap="1" wp14:anchorId="069AF47A" wp14:editId="2925B328">
            <wp:simplePos x="0" y="0"/>
            <wp:positionH relativeFrom="column">
              <wp:posOffset>478790</wp:posOffset>
            </wp:positionH>
            <wp:positionV relativeFrom="paragraph">
              <wp:posOffset>530860</wp:posOffset>
            </wp:positionV>
            <wp:extent cx="419100" cy="41910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419100" cy="419100"/>
                    </a:xfrm>
                    <a:prstGeom prst="rect">
                      <a:avLst/>
                    </a:prstGeom>
                    <a:noFill/>
                    <a:ln>
                      <a:noFill/>
                    </a:ln>
                  </pic:spPr>
                </pic:pic>
              </a:graphicData>
            </a:graphic>
            <wp14:sizeRelH relativeFrom="page">
              <wp14:pctWidth>0</wp14:pctWidth>
            </wp14:sizeRelH>
            <wp14:sizeRelV relativeFrom="page">
              <wp14:pctHeight>0</wp14:pctHeight>
            </wp14:sizeRelV>
          </wp:anchor>
        </w:drawing>
      </w:r>
      <w:r w:rsidR="00A16557" w:rsidRPr="00BE5DCB">
        <w:rPr>
          <w:noProof/>
          <w:lang w:eastAsia="en-AU"/>
        </w:rPr>
        <w:drawing>
          <wp:anchor distT="0" distB="0" distL="114300" distR="114300" simplePos="0" relativeHeight="251941888" behindDoc="0" locked="0" layoutInCell="1" allowOverlap="1" wp14:anchorId="3857020F" wp14:editId="247FDFB2">
            <wp:simplePos x="0" y="0"/>
            <wp:positionH relativeFrom="column">
              <wp:posOffset>1905</wp:posOffset>
            </wp:positionH>
            <wp:positionV relativeFrom="paragraph">
              <wp:posOffset>539750</wp:posOffset>
            </wp:positionV>
            <wp:extent cx="419100" cy="419100"/>
            <wp:effectExtent l="0" t="0" r="0" b="0"/>
            <wp:wrapNone/>
            <wp:docPr id="58" name="Picture 58" descr="P:\PublicationComponents\Icons\ExecutiveSummary.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PublicationComponents\Icons\ExecutiveSummary.emf"/>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a:ln>
                      <a:noFill/>
                    </a:ln>
                  </pic:spPr>
                </pic:pic>
              </a:graphicData>
            </a:graphic>
            <wp14:sizeRelH relativeFrom="page">
              <wp14:pctWidth>0</wp14:pctWidth>
            </wp14:sizeRelH>
            <wp14:sizeRelV relativeFrom="page">
              <wp14:pctHeight>0</wp14:pctHeight>
            </wp14:sizeRelV>
          </wp:anchor>
        </w:drawing>
      </w:r>
      <w:r w:rsidR="00EB0AD7" w:rsidRPr="00BE5DCB">
        <w:t>Contents</w:t>
      </w:r>
      <w:bookmarkEnd w:id="7"/>
      <w:bookmarkEnd w:id="8"/>
      <w:bookmarkEnd w:id="9"/>
    </w:p>
    <w:p w14:paraId="07D1895E" w14:textId="41F9CC62" w:rsidR="00852C0A" w:rsidRDefault="002947D3" w:rsidP="00E168B5">
      <w:pPr>
        <w:pStyle w:val="TOC1"/>
        <w:tabs>
          <w:tab w:val="clear" w:pos="6804"/>
          <w:tab w:val="right" w:pos="8505"/>
        </w:tabs>
        <w:ind w:right="566"/>
        <w:rPr>
          <w:rFonts w:asciiTheme="minorHAnsi" w:eastAsiaTheme="minorEastAsia" w:hAnsiTheme="minorHAnsi" w:cstheme="minorBidi"/>
          <w:color w:val="auto"/>
          <w:sz w:val="22"/>
          <w:szCs w:val="22"/>
          <w:lang w:eastAsia="en-AU"/>
        </w:rPr>
      </w:pPr>
      <w:r>
        <w:rPr>
          <w:rFonts w:ascii="Avant Garde" w:hAnsi="Avant Garde"/>
        </w:rPr>
        <w:fldChar w:fldCharType="begin"/>
      </w:r>
      <w:r>
        <w:rPr>
          <w:rFonts w:ascii="Avant Garde" w:hAnsi="Avant Garde"/>
        </w:rPr>
        <w:instrText xml:space="preserve"> TOC \t "Heading 1,1,Heading 2,2" </w:instrText>
      </w:r>
      <w:r>
        <w:rPr>
          <w:rFonts w:ascii="Avant Garde" w:hAnsi="Avant Garde"/>
        </w:rPr>
        <w:fldChar w:fldCharType="separate"/>
      </w:r>
      <w:r w:rsidR="00852C0A">
        <w:t>Tables and figures</w:t>
      </w:r>
      <w:r w:rsidR="00852C0A">
        <w:tab/>
      </w:r>
      <w:r w:rsidR="00852C0A">
        <w:fldChar w:fldCharType="begin"/>
      </w:r>
      <w:r w:rsidR="00852C0A">
        <w:instrText xml:space="preserve"> PAGEREF _Toc78364741 \h </w:instrText>
      </w:r>
      <w:r w:rsidR="00852C0A">
        <w:fldChar w:fldCharType="separate"/>
      </w:r>
      <w:r w:rsidR="00852C0A">
        <w:t>7</w:t>
      </w:r>
      <w:r w:rsidR="00852C0A">
        <w:fldChar w:fldCharType="end"/>
      </w:r>
    </w:p>
    <w:p w14:paraId="1FE10FA5" w14:textId="5D4ED89E" w:rsidR="00852C0A" w:rsidRDefault="00852C0A" w:rsidP="00E168B5">
      <w:pPr>
        <w:pStyle w:val="TOC1"/>
        <w:tabs>
          <w:tab w:val="clear" w:pos="6804"/>
          <w:tab w:val="right" w:pos="8505"/>
        </w:tabs>
        <w:ind w:right="566"/>
        <w:rPr>
          <w:rFonts w:asciiTheme="minorHAnsi" w:eastAsiaTheme="minorEastAsia" w:hAnsiTheme="minorHAnsi" w:cstheme="minorBidi"/>
          <w:color w:val="auto"/>
          <w:sz w:val="22"/>
          <w:szCs w:val="22"/>
          <w:lang w:eastAsia="en-AU"/>
        </w:rPr>
      </w:pPr>
      <w:r>
        <w:t>Introduction</w:t>
      </w:r>
      <w:r>
        <w:tab/>
      </w:r>
      <w:r>
        <w:fldChar w:fldCharType="begin"/>
      </w:r>
      <w:r>
        <w:instrText xml:space="preserve"> PAGEREF _Toc78364744 \h </w:instrText>
      </w:r>
      <w:r>
        <w:fldChar w:fldCharType="separate"/>
      </w:r>
      <w:r>
        <w:t>8</w:t>
      </w:r>
      <w:r>
        <w:fldChar w:fldCharType="end"/>
      </w:r>
    </w:p>
    <w:p w14:paraId="1821E511" w14:textId="4F2AB6E6" w:rsidR="00852C0A" w:rsidRDefault="00852C0A" w:rsidP="00E168B5">
      <w:pPr>
        <w:pStyle w:val="TOC2"/>
        <w:tabs>
          <w:tab w:val="clear" w:pos="6804"/>
          <w:tab w:val="right" w:pos="8505"/>
        </w:tabs>
        <w:ind w:right="566"/>
        <w:rPr>
          <w:rFonts w:asciiTheme="minorHAnsi" w:eastAsiaTheme="minorEastAsia" w:hAnsiTheme="minorHAnsi" w:cstheme="minorBidi"/>
          <w:color w:val="auto"/>
          <w:sz w:val="22"/>
          <w:szCs w:val="22"/>
          <w:lang w:eastAsia="en-AU"/>
        </w:rPr>
      </w:pPr>
      <w:r>
        <w:t>The National Apprentice and Trainee Collection</w:t>
      </w:r>
      <w:r>
        <w:tab/>
      </w:r>
      <w:r>
        <w:fldChar w:fldCharType="begin"/>
      </w:r>
      <w:r>
        <w:instrText xml:space="preserve"> PAGEREF _Toc78364745 \h </w:instrText>
      </w:r>
      <w:r>
        <w:fldChar w:fldCharType="separate"/>
      </w:r>
      <w:r>
        <w:t>8</w:t>
      </w:r>
      <w:r>
        <w:fldChar w:fldCharType="end"/>
      </w:r>
    </w:p>
    <w:p w14:paraId="675D7286" w14:textId="2E0B51C4" w:rsidR="00852C0A" w:rsidRDefault="00852C0A" w:rsidP="00E168B5">
      <w:pPr>
        <w:pStyle w:val="TOC2"/>
        <w:tabs>
          <w:tab w:val="clear" w:pos="6804"/>
          <w:tab w:val="right" w:pos="8505"/>
        </w:tabs>
        <w:ind w:right="566"/>
        <w:rPr>
          <w:rFonts w:asciiTheme="minorHAnsi" w:eastAsiaTheme="minorEastAsia" w:hAnsiTheme="minorHAnsi" w:cstheme="minorBidi"/>
          <w:color w:val="auto"/>
          <w:sz w:val="22"/>
          <w:szCs w:val="22"/>
          <w:lang w:eastAsia="en-AU"/>
        </w:rPr>
      </w:pPr>
      <w:r>
        <w:t>Reporting and time delays</w:t>
      </w:r>
      <w:r>
        <w:tab/>
      </w:r>
      <w:r>
        <w:fldChar w:fldCharType="begin"/>
      </w:r>
      <w:r>
        <w:instrText xml:space="preserve"> PAGEREF _Toc78364746 \h </w:instrText>
      </w:r>
      <w:r>
        <w:fldChar w:fldCharType="separate"/>
      </w:r>
      <w:r>
        <w:t>9</w:t>
      </w:r>
      <w:r>
        <w:fldChar w:fldCharType="end"/>
      </w:r>
    </w:p>
    <w:p w14:paraId="06FF651C" w14:textId="46341D23" w:rsidR="00852C0A" w:rsidRDefault="00852C0A" w:rsidP="00E168B5">
      <w:pPr>
        <w:pStyle w:val="TOC2"/>
        <w:tabs>
          <w:tab w:val="clear" w:pos="6804"/>
          <w:tab w:val="right" w:pos="8505"/>
        </w:tabs>
        <w:ind w:right="566"/>
        <w:rPr>
          <w:rFonts w:asciiTheme="minorHAnsi" w:eastAsiaTheme="minorEastAsia" w:hAnsiTheme="minorHAnsi" w:cstheme="minorBidi"/>
          <w:color w:val="auto"/>
          <w:sz w:val="22"/>
          <w:szCs w:val="22"/>
          <w:lang w:eastAsia="en-AU"/>
        </w:rPr>
      </w:pPr>
      <w:r>
        <w:t>Unreported rates</w:t>
      </w:r>
      <w:r>
        <w:tab/>
      </w:r>
      <w:r>
        <w:fldChar w:fldCharType="begin"/>
      </w:r>
      <w:r>
        <w:instrText xml:space="preserve"> PAGEREF _Toc78364747 \h </w:instrText>
      </w:r>
      <w:r>
        <w:fldChar w:fldCharType="separate"/>
      </w:r>
      <w:r>
        <w:t>10</w:t>
      </w:r>
      <w:r>
        <w:fldChar w:fldCharType="end"/>
      </w:r>
    </w:p>
    <w:p w14:paraId="0ED6A244" w14:textId="509677DE" w:rsidR="00852C0A" w:rsidRDefault="00852C0A" w:rsidP="00E168B5">
      <w:pPr>
        <w:pStyle w:val="TOC2"/>
        <w:tabs>
          <w:tab w:val="clear" w:pos="6804"/>
          <w:tab w:val="right" w:pos="8505"/>
        </w:tabs>
        <w:ind w:right="566"/>
        <w:rPr>
          <w:rFonts w:asciiTheme="minorHAnsi" w:eastAsiaTheme="minorEastAsia" w:hAnsiTheme="minorHAnsi" w:cstheme="minorBidi"/>
          <w:color w:val="auto"/>
          <w:sz w:val="22"/>
          <w:szCs w:val="22"/>
          <w:lang w:eastAsia="en-AU"/>
        </w:rPr>
      </w:pPr>
      <w:r>
        <w:t>Completion rates</w:t>
      </w:r>
      <w:r>
        <w:tab/>
      </w:r>
      <w:r>
        <w:fldChar w:fldCharType="begin"/>
      </w:r>
      <w:r>
        <w:instrText xml:space="preserve"> PAGEREF _Toc78364748 \h </w:instrText>
      </w:r>
      <w:r>
        <w:fldChar w:fldCharType="separate"/>
      </w:r>
      <w:r>
        <w:t>11</w:t>
      </w:r>
      <w:r>
        <w:fldChar w:fldCharType="end"/>
      </w:r>
    </w:p>
    <w:p w14:paraId="5B1BBBEE" w14:textId="46182A79" w:rsidR="00852C0A" w:rsidRDefault="00852C0A" w:rsidP="00E168B5">
      <w:pPr>
        <w:pStyle w:val="TOC1"/>
        <w:tabs>
          <w:tab w:val="clear" w:pos="6804"/>
          <w:tab w:val="right" w:pos="8505"/>
        </w:tabs>
        <w:ind w:right="566"/>
        <w:rPr>
          <w:rFonts w:asciiTheme="minorHAnsi" w:eastAsiaTheme="minorEastAsia" w:hAnsiTheme="minorHAnsi" w:cstheme="minorBidi"/>
          <w:color w:val="auto"/>
          <w:sz w:val="22"/>
          <w:szCs w:val="22"/>
          <w:lang w:eastAsia="en-AU"/>
        </w:rPr>
      </w:pPr>
      <w:r>
        <w:t>Projection methodologies</w:t>
      </w:r>
      <w:r>
        <w:tab/>
      </w:r>
      <w:r>
        <w:fldChar w:fldCharType="begin"/>
      </w:r>
      <w:r>
        <w:instrText xml:space="preserve"> PAGEREF _Toc78364749 \h </w:instrText>
      </w:r>
      <w:r>
        <w:fldChar w:fldCharType="separate"/>
      </w:r>
      <w:r>
        <w:t>12</w:t>
      </w:r>
      <w:r>
        <w:fldChar w:fldCharType="end"/>
      </w:r>
    </w:p>
    <w:p w14:paraId="52058043" w14:textId="1455BC0B" w:rsidR="00852C0A" w:rsidRDefault="00852C0A" w:rsidP="00E168B5">
      <w:pPr>
        <w:pStyle w:val="TOC2"/>
        <w:tabs>
          <w:tab w:val="clear" w:pos="6804"/>
          <w:tab w:val="right" w:pos="8505"/>
        </w:tabs>
        <w:ind w:right="566"/>
        <w:rPr>
          <w:rFonts w:asciiTheme="minorHAnsi" w:eastAsiaTheme="minorEastAsia" w:hAnsiTheme="minorHAnsi" w:cstheme="minorBidi"/>
          <w:color w:val="auto"/>
          <w:sz w:val="22"/>
          <w:szCs w:val="22"/>
          <w:lang w:eastAsia="en-AU"/>
        </w:rPr>
      </w:pPr>
      <w:r>
        <w:t>Life tables methodology</w:t>
      </w:r>
      <w:r>
        <w:tab/>
      </w:r>
      <w:r>
        <w:fldChar w:fldCharType="begin"/>
      </w:r>
      <w:r>
        <w:instrText xml:space="preserve"> PAGEREF _Toc78364750 \h </w:instrText>
      </w:r>
      <w:r>
        <w:fldChar w:fldCharType="separate"/>
      </w:r>
      <w:r>
        <w:t>12</w:t>
      </w:r>
      <w:r>
        <w:fldChar w:fldCharType="end"/>
      </w:r>
    </w:p>
    <w:p w14:paraId="38166C46" w14:textId="43F786D7" w:rsidR="00852C0A" w:rsidRDefault="00852C0A" w:rsidP="00E168B5">
      <w:pPr>
        <w:pStyle w:val="TOC2"/>
        <w:tabs>
          <w:tab w:val="clear" w:pos="6804"/>
          <w:tab w:val="right" w:pos="8505"/>
        </w:tabs>
        <w:ind w:right="566"/>
        <w:rPr>
          <w:rFonts w:asciiTheme="minorHAnsi" w:eastAsiaTheme="minorEastAsia" w:hAnsiTheme="minorHAnsi" w:cstheme="minorBidi"/>
          <w:color w:val="auto"/>
          <w:sz w:val="22"/>
          <w:szCs w:val="22"/>
          <w:lang w:eastAsia="en-AU"/>
        </w:rPr>
      </w:pPr>
      <w:r>
        <w:t>Markov chains methodology</w:t>
      </w:r>
      <w:r>
        <w:tab/>
      </w:r>
      <w:r>
        <w:fldChar w:fldCharType="begin"/>
      </w:r>
      <w:r>
        <w:instrText xml:space="preserve"> PAGEREF _Toc78364751 \h </w:instrText>
      </w:r>
      <w:r>
        <w:fldChar w:fldCharType="separate"/>
      </w:r>
      <w:r>
        <w:t>12</w:t>
      </w:r>
      <w:r>
        <w:fldChar w:fldCharType="end"/>
      </w:r>
    </w:p>
    <w:p w14:paraId="4F447C6A" w14:textId="1130DB9A" w:rsidR="00852C0A" w:rsidRDefault="00852C0A" w:rsidP="00E168B5">
      <w:pPr>
        <w:pStyle w:val="TOC2"/>
        <w:tabs>
          <w:tab w:val="clear" w:pos="6804"/>
          <w:tab w:val="right" w:pos="8505"/>
        </w:tabs>
        <w:ind w:right="566"/>
        <w:rPr>
          <w:rFonts w:asciiTheme="minorHAnsi" w:eastAsiaTheme="minorEastAsia" w:hAnsiTheme="minorHAnsi" w:cstheme="minorBidi"/>
          <w:color w:val="auto"/>
          <w:sz w:val="22"/>
          <w:szCs w:val="22"/>
          <w:lang w:eastAsia="en-AU"/>
        </w:rPr>
      </w:pPr>
      <w:r>
        <w:t>Machine learning methodology</w:t>
      </w:r>
      <w:r>
        <w:tab/>
      </w:r>
      <w:r>
        <w:fldChar w:fldCharType="begin"/>
      </w:r>
      <w:r>
        <w:instrText xml:space="preserve"> PAGEREF _Toc78364752 \h </w:instrText>
      </w:r>
      <w:r>
        <w:fldChar w:fldCharType="separate"/>
      </w:r>
      <w:r>
        <w:t>13</w:t>
      </w:r>
      <w:r>
        <w:fldChar w:fldCharType="end"/>
      </w:r>
    </w:p>
    <w:p w14:paraId="1165D730" w14:textId="04367D3B" w:rsidR="00852C0A" w:rsidRDefault="00852C0A" w:rsidP="00E168B5">
      <w:pPr>
        <w:pStyle w:val="TOC1"/>
        <w:tabs>
          <w:tab w:val="clear" w:pos="6804"/>
          <w:tab w:val="right" w:pos="8505"/>
        </w:tabs>
        <w:ind w:right="566"/>
        <w:rPr>
          <w:rFonts w:asciiTheme="minorHAnsi" w:eastAsiaTheme="minorEastAsia" w:hAnsiTheme="minorHAnsi" w:cstheme="minorBidi"/>
          <w:color w:val="auto"/>
          <w:sz w:val="22"/>
          <w:szCs w:val="22"/>
          <w:lang w:eastAsia="en-AU"/>
        </w:rPr>
      </w:pPr>
      <w:r>
        <w:t>Comparing the accuracy of projected completion rates</w:t>
      </w:r>
      <w:r>
        <w:tab/>
      </w:r>
      <w:r>
        <w:fldChar w:fldCharType="begin"/>
      </w:r>
      <w:r>
        <w:instrText xml:space="preserve"> PAGEREF _Toc78364753 \h </w:instrText>
      </w:r>
      <w:r>
        <w:fldChar w:fldCharType="separate"/>
      </w:r>
      <w:r>
        <w:t>15</w:t>
      </w:r>
      <w:r>
        <w:fldChar w:fldCharType="end"/>
      </w:r>
    </w:p>
    <w:p w14:paraId="0AFCF667" w14:textId="44BF267E" w:rsidR="00852C0A" w:rsidRDefault="00852C0A" w:rsidP="00E168B5">
      <w:pPr>
        <w:pStyle w:val="TOC2"/>
        <w:tabs>
          <w:tab w:val="clear" w:pos="6804"/>
          <w:tab w:val="right" w:pos="8505"/>
        </w:tabs>
        <w:ind w:right="566"/>
        <w:rPr>
          <w:rFonts w:asciiTheme="minorHAnsi" w:eastAsiaTheme="minorEastAsia" w:hAnsiTheme="minorHAnsi" w:cstheme="minorBidi"/>
          <w:color w:val="auto"/>
          <w:sz w:val="22"/>
          <w:szCs w:val="22"/>
          <w:lang w:eastAsia="en-AU"/>
        </w:rPr>
      </w:pPr>
      <w:r>
        <w:t>Projected completion rates: accuracy</w:t>
      </w:r>
      <w:r>
        <w:tab/>
      </w:r>
      <w:r>
        <w:fldChar w:fldCharType="begin"/>
      </w:r>
      <w:r>
        <w:instrText xml:space="preserve"> PAGEREF _Toc78364754 \h </w:instrText>
      </w:r>
      <w:r>
        <w:fldChar w:fldCharType="separate"/>
      </w:r>
      <w:r>
        <w:t>15</w:t>
      </w:r>
      <w:r>
        <w:fldChar w:fldCharType="end"/>
      </w:r>
    </w:p>
    <w:p w14:paraId="2585761B" w14:textId="625F846E" w:rsidR="00852C0A" w:rsidRDefault="00852C0A" w:rsidP="00E168B5">
      <w:pPr>
        <w:pStyle w:val="TOC1"/>
        <w:tabs>
          <w:tab w:val="clear" w:pos="6804"/>
          <w:tab w:val="right" w:pos="8505"/>
        </w:tabs>
        <w:ind w:right="566"/>
        <w:rPr>
          <w:rFonts w:asciiTheme="minorHAnsi" w:eastAsiaTheme="minorEastAsia" w:hAnsiTheme="minorHAnsi" w:cstheme="minorBidi"/>
          <w:color w:val="auto"/>
          <w:sz w:val="22"/>
          <w:szCs w:val="22"/>
          <w:lang w:eastAsia="en-AU"/>
        </w:rPr>
      </w:pPr>
      <w:r>
        <w:t>Evaluation</w:t>
      </w:r>
      <w:r>
        <w:tab/>
      </w:r>
      <w:r>
        <w:fldChar w:fldCharType="begin"/>
      </w:r>
      <w:r>
        <w:instrText xml:space="preserve"> PAGEREF _Toc78364755 \h </w:instrText>
      </w:r>
      <w:r>
        <w:fldChar w:fldCharType="separate"/>
      </w:r>
      <w:r>
        <w:t>18</w:t>
      </w:r>
      <w:r>
        <w:fldChar w:fldCharType="end"/>
      </w:r>
    </w:p>
    <w:p w14:paraId="0C10B57D" w14:textId="3D7AFE32" w:rsidR="00852C0A" w:rsidRDefault="00852C0A" w:rsidP="00E168B5">
      <w:pPr>
        <w:pStyle w:val="TOC2"/>
        <w:tabs>
          <w:tab w:val="clear" w:pos="6804"/>
          <w:tab w:val="right" w:pos="8505"/>
        </w:tabs>
        <w:ind w:right="566"/>
        <w:rPr>
          <w:rFonts w:asciiTheme="minorHAnsi" w:eastAsiaTheme="minorEastAsia" w:hAnsiTheme="minorHAnsi" w:cstheme="minorBidi"/>
          <w:color w:val="auto"/>
          <w:sz w:val="22"/>
          <w:szCs w:val="22"/>
          <w:lang w:eastAsia="en-AU"/>
        </w:rPr>
      </w:pPr>
      <w:r>
        <w:t>Accuracy</w:t>
      </w:r>
      <w:r>
        <w:tab/>
      </w:r>
      <w:r>
        <w:fldChar w:fldCharType="begin"/>
      </w:r>
      <w:r>
        <w:instrText xml:space="preserve"> PAGEREF _Toc78364756 \h </w:instrText>
      </w:r>
      <w:r>
        <w:fldChar w:fldCharType="separate"/>
      </w:r>
      <w:r>
        <w:t>18</w:t>
      </w:r>
      <w:r>
        <w:fldChar w:fldCharType="end"/>
      </w:r>
    </w:p>
    <w:p w14:paraId="780F416B" w14:textId="1C90336A" w:rsidR="00852C0A" w:rsidRDefault="00852C0A" w:rsidP="00E168B5">
      <w:pPr>
        <w:pStyle w:val="TOC2"/>
        <w:tabs>
          <w:tab w:val="clear" w:pos="6804"/>
          <w:tab w:val="right" w:pos="8505"/>
        </w:tabs>
        <w:ind w:right="566"/>
        <w:rPr>
          <w:rFonts w:asciiTheme="minorHAnsi" w:eastAsiaTheme="minorEastAsia" w:hAnsiTheme="minorHAnsi" w:cstheme="minorBidi"/>
          <w:color w:val="auto"/>
          <w:sz w:val="22"/>
          <w:szCs w:val="22"/>
          <w:lang w:eastAsia="en-AU"/>
        </w:rPr>
      </w:pPr>
      <w:r>
        <w:t>Data requirements</w:t>
      </w:r>
      <w:r>
        <w:tab/>
      </w:r>
      <w:r>
        <w:fldChar w:fldCharType="begin"/>
      </w:r>
      <w:r>
        <w:instrText xml:space="preserve"> PAGEREF _Toc78364757 \h </w:instrText>
      </w:r>
      <w:r>
        <w:fldChar w:fldCharType="separate"/>
      </w:r>
      <w:r>
        <w:t>18</w:t>
      </w:r>
      <w:r>
        <w:fldChar w:fldCharType="end"/>
      </w:r>
    </w:p>
    <w:p w14:paraId="7C4D8ADF" w14:textId="6A0F8370" w:rsidR="00852C0A" w:rsidRDefault="00852C0A" w:rsidP="00E168B5">
      <w:pPr>
        <w:pStyle w:val="TOC2"/>
        <w:tabs>
          <w:tab w:val="clear" w:pos="6804"/>
          <w:tab w:val="right" w:pos="8505"/>
        </w:tabs>
        <w:ind w:right="566"/>
        <w:rPr>
          <w:rFonts w:asciiTheme="minorHAnsi" w:eastAsiaTheme="minorEastAsia" w:hAnsiTheme="minorHAnsi" w:cstheme="minorBidi"/>
          <w:color w:val="auto"/>
          <w:sz w:val="22"/>
          <w:szCs w:val="22"/>
          <w:lang w:eastAsia="en-AU"/>
        </w:rPr>
      </w:pPr>
      <w:r>
        <w:t>Timeliness of projections</w:t>
      </w:r>
      <w:r>
        <w:tab/>
      </w:r>
      <w:r>
        <w:fldChar w:fldCharType="begin"/>
      </w:r>
      <w:r>
        <w:instrText xml:space="preserve"> PAGEREF _Toc78364758 \h </w:instrText>
      </w:r>
      <w:r>
        <w:fldChar w:fldCharType="separate"/>
      </w:r>
      <w:r>
        <w:t>19</w:t>
      </w:r>
      <w:r>
        <w:fldChar w:fldCharType="end"/>
      </w:r>
    </w:p>
    <w:p w14:paraId="45D58785" w14:textId="5EB91159" w:rsidR="00852C0A" w:rsidRDefault="00852C0A" w:rsidP="00E168B5">
      <w:pPr>
        <w:pStyle w:val="TOC2"/>
        <w:tabs>
          <w:tab w:val="clear" w:pos="6804"/>
          <w:tab w:val="right" w:pos="8505"/>
        </w:tabs>
        <w:ind w:right="566"/>
        <w:rPr>
          <w:rFonts w:asciiTheme="minorHAnsi" w:eastAsiaTheme="minorEastAsia" w:hAnsiTheme="minorHAnsi" w:cstheme="minorBidi"/>
          <w:color w:val="auto"/>
          <w:sz w:val="22"/>
          <w:szCs w:val="22"/>
          <w:lang w:eastAsia="en-AU"/>
        </w:rPr>
      </w:pPr>
      <w:r>
        <w:t>Representativeness of the reference data</w:t>
      </w:r>
      <w:r>
        <w:tab/>
      </w:r>
      <w:r>
        <w:fldChar w:fldCharType="begin"/>
      </w:r>
      <w:r>
        <w:instrText xml:space="preserve"> PAGEREF _Toc78364759 \h </w:instrText>
      </w:r>
      <w:r>
        <w:fldChar w:fldCharType="separate"/>
      </w:r>
      <w:r>
        <w:t>19</w:t>
      </w:r>
      <w:r>
        <w:fldChar w:fldCharType="end"/>
      </w:r>
    </w:p>
    <w:p w14:paraId="2BBCD28F" w14:textId="5AB6EBCC" w:rsidR="00852C0A" w:rsidRDefault="00852C0A" w:rsidP="00E168B5">
      <w:pPr>
        <w:pStyle w:val="TOC2"/>
        <w:tabs>
          <w:tab w:val="clear" w:pos="6804"/>
          <w:tab w:val="right" w:pos="8505"/>
        </w:tabs>
        <w:ind w:right="566"/>
        <w:rPr>
          <w:rFonts w:asciiTheme="minorHAnsi" w:eastAsiaTheme="minorEastAsia" w:hAnsiTheme="minorHAnsi" w:cstheme="minorBidi"/>
          <w:color w:val="auto"/>
          <w:sz w:val="22"/>
          <w:szCs w:val="22"/>
          <w:lang w:eastAsia="en-AU"/>
        </w:rPr>
      </w:pPr>
      <w:r>
        <w:t>Adding new slices of data</w:t>
      </w:r>
      <w:r>
        <w:tab/>
      </w:r>
      <w:r>
        <w:fldChar w:fldCharType="begin"/>
      </w:r>
      <w:r>
        <w:instrText xml:space="preserve"> PAGEREF _Toc78364760 \h </w:instrText>
      </w:r>
      <w:r>
        <w:fldChar w:fldCharType="separate"/>
      </w:r>
      <w:r>
        <w:t>20</w:t>
      </w:r>
      <w:r>
        <w:fldChar w:fldCharType="end"/>
      </w:r>
    </w:p>
    <w:p w14:paraId="05E6783E" w14:textId="6C6087F1" w:rsidR="00852C0A" w:rsidRDefault="00852C0A" w:rsidP="00E168B5">
      <w:pPr>
        <w:pStyle w:val="TOC2"/>
        <w:tabs>
          <w:tab w:val="clear" w:pos="6804"/>
          <w:tab w:val="right" w:pos="8505"/>
        </w:tabs>
        <w:ind w:right="566"/>
        <w:rPr>
          <w:rFonts w:asciiTheme="minorHAnsi" w:eastAsiaTheme="minorEastAsia" w:hAnsiTheme="minorHAnsi" w:cstheme="minorBidi"/>
          <w:color w:val="auto"/>
          <w:sz w:val="22"/>
          <w:szCs w:val="22"/>
          <w:lang w:eastAsia="en-AU"/>
        </w:rPr>
      </w:pPr>
      <w:r>
        <w:t>Refining the algorithms</w:t>
      </w:r>
      <w:r>
        <w:tab/>
      </w:r>
      <w:r>
        <w:fldChar w:fldCharType="begin"/>
      </w:r>
      <w:r>
        <w:instrText xml:space="preserve"> PAGEREF _Toc78364761 \h </w:instrText>
      </w:r>
      <w:r>
        <w:fldChar w:fldCharType="separate"/>
      </w:r>
      <w:r>
        <w:t>20</w:t>
      </w:r>
      <w:r>
        <w:fldChar w:fldCharType="end"/>
      </w:r>
    </w:p>
    <w:p w14:paraId="759F9027" w14:textId="040E9C8E" w:rsidR="00852C0A" w:rsidRDefault="00852C0A" w:rsidP="00E168B5">
      <w:pPr>
        <w:pStyle w:val="TOC2"/>
        <w:tabs>
          <w:tab w:val="clear" w:pos="6804"/>
          <w:tab w:val="right" w:pos="8505"/>
        </w:tabs>
        <w:ind w:right="566"/>
        <w:rPr>
          <w:rFonts w:asciiTheme="minorHAnsi" w:eastAsiaTheme="minorEastAsia" w:hAnsiTheme="minorHAnsi" w:cstheme="minorBidi"/>
          <w:color w:val="auto"/>
          <w:sz w:val="22"/>
          <w:szCs w:val="22"/>
          <w:lang w:eastAsia="en-AU"/>
        </w:rPr>
      </w:pPr>
      <w:r>
        <w:t>Limitations of the analysis</w:t>
      </w:r>
      <w:r>
        <w:tab/>
      </w:r>
      <w:r>
        <w:fldChar w:fldCharType="begin"/>
      </w:r>
      <w:r>
        <w:instrText xml:space="preserve"> PAGEREF _Toc78364762 \h </w:instrText>
      </w:r>
      <w:r>
        <w:fldChar w:fldCharType="separate"/>
      </w:r>
      <w:r>
        <w:t>21</w:t>
      </w:r>
      <w:r>
        <w:fldChar w:fldCharType="end"/>
      </w:r>
    </w:p>
    <w:p w14:paraId="056A19C3" w14:textId="205B83CF" w:rsidR="00852C0A" w:rsidRDefault="00852C0A" w:rsidP="00E168B5">
      <w:pPr>
        <w:pStyle w:val="TOC1"/>
        <w:tabs>
          <w:tab w:val="clear" w:pos="6804"/>
          <w:tab w:val="right" w:pos="8505"/>
        </w:tabs>
        <w:ind w:right="566"/>
        <w:rPr>
          <w:rFonts w:asciiTheme="minorHAnsi" w:eastAsiaTheme="minorEastAsia" w:hAnsiTheme="minorHAnsi" w:cstheme="minorBidi"/>
          <w:color w:val="auto"/>
          <w:sz w:val="22"/>
          <w:szCs w:val="22"/>
          <w:lang w:eastAsia="en-AU"/>
        </w:rPr>
      </w:pPr>
      <w:r>
        <w:t>Other considerations</w:t>
      </w:r>
      <w:r>
        <w:tab/>
      </w:r>
      <w:r>
        <w:fldChar w:fldCharType="begin"/>
      </w:r>
      <w:r>
        <w:instrText xml:space="preserve"> PAGEREF _Toc78364763 \h </w:instrText>
      </w:r>
      <w:r>
        <w:fldChar w:fldCharType="separate"/>
      </w:r>
      <w:r>
        <w:t>22</w:t>
      </w:r>
      <w:r>
        <w:fldChar w:fldCharType="end"/>
      </w:r>
    </w:p>
    <w:p w14:paraId="526B0F67" w14:textId="0BB330A0" w:rsidR="00852C0A" w:rsidRDefault="00852C0A" w:rsidP="00E168B5">
      <w:pPr>
        <w:pStyle w:val="TOC2"/>
        <w:tabs>
          <w:tab w:val="clear" w:pos="6804"/>
          <w:tab w:val="right" w:pos="8505"/>
        </w:tabs>
        <w:ind w:right="566"/>
        <w:rPr>
          <w:rFonts w:asciiTheme="minorHAnsi" w:eastAsiaTheme="minorEastAsia" w:hAnsiTheme="minorHAnsi" w:cstheme="minorBidi"/>
          <w:color w:val="auto"/>
          <w:sz w:val="22"/>
          <w:szCs w:val="22"/>
          <w:lang w:eastAsia="en-AU"/>
        </w:rPr>
      </w:pPr>
      <w:r>
        <w:t>The COVID-19 pandemic</w:t>
      </w:r>
      <w:r>
        <w:tab/>
      </w:r>
      <w:r>
        <w:fldChar w:fldCharType="begin"/>
      </w:r>
      <w:r>
        <w:instrText xml:space="preserve"> PAGEREF _Toc78364764 \h </w:instrText>
      </w:r>
      <w:r>
        <w:fldChar w:fldCharType="separate"/>
      </w:r>
      <w:r>
        <w:t>22</w:t>
      </w:r>
      <w:r>
        <w:fldChar w:fldCharType="end"/>
      </w:r>
    </w:p>
    <w:p w14:paraId="703AB9C8" w14:textId="5C204ACA" w:rsidR="00852C0A" w:rsidRDefault="00852C0A" w:rsidP="00E168B5">
      <w:pPr>
        <w:pStyle w:val="TOC2"/>
        <w:tabs>
          <w:tab w:val="clear" w:pos="6804"/>
          <w:tab w:val="right" w:pos="8505"/>
        </w:tabs>
        <w:ind w:right="566"/>
        <w:rPr>
          <w:rFonts w:asciiTheme="minorHAnsi" w:eastAsiaTheme="minorEastAsia" w:hAnsiTheme="minorHAnsi" w:cstheme="minorBidi"/>
          <w:color w:val="auto"/>
          <w:sz w:val="22"/>
          <w:szCs w:val="22"/>
          <w:lang w:eastAsia="en-AU"/>
        </w:rPr>
      </w:pPr>
      <w:r>
        <w:t>Expired contracts and attrition rates</w:t>
      </w:r>
      <w:r>
        <w:tab/>
      </w:r>
      <w:r>
        <w:fldChar w:fldCharType="begin"/>
      </w:r>
      <w:r>
        <w:instrText xml:space="preserve"> PAGEREF _Toc78364765 \h </w:instrText>
      </w:r>
      <w:r>
        <w:fldChar w:fldCharType="separate"/>
      </w:r>
      <w:r>
        <w:t>22</w:t>
      </w:r>
      <w:r>
        <w:fldChar w:fldCharType="end"/>
      </w:r>
    </w:p>
    <w:p w14:paraId="17F625EB" w14:textId="47FE3006" w:rsidR="00852C0A" w:rsidRDefault="00852C0A" w:rsidP="00E168B5">
      <w:pPr>
        <w:pStyle w:val="TOC1"/>
        <w:tabs>
          <w:tab w:val="clear" w:pos="6804"/>
          <w:tab w:val="right" w:pos="8505"/>
        </w:tabs>
        <w:ind w:right="566"/>
        <w:rPr>
          <w:rFonts w:asciiTheme="minorHAnsi" w:eastAsiaTheme="minorEastAsia" w:hAnsiTheme="minorHAnsi" w:cstheme="minorBidi"/>
          <w:color w:val="auto"/>
          <w:sz w:val="22"/>
          <w:szCs w:val="22"/>
          <w:lang w:eastAsia="en-AU"/>
        </w:rPr>
      </w:pPr>
      <w:r>
        <w:t>References</w:t>
      </w:r>
      <w:r>
        <w:tab/>
      </w:r>
      <w:r>
        <w:fldChar w:fldCharType="begin"/>
      </w:r>
      <w:r>
        <w:instrText xml:space="preserve"> PAGEREF _Toc78364766 \h </w:instrText>
      </w:r>
      <w:r>
        <w:fldChar w:fldCharType="separate"/>
      </w:r>
      <w:r>
        <w:t>24</w:t>
      </w:r>
      <w:r>
        <w:fldChar w:fldCharType="end"/>
      </w:r>
    </w:p>
    <w:p w14:paraId="59197060" w14:textId="168B06B7" w:rsidR="00852C0A" w:rsidRDefault="00852C0A" w:rsidP="00E168B5">
      <w:pPr>
        <w:pStyle w:val="TOC1"/>
        <w:tabs>
          <w:tab w:val="clear" w:pos="6804"/>
          <w:tab w:val="right" w:pos="8505"/>
        </w:tabs>
        <w:ind w:right="566"/>
        <w:rPr>
          <w:rFonts w:asciiTheme="minorHAnsi" w:eastAsiaTheme="minorEastAsia" w:hAnsiTheme="minorHAnsi" w:cstheme="minorBidi"/>
          <w:color w:val="auto"/>
          <w:sz w:val="22"/>
          <w:szCs w:val="22"/>
          <w:lang w:eastAsia="en-AU"/>
        </w:rPr>
      </w:pPr>
      <w:r>
        <w:t>Appendix A – Methodological detail of machine learning modelling</w:t>
      </w:r>
      <w:r>
        <w:tab/>
      </w:r>
      <w:r>
        <w:fldChar w:fldCharType="begin"/>
      </w:r>
      <w:r>
        <w:instrText xml:space="preserve"> PAGEREF _Toc78364767 \h </w:instrText>
      </w:r>
      <w:r>
        <w:fldChar w:fldCharType="separate"/>
      </w:r>
      <w:r>
        <w:t>25</w:t>
      </w:r>
      <w:r>
        <w:fldChar w:fldCharType="end"/>
      </w:r>
    </w:p>
    <w:p w14:paraId="3FF90212" w14:textId="3EB990C3" w:rsidR="00852C0A" w:rsidRDefault="00852C0A" w:rsidP="00E168B5">
      <w:pPr>
        <w:pStyle w:val="TOC1"/>
        <w:tabs>
          <w:tab w:val="clear" w:pos="6804"/>
          <w:tab w:val="right" w:pos="8505"/>
        </w:tabs>
        <w:ind w:right="566"/>
        <w:rPr>
          <w:rFonts w:asciiTheme="minorHAnsi" w:eastAsiaTheme="minorEastAsia" w:hAnsiTheme="minorHAnsi" w:cstheme="minorBidi"/>
          <w:color w:val="auto"/>
          <w:sz w:val="22"/>
          <w:szCs w:val="22"/>
          <w:lang w:eastAsia="en-AU"/>
        </w:rPr>
      </w:pPr>
      <w:r>
        <w:t>Appendix B – Data requirements for calculating projections</w:t>
      </w:r>
      <w:r>
        <w:tab/>
      </w:r>
      <w:r>
        <w:fldChar w:fldCharType="begin"/>
      </w:r>
      <w:r>
        <w:instrText xml:space="preserve"> PAGEREF _Toc78364768 \h </w:instrText>
      </w:r>
      <w:r>
        <w:fldChar w:fldCharType="separate"/>
      </w:r>
      <w:r>
        <w:t>27</w:t>
      </w:r>
      <w:r>
        <w:fldChar w:fldCharType="end"/>
      </w:r>
    </w:p>
    <w:p w14:paraId="752E46DD" w14:textId="27229F99" w:rsidR="00ED0C08" w:rsidRPr="00156177" w:rsidRDefault="002947D3" w:rsidP="00E168B5">
      <w:pPr>
        <w:pStyle w:val="Text"/>
        <w:tabs>
          <w:tab w:val="right" w:pos="8505"/>
          <w:tab w:val="right" w:pos="9072"/>
        </w:tabs>
        <w:ind w:right="566"/>
        <w:rPr>
          <w:b/>
          <w:color w:val="C00000"/>
        </w:rPr>
      </w:pPr>
      <w:r>
        <w:rPr>
          <w:rFonts w:ascii="Avant Garde" w:hAnsi="Avant Garde"/>
          <w:noProof/>
          <w:color w:val="000000"/>
          <w:szCs w:val="19"/>
        </w:rPr>
        <w:fldChar w:fldCharType="end"/>
      </w:r>
    </w:p>
    <w:p w14:paraId="0B618C91" w14:textId="77777777" w:rsidR="00ED0C08" w:rsidRPr="00156177" w:rsidRDefault="00ED0C08">
      <w:pPr>
        <w:spacing w:before="0" w:line="240" w:lineRule="auto"/>
        <w:rPr>
          <w:b/>
          <w:color w:val="C00000"/>
        </w:rPr>
      </w:pPr>
      <w:r w:rsidRPr="00156177">
        <w:rPr>
          <w:b/>
          <w:color w:val="C00000"/>
        </w:rPr>
        <w:br w:type="page"/>
      </w:r>
    </w:p>
    <w:p w14:paraId="385A48F4" w14:textId="77777777" w:rsidR="00ED0C08" w:rsidRDefault="00ED0C08" w:rsidP="00ED0C08">
      <w:pPr>
        <w:pStyle w:val="Heading1"/>
      </w:pPr>
      <w:bookmarkStart w:id="18" w:name="_Toc316371579"/>
      <w:bookmarkStart w:id="19" w:name="_Toc69126649"/>
      <w:bookmarkStart w:id="20" w:name="_Toc78364741"/>
      <w:r>
        <w:lastRenderedPageBreak/>
        <w:t>Tables and figures</w:t>
      </w:r>
      <w:bookmarkEnd w:id="18"/>
      <w:bookmarkEnd w:id="19"/>
      <w:bookmarkEnd w:id="20"/>
    </w:p>
    <w:p w14:paraId="7AAD8DE8" w14:textId="77777777" w:rsidR="00ED0C08" w:rsidRDefault="00ED0C08" w:rsidP="00ED0C08">
      <w:pPr>
        <w:pStyle w:val="Heading2"/>
      </w:pPr>
      <w:bookmarkStart w:id="21" w:name="_Toc296497516"/>
      <w:bookmarkStart w:id="22" w:name="_Toc298162801"/>
      <w:bookmarkStart w:id="23" w:name="_Toc316371580"/>
      <w:bookmarkStart w:id="24" w:name="_Toc69126650"/>
      <w:bookmarkStart w:id="25" w:name="_Toc78364742"/>
      <w:r>
        <w:t>Tables</w:t>
      </w:r>
      <w:bookmarkEnd w:id="21"/>
      <w:bookmarkEnd w:id="22"/>
      <w:bookmarkEnd w:id="23"/>
      <w:bookmarkEnd w:id="24"/>
      <w:bookmarkEnd w:id="25"/>
    </w:p>
    <w:p w14:paraId="3683B996" w14:textId="76517BCF" w:rsidR="00E06593" w:rsidRDefault="00ED0C08" w:rsidP="00234BEA">
      <w:pPr>
        <w:pStyle w:val="TableofFigures"/>
        <w:tabs>
          <w:tab w:val="clear" w:pos="6804"/>
          <w:tab w:val="left" w:pos="950"/>
          <w:tab w:val="right" w:pos="8789"/>
        </w:tabs>
        <w:ind w:right="282"/>
        <w:rPr>
          <w:rFonts w:asciiTheme="minorHAnsi" w:eastAsiaTheme="minorEastAsia" w:hAnsiTheme="minorHAnsi" w:cstheme="minorBidi"/>
          <w:color w:val="auto"/>
          <w:sz w:val="22"/>
          <w:szCs w:val="22"/>
          <w:lang w:eastAsia="en-AU"/>
        </w:rPr>
      </w:pPr>
      <w:r>
        <w:fldChar w:fldCharType="begin"/>
      </w:r>
      <w:r>
        <w:instrText xml:space="preserve"> TOC \f F \t "tabletitle" \c </w:instrText>
      </w:r>
      <w:r>
        <w:fldChar w:fldCharType="separate"/>
      </w:r>
      <w:r w:rsidR="00E06593">
        <w:t>1</w:t>
      </w:r>
      <w:r w:rsidR="00E06593">
        <w:rPr>
          <w:rFonts w:asciiTheme="minorHAnsi" w:eastAsiaTheme="minorEastAsia" w:hAnsiTheme="minorHAnsi" w:cstheme="minorBidi"/>
          <w:color w:val="auto"/>
          <w:sz w:val="22"/>
          <w:szCs w:val="22"/>
          <w:lang w:eastAsia="en-AU"/>
        </w:rPr>
        <w:tab/>
      </w:r>
      <w:r w:rsidR="00E06593">
        <w:t>Evaluation and comparison of projection methodologies</w:t>
      </w:r>
      <w:r w:rsidR="00E06593">
        <w:tab/>
      </w:r>
      <w:r w:rsidR="00E06593">
        <w:fldChar w:fldCharType="begin"/>
      </w:r>
      <w:r w:rsidR="00E06593">
        <w:instrText xml:space="preserve"> PAGEREF _Toc75437730 \h </w:instrText>
      </w:r>
      <w:r w:rsidR="00E06593">
        <w:fldChar w:fldCharType="separate"/>
      </w:r>
      <w:r w:rsidR="008A35C7">
        <w:t>18</w:t>
      </w:r>
      <w:r w:rsidR="00E06593">
        <w:fldChar w:fldCharType="end"/>
      </w:r>
    </w:p>
    <w:p w14:paraId="767386EE" w14:textId="1AD91CA2" w:rsidR="00E06593" w:rsidRDefault="00E06593" w:rsidP="00234BEA">
      <w:pPr>
        <w:pStyle w:val="TableofFigures"/>
        <w:tabs>
          <w:tab w:val="clear" w:pos="6804"/>
          <w:tab w:val="left" w:pos="1140"/>
          <w:tab w:val="right" w:pos="8789"/>
        </w:tabs>
        <w:ind w:right="282"/>
        <w:rPr>
          <w:rFonts w:asciiTheme="minorHAnsi" w:eastAsiaTheme="minorEastAsia" w:hAnsiTheme="minorHAnsi" w:cstheme="minorBidi"/>
          <w:color w:val="auto"/>
          <w:sz w:val="22"/>
          <w:szCs w:val="22"/>
          <w:lang w:eastAsia="en-AU"/>
        </w:rPr>
      </w:pPr>
      <w:r>
        <w:t>A1</w:t>
      </w:r>
      <w:r>
        <w:rPr>
          <w:rFonts w:asciiTheme="minorHAnsi" w:eastAsiaTheme="minorEastAsia" w:hAnsiTheme="minorHAnsi" w:cstheme="minorBidi"/>
          <w:color w:val="auto"/>
          <w:sz w:val="22"/>
          <w:szCs w:val="22"/>
          <w:lang w:eastAsia="en-AU"/>
        </w:rPr>
        <w:tab/>
      </w:r>
      <w:r>
        <w:t xml:space="preserve">Attributes of commencing apprentice and trainee contracts included in machine learning </w:t>
      </w:r>
      <w:r w:rsidR="00234BEA">
        <w:br/>
      </w:r>
      <w:r w:rsidR="00234BEA">
        <w:tab/>
      </w:r>
      <w:r>
        <w:t>modelling</w:t>
      </w:r>
      <w:r>
        <w:tab/>
      </w:r>
      <w:r w:rsidR="00234BEA">
        <w:tab/>
      </w:r>
      <w:r>
        <w:fldChar w:fldCharType="begin"/>
      </w:r>
      <w:r>
        <w:instrText xml:space="preserve"> PAGEREF _Toc75437731 \h </w:instrText>
      </w:r>
      <w:r>
        <w:fldChar w:fldCharType="separate"/>
      </w:r>
      <w:r w:rsidR="008A35C7">
        <w:t>25</w:t>
      </w:r>
      <w:r>
        <w:fldChar w:fldCharType="end"/>
      </w:r>
    </w:p>
    <w:p w14:paraId="490C57B0" w14:textId="162C3996" w:rsidR="00E06593" w:rsidRDefault="00E06593" w:rsidP="00234BEA">
      <w:pPr>
        <w:pStyle w:val="TableofFigures"/>
        <w:tabs>
          <w:tab w:val="clear" w:pos="6804"/>
          <w:tab w:val="left" w:pos="1140"/>
          <w:tab w:val="right" w:pos="8789"/>
        </w:tabs>
        <w:ind w:right="282"/>
        <w:rPr>
          <w:rFonts w:asciiTheme="minorHAnsi" w:eastAsiaTheme="minorEastAsia" w:hAnsiTheme="minorHAnsi" w:cstheme="minorBidi"/>
          <w:color w:val="auto"/>
          <w:sz w:val="22"/>
          <w:szCs w:val="22"/>
          <w:lang w:eastAsia="en-AU"/>
        </w:rPr>
      </w:pPr>
      <w:r>
        <w:t>B1</w:t>
      </w:r>
      <w:r>
        <w:rPr>
          <w:rFonts w:asciiTheme="minorHAnsi" w:eastAsiaTheme="minorEastAsia" w:hAnsiTheme="minorHAnsi" w:cstheme="minorBidi"/>
          <w:color w:val="auto"/>
          <w:sz w:val="22"/>
          <w:szCs w:val="22"/>
          <w:lang w:eastAsia="en-AU"/>
        </w:rPr>
        <w:tab/>
      </w:r>
      <w:r>
        <w:t>Data sources: Life tables</w:t>
      </w:r>
      <w:r>
        <w:tab/>
      </w:r>
      <w:r>
        <w:fldChar w:fldCharType="begin"/>
      </w:r>
      <w:r>
        <w:instrText xml:space="preserve"> PAGEREF _Toc75437732 \h </w:instrText>
      </w:r>
      <w:r>
        <w:fldChar w:fldCharType="separate"/>
      </w:r>
      <w:r w:rsidR="008A35C7">
        <w:t>27</w:t>
      </w:r>
      <w:r>
        <w:fldChar w:fldCharType="end"/>
      </w:r>
    </w:p>
    <w:p w14:paraId="798CE542" w14:textId="39A9F4F4" w:rsidR="00E06593" w:rsidRDefault="00E06593" w:rsidP="00234BEA">
      <w:pPr>
        <w:pStyle w:val="TableofFigures"/>
        <w:tabs>
          <w:tab w:val="clear" w:pos="6804"/>
          <w:tab w:val="left" w:pos="1140"/>
          <w:tab w:val="right" w:pos="8789"/>
        </w:tabs>
        <w:ind w:right="282"/>
        <w:rPr>
          <w:rFonts w:asciiTheme="minorHAnsi" w:eastAsiaTheme="minorEastAsia" w:hAnsiTheme="minorHAnsi" w:cstheme="minorBidi"/>
          <w:color w:val="auto"/>
          <w:sz w:val="22"/>
          <w:szCs w:val="22"/>
          <w:lang w:eastAsia="en-AU"/>
        </w:rPr>
      </w:pPr>
      <w:r>
        <w:t>B2</w:t>
      </w:r>
      <w:r>
        <w:rPr>
          <w:rFonts w:asciiTheme="minorHAnsi" w:eastAsiaTheme="minorEastAsia" w:hAnsiTheme="minorHAnsi" w:cstheme="minorBidi"/>
          <w:color w:val="auto"/>
          <w:sz w:val="22"/>
          <w:szCs w:val="22"/>
          <w:lang w:eastAsia="en-AU"/>
        </w:rPr>
        <w:tab/>
      </w:r>
      <w:r>
        <w:t>Data sources: Markov chains</w:t>
      </w:r>
      <w:r>
        <w:tab/>
      </w:r>
      <w:r>
        <w:fldChar w:fldCharType="begin"/>
      </w:r>
      <w:r>
        <w:instrText xml:space="preserve"> PAGEREF _Toc75437733 \h </w:instrText>
      </w:r>
      <w:r>
        <w:fldChar w:fldCharType="separate"/>
      </w:r>
      <w:r w:rsidR="008A35C7">
        <w:t>28</w:t>
      </w:r>
      <w:r>
        <w:fldChar w:fldCharType="end"/>
      </w:r>
    </w:p>
    <w:p w14:paraId="2D440B84" w14:textId="4826F6BA" w:rsidR="00E06593" w:rsidRDefault="00E06593" w:rsidP="00234BEA">
      <w:pPr>
        <w:pStyle w:val="TableofFigures"/>
        <w:tabs>
          <w:tab w:val="clear" w:pos="6804"/>
          <w:tab w:val="left" w:pos="1140"/>
          <w:tab w:val="right" w:pos="8789"/>
        </w:tabs>
        <w:ind w:right="282"/>
        <w:rPr>
          <w:rFonts w:asciiTheme="minorHAnsi" w:eastAsiaTheme="minorEastAsia" w:hAnsiTheme="minorHAnsi" w:cstheme="minorBidi"/>
          <w:color w:val="auto"/>
          <w:sz w:val="22"/>
          <w:szCs w:val="22"/>
          <w:lang w:eastAsia="en-AU"/>
        </w:rPr>
      </w:pPr>
      <w:r>
        <w:t>B3</w:t>
      </w:r>
      <w:r>
        <w:rPr>
          <w:rFonts w:asciiTheme="minorHAnsi" w:eastAsiaTheme="minorEastAsia" w:hAnsiTheme="minorHAnsi" w:cstheme="minorBidi"/>
          <w:color w:val="auto"/>
          <w:sz w:val="22"/>
          <w:szCs w:val="22"/>
          <w:lang w:eastAsia="en-AU"/>
        </w:rPr>
        <w:tab/>
      </w:r>
      <w:r>
        <w:t>Data sources: Machine learning</w:t>
      </w:r>
      <w:r>
        <w:tab/>
      </w:r>
      <w:r>
        <w:fldChar w:fldCharType="begin"/>
      </w:r>
      <w:r>
        <w:instrText xml:space="preserve"> PAGEREF _Toc75437734 \h </w:instrText>
      </w:r>
      <w:r>
        <w:fldChar w:fldCharType="separate"/>
      </w:r>
      <w:r w:rsidR="008A35C7">
        <w:t>28</w:t>
      </w:r>
      <w:r>
        <w:fldChar w:fldCharType="end"/>
      </w:r>
    </w:p>
    <w:p w14:paraId="1652D8CF" w14:textId="267A8838" w:rsidR="00E06593" w:rsidRDefault="00ED0C08" w:rsidP="00234BEA">
      <w:pPr>
        <w:pStyle w:val="Heading2"/>
        <w:tabs>
          <w:tab w:val="right" w:pos="8789"/>
        </w:tabs>
        <w:ind w:right="282"/>
        <w:rPr>
          <w:noProof/>
        </w:rPr>
      </w:pPr>
      <w:r>
        <w:fldChar w:fldCharType="end"/>
      </w:r>
      <w:bookmarkStart w:id="26" w:name="_Toc296497517"/>
      <w:bookmarkStart w:id="27" w:name="_Toc298162802"/>
      <w:bookmarkStart w:id="28" w:name="_Toc316371581"/>
      <w:bookmarkStart w:id="29" w:name="_Toc69126651"/>
      <w:bookmarkStart w:id="30" w:name="_Toc78364743"/>
      <w:r>
        <w:t>Figures</w:t>
      </w:r>
      <w:bookmarkEnd w:id="26"/>
      <w:bookmarkEnd w:id="27"/>
      <w:bookmarkEnd w:id="28"/>
      <w:bookmarkEnd w:id="29"/>
      <w:bookmarkEnd w:id="30"/>
      <w:r>
        <w:rPr>
          <w:rFonts w:ascii="Garamond" w:hAnsi="Garamond"/>
          <w:sz w:val="22"/>
        </w:rPr>
        <w:fldChar w:fldCharType="begin"/>
      </w:r>
      <w:r>
        <w:instrText xml:space="preserve"> TOC \t "Figuretitle" \c </w:instrText>
      </w:r>
      <w:r>
        <w:rPr>
          <w:rFonts w:ascii="Garamond" w:hAnsi="Garamond"/>
          <w:sz w:val="22"/>
        </w:rPr>
        <w:fldChar w:fldCharType="separate"/>
      </w:r>
    </w:p>
    <w:p w14:paraId="4F3B35C3" w14:textId="7B957D28" w:rsidR="00E06593" w:rsidRDefault="00E06593" w:rsidP="00234BEA">
      <w:pPr>
        <w:pStyle w:val="TableofFigures"/>
        <w:tabs>
          <w:tab w:val="clear" w:pos="6804"/>
          <w:tab w:val="left" w:pos="950"/>
          <w:tab w:val="right" w:pos="8789"/>
        </w:tabs>
        <w:ind w:right="282"/>
        <w:rPr>
          <w:rFonts w:asciiTheme="minorHAnsi" w:eastAsiaTheme="minorEastAsia" w:hAnsiTheme="minorHAnsi" w:cstheme="minorBidi"/>
          <w:color w:val="auto"/>
          <w:sz w:val="22"/>
          <w:szCs w:val="22"/>
          <w:lang w:eastAsia="en-AU"/>
        </w:rPr>
      </w:pPr>
      <w:r>
        <w:t>1</w:t>
      </w:r>
      <w:r>
        <w:rPr>
          <w:rFonts w:asciiTheme="minorHAnsi" w:eastAsiaTheme="minorEastAsia" w:hAnsiTheme="minorHAnsi" w:cstheme="minorBidi"/>
          <w:color w:val="auto"/>
          <w:sz w:val="22"/>
          <w:szCs w:val="22"/>
          <w:lang w:eastAsia="en-AU"/>
        </w:rPr>
        <w:tab/>
      </w:r>
      <w:r>
        <w:t>Unreported and expired rates for annual trade and non-trade cohorts, commencing 2013</w:t>
      </w:r>
      <w:r w:rsidR="00D0368E">
        <w:t>−</w:t>
      </w:r>
      <w:r>
        <w:t xml:space="preserve">20  </w:t>
      </w:r>
      <w:r>
        <w:tab/>
      </w:r>
      <w:r>
        <w:fldChar w:fldCharType="begin"/>
      </w:r>
      <w:r>
        <w:instrText xml:space="preserve"> PAGEREF _Toc75437722 \h </w:instrText>
      </w:r>
      <w:r>
        <w:fldChar w:fldCharType="separate"/>
      </w:r>
      <w:r w:rsidR="008A35C7">
        <w:t>10</w:t>
      </w:r>
      <w:r>
        <w:fldChar w:fldCharType="end"/>
      </w:r>
    </w:p>
    <w:p w14:paraId="2D8A53D5" w14:textId="7B5A19A6" w:rsidR="00E06593" w:rsidRPr="00234BEA" w:rsidRDefault="00E06593" w:rsidP="00234BEA">
      <w:pPr>
        <w:pStyle w:val="TableofFigures"/>
        <w:tabs>
          <w:tab w:val="clear" w:pos="6804"/>
          <w:tab w:val="left" w:pos="950"/>
          <w:tab w:val="right" w:pos="8789"/>
        </w:tabs>
        <w:ind w:right="282"/>
      </w:pPr>
      <w:r>
        <w:t>2</w:t>
      </w:r>
      <w:r>
        <w:rPr>
          <w:rFonts w:asciiTheme="minorHAnsi" w:eastAsiaTheme="minorEastAsia" w:hAnsiTheme="minorHAnsi" w:cstheme="minorBidi"/>
          <w:color w:val="auto"/>
          <w:sz w:val="22"/>
          <w:szCs w:val="22"/>
          <w:lang w:eastAsia="en-AU"/>
        </w:rPr>
        <w:tab/>
      </w:r>
      <w:r>
        <w:t xml:space="preserve">Observed actual and projected contract completion rates by trade and non-trade occupations, </w:t>
      </w:r>
      <w:r w:rsidR="00234BEA">
        <w:br/>
      </w:r>
      <w:r w:rsidR="00234BEA">
        <w:tab/>
      </w:r>
      <w:r>
        <w:t>for annual cohorts commencing</w:t>
      </w:r>
      <w:r w:rsidR="00D0368E">
        <w:t xml:space="preserve"> </w:t>
      </w:r>
      <w:r>
        <w:t>2013</w:t>
      </w:r>
      <w:r w:rsidR="00D0368E">
        <w:t>−</w:t>
      </w:r>
      <w:r>
        <w:t>15</w:t>
      </w:r>
      <w:r>
        <w:tab/>
      </w:r>
      <w:r>
        <w:fldChar w:fldCharType="begin"/>
      </w:r>
      <w:r>
        <w:instrText xml:space="preserve"> PAGEREF _Toc75437723 \h </w:instrText>
      </w:r>
      <w:r>
        <w:fldChar w:fldCharType="separate"/>
      </w:r>
      <w:r w:rsidR="008A35C7">
        <w:t>16</w:t>
      </w:r>
      <w:r>
        <w:fldChar w:fldCharType="end"/>
      </w:r>
    </w:p>
    <w:p w14:paraId="2EBEE2A1" w14:textId="6C0DC05C" w:rsidR="00E06593" w:rsidRDefault="00E06593" w:rsidP="00234BEA">
      <w:pPr>
        <w:pStyle w:val="TableofFigures"/>
        <w:tabs>
          <w:tab w:val="clear" w:pos="6804"/>
          <w:tab w:val="left" w:pos="950"/>
          <w:tab w:val="right" w:pos="8789"/>
        </w:tabs>
        <w:ind w:right="282"/>
        <w:rPr>
          <w:rFonts w:asciiTheme="minorHAnsi" w:eastAsiaTheme="minorEastAsia" w:hAnsiTheme="minorHAnsi" w:cstheme="minorBidi"/>
          <w:color w:val="auto"/>
          <w:sz w:val="22"/>
          <w:szCs w:val="22"/>
          <w:lang w:eastAsia="en-AU"/>
        </w:rPr>
      </w:pPr>
      <w:r>
        <w:t>3</w:t>
      </w:r>
      <w:r>
        <w:rPr>
          <w:rFonts w:asciiTheme="minorHAnsi" w:eastAsiaTheme="minorEastAsia" w:hAnsiTheme="minorHAnsi" w:cstheme="minorBidi"/>
          <w:color w:val="auto"/>
          <w:sz w:val="22"/>
          <w:szCs w:val="22"/>
          <w:lang w:eastAsia="en-AU"/>
        </w:rPr>
        <w:tab/>
      </w:r>
      <w:r>
        <w:t xml:space="preserve">Error rates for projected contract completion rates by trade and non-trade occupations, </w:t>
      </w:r>
      <w:r w:rsidR="00234BEA">
        <w:br/>
      </w:r>
      <w:r w:rsidR="00234BEA">
        <w:tab/>
      </w:r>
      <w:r>
        <w:t>for annual cohorts commencing</w:t>
      </w:r>
      <w:r w:rsidR="00D0368E">
        <w:t xml:space="preserve"> </w:t>
      </w:r>
      <w:r>
        <w:t>2013</w:t>
      </w:r>
      <w:r w:rsidR="00D0368E">
        <w:t>−</w:t>
      </w:r>
      <w:r>
        <w:t>15</w:t>
      </w:r>
      <w:r>
        <w:tab/>
      </w:r>
      <w:r>
        <w:fldChar w:fldCharType="begin"/>
      </w:r>
      <w:r>
        <w:instrText xml:space="preserve"> PAGEREF _Toc75437724 \h </w:instrText>
      </w:r>
      <w:r>
        <w:fldChar w:fldCharType="separate"/>
      </w:r>
      <w:r w:rsidR="008A35C7">
        <w:t>16</w:t>
      </w:r>
      <w:r>
        <w:fldChar w:fldCharType="end"/>
      </w:r>
    </w:p>
    <w:p w14:paraId="6C090291" w14:textId="66996881" w:rsidR="00E06593" w:rsidRDefault="00E06593" w:rsidP="00234BEA">
      <w:pPr>
        <w:pStyle w:val="TableofFigures"/>
        <w:tabs>
          <w:tab w:val="clear" w:pos="6804"/>
          <w:tab w:val="left" w:pos="1140"/>
          <w:tab w:val="right" w:pos="8789"/>
        </w:tabs>
        <w:ind w:right="282"/>
        <w:rPr>
          <w:rFonts w:asciiTheme="minorHAnsi" w:eastAsiaTheme="minorEastAsia" w:hAnsiTheme="minorHAnsi" w:cstheme="minorBidi"/>
          <w:color w:val="auto"/>
          <w:sz w:val="22"/>
          <w:szCs w:val="22"/>
          <w:lang w:eastAsia="en-AU"/>
        </w:rPr>
      </w:pPr>
      <w:r>
        <w:t>A1</w:t>
      </w:r>
      <w:r>
        <w:rPr>
          <w:rFonts w:asciiTheme="minorHAnsi" w:eastAsiaTheme="minorEastAsia" w:hAnsiTheme="minorHAnsi" w:cstheme="minorBidi"/>
          <w:color w:val="auto"/>
          <w:sz w:val="22"/>
          <w:szCs w:val="22"/>
          <w:lang w:eastAsia="en-AU"/>
        </w:rPr>
        <w:tab/>
      </w:r>
      <w:r>
        <w:t>Examples of simple and complex separation of data categories</w:t>
      </w:r>
      <w:r>
        <w:tab/>
      </w:r>
      <w:r>
        <w:fldChar w:fldCharType="begin"/>
      </w:r>
      <w:r>
        <w:instrText xml:space="preserve"> PAGEREF _Toc75437725 \h </w:instrText>
      </w:r>
      <w:r>
        <w:fldChar w:fldCharType="separate"/>
      </w:r>
      <w:r w:rsidR="008A35C7">
        <w:t>25</w:t>
      </w:r>
      <w:r>
        <w:fldChar w:fldCharType="end"/>
      </w:r>
    </w:p>
    <w:p w14:paraId="0CCE5A5F" w14:textId="77777777" w:rsidR="00ED0C08" w:rsidRDefault="00ED0C08" w:rsidP="00234BEA">
      <w:pPr>
        <w:pStyle w:val="TableofFigures"/>
        <w:tabs>
          <w:tab w:val="clear" w:pos="6804"/>
          <w:tab w:val="right" w:pos="6946"/>
          <w:tab w:val="right" w:pos="7088"/>
          <w:tab w:val="right" w:pos="7230"/>
          <w:tab w:val="right" w:pos="7371"/>
          <w:tab w:val="right" w:pos="7655"/>
          <w:tab w:val="right" w:pos="7797"/>
          <w:tab w:val="right" w:pos="7938"/>
          <w:tab w:val="right" w:pos="8080"/>
          <w:tab w:val="right" w:pos="8222"/>
          <w:tab w:val="right" w:pos="8364"/>
          <w:tab w:val="right" w:pos="8505"/>
          <w:tab w:val="right" w:pos="8647"/>
          <w:tab w:val="right" w:pos="8789"/>
          <w:tab w:val="right" w:pos="8931"/>
        </w:tabs>
        <w:ind w:right="282"/>
      </w:pPr>
      <w:r>
        <w:fldChar w:fldCharType="end"/>
      </w:r>
    </w:p>
    <w:p w14:paraId="36D74597" w14:textId="77777777" w:rsidR="00234BEA" w:rsidRDefault="00234BEA">
      <w:pPr>
        <w:spacing w:before="0" w:line="240" w:lineRule="auto"/>
        <w:rPr>
          <w:rFonts w:ascii="Arial" w:hAnsi="Arial" w:cs="Tahoma"/>
          <w:color w:val="000000"/>
          <w:kern w:val="28"/>
          <w:sz w:val="48"/>
          <w:szCs w:val="56"/>
        </w:rPr>
      </w:pPr>
      <w:bookmarkStart w:id="31" w:name="_Toc78364744"/>
      <w:bookmarkStart w:id="32" w:name="_Toc316371585"/>
      <w:bookmarkEnd w:id="3"/>
      <w:bookmarkEnd w:id="4"/>
      <w:bookmarkEnd w:id="5"/>
      <w:bookmarkEnd w:id="6"/>
      <w:r>
        <w:br w:type="page"/>
      </w:r>
    </w:p>
    <w:p w14:paraId="7F39F7A0" w14:textId="3228FDE3" w:rsidR="00A9584E" w:rsidRDefault="00E10021" w:rsidP="00ED0C08">
      <w:pPr>
        <w:pStyle w:val="Heading1"/>
      </w:pPr>
      <w:r w:rsidRPr="00BE5DCB">
        <w:rPr>
          <w:noProof/>
          <w:lang w:eastAsia="en-AU"/>
        </w:rPr>
        <w:lastRenderedPageBreak/>
        <w:drawing>
          <wp:anchor distT="0" distB="0" distL="114300" distR="114300" simplePos="0" relativeHeight="252033024" behindDoc="1" locked="0" layoutInCell="1" allowOverlap="1" wp14:anchorId="69A0B1CC" wp14:editId="55B8729C">
            <wp:simplePos x="0" y="0"/>
            <wp:positionH relativeFrom="column">
              <wp:posOffset>-1270</wp:posOffset>
            </wp:positionH>
            <wp:positionV relativeFrom="paragraph">
              <wp:posOffset>0</wp:posOffset>
            </wp:positionV>
            <wp:extent cx="419100" cy="419100"/>
            <wp:effectExtent l="0" t="0" r="0" b="0"/>
            <wp:wrapTight wrapText="bothSides">
              <wp:wrapPolygon edited="0">
                <wp:start x="4909" y="0"/>
                <wp:lineTo x="0" y="4909"/>
                <wp:lineTo x="0" y="16691"/>
                <wp:lineTo x="4909" y="20618"/>
                <wp:lineTo x="5891" y="20618"/>
                <wp:lineTo x="14727" y="20618"/>
                <wp:lineTo x="15709" y="20618"/>
                <wp:lineTo x="20618" y="16691"/>
                <wp:lineTo x="20618" y="4909"/>
                <wp:lineTo x="15709" y="0"/>
                <wp:lineTo x="4909" y="0"/>
              </wp:wrapPolygon>
            </wp:wrapTight>
            <wp:docPr id="5" name="Picture 5" descr="P:\PublicationComponents\Icons\ExecutiveSummary.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PublicationComponents\Icons\ExecutiveSummary.emf"/>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a:ln>
                      <a:noFill/>
                    </a:ln>
                  </pic:spPr>
                </pic:pic>
              </a:graphicData>
            </a:graphic>
            <wp14:sizeRelH relativeFrom="page">
              <wp14:pctWidth>0</wp14:pctWidth>
            </wp14:sizeRelH>
            <wp14:sizeRelV relativeFrom="page">
              <wp14:pctHeight>0</wp14:pctHeight>
            </wp14:sizeRelV>
          </wp:anchor>
        </w:drawing>
      </w:r>
      <w:r w:rsidR="00C44B0C">
        <w:t>Introduction</w:t>
      </w:r>
      <w:bookmarkEnd w:id="31"/>
    </w:p>
    <w:p w14:paraId="43A40128" w14:textId="28BA6B3C" w:rsidR="00E90584" w:rsidRDefault="005E3EB3" w:rsidP="00E90584">
      <w:pPr>
        <w:pStyle w:val="Text"/>
      </w:pPr>
      <w:r w:rsidRPr="0006756D">
        <w:t xml:space="preserve">Completion rates for </w:t>
      </w:r>
      <w:r w:rsidR="00405FFF">
        <w:t xml:space="preserve">annual cohorts of </w:t>
      </w:r>
      <w:r w:rsidRPr="0006756D">
        <w:t>apprentice</w:t>
      </w:r>
      <w:r w:rsidR="00852C0A">
        <w:t>s</w:t>
      </w:r>
      <w:r w:rsidRPr="0006756D">
        <w:t xml:space="preserve"> and trainee</w:t>
      </w:r>
      <w:r w:rsidR="00405FFF">
        <w:t>s</w:t>
      </w:r>
      <w:r w:rsidRPr="0006756D">
        <w:t xml:space="preserve"> are published annually</w:t>
      </w:r>
      <w:r>
        <w:t xml:space="preserve"> by </w:t>
      </w:r>
      <w:r w:rsidR="00C80913">
        <w:t>the National Centre for Vocational Education Research (</w:t>
      </w:r>
      <w:r>
        <w:t>NCVER</w:t>
      </w:r>
      <w:r w:rsidR="00C80913">
        <w:t>)</w:t>
      </w:r>
      <w:r w:rsidRPr="0006756D">
        <w:t xml:space="preserve">. </w:t>
      </w:r>
      <w:r w:rsidR="002C2B4D">
        <w:t>Observed actual c</w:t>
      </w:r>
      <w:r w:rsidR="0076735C">
        <w:t>ompletion r</w:t>
      </w:r>
      <w:r w:rsidR="0076735C" w:rsidRPr="0006756D">
        <w:t xml:space="preserve">ates are calculated directly from the </w:t>
      </w:r>
      <w:r w:rsidR="003D76C5">
        <w:t xml:space="preserve">collected </w:t>
      </w:r>
      <w:r w:rsidR="0076735C" w:rsidRPr="0006756D">
        <w:t>data for</w:t>
      </w:r>
      <w:r w:rsidR="0076735C">
        <w:t xml:space="preserve"> </w:t>
      </w:r>
      <w:r w:rsidR="00405FFF">
        <w:t xml:space="preserve">annual </w:t>
      </w:r>
      <w:r w:rsidR="0076735C">
        <w:t>cohorts</w:t>
      </w:r>
      <w:r w:rsidR="00E51AE1">
        <w:t xml:space="preserve"> </w:t>
      </w:r>
      <w:r w:rsidR="008C1607">
        <w:t>who commenced</w:t>
      </w:r>
      <w:r w:rsidR="00E51AE1">
        <w:t xml:space="preserve"> </w:t>
      </w:r>
      <w:r w:rsidR="00E90584">
        <w:t>f</w:t>
      </w:r>
      <w:r w:rsidR="00411676">
        <w:t>our</w:t>
      </w:r>
      <w:r w:rsidR="00E51AE1">
        <w:t xml:space="preserve"> years</w:t>
      </w:r>
      <w:r w:rsidR="00405FFF">
        <w:t xml:space="preserve"> </w:t>
      </w:r>
      <w:r w:rsidR="00E90584">
        <w:t>or more before</w:t>
      </w:r>
      <w:r w:rsidR="00E51AE1">
        <w:t xml:space="preserve"> the year in which the publication is released</w:t>
      </w:r>
      <w:r w:rsidR="00411676">
        <w:t xml:space="preserve"> (five years or more for trade contracts)</w:t>
      </w:r>
      <w:r w:rsidR="0076735C">
        <w:t>.</w:t>
      </w:r>
      <w:r w:rsidR="00E90584">
        <w:t xml:space="preserve"> For example, the </w:t>
      </w:r>
      <w:r w:rsidR="00E90584" w:rsidRPr="00A43D52">
        <w:rPr>
          <w:i/>
          <w:iCs/>
        </w:rPr>
        <w:t>Completion and attrition rates for apprentices and trainees 2020</w:t>
      </w:r>
      <w:r w:rsidR="00E90584">
        <w:t xml:space="preserve"> publication</w:t>
      </w:r>
      <w:r w:rsidR="003D76C5">
        <w:t xml:space="preserve"> (</w:t>
      </w:r>
      <w:r w:rsidR="00E90584">
        <w:t>released in July 2021</w:t>
      </w:r>
      <w:r w:rsidR="003D76C5">
        <w:t>)</w:t>
      </w:r>
      <w:r w:rsidR="00E90584">
        <w:t xml:space="preserve"> </w:t>
      </w:r>
      <w:r w:rsidR="00E90584" w:rsidRPr="002C2B4D">
        <w:t>reports</w:t>
      </w:r>
      <w:r w:rsidR="00054FD1">
        <w:t xml:space="preserve"> the</w:t>
      </w:r>
      <w:r w:rsidR="00E90584" w:rsidRPr="00232591">
        <w:rPr>
          <w:i/>
          <w:iCs/>
        </w:rPr>
        <w:t xml:space="preserve"> </w:t>
      </w:r>
      <w:r w:rsidR="002C2B4D" w:rsidRPr="00232591">
        <w:rPr>
          <w:i/>
          <w:iCs/>
        </w:rPr>
        <w:t>observed actual</w:t>
      </w:r>
      <w:r w:rsidR="002C2B4D">
        <w:t xml:space="preserve"> </w:t>
      </w:r>
      <w:r w:rsidR="00E90584">
        <w:t>completion rates calculated for annual cohorts</w:t>
      </w:r>
      <w:r w:rsidR="002512D2">
        <w:t xml:space="preserve"> who</w:t>
      </w:r>
      <w:r w:rsidR="00E90584">
        <w:t xml:space="preserve"> commenc</w:t>
      </w:r>
      <w:r w:rsidR="00BB264F">
        <w:t xml:space="preserve">ed </w:t>
      </w:r>
      <w:r w:rsidR="00852C0A">
        <w:t>in</w:t>
      </w:r>
      <w:r w:rsidR="00BB264F">
        <w:t xml:space="preserve"> </w:t>
      </w:r>
      <w:r w:rsidR="00411676">
        <w:t>2014</w:t>
      </w:r>
      <w:r w:rsidR="00852C0A">
        <w:t>-</w:t>
      </w:r>
      <w:r w:rsidR="00E90584">
        <w:t>201</w:t>
      </w:r>
      <w:r w:rsidR="00411676">
        <w:t>7 for non-trade contracts and 2014</w:t>
      </w:r>
      <w:r w:rsidR="00852C0A">
        <w:t>-</w:t>
      </w:r>
      <w:r w:rsidR="00411676">
        <w:t>2016 for trade contracts</w:t>
      </w:r>
      <w:r w:rsidR="008E10EE">
        <w:t xml:space="preserve"> (NCVER 202</w:t>
      </w:r>
      <w:r w:rsidR="004C7C28">
        <w:t>1)</w:t>
      </w:r>
      <w:r w:rsidR="00E90584">
        <w:t>.</w:t>
      </w:r>
    </w:p>
    <w:p w14:paraId="2B09FF02" w14:textId="263A9637" w:rsidR="00405FFF" w:rsidRPr="00E90584" w:rsidRDefault="0076735C" w:rsidP="00E90584">
      <w:pPr>
        <w:pStyle w:val="Text"/>
      </w:pPr>
      <w:r>
        <w:t xml:space="preserve">For </w:t>
      </w:r>
      <w:r w:rsidR="00E90584">
        <w:t xml:space="preserve">more </w:t>
      </w:r>
      <w:r>
        <w:t xml:space="preserve">recent </w:t>
      </w:r>
      <w:r w:rsidR="00405FFF">
        <w:t>cohort</w:t>
      </w:r>
      <w:r>
        <w:t xml:space="preserve">s, </w:t>
      </w:r>
      <w:r w:rsidR="00E51AE1">
        <w:rPr>
          <w:rFonts w:cs="Arial"/>
          <w:color w:val="000000"/>
          <w:szCs w:val="22"/>
        </w:rPr>
        <w:t>NCVER calculates</w:t>
      </w:r>
      <w:r w:rsidR="006E6A12">
        <w:rPr>
          <w:rFonts w:cs="Arial"/>
          <w:color w:val="000000"/>
          <w:szCs w:val="22"/>
        </w:rPr>
        <w:t xml:space="preserve"> and reports</w:t>
      </w:r>
      <w:r w:rsidR="00E51AE1">
        <w:rPr>
          <w:rFonts w:cs="Arial"/>
          <w:color w:val="000000"/>
          <w:szCs w:val="22"/>
        </w:rPr>
        <w:t xml:space="preserve"> </w:t>
      </w:r>
      <w:r w:rsidR="00E51AE1" w:rsidRPr="00DE1CCE">
        <w:rPr>
          <w:rFonts w:cs="Arial"/>
          <w:i/>
          <w:iCs/>
          <w:color w:val="000000"/>
          <w:szCs w:val="22"/>
        </w:rPr>
        <w:t>project</w:t>
      </w:r>
      <w:r w:rsidR="001A405D">
        <w:rPr>
          <w:rFonts w:cs="Arial"/>
          <w:i/>
          <w:iCs/>
          <w:color w:val="000000"/>
          <w:szCs w:val="22"/>
        </w:rPr>
        <w:t>ed</w:t>
      </w:r>
      <w:r w:rsidR="00E51AE1">
        <w:rPr>
          <w:rFonts w:cs="Arial"/>
          <w:color w:val="000000"/>
          <w:szCs w:val="22"/>
        </w:rPr>
        <w:t xml:space="preserve"> c</w:t>
      </w:r>
      <w:r w:rsidR="00E51AE1" w:rsidRPr="00404300">
        <w:rPr>
          <w:rFonts w:cs="Arial"/>
          <w:color w:val="000000"/>
          <w:szCs w:val="22"/>
        </w:rPr>
        <w:t xml:space="preserve">ompletion rates </w:t>
      </w:r>
      <w:r w:rsidR="00E51AE1">
        <w:rPr>
          <w:rFonts w:cs="Arial"/>
          <w:color w:val="000000"/>
          <w:szCs w:val="22"/>
        </w:rPr>
        <w:t>by modelling recent historical data trends</w:t>
      </w:r>
      <w:r w:rsidR="00E51AE1" w:rsidRPr="00404300">
        <w:rPr>
          <w:rFonts w:cs="Arial"/>
          <w:color w:val="000000"/>
          <w:szCs w:val="22"/>
        </w:rPr>
        <w:t>.</w:t>
      </w:r>
      <w:r w:rsidR="00467A11">
        <w:rPr>
          <w:rFonts w:cs="Arial"/>
          <w:color w:val="000000"/>
          <w:szCs w:val="22"/>
        </w:rPr>
        <w:t xml:space="preserve"> Projected rates are necessary for recent years because it takes some time for training contracts to be completed</w:t>
      </w:r>
      <w:r w:rsidR="00E90584">
        <w:rPr>
          <w:rFonts w:cs="Arial"/>
          <w:color w:val="000000"/>
          <w:szCs w:val="22"/>
        </w:rPr>
        <w:t xml:space="preserve"> (or cancelled/withdrawn)</w:t>
      </w:r>
      <w:r w:rsidR="00467A11">
        <w:rPr>
          <w:rFonts w:cs="Arial"/>
          <w:color w:val="000000"/>
          <w:szCs w:val="22"/>
        </w:rPr>
        <w:t xml:space="preserve"> and for the outcomes to be reported </w:t>
      </w:r>
      <w:r w:rsidR="002C2B4D">
        <w:rPr>
          <w:rFonts w:cs="Arial"/>
          <w:color w:val="000000"/>
          <w:szCs w:val="22"/>
        </w:rPr>
        <w:t>to the</w:t>
      </w:r>
      <w:r w:rsidR="00467A11">
        <w:rPr>
          <w:rFonts w:cs="Arial"/>
          <w:color w:val="000000"/>
          <w:szCs w:val="22"/>
        </w:rPr>
        <w:t xml:space="preserve"> National Apprentice and Trainee </w:t>
      </w:r>
      <w:r w:rsidR="003D76C5">
        <w:rPr>
          <w:rFonts w:cs="Arial"/>
          <w:color w:val="000000"/>
          <w:szCs w:val="22"/>
        </w:rPr>
        <w:t>Collection</w:t>
      </w:r>
      <w:r w:rsidR="00467A11">
        <w:rPr>
          <w:rFonts w:cs="Arial"/>
          <w:color w:val="000000"/>
          <w:szCs w:val="22"/>
        </w:rPr>
        <w:t>.</w:t>
      </w:r>
      <w:r w:rsidR="00405FFF">
        <w:rPr>
          <w:rFonts w:cs="Arial"/>
          <w:color w:val="000000"/>
          <w:szCs w:val="22"/>
        </w:rPr>
        <w:t xml:space="preserve"> </w:t>
      </w:r>
      <w:r w:rsidR="002E37D3" w:rsidRPr="00404300">
        <w:rPr>
          <w:rFonts w:cs="Arial"/>
          <w:color w:val="000000"/>
          <w:szCs w:val="22"/>
        </w:rPr>
        <w:t xml:space="preserve">NCVER </w:t>
      </w:r>
      <w:r w:rsidR="006E6A12">
        <w:rPr>
          <w:rFonts w:cs="Arial"/>
          <w:color w:val="000000"/>
          <w:szCs w:val="22"/>
        </w:rPr>
        <w:t>currently</w:t>
      </w:r>
      <w:r w:rsidR="004F1AB4">
        <w:rPr>
          <w:rFonts w:cs="Arial"/>
          <w:color w:val="000000"/>
          <w:szCs w:val="22"/>
        </w:rPr>
        <w:t xml:space="preserve"> calculate</w:t>
      </w:r>
      <w:r w:rsidR="006E6A12">
        <w:rPr>
          <w:rFonts w:cs="Arial"/>
          <w:color w:val="000000"/>
          <w:szCs w:val="22"/>
        </w:rPr>
        <w:t>s</w:t>
      </w:r>
      <w:r w:rsidR="004F1AB4">
        <w:rPr>
          <w:rFonts w:cs="Arial"/>
          <w:color w:val="000000"/>
          <w:szCs w:val="22"/>
        </w:rPr>
        <w:t xml:space="preserve"> </w:t>
      </w:r>
      <w:r w:rsidR="00DE1CCE">
        <w:rPr>
          <w:rFonts w:cs="Arial"/>
          <w:color w:val="000000"/>
          <w:szCs w:val="22"/>
        </w:rPr>
        <w:t>completion rate</w:t>
      </w:r>
      <w:r w:rsidR="001A405D">
        <w:rPr>
          <w:rFonts w:cs="Arial"/>
          <w:color w:val="000000"/>
          <w:szCs w:val="22"/>
        </w:rPr>
        <w:t xml:space="preserve"> projections</w:t>
      </w:r>
      <w:r w:rsidR="004F1AB4">
        <w:rPr>
          <w:rFonts w:cs="Arial"/>
          <w:color w:val="000000"/>
          <w:szCs w:val="22"/>
        </w:rPr>
        <w:t xml:space="preserve"> for recent </w:t>
      </w:r>
      <w:r w:rsidR="004F1AB4" w:rsidRPr="00404300">
        <w:rPr>
          <w:rFonts w:cs="Arial"/>
          <w:color w:val="000000"/>
          <w:szCs w:val="22"/>
        </w:rPr>
        <w:t xml:space="preserve">commencing cohorts </w:t>
      </w:r>
      <w:r w:rsidR="003D76C5">
        <w:rPr>
          <w:rFonts w:cs="Arial"/>
          <w:color w:val="000000"/>
          <w:szCs w:val="22"/>
        </w:rPr>
        <w:t>us</w:t>
      </w:r>
      <w:r w:rsidR="006E6A12">
        <w:rPr>
          <w:rFonts w:cs="Arial"/>
          <w:color w:val="000000"/>
          <w:szCs w:val="22"/>
        </w:rPr>
        <w:t>ing</w:t>
      </w:r>
      <w:r w:rsidR="002E37D3" w:rsidRPr="00404300">
        <w:rPr>
          <w:rFonts w:cs="Arial"/>
          <w:color w:val="000000"/>
          <w:szCs w:val="22"/>
        </w:rPr>
        <w:t xml:space="preserve"> life table</w:t>
      </w:r>
      <w:r w:rsidR="004F1AB4">
        <w:rPr>
          <w:rFonts w:cs="Arial"/>
          <w:color w:val="000000"/>
          <w:szCs w:val="22"/>
        </w:rPr>
        <w:t>s</w:t>
      </w:r>
      <w:r w:rsidR="002E37D3" w:rsidRPr="00404300">
        <w:rPr>
          <w:rFonts w:cs="Arial"/>
          <w:color w:val="000000"/>
          <w:szCs w:val="22"/>
        </w:rPr>
        <w:t xml:space="preserve"> methodology.</w:t>
      </w:r>
    </w:p>
    <w:p w14:paraId="64777FF9" w14:textId="2DC6F2CC" w:rsidR="00F76718" w:rsidRDefault="006668CE" w:rsidP="00753FB6">
      <w:pPr>
        <w:pStyle w:val="Text"/>
        <w:rPr>
          <w:rFonts w:cs="Arial"/>
          <w:color w:val="000000"/>
          <w:szCs w:val="22"/>
        </w:rPr>
      </w:pPr>
      <w:r>
        <w:rPr>
          <w:rFonts w:cs="Arial"/>
          <w:color w:val="000000"/>
          <w:szCs w:val="22"/>
        </w:rPr>
        <w:t xml:space="preserve">This technical paper outlines </w:t>
      </w:r>
      <w:r w:rsidR="003D76C5">
        <w:rPr>
          <w:rFonts w:cs="Arial"/>
          <w:color w:val="000000"/>
          <w:szCs w:val="22"/>
        </w:rPr>
        <w:t xml:space="preserve">recent </w:t>
      </w:r>
      <w:r>
        <w:rPr>
          <w:rFonts w:cs="Arial"/>
          <w:color w:val="000000"/>
          <w:szCs w:val="22"/>
        </w:rPr>
        <w:t>e</w:t>
      </w:r>
      <w:r w:rsidR="004F1AB4">
        <w:rPr>
          <w:rFonts w:cs="Arial"/>
          <w:color w:val="000000"/>
          <w:szCs w:val="22"/>
        </w:rPr>
        <w:t xml:space="preserve">xploratory work </w:t>
      </w:r>
      <w:r>
        <w:rPr>
          <w:rFonts w:cs="Arial"/>
          <w:color w:val="000000"/>
          <w:szCs w:val="22"/>
        </w:rPr>
        <w:t xml:space="preserve">that </w:t>
      </w:r>
      <w:r w:rsidR="00E73280">
        <w:rPr>
          <w:rFonts w:cs="Arial"/>
          <w:color w:val="000000"/>
          <w:szCs w:val="22"/>
        </w:rPr>
        <w:t>was</w:t>
      </w:r>
      <w:r w:rsidR="004F1AB4">
        <w:rPr>
          <w:rFonts w:cs="Arial"/>
          <w:color w:val="000000"/>
          <w:szCs w:val="22"/>
        </w:rPr>
        <w:t xml:space="preserve"> conducted to evaluate </w:t>
      </w:r>
      <w:r w:rsidR="003D76C5">
        <w:rPr>
          <w:rFonts w:cs="Arial"/>
          <w:color w:val="000000"/>
          <w:szCs w:val="22"/>
        </w:rPr>
        <w:t xml:space="preserve">the effectiveness of </w:t>
      </w:r>
      <w:r w:rsidR="004F1AB4">
        <w:rPr>
          <w:rFonts w:cs="Arial"/>
          <w:color w:val="000000"/>
          <w:szCs w:val="22"/>
        </w:rPr>
        <w:t>t</w:t>
      </w:r>
      <w:r w:rsidR="00F76718" w:rsidRPr="00404300">
        <w:rPr>
          <w:rFonts w:cs="Arial"/>
          <w:color w:val="000000"/>
          <w:szCs w:val="22"/>
        </w:rPr>
        <w:t xml:space="preserve">wo alternative methodologies </w:t>
      </w:r>
      <w:r w:rsidR="003A45C8">
        <w:rPr>
          <w:rFonts w:cs="Arial"/>
          <w:color w:val="000000"/>
          <w:szCs w:val="22"/>
        </w:rPr>
        <w:t>for calculating</w:t>
      </w:r>
      <w:r w:rsidR="002C2B4D">
        <w:rPr>
          <w:rFonts w:cs="Arial"/>
          <w:color w:val="000000"/>
          <w:szCs w:val="22"/>
        </w:rPr>
        <w:t xml:space="preserve"> project completion rates for recent </w:t>
      </w:r>
      <w:r w:rsidR="002C2B4D" w:rsidRPr="00404300">
        <w:rPr>
          <w:rFonts w:cs="Arial"/>
          <w:color w:val="000000"/>
          <w:szCs w:val="22"/>
        </w:rPr>
        <w:t>commencing cohorts</w:t>
      </w:r>
      <w:r w:rsidR="00AB4F23">
        <w:rPr>
          <w:rFonts w:cs="Arial"/>
          <w:color w:val="000000"/>
          <w:szCs w:val="22"/>
        </w:rPr>
        <w:t>:</w:t>
      </w:r>
      <w:r w:rsidR="004F1AB4">
        <w:rPr>
          <w:rFonts w:cs="Arial"/>
          <w:color w:val="000000"/>
          <w:szCs w:val="22"/>
        </w:rPr>
        <w:t xml:space="preserve"> </w:t>
      </w:r>
      <w:r w:rsidR="00F76718" w:rsidRPr="00404300">
        <w:rPr>
          <w:rFonts w:cs="Arial"/>
          <w:color w:val="000000"/>
          <w:szCs w:val="22"/>
        </w:rPr>
        <w:t>Markov chain</w:t>
      </w:r>
      <w:r w:rsidR="004F1AB4">
        <w:rPr>
          <w:rFonts w:cs="Arial"/>
          <w:color w:val="000000"/>
          <w:szCs w:val="22"/>
        </w:rPr>
        <w:t>s</w:t>
      </w:r>
      <w:r w:rsidR="00F76718" w:rsidRPr="00404300">
        <w:rPr>
          <w:rFonts w:cs="Arial"/>
          <w:color w:val="000000"/>
          <w:szCs w:val="22"/>
        </w:rPr>
        <w:t xml:space="preserve"> (developed by NCVER) and machine learning (developed by the Australian Institute of Machine Learning).</w:t>
      </w:r>
    </w:p>
    <w:p w14:paraId="4C1A37A6" w14:textId="15AEE880" w:rsidR="00F76718" w:rsidRDefault="00F76718" w:rsidP="00753FB6">
      <w:pPr>
        <w:pStyle w:val="Text"/>
        <w:rPr>
          <w:rFonts w:cs="Arial"/>
          <w:color w:val="000000"/>
          <w:szCs w:val="22"/>
        </w:rPr>
      </w:pPr>
      <w:r>
        <w:rPr>
          <w:rFonts w:cs="Arial"/>
          <w:color w:val="000000"/>
          <w:szCs w:val="22"/>
        </w:rPr>
        <w:t>The purpose of this technical paper is to:</w:t>
      </w:r>
    </w:p>
    <w:p w14:paraId="2B226CF5" w14:textId="69B53DE5" w:rsidR="001F48BD" w:rsidRDefault="001F48BD" w:rsidP="00234BEA">
      <w:pPr>
        <w:pStyle w:val="Dotpoint1"/>
      </w:pPr>
      <w:r>
        <w:t>provide an introduction to completion rates for apprentices and trainees</w:t>
      </w:r>
    </w:p>
    <w:p w14:paraId="721A2600" w14:textId="2EE1D9EF" w:rsidR="00F76718" w:rsidRPr="00532024" w:rsidRDefault="00F76718" w:rsidP="00234BEA">
      <w:pPr>
        <w:pStyle w:val="Dotpoint1"/>
        <w:ind w:left="284" w:hanging="284"/>
      </w:pPr>
      <w:r w:rsidRPr="00532024">
        <w:t xml:space="preserve">provide an overview of </w:t>
      </w:r>
      <w:r w:rsidR="00B826C7" w:rsidRPr="00532024">
        <w:t xml:space="preserve">the </w:t>
      </w:r>
      <w:r w:rsidRPr="00532024">
        <w:t xml:space="preserve">three </w:t>
      </w:r>
      <w:r w:rsidR="004F1AB4" w:rsidRPr="00532024">
        <w:t>methodologies</w:t>
      </w:r>
      <w:r w:rsidR="001F48BD" w:rsidRPr="00532024">
        <w:t xml:space="preserve"> </w:t>
      </w:r>
      <w:r w:rsidR="007C338A">
        <w:t xml:space="preserve">whose performance </w:t>
      </w:r>
      <w:r w:rsidR="00A13525">
        <w:t>in</w:t>
      </w:r>
      <w:r w:rsidR="002C2B4D" w:rsidRPr="00532024">
        <w:t xml:space="preserve"> projecting </w:t>
      </w:r>
      <w:r w:rsidR="001F48BD" w:rsidRPr="00532024">
        <w:t>apprentice and trainee</w:t>
      </w:r>
      <w:r w:rsidR="002C2B4D" w:rsidRPr="00532024">
        <w:t xml:space="preserve"> completion rates</w:t>
      </w:r>
      <w:r w:rsidR="00A13525" w:rsidRPr="00A13525">
        <w:t xml:space="preserve"> </w:t>
      </w:r>
      <w:r w:rsidR="00A13525">
        <w:t>was</w:t>
      </w:r>
      <w:r w:rsidR="00A13525" w:rsidRPr="00532024">
        <w:t xml:space="preserve"> evaluated</w:t>
      </w:r>
    </w:p>
    <w:p w14:paraId="1680A5EA" w14:textId="1E2A8FBC" w:rsidR="004F1AB4" w:rsidRDefault="004F1AB4" w:rsidP="00234BEA">
      <w:pPr>
        <w:pStyle w:val="Dotpoint1"/>
        <w:ind w:left="284" w:hanging="284"/>
      </w:pPr>
      <w:r>
        <w:t xml:space="preserve">describe exploratory work </w:t>
      </w:r>
      <w:r w:rsidR="00A13525">
        <w:t>comparing</w:t>
      </w:r>
      <w:r>
        <w:t xml:space="preserve"> the performance of the three methodologies in projecting </w:t>
      </w:r>
      <w:r w:rsidR="0076735C">
        <w:t xml:space="preserve">contract </w:t>
      </w:r>
      <w:r>
        <w:t>completion rates for apprentices and trainees</w:t>
      </w:r>
    </w:p>
    <w:p w14:paraId="17A91471" w14:textId="31466C8A" w:rsidR="002C6BB2" w:rsidRDefault="00232591" w:rsidP="00234BEA">
      <w:pPr>
        <w:pStyle w:val="Dotpoint1"/>
      </w:pPr>
      <w:r>
        <w:t xml:space="preserve">compare </w:t>
      </w:r>
      <w:r w:rsidR="004F1AB4">
        <w:t>the relative strengths and limitations of the three methodologies</w:t>
      </w:r>
      <w:r w:rsidR="002C2B4D">
        <w:t xml:space="preserve"> evaluated</w:t>
      </w:r>
      <w:r w:rsidR="005E3EB3">
        <w:t>.</w:t>
      </w:r>
    </w:p>
    <w:p w14:paraId="7DBD9631" w14:textId="66853739" w:rsidR="001A405D" w:rsidRDefault="001A405D" w:rsidP="001A405D">
      <w:pPr>
        <w:pStyle w:val="Dotpoint2"/>
        <w:numPr>
          <w:ilvl w:val="0"/>
          <w:numId w:val="0"/>
        </w:numPr>
      </w:pPr>
      <w:r w:rsidRPr="00B22AEE">
        <w:t>Conceptually</w:t>
      </w:r>
      <w:r w:rsidRPr="006B5094">
        <w:t>, completion rates can be calculated for contracts</w:t>
      </w:r>
      <w:r w:rsidR="00145D81">
        <w:t xml:space="preserve"> </w:t>
      </w:r>
      <w:r w:rsidRPr="006B5094">
        <w:t xml:space="preserve">or individuals. The focus of this </w:t>
      </w:r>
      <w:r>
        <w:t>technical paper</w:t>
      </w:r>
      <w:r w:rsidRPr="006B5094">
        <w:t xml:space="preserve"> is on </w:t>
      </w:r>
      <w:r w:rsidR="00852C0A">
        <w:t>the former</w:t>
      </w:r>
      <w:r w:rsidRPr="006B5094">
        <w:t xml:space="preserve">. </w:t>
      </w:r>
      <w:r w:rsidR="00741E26">
        <w:t>The c</w:t>
      </w:r>
      <w:r>
        <w:t>omplexit</w:t>
      </w:r>
      <w:r w:rsidR="0076735C">
        <w:t>ies</w:t>
      </w:r>
      <w:r>
        <w:t xml:space="preserve"> a</w:t>
      </w:r>
      <w:r w:rsidR="00741E26">
        <w:t>ssociated with</w:t>
      </w:r>
      <w:r w:rsidR="0076735C">
        <w:t xml:space="preserve"> </w:t>
      </w:r>
      <w:r w:rsidR="002C2B4D">
        <w:t xml:space="preserve">the calculation of </w:t>
      </w:r>
      <w:r w:rsidR="0076735C">
        <w:t>completion rates</w:t>
      </w:r>
      <w:r w:rsidR="00145D81">
        <w:t xml:space="preserve"> for individuals</w:t>
      </w:r>
      <w:r w:rsidR="0076735C">
        <w:t>, as well as</w:t>
      </w:r>
      <w:r>
        <w:t xml:space="preserve"> the concept of attrition</w:t>
      </w:r>
      <w:r w:rsidR="0076735C">
        <w:t>,</w:t>
      </w:r>
      <w:r>
        <w:t xml:space="preserve"> </w:t>
      </w:r>
      <w:r w:rsidR="0076735C">
        <w:t>are</w:t>
      </w:r>
      <w:r>
        <w:t xml:space="preserve"> discussed briefly at the end of the report.</w:t>
      </w:r>
    </w:p>
    <w:p w14:paraId="58321BEA" w14:textId="1C4B9A28" w:rsidR="00E51AE1" w:rsidRDefault="00105705" w:rsidP="00E51AE1">
      <w:pPr>
        <w:pStyle w:val="Heading2"/>
      </w:pPr>
      <w:bookmarkStart w:id="33" w:name="_Toc78364745"/>
      <w:r>
        <w:t xml:space="preserve">The National Apprentice and Trainee </w:t>
      </w:r>
      <w:r w:rsidR="003D76C5">
        <w:t>Collection</w:t>
      </w:r>
      <w:bookmarkEnd w:id="33"/>
    </w:p>
    <w:p w14:paraId="574C984F" w14:textId="04D4E172" w:rsidR="000E4C7B" w:rsidRDefault="006668CE" w:rsidP="00753FB6">
      <w:pPr>
        <w:pStyle w:val="Text"/>
      </w:pPr>
      <w:r>
        <w:t>The National Apprentice and Trainee Collection contains</w:t>
      </w:r>
      <w:r w:rsidR="0076735C">
        <w:t xml:space="preserve"> data records that capture</w:t>
      </w:r>
      <w:r>
        <w:t xml:space="preserve"> the history of </w:t>
      </w:r>
      <w:r w:rsidR="003D76C5">
        <w:t xml:space="preserve">apprentice and trainee </w:t>
      </w:r>
      <w:r>
        <w:t>contracts of training. Data are submitted</w:t>
      </w:r>
      <w:r w:rsidR="002C2B4D">
        <w:t xml:space="preserve"> to NCVER</w:t>
      </w:r>
      <w:r>
        <w:t xml:space="preserve"> every quarter and contain the most recent information on the current and previous quarters (currently back to July 2011). These data include </w:t>
      </w:r>
      <w:r w:rsidR="0076735C">
        <w:t>information on</w:t>
      </w:r>
      <w:r w:rsidR="000E4C7B">
        <w:t>:</w:t>
      </w:r>
    </w:p>
    <w:p w14:paraId="415FD699" w14:textId="5E4E7BD4" w:rsidR="000E4C7B" w:rsidRDefault="006668CE" w:rsidP="00232591">
      <w:pPr>
        <w:pStyle w:val="Dotpoint1"/>
      </w:pPr>
      <w:r>
        <w:t>contract</w:t>
      </w:r>
      <w:r w:rsidR="000E4C7B">
        <w:t xml:space="preserve"> events (</w:t>
      </w:r>
      <w:r w:rsidR="003A23B9">
        <w:t>for example,</w:t>
      </w:r>
      <w:r w:rsidR="000E4C7B">
        <w:t xml:space="preserve"> when they</w:t>
      </w:r>
      <w:r>
        <w:t xml:space="preserve"> commence, </w:t>
      </w:r>
      <w:r w:rsidR="0076735C">
        <w:t>complete</w:t>
      </w:r>
      <w:r>
        <w:t xml:space="preserve"> or cancel/withdraw</w:t>
      </w:r>
      <w:r w:rsidR="000E4C7B">
        <w:t>)</w:t>
      </w:r>
    </w:p>
    <w:p w14:paraId="707B5795" w14:textId="0B2E5E1C" w:rsidR="000E4C7B" w:rsidRDefault="000E4C7B" w:rsidP="00232591">
      <w:pPr>
        <w:pStyle w:val="Dotpoint1"/>
      </w:pPr>
      <w:r>
        <w:t>the client (</w:t>
      </w:r>
      <w:r w:rsidR="003A23B9">
        <w:t>for example,</w:t>
      </w:r>
      <w:r>
        <w:t xml:space="preserve"> demographics)</w:t>
      </w:r>
    </w:p>
    <w:p w14:paraId="68828A7F" w14:textId="26E5404C" w:rsidR="000E4C7B" w:rsidRDefault="000E4C7B" w:rsidP="00232591">
      <w:pPr>
        <w:pStyle w:val="Dotpoint1"/>
      </w:pPr>
      <w:r>
        <w:t>the training (</w:t>
      </w:r>
      <w:r w:rsidR="00C94893">
        <w:t>for example,</w:t>
      </w:r>
      <w:r>
        <w:t xml:space="preserve"> </w:t>
      </w:r>
      <w:r w:rsidR="00405FFF">
        <w:t>the qualification being completed</w:t>
      </w:r>
      <w:r>
        <w:t>, level of education)</w:t>
      </w:r>
    </w:p>
    <w:p w14:paraId="790F8020" w14:textId="0B75CE26" w:rsidR="00F53279" w:rsidRDefault="000E4C7B" w:rsidP="00232591">
      <w:pPr>
        <w:pStyle w:val="Dotpoint1"/>
      </w:pPr>
      <w:r>
        <w:t>the employer (</w:t>
      </w:r>
      <w:r w:rsidR="00C94893">
        <w:t>for example,</w:t>
      </w:r>
      <w:r>
        <w:t xml:space="preserve"> </w:t>
      </w:r>
      <w:r w:rsidR="00D01944">
        <w:t>employer size</w:t>
      </w:r>
      <w:r w:rsidR="00C94893">
        <w:t>,</w:t>
      </w:r>
      <w:r w:rsidR="00D01944">
        <w:t xml:space="preserve"> based on </w:t>
      </w:r>
      <w:r w:rsidR="00F53279">
        <w:t>number of employees</w:t>
      </w:r>
      <w:r>
        <w:t>)</w:t>
      </w:r>
    </w:p>
    <w:p w14:paraId="5AF28913" w14:textId="0674C4B6" w:rsidR="000E4C7B" w:rsidRDefault="00F53279" w:rsidP="00232591">
      <w:pPr>
        <w:pStyle w:val="Dotpoint1"/>
      </w:pPr>
      <w:r>
        <w:t>the training provider (</w:t>
      </w:r>
      <w:r w:rsidR="00C94893">
        <w:t>for example,</w:t>
      </w:r>
      <w:r>
        <w:t xml:space="preserve"> type of provider)</w:t>
      </w:r>
      <w:r w:rsidR="006668CE">
        <w:t>.</w:t>
      </w:r>
    </w:p>
    <w:p w14:paraId="0DE67A16" w14:textId="741F6B6B" w:rsidR="006668CE" w:rsidRDefault="006668CE" w:rsidP="000E4C7B">
      <w:pPr>
        <w:pStyle w:val="Dotpoint2"/>
        <w:numPr>
          <w:ilvl w:val="0"/>
          <w:numId w:val="0"/>
        </w:numPr>
      </w:pPr>
      <w:r>
        <w:lastRenderedPageBreak/>
        <w:t>The data allow the grouping of contracts into cohorts</w:t>
      </w:r>
      <w:r w:rsidR="008E1402">
        <w:t>, which</w:t>
      </w:r>
      <w:r>
        <w:t xml:space="preserve"> can be based on year of commencement (the most common)</w:t>
      </w:r>
      <w:r w:rsidR="00246A26">
        <w:t xml:space="preserve"> and</w:t>
      </w:r>
      <w:r>
        <w:t xml:space="preserve"> quarter of commencement</w:t>
      </w:r>
      <w:r w:rsidR="00246A26">
        <w:t>,</w:t>
      </w:r>
      <w:r w:rsidR="00F53279">
        <w:t xml:space="preserve"> as well as </w:t>
      </w:r>
      <w:r>
        <w:t>other aggregations.</w:t>
      </w:r>
      <w:r w:rsidR="00DC1124">
        <w:t xml:space="preserve"> A particular aggregation of interest explored in this technical paper is </w:t>
      </w:r>
      <w:r w:rsidR="00282709">
        <w:t xml:space="preserve">that of </w:t>
      </w:r>
      <w:r w:rsidR="00DC1124">
        <w:t>trade occupations v</w:t>
      </w:r>
      <w:r w:rsidR="000F258C">
        <w:t>ersus</w:t>
      </w:r>
      <w:r w:rsidR="00DC1124">
        <w:t xml:space="preserve"> non-trade occupations</w:t>
      </w:r>
      <w:r w:rsidR="00246A26">
        <w:t>.</w:t>
      </w:r>
      <w:r w:rsidR="00DC1124">
        <w:rPr>
          <w:rStyle w:val="FootnoteReference"/>
        </w:rPr>
        <w:footnoteReference w:id="1"/>
      </w:r>
    </w:p>
    <w:p w14:paraId="2E1E4E60" w14:textId="2A3AA1F6" w:rsidR="006C215B" w:rsidRDefault="006C215B" w:rsidP="00753FB6">
      <w:pPr>
        <w:pStyle w:val="Text"/>
      </w:pPr>
      <w:r>
        <w:t xml:space="preserve">For a given cohort, the contracts can be further grouped </w:t>
      </w:r>
      <w:r w:rsidR="000E4C7B">
        <w:t>according to their status</w:t>
      </w:r>
      <w:r>
        <w:t>:</w:t>
      </w:r>
    </w:p>
    <w:p w14:paraId="3D8701E0" w14:textId="52E80644" w:rsidR="006C215B" w:rsidRDefault="003E17D1" w:rsidP="00D57A64">
      <w:pPr>
        <w:pStyle w:val="Dotpoint1"/>
      </w:pPr>
      <w:r>
        <w:t>t</w:t>
      </w:r>
      <w:r w:rsidR="006C215B">
        <w:t>erminated contracts</w:t>
      </w:r>
    </w:p>
    <w:p w14:paraId="399B219C" w14:textId="2ED50755" w:rsidR="006C215B" w:rsidRDefault="006C215B" w:rsidP="00D57A64">
      <w:pPr>
        <w:pStyle w:val="Dotpoint2"/>
      </w:pPr>
      <w:r>
        <w:t>completed contracts</w:t>
      </w:r>
    </w:p>
    <w:p w14:paraId="485D7622" w14:textId="3852C0CD" w:rsidR="006C215B" w:rsidRDefault="006C215B" w:rsidP="00D57A64">
      <w:pPr>
        <w:pStyle w:val="Dotpoint2"/>
      </w:pPr>
      <w:r>
        <w:t>cancelled/withdrawn contracts</w:t>
      </w:r>
    </w:p>
    <w:p w14:paraId="59BB5994" w14:textId="35F19BB3" w:rsidR="006C215B" w:rsidRDefault="003E17D1" w:rsidP="00D57A64">
      <w:pPr>
        <w:pStyle w:val="Dotpoint1"/>
      </w:pPr>
      <w:r>
        <w:t>u</w:t>
      </w:r>
      <w:r w:rsidR="006C215B">
        <w:t xml:space="preserve">nreported </w:t>
      </w:r>
      <w:r>
        <w:t>c</w:t>
      </w:r>
      <w:r w:rsidR="006C215B">
        <w:t>ontracts</w:t>
      </w:r>
    </w:p>
    <w:p w14:paraId="7FAC8900" w14:textId="46A3DBCC" w:rsidR="006C215B" w:rsidRPr="00D57A64" w:rsidRDefault="00F53279" w:rsidP="00D57A64">
      <w:pPr>
        <w:pStyle w:val="Dotpoint2"/>
      </w:pPr>
      <w:r w:rsidRPr="00D57A64">
        <w:t>l</w:t>
      </w:r>
      <w:r w:rsidR="006C215B" w:rsidRPr="00D57A64">
        <w:t>ive contracts</w:t>
      </w:r>
      <w:r w:rsidR="003E17D1">
        <w:t>:</w:t>
      </w:r>
      <w:r w:rsidR="006C215B" w:rsidRPr="00D57A64">
        <w:t xml:space="preserve"> those that have yet to pass their expected completion date</w:t>
      </w:r>
    </w:p>
    <w:p w14:paraId="656D00D9" w14:textId="67304F9C" w:rsidR="00877ACC" w:rsidRDefault="00F53279" w:rsidP="00877ACC">
      <w:pPr>
        <w:pStyle w:val="Dotpoint2"/>
      </w:pPr>
      <w:r w:rsidRPr="00D57A64">
        <w:t>e</w:t>
      </w:r>
      <w:r w:rsidR="006C215B" w:rsidRPr="00D57A64">
        <w:t>x</w:t>
      </w:r>
      <w:r w:rsidR="006C215B">
        <w:t>pired contracts</w:t>
      </w:r>
      <w:r w:rsidR="003E17D1">
        <w:t>:</w:t>
      </w:r>
      <w:r w:rsidR="006C215B">
        <w:t xml:space="preserve"> those that have passed their expected completion date</w:t>
      </w:r>
      <w:r w:rsidR="006C21FE">
        <w:t xml:space="preserve"> but have not reported a termination event</w:t>
      </w:r>
      <w:r w:rsidR="0032623F">
        <w:t>.</w:t>
      </w:r>
    </w:p>
    <w:p w14:paraId="00F4C922" w14:textId="73F76FBE" w:rsidR="0007783F" w:rsidRDefault="00B5639C" w:rsidP="0007783F">
      <w:pPr>
        <w:pStyle w:val="Dotpoint2"/>
        <w:numPr>
          <w:ilvl w:val="0"/>
          <w:numId w:val="0"/>
        </w:numPr>
      </w:pPr>
      <w:r>
        <w:t xml:space="preserve">Terms and </w:t>
      </w:r>
      <w:r w:rsidR="0007783F">
        <w:t>definitions</w:t>
      </w:r>
      <w:r>
        <w:t xml:space="preserve"> can be found on NCVER’s </w:t>
      </w:r>
      <w:r w:rsidR="0007783F" w:rsidRPr="0007783F">
        <w:rPr>
          <w:i/>
          <w:iCs/>
        </w:rPr>
        <w:t>Apprentices and trainees</w:t>
      </w:r>
      <w:r>
        <w:rPr>
          <w:i/>
          <w:iCs/>
        </w:rPr>
        <w:t xml:space="preserve"> collection </w:t>
      </w:r>
      <w:r w:rsidRPr="00E168B5">
        <w:t>page</w:t>
      </w:r>
      <w:r>
        <w:rPr>
          <w:rStyle w:val="FootnoteReference"/>
        </w:rPr>
        <w:footnoteReference w:id="2"/>
      </w:r>
      <w:r w:rsidR="0032623F">
        <w:t>.</w:t>
      </w:r>
    </w:p>
    <w:p w14:paraId="3DE0A464" w14:textId="77777777" w:rsidR="00877ACC" w:rsidRDefault="00877ACC" w:rsidP="00877ACC">
      <w:pPr>
        <w:pStyle w:val="Heading2"/>
      </w:pPr>
      <w:bookmarkStart w:id="34" w:name="_Toc78364746"/>
      <w:r>
        <w:t>Reporting and time delays</w:t>
      </w:r>
      <w:bookmarkEnd w:id="34"/>
    </w:p>
    <w:p w14:paraId="6E0F5CE7" w14:textId="66BBD4A0" w:rsidR="00877ACC" w:rsidRPr="00B466BC" w:rsidRDefault="00877ACC" w:rsidP="00877ACC">
      <w:pPr>
        <w:pStyle w:val="Text"/>
        <w:rPr>
          <w:rFonts w:cs="Arial"/>
          <w:color w:val="000000"/>
          <w:szCs w:val="22"/>
        </w:rPr>
      </w:pPr>
      <w:r>
        <w:rPr>
          <w:rFonts w:cs="Arial"/>
          <w:color w:val="000000"/>
          <w:szCs w:val="22"/>
        </w:rPr>
        <w:t xml:space="preserve">Information about contract events takes some time to appear in the National Apprentice and Trainee </w:t>
      </w:r>
      <w:r w:rsidR="00FB52EF" w:rsidRPr="00B466BC">
        <w:rPr>
          <w:rFonts w:cs="Arial"/>
          <w:color w:val="000000"/>
          <w:szCs w:val="22"/>
        </w:rPr>
        <w:t>C</w:t>
      </w:r>
      <w:r w:rsidRPr="00B466BC">
        <w:rPr>
          <w:rFonts w:cs="Arial"/>
          <w:color w:val="000000"/>
          <w:szCs w:val="22"/>
        </w:rPr>
        <w:t>ollection. T</w:t>
      </w:r>
      <w:r w:rsidR="003D30E0">
        <w:rPr>
          <w:rFonts w:cs="Arial"/>
          <w:color w:val="000000"/>
          <w:szCs w:val="22"/>
        </w:rPr>
        <w:t>he t</w:t>
      </w:r>
      <w:r w:rsidRPr="00B466BC">
        <w:rPr>
          <w:rFonts w:cs="Arial"/>
          <w:color w:val="000000"/>
          <w:szCs w:val="22"/>
        </w:rPr>
        <w:t>wo key reasons for this are:</w:t>
      </w:r>
    </w:p>
    <w:p w14:paraId="79A2192C" w14:textId="7FC1BC95" w:rsidR="00232591" w:rsidRPr="00B466BC" w:rsidRDefault="00451104" w:rsidP="00232591">
      <w:pPr>
        <w:pStyle w:val="Dotpoint1"/>
      </w:pPr>
      <w:r>
        <w:t>r</w:t>
      </w:r>
      <w:r w:rsidR="00232591" w:rsidRPr="00B466BC">
        <w:t>eporting delays: delays in reporting contract events to NCVER after they occur</w:t>
      </w:r>
    </w:p>
    <w:p w14:paraId="6FB6710F" w14:textId="51F63BB0" w:rsidR="00877ACC" w:rsidRPr="00B466BC" w:rsidRDefault="00451104" w:rsidP="001A5D34">
      <w:pPr>
        <w:pStyle w:val="Dotpoint1"/>
        <w:ind w:left="284" w:hanging="284"/>
      </w:pPr>
      <w:r>
        <w:t>t</w:t>
      </w:r>
      <w:r w:rsidR="00877ACC" w:rsidRPr="00B466BC">
        <w:t xml:space="preserve">ime delays: </w:t>
      </w:r>
      <w:r w:rsidR="00945245" w:rsidRPr="00B466BC">
        <w:t>following commencement, the time taken to either complete or cancel/withdraw from a contract</w:t>
      </w:r>
      <w:r w:rsidR="00232591" w:rsidRPr="00B466BC">
        <w:t>.</w:t>
      </w:r>
    </w:p>
    <w:p w14:paraId="036AFB7D" w14:textId="01C86CBD" w:rsidR="00877ACC" w:rsidRDefault="00877ACC" w:rsidP="00877ACC">
      <w:pPr>
        <w:pStyle w:val="Dotpoint2"/>
        <w:numPr>
          <w:ilvl w:val="0"/>
          <w:numId w:val="0"/>
        </w:numPr>
      </w:pPr>
      <w:r w:rsidRPr="00B466BC">
        <w:rPr>
          <w:rFonts w:cs="Arial"/>
          <w:szCs w:val="22"/>
        </w:rPr>
        <w:t>For example, suppose that a group of apprentices/trainees commence contracts of training with an expected duration of four years.</w:t>
      </w:r>
      <w:r w:rsidR="00232591" w:rsidRPr="00B466BC">
        <w:rPr>
          <w:rFonts w:cs="Arial"/>
          <w:szCs w:val="22"/>
        </w:rPr>
        <w:t xml:space="preserve"> All contract events, including commencements, take some time to be reported to NCVER and </w:t>
      </w:r>
      <w:r w:rsidR="00A7560E">
        <w:rPr>
          <w:rFonts w:cs="Arial"/>
          <w:szCs w:val="22"/>
        </w:rPr>
        <w:t xml:space="preserve">then </w:t>
      </w:r>
      <w:r w:rsidR="00232591" w:rsidRPr="00B466BC">
        <w:rPr>
          <w:rFonts w:cs="Arial"/>
          <w:szCs w:val="22"/>
        </w:rPr>
        <w:t xml:space="preserve">to appear in the National Apprentice and Trainee Collection. </w:t>
      </w:r>
      <w:r w:rsidR="00724098" w:rsidRPr="00B466BC">
        <w:rPr>
          <w:rFonts w:cs="Arial"/>
          <w:szCs w:val="22"/>
        </w:rPr>
        <w:t>T</w:t>
      </w:r>
      <w:r w:rsidR="00232591" w:rsidRPr="00B466BC">
        <w:rPr>
          <w:rFonts w:cs="Arial"/>
          <w:szCs w:val="22"/>
        </w:rPr>
        <w:t xml:space="preserve">his reporting delay </w:t>
      </w:r>
      <w:r w:rsidR="00A54804">
        <w:rPr>
          <w:rFonts w:cs="Arial"/>
          <w:szCs w:val="22"/>
        </w:rPr>
        <w:t>can be</w:t>
      </w:r>
      <w:r w:rsidR="00232591" w:rsidRPr="00B466BC">
        <w:rPr>
          <w:rFonts w:cs="Arial"/>
          <w:szCs w:val="22"/>
        </w:rPr>
        <w:t xml:space="preserve"> up to one year</w:t>
      </w:r>
      <w:r w:rsidR="00724098" w:rsidRPr="00B466BC">
        <w:rPr>
          <w:rFonts w:cs="Arial"/>
          <w:szCs w:val="22"/>
        </w:rPr>
        <w:t xml:space="preserve"> for completions and longer for cancellations/withdrawals</w:t>
      </w:r>
      <w:r w:rsidR="00232591" w:rsidRPr="00B466BC">
        <w:rPr>
          <w:rFonts w:cs="Arial"/>
          <w:szCs w:val="22"/>
        </w:rPr>
        <w:t>. In addition to report</w:t>
      </w:r>
      <w:r w:rsidR="00724098" w:rsidRPr="00B466BC">
        <w:rPr>
          <w:rFonts w:cs="Arial"/>
          <w:szCs w:val="22"/>
        </w:rPr>
        <w:t>ing</w:t>
      </w:r>
      <w:r w:rsidR="00232591" w:rsidRPr="00B466BC">
        <w:rPr>
          <w:rFonts w:cs="Arial"/>
          <w:szCs w:val="22"/>
        </w:rPr>
        <w:t xml:space="preserve"> delays, completions and cancellations/withdrawals will occur some</w:t>
      </w:r>
      <w:r w:rsidR="00724098" w:rsidRPr="00B466BC">
        <w:rPr>
          <w:rFonts w:cs="Arial"/>
          <w:szCs w:val="22"/>
        </w:rPr>
        <w:t xml:space="preserve"> period of </w:t>
      </w:r>
      <w:r w:rsidR="00232591" w:rsidRPr="00B466BC">
        <w:rPr>
          <w:rFonts w:cs="Arial"/>
          <w:szCs w:val="22"/>
        </w:rPr>
        <w:t xml:space="preserve">time after </w:t>
      </w:r>
      <w:r w:rsidR="00724098" w:rsidRPr="00B466BC">
        <w:rPr>
          <w:rFonts w:cs="Arial"/>
          <w:szCs w:val="22"/>
        </w:rPr>
        <w:t>they commenced</w:t>
      </w:r>
      <w:r w:rsidR="00232591" w:rsidRPr="00B466BC">
        <w:rPr>
          <w:rFonts w:cs="Arial"/>
          <w:szCs w:val="22"/>
        </w:rPr>
        <w:t>. For cancellations/withdrawals, the terminating event could occur at any time. For completions, i</w:t>
      </w:r>
      <w:r w:rsidRPr="00B466BC">
        <w:rPr>
          <w:rFonts w:cs="Arial"/>
          <w:szCs w:val="22"/>
        </w:rPr>
        <w:t xml:space="preserve">t is possible that some apprentices/trainees could complete their contract prior to the expected duration of four years (for example, </w:t>
      </w:r>
      <w:r w:rsidR="003C1908" w:rsidRPr="00B466BC">
        <w:rPr>
          <w:rFonts w:cs="Arial"/>
          <w:szCs w:val="22"/>
        </w:rPr>
        <w:t xml:space="preserve">if some are </w:t>
      </w:r>
      <w:r w:rsidRPr="00B466BC">
        <w:rPr>
          <w:rFonts w:cs="Arial"/>
          <w:szCs w:val="22"/>
        </w:rPr>
        <w:t>granted credit)</w:t>
      </w:r>
      <w:r w:rsidR="00D87924">
        <w:rPr>
          <w:rFonts w:cs="Arial"/>
          <w:szCs w:val="22"/>
        </w:rPr>
        <w:t>;</w:t>
      </w:r>
      <w:r w:rsidRPr="00B466BC">
        <w:rPr>
          <w:rFonts w:cs="Arial"/>
          <w:szCs w:val="22"/>
        </w:rPr>
        <w:t xml:space="preserve"> however, most of the completions will occur around four years later. A detailed discussion of reporting and time delays is described in the technical paper</w:t>
      </w:r>
      <w:r w:rsidR="00FB52EF" w:rsidRPr="00B466BC">
        <w:rPr>
          <w:rFonts w:cs="Arial"/>
          <w:szCs w:val="22"/>
        </w:rPr>
        <w:t>:</w:t>
      </w:r>
      <w:r w:rsidRPr="00B466BC">
        <w:rPr>
          <w:rFonts w:cs="Arial"/>
          <w:szCs w:val="22"/>
        </w:rPr>
        <w:t xml:space="preserve"> </w:t>
      </w:r>
      <w:r w:rsidRPr="00B466BC">
        <w:rPr>
          <w:rFonts w:cs="Arial"/>
          <w:i/>
          <w:iCs/>
          <w:szCs w:val="22"/>
        </w:rPr>
        <w:t>Estimation of apprentice and trainee statistics</w:t>
      </w:r>
      <w:r w:rsidR="00254952">
        <w:rPr>
          <w:rFonts w:cs="Arial"/>
          <w:i/>
          <w:iCs/>
          <w:szCs w:val="22"/>
        </w:rPr>
        <w:t xml:space="preserve"> </w:t>
      </w:r>
      <w:r w:rsidR="00254952">
        <w:rPr>
          <w:rFonts w:cs="Arial"/>
          <w:szCs w:val="22"/>
        </w:rPr>
        <w:t>(Harvey</w:t>
      </w:r>
      <w:r w:rsidR="00760B97">
        <w:rPr>
          <w:rFonts w:cs="Arial"/>
          <w:szCs w:val="22"/>
        </w:rPr>
        <w:t xml:space="preserve"> 2010)</w:t>
      </w:r>
      <w:r w:rsidRPr="00B466BC">
        <w:rPr>
          <w:rFonts w:cs="Arial"/>
          <w:szCs w:val="22"/>
        </w:rPr>
        <w:t>.</w:t>
      </w:r>
    </w:p>
    <w:p w14:paraId="4BFF7E4D" w14:textId="77777777" w:rsidR="00866255" w:rsidRDefault="00866255" w:rsidP="00866255">
      <w:pPr>
        <w:pStyle w:val="Heading2"/>
      </w:pPr>
      <w:bookmarkStart w:id="35" w:name="_Toc78364747"/>
      <w:r>
        <w:t>Unreported rates</w:t>
      </w:r>
      <w:bookmarkEnd w:id="35"/>
    </w:p>
    <w:p w14:paraId="0B7B8167" w14:textId="4F67A471" w:rsidR="00877ACC" w:rsidRDefault="00877ACC" w:rsidP="00C2481F">
      <w:pPr>
        <w:pStyle w:val="Text"/>
      </w:pPr>
      <w:r>
        <w:t>The reporting and time delays described above can be measured by looking at the unreported rate</w:t>
      </w:r>
      <w:r w:rsidR="00DA4289">
        <w:t>;</w:t>
      </w:r>
      <w:r>
        <w:t xml:space="preserve"> that is, the proportion of contracts </w:t>
      </w:r>
      <w:r w:rsidR="003C1908">
        <w:t>in</w:t>
      </w:r>
      <w:r>
        <w:t xml:space="preserve"> a commencing cohort </w:t>
      </w:r>
      <w:r w:rsidR="00BF66AF">
        <w:t>where</w:t>
      </w:r>
      <w:r>
        <w:t xml:space="preserve"> </w:t>
      </w:r>
      <w:r w:rsidR="00BF66AF">
        <w:t xml:space="preserve">a termination event </w:t>
      </w:r>
      <w:r>
        <w:t>ha</w:t>
      </w:r>
      <w:r w:rsidR="00BF66AF">
        <w:t>s</w:t>
      </w:r>
      <w:r>
        <w:t xml:space="preserve"> not yet </w:t>
      </w:r>
      <w:r w:rsidR="0092276D">
        <w:t xml:space="preserve">been </w:t>
      </w:r>
      <w:r>
        <w:t xml:space="preserve">reported. </w:t>
      </w:r>
    </w:p>
    <w:p w14:paraId="72B5C98B" w14:textId="1FA46ADD" w:rsidR="006C21FE" w:rsidRPr="00B466BC" w:rsidRDefault="00866255" w:rsidP="00C2481F">
      <w:pPr>
        <w:pStyle w:val="Text"/>
      </w:pPr>
      <w:r w:rsidRPr="006B5094">
        <w:lastRenderedPageBreak/>
        <w:t>Figure 1 shows</w:t>
      </w:r>
      <w:r w:rsidR="00C2481F">
        <w:t xml:space="preserve"> the unreported</w:t>
      </w:r>
      <w:r w:rsidR="00D31921">
        <w:t xml:space="preserve"> </w:t>
      </w:r>
      <w:r w:rsidRPr="006B5094">
        <w:t xml:space="preserve">rates for </w:t>
      </w:r>
      <w:r w:rsidR="0039283E">
        <w:t xml:space="preserve">annual cohorts of </w:t>
      </w:r>
      <w:r w:rsidRPr="006B5094">
        <w:t xml:space="preserve">contracts commencing </w:t>
      </w:r>
      <w:r w:rsidR="00CF1CF1">
        <w:t>between</w:t>
      </w:r>
      <w:r w:rsidRPr="006B5094">
        <w:t xml:space="preserve"> </w:t>
      </w:r>
      <w:r w:rsidR="00D31921">
        <w:t>2013</w:t>
      </w:r>
      <w:r w:rsidRPr="006B5094">
        <w:t xml:space="preserve"> </w:t>
      </w:r>
      <w:r w:rsidR="00CF1CF1">
        <w:t>and</w:t>
      </w:r>
      <w:r w:rsidRPr="006B5094">
        <w:t xml:space="preserve"> </w:t>
      </w:r>
      <w:r w:rsidR="00D31921">
        <w:t>2020</w:t>
      </w:r>
      <w:r w:rsidR="00D1265C">
        <w:t xml:space="preserve">, </w:t>
      </w:r>
      <w:r w:rsidR="0039283E">
        <w:t>separately for trade and non-trade cohorts, based on</w:t>
      </w:r>
      <w:r w:rsidR="00D1265C">
        <w:t xml:space="preserve"> the latest available data</w:t>
      </w:r>
      <w:r w:rsidRPr="006B5094">
        <w:t>.</w:t>
      </w:r>
      <w:r w:rsidR="00CD27C8">
        <w:t xml:space="preserve"> </w:t>
      </w:r>
      <w:r w:rsidR="006C21FE">
        <w:t xml:space="preserve">The unreported rate is </w:t>
      </w:r>
      <w:r w:rsidR="00DF26C1">
        <w:t>comprised</w:t>
      </w:r>
      <w:r w:rsidR="006C21FE">
        <w:t xml:space="preserve"> of expired </w:t>
      </w:r>
      <w:r w:rsidR="006C21FE" w:rsidRPr="00B466BC">
        <w:t>contracts (depicted by the dotted line) and live contracts</w:t>
      </w:r>
      <w:r w:rsidR="0039283E" w:rsidRPr="00B466BC">
        <w:t xml:space="preserve"> (not shown)</w:t>
      </w:r>
      <w:r w:rsidR="006C21FE" w:rsidRPr="00B466BC">
        <w:t>.</w:t>
      </w:r>
      <w:r w:rsidR="003C1908" w:rsidRPr="00B466BC">
        <w:t xml:space="preserve"> As can be seen from figure </w:t>
      </w:r>
      <w:r w:rsidR="00DF26C1">
        <w:t>1</w:t>
      </w:r>
      <w:r w:rsidR="003C1908" w:rsidRPr="00B466BC">
        <w:t>, expired rates comprise only a small fraction of the unreported rates.</w:t>
      </w:r>
    </w:p>
    <w:p w14:paraId="1C62DAB9" w14:textId="15595D81" w:rsidR="00133F01" w:rsidRDefault="00133F01" w:rsidP="00133F01">
      <w:pPr>
        <w:pStyle w:val="Figuretitle"/>
        <w:rPr>
          <w:noProof/>
        </w:rPr>
      </w:pPr>
      <w:bookmarkStart w:id="36" w:name="_Toc75437722"/>
      <w:r w:rsidRPr="00B466BC">
        <w:t>Figure 1</w:t>
      </w:r>
      <w:r w:rsidRPr="00B466BC">
        <w:tab/>
      </w:r>
      <w:r w:rsidR="00D1265C" w:rsidRPr="00B466BC">
        <w:t>Unreported</w:t>
      </w:r>
      <w:r w:rsidR="000D3131" w:rsidRPr="00B466BC">
        <w:t xml:space="preserve"> and expired</w:t>
      </w:r>
      <w:r w:rsidR="00D1265C" w:rsidRPr="00B466BC">
        <w:t xml:space="preserve"> rates for </w:t>
      </w:r>
      <w:r w:rsidR="00BA179B" w:rsidRPr="00B466BC">
        <w:t xml:space="preserve">annual trade and non-trade </w:t>
      </w:r>
      <w:r w:rsidR="00D1265C" w:rsidRPr="00B466BC">
        <w:t>cohorts</w:t>
      </w:r>
      <w:r w:rsidR="00BA179B" w:rsidRPr="00B466BC">
        <w:t>,</w:t>
      </w:r>
      <w:r w:rsidR="00D1265C" w:rsidRPr="00B466BC">
        <w:t xml:space="preserve"> commencing 2013</w:t>
      </w:r>
      <w:r w:rsidR="00CF1CF1">
        <w:rPr>
          <w:rFonts w:cs="Arial"/>
        </w:rPr>
        <w:t>−</w:t>
      </w:r>
      <w:r w:rsidR="00D1265C" w:rsidRPr="00B466BC">
        <w:t>20</w:t>
      </w:r>
      <w:r w:rsidR="00C676DC">
        <w:t xml:space="preserve"> (%)</w:t>
      </w:r>
      <w:bookmarkEnd w:id="36"/>
    </w:p>
    <w:p w14:paraId="23CA0720" w14:textId="729F652B" w:rsidR="0039283E" w:rsidRDefault="00746DE5" w:rsidP="00133F01">
      <w:pPr>
        <w:pStyle w:val="Source"/>
        <w:ind w:left="0" w:firstLine="0"/>
      </w:pPr>
      <w:r>
        <w:rPr>
          <w:noProof/>
        </w:rPr>
        <mc:AlternateContent>
          <mc:Choice Requires="wpg">
            <w:drawing>
              <wp:inline distT="0" distB="0" distL="0" distR="0" wp14:anchorId="67F90A3F" wp14:editId="0D270D95">
                <wp:extent cx="5505450" cy="3485925"/>
                <wp:effectExtent l="0" t="0" r="0" b="635"/>
                <wp:docPr id="2" name="Group 7"/>
                <wp:cNvGraphicFramePr/>
                <a:graphic xmlns:a="http://schemas.openxmlformats.org/drawingml/2006/main">
                  <a:graphicData uri="http://schemas.microsoft.com/office/word/2010/wordprocessingGroup">
                    <wpg:wgp>
                      <wpg:cNvGrpSpPr/>
                      <wpg:grpSpPr>
                        <a:xfrm>
                          <a:off x="0" y="0"/>
                          <a:ext cx="5505450" cy="3485925"/>
                          <a:chOff x="0" y="0"/>
                          <a:chExt cx="5505450" cy="3485925"/>
                        </a:xfrm>
                      </wpg:grpSpPr>
                      <wpg:graphicFrame>
                        <wpg:cNvPr id="8" name="Chart 8"/>
                        <wpg:cNvFrPr>
                          <a:graphicFrameLocks/>
                        </wpg:cNvFrPr>
                        <wpg:xfrm>
                          <a:off x="0" y="0"/>
                          <a:ext cx="5505450" cy="1800000"/>
                        </wpg:xfrm>
                        <a:graphic>
                          <a:graphicData uri="http://schemas.openxmlformats.org/drawingml/2006/chart">
                            <c:chart xmlns:c="http://schemas.openxmlformats.org/drawingml/2006/chart" xmlns:r="http://schemas.openxmlformats.org/officeDocument/2006/relationships" r:id="rId31"/>
                          </a:graphicData>
                        </a:graphic>
                      </wpg:graphicFrame>
                      <wpg:graphicFrame>
                        <wpg:cNvPr id="9" name="Chart 9"/>
                        <wpg:cNvFrPr>
                          <a:graphicFrameLocks/>
                        </wpg:cNvFrPr>
                        <wpg:xfrm>
                          <a:off x="0" y="1685925"/>
                          <a:ext cx="5505450" cy="1800000"/>
                        </wpg:xfrm>
                        <a:graphic>
                          <a:graphicData uri="http://schemas.openxmlformats.org/drawingml/2006/chart">
                            <c:chart xmlns:c="http://schemas.openxmlformats.org/drawingml/2006/chart" xmlns:r="http://schemas.openxmlformats.org/officeDocument/2006/relationships" r:id="rId32"/>
                          </a:graphicData>
                        </a:graphic>
                      </wpg:graphicFrame>
                    </wpg:wgp>
                  </a:graphicData>
                </a:graphic>
              </wp:inline>
            </w:drawing>
          </mc:Choice>
          <mc:Fallback>
            <w:pict>
              <v:group w14:anchorId="7D7EE666" id="Group 7" o:spid="_x0000_s1026" style="width:433.5pt;height:274.5pt;mso-position-horizontal-relative:char;mso-position-vertical-relative:line" coordsize="55054,34859" o:gfxdata="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Chart 8" o:spid="_x0000_s1027" type="#_x0000_t75" style="position:absolute;width:55046;height:1798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">
                  <v:imagedata r:id="rId33" o:title=""/>
                  <o:lock v:ext="edit" aspectratio="f"/>
                </v:shape>
                <v:shape id="Chart 9" o:spid="_x0000_s1028" type="#_x0000_t75" style="position:absolute;top:16824;width:55046;height:1804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">
                  <v:imagedata r:id="rId34" o:title=""/>
                  <o:lock v:ext="edit" aspectratio="f"/>
                </v:shape>
                <w10:anchorlock/>
              </v:group>
            </w:pict>
          </mc:Fallback>
        </mc:AlternateContent>
      </w:r>
    </w:p>
    <w:p w14:paraId="72B964F1" w14:textId="5842F3B8" w:rsidR="00133F01" w:rsidRDefault="00133F01" w:rsidP="00B92F26">
      <w:pPr>
        <w:pStyle w:val="Source"/>
        <w:spacing w:before="120"/>
        <w:ind w:left="0" w:firstLine="0"/>
      </w:pPr>
      <w:r>
        <w:t xml:space="preserve">Source: </w:t>
      </w:r>
      <w:r w:rsidR="0039283E">
        <w:t xml:space="preserve">National </w:t>
      </w:r>
      <w:r w:rsidR="00D1265C">
        <w:t xml:space="preserve">Apprentice and </w:t>
      </w:r>
      <w:r w:rsidR="0039283E">
        <w:t>T</w:t>
      </w:r>
      <w:r w:rsidR="00D1265C">
        <w:t xml:space="preserve">rainee </w:t>
      </w:r>
      <w:r w:rsidR="0039283E">
        <w:t>C</w:t>
      </w:r>
      <w:r w:rsidR="00D1265C">
        <w:t>ollection</w:t>
      </w:r>
      <w:r w:rsidR="001754B1">
        <w:t>, no.</w:t>
      </w:r>
      <w:r w:rsidR="00D1265C">
        <w:t>107 (March 2021 estimates)</w:t>
      </w:r>
      <w:r>
        <w:t>.</w:t>
      </w:r>
    </w:p>
    <w:p w14:paraId="04F526E7" w14:textId="3951F412" w:rsidR="0039283E" w:rsidRDefault="0039283E" w:rsidP="0039283E">
      <w:pPr>
        <w:pStyle w:val="Text"/>
      </w:pPr>
      <w:r>
        <w:t xml:space="preserve">The general trend for </w:t>
      </w:r>
      <w:r w:rsidR="002517DD">
        <w:t xml:space="preserve">the </w:t>
      </w:r>
      <w:r w:rsidR="003F06C6">
        <w:t>most recent commencing</w:t>
      </w:r>
      <w:r w:rsidR="00D55EDF">
        <w:t xml:space="preserve"> cohorts</w:t>
      </w:r>
      <w:r w:rsidR="00611E69">
        <w:t>,</w:t>
      </w:r>
      <w:r w:rsidR="003F06C6">
        <w:t xml:space="preserve"> </w:t>
      </w:r>
      <w:r w:rsidR="00611E69">
        <w:t xml:space="preserve">both </w:t>
      </w:r>
      <w:r>
        <w:t>trade and non-trade</w:t>
      </w:r>
      <w:r w:rsidR="00611E69">
        <w:t>,</w:t>
      </w:r>
      <w:r>
        <w:t xml:space="preserve"> is that the unreported rate is </w:t>
      </w:r>
      <w:r w:rsidR="00FE1F05">
        <w:t>high,</w:t>
      </w:r>
      <w:r w:rsidRPr="0039283E">
        <w:t xml:space="preserve"> </w:t>
      </w:r>
      <w:r w:rsidR="00611E69">
        <w:t>while</w:t>
      </w:r>
      <w:r w:rsidR="00FE1F05">
        <w:t xml:space="preserve"> the expired rate is low. </w:t>
      </w:r>
      <w:r w:rsidR="0024349D">
        <w:t>With</w:t>
      </w:r>
      <w:r>
        <w:t xml:space="preserve"> many contracts still active</w:t>
      </w:r>
      <w:r w:rsidR="0024349D">
        <w:t>,</w:t>
      </w:r>
      <w:r w:rsidR="00FE1F05">
        <w:t xml:space="preserve"> </w:t>
      </w:r>
      <w:r>
        <w:t>there has been little opportunity for terminating events to have been reported</w:t>
      </w:r>
      <w:r w:rsidR="00FE1F05">
        <w:t xml:space="preserve"> or for the expected completion date to have elapsed</w:t>
      </w:r>
      <w:r>
        <w:t>.</w:t>
      </w:r>
      <w:r w:rsidR="00FE1F05">
        <w:t xml:space="preserve"> </w:t>
      </w:r>
      <w:r>
        <w:t xml:space="preserve">For example, </w:t>
      </w:r>
      <w:r w:rsidR="00FE1F05">
        <w:t>for</w:t>
      </w:r>
      <w:r>
        <w:t xml:space="preserve"> the </w:t>
      </w:r>
      <w:r w:rsidR="00FE1F05">
        <w:t xml:space="preserve">contracts that commenced </w:t>
      </w:r>
      <w:r>
        <w:t>in 2020</w:t>
      </w:r>
      <w:r w:rsidR="00FE1F05">
        <w:t xml:space="preserve"> (trade and non-trade co</w:t>
      </w:r>
      <w:r w:rsidR="002B405B">
        <w:t>mbined</w:t>
      </w:r>
      <w:r w:rsidR="00FE1F05">
        <w:t>)</w:t>
      </w:r>
      <w:r>
        <w:t xml:space="preserve">, </w:t>
      </w:r>
      <w:r w:rsidR="00FE1F05">
        <w:t xml:space="preserve">only </w:t>
      </w:r>
      <w:r>
        <w:t>20</w:t>
      </w:r>
      <w:r w:rsidR="005A20B2">
        <w:t>.3</w:t>
      </w:r>
      <w:r>
        <w:t>% had reported a terminating event by March 2021 and less than 0.</w:t>
      </w:r>
      <w:r w:rsidR="005A20B2">
        <w:t>2</w:t>
      </w:r>
      <w:r>
        <w:t>% of contracts had expired</w:t>
      </w:r>
      <w:r w:rsidR="00D55EDF">
        <w:t>.</w:t>
      </w:r>
    </w:p>
    <w:p w14:paraId="2AE8E6FB" w14:textId="491DC1CD" w:rsidR="00784F86" w:rsidRDefault="0039283E" w:rsidP="0039283E">
      <w:pPr>
        <w:pStyle w:val="Text"/>
      </w:pPr>
      <w:r>
        <w:t xml:space="preserve">The unreported rate drops for cohorts </w:t>
      </w:r>
      <w:r w:rsidR="002B405B">
        <w:t>who</w:t>
      </w:r>
      <w:r>
        <w:t xml:space="preserve"> commenced in earlier years </w:t>
      </w:r>
      <w:r w:rsidR="00784F86">
        <w:t>because more time has passed</w:t>
      </w:r>
      <w:r w:rsidR="00C93C19">
        <w:t>, allowing</w:t>
      </w:r>
      <w:r w:rsidR="00784F86">
        <w:t xml:space="preserve"> contracts to have reached a terminating event (completion or cancellation/withdrawal) and for those terminating events to have been reported</w:t>
      </w:r>
      <w:r>
        <w:t>.</w:t>
      </w:r>
      <w:r w:rsidR="00784F86">
        <w:t xml:space="preserve"> The expired rate increases as the unreported rate drops off as some contracts reach their expected completion date but fail to report a terminating event.</w:t>
      </w:r>
    </w:p>
    <w:p w14:paraId="6E2DB707" w14:textId="756D350F" w:rsidR="00C2481F" w:rsidRPr="006B5094" w:rsidRDefault="006C21FE" w:rsidP="00D0268E">
      <w:pPr>
        <w:pStyle w:val="Text"/>
      </w:pPr>
      <w:r>
        <w:t>T</w:t>
      </w:r>
      <w:r w:rsidR="00D1265C">
        <w:t>he rate of unreported contracts stabilise</w:t>
      </w:r>
      <w:r>
        <w:t>s</w:t>
      </w:r>
      <w:r w:rsidR="00D1265C">
        <w:t xml:space="preserve"> </w:t>
      </w:r>
      <w:r w:rsidR="00784F86">
        <w:t xml:space="preserve">after </w:t>
      </w:r>
      <w:r w:rsidR="009F04E1">
        <w:t>four</w:t>
      </w:r>
      <w:r w:rsidR="00784F86">
        <w:t xml:space="preserve"> years for trade contracts and after </w:t>
      </w:r>
      <w:r w:rsidR="009F04E1">
        <w:t>three</w:t>
      </w:r>
      <w:r>
        <w:t xml:space="preserve"> years </w:t>
      </w:r>
      <w:r w:rsidR="00784F86">
        <w:t>for non-trade contracts</w:t>
      </w:r>
      <w:r>
        <w:t xml:space="preserve">. </w:t>
      </w:r>
      <w:r w:rsidR="00784F86">
        <w:t xml:space="preserve">For example, </w:t>
      </w:r>
      <w:r>
        <w:t>based on the March 2021 data collection</w:t>
      </w:r>
      <w:r w:rsidR="00877ACC">
        <w:t xml:space="preserve">, which includes data to the end of December 2020, the unreported rate has stabilised for the cohort of trade contracts </w:t>
      </w:r>
      <w:r w:rsidR="009F04E1">
        <w:t>who</w:t>
      </w:r>
      <w:r w:rsidR="00877ACC">
        <w:t xml:space="preserve"> commenced in 2016 and for the cohort of non-trade cohorts </w:t>
      </w:r>
      <w:r w:rsidR="00C94AEC">
        <w:t>who</w:t>
      </w:r>
      <w:r w:rsidR="00877ACC">
        <w:t xml:space="preserve"> commenced in 2017</w:t>
      </w:r>
      <w:r w:rsidR="00146B86">
        <w:t xml:space="preserve"> (figure 1)</w:t>
      </w:r>
      <w:r w:rsidR="001E237A">
        <w:t>.</w:t>
      </w:r>
      <w:r w:rsidR="00877ACC">
        <w:t xml:space="preserve"> </w:t>
      </w:r>
      <w:r w:rsidR="00866255" w:rsidRPr="006B5094">
        <w:t>The primary reason for this di</w:t>
      </w:r>
      <w:r w:rsidR="00411676">
        <w:t>fference</w:t>
      </w:r>
      <w:r w:rsidR="00866255" w:rsidRPr="006B5094">
        <w:t xml:space="preserve"> is that trade contracts</w:t>
      </w:r>
      <w:r w:rsidR="00097613">
        <w:t xml:space="preserve"> tend to have</w:t>
      </w:r>
      <w:r w:rsidR="00866255" w:rsidRPr="006B5094">
        <w:t xml:space="preserve"> longer durations than non-trade </w:t>
      </w:r>
      <w:r w:rsidR="00097613">
        <w:t>contracts</w:t>
      </w:r>
      <w:r w:rsidR="00C94AEC">
        <w:t>, which explains</w:t>
      </w:r>
      <w:r w:rsidR="00866255" w:rsidRPr="006B5094">
        <w:t xml:space="preserve"> </w:t>
      </w:r>
      <w:r w:rsidR="00B26537">
        <w:t>why</w:t>
      </w:r>
      <w:r w:rsidR="00B26537" w:rsidRPr="006B5094">
        <w:t xml:space="preserve"> NCVER’s completion rates publication has historically calculated completion rates one year more for non-trade contracts than for trade contracts.</w:t>
      </w:r>
    </w:p>
    <w:p w14:paraId="6F1A4C27" w14:textId="180790CD" w:rsidR="00866255" w:rsidRDefault="00866255" w:rsidP="00866255">
      <w:pPr>
        <w:pStyle w:val="Heading2"/>
      </w:pPr>
      <w:bookmarkStart w:id="37" w:name="_Toc78364748"/>
      <w:r>
        <w:t>Completion rates</w:t>
      </w:r>
      <w:bookmarkEnd w:id="37"/>
    </w:p>
    <w:p w14:paraId="7D33BE83" w14:textId="150F6C4B" w:rsidR="00286562" w:rsidRDefault="00286562" w:rsidP="00747CAE">
      <w:pPr>
        <w:pStyle w:val="Text"/>
      </w:pPr>
      <w:r>
        <w:t xml:space="preserve">A </w:t>
      </w:r>
      <w:r w:rsidR="00097613">
        <w:t xml:space="preserve">completion rate </w:t>
      </w:r>
      <w:r>
        <w:t>is essentially</w:t>
      </w:r>
      <w:r w:rsidR="00097613">
        <w:t xml:space="preserve"> the proportion of all contracts in </w:t>
      </w:r>
      <w:r>
        <w:t>a</w:t>
      </w:r>
      <w:r w:rsidR="00097613">
        <w:t xml:space="preserve"> cohort reported as terminated with completion. </w:t>
      </w:r>
    </w:p>
    <w:p w14:paraId="31CA6905" w14:textId="1AA6F650" w:rsidR="00E90AD6" w:rsidRDefault="00747CAE" w:rsidP="00747CAE">
      <w:pPr>
        <w:pStyle w:val="Text"/>
      </w:pPr>
      <w:r>
        <w:rPr>
          <w:rFonts w:cs="Arial"/>
          <w:color w:val="000000"/>
          <w:szCs w:val="22"/>
        </w:rPr>
        <w:lastRenderedPageBreak/>
        <w:t xml:space="preserve">Completion rates </w:t>
      </w:r>
      <w:r w:rsidR="00904EF2">
        <w:rPr>
          <w:rFonts w:cs="Arial"/>
          <w:color w:val="000000"/>
          <w:szCs w:val="22"/>
        </w:rPr>
        <w:t>are</w:t>
      </w:r>
      <w:r>
        <w:rPr>
          <w:rFonts w:cs="Arial"/>
          <w:color w:val="000000"/>
          <w:szCs w:val="22"/>
        </w:rPr>
        <w:t xml:space="preserve"> calculated directly from the data </w:t>
      </w:r>
      <w:r w:rsidR="00904EF2">
        <w:rPr>
          <w:rFonts w:cs="Arial"/>
          <w:color w:val="000000"/>
          <w:szCs w:val="22"/>
        </w:rPr>
        <w:t>for cohorts wh</w:t>
      </w:r>
      <w:r w:rsidR="008C28CA">
        <w:rPr>
          <w:rFonts w:cs="Arial"/>
          <w:color w:val="000000"/>
          <w:szCs w:val="22"/>
        </w:rPr>
        <w:t>ose</w:t>
      </w:r>
      <w:r w:rsidR="00E90AD6">
        <w:rPr>
          <w:rFonts w:cs="Arial"/>
          <w:color w:val="000000"/>
          <w:szCs w:val="22"/>
        </w:rPr>
        <w:t xml:space="preserve"> </w:t>
      </w:r>
      <w:r>
        <w:rPr>
          <w:rFonts w:cs="Arial"/>
          <w:color w:val="000000"/>
          <w:szCs w:val="22"/>
        </w:rPr>
        <w:t xml:space="preserve">contracts have passed their expected date of completion and sufficient time has passed for </w:t>
      </w:r>
      <w:r w:rsidRPr="00F76718">
        <w:t>the outcomes of the contracts</w:t>
      </w:r>
      <w:r>
        <w:t xml:space="preserve"> to</w:t>
      </w:r>
      <w:r w:rsidRPr="00F76718">
        <w:t xml:space="preserve"> have been reported to NCVER</w:t>
      </w:r>
      <w:r>
        <w:t>.</w:t>
      </w:r>
      <w:r w:rsidR="00904EF2">
        <w:t xml:space="preserve"> </w:t>
      </w:r>
      <w:r w:rsidR="00056022">
        <w:t xml:space="preserve">In our example, </w:t>
      </w:r>
      <w:r w:rsidR="00A52A83">
        <w:t>b</w:t>
      </w:r>
      <w:r w:rsidR="00904EF2">
        <w:t xml:space="preserve">ased on </w:t>
      </w:r>
      <w:r w:rsidR="00A52A83">
        <w:t xml:space="preserve">the </w:t>
      </w:r>
      <w:r w:rsidR="00904EF2">
        <w:t xml:space="preserve">data available in </w:t>
      </w:r>
      <w:r w:rsidR="00FE1F05">
        <w:t xml:space="preserve">the March </w:t>
      </w:r>
      <w:r w:rsidR="00904EF2">
        <w:t>2021</w:t>
      </w:r>
      <w:r w:rsidR="00FE1F05">
        <w:t xml:space="preserve"> collection</w:t>
      </w:r>
      <w:r w:rsidR="00904EF2">
        <w:t xml:space="preserve">, </w:t>
      </w:r>
      <w:r w:rsidR="00286562" w:rsidRPr="00746DE5">
        <w:rPr>
          <w:i/>
          <w:iCs/>
        </w:rPr>
        <w:t xml:space="preserve">observed actual </w:t>
      </w:r>
      <w:r w:rsidR="00904EF2">
        <w:t xml:space="preserve">rates </w:t>
      </w:r>
      <w:r w:rsidR="00286562">
        <w:t>are</w:t>
      </w:r>
      <w:r w:rsidR="00904EF2">
        <w:t xml:space="preserve"> calculated directly from the data for cohorts commencing in 2016 and earlier.</w:t>
      </w:r>
    </w:p>
    <w:p w14:paraId="5CEA9A87" w14:textId="0FB7CB46" w:rsidR="00105705" w:rsidRDefault="00E90AD6" w:rsidP="00746FF7">
      <w:pPr>
        <w:pStyle w:val="Text"/>
      </w:pPr>
      <w:r>
        <w:t xml:space="preserve">However, </w:t>
      </w:r>
      <w:r w:rsidRPr="0006756D">
        <w:t xml:space="preserve">completion rates calculated directly from the data are unreliable </w:t>
      </w:r>
      <w:r>
        <w:t>for recent commencing cohorts</w:t>
      </w:r>
      <w:r w:rsidR="007438A5">
        <w:t>,</w:t>
      </w:r>
      <w:r>
        <w:t xml:space="preserve"> where </w:t>
      </w:r>
      <w:r w:rsidRPr="0006756D">
        <w:t xml:space="preserve">the </w:t>
      </w:r>
      <w:r>
        <w:t>unreported rate</w:t>
      </w:r>
      <w:r w:rsidRPr="0006756D">
        <w:t xml:space="preserve"> </w:t>
      </w:r>
      <w:r>
        <w:t>is still</w:t>
      </w:r>
      <w:r w:rsidRPr="0006756D">
        <w:t xml:space="preserve"> high.</w:t>
      </w:r>
      <w:r>
        <w:t xml:space="preserve"> </w:t>
      </w:r>
      <w:r w:rsidR="006C215B">
        <w:t xml:space="preserve">This is because it is </w:t>
      </w:r>
      <w:r w:rsidR="003D7ABE">
        <w:t>still</w:t>
      </w:r>
      <w:r w:rsidR="006C215B">
        <w:t xml:space="preserve"> </w:t>
      </w:r>
      <w:r w:rsidR="003D7ABE">
        <w:t>un</w:t>
      </w:r>
      <w:r w:rsidR="006C215B">
        <w:t xml:space="preserve">known how many live contracts will </w:t>
      </w:r>
      <w:r w:rsidR="00E90584">
        <w:t>eventually</w:t>
      </w:r>
      <w:r w:rsidR="006C215B">
        <w:t xml:space="preserve"> report a completion once their expected term has come to an end.</w:t>
      </w:r>
      <w:r w:rsidR="00904EF2">
        <w:t xml:space="preserve"> For these cohorts, </w:t>
      </w:r>
      <w:r w:rsidR="008127BD">
        <w:t xml:space="preserve">a </w:t>
      </w:r>
      <w:r w:rsidR="00904EF2">
        <w:t xml:space="preserve">projection methodology can be applied to provide an indication of the likely completion rate. </w:t>
      </w:r>
      <w:r w:rsidR="00140C33">
        <w:t>Projection methodologies are</w:t>
      </w:r>
      <w:r w:rsidR="00904EF2">
        <w:t xml:space="preserve"> explored in the following section.</w:t>
      </w:r>
    </w:p>
    <w:p w14:paraId="3E9DA8EC" w14:textId="6876EFE2" w:rsidR="00286562" w:rsidRDefault="00286562" w:rsidP="00746FF7">
      <w:pPr>
        <w:pStyle w:val="Text"/>
      </w:pPr>
      <w:r>
        <w:t xml:space="preserve">NCVER’s annual completion and attrition rates publication </w:t>
      </w:r>
      <w:r w:rsidR="00BE1C4E">
        <w:t xml:space="preserve">is based on </w:t>
      </w:r>
      <w:r w:rsidRPr="0006756D">
        <w:t xml:space="preserve">March quarter </w:t>
      </w:r>
      <w:r w:rsidR="00BE1C4E">
        <w:t xml:space="preserve">data </w:t>
      </w:r>
      <w:r w:rsidRPr="0006756D">
        <w:t xml:space="preserve">of the following year. For example, the publication </w:t>
      </w:r>
      <w:r w:rsidR="005D3CBB">
        <w:t>recording</w:t>
      </w:r>
      <w:r w:rsidRPr="0006756D">
        <w:t xml:space="preserve"> 20</w:t>
      </w:r>
      <w:r>
        <w:t>20</w:t>
      </w:r>
      <w:r w:rsidRPr="0006756D">
        <w:t xml:space="preserve"> </w:t>
      </w:r>
      <w:r w:rsidR="00BE1C4E">
        <w:t xml:space="preserve">completion and attrition rates </w:t>
      </w:r>
      <w:r w:rsidRPr="0006756D">
        <w:t xml:space="preserve">(released in </w:t>
      </w:r>
      <w:r>
        <w:t xml:space="preserve">July </w:t>
      </w:r>
      <w:r w:rsidRPr="0006756D">
        <w:t>20</w:t>
      </w:r>
      <w:r>
        <w:t>21</w:t>
      </w:r>
      <w:r w:rsidRPr="0006756D">
        <w:t>) was produced using data from the March 20</w:t>
      </w:r>
      <w:r>
        <w:t>21</w:t>
      </w:r>
      <w:r w:rsidRPr="0006756D">
        <w:t xml:space="preserve"> collection. </w:t>
      </w:r>
      <w:r>
        <w:t xml:space="preserve">Using the March quarter data allows extra time for information to be reported and mitigates, to some extent, the effect of reporting delays in the collection. The base population for the calculation of rates for any given year is the cohort of contracts </w:t>
      </w:r>
      <w:r w:rsidR="005D3CBB">
        <w:t>who</w:t>
      </w:r>
      <w:r>
        <w:t xml:space="preserve"> commenced training in that year. Rates can also be calculated for subcategories of the data (</w:t>
      </w:r>
      <w:r w:rsidR="003F0321">
        <w:t>for example,</w:t>
      </w:r>
      <w:r>
        <w:t xml:space="preserve"> trade occupations, non-trade occupations).</w:t>
      </w:r>
    </w:p>
    <w:p w14:paraId="0548D93C" w14:textId="67C8389C" w:rsidR="00C2481F" w:rsidRDefault="001E2943" w:rsidP="00C2481F">
      <w:pPr>
        <w:pStyle w:val="Text"/>
      </w:pPr>
      <w:r>
        <w:t>The following is a summa</w:t>
      </w:r>
      <w:r w:rsidR="00EE1F46">
        <w:t>ry of the information given above:</w:t>
      </w:r>
    </w:p>
    <w:p w14:paraId="16A1FE5F" w14:textId="60B8B050" w:rsidR="00140C33" w:rsidRDefault="00EE1F46" w:rsidP="00BE74C0">
      <w:pPr>
        <w:pStyle w:val="Dotpoint1"/>
        <w:ind w:left="284" w:hanging="284"/>
      </w:pPr>
      <w:r>
        <w:t>R</w:t>
      </w:r>
      <w:r w:rsidR="00140C33">
        <w:t xml:space="preserve">eliable completion rates can only be calculated directly from the data when the unreported rate has fallen </w:t>
      </w:r>
      <w:r w:rsidR="000807DD">
        <w:t>and reached a stable</w:t>
      </w:r>
      <w:r w:rsidR="00140C33">
        <w:t xml:space="preserve"> point</w:t>
      </w:r>
      <w:r w:rsidR="000E4D97">
        <w:t>.</w:t>
      </w:r>
    </w:p>
    <w:p w14:paraId="7CC33E56" w14:textId="1CB5661A" w:rsidR="00C2481F" w:rsidRDefault="000E4D97" w:rsidP="00BE74C0">
      <w:pPr>
        <w:pStyle w:val="Dotpoint1"/>
        <w:ind w:left="284" w:hanging="284"/>
      </w:pPr>
      <w:r>
        <w:t>T</w:t>
      </w:r>
      <w:r w:rsidR="00140C33">
        <w:t>he unreported rate continues to fall until enough time has passed for contracts to have reached their expected completion date</w:t>
      </w:r>
      <w:r>
        <w:t>.</w:t>
      </w:r>
    </w:p>
    <w:p w14:paraId="693B59EF" w14:textId="6617D96A" w:rsidR="00C2481F" w:rsidRDefault="000E4D97" w:rsidP="00BE74C0">
      <w:pPr>
        <w:pStyle w:val="Dotpoint1"/>
        <w:ind w:left="284" w:hanging="284"/>
      </w:pPr>
      <w:r>
        <w:t>T</w:t>
      </w:r>
      <w:r w:rsidR="00140C33">
        <w:t xml:space="preserve">he unreported rate is </w:t>
      </w:r>
      <w:r w:rsidR="00BE1C4E">
        <w:t>affected by</w:t>
      </w:r>
      <w:r w:rsidR="00140C33">
        <w:t xml:space="preserve"> </w:t>
      </w:r>
      <w:r w:rsidR="00C2481F" w:rsidRPr="006B5094">
        <w:t>delay</w:t>
      </w:r>
      <w:r w:rsidR="00140C33">
        <w:t>s</w:t>
      </w:r>
      <w:r w:rsidR="00C2481F" w:rsidRPr="006B5094">
        <w:t xml:space="preserve"> in reporting </w:t>
      </w:r>
      <w:r w:rsidR="00777B15">
        <w:t>termination</w:t>
      </w:r>
      <w:r w:rsidR="00C2481F" w:rsidRPr="006B5094">
        <w:t xml:space="preserve"> events to the National Apprentice and Trainee Collection</w:t>
      </w:r>
      <w:r>
        <w:t>.</w:t>
      </w:r>
    </w:p>
    <w:p w14:paraId="68BFAD7C" w14:textId="0F8DAAED" w:rsidR="00DF0ED3" w:rsidRPr="00753FB6" w:rsidRDefault="00531805" w:rsidP="00746DE5">
      <w:pPr>
        <w:pStyle w:val="Dotpoint1"/>
      </w:pPr>
      <w:r>
        <w:t>I</w:t>
      </w:r>
      <w:r w:rsidR="00C2481F" w:rsidRPr="006B5094">
        <w:t xml:space="preserve">t takes longer for unreported rates to fall </w:t>
      </w:r>
      <w:r w:rsidR="00140C33">
        <w:t xml:space="preserve">for trade cohorts than for </w:t>
      </w:r>
      <w:r w:rsidR="00C2481F" w:rsidRPr="006B5094">
        <w:t>non-trade</w:t>
      </w:r>
      <w:r w:rsidR="00140C33">
        <w:t xml:space="preserve"> cohorts</w:t>
      </w:r>
      <w:r w:rsidR="00BE1C4E">
        <w:t>.</w:t>
      </w:r>
      <w:r w:rsidR="00DF0ED3">
        <w:br w:type="page"/>
      </w:r>
    </w:p>
    <w:p w14:paraId="75D6415E" w14:textId="0B848A0A" w:rsidR="00DF0ED3" w:rsidRPr="00CA7497" w:rsidRDefault="002173AB" w:rsidP="00DF0ED3">
      <w:pPr>
        <w:pStyle w:val="Heading1"/>
      </w:pPr>
      <w:bookmarkStart w:id="38" w:name="_Toc78364749"/>
      <w:r w:rsidRPr="00BE5DCB">
        <w:rPr>
          <w:noProof/>
          <w:lang w:eastAsia="en-AU"/>
        </w:rPr>
        <w:lastRenderedPageBreak/>
        <w:drawing>
          <wp:anchor distT="0" distB="0" distL="114300" distR="114300" simplePos="0" relativeHeight="252047360" behindDoc="1" locked="0" layoutInCell="1" allowOverlap="1" wp14:anchorId="76B05ACD" wp14:editId="2517AE1E">
            <wp:simplePos x="0" y="0"/>
            <wp:positionH relativeFrom="column">
              <wp:posOffset>-1270</wp:posOffset>
            </wp:positionH>
            <wp:positionV relativeFrom="paragraph">
              <wp:posOffset>0</wp:posOffset>
            </wp:positionV>
            <wp:extent cx="419100" cy="419100"/>
            <wp:effectExtent l="0" t="0" r="0" b="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419100" cy="419100"/>
                    </a:xfrm>
                    <a:prstGeom prst="rect">
                      <a:avLst/>
                    </a:prstGeom>
                    <a:noFill/>
                    <a:ln>
                      <a:noFill/>
                    </a:ln>
                  </pic:spPr>
                </pic:pic>
              </a:graphicData>
            </a:graphic>
            <wp14:sizeRelH relativeFrom="page">
              <wp14:pctWidth>0</wp14:pctWidth>
            </wp14:sizeRelH>
            <wp14:sizeRelV relativeFrom="page">
              <wp14:pctHeight>0</wp14:pctHeight>
            </wp14:sizeRelV>
          </wp:anchor>
        </w:drawing>
      </w:r>
      <w:r w:rsidR="00DF0ED3">
        <w:t>Projection methodologies</w:t>
      </w:r>
      <w:bookmarkEnd w:id="38"/>
    </w:p>
    <w:p w14:paraId="61578383" w14:textId="2CD9FCD9" w:rsidR="00567AD2" w:rsidRDefault="008714DC" w:rsidP="006B5094">
      <w:pPr>
        <w:pStyle w:val="Text"/>
        <w:rPr>
          <w:rFonts w:cs="Arial"/>
          <w:color w:val="000000"/>
          <w:szCs w:val="22"/>
        </w:rPr>
      </w:pPr>
      <w:r>
        <w:rPr>
          <w:rFonts w:cs="Arial"/>
          <w:color w:val="000000"/>
          <w:szCs w:val="22"/>
        </w:rPr>
        <w:t>H</w:t>
      </w:r>
      <w:r w:rsidR="006668CE">
        <w:rPr>
          <w:rFonts w:cs="Arial"/>
          <w:color w:val="000000"/>
          <w:szCs w:val="22"/>
        </w:rPr>
        <w:t>aving an indication of the likely completion rate for a given cohort well in advance of the expected completion date</w:t>
      </w:r>
      <w:r w:rsidRPr="008714DC">
        <w:rPr>
          <w:rFonts w:cs="Arial"/>
          <w:color w:val="000000"/>
          <w:szCs w:val="22"/>
        </w:rPr>
        <w:t xml:space="preserve"> </w:t>
      </w:r>
      <w:r>
        <w:rPr>
          <w:rFonts w:cs="Arial"/>
          <w:color w:val="000000"/>
          <w:szCs w:val="22"/>
        </w:rPr>
        <w:t>is an issue of considerable interest</w:t>
      </w:r>
      <w:r w:rsidR="006668CE">
        <w:rPr>
          <w:rFonts w:cs="Arial"/>
          <w:color w:val="000000"/>
          <w:szCs w:val="22"/>
        </w:rPr>
        <w:t xml:space="preserve">. To address this, completion rates can be approximated </w:t>
      </w:r>
      <w:r w:rsidR="00BC604C">
        <w:rPr>
          <w:rFonts w:cs="Arial"/>
          <w:color w:val="000000"/>
          <w:szCs w:val="22"/>
        </w:rPr>
        <w:t>by modelling</w:t>
      </w:r>
      <w:r w:rsidR="006668CE">
        <w:rPr>
          <w:rFonts w:cs="Arial"/>
          <w:color w:val="000000"/>
          <w:szCs w:val="22"/>
        </w:rPr>
        <w:t xml:space="preserve"> recent historical data</w:t>
      </w:r>
      <w:r w:rsidR="00BC604C">
        <w:rPr>
          <w:rFonts w:cs="Arial"/>
          <w:color w:val="000000"/>
          <w:szCs w:val="22"/>
        </w:rPr>
        <w:t xml:space="preserve"> to generate a projection</w:t>
      </w:r>
      <w:r w:rsidR="006668CE">
        <w:rPr>
          <w:rFonts w:cs="Arial"/>
          <w:color w:val="000000"/>
          <w:szCs w:val="22"/>
        </w:rPr>
        <w:t>.</w:t>
      </w:r>
      <w:r w:rsidR="00B2677B">
        <w:rPr>
          <w:rFonts w:cs="Arial"/>
          <w:color w:val="000000"/>
          <w:szCs w:val="22"/>
        </w:rPr>
        <w:t xml:space="preserve"> A</w:t>
      </w:r>
      <w:r w:rsidR="00E54D82">
        <w:rPr>
          <w:rFonts w:cs="Arial"/>
          <w:color w:val="000000"/>
          <w:szCs w:val="22"/>
        </w:rPr>
        <w:t>ccording to</w:t>
      </w:r>
      <w:r w:rsidR="00B2677B">
        <w:rPr>
          <w:rFonts w:cs="Arial"/>
          <w:color w:val="000000"/>
          <w:szCs w:val="22"/>
        </w:rPr>
        <w:t xml:space="preserve"> the Australian Bureau of Statistics</w:t>
      </w:r>
      <w:r w:rsidR="004A2372">
        <w:rPr>
          <w:rFonts w:cs="Arial"/>
          <w:color w:val="000000"/>
          <w:szCs w:val="22"/>
        </w:rPr>
        <w:t xml:space="preserve"> (ABS)</w:t>
      </w:r>
      <w:r w:rsidR="00B2677B">
        <w:rPr>
          <w:rFonts w:cs="Arial"/>
          <w:color w:val="000000"/>
          <w:szCs w:val="22"/>
        </w:rPr>
        <w:t xml:space="preserve"> website:</w:t>
      </w:r>
    </w:p>
    <w:p w14:paraId="5509E80C" w14:textId="7E7614B6" w:rsidR="00DF0ED3" w:rsidRDefault="00BC604C" w:rsidP="00567AD2">
      <w:pPr>
        <w:pStyle w:val="Quote"/>
      </w:pPr>
      <w:r>
        <w:t xml:space="preserve">A projection </w:t>
      </w:r>
      <w:r w:rsidR="00567AD2" w:rsidRPr="00567AD2">
        <w:t>indicat</w:t>
      </w:r>
      <w:r>
        <w:t>es</w:t>
      </w:r>
      <w:r w:rsidR="00567AD2" w:rsidRPr="00567AD2">
        <w:t xml:space="preserve"> what </w:t>
      </w:r>
      <w:r>
        <w:t xml:space="preserve">the </w:t>
      </w:r>
      <w:r w:rsidR="00567AD2" w:rsidRPr="00567AD2">
        <w:t>future changes in a population would be if the assumptions about the future trends actually occur. These assumptions are often based on patterns of change which have previously occurred. A projection is not making a prediction or forecast about what is going to happen, it is indicating what would happen if the assumptions which underpin the projection actually occur.</w:t>
      </w:r>
      <w:r w:rsidR="00FB52EF">
        <w:rPr>
          <w:rStyle w:val="FootnoteReference"/>
        </w:rPr>
        <w:footnoteReference w:id="3"/>
      </w:r>
      <w:r w:rsidR="00567AD2">
        <w:t xml:space="preserve"> </w:t>
      </w:r>
    </w:p>
    <w:p w14:paraId="6C3D0889" w14:textId="4106C8F3" w:rsidR="005F7BFD" w:rsidRPr="006B5094" w:rsidRDefault="005F7BFD" w:rsidP="006B5094">
      <w:pPr>
        <w:pStyle w:val="Text"/>
      </w:pPr>
      <w:r>
        <w:t xml:space="preserve">This section provides a </w:t>
      </w:r>
      <w:r w:rsidR="009E040C">
        <w:t>general</w:t>
      </w:r>
      <w:r>
        <w:t xml:space="preserve"> introduction to three </w:t>
      </w:r>
      <w:r w:rsidR="00BC604C">
        <w:t>methodologies that can be used to generate projection</w:t>
      </w:r>
      <w:r>
        <w:t>s</w:t>
      </w:r>
      <w:r w:rsidR="00777B15">
        <w:t xml:space="preserve"> </w:t>
      </w:r>
      <w:r w:rsidR="00E54D82">
        <w:t>−</w:t>
      </w:r>
      <w:r>
        <w:t xml:space="preserve"> life tables, Markov chains and </w:t>
      </w:r>
      <w:r w:rsidR="009E040C">
        <w:t xml:space="preserve">supervised </w:t>
      </w:r>
      <w:r>
        <w:t>machine learning</w:t>
      </w:r>
      <w:r w:rsidR="00BC604C">
        <w:t>.</w:t>
      </w:r>
    </w:p>
    <w:p w14:paraId="22C72130" w14:textId="3B8A67BD" w:rsidR="00CB271D" w:rsidRDefault="003E0938" w:rsidP="00CB271D">
      <w:pPr>
        <w:pStyle w:val="Heading2"/>
      </w:pPr>
      <w:bookmarkStart w:id="39" w:name="_Toc78364750"/>
      <w:r>
        <w:t>Life tables</w:t>
      </w:r>
      <w:r w:rsidR="00230197">
        <w:t xml:space="preserve"> methodology</w:t>
      </w:r>
      <w:bookmarkEnd w:id="39"/>
    </w:p>
    <w:p w14:paraId="150A51AF" w14:textId="7B25636C" w:rsidR="00F41745" w:rsidRDefault="00B26CA0" w:rsidP="009E040C">
      <w:pPr>
        <w:pStyle w:val="Text"/>
      </w:pPr>
      <w:r w:rsidRPr="00B26CA0">
        <w:t xml:space="preserve">NCVER currently calculates projected completion rates using </w:t>
      </w:r>
      <w:r w:rsidR="00BB097F">
        <w:t>a</w:t>
      </w:r>
      <w:r w:rsidR="005D7708">
        <w:t xml:space="preserve"> </w:t>
      </w:r>
      <w:r w:rsidRPr="00B26CA0">
        <w:t xml:space="preserve">life tables methodology. This methodology </w:t>
      </w:r>
      <w:r w:rsidR="00983D9E">
        <w:t>has its foundations</w:t>
      </w:r>
      <w:r w:rsidRPr="00B26CA0">
        <w:t xml:space="preserve"> in demographic and actuarial studies</w:t>
      </w:r>
      <w:r w:rsidR="00F41745">
        <w:t xml:space="preserve"> and uses data on population, deaths and births for a recent reference period to calculate mortality, survivorship and life expectancy (ABS</w:t>
      </w:r>
      <w:r w:rsidR="005C30CF">
        <w:t xml:space="preserve"> </w:t>
      </w:r>
      <w:r w:rsidR="005C30CF" w:rsidRPr="00091CA7">
        <w:t>20</w:t>
      </w:r>
      <w:r w:rsidR="005C30CF">
        <w:t>17—19</w:t>
      </w:r>
      <w:r w:rsidR="00F41745">
        <w:t>). The life table can then be used to make inferences about hypothetical/future cohort</w:t>
      </w:r>
      <w:r w:rsidR="0080561F">
        <w:t>s</w:t>
      </w:r>
      <w:r w:rsidR="00F41745">
        <w:t xml:space="preserve">, </w:t>
      </w:r>
      <w:r w:rsidR="00A966EB">
        <w:t>on</w:t>
      </w:r>
      <w:r w:rsidR="00F41745">
        <w:t xml:space="preserve"> the assumption that age-specific mortality rates during the reference period will </w:t>
      </w:r>
      <w:r w:rsidR="00A35B1F">
        <w:t>remain</w:t>
      </w:r>
      <w:r w:rsidR="00F41745">
        <w:t xml:space="preserve"> the same.</w:t>
      </w:r>
    </w:p>
    <w:p w14:paraId="1115767E" w14:textId="77777777" w:rsidR="0080561F" w:rsidRPr="005A4F1E" w:rsidRDefault="009E040C" w:rsidP="009E040C">
      <w:pPr>
        <w:pStyle w:val="Text"/>
      </w:pPr>
      <w:r w:rsidRPr="005A4F1E">
        <w:t xml:space="preserve">In the context of contract completion rates, the life tables approach </w:t>
      </w:r>
      <w:r w:rsidR="00983D9E" w:rsidRPr="005A4F1E">
        <w:t>has been adapted</w:t>
      </w:r>
      <w:r w:rsidRPr="005A4F1E">
        <w:t xml:space="preserve"> by</w:t>
      </w:r>
      <w:r w:rsidR="0080561F" w:rsidRPr="005A4F1E">
        <w:t>:</w:t>
      </w:r>
    </w:p>
    <w:p w14:paraId="791F5548" w14:textId="3E096768" w:rsidR="0080561F" w:rsidRPr="005A4F1E" w:rsidRDefault="0080561F" w:rsidP="00BE74C0">
      <w:pPr>
        <w:pStyle w:val="Dotpoint1"/>
        <w:ind w:left="284" w:hanging="284"/>
      </w:pPr>
      <w:r w:rsidRPr="005A4F1E">
        <w:t xml:space="preserve">considering contract status (commencements, terminations) </w:t>
      </w:r>
      <w:r w:rsidR="00D13471" w:rsidRPr="005A4F1E">
        <w:t>to replace</w:t>
      </w:r>
      <w:r w:rsidRPr="005A4F1E">
        <w:t xml:space="preserve"> births and deaths, thereby </w:t>
      </w:r>
      <w:r w:rsidR="00A35B1F" w:rsidRPr="005A4F1E">
        <w:t>calculating a projected</w:t>
      </w:r>
      <w:r w:rsidRPr="005A4F1E">
        <w:t xml:space="preserve"> completion rate rather than a </w:t>
      </w:r>
      <w:r w:rsidR="00A35B1F" w:rsidRPr="005A4F1E">
        <w:t xml:space="preserve">projected </w:t>
      </w:r>
      <w:r w:rsidRPr="005A4F1E">
        <w:t>mortality rate</w:t>
      </w:r>
      <w:r w:rsidR="00B12850" w:rsidRPr="005A4F1E">
        <w:t>.</w:t>
      </w:r>
    </w:p>
    <w:p w14:paraId="3DC7499F" w14:textId="34643C32" w:rsidR="002F1CF1" w:rsidRPr="005A4F1E" w:rsidRDefault="00B26CA0" w:rsidP="0080561F">
      <w:pPr>
        <w:pStyle w:val="Dotpoint2"/>
        <w:numPr>
          <w:ilvl w:val="0"/>
          <w:numId w:val="0"/>
        </w:numPr>
      </w:pPr>
      <w:r w:rsidRPr="005A4F1E">
        <w:t>For an</w:t>
      </w:r>
      <w:r w:rsidR="009E040C" w:rsidRPr="005A4F1E">
        <w:t xml:space="preserve"> in-depth</w:t>
      </w:r>
      <w:r w:rsidRPr="005A4F1E">
        <w:t xml:space="preserve"> explanation of how this methodology has been adapted for the National Apprentice and Trainee Collection</w:t>
      </w:r>
      <w:r w:rsidR="002F1CF1" w:rsidRPr="005A4F1E">
        <w:t>, refer to Karmel</w:t>
      </w:r>
      <w:r w:rsidR="009E040C" w:rsidRPr="005A4F1E">
        <w:t xml:space="preserve"> </w:t>
      </w:r>
      <w:r w:rsidR="006D0FBA" w:rsidRPr="005A4F1E">
        <w:t>and</w:t>
      </w:r>
      <w:r w:rsidR="009E040C" w:rsidRPr="005A4F1E">
        <w:t xml:space="preserve"> Mlotkowski</w:t>
      </w:r>
      <w:r w:rsidR="002F1CF1" w:rsidRPr="005A4F1E">
        <w:t xml:space="preserve"> (2010)</w:t>
      </w:r>
      <w:r w:rsidRPr="005A4F1E">
        <w:t>.</w:t>
      </w:r>
    </w:p>
    <w:p w14:paraId="42736E54" w14:textId="0FB8AFC2" w:rsidR="00C93D98" w:rsidRPr="00B26CA0" w:rsidRDefault="00C93D98" w:rsidP="00C93D98">
      <w:pPr>
        <w:pStyle w:val="Text"/>
      </w:pPr>
      <w:r w:rsidRPr="005A4F1E">
        <w:t>A key limitation of the life tables methodology is that it calculate</w:t>
      </w:r>
      <w:r w:rsidR="00E332D5" w:rsidRPr="005A4F1E">
        <w:t>s</w:t>
      </w:r>
      <w:r w:rsidRPr="005A4F1E">
        <w:t xml:space="preserve"> </w:t>
      </w:r>
      <w:r w:rsidR="00E332D5" w:rsidRPr="005A4F1E">
        <w:t xml:space="preserve">completion rate </w:t>
      </w:r>
      <w:r w:rsidRPr="005A4F1E">
        <w:t xml:space="preserve">projections for </w:t>
      </w:r>
      <w:r w:rsidR="00E332D5" w:rsidRPr="005A4F1E">
        <w:t xml:space="preserve">December quarter commencing </w:t>
      </w:r>
      <w:r w:rsidRPr="005A4F1E">
        <w:t>cohorts</w:t>
      </w:r>
      <w:r w:rsidR="00E332D5" w:rsidRPr="005A4F1E">
        <w:t xml:space="preserve"> and uses them as prox</w:t>
      </w:r>
      <w:r w:rsidR="007C4507" w:rsidRPr="005A4F1E">
        <w:t>y</w:t>
      </w:r>
      <w:r w:rsidR="00E332D5" w:rsidRPr="005A4F1E">
        <w:t xml:space="preserve"> </w:t>
      </w:r>
      <w:r w:rsidR="007C4507" w:rsidRPr="005A4F1E">
        <w:t xml:space="preserve">rates </w:t>
      </w:r>
      <w:r w:rsidR="00E332D5" w:rsidRPr="005A4F1E">
        <w:t xml:space="preserve">for annual </w:t>
      </w:r>
      <w:r w:rsidR="007C4507" w:rsidRPr="005A4F1E">
        <w:t>commencing cohorts</w:t>
      </w:r>
      <w:r w:rsidRPr="005A4F1E">
        <w:t>.</w:t>
      </w:r>
    </w:p>
    <w:p w14:paraId="582B1FCF" w14:textId="4BAC5E0E" w:rsidR="00AA34F7" w:rsidRDefault="00AA34F7" w:rsidP="00CB271D">
      <w:pPr>
        <w:pStyle w:val="Heading2"/>
      </w:pPr>
      <w:bookmarkStart w:id="40" w:name="_Toc78364751"/>
      <w:r>
        <w:t>Markov chains methodology</w:t>
      </w:r>
      <w:bookmarkEnd w:id="40"/>
    </w:p>
    <w:p w14:paraId="4F5F6B37" w14:textId="01C67860" w:rsidR="00EC0542" w:rsidRDefault="00AA6B58" w:rsidP="00EC0542">
      <w:pPr>
        <w:pStyle w:val="Text"/>
      </w:pPr>
      <w:r>
        <w:t>Absorbing Markov chain</w:t>
      </w:r>
      <w:r w:rsidR="00843C1C">
        <w:t>s</w:t>
      </w:r>
      <w:r>
        <w:t xml:space="preserve"> </w:t>
      </w:r>
      <w:r w:rsidR="00EF0789">
        <w:t xml:space="preserve">provide a means of modelling objects that </w:t>
      </w:r>
      <w:r w:rsidR="00743C0F">
        <w:t>progress through</w:t>
      </w:r>
      <w:r w:rsidR="00EF0789">
        <w:t xml:space="preserve"> </w:t>
      </w:r>
      <w:r w:rsidR="00EC0542">
        <w:t xml:space="preserve">one or more transient </w:t>
      </w:r>
      <w:r w:rsidR="00EF0789">
        <w:t>states</w:t>
      </w:r>
      <w:r w:rsidR="00743C0F">
        <w:t xml:space="preserve"> before reaching </w:t>
      </w:r>
      <w:r w:rsidR="00EC0542">
        <w:t>one or more</w:t>
      </w:r>
      <w:r w:rsidR="00743C0F">
        <w:t xml:space="preserve"> final (absorbing) state</w:t>
      </w:r>
      <w:r w:rsidR="00EC0542">
        <w:t>s</w:t>
      </w:r>
      <w:r w:rsidR="00EF0789">
        <w:t>.</w:t>
      </w:r>
      <w:r w:rsidR="00EC0542">
        <w:t xml:space="preserve"> Th</w:t>
      </w:r>
      <w:r w:rsidR="00B84D44">
        <w:t>is</w:t>
      </w:r>
      <w:r w:rsidR="00EC0542">
        <w:t xml:space="preserve"> methodological approach calculates the probabilities of objects transitioning between the different states and can be used to calculate the probability </w:t>
      </w:r>
      <w:r w:rsidR="000D79C7">
        <w:t>of</w:t>
      </w:r>
      <w:r w:rsidR="00EC0542">
        <w:t xml:space="preserve"> an object eventually reach</w:t>
      </w:r>
      <w:r w:rsidR="000D79C7">
        <w:t>ing</w:t>
      </w:r>
      <w:r w:rsidR="00EC0542">
        <w:t xml:space="preserve"> one of the </w:t>
      </w:r>
      <w:r w:rsidR="000D79C7">
        <w:t>‘</w:t>
      </w:r>
      <w:r w:rsidR="003975B8">
        <w:t>absorbing</w:t>
      </w:r>
      <w:r w:rsidR="000D79C7">
        <w:t>’</w:t>
      </w:r>
      <w:r w:rsidR="003975B8">
        <w:t xml:space="preserve"> states</w:t>
      </w:r>
      <w:r w:rsidR="00EC0542">
        <w:t xml:space="preserve">. </w:t>
      </w:r>
      <w:r w:rsidR="00743C0F">
        <w:t xml:space="preserve">Markov chains </w:t>
      </w:r>
      <w:r>
        <w:t>have applications in a wide variety of areas</w:t>
      </w:r>
      <w:r w:rsidR="0030157A">
        <w:t>,</w:t>
      </w:r>
      <w:r w:rsidR="00743C0F">
        <w:t xml:space="preserve"> including</w:t>
      </w:r>
      <w:r>
        <w:t xml:space="preserve"> science, economics and mathematics.</w:t>
      </w:r>
      <w:r w:rsidR="00EC0542">
        <w:t xml:space="preserve"> For a theoretical review see Isaacson and Madsen (1976).</w:t>
      </w:r>
    </w:p>
    <w:p w14:paraId="583C0AFB" w14:textId="57B7F4A9" w:rsidR="00E43FCB" w:rsidRDefault="00757149" w:rsidP="00E43FCB">
      <w:pPr>
        <w:pStyle w:val="Text"/>
      </w:pPr>
      <w:r w:rsidRPr="006B5094">
        <w:t>NCVER</w:t>
      </w:r>
      <w:r w:rsidR="00AA6B58">
        <w:t xml:space="preserve"> currently uses Markov chains methodology</w:t>
      </w:r>
      <w:r w:rsidRPr="006B5094">
        <w:t xml:space="preserve"> to project completion rates for VET </w:t>
      </w:r>
      <w:r w:rsidR="00034458">
        <w:t>qualifications</w:t>
      </w:r>
      <w:r w:rsidR="00E43FCB">
        <w:t>, where</w:t>
      </w:r>
      <w:r w:rsidR="00295EF2">
        <w:t>by</w:t>
      </w:r>
      <w:r w:rsidR="00E43FCB">
        <w:t xml:space="preserve"> the lifetime of training can be expressed in terms of </w:t>
      </w:r>
      <w:r w:rsidR="003975B8">
        <w:t>the probability of transitioning between</w:t>
      </w:r>
      <w:r w:rsidR="00E43FCB">
        <w:t xml:space="preserve"> one state (for example, active) to another state (for example, completed). </w:t>
      </w:r>
      <w:r w:rsidR="00015F47">
        <w:t xml:space="preserve">Once the </w:t>
      </w:r>
      <w:r w:rsidR="00034458">
        <w:t xml:space="preserve">qualification </w:t>
      </w:r>
      <w:r w:rsidR="00015F47">
        <w:t xml:space="preserve">has </w:t>
      </w:r>
      <w:r w:rsidR="00015F47">
        <w:lastRenderedPageBreak/>
        <w:t xml:space="preserve">been completed, the state will not change again, so completion is referred to as an ‘absorbing’ state. </w:t>
      </w:r>
      <w:r w:rsidR="00E43FCB">
        <w:t xml:space="preserve">The probability that a </w:t>
      </w:r>
      <w:r w:rsidR="00034458">
        <w:t>qualif</w:t>
      </w:r>
      <w:r w:rsidR="006E6A12">
        <w:t>i</w:t>
      </w:r>
      <w:r w:rsidR="00034458">
        <w:t xml:space="preserve">cation </w:t>
      </w:r>
      <w:r w:rsidR="00E43FCB">
        <w:t xml:space="preserve">is eventually in the completed state is the completion rate. </w:t>
      </w:r>
      <w:r w:rsidR="003975B8">
        <w:t>The projected completion rate for a given year is based on recent longitudinal data</w:t>
      </w:r>
      <w:r w:rsidR="00295EF2">
        <w:t>, which</w:t>
      </w:r>
      <w:r w:rsidR="003975B8">
        <w:t xml:space="preserve"> includ</w:t>
      </w:r>
      <w:r w:rsidR="00295EF2">
        <w:t>e</w:t>
      </w:r>
      <w:r w:rsidR="003975B8">
        <w:t xml:space="preserve"> the year for which the completion rate is being projected, the </w:t>
      </w:r>
      <w:r w:rsidR="00295EF2">
        <w:t xml:space="preserve">previous </w:t>
      </w:r>
      <w:r w:rsidR="003975B8">
        <w:t xml:space="preserve">year and the </w:t>
      </w:r>
      <w:r w:rsidR="00295EF2">
        <w:t xml:space="preserve">following </w:t>
      </w:r>
      <w:r w:rsidR="003975B8">
        <w:t xml:space="preserve">year. </w:t>
      </w:r>
      <w:r w:rsidR="00CA7497" w:rsidRPr="006B5094">
        <w:t>For more detailed information on the Markov chains methodology</w:t>
      </w:r>
      <w:r w:rsidR="00AA6B58">
        <w:t xml:space="preserve"> in this context</w:t>
      </w:r>
      <w:r w:rsidR="00CA7497" w:rsidRPr="006B5094">
        <w:t xml:space="preserve">, refer to </w:t>
      </w:r>
      <w:r w:rsidR="00BB2AED" w:rsidRPr="006B5094">
        <w:t>Mark and Karmel (2010)</w:t>
      </w:r>
      <w:r w:rsidR="003670AB" w:rsidRPr="006B5094">
        <w:t xml:space="preserve"> and McDonald (2018)</w:t>
      </w:r>
      <w:r w:rsidR="00CA7497" w:rsidRPr="006B5094">
        <w:t>.</w:t>
      </w:r>
    </w:p>
    <w:p w14:paraId="06B90CEF" w14:textId="2905993E" w:rsidR="00E43FCB" w:rsidRDefault="0089616B" w:rsidP="006B5094">
      <w:pPr>
        <w:pStyle w:val="Text"/>
      </w:pPr>
      <w:r>
        <w:t>The methodology used for VET qualification completion rates was altered slightly for</w:t>
      </w:r>
      <w:r w:rsidR="008559C7">
        <w:t xml:space="preserve"> application to</w:t>
      </w:r>
      <w:r>
        <w:t xml:space="preserve"> the </w:t>
      </w:r>
      <w:r w:rsidR="008559C7">
        <w:t>National A</w:t>
      </w:r>
      <w:r>
        <w:t xml:space="preserve">pprentice and </w:t>
      </w:r>
      <w:r w:rsidR="008559C7">
        <w:t>T</w:t>
      </w:r>
      <w:r>
        <w:t xml:space="preserve">rainee </w:t>
      </w:r>
      <w:r w:rsidR="008559C7">
        <w:t>C</w:t>
      </w:r>
      <w:r>
        <w:t xml:space="preserve">ollection. This was mainly due to the duration of contracts of training tending to be longer than the duration of VET </w:t>
      </w:r>
      <w:r w:rsidR="00543F66">
        <w:t>qualification</w:t>
      </w:r>
      <w:r w:rsidR="008559C7">
        <w:t>s</w:t>
      </w:r>
      <w:r>
        <w:t xml:space="preserve">, particularly in trade occupations. For contract completion rates, the three-year window (used in </w:t>
      </w:r>
      <w:r w:rsidR="008559C7">
        <w:t xml:space="preserve">the calculation of </w:t>
      </w:r>
      <w:r>
        <w:t xml:space="preserve">VET </w:t>
      </w:r>
      <w:r w:rsidR="00543F66">
        <w:t xml:space="preserve">qualification </w:t>
      </w:r>
      <w:r>
        <w:t xml:space="preserve">completion rates) was modified to a five-year window to </w:t>
      </w:r>
      <w:r w:rsidR="00D430ED">
        <w:t>ensure</w:t>
      </w:r>
      <w:r w:rsidR="003975B8">
        <w:t xml:space="preserve"> sufficient</w:t>
      </w:r>
      <w:r>
        <w:t xml:space="preserve"> data </w:t>
      </w:r>
      <w:r w:rsidR="003975B8">
        <w:t>to</w:t>
      </w:r>
      <w:r>
        <w:t xml:space="preserve"> estimat</w:t>
      </w:r>
      <w:r w:rsidR="003975B8">
        <w:t>e</w:t>
      </w:r>
      <w:r>
        <w:t xml:space="preserve"> transition</w:t>
      </w:r>
      <w:r w:rsidR="003975B8">
        <w:t>al</w:t>
      </w:r>
      <w:r>
        <w:t xml:space="preserve"> probabilities. The window includes the year for which </w:t>
      </w:r>
      <w:r w:rsidR="003975B8">
        <w:t xml:space="preserve">the completion </w:t>
      </w:r>
      <w:r>
        <w:t>rat</w:t>
      </w:r>
      <w:r w:rsidR="003975B8">
        <w:t>e</w:t>
      </w:r>
      <w:r>
        <w:t xml:space="preserve"> </w:t>
      </w:r>
      <w:r w:rsidR="003975B8">
        <w:t>is</w:t>
      </w:r>
      <w:r>
        <w:t xml:space="preserve"> be</w:t>
      </w:r>
      <w:r w:rsidR="003975B8">
        <w:t>ing</w:t>
      </w:r>
      <w:r>
        <w:t xml:space="preserve"> </w:t>
      </w:r>
      <w:r w:rsidR="003975B8">
        <w:t>project</w:t>
      </w:r>
      <w:r>
        <w:t xml:space="preserve">ed, the </w:t>
      </w:r>
      <w:r w:rsidR="00647BA0">
        <w:t xml:space="preserve">preceding </w:t>
      </w:r>
      <w:r>
        <w:t>three years</w:t>
      </w:r>
      <w:r w:rsidR="003975B8">
        <w:t>,</w:t>
      </w:r>
      <w:r>
        <w:t xml:space="preserve"> and the </w:t>
      </w:r>
      <w:r w:rsidR="00647BA0">
        <w:t xml:space="preserve">following </w:t>
      </w:r>
      <w:r>
        <w:t>year. Note that the five-year window allows for contracts with long durations but also works for contracts with short durations.</w:t>
      </w:r>
    </w:p>
    <w:p w14:paraId="74A9C9B1" w14:textId="7B04818B" w:rsidR="0089616B" w:rsidRDefault="00E43FCB" w:rsidP="006B5094">
      <w:pPr>
        <w:pStyle w:val="Text"/>
      </w:pPr>
      <w:r>
        <w:t>A</w:t>
      </w:r>
      <w:r w:rsidR="00015F47">
        <w:t xml:space="preserve"> </w:t>
      </w:r>
      <w:r>
        <w:t xml:space="preserve">key limitation of the Markov chains methodology is </w:t>
      </w:r>
      <w:r w:rsidR="00A83E40">
        <w:t>the</w:t>
      </w:r>
      <w:r>
        <w:t xml:space="preserve"> 12-month delay before projected rates can be calculated.</w:t>
      </w:r>
      <w:r w:rsidR="00015F47">
        <w:t xml:space="preserve"> This is because calculating the transitional probabilities that form the basis for the completion rate projection for a given year rel</w:t>
      </w:r>
      <w:r w:rsidR="00746DE5">
        <w:t>ies</w:t>
      </w:r>
      <w:r w:rsidR="00015F47">
        <w:t xml:space="preserve"> on data from a window that includes the following year.</w:t>
      </w:r>
      <w:r w:rsidR="008559C7">
        <w:t xml:space="preserve"> Th</w:t>
      </w:r>
      <w:r w:rsidR="00FF1409">
        <w:t xml:space="preserve">at </w:t>
      </w:r>
      <w:r w:rsidR="008559C7">
        <w:t>is</w:t>
      </w:r>
      <w:r w:rsidR="00FF1409">
        <w:t>,</w:t>
      </w:r>
      <w:r w:rsidR="008559C7">
        <w:t xml:space="preserve"> </w:t>
      </w:r>
      <w:r w:rsidR="00FF1409" w:rsidRPr="00FF1409">
        <w:t xml:space="preserve">rates for the most recent year cannot be estimated since there is no following year to provide data. </w:t>
      </w:r>
    </w:p>
    <w:p w14:paraId="6FE5743E" w14:textId="35FCF46D" w:rsidR="00BC604C" w:rsidRPr="006B5094" w:rsidRDefault="00905024" w:rsidP="006B5094">
      <w:pPr>
        <w:pStyle w:val="Text"/>
      </w:pPr>
      <w:r>
        <w:t>Similar to</w:t>
      </w:r>
      <w:r w:rsidR="00A35B1F">
        <w:t xml:space="preserve"> the</w:t>
      </w:r>
      <w:r w:rsidR="00BC604C">
        <w:t xml:space="preserve"> life tables methodology, </w:t>
      </w:r>
      <w:r w:rsidR="00DB33A8">
        <w:t xml:space="preserve">the </w:t>
      </w:r>
      <w:r w:rsidR="00BC604C">
        <w:t>Markov chains</w:t>
      </w:r>
      <w:r w:rsidR="00A35B1F">
        <w:t xml:space="preserve"> </w:t>
      </w:r>
      <w:r w:rsidR="00DB33A8">
        <w:t xml:space="preserve">approach </w:t>
      </w:r>
      <w:r w:rsidR="00A35B1F">
        <w:t>calculate</w:t>
      </w:r>
      <w:r w:rsidR="00BC604C">
        <w:t xml:space="preserve">s projections based on transitional probabilities between different states, such as transitions from actively training to completion of a contract. For </w:t>
      </w:r>
      <w:r w:rsidR="00A35B1F">
        <w:t xml:space="preserve">both </w:t>
      </w:r>
      <w:r w:rsidR="00BC604C">
        <w:t xml:space="preserve">methods, the only information </w:t>
      </w:r>
      <w:r w:rsidR="00A35B1F">
        <w:t xml:space="preserve">used in the modelling </w:t>
      </w:r>
      <w:r w:rsidR="00BC604C">
        <w:t xml:space="preserve">is </w:t>
      </w:r>
      <w:r w:rsidR="00A35B1F">
        <w:t xml:space="preserve">data on changes of contract status, </w:t>
      </w:r>
      <w:r w:rsidR="000F66F6">
        <w:t xml:space="preserve">which </w:t>
      </w:r>
      <w:r w:rsidR="00A35B1F">
        <w:t>includ</w:t>
      </w:r>
      <w:r w:rsidR="000F66F6">
        <w:t>e</w:t>
      </w:r>
      <w:r w:rsidR="00A35B1F">
        <w:t xml:space="preserve"> the timing of the event, the previous contract status and the new contract status</w:t>
      </w:r>
      <w:r w:rsidR="00BC604C">
        <w:t>.</w:t>
      </w:r>
    </w:p>
    <w:p w14:paraId="1D8FB65C" w14:textId="4887E400" w:rsidR="00AA34F7" w:rsidRDefault="00AA34F7" w:rsidP="00CB271D">
      <w:pPr>
        <w:pStyle w:val="Heading2"/>
      </w:pPr>
      <w:bookmarkStart w:id="41" w:name="_Toc78364752"/>
      <w:r>
        <w:t>Machine learning methodology</w:t>
      </w:r>
      <w:bookmarkEnd w:id="41"/>
    </w:p>
    <w:p w14:paraId="459900F5" w14:textId="36B54CEE" w:rsidR="00891A70" w:rsidRPr="005A4F1E" w:rsidRDefault="003E5350" w:rsidP="006B5094">
      <w:pPr>
        <w:pStyle w:val="Text"/>
      </w:pPr>
      <w:r w:rsidRPr="005A4F1E">
        <w:t>M</w:t>
      </w:r>
      <w:r w:rsidR="0018632B" w:rsidRPr="005A4F1E">
        <w:t xml:space="preserve">achine learning refers to a variety of </w:t>
      </w:r>
      <w:r w:rsidRPr="005A4F1E">
        <w:t xml:space="preserve">automated </w:t>
      </w:r>
      <w:r w:rsidR="0035726A" w:rsidRPr="005A4F1E">
        <w:t>methods</w:t>
      </w:r>
      <w:r w:rsidR="0018632B" w:rsidRPr="005A4F1E">
        <w:t xml:space="preserve"> </w:t>
      </w:r>
      <w:r w:rsidR="000F7294" w:rsidRPr="005A4F1E">
        <w:t>whose aim</w:t>
      </w:r>
      <w:r w:rsidR="0018632B" w:rsidRPr="005A4F1E">
        <w:t xml:space="preserve"> </w:t>
      </w:r>
      <w:r w:rsidR="00DC4C03" w:rsidRPr="005A4F1E">
        <w:t xml:space="preserve">is </w:t>
      </w:r>
      <w:r w:rsidR="0018632B" w:rsidRPr="005A4F1E">
        <w:t xml:space="preserve">to uncover </w:t>
      </w:r>
      <w:r w:rsidR="0095734A" w:rsidRPr="005A4F1E">
        <w:t xml:space="preserve">patterns </w:t>
      </w:r>
      <w:r w:rsidR="0035726A" w:rsidRPr="005A4F1E">
        <w:t xml:space="preserve">in a set of data </w:t>
      </w:r>
      <w:r w:rsidR="00A27D6A" w:rsidRPr="005A4F1E">
        <w:t xml:space="preserve">observations </w:t>
      </w:r>
      <w:r w:rsidR="0035726A" w:rsidRPr="005A4F1E">
        <w:t>(Murphy 2012)</w:t>
      </w:r>
      <w:r w:rsidR="0018632B" w:rsidRPr="005A4F1E">
        <w:t>.</w:t>
      </w:r>
      <w:r w:rsidR="009C5986" w:rsidRPr="005A4F1E">
        <w:t xml:space="preserve"> </w:t>
      </w:r>
      <w:r w:rsidR="005631D4" w:rsidRPr="005A4F1E">
        <w:t xml:space="preserve">Classification is one form of machine learning </w:t>
      </w:r>
      <w:r w:rsidR="008F35CD" w:rsidRPr="005A4F1E">
        <w:t>where the</w:t>
      </w:r>
      <w:r w:rsidR="005631D4" w:rsidRPr="005A4F1E">
        <w:t xml:space="preserve"> </w:t>
      </w:r>
      <w:r w:rsidR="001D17A9" w:rsidRPr="005A4F1E">
        <w:t>patterns</w:t>
      </w:r>
      <w:r w:rsidR="009C5986" w:rsidRPr="005A4F1E">
        <w:t xml:space="preserve"> </w:t>
      </w:r>
      <w:r w:rsidR="005631D4" w:rsidRPr="005A4F1E">
        <w:t>are</w:t>
      </w:r>
      <w:r w:rsidR="008C21E9" w:rsidRPr="005A4F1E">
        <w:t xml:space="preserve"> used to </w:t>
      </w:r>
      <w:r w:rsidR="009C5986" w:rsidRPr="005A4F1E">
        <w:t>differentiate</w:t>
      </w:r>
      <w:r w:rsidR="008C21E9" w:rsidRPr="005A4F1E">
        <w:t xml:space="preserve"> between</w:t>
      </w:r>
      <w:r w:rsidR="009C5986" w:rsidRPr="005A4F1E">
        <w:t xml:space="preserve"> two or more categories of interest</w:t>
      </w:r>
      <w:r w:rsidR="002A29FA" w:rsidRPr="005A4F1E">
        <w:t>.</w:t>
      </w:r>
      <w:r w:rsidR="00422E47" w:rsidRPr="005A4F1E">
        <w:t xml:space="preserve"> Classification m</w:t>
      </w:r>
      <w:r w:rsidR="00C320C1" w:rsidRPr="005A4F1E">
        <w:t>ethod</w:t>
      </w:r>
      <w:r w:rsidR="00422E47" w:rsidRPr="005A4F1E">
        <w:t xml:space="preserve">s are a form of </w:t>
      </w:r>
      <w:r w:rsidR="00422E47" w:rsidRPr="005A4F1E">
        <w:rPr>
          <w:i/>
          <w:iCs/>
        </w:rPr>
        <w:t>supervised</w:t>
      </w:r>
      <w:r w:rsidR="00422E47" w:rsidRPr="005A4F1E">
        <w:t xml:space="preserve"> machine learning because the categories are made explicit</w:t>
      </w:r>
      <w:r w:rsidR="00E23035" w:rsidRPr="005A4F1E">
        <w:t xml:space="preserve"> in the training examples that are used to ‘train’ the classification model</w:t>
      </w:r>
      <w:r w:rsidR="00422E47" w:rsidRPr="005A4F1E">
        <w:t>.</w:t>
      </w:r>
    </w:p>
    <w:p w14:paraId="70EC08EF" w14:textId="350D21AD" w:rsidR="00891A70" w:rsidRPr="005A4F1E" w:rsidRDefault="00891A70" w:rsidP="00CA0CDD">
      <w:pPr>
        <w:pStyle w:val="Text"/>
      </w:pPr>
      <w:r w:rsidRPr="005A4F1E">
        <w:t xml:space="preserve">The first step in machine learning </w:t>
      </w:r>
      <w:r w:rsidR="008D0834" w:rsidRPr="005A4F1E">
        <w:t xml:space="preserve">classification </w:t>
      </w:r>
      <w:r w:rsidRPr="005A4F1E">
        <w:t xml:space="preserve">is to </w:t>
      </w:r>
      <w:r w:rsidR="00A67D06" w:rsidRPr="005A4F1E">
        <w:t>‘</w:t>
      </w:r>
      <w:r w:rsidRPr="005A4F1E">
        <w:t>train</w:t>
      </w:r>
      <w:r w:rsidR="00A67D06" w:rsidRPr="005A4F1E">
        <w:t>’</w:t>
      </w:r>
      <w:r w:rsidRPr="005A4F1E">
        <w:t xml:space="preserve"> a model by showing it example records </w:t>
      </w:r>
      <w:r w:rsidR="00422E47" w:rsidRPr="005A4F1E">
        <w:t>from</w:t>
      </w:r>
      <w:r w:rsidRPr="005A4F1E">
        <w:t xml:space="preserve"> each category of interest. </w:t>
      </w:r>
      <w:r w:rsidR="008F35CD" w:rsidRPr="005A4F1E">
        <w:t xml:space="preserve">The goal </w:t>
      </w:r>
      <w:r w:rsidR="00C320C1" w:rsidRPr="005A4F1E">
        <w:t xml:space="preserve">of training </w:t>
      </w:r>
      <w:r w:rsidR="008F35CD" w:rsidRPr="005A4F1E">
        <w:t>is to identify patterns among the features (also known as attributes) of the example records that distinguish between</w:t>
      </w:r>
      <w:r w:rsidR="00D7208B" w:rsidRPr="005A4F1E">
        <w:t xml:space="preserve"> </w:t>
      </w:r>
      <w:r w:rsidRPr="005A4F1E">
        <w:t>the categories.</w:t>
      </w:r>
      <w:r w:rsidR="004D0D32" w:rsidRPr="005A4F1E">
        <w:t xml:space="preserve"> Following training, the model is evaluated on a set of new records</w:t>
      </w:r>
      <w:r w:rsidR="000971C0" w:rsidRPr="005A4F1E">
        <w:t>,</w:t>
      </w:r>
      <w:r w:rsidR="004D0D32" w:rsidRPr="005A4F1E">
        <w:t xml:space="preserve"> with the category labels removed. The model’s prediction </w:t>
      </w:r>
      <w:r w:rsidR="009C5E57" w:rsidRPr="005A4F1E">
        <w:t>of</w:t>
      </w:r>
      <w:r w:rsidR="004D0D32" w:rsidRPr="005A4F1E">
        <w:t xml:space="preserve"> </w:t>
      </w:r>
      <w:r w:rsidR="00FC644C" w:rsidRPr="005A4F1E">
        <w:t>the</w:t>
      </w:r>
      <w:r w:rsidR="004D0D32" w:rsidRPr="005A4F1E">
        <w:t xml:space="preserve"> category </w:t>
      </w:r>
      <w:r w:rsidR="00C320C1" w:rsidRPr="005A4F1E">
        <w:t>that</w:t>
      </w:r>
      <w:r w:rsidR="00FC644C" w:rsidRPr="005A4F1E">
        <w:t xml:space="preserve"> </w:t>
      </w:r>
      <w:r w:rsidR="004D0D32" w:rsidRPr="005A4F1E">
        <w:t>each new record belong</w:t>
      </w:r>
      <w:r w:rsidR="005D51DD" w:rsidRPr="005A4F1E">
        <w:t>s</w:t>
      </w:r>
      <w:r w:rsidR="004D0D32" w:rsidRPr="005A4F1E">
        <w:t xml:space="preserve"> </w:t>
      </w:r>
      <w:r w:rsidR="00C320C1" w:rsidRPr="005A4F1E">
        <w:t xml:space="preserve">to </w:t>
      </w:r>
      <w:r w:rsidR="004D0D32" w:rsidRPr="005A4F1E">
        <w:t>is then compared with the true category label</w:t>
      </w:r>
      <w:r w:rsidR="00C320C1" w:rsidRPr="005A4F1E">
        <w:t>s</w:t>
      </w:r>
      <w:r w:rsidR="004D0D32" w:rsidRPr="005A4F1E">
        <w:t>. If the model</w:t>
      </w:r>
      <w:r w:rsidR="00023E79" w:rsidRPr="005A4F1E">
        <w:t>’s</w:t>
      </w:r>
      <w:r w:rsidR="004D0D32" w:rsidRPr="005A4F1E">
        <w:t xml:space="preserve"> performance is satisfactory</w:t>
      </w:r>
      <w:r w:rsidR="005D51DD" w:rsidRPr="005A4F1E">
        <w:t>,</w:t>
      </w:r>
      <w:r w:rsidR="004D0D32" w:rsidRPr="005A4F1E">
        <w:t xml:space="preserve"> </w:t>
      </w:r>
      <w:r w:rsidR="00C320C1" w:rsidRPr="005A4F1E">
        <w:t>it</w:t>
      </w:r>
      <w:r w:rsidR="004D0D32" w:rsidRPr="005A4F1E">
        <w:t xml:space="preserve"> can be used to make predictions for new data </w:t>
      </w:r>
      <w:r w:rsidR="005D51DD" w:rsidRPr="005A4F1E">
        <w:t xml:space="preserve">records </w:t>
      </w:r>
      <w:r w:rsidR="004D0D32" w:rsidRPr="005A4F1E">
        <w:t>where the categories are not yet known.</w:t>
      </w:r>
    </w:p>
    <w:p w14:paraId="5A7A7113" w14:textId="77777777" w:rsidR="00BE74C0" w:rsidRPr="005A4F1E" w:rsidRDefault="00891A70" w:rsidP="006B5094">
      <w:pPr>
        <w:pStyle w:val="Text"/>
      </w:pPr>
      <w:r w:rsidRPr="005A4F1E">
        <w:t xml:space="preserve">In the context of apprentice and trainee completion rates, machine learning methodology has been developed by the Australian Institute for Machine Learning (AIML) to predict the final status (completed, </w:t>
      </w:r>
      <w:r w:rsidR="005D51DD" w:rsidRPr="005A4F1E">
        <w:t>cancelled/withdrawn</w:t>
      </w:r>
      <w:r w:rsidRPr="005A4F1E">
        <w:t>)</w:t>
      </w:r>
      <w:r w:rsidR="004D0D32" w:rsidRPr="005A4F1E">
        <w:t xml:space="preserve"> of apprentice and trainee contracts of training,</w:t>
      </w:r>
      <w:r w:rsidRPr="005A4F1E">
        <w:t xml:space="preserve"> based on the attributes of the contracts when they commenced.</w:t>
      </w:r>
      <w:r w:rsidR="004D0D32" w:rsidRPr="005A4F1E">
        <w:t xml:space="preserve"> </w:t>
      </w:r>
      <w:r w:rsidRPr="005A4F1E">
        <w:t>The example records</w:t>
      </w:r>
      <w:r w:rsidR="004D0D32" w:rsidRPr="005A4F1E">
        <w:t xml:space="preserve"> used to train the model</w:t>
      </w:r>
      <w:r w:rsidRPr="005A4F1E">
        <w:t xml:space="preserve"> include information about the attributes of the</w:t>
      </w:r>
      <w:r w:rsidR="004D0D32" w:rsidRPr="005A4F1E">
        <w:t xml:space="preserve"> client, </w:t>
      </w:r>
      <w:r w:rsidR="005D51DD" w:rsidRPr="005A4F1E">
        <w:t>the</w:t>
      </w:r>
      <w:r w:rsidR="004D0D32" w:rsidRPr="005A4F1E">
        <w:t xml:space="preserve"> training being undertaken, and the employer</w:t>
      </w:r>
      <w:r w:rsidR="005D51DD" w:rsidRPr="005A4F1E">
        <w:t>, among others</w:t>
      </w:r>
      <w:r w:rsidR="004D0D32" w:rsidRPr="005A4F1E">
        <w:t>.</w:t>
      </w:r>
      <w:r w:rsidR="00C320C1" w:rsidRPr="005A4F1E">
        <w:t xml:space="preserve"> After </w:t>
      </w:r>
    </w:p>
    <w:p w14:paraId="02D8ADB3" w14:textId="77777777" w:rsidR="00BE74C0" w:rsidRPr="005B4E87" w:rsidRDefault="00BE74C0">
      <w:pPr>
        <w:spacing w:before="0" w:line="240" w:lineRule="auto"/>
        <w:rPr>
          <w:highlight w:val="green"/>
        </w:rPr>
      </w:pPr>
      <w:r w:rsidRPr="005B4E87">
        <w:rPr>
          <w:highlight w:val="green"/>
        </w:rPr>
        <w:br w:type="page"/>
      </w:r>
    </w:p>
    <w:p w14:paraId="6D3B8F2A" w14:textId="2650BFBE" w:rsidR="008D0834" w:rsidRPr="005A4F1E" w:rsidRDefault="00C320C1" w:rsidP="006B5094">
      <w:pPr>
        <w:pStyle w:val="Text"/>
      </w:pPr>
      <w:r w:rsidRPr="005A4F1E">
        <w:lastRenderedPageBreak/>
        <w:t>training and evaluating the model, it is used to predict whether new contracts will result in a completion. Cohort completion rates are calculated by averaging individual predictions within a cohort. Further detail of this approach is included in appendix A, including the full list of attributes included in the modelling.</w:t>
      </w:r>
    </w:p>
    <w:p w14:paraId="59C56536" w14:textId="61147619" w:rsidR="0089616B" w:rsidRDefault="00C46DA0" w:rsidP="00EE4434">
      <w:pPr>
        <w:pStyle w:val="Text"/>
      </w:pPr>
      <w:r w:rsidRPr="005A4F1E">
        <w:t>With</w:t>
      </w:r>
      <w:r w:rsidR="008D0834" w:rsidRPr="005A4F1E">
        <w:t xml:space="preserve"> many attributes and the patterns driving training outcomes likely to be complex, </w:t>
      </w:r>
      <w:r w:rsidR="001C1324" w:rsidRPr="005A4F1E">
        <w:t>deep learning</w:t>
      </w:r>
      <w:r w:rsidR="008D0834" w:rsidRPr="005A4F1E">
        <w:t xml:space="preserve"> approach</w:t>
      </w:r>
      <w:r w:rsidR="001C1324" w:rsidRPr="005A4F1E">
        <w:t>es</w:t>
      </w:r>
      <w:r w:rsidR="008D0834" w:rsidRPr="005A4F1E">
        <w:t xml:space="preserve"> </w:t>
      </w:r>
      <w:r w:rsidR="001C1324" w:rsidRPr="005A4F1E">
        <w:t xml:space="preserve">were </w:t>
      </w:r>
      <w:r w:rsidR="009A7ACA" w:rsidRPr="005A4F1E">
        <w:t>considered appropriate</w:t>
      </w:r>
      <w:r w:rsidR="00C5324D" w:rsidRPr="005A4F1E">
        <w:t xml:space="preserve"> for this task</w:t>
      </w:r>
      <w:r w:rsidR="008D0834" w:rsidRPr="005A4F1E">
        <w:t xml:space="preserve">. </w:t>
      </w:r>
      <w:r w:rsidR="001C1324" w:rsidRPr="005A4F1E">
        <w:t>Deep learning methods are powerful for learning rich representations (LeCun</w:t>
      </w:r>
      <w:r w:rsidR="00C320C1" w:rsidRPr="005A4F1E">
        <w:t>, Bengio</w:t>
      </w:r>
      <w:r w:rsidR="001C1324" w:rsidRPr="005A4F1E">
        <w:t xml:space="preserve"> &amp; Hinton 2015).</w:t>
      </w:r>
      <w:r w:rsidR="00C320C1" w:rsidRPr="005A4F1E">
        <w:t xml:space="preserve"> This methodology draws on more extensive information about each contract than do the life tables and Markov chains methodologies because it relies on patterns among contract attributes to differentiate between those that will later complete and those that will not complete.</w:t>
      </w:r>
      <w:r w:rsidR="0089616B">
        <w:br w:type="page"/>
      </w:r>
    </w:p>
    <w:p w14:paraId="066E5459" w14:textId="187F8466" w:rsidR="005F7BFD" w:rsidRDefault="002173AB" w:rsidP="000A5A49">
      <w:pPr>
        <w:pStyle w:val="Heading1"/>
      </w:pPr>
      <w:bookmarkStart w:id="42" w:name="_Toc78364753"/>
      <w:r w:rsidRPr="00BE5DCB">
        <w:rPr>
          <w:noProof/>
          <w:lang w:eastAsia="en-AU"/>
        </w:rPr>
        <w:lastRenderedPageBreak/>
        <w:drawing>
          <wp:anchor distT="0" distB="0" distL="114300" distR="114300" simplePos="0" relativeHeight="252049408" behindDoc="1" locked="0" layoutInCell="1" allowOverlap="1" wp14:anchorId="6F070C2D" wp14:editId="28020909">
            <wp:simplePos x="0" y="0"/>
            <wp:positionH relativeFrom="column">
              <wp:posOffset>-39370</wp:posOffset>
            </wp:positionH>
            <wp:positionV relativeFrom="paragraph">
              <wp:posOffset>58420</wp:posOffset>
            </wp:positionV>
            <wp:extent cx="419100" cy="419100"/>
            <wp:effectExtent l="0" t="0" r="0" b="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419100" cy="419100"/>
                    </a:xfrm>
                    <a:prstGeom prst="rect">
                      <a:avLst/>
                    </a:prstGeom>
                    <a:noFill/>
                    <a:ln>
                      <a:noFill/>
                    </a:ln>
                  </pic:spPr>
                </pic:pic>
              </a:graphicData>
            </a:graphic>
            <wp14:sizeRelH relativeFrom="page">
              <wp14:pctWidth>0</wp14:pctWidth>
            </wp14:sizeRelH>
            <wp14:sizeRelV relativeFrom="page">
              <wp14:pctHeight>0</wp14:pctHeight>
            </wp14:sizeRelV>
          </wp:anchor>
        </w:drawing>
      </w:r>
      <w:r w:rsidR="005F7BFD">
        <w:t>Comparing the accuracy of</w:t>
      </w:r>
      <w:r w:rsidR="0047640F">
        <w:t xml:space="preserve"> projected completion rate</w:t>
      </w:r>
      <w:r w:rsidR="00281974">
        <w:t>s</w:t>
      </w:r>
      <w:bookmarkEnd w:id="42"/>
    </w:p>
    <w:p w14:paraId="7934007D" w14:textId="5EC4578F" w:rsidR="00AB75DF" w:rsidRDefault="007B6A13" w:rsidP="00687845">
      <w:pPr>
        <w:pStyle w:val="Text"/>
      </w:pPr>
      <w:r>
        <w:t xml:space="preserve">This section presents </w:t>
      </w:r>
      <w:r w:rsidR="00382E17">
        <w:t>a comparison of</w:t>
      </w:r>
      <w:r>
        <w:t xml:space="preserve"> the performance of the three projection methodologies</w:t>
      </w:r>
      <w:r w:rsidR="00BA5E07">
        <w:t xml:space="preserve"> described </w:t>
      </w:r>
      <w:r w:rsidR="00DD6B28">
        <w:t>in the previous chapter</w:t>
      </w:r>
      <w:r>
        <w:t>.</w:t>
      </w:r>
    </w:p>
    <w:p w14:paraId="2660BD1C" w14:textId="4D2AC03A" w:rsidR="00687845" w:rsidRDefault="00687845" w:rsidP="00687845">
      <w:pPr>
        <w:pStyle w:val="Text"/>
      </w:pPr>
      <w:r>
        <w:t xml:space="preserve">To generate a projected completion rate for a given cohort of interest, each methodology follows </w:t>
      </w:r>
      <w:r w:rsidR="006E6A12">
        <w:t xml:space="preserve">a </w:t>
      </w:r>
      <w:r>
        <w:t>two-stage approach:</w:t>
      </w:r>
    </w:p>
    <w:p w14:paraId="68439C35" w14:textId="77777777" w:rsidR="00687845" w:rsidRDefault="00687845" w:rsidP="00BE74C0">
      <w:pPr>
        <w:pStyle w:val="Dotpoint1"/>
      </w:pPr>
      <w:r>
        <w:t>building a model based on recent historical data</w:t>
      </w:r>
    </w:p>
    <w:p w14:paraId="04CC9093" w14:textId="0EB8633E" w:rsidR="00687845" w:rsidRDefault="00687845" w:rsidP="00E168B5">
      <w:pPr>
        <w:pStyle w:val="Dotpoint1"/>
        <w:ind w:left="284" w:hanging="284"/>
      </w:pPr>
      <w:r>
        <w:t xml:space="preserve">applying the model to a </w:t>
      </w:r>
      <w:r w:rsidR="007C4507">
        <w:t xml:space="preserve">new commencing </w:t>
      </w:r>
      <w:r>
        <w:t xml:space="preserve">cohort to make </w:t>
      </w:r>
      <w:r w:rsidR="00A35B1F">
        <w:t xml:space="preserve">a </w:t>
      </w:r>
      <w:r>
        <w:t xml:space="preserve">projection of </w:t>
      </w:r>
      <w:r w:rsidR="007C4507">
        <w:t xml:space="preserve">the </w:t>
      </w:r>
      <w:r>
        <w:t xml:space="preserve">completion rate for that </w:t>
      </w:r>
      <w:r w:rsidR="00A3551B">
        <w:t>cohort</w:t>
      </w:r>
      <w:r>
        <w:t>.</w:t>
      </w:r>
    </w:p>
    <w:p w14:paraId="0BEE320E" w14:textId="593A44BD" w:rsidR="00687845" w:rsidRDefault="00687845" w:rsidP="00687845">
      <w:pPr>
        <w:pStyle w:val="Text"/>
      </w:pPr>
      <w:r>
        <w:t>The data requirements for stage 1 (building the model) are different for each methodology. These</w:t>
      </w:r>
      <w:r w:rsidR="0061502E">
        <w:t xml:space="preserve"> data requirements</w:t>
      </w:r>
      <w:r>
        <w:t xml:space="preserve"> are de</w:t>
      </w:r>
      <w:r w:rsidR="0061502E">
        <w:t>tailed</w:t>
      </w:r>
      <w:r>
        <w:t xml:space="preserve"> in appendix </w:t>
      </w:r>
      <w:r w:rsidR="00A35B1F">
        <w:t>B</w:t>
      </w:r>
      <w:r>
        <w:t>.</w:t>
      </w:r>
    </w:p>
    <w:p w14:paraId="6A589CE5" w14:textId="28245594" w:rsidR="00687845" w:rsidRDefault="00687845" w:rsidP="00687845">
      <w:pPr>
        <w:pStyle w:val="Text"/>
      </w:pPr>
      <w:r>
        <w:t xml:space="preserve">For this comparison, completion rates have been projected separately for </w:t>
      </w:r>
      <w:r w:rsidR="00753894">
        <w:t xml:space="preserve">the </w:t>
      </w:r>
      <w:r>
        <w:t>trade and non-trade cohorts</w:t>
      </w:r>
      <w:r w:rsidR="00A35B1F">
        <w:t xml:space="preserve"> </w:t>
      </w:r>
      <w:r w:rsidR="003409D6">
        <w:t>who</w:t>
      </w:r>
      <w:r w:rsidR="00A35B1F">
        <w:t xml:space="preserve"> commenced in 2013, 2014 and 2015</w:t>
      </w:r>
      <w:r>
        <w:t xml:space="preserve">. </w:t>
      </w:r>
      <w:r w:rsidR="00133F01">
        <w:t>T</w:t>
      </w:r>
      <w:r w:rsidR="00AB75DF">
        <w:t xml:space="preserve">he </w:t>
      </w:r>
      <w:r w:rsidR="00133F01">
        <w:t>performance of each methodology</w:t>
      </w:r>
      <w:r w:rsidR="00AB75DF">
        <w:t xml:space="preserve"> has been evaluated by comparing the projected completion rate for each cohort to the </w:t>
      </w:r>
      <w:r w:rsidR="006366AC">
        <w:t xml:space="preserve">observed </w:t>
      </w:r>
      <w:r w:rsidR="00133F01">
        <w:t xml:space="preserve">actual completion rate for </w:t>
      </w:r>
      <w:r w:rsidR="00AB75DF">
        <w:t>that cohort</w:t>
      </w:r>
      <w:r w:rsidR="00F33BB9">
        <w:t>.</w:t>
      </w:r>
      <w:r w:rsidR="006366AC">
        <w:rPr>
          <w:rStyle w:val="FootnoteReference"/>
        </w:rPr>
        <w:footnoteReference w:id="4"/>
      </w:r>
      <w:r w:rsidR="00133F01">
        <w:t xml:space="preserve"> </w:t>
      </w:r>
      <w:r w:rsidR="00AB75DF">
        <w:t>The years 2013</w:t>
      </w:r>
      <w:r w:rsidR="00F33BB9">
        <w:t xml:space="preserve"> to </w:t>
      </w:r>
      <w:r w:rsidR="00AB75DF" w:rsidRPr="00CD73D9">
        <w:t>2015 were chosen to match the data that w</w:t>
      </w:r>
      <w:r w:rsidR="00CD73D9">
        <w:t>ere</w:t>
      </w:r>
      <w:r w:rsidR="00AB75DF">
        <w:t xml:space="preserve"> readily available for </w:t>
      </w:r>
      <w:r w:rsidR="006B6733">
        <w:t xml:space="preserve">the most </w:t>
      </w:r>
      <w:r w:rsidR="00AB75DF">
        <w:t xml:space="preserve">direct comparison </w:t>
      </w:r>
      <w:r w:rsidR="00530AFB">
        <w:t>of</w:t>
      </w:r>
      <w:r w:rsidR="00AB75DF">
        <w:t xml:space="preserve"> </w:t>
      </w:r>
      <w:r w:rsidR="00F45ABC">
        <w:t xml:space="preserve">the </w:t>
      </w:r>
      <w:r w:rsidR="00AB75DF">
        <w:t xml:space="preserve">projections </w:t>
      </w:r>
      <w:r w:rsidR="00F45ABC">
        <w:t>a</w:t>
      </w:r>
      <w:r w:rsidR="005D245B">
        <w:t>ttained</w:t>
      </w:r>
      <w:r w:rsidR="00F45ABC">
        <w:t xml:space="preserve"> </w:t>
      </w:r>
      <w:r w:rsidR="00AB75DF">
        <w:t>using the life tables, Markov chains and machine learning methodologies.</w:t>
      </w:r>
    </w:p>
    <w:p w14:paraId="6739E6A8" w14:textId="32F0FA0F" w:rsidR="00687845" w:rsidRDefault="00687845" w:rsidP="00687845">
      <w:pPr>
        <w:pStyle w:val="Text"/>
      </w:pPr>
      <w:r>
        <w:t>To sum</w:t>
      </w:r>
      <w:r w:rsidR="009F761F">
        <w:t>marise</w:t>
      </w:r>
      <w:r>
        <w:t xml:space="preserve"> the </w:t>
      </w:r>
      <w:r w:rsidR="005631D4">
        <w:t>outcomes</w:t>
      </w:r>
      <w:r>
        <w:t xml:space="preserve"> of this evaluation exercise:</w:t>
      </w:r>
    </w:p>
    <w:p w14:paraId="54FABC32" w14:textId="53BBB49D" w:rsidR="00687845" w:rsidRDefault="00AF40FB" w:rsidP="00BE74C0">
      <w:pPr>
        <w:pStyle w:val="Dotpoint1"/>
        <w:ind w:left="284" w:hanging="284"/>
      </w:pPr>
      <w:r>
        <w:t>C</w:t>
      </w:r>
      <w:r w:rsidR="00687845">
        <w:t>ontract completion rates have been projected using three methodologies: life tables, Markov chains, and machine learning</w:t>
      </w:r>
      <w:r>
        <w:t>.</w:t>
      </w:r>
    </w:p>
    <w:p w14:paraId="5A879EB1" w14:textId="630CC745" w:rsidR="00687845" w:rsidRDefault="00AF40FB" w:rsidP="00746DE5">
      <w:pPr>
        <w:pStyle w:val="Dotpoint1"/>
      </w:pPr>
      <w:r>
        <w:t>C</w:t>
      </w:r>
      <w:r w:rsidR="00687845">
        <w:t>ompletion rates have been projected separately for trade and non-trade cohorts</w:t>
      </w:r>
      <w:r>
        <w:t>.</w:t>
      </w:r>
    </w:p>
    <w:p w14:paraId="6447A571" w14:textId="04EE42D5" w:rsidR="00687845" w:rsidRDefault="00AF40FB" w:rsidP="00746DE5">
      <w:pPr>
        <w:pStyle w:val="Dotpoint1"/>
      </w:pPr>
      <w:r>
        <w:t>C</w:t>
      </w:r>
      <w:r w:rsidR="00687845">
        <w:t>ompletion rates have been projected for cohorts commencing in 2013, 2014 and 2015</w:t>
      </w:r>
      <w:r w:rsidR="00EA000F">
        <w:t>.</w:t>
      </w:r>
    </w:p>
    <w:p w14:paraId="129CD399" w14:textId="4386A30C" w:rsidR="00687845" w:rsidRDefault="00AF40FB" w:rsidP="00BE74C0">
      <w:pPr>
        <w:pStyle w:val="Dotpoint1"/>
        <w:ind w:left="284" w:hanging="284"/>
      </w:pPr>
      <w:r>
        <w:t>T</w:t>
      </w:r>
      <w:r w:rsidR="00687845">
        <w:t xml:space="preserve">he accuracy of each projected rate has been evaluated against the </w:t>
      </w:r>
      <w:r w:rsidR="006366AC">
        <w:t xml:space="preserve">observed </w:t>
      </w:r>
      <w:r w:rsidR="00687845">
        <w:t>actual completion rate for that cohort</w:t>
      </w:r>
      <w:r w:rsidR="00EA000F">
        <w:t>,</w:t>
      </w:r>
      <w:r w:rsidR="00DB4A49">
        <w:t xml:space="preserve"> as calculated directly from the data</w:t>
      </w:r>
      <w:r w:rsidR="00687845">
        <w:t>.</w:t>
      </w:r>
    </w:p>
    <w:p w14:paraId="17682C6D" w14:textId="086C4504" w:rsidR="0033676A" w:rsidRDefault="00AB75DF" w:rsidP="0033676A">
      <w:pPr>
        <w:pStyle w:val="Heading2"/>
      </w:pPr>
      <w:bookmarkStart w:id="43" w:name="_Toc78364754"/>
      <w:r>
        <w:t>Projected</w:t>
      </w:r>
      <w:r w:rsidR="0033676A">
        <w:t xml:space="preserve"> </w:t>
      </w:r>
      <w:r w:rsidR="00687845">
        <w:t>completion rates</w:t>
      </w:r>
      <w:r>
        <w:t>: accuracy</w:t>
      </w:r>
      <w:bookmarkEnd w:id="43"/>
    </w:p>
    <w:p w14:paraId="53E937AF" w14:textId="77777777" w:rsidR="00A3551B" w:rsidRDefault="00417994" w:rsidP="00A717C9">
      <w:pPr>
        <w:pStyle w:val="Text"/>
      </w:pPr>
      <w:r>
        <w:t xml:space="preserve">Figure </w:t>
      </w:r>
      <w:r w:rsidR="004B6C20">
        <w:t>2</w:t>
      </w:r>
      <w:r>
        <w:t xml:space="preserve"> shows a comparison of the projected rates for each of the methodologies</w:t>
      </w:r>
      <w:r w:rsidR="00AB75DF">
        <w:t xml:space="preserve"> for </w:t>
      </w:r>
      <w:r w:rsidR="00FC5243">
        <w:t xml:space="preserve">the </w:t>
      </w:r>
      <w:r w:rsidR="00AB75DF">
        <w:t xml:space="preserve">trade and non-trade cohorts </w:t>
      </w:r>
      <w:r w:rsidR="00C248C0">
        <w:t xml:space="preserve">who </w:t>
      </w:r>
      <w:r w:rsidR="00AB75DF">
        <w:t>commenc</w:t>
      </w:r>
      <w:r w:rsidR="00C248C0">
        <w:t>ed</w:t>
      </w:r>
      <w:r w:rsidR="00AB75DF">
        <w:t xml:space="preserve"> </w:t>
      </w:r>
      <w:r w:rsidR="00E973C7">
        <w:t>between</w:t>
      </w:r>
      <w:r w:rsidR="00932BC9">
        <w:t xml:space="preserve"> 2013</w:t>
      </w:r>
      <w:r w:rsidR="00E973C7">
        <w:t xml:space="preserve"> and </w:t>
      </w:r>
      <w:r w:rsidR="00932BC9">
        <w:t>2015</w:t>
      </w:r>
      <w:r>
        <w:t xml:space="preserve">. </w:t>
      </w:r>
      <w:r w:rsidR="00A3551B" w:rsidRPr="005A4F1E">
        <w:t>The Markov chains and machine learning methodologies calculate projected completion rates for annual commencing cohorts. Under the life tables methodology, projected completion rates are calculated for the December commencing cohorts, which are taken as proxy rates for the annual commencing cohort.</w:t>
      </w:r>
    </w:p>
    <w:p w14:paraId="080727E5" w14:textId="14F3C9BD" w:rsidR="00A717C9" w:rsidRDefault="00AB75DF" w:rsidP="00A717C9">
      <w:pPr>
        <w:pStyle w:val="Text"/>
      </w:pPr>
      <w:r>
        <w:lastRenderedPageBreak/>
        <w:t xml:space="preserve">The </w:t>
      </w:r>
      <w:r w:rsidR="004B6C20">
        <w:t xml:space="preserve">observed </w:t>
      </w:r>
      <w:r>
        <w:t>actual completion r</w:t>
      </w:r>
      <w:r w:rsidRPr="005A4F1E">
        <w:t xml:space="preserve">ate for each </w:t>
      </w:r>
      <w:r w:rsidR="00A3551B" w:rsidRPr="005A4F1E">
        <w:t xml:space="preserve">annual </w:t>
      </w:r>
      <w:r w:rsidRPr="005A4F1E">
        <w:t>cohort</w:t>
      </w:r>
      <w:r>
        <w:t xml:space="preserve"> is depicted by the black solid line. The actual rates have been calculated directly from the data </w:t>
      </w:r>
      <w:r w:rsidR="0045171A">
        <w:t xml:space="preserve">from a point in time </w:t>
      </w:r>
      <w:r w:rsidR="00E973C7">
        <w:t>five</w:t>
      </w:r>
      <w:r w:rsidR="0045171A">
        <w:t xml:space="preserve"> years after the commence</w:t>
      </w:r>
      <w:r w:rsidR="009F7244">
        <w:t>ment year for the cohort</w:t>
      </w:r>
      <w:r>
        <w:t>, as published by NCVER</w:t>
      </w:r>
      <w:r w:rsidR="00E973C7">
        <w:t>.</w:t>
      </w:r>
      <w:r w:rsidR="0061502E">
        <w:rPr>
          <w:rStyle w:val="FootnoteReference"/>
        </w:rPr>
        <w:footnoteReference w:id="5"/>
      </w:r>
    </w:p>
    <w:p w14:paraId="649CFA6B" w14:textId="5B0C1502" w:rsidR="00D57A64" w:rsidRDefault="00DF31B5" w:rsidP="0036400E">
      <w:pPr>
        <w:pStyle w:val="Figuretitle"/>
      </w:pPr>
      <w:bookmarkStart w:id="44" w:name="_Toc75437723"/>
      <w:r>
        <w:t xml:space="preserve">Figure </w:t>
      </w:r>
      <w:r w:rsidR="00391D8C">
        <w:t>2</w:t>
      </w:r>
      <w:r>
        <w:tab/>
      </w:r>
      <w:r w:rsidR="0058128E">
        <w:t>Observed actual and p</w:t>
      </w:r>
      <w:r w:rsidR="0058128E" w:rsidRPr="005E30CE">
        <w:t>rojected contract completion rates</w:t>
      </w:r>
      <w:r w:rsidR="0036400E">
        <w:t xml:space="preserve"> by trade and non-trade occupations</w:t>
      </w:r>
      <w:r w:rsidR="0058128E" w:rsidRPr="005E30CE">
        <w:t xml:space="preserve">, for </w:t>
      </w:r>
      <w:r w:rsidR="0036400E">
        <w:t>annual cohorts</w:t>
      </w:r>
      <w:r w:rsidR="0058128E" w:rsidRPr="005E30CE">
        <w:t xml:space="preserve"> commencing 201</w:t>
      </w:r>
      <w:r w:rsidR="0036400E">
        <w:t>3</w:t>
      </w:r>
      <w:r w:rsidR="008B66BB">
        <w:rPr>
          <w:rFonts w:cs="Arial"/>
        </w:rPr>
        <w:t>−</w:t>
      </w:r>
      <w:r w:rsidR="0036400E">
        <w:t>15</w:t>
      </w:r>
      <w:bookmarkEnd w:id="44"/>
      <w:r w:rsidR="003D3125">
        <w:t xml:space="preserve"> (%)</w:t>
      </w:r>
    </w:p>
    <w:p w14:paraId="0A1E4E9C" w14:textId="4637ACAC" w:rsidR="00D57A64" w:rsidRDefault="009F7244" w:rsidP="00DF31B5">
      <w:pPr>
        <w:pStyle w:val="Source"/>
        <w:ind w:left="0" w:firstLine="0"/>
      </w:pPr>
      <w:r>
        <w:rPr>
          <w:noProof/>
        </w:rPr>
        <mc:AlternateContent>
          <mc:Choice Requires="wpg">
            <w:drawing>
              <wp:inline distT="0" distB="0" distL="0" distR="0" wp14:anchorId="60E81DF8" wp14:editId="7AC9C5A2">
                <wp:extent cx="5210175" cy="3245192"/>
                <wp:effectExtent l="0" t="0" r="0" b="0"/>
                <wp:docPr id="10" name="Group 12"/>
                <wp:cNvGraphicFramePr/>
                <a:graphic xmlns:a="http://schemas.openxmlformats.org/drawingml/2006/main">
                  <a:graphicData uri="http://schemas.microsoft.com/office/word/2010/wordprocessingGroup">
                    <wpg:wgp>
                      <wpg:cNvGrpSpPr/>
                      <wpg:grpSpPr>
                        <a:xfrm>
                          <a:off x="0" y="0"/>
                          <a:ext cx="5210175" cy="3245192"/>
                          <a:chOff x="0" y="0"/>
                          <a:chExt cx="4420250" cy="3245192"/>
                        </a:xfrm>
                      </wpg:grpSpPr>
                      <wpg:graphicFrame>
                        <wpg:cNvPr id="11" name="Chart 11"/>
                        <wpg:cNvFrPr>
                          <a:graphicFrameLocks/>
                        </wpg:cNvFrPr>
                        <wpg:xfrm>
                          <a:off x="2508905" y="13"/>
                          <a:ext cx="1911345" cy="3245179"/>
                        </wpg:xfrm>
                        <a:graphic>
                          <a:graphicData uri="http://schemas.openxmlformats.org/drawingml/2006/chart">
                            <c:chart xmlns:c="http://schemas.openxmlformats.org/drawingml/2006/chart" xmlns:r="http://schemas.openxmlformats.org/officeDocument/2006/relationships" r:id="rId35"/>
                          </a:graphicData>
                        </a:graphic>
                      </wpg:graphicFrame>
                      <wpg:graphicFrame>
                        <wpg:cNvPr id="12" name="Chart 12"/>
                        <wpg:cNvFrPr>
                          <a:graphicFrameLocks/>
                        </wpg:cNvFrPr>
                        <wpg:xfrm>
                          <a:off x="0" y="0"/>
                          <a:ext cx="2587072" cy="3237983"/>
                        </wpg:xfrm>
                        <a:graphic>
                          <a:graphicData uri="http://schemas.openxmlformats.org/drawingml/2006/chart">
                            <c:chart xmlns:c="http://schemas.openxmlformats.org/drawingml/2006/chart" xmlns:r="http://schemas.openxmlformats.org/officeDocument/2006/relationships" r:id="rId36"/>
                          </a:graphicData>
                        </a:graphic>
                      </wpg:graphicFrame>
                    </wpg:wgp>
                  </a:graphicData>
                </a:graphic>
              </wp:inline>
            </w:drawing>
          </mc:Choice>
          <mc:Fallback>
            <w:pict>
              <v:group w14:anchorId="4E8C4E13" id="Group 12" o:spid="_x0000_s1026" style="width:410.25pt;height:255.55pt;mso-position-horizontal-relative:char;mso-position-vertical-relative:line" coordsize="44202,32451" o:gfxdata="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">
                <v:shape id="Chart 11" o:spid="_x0000_s1027" type="#_x0000_t75" style="position:absolute;left:25083;width:19135;height:3243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">
                  <v:imagedata r:id="rId37" o:title=""/>
                  <o:lock v:ext="edit" aspectratio="f"/>
                </v:shape>
                <v:shape id="Chart 12" o:spid="_x0000_s1028" type="#_x0000_t75" style="position:absolute;width:25858;height:3236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">
                  <v:imagedata r:id="rId38" o:title=""/>
                  <o:lock v:ext="edit" aspectratio="f"/>
                </v:shape>
                <w10:anchorlock/>
              </v:group>
            </w:pict>
          </mc:Fallback>
        </mc:AlternateContent>
      </w:r>
    </w:p>
    <w:p w14:paraId="2600B05D" w14:textId="19BBC8BA" w:rsidR="00DF31B5" w:rsidRDefault="00391D8C" w:rsidP="003D3125">
      <w:pPr>
        <w:pStyle w:val="Source"/>
        <w:spacing w:before="160"/>
      </w:pPr>
      <w:r w:rsidRPr="0036400E">
        <w:t xml:space="preserve">Source: </w:t>
      </w:r>
      <w:r w:rsidR="0036400E" w:rsidRPr="0036400E">
        <w:t xml:space="preserve">Actual rates have been calculated from </w:t>
      </w:r>
      <w:r w:rsidRPr="0036400E">
        <w:t>National Apprentice and Trainee Collection nos</w:t>
      </w:r>
      <w:r w:rsidR="00432473">
        <w:t>.</w:t>
      </w:r>
      <w:r w:rsidRPr="0036400E">
        <w:t xml:space="preserve"> 9</w:t>
      </w:r>
      <w:r w:rsidR="0036400E" w:rsidRPr="0036400E">
        <w:t xml:space="preserve">9, </w:t>
      </w:r>
      <w:r w:rsidRPr="0036400E">
        <w:t>10</w:t>
      </w:r>
      <w:r w:rsidR="0036400E" w:rsidRPr="0036400E">
        <w:t xml:space="preserve">3 </w:t>
      </w:r>
      <w:r w:rsidR="00E75A95">
        <w:t>and</w:t>
      </w:r>
      <w:r w:rsidR="0036400E" w:rsidRPr="0036400E">
        <w:t xml:space="preserve"> 107</w:t>
      </w:r>
      <w:r w:rsidRPr="0036400E">
        <w:t xml:space="preserve"> (March </w:t>
      </w:r>
      <w:r w:rsidR="0036400E" w:rsidRPr="0036400E">
        <w:t>estimate</w:t>
      </w:r>
      <w:r w:rsidRPr="0036400E">
        <w:t>s</w:t>
      </w:r>
      <w:r w:rsidR="0036400E" w:rsidRPr="0036400E">
        <w:t xml:space="preserve"> 2019</w:t>
      </w:r>
      <w:r w:rsidR="002A1517">
        <w:rPr>
          <w:rFonts w:cs="Arial"/>
        </w:rPr>
        <w:t>−</w:t>
      </w:r>
      <w:r w:rsidR="0036400E" w:rsidRPr="0036400E">
        <w:t>21</w:t>
      </w:r>
      <w:r w:rsidRPr="0036400E">
        <w:t>).</w:t>
      </w:r>
      <w:r w:rsidR="002A1517">
        <w:t xml:space="preserve"> </w:t>
      </w:r>
      <w:r w:rsidR="0036400E">
        <w:t xml:space="preserve">Data sources for </w:t>
      </w:r>
      <w:r w:rsidR="00C9056B">
        <w:t xml:space="preserve">the </w:t>
      </w:r>
      <w:r w:rsidR="0036400E">
        <w:t xml:space="preserve">projected rates vary according to the methodology (see </w:t>
      </w:r>
      <w:r w:rsidR="002A1517">
        <w:t>a</w:t>
      </w:r>
      <w:r w:rsidR="0036400E">
        <w:t>ppendix B).</w:t>
      </w:r>
    </w:p>
    <w:p w14:paraId="075C6D12" w14:textId="2536373F" w:rsidR="00153104" w:rsidRDefault="00793626" w:rsidP="00DF31B5">
      <w:pPr>
        <w:pStyle w:val="Text"/>
      </w:pPr>
      <w:r>
        <w:t>In addition to visualising the projected rates alongside the actual rates, it is useful to visualise the error associated with each projection (f</w:t>
      </w:r>
      <w:r w:rsidR="00932BC9">
        <w:t xml:space="preserve">igure </w:t>
      </w:r>
      <w:r w:rsidR="000F59F1">
        <w:t>3</w:t>
      </w:r>
      <w:r>
        <w:t>).</w:t>
      </w:r>
      <w:r w:rsidR="00932BC9">
        <w:t xml:space="preserve"> </w:t>
      </w:r>
      <w:r>
        <w:t>For the three years examined, for trade and non-trade contracts, all three methodologies have</w:t>
      </w:r>
      <w:r w:rsidR="00153104">
        <w:t xml:space="preserve"> absolute</w:t>
      </w:r>
      <w:r>
        <w:t xml:space="preserve"> error rates of </w:t>
      </w:r>
      <w:r w:rsidR="00355383">
        <w:t>fewer</w:t>
      </w:r>
      <w:r>
        <w:t xml:space="preserve"> than </w:t>
      </w:r>
      <w:r w:rsidR="002A1517">
        <w:t>five</w:t>
      </w:r>
      <w:r>
        <w:t xml:space="preserve"> percentage points.</w:t>
      </w:r>
    </w:p>
    <w:p w14:paraId="12848E47" w14:textId="4E748DE3" w:rsidR="00DF31B5" w:rsidRDefault="00793626" w:rsidP="00DF31B5">
      <w:pPr>
        <w:pStyle w:val="Text"/>
      </w:pPr>
      <w:r>
        <w:t xml:space="preserve">In general, </w:t>
      </w:r>
      <w:r w:rsidR="00666879">
        <w:t>the projections made for non-trade contracts are more accurate than the projections made for trade contracts.</w:t>
      </w:r>
      <w:r w:rsidR="00153104" w:rsidRPr="00153104">
        <w:t xml:space="preserve"> </w:t>
      </w:r>
      <w:r w:rsidR="00153104">
        <w:t xml:space="preserve">For the years examined, </w:t>
      </w:r>
      <w:r w:rsidR="005E6695">
        <w:t xml:space="preserve">the </w:t>
      </w:r>
      <w:r w:rsidR="00153104">
        <w:t xml:space="preserve">Markov chains </w:t>
      </w:r>
      <w:r w:rsidR="005E6695">
        <w:t>methodology provides</w:t>
      </w:r>
      <w:r w:rsidR="00153104">
        <w:t xml:space="preserve"> the lowest average absolute error rate </w:t>
      </w:r>
      <w:r w:rsidR="009F7244">
        <w:t xml:space="preserve">for </w:t>
      </w:r>
      <w:r w:rsidR="00153104">
        <w:t xml:space="preserve">trade cohorts, </w:t>
      </w:r>
      <w:r w:rsidR="00C75DF0">
        <w:t>while the</w:t>
      </w:r>
      <w:r w:rsidR="00153104">
        <w:t xml:space="preserve"> machine learning </w:t>
      </w:r>
      <w:r w:rsidR="00C75DF0">
        <w:t>approach gives</w:t>
      </w:r>
      <w:r w:rsidR="00153104">
        <w:t xml:space="preserve"> the lowest average absolute error rates for non-trade cohorts.</w:t>
      </w:r>
    </w:p>
    <w:p w14:paraId="6175652C" w14:textId="77777777" w:rsidR="004556EA" w:rsidRDefault="004556EA">
      <w:pPr>
        <w:spacing w:before="0" w:line="240" w:lineRule="auto"/>
        <w:rPr>
          <w:rFonts w:ascii="Arial" w:hAnsi="Arial"/>
          <w:b/>
          <w:sz w:val="17"/>
        </w:rPr>
      </w:pPr>
      <w:bookmarkStart w:id="45" w:name="_Toc75437724"/>
      <w:r>
        <w:br w:type="page"/>
      </w:r>
    </w:p>
    <w:p w14:paraId="5AE4B3A3" w14:textId="43ED1F69" w:rsidR="00DF31B5" w:rsidRDefault="00DF31B5" w:rsidP="0036400E">
      <w:pPr>
        <w:pStyle w:val="Figuretitle"/>
      </w:pPr>
      <w:r>
        <w:lastRenderedPageBreak/>
        <w:t xml:space="preserve">Figure </w:t>
      </w:r>
      <w:r w:rsidR="000F59F1">
        <w:t>3</w:t>
      </w:r>
      <w:r>
        <w:tab/>
      </w:r>
      <w:r w:rsidR="0036400E">
        <w:t>Error rates for p</w:t>
      </w:r>
      <w:r w:rsidR="0036400E" w:rsidRPr="005E30CE">
        <w:t>rojected contract completion rates</w:t>
      </w:r>
      <w:r w:rsidR="0036400E">
        <w:t xml:space="preserve"> by trade and non-trade occupations</w:t>
      </w:r>
      <w:r w:rsidR="0036400E" w:rsidRPr="005E30CE">
        <w:t xml:space="preserve">, for </w:t>
      </w:r>
      <w:r w:rsidR="0036400E">
        <w:t>annual cohorts</w:t>
      </w:r>
      <w:r w:rsidR="0036400E" w:rsidRPr="005E30CE">
        <w:t xml:space="preserve"> commencing 201</w:t>
      </w:r>
      <w:r w:rsidR="0036400E">
        <w:t>3</w:t>
      </w:r>
      <w:r w:rsidR="00C75DF0">
        <w:rPr>
          <w:rFonts w:cs="Arial"/>
        </w:rPr>
        <w:t>−</w:t>
      </w:r>
      <w:r w:rsidR="0036400E">
        <w:t>15</w:t>
      </w:r>
      <w:bookmarkEnd w:id="45"/>
      <w:r w:rsidR="003D3125">
        <w:t xml:space="preserve"> (%)</w:t>
      </w:r>
    </w:p>
    <w:p w14:paraId="5E1AEC7A" w14:textId="29A071A3" w:rsidR="009F7244" w:rsidRDefault="009F7244" w:rsidP="0027506A">
      <w:pPr>
        <w:pStyle w:val="Source"/>
        <w:spacing w:before="160"/>
      </w:pPr>
      <w:r>
        <w:rPr>
          <w:noProof/>
        </w:rPr>
        <mc:AlternateContent>
          <mc:Choice Requires="wpg">
            <w:drawing>
              <wp:inline distT="0" distB="0" distL="0" distR="0" wp14:anchorId="0B344D2A" wp14:editId="37769E07">
                <wp:extent cx="5158468" cy="2706600"/>
                <wp:effectExtent l="0" t="0" r="4445" b="0"/>
                <wp:docPr id="17" name="Group 7"/>
                <wp:cNvGraphicFramePr/>
                <a:graphic xmlns:a="http://schemas.openxmlformats.org/drawingml/2006/main">
                  <a:graphicData uri="http://schemas.microsoft.com/office/word/2010/wordprocessingGroup">
                    <wpg:wgp>
                      <wpg:cNvGrpSpPr/>
                      <wpg:grpSpPr>
                        <a:xfrm>
                          <a:off x="0" y="0"/>
                          <a:ext cx="5158468" cy="2706600"/>
                          <a:chOff x="0" y="0"/>
                          <a:chExt cx="4432447" cy="3240000"/>
                        </a:xfrm>
                      </wpg:grpSpPr>
                      <wpg:graphicFrame>
                        <wpg:cNvPr id="18" name="Chart 18"/>
                        <wpg:cNvFrPr>
                          <a:graphicFrameLocks/>
                        </wpg:cNvFrPr>
                        <wpg:xfrm>
                          <a:off x="0" y="751"/>
                          <a:ext cx="2598915" cy="3226473"/>
                        </wpg:xfrm>
                        <a:graphic>
                          <a:graphicData uri="http://schemas.openxmlformats.org/drawingml/2006/chart">
                            <c:chart xmlns:c="http://schemas.openxmlformats.org/drawingml/2006/chart" xmlns:r="http://schemas.openxmlformats.org/officeDocument/2006/relationships" r:id="rId39"/>
                          </a:graphicData>
                        </a:graphic>
                      </wpg:graphicFrame>
                      <wpg:graphicFrame>
                        <wpg:cNvPr id="19" name="Chart 19"/>
                        <wpg:cNvFrPr>
                          <a:graphicFrameLocks/>
                        </wpg:cNvFrPr>
                        <wpg:xfrm>
                          <a:off x="2558331" y="0"/>
                          <a:ext cx="1874116" cy="3240000"/>
                        </wpg:xfrm>
                        <a:graphic>
                          <a:graphicData uri="http://schemas.openxmlformats.org/drawingml/2006/chart">
                            <c:chart xmlns:c="http://schemas.openxmlformats.org/drawingml/2006/chart" xmlns:r="http://schemas.openxmlformats.org/officeDocument/2006/relationships" r:id="rId40"/>
                          </a:graphicData>
                        </a:graphic>
                      </wpg:graphicFrame>
                    </wpg:wgp>
                  </a:graphicData>
                </a:graphic>
              </wp:inline>
            </w:drawing>
          </mc:Choice>
          <mc:Fallback>
            <w:pict>
              <v:group w14:anchorId="1A9F9E79" id="Group 7" o:spid="_x0000_s1026" style="width:406.2pt;height:213.1pt;mso-position-horizontal-relative:char;mso-position-vertical-relative:line" coordsize="44324,32400" o:gfxdata="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">
                <v:shape id="Chart 18" o:spid="_x0000_s1027" type="#_x0000_t75" style="position:absolute;width:25980;height:3225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">
                  <v:imagedata r:id="rId41" o:title=""/>
                  <o:lock v:ext="edit" aspectratio="f"/>
                </v:shape>
                <v:shape id="Chart 19" o:spid="_x0000_s1028" type="#_x0000_t75" style="position:absolute;left:25561;width:18752;height:324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">
                  <v:imagedata r:id="rId42" o:title=""/>
                  <o:lock v:ext="edit" aspectratio="f"/>
                </v:shape>
                <w10:anchorlock/>
              </v:group>
            </w:pict>
          </mc:Fallback>
        </mc:AlternateContent>
      </w:r>
    </w:p>
    <w:p w14:paraId="055388C3" w14:textId="541036D9" w:rsidR="00DF31B5" w:rsidRDefault="0036400E" w:rsidP="0027506A">
      <w:pPr>
        <w:pStyle w:val="Source"/>
        <w:spacing w:before="160"/>
      </w:pPr>
      <w:r w:rsidRPr="0036400E">
        <w:t xml:space="preserve">Source: </w:t>
      </w:r>
      <w:r>
        <w:t>Error rates have been calculated based on observed a</w:t>
      </w:r>
      <w:r w:rsidRPr="0036400E">
        <w:t xml:space="preserve">ctual </w:t>
      </w:r>
      <w:r>
        <w:t xml:space="preserve">completion </w:t>
      </w:r>
      <w:r w:rsidRPr="0036400E">
        <w:t>rates</w:t>
      </w:r>
      <w:r>
        <w:t>, which</w:t>
      </w:r>
      <w:r w:rsidRPr="0036400E">
        <w:t xml:space="preserve"> have been calculated from National Apprentice and Trainee Collection nos</w:t>
      </w:r>
      <w:r w:rsidR="00432473">
        <w:t>.</w:t>
      </w:r>
      <w:r w:rsidRPr="0036400E">
        <w:t xml:space="preserve"> 99, 103 </w:t>
      </w:r>
      <w:r w:rsidR="00C75DF0">
        <w:t>and</w:t>
      </w:r>
      <w:r w:rsidRPr="0036400E">
        <w:t xml:space="preserve"> 107 (March estimates 2019</w:t>
      </w:r>
      <w:r w:rsidR="00C75DF0">
        <w:rPr>
          <w:rFonts w:cs="Arial"/>
        </w:rPr>
        <w:t>−</w:t>
      </w:r>
      <w:r w:rsidRPr="0036400E">
        <w:t>21).</w:t>
      </w:r>
      <w:r>
        <w:t xml:space="preserve"> Data sources for </w:t>
      </w:r>
      <w:r w:rsidR="00EB4DCE">
        <w:t xml:space="preserve">the </w:t>
      </w:r>
      <w:r>
        <w:t xml:space="preserve">projected rates vary according to the methodology (see </w:t>
      </w:r>
      <w:r w:rsidR="00EB4DCE">
        <w:t>a</w:t>
      </w:r>
      <w:r>
        <w:t>ppendix B).</w:t>
      </w:r>
    </w:p>
    <w:p w14:paraId="66810080" w14:textId="0F6AD3DF" w:rsidR="00F40310" w:rsidRDefault="00666879" w:rsidP="00932BC9">
      <w:pPr>
        <w:pStyle w:val="Text"/>
      </w:pPr>
      <w:r>
        <w:t>In the case of the machine learning model, a single model was trained on data from the 2012 commencing cohort. T</w:t>
      </w:r>
      <w:r w:rsidR="00932BC9" w:rsidRPr="00EE466F">
        <w:t>h</w:t>
      </w:r>
      <w:r>
        <w:t>is</w:t>
      </w:r>
      <w:r w:rsidR="00932BC9" w:rsidRPr="00EE466F">
        <w:t xml:space="preserve"> model generalis</w:t>
      </w:r>
      <w:r>
        <w:t>ed</w:t>
      </w:r>
      <w:r w:rsidR="00932BC9" w:rsidRPr="00EE466F">
        <w:t xml:space="preserve"> well to</w:t>
      </w:r>
      <w:r>
        <w:t xml:space="preserve"> the</w:t>
      </w:r>
      <w:r w:rsidR="00932BC9" w:rsidRPr="00EE466F">
        <w:t xml:space="preserve"> 2013</w:t>
      </w:r>
      <w:r>
        <w:t>,</w:t>
      </w:r>
      <w:r w:rsidR="00932BC9" w:rsidRPr="00EE466F">
        <w:t xml:space="preserve"> 2014</w:t>
      </w:r>
      <w:r>
        <w:t xml:space="preserve"> and 2015</w:t>
      </w:r>
      <w:r w:rsidR="00932BC9" w:rsidRPr="00EE466F">
        <w:t xml:space="preserve"> cohorts, </w:t>
      </w:r>
      <w:r>
        <w:t xml:space="preserve">with the </w:t>
      </w:r>
      <w:r w:rsidR="00932BC9" w:rsidRPr="00EE466F">
        <w:t xml:space="preserve">error rate </w:t>
      </w:r>
      <w:r>
        <w:t xml:space="preserve">remaining </w:t>
      </w:r>
      <w:r w:rsidR="00D85EFA">
        <w:t>under 5%</w:t>
      </w:r>
      <w:r w:rsidR="00932BC9" w:rsidRPr="00EE466F">
        <w:t>.</w:t>
      </w:r>
      <w:r>
        <w:t xml:space="preserve"> This is an important feature of the results, as the</w:t>
      </w:r>
      <w:r w:rsidR="00153104">
        <w:t xml:space="preserve"> machine learning</w:t>
      </w:r>
      <w:r>
        <w:t xml:space="preserve"> model needs to </w:t>
      </w:r>
      <w:r w:rsidR="00C75DF0">
        <w:t>have the ability</w:t>
      </w:r>
      <w:r>
        <w:t xml:space="preserve"> to </w:t>
      </w:r>
      <w:r w:rsidR="00153104">
        <w:t xml:space="preserve">generate reliable </w:t>
      </w:r>
      <w:r>
        <w:t>project</w:t>
      </w:r>
      <w:r w:rsidR="00153104">
        <w:t xml:space="preserve">ions for cohorts commencing </w:t>
      </w:r>
      <w:r w:rsidR="00775991">
        <w:t>four</w:t>
      </w:r>
      <w:r w:rsidR="00153104">
        <w:t xml:space="preserve"> years after the reference cohort</w:t>
      </w:r>
      <w:r w:rsidR="00F40310">
        <w:t xml:space="preserve"> </w:t>
      </w:r>
      <w:r w:rsidR="00807360">
        <w:t xml:space="preserve">in order </w:t>
      </w:r>
      <w:r w:rsidR="00F40310">
        <w:t>to provide timely projection</w:t>
      </w:r>
      <w:r w:rsidR="006F1BE3">
        <w:t>s</w:t>
      </w:r>
      <w:r w:rsidR="00F40310">
        <w:t xml:space="preserve"> for new commencing cohorts</w:t>
      </w:r>
      <w:r w:rsidR="00153104">
        <w:t>.</w:t>
      </w:r>
    </w:p>
    <w:p w14:paraId="308CAE09" w14:textId="12F3C15F" w:rsidR="005F7BFD" w:rsidRDefault="00153104" w:rsidP="00932BC9">
      <w:pPr>
        <w:pStyle w:val="Text"/>
      </w:pPr>
      <w:r>
        <w:t xml:space="preserve">For this analysis, </w:t>
      </w:r>
      <w:r w:rsidR="00775991">
        <w:t>data w</w:t>
      </w:r>
      <w:r w:rsidR="00D7518D">
        <w:t>ere</w:t>
      </w:r>
      <w:r w:rsidR="00775991">
        <w:t xml:space="preserve"> not available </w:t>
      </w:r>
      <w:r w:rsidR="006A4D29">
        <w:t>for</w:t>
      </w:r>
      <w:r w:rsidR="00775991">
        <w:t xml:space="preserve"> assess</w:t>
      </w:r>
      <w:r w:rsidR="006A4D29">
        <w:t>ing</w:t>
      </w:r>
      <w:r w:rsidR="00775991">
        <w:t xml:space="preserve"> model projections for a cohort four years after the reference cohort, but the accuracy of </w:t>
      </w:r>
      <w:r w:rsidR="00D7518D">
        <w:t xml:space="preserve">the </w:t>
      </w:r>
      <w:r w:rsidR="00775991">
        <w:t>projections for the cohort three years after the reference cohort is a preliminary indicator that this method is robust for future cohorts.</w:t>
      </w:r>
      <w:r w:rsidR="005F7BFD">
        <w:br w:type="page"/>
      </w:r>
    </w:p>
    <w:p w14:paraId="46793E96" w14:textId="71215D22" w:rsidR="006D4157" w:rsidRDefault="002173AB" w:rsidP="000A5A49">
      <w:pPr>
        <w:pStyle w:val="Heading1"/>
      </w:pPr>
      <w:bookmarkStart w:id="46" w:name="_Toc78364755"/>
      <w:r w:rsidRPr="00BE5DCB">
        <w:rPr>
          <w:noProof/>
          <w:lang w:eastAsia="en-AU"/>
        </w:rPr>
        <w:lastRenderedPageBreak/>
        <w:drawing>
          <wp:anchor distT="0" distB="0" distL="114300" distR="114300" simplePos="0" relativeHeight="252051456" behindDoc="1" locked="0" layoutInCell="1" allowOverlap="1" wp14:anchorId="27FECA67" wp14:editId="10628D71">
            <wp:simplePos x="0" y="0"/>
            <wp:positionH relativeFrom="column">
              <wp:posOffset>36830</wp:posOffset>
            </wp:positionH>
            <wp:positionV relativeFrom="paragraph">
              <wp:posOffset>0</wp:posOffset>
            </wp:positionV>
            <wp:extent cx="419100" cy="419100"/>
            <wp:effectExtent l="0" t="0" r="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419100" cy="419100"/>
                    </a:xfrm>
                    <a:prstGeom prst="rect">
                      <a:avLst/>
                    </a:prstGeom>
                    <a:noFill/>
                    <a:ln>
                      <a:noFill/>
                    </a:ln>
                  </pic:spPr>
                </pic:pic>
              </a:graphicData>
            </a:graphic>
            <wp14:sizeRelH relativeFrom="page">
              <wp14:pctWidth>0</wp14:pctWidth>
            </wp14:sizeRelH>
            <wp14:sizeRelV relativeFrom="page">
              <wp14:pctHeight>0</wp14:pctHeight>
            </wp14:sizeRelV>
          </wp:anchor>
        </w:drawing>
      </w:r>
      <w:r w:rsidR="00230197">
        <w:t>Evaluation</w:t>
      </w:r>
      <w:bookmarkEnd w:id="46"/>
    </w:p>
    <w:p w14:paraId="7431A0D2" w14:textId="64D0605E" w:rsidR="002C6BB2" w:rsidRDefault="00D7518D" w:rsidP="006B5094">
      <w:pPr>
        <w:pStyle w:val="Text"/>
      </w:pPr>
      <w:r>
        <w:t>E</w:t>
      </w:r>
      <w:r w:rsidRPr="00404300">
        <w:t xml:space="preserve">ach of the methodologies </w:t>
      </w:r>
      <w:r>
        <w:t>displays</w:t>
      </w:r>
      <w:r w:rsidR="002C6BB2" w:rsidRPr="00404300">
        <w:t xml:space="preserve"> strengths and limitations</w:t>
      </w:r>
      <w:r w:rsidR="00671B54">
        <w:t xml:space="preserve">. These </w:t>
      </w:r>
      <w:r w:rsidR="00D57A64">
        <w:t>are summarise</w:t>
      </w:r>
      <w:r w:rsidR="00671B54">
        <w:t>d</w:t>
      </w:r>
      <w:r w:rsidR="00D57A64">
        <w:t xml:space="preserve"> in </w:t>
      </w:r>
      <w:r w:rsidR="000F59F1">
        <w:t>t</w:t>
      </w:r>
      <w:r w:rsidR="002C6BB2" w:rsidRPr="00404300">
        <w:t xml:space="preserve">able </w:t>
      </w:r>
      <w:r w:rsidR="00671B54">
        <w:t>1</w:t>
      </w:r>
      <w:r w:rsidR="00D57A64">
        <w:t xml:space="preserve"> and discussed in detail throughout this section</w:t>
      </w:r>
      <w:r w:rsidR="002C6BB2" w:rsidRPr="00404300">
        <w:t>.</w:t>
      </w:r>
    </w:p>
    <w:p w14:paraId="40FB5F94" w14:textId="47C6B90D" w:rsidR="00D57A64" w:rsidRDefault="00D57A64" w:rsidP="00D57A64">
      <w:pPr>
        <w:pStyle w:val="Tabletitle"/>
      </w:pPr>
      <w:bookmarkStart w:id="47" w:name="_Toc75437730"/>
      <w:r>
        <w:t xml:space="preserve">Table </w:t>
      </w:r>
      <w:r w:rsidR="00671B54">
        <w:t>1</w:t>
      </w:r>
      <w:r>
        <w:tab/>
      </w:r>
      <w:r w:rsidR="00671B54">
        <w:t>Evaluation and comparison</w:t>
      </w:r>
      <w:r w:rsidRPr="00E7111C">
        <w:t xml:space="preserve"> of projection methodologies</w:t>
      </w:r>
      <w:bookmarkEnd w:id="47"/>
      <w:r>
        <w:t xml:space="preserve"> </w:t>
      </w:r>
    </w:p>
    <w:tbl>
      <w:tblPr>
        <w:tblW w:w="9248" w:type="dxa"/>
        <w:tblInd w:w="108" w:type="dxa"/>
        <w:tblBorders>
          <w:top w:val="single" w:sz="4" w:space="0" w:color="auto"/>
          <w:bottom w:val="single" w:sz="4" w:space="0" w:color="auto"/>
        </w:tblBorders>
        <w:tblLayout w:type="fixed"/>
        <w:tblLook w:val="0000" w:firstRow="0" w:lastRow="0" w:firstColumn="0" w:lastColumn="0" w:noHBand="0" w:noVBand="0"/>
      </w:tblPr>
      <w:tblGrid>
        <w:gridCol w:w="1310"/>
        <w:gridCol w:w="2646"/>
        <w:gridCol w:w="2646"/>
        <w:gridCol w:w="2646"/>
      </w:tblGrid>
      <w:tr w:rsidR="00D57A64" w14:paraId="121BF13B" w14:textId="77777777" w:rsidTr="00A717C9">
        <w:trPr>
          <w:cantSplit/>
        </w:trPr>
        <w:tc>
          <w:tcPr>
            <w:tcW w:w="1310" w:type="dxa"/>
            <w:tcBorders>
              <w:top w:val="single" w:sz="4" w:space="0" w:color="auto"/>
              <w:bottom w:val="single" w:sz="4" w:space="0" w:color="auto"/>
              <w:right w:val="nil"/>
            </w:tcBorders>
          </w:tcPr>
          <w:p w14:paraId="068E9386" w14:textId="41BB1125" w:rsidR="00D57A64" w:rsidRDefault="00D57A64" w:rsidP="00A717C9">
            <w:pPr>
              <w:pStyle w:val="Tablehead1"/>
            </w:pPr>
            <w:r>
              <w:t>Criteri</w:t>
            </w:r>
            <w:r w:rsidR="00DC362B">
              <w:t>on</w:t>
            </w:r>
          </w:p>
        </w:tc>
        <w:tc>
          <w:tcPr>
            <w:tcW w:w="2646" w:type="dxa"/>
            <w:tcBorders>
              <w:top w:val="single" w:sz="4" w:space="0" w:color="auto"/>
              <w:left w:val="nil"/>
              <w:bottom w:val="single" w:sz="4" w:space="0" w:color="auto"/>
            </w:tcBorders>
          </w:tcPr>
          <w:p w14:paraId="26BE3E98" w14:textId="77777777" w:rsidR="00D57A64" w:rsidRDefault="00D57A64" w:rsidP="00A717C9">
            <w:pPr>
              <w:pStyle w:val="Tablehead1"/>
              <w:jc w:val="center"/>
            </w:pPr>
            <w:r>
              <w:t>Life tables</w:t>
            </w:r>
          </w:p>
        </w:tc>
        <w:tc>
          <w:tcPr>
            <w:tcW w:w="2646" w:type="dxa"/>
            <w:tcBorders>
              <w:top w:val="single" w:sz="4" w:space="0" w:color="auto"/>
              <w:left w:val="nil"/>
              <w:bottom w:val="single" w:sz="4" w:space="0" w:color="auto"/>
            </w:tcBorders>
          </w:tcPr>
          <w:p w14:paraId="6B74088F" w14:textId="408D7D73" w:rsidR="00D57A64" w:rsidRDefault="00D57A64" w:rsidP="00A717C9">
            <w:pPr>
              <w:pStyle w:val="Tablehead1"/>
              <w:jc w:val="center"/>
            </w:pPr>
            <w:r>
              <w:t>Markov chain</w:t>
            </w:r>
            <w:r w:rsidR="00DC362B">
              <w:t>s</w:t>
            </w:r>
          </w:p>
        </w:tc>
        <w:tc>
          <w:tcPr>
            <w:tcW w:w="2646" w:type="dxa"/>
            <w:tcBorders>
              <w:top w:val="single" w:sz="4" w:space="0" w:color="auto"/>
              <w:left w:val="nil"/>
              <w:bottom w:val="single" w:sz="4" w:space="0" w:color="auto"/>
            </w:tcBorders>
          </w:tcPr>
          <w:p w14:paraId="5D7950C1" w14:textId="77777777" w:rsidR="00D57A64" w:rsidRDefault="00D57A64" w:rsidP="00A717C9">
            <w:pPr>
              <w:pStyle w:val="Tablehead1"/>
              <w:jc w:val="center"/>
            </w:pPr>
            <w:r>
              <w:t>Machine learning</w:t>
            </w:r>
          </w:p>
        </w:tc>
      </w:tr>
      <w:tr w:rsidR="00D57A64" w14:paraId="3588E66F" w14:textId="77777777" w:rsidTr="00A717C9">
        <w:trPr>
          <w:cantSplit/>
        </w:trPr>
        <w:tc>
          <w:tcPr>
            <w:tcW w:w="1310" w:type="dxa"/>
            <w:tcBorders>
              <w:top w:val="single" w:sz="4" w:space="0" w:color="auto"/>
              <w:bottom w:val="nil"/>
              <w:right w:val="nil"/>
            </w:tcBorders>
          </w:tcPr>
          <w:p w14:paraId="5502143D" w14:textId="515FE05A" w:rsidR="00D57A64" w:rsidRPr="00B466BC" w:rsidRDefault="00C00C44" w:rsidP="00A717C9">
            <w:pPr>
              <w:pStyle w:val="Tabletext"/>
            </w:pPr>
            <w:r w:rsidRPr="00B466BC">
              <w:t>Accuracy</w:t>
            </w:r>
          </w:p>
        </w:tc>
        <w:tc>
          <w:tcPr>
            <w:tcW w:w="2646" w:type="dxa"/>
            <w:tcBorders>
              <w:top w:val="single" w:sz="4" w:space="0" w:color="auto"/>
              <w:left w:val="nil"/>
              <w:bottom w:val="nil"/>
              <w:right w:val="nil"/>
            </w:tcBorders>
          </w:tcPr>
          <w:p w14:paraId="4BCF3DA7" w14:textId="2064E340" w:rsidR="00621429" w:rsidRPr="003D3125" w:rsidRDefault="00D57A64">
            <w:pPr>
              <w:pStyle w:val="Tabletext"/>
              <w:tabs>
                <w:tab w:val="right" w:pos="703"/>
              </w:tabs>
            </w:pPr>
            <w:r w:rsidRPr="003D3125">
              <w:tab/>
              <w:t>Projected completion rates</w:t>
            </w:r>
            <w:r w:rsidR="003D3125" w:rsidRPr="003D3125">
              <w:t xml:space="preserve"> are</w:t>
            </w:r>
            <w:r w:rsidRPr="003D3125">
              <w:t xml:space="preserve"> </w:t>
            </w:r>
            <w:r w:rsidRPr="005A4F1E">
              <w:t xml:space="preserve">within </w:t>
            </w:r>
            <w:r w:rsidR="004B24BB" w:rsidRPr="003D3125">
              <w:rPr>
                <w:b/>
                <w:bCs/>
              </w:rPr>
              <w:t>four</w:t>
            </w:r>
            <w:r w:rsidRPr="005A4F1E">
              <w:t xml:space="preserve"> percentage points of </w:t>
            </w:r>
            <w:r w:rsidR="0024659B" w:rsidRPr="005A4F1E">
              <w:t xml:space="preserve">observed </w:t>
            </w:r>
            <w:r w:rsidRPr="005A4F1E">
              <w:t xml:space="preserve">actual rates for </w:t>
            </w:r>
            <w:r w:rsidR="00621429" w:rsidRPr="005A4F1E">
              <w:t>non-</w:t>
            </w:r>
            <w:r w:rsidRPr="005A4F1E">
              <w:t>trade and trade occupations</w:t>
            </w:r>
          </w:p>
        </w:tc>
        <w:tc>
          <w:tcPr>
            <w:tcW w:w="2646" w:type="dxa"/>
            <w:tcBorders>
              <w:top w:val="single" w:sz="4" w:space="0" w:color="auto"/>
              <w:left w:val="nil"/>
              <w:bottom w:val="nil"/>
              <w:right w:val="nil"/>
            </w:tcBorders>
          </w:tcPr>
          <w:p w14:paraId="21556138" w14:textId="596EC95E" w:rsidR="00621429" w:rsidRPr="003D3125" w:rsidRDefault="00D57A64">
            <w:pPr>
              <w:pStyle w:val="Tabletext"/>
              <w:tabs>
                <w:tab w:val="decimal" w:pos="559"/>
              </w:tabs>
            </w:pPr>
            <w:r w:rsidRPr="003D3125">
              <w:t>Projected completion rates</w:t>
            </w:r>
            <w:r w:rsidR="003D3125" w:rsidRPr="003D3125">
              <w:t xml:space="preserve"> are</w:t>
            </w:r>
            <w:r w:rsidRPr="003D3125">
              <w:t xml:space="preserve"> </w:t>
            </w:r>
            <w:r w:rsidRPr="005A4F1E">
              <w:t xml:space="preserve">within </w:t>
            </w:r>
            <w:r w:rsidR="00230E42" w:rsidRPr="003D3125">
              <w:rPr>
                <w:b/>
                <w:bCs/>
              </w:rPr>
              <w:t>two</w:t>
            </w:r>
            <w:r w:rsidRPr="005A4F1E">
              <w:t xml:space="preserve"> percentage points of </w:t>
            </w:r>
            <w:r w:rsidR="0024659B" w:rsidRPr="005A4F1E">
              <w:t xml:space="preserve">observed </w:t>
            </w:r>
            <w:r w:rsidRPr="005A4F1E">
              <w:t>actual rates</w:t>
            </w:r>
            <w:r w:rsidR="00621429" w:rsidRPr="005A4F1E">
              <w:t xml:space="preserve"> for non-trade occupations</w:t>
            </w:r>
            <w:r w:rsidR="00777A9F" w:rsidRPr="005A4F1E">
              <w:t xml:space="preserve"> </w:t>
            </w:r>
            <w:r w:rsidR="00777A9F" w:rsidRPr="003D3125">
              <w:t>and</w:t>
            </w:r>
            <w:r w:rsidR="00777A9F" w:rsidRPr="005A4F1E">
              <w:t xml:space="preserve"> within </w:t>
            </w:r>
            <w:r w:rsidR="00230E42" w:rsidRPr="003D3125">
              <w:rPr>
                <w:b/>
                <w:bCs/>
              </w:rPr>
              <w:t>four</w:t>
            </w:r>
            <w:r w:rsidR="00777A9F" w:rsidRPr="003D3125">
              <w:rPr>
                <w:b/>
                <w:bCs/>
              </w:rPr>
              <w:t xml:space="preserve"> </w:t>
            </w:r>
            <w:r w:rsidR="00777A9F" w:rsidRPr="005A4F1E">
              <w:t>percentage points for trade occupations</w:t>
            </w:r>
          </w:p>
        </w:tc>
        <w:tc>
          <w:tcPr>
            <w:tcW w:w="2646" w:type="dxa"/>
            <w:tcBorders>
              <w:top w:val="single" w:sz="4" w:space="0" w:color="auto"/>
              <w:left w:val="nil"/>
              <w:bottom w:val="nil"/>
              <w:right w:val="nil"/>
            </w:tcBorders>
          </w:tcPr>
          <w:p w14:paraId="27A6654C" w14:textId="15E77761" w:rsidR="00621429" w:rsidRPr="003D3125" w:rsidRDefault="00D57A64" w:rsidP="00621429">
            <w:pPr>
              <w:pStyle w:val="Tabletext"/>
              <w:tabs>
                <w:tab w:val="right" w:pos="697"/>
              </w:tabs>
            </w:pPr>
            <w:r w:rsidRPr="003D3125">
              <w:tab/>
              <w:t>Projected completion rates</w:t>
            </w:r>
            <w:r w:rsidR="003D3125" w:rsidRPr="003D3125">
              <w:t xml:space="preserve"> are</w:t>
            </w:r>
            <w:r w:rsidRPr="003D3125">
              <w:t xml:space="preserve"> </w:t>
            </w:r>
            <w:r w:rsidRPr="005A4F1E">
              <w:t xml:space="preserve">within </w:t>
            </w:r>
            <w:r w:rsidR="00C57E6B" w:rsidRPr="003D3125">
              <w:rPr>
                <w:b/>
                <w:bCs/>
              </w:rPr>
              <w:t>one</w:t>
            </w:r>
            <w:r w:rsidRPr="005A4F1E">
              <w:t xml:space="preserve"> percentage point of </w:t>
            </w:r>
            <w:r w:rsidR="0024659B" w:rsidRPr="005A4F1E">
              <w:t xml:space="preserve">observed </w:t>
            </w:r>
            <w:r w:rsidRPr="005A4F1E">
              <w:t>actual rates for non-trade occupations</w:t>
            </w:r>
            <w:r w:rsidR="00621429" w:rsidRPr="003D3125">
              <w:t xml:space="preserve"> and</w:t>
            </w:r>
            <w:r w:rsidRPr="003D3125">
              <w:t xml:space="preserve"> </w:t>
            </w:r>
            <w:r w:rsidRPr="005A4F1E">
              <w:t>within</w:t>
            </w:r>
            <w:r w:rsidRPr="003D3125">
              <w:rPr>
                <w:b/>
                <w:bCs/>
              </w:rPr>
              <w:t xml:space="preserve"> </w:t>
            </w:r>
            <w:r w:rsidR="000B540A" w:rsidRPr="003D3125">
              <w:rPr>
                <w:b/>
                <w:bCs/>
              </w:rPr>
              <w:t>five</w:t>
            </w:r>
            <w:r w:rsidRPr="005A4F1E">
              <w:t xml:space="preserve"> percentage points </w:t>
            </w:r>
            <w:r w:rsidR="00621429" w:rsidRPr="005A4F1E">
              <w:t>for trade occupations</w:t>
            </w:r>
            <w:r w:rsidR="00621429" w:rsidRPr="003D3125">
              <w:t xml:space="preserve"> </w:t>
            </w:r>
          </w:p>
        </w:tc>
      </w:tr>
      <w:tr w:rsidR="0041147B" w14:paraId="242B3571" w14:textId="77777777" w:rsidTr="00A717C9">
        <w:trPr>
          <w:cantSplit/>
        </w:trPr>
        <w:tc>
          <w:tcPr>
            <w:tcW w:w="1310" w:type="dxa"/>
            <w:tcBorders>
              <w:top w:val="nil"/>
              <w:bottom w:val="nil"/>
              <w:right w:val="nil"/>
            </w:tcBorders>
          </w:tcPr>
          <w:p w14:paraId="37B91651" w14:textId="5A603213" w:rsidR="0041147B" w:rsidRPr="00B466BC" w:rsidRDefault="0041147B" w:rsidP="00A717C9">
            <w:pPr>
              <w:pStyle w:val="Tabletext"/>
            </w:pPr>
            <w:r w:rsidRPr="00B466BC">
              <w:t>Data requirements</w:t>
            </w:r>
          </w:p>
        </w:tc>
        <w:tc>
          <w:tcPr>
            <w:tcW w:w="2646" w:type="dxa"/>
            <w:tcBorders>
              <w:top w:val="nil"/>
              <w:left w:val="nil"/>
              <w:bottom w:val="nil"/>
              <w:right w:val="nil"/>
            </w:tcBorders>
          </w:tcPr>
          <w:p w14:paraId="529A01B5" w14:textId="7563329E" w:rsidR="0041147B" w:rsidRPr="005A4F1E" w:rsidRDefault="00CA086E" w:rsidP="00DC362B">
            <w:pPr>
              <w:pStyle w:val="Tabletext"/>
              <w:tabs>
                <w:tab w:val="right" w:pos="703"/>
              </w:tabs>
            </w:pPr>
            <w:r w:rsidRPr="005A4F1E">
              <w:t xml:space="preserve">Annual </w:t>
            </w:r>
            <w:r w:rsidR="0041147B" w:rsidRPr="005A4F1E">
              <w:t>training activity from the current and previous</w:t>
            </w:r>
            <w:r w:rsidRPr="005A4F1E">
              <w:t xml:space="preserve"> four</w:t>
            </w:r>
            <w:r w:rsidR="0041147B" w:rsidRPr="005A4F1E">
              <w:t xml:space="preserve"> year</w:t>
            </w:r>
            <w:r w:rsidRPr="005A4F1E">
              <w:t>s</w:t>
            </w:r>
          </w:p>
        </w:tc>
        <w:tc>
          <w:tcPr>
            <w:tcW w:w="2646" w:type="dxa"/>
            <w:tcBorders>
              <w:top w:val="nil"/>
              <w:left w:val="nil"/>
              <w:bottom w:val="nil"/>
              <w:right w:val="nil"/>
            </w:tcBorders>
          </w:tcPr>
          <w:p w14:paraId="79406640" w14:textId="093F7A50" w:rsidR="0041147B" w:rsidRPr="005A4F1E" w:rsidRDefault="00E21583" w:rsidP="0041147B">
            <w:pPr>
              <w:pStyle w:val="Tabletext"/>
            </w:pPr>
            <w:r w:rsidRPr="005A4F1E">
              <w:t>Annual t</w:t>
            </w:r>
            <w:r w:rsidR="0041147B" w:rsidRPr="005A4F1E">
              <w:t>raining activity from the current and previous four years</w:t>
            </w:r>
          </w:p>
        </w:tc>
        <w:tc>
          <w:tcPr>
            <w:tcW w:w="2646" w:type="dxa"/>
            <w:tcBorders>
              <w:top w:val="nil"/>
              <w:left w:val="nil"/>
              <w:bottom w:val="nil"/>
              <w:right w:val="nil"/>
            </w:tcBorders>
          </w:tcPr>
          <w:p w14:paraId="369F9BDD" w14:textId="34CF952F" w:rsidR="0041147B" w:rsidRPr="005A4F1E" w:rsidRDefault="00E21583" w:rsidP="00621429">
            <w:pPr>
              <w:pStyle w:val="Tabletext"/>
              <w:tabs>
                <w:tab w:val="right" w:pos="697"/>
              </w:tabs>
            </w:pPr>
            <w:r w:rsidRPr="005A4F1E">
              <w:t>All training activity associated with a cohort</w:t>
            </w:r>
            <w:r w:rsidR="0024659B" w:rsidRPr="005A4F1E">
              <w:t xml:space="preserve"> that commenced four years prior to the current year</w:t>
            </w:r>
          </w:p>
        </w:tc>
      </w:tr>
      <w:tr w:rsidR="00D57A64" w14:paraId="7EA9327A" w14:textId="77777777" w:rsidTr="00A717C9">
        <w:trPr>
          <w:cantSplit/>
        </w:trPr>
        <w:tc>
          <w:tcPr>
            <w:tcW w:w="1310" w:type="dxa"/>
            <w:tcBorders>
              <w:top w:val="nil"/>
              <w:bottom w:val="nil"/>
              <w:right w:val="nil"/>
            </w:tcBorders>
          </w:tcPr>
          <w:p w14:paraId="5FFCF149" w14:textId="2015D7B6" w:rsidR="00D57A64" w:rsidRPr="00B466BC" w:rsidRDefault="00D57A64" w:rsidP="00A717C9">
            <w:pPr>
              <w:pStyle w:val="Tabletext"/>
            </w:pPr>
            <w:r w:rsidRPr="00B466BC">
              <w:t>Timeliness</w:t>
            </w:r>
          </w:p>
        </w:tc>
        <w:tc>
          <w:tcPr>
            <w:tcW w:w="2646" w:type="dxa"/>
            <w:tcBorders>
              <w:top w:val="nil"/>
              <w:left w:val="nil"/>
              <w:bottom w:val="nil"/>
              <w:right w:val="nil"/>
            </w:tcBorders>
          </w:tcPr>
          <w:p w14:paraId="05C169DF" w14:textId="2156D7C4" w:rsidR="00D57A64" w:rsidRPr="005A4F1E" w:rsidRDefault="00D57A64" w:rsidP="00DC362B">
            <w:pPr>
              <w:pStyle w:val="Tabletext"/>
              <w:tabs>
                <w:tab w:val="right" w:pos="703"/>
              </w:tabs>
            </w:pPr>
            <w:r w:rsidRPr="005A4F1E">
              <w:tab/>
              <w:t>Projections for</w:t>
            </w:r>
            <w:r w:rsidR="00E332D5" w:rsidRPr="005A4F1E">
              <w:t xml:space="preserve"> December</w:t>
            </w:r>
            <w:r w:rsidRPr="005A4F1E">
              <w:t xml:space="preserve"> </w:t>
            </w:r>
            <w:r w:rsidR="00DE0D3F" w:rsidRPr="005A4F1E">
              <w:t xml:space="preserve">quarter </w:t>
            </w:r>
            <w:r w:rsidRPr="005A4F1E">
              <w:t xml:space="preserve">commencing cohort made as soon as data </w:t>
            </w:r>
            <w:r w:rsidR="004B24BB" w:rsidRPr="005A4F1E">
              <w:t>are</w:t>
            </w:r>
            <w:r w:rsidRPr="005A4F1E">
              <w:t xml:space="preserve"> available for th</w:t>
            </w:r>
            <w:r w:rsidR="00621429" w:rsidRPr="005A4F1E">
              <w:t>at</w:t>
            </w:r>
            <w:r w:rsidRPr="005A4F1E">
              <w:t xml:space="preserve"> </w:t>
            </w:r>
            <w:r w:rsidR="00A3551B" w:rsidRPr="005A4F1E">
              <w:t>cohort</w:t>
            </w:r>
          </w:p>
        </w:tc>
        <w:tc>
          <w:tcPr>
            <w:tcW w:w="2646" w:type="dxa"/>
            <w:tcBorders>
              <w:top w:val="nil"/>
              <w:left w:val="nil"/>
              <w:bottom w:val="nil"/>
              <w:right w:val="nil"/>
            </w:tcBorders>
          </w:tcPr>
          <w:p w14:paraId="68073626" w14:textId="021FB3DD" w:rsidR="00D57A64" w:rsidRPr="005A4F1E" w:rsidRDefault="00D57A64" w:rsidP="00746DE5">
            <w:pPr>
              <w:pStyle w:val="Tabletext"/>
            </w:pPr>
            <w:r w:rsidRPr="005A4F1E">
              <w:t>Projections for</w:t>
            </w:r>
            <w:r w:rsidR="0024659B" w:rsidRPr="005A4F1E">
              <w:t xml:space="preserve"> annual</w:t>
            </w:r>
            <w:r w:rsidRPr="005A4F1E">
              <w:t xml:space="preserve"> commencing cohort made </w:t>
            </w:r>
            <w:r w:rsidR="0024659B" w:rsidRPr="005A4F1E">
              <w:t xml:space="preserve">one year after </w:t>
            </w:r>
            <w:r w:rsidRPr="005A4F1E">
              <w:t xml:space="preserve">data </w:t>
            </w:r>
            <w:r w:rsidR="004B24BB" w:rsidRPr="005A4F1E">
              <w:t>are</w:t>
            </w:r>
            <w:r w:rsidRPr="005A4F1E">
              <w:t xml:space="preserve"> available for </w:t>
            </w:r>
            <w:r w:rsidR="00621429" w:rsidRPr="005A4F1E">
              <w:t>th</w:t>
            </w:r>
            <w:r w:rsidR="0024659B" w:rsidRPr="005A4F1E">
              <w:t>at</w:t>
            </w:r>
            <w:r w:rsidR="00A3551B" w:rsidRPr="005A4F1E">
              <w:t xml:space="preserve"> cohort</w:t>
            </w:r>
          </w:p>
        </w:tc>
        <w:tc>
          <w:tcPr>
            <w:tcW w:w="2646" w:type="dxa"/>
            <w:tcBorders>
              <w:top w:val="nil"/>
              <w:left w:val="nil"/>
              <w:bottom w:val="nil"/>
              <w:right w:val="nil"/>
            </w:tcBorders>
          </w:tcPr>
          <w:p w14:paraId="77B53B19" w14:textId="0A30010E" w:rsidR="00621429" w:rsidRPr="005A4F1E" w:rsidRDefault="00D57A64">
            <w:pPr>
              <w:pStyle w:val="Tabletext"/>
              <w:tabs>
                <w:tab w:val="right" w:pos="697"/>
              </w:tabs>
            </w:pPr>
            <w:r w:rsidRPr="005A4F1E">
              <w:tab/>
            </w:r>
            <w:r w:rsidR="0024659B" w:rsidRPr="005A4F1E">
              <w:t>P</w:t>
            </w:r>
            <w:r w:rsidRPr="005A4F1E">
              <w:t>rojections for</w:t>
            </w:r>
            <w:r w:rsidR="0024659B" w:rsidRPr="005A4F1E">
              <w:t xml:space="preserve"> annual</w:t>
            </w:r>
            <w:r w:rsidRPr="005A4F1E">
              <w:t xml:space="preserve"> commencing cohort made as soon as data </w:t>
            </w:r>
            <w:r w:rsidR="00B60C9C" w:rsidRPr="005A4F1E">
              <w:t xml:space="preserve">are </w:t>
            </w:r>
            <w:r w:rsidRPr="005A4F1E">
              <w:t>available</w:t>
            </w:r>
            <w:r w:rsidR="0024659B" w:rsidRPr="005A4F1E">
              <w:t xml:space="preserve"> for that </w:t>
            </w:r>
            <w:r w:rsidR="00A3551B" w:rsidRPr="005A4F1E">
              <w:t>cohort</w:t>
            </w:r>
          </w:p>
        </w:tc>
      </w:tr>
      <w:tr w:rsidR="00D57A64" w14:paraId="3CE334EB" w14:textId="77777777" w:rsidTr="00A717C9">
        <w:trPr>
          <w:cantSplit/>
        </w:trPr>
        <w:tc>
          <w:tcPr>
            <w:tcW w:w="1310" w:type="dxa"/>
            <w:tcBorders>
              <w:top w:val="nil"/>
              <w:bottom w:val="nil"/>
              <w:right w:val="nil"/>
            </w:tcBorders>
          </w:tcPr>
          <w:p w14:paraId="3C027106" w14:textId="77777777" w:rsidR="00D57A64" w:rsidRPr="00B466BC" w:rsidRDefault="00D57A64" w:rsidP="00A717C9">
            <w:pPr>
              <w:pStyle w:val="Tabletext"/>
            </w:pPr>
            <w:r w:rsidRPr="00B466BC">
              <w:t>Assumptions</w:t>
            </w:r>
          </w:p>
        </w:tc>
        <w:tc>
          <w:tcPr>
            <w:tcW w:w="2646" w:type="dxa"/>
            <w:tcBorders>
              <w:top w:val="nil"/>
              <w:left w:val="nil"/>
              <w:bottom w:val="nil"/>
              <w:right w:val="nil"/>
            </w:tcBorders>
          </w:tcPr>
          <w:p w14:paraId="46AD7B53" w14:textId="6EA52AC2" w:rsidR="003D3125" w:rsidRPr="005A4F1E" w:rsidRDefault="00D57A64" w:rsidP="00DC362B">
            <w:pPr>
              <w:pStyle w:val="Tabletext"/>
              <w:tabs>
                <w:tab w:val="right" w:pos="703"/>
              </w:tabs>
            </w:pPr>
            <w:r w:rsidRPr="005A4F1E">
              <w:tab/>
              <w:t>Project</w:t>
            </w:r>
            <w:r w:rsidR="00CA086E" w:rsidRPr="005A4F1E">
              <w:t xml:space="preserve">ed completion rates </w:t>
            </w:r>
            <w:r w:rsidRPr="005A4F1E">
              <w:t xml:space="preserve">for </w:t>
            </w:r>
            <w:r w:rsidR="003D3125" w:rsidRPr="005A4F1E">
              <w:t xml:space="preserve">the </w:t>
            </w:r>
            <w:r w:rsidR="00CA086E" w:rsidRPr="005A4F1E">
              <w:t xml:space="preserve">December quarter commencing cohorts </w:t>
            </w:r>
            <w:r w:rsidR="003D3125" w:rsidRPr="005A4F1E">
              <w:t xml:space="preserve">are </w:t>
            </w:r>
            <w:r w:rsidRPr="005A4F1E">
              <w:t xml:space="preserve">based on recent </w:t>
            </w:r>
            <w:r w:rsidR="00CA086E" w:rsidRPr="005A4F1E">
              <w:t>five</w:t>
            </w:r>
            <w:r w:rsidR="001869EC" w:rsidRPr="005A4F1E">
              <w:t xml:space="preserve">-year </w:t>
            </w:r>
            <w:r w:rsidRPr="005A4F1E">
              <w:t xml:space="preserve">historical trends in </w:t>
            </w:r>
            <w:r w:rsidR="00CA086E" w:rsidRPr="005A4F1E">
              <w:t>annual</w:t>
            </w:r>
            <w:r w:rsidRPr="005A4F1E">
              <w:t xml:space="preserve"> data</w:t>
            </w:r>
          </w:p>
          <w:p w14:paraId="44B6D303" w14:textId="516648EA" w:rsidR="00D57A64" w:rsidRPr="005A4F1E" w:rsidRDefault="00396D1D" w:rsidP="00DC362B">
            <w:pPr>
              <w:pStyle w:val="Tabletext"/>
              <w:tabs>
                <w:tab w:val="right" w:pos="703"/>
              </w:tabs>
            </w:pPr>
            <w:r w:rsidRPr="005A4F1E">
              <w:t xml:space="preserve">December quarter projections </w:t>
            </w:r>
            <w:r w:rsidR="003D3125" w:rsidRPr="005A4F1E">
              <w:t xml:space="preserve">are </w:t>
            </w:r>
            <w:r w:rsidRPr="005A4F1E">
              <w:t>taken as a proxy rate for the annual cohort</w:t>
            </w:r>
          </w:p>
        </w:tc>
        <w:tc>
          <w:tcPr>
            <w:tcW w:w="2646" w:type="dxa"/>
            <w:tcBorders>
              <w:top w:val="nil"/>
              <w:left w:val="nil"/>
              <w:bottom w:val="nil"/>
              <w:right w:val="nil"/>
            </w:tcBorders>
          </w:tcPr>
          <w:p w14:paraId="34CA0025" w14:textId="780793D2" w:rsidR="00D57A64" w:rsidRPr="005A4F1E" w:rsidRDefault="00D57A64" w:rsidP="00DC362B">
            <w:pPr>
              <w:pStyle w:val="Tabletext"/>
              <w:tabs>
                <w:tab w:val="decimal" w:pos="559"/>
              </w:tabs>
            </w:pPr>
            <w:r w:rsidRPr="005A4F1E">
              <w:t>Project</w:t>
            </w:r>
            <w:r w:rsidR="00CA086E" w:rsidRPr="005A4F1E">
              <w:t>ed completion rates</w:t>
            </w:r>
            <w:r w:rsidRPr="005A4F1E">
              <w:t xml:space="preserve"> for annual </w:t>
            </w:r>
            <w:r w:rsidR="00CA086E" w:rsidRPr="005A4F1E">
              <w:t>commencing cohorts</w:t>
            </w:r>
            <w:r w:rsidRPr="005A4F1E">
              <w:t xml:space="preserve"> </w:t>
            </w:r>
            <w:r w:rsidR="003D3125" w:rsidRPr="005A4F1E">
              <w:t xml:space="preserve">are </w:t>
            </w:r>
            <w:r w:rsidRPr="005A4F1E">
              <w:t xml:space="preserve">based on recent </w:t>
            </w:r>
            <w:r w:rsidR="001869EC" w:rsidRPr="005A4F1E">
              <w:t xml:space="preserve">five-year </w:t>
            </w:r>
            <w:r w:rsidRPr="005A4F1E">
              <w:t>historical trends in annual data</w:t>
            </w:r>
          </w:p>
        </w:tc>
        <w:tc>
          <w:tcPr>
            <w:tcW w:w="2646" w:type="dxa"/>
            <w:tcBorders>
              <w:top w:val="nil"/>
              <w:left w:val="nil"/>
              <w:bottom w:val="nil"/>
              <w:right w:val="nil"/>
            </w:tcBorders>
          </w:tcPr>
          <w:p w14:paraId="44744E0D" w14:textId="0CE7C0BE" w:rsidR="00D57A64" w:rsidRPr="005A4F1E" w:rsidRDefault="00D57A64" w:rsidP="00DC362B">
            <w:pPr>
              <w:pStyle w:val="Tabletext"/>
              <w:tabs>
                <w:tab w:val="right" w:pos="697"/>
              </w:tabs>
            </w:pPr>
            <w:r w:rsidRPr="005A4F1E">
              <w:tab/>
              <w:t>Project</w:t>
            </w:r>
            <w:r w:rsidR="00CA086E" w:rsidRPr="005A4F1E">
              <w:t>ed completion rates</w:t>
            </w:r>
            <w:r w:rsidRPr="005A4F1E">
              <w:t xml:space="preserve"> for annual </w:t>
            </w:r>
            <w:r w:rsidR="00CA086E" w:rsidRPr="005A4F1E">
              <w:t>commencing cohorts</w:t>
            </w:r>
            <w:r w:rsidRPr="005A4F1E">
              <w:t xml:space="preserve"> </w:t>
            </w:r>
            <w:r w:rsidR="003D3125" w:rsidRPr="005A4F1E">
              <w:t xml:space="preserve">are </w:t>
            </w:r>
            <w:r w:rsidRPr="005A4F1E">
              <w:t xml:space="preserve">based on </w:t>
            </w:r>
            <w:r w:rsidR="00314F75" w:rsidRPr="005A4F1E">
              <w:t>recent f</w:t>
            </w:r>
            <w:r w:rsidR="003555C1" w:rsidRPr="005A4F1E">
              <w:t>ive</w:t>
            </w:r>
            <w:r w:rsidR="00314F75" w:rsidRPr="005A4F1E">
              <w:t xml:space="preserve">-year </w:t>
            </w:r>
            <w:r w:rsidRPr="005A4F1E">
              <w:t>historical trends in annual data</w:t>
            </w:r>
          </w:p>
        </w:tc>
      </w:tr>
      <w:tr w:rsidR="00D57A64" w14:paraId="188B67DD" w14:textId="77777777" w:rsidTr="00A717C9">
        <w:trPr>
          <w:cantSplit/>
        </w:trPr>
        <w:tc>
          <w:tcPr>
            <w:tcW w:w="1310" w:type="dxa"/>
            <w:tcBorders>
              <w:top w:val="nil"/>
              <w:bottom w:val="single" w:sz="4" w:space="0" w:color="auto"/>
              <w:right w:val="nil"/>
            </w:tcBorders>
          </w:tcPr>
          <w:p w14:paraId="7A737067" w14:textId="0D0C1C73" w:rsidR="00D57A64" w:rsidRDefault="00DC362B" w:rsidP="00A717C9">
            <w:pPr>
              <w:pStyle w:val="Tabletext"/>
            </w:pPr>
            <w:r>
              <w:t>Prediction errors</w:t>
            </w:r>
          </w:p>
        </w:tc>
        <w:tc>
          <w:tcPr>
            <w:tcW w:w="7938" w:type="dxa"/>
            <w:gridSpan w:val="3"/>
            <w:tcBorders>
              <w:top w:val="nil"/>
              <w:left w:val="nil"/>
              <w:bottom w:val="single" w:sz="4" w:space="0" w:color="auto"/>
              <w:right w:val="nil"/>
            </w:tcBorders>
          </w:tcPr>
          <w:p w14:paraId="39AC0D6A" w14:textId="3FDB17A8" w:rsidR="00D57A64" w:rsidRDefault="00D57A64" w:rsidP="00DC362B">
            <w:pPr>
              <w:pStyle w:val="Tabletext"/>
              <w:tabs>
                <w:tab w:val="right" w:pos="697"/>
              </w:tabs>
            </w:pPr>
            <w:r w:rsidRPr="00F128C3">
              <w:t xml:space="preserve">None of the methods produce an estimate of prediction error or confidence intervals at the time the projections are made. The methods can only be evaluated for accuracy when enough time has passed </w:t>
            </w:r>
            <w:r w:rsidR="00F8531D">
              <w:t>for</w:t>
            </w:r>
            <w:r w:rsidRPr="00F128C3">
              <w:t xml:space="preserve"> the </w:t>
            </w:r>
            <w:r w:rsidR="001869EC">
              <w:t xml:space="preserve">observed </w:t>
            </w:r>
            <w:r w:rsidRPr="00F128C3">
              <w:t xml:space="preserve">actual completion rates </w:t>
            </w:r>
            <w:r w:rsidR="00F8531D">
              <w:t>to be</w:t>
            </w:r>
            <w:r w:rsidRPr="00F128C3">
              <w:t xml:space="preserve"> known</w:t>
            </w:r>
            <w:r w:rsidR="00CA086E">
              <w:t>. O</w:t>
            </w:r>
            <w:r w:rsidR="001869EC">
              <w:t>bserved actual completion rates as calculated from the data may underestimate the true completion rate</w:t>
            </w:r>
            <w:r w:rsidR="00CA086E">
              <w:t>s</w:t>
            </w:r>
            <w:r w:rsidR="001869EC">
              <w:t xml:space="preserve"> due to the persistence of unreported (including expired) contracts in the National Apprentice and Trainee </w:t>
            </w:r>
            <w:r w:rsidR="003244E7">
              <w:t>C</w:t>
            </w:r>
            <w:r w:rsidR="001869EC">
              <w:t>ollection.</w:t>
            </w:r>
          </w:p>
        </w:tc>
      </w:tr>
    </w:tbl>
    <w:p w14:paraId="3941AC92" w14:textId="0832B7EB" w:rsidR="005D10D9" w:rsidRDefault="0089616B" w:rsidP="005D10D9">
      <w:pPr>
        <w:pStyle w:val="Heading2"/>
      </w:pPr>
      <w:bookmarkStart w:id="48" w:name="_Toc78364756"/>
      <w:r>
        <w:t>A</w:t>
      </w:r>
      <w:r w:rsidR="00230197">
        <w:t>ccuracy</w:t>
      </w:r>
      <w:bookmarkEnd w:id="48"/>
    </w:p>
    <w:p w14:paraId="0DEF267B" w14:textId="055AF194" w:rsidR="00DC362B" w:rsidRDefault="0089616B" w:rsidP="005F7BFD">
      <w:pPr>
        <w:pStyle w:val="Text"/>
      </w:pPr>
      <w:r>
        <w:t>At the trade/non-trade</w:t>
      </w:r>
      <w:r w:rsidR="00140EDC">
        <w:t xml:space="preserve"> level of aggregation</w:t>
      </w:r>
      <w:r>
        <w:t xml:space="preserve">, </w:t>
      </w:r>
      <w:r w:rsidR="00905D71">
        <w:t xml:space="preserve">annual completion rate </w:t>
      </w:r>
      <w:r w:rsidR="00D3298E">
        <w:t xml:space="preserve">projections </w:t>
      </w:r>
      <w:r w:rsidR="00D52AB3">
        <w:t xml:space="preserve">for all three methods </w:t>
      </w:r>
      <w:r w:rsidR="00D3298E">
        <w:t>were within five percentage points of the actual rates for the cohorts assessed.</w:t>
      </w:r>
      <w:r w:rsidR="00DC362B">
        <w:t xml:space="preserve"> </w:t>
      </w:r>
      <w:r w:rsidR="00D3298E">
        <w:t xml:space="preserve">Projections </w:t>
      </w:r>
      <w:r w:rsidR="00905D71">
        <w:t>for</w:t>
      </w:r>
      <w:r w:rsidR="00D3298E">
        <w:t xml:space="preserve"> the non-trades were generally closer to </w:t>
      </w:r>
      <w:r w:rsidR="00E714EB">
        <w:t xml:space="preserve">the </w:t>
      </w:r>
      <w:r w:rsidR="00DC362B">
        <w:t xml:space="preserve">observed </w:t>
      </w:r>
      <w:r w:rsidR="00D3298E">
        <w:t xml:space="preserve">actual rates than projections </w:t>
      </w:r>
      <w:r w:rsidR="00905D71">
        <w:t>for</w:t>
      </w:r>
      <w:r w:rsidR="00D3298E">
        <w:t xml:space="preserve"> the trades. </w:t>
      </w:r>
    </w:p>
    <w:p w14:paraId="259EDCF5" w14:textId="3A9E6E09" w:rsidR="006F592B" w:rsidRPr="00075F84" w:rsidRDefault="00E714EB" w:rsidP="006F592B">
      <w:pPr>
        <w:pStyle w:val="Text"/>
      </w:pPr>
      <w:r>
        <w:t xml:space="preserve">The </w:t>
      </w:r>
      <w:r w:rsidR="00D3298E">
        <w:t>Markov chain</w:t>
      </w:r>
      <w:r w:rsidR="00DF5A8E">
        <w:t>s</w:t>
      </w:r>
      <w:r>
        <w:t xml:space="preserve"> methodology</w:t>
      </w:r>
      <w:r w:rsidR="00D3298E">
        <w:t xml:space="preserve"> had the lowest average error rate for trade contracts, whereas </w:t>
      </w:r>
      <w:r>
        <w:t xml:space="preserve">the </w:t>
      </w:r>
      <w:r w:rsidR="00D3298E">
        <w:t xml:space="preserve">machine learning </w:t>
      </w:r>
      <w:r>
        <w:t xml:space="preserve">approach </w:t>
      </w:r>
      <w:r w:rsidR="00D3298E">
        <w:t>had the lowest average error rate for non-trade contracts.</w:t>
      </w:r>
      <w:r w:rsidR="00F40310">
        <w:t xml:space="preserve"> </w:t>
      </w:r>
      <w:r w:rsidR="000D1255">
        <w:t>The e</w:t>
      </w:r>
      <w:r w:rsidR="00F40310">
        <w:t xml:space="preserve">rror rates for projections generated using Markov chains and machine learning were more consistent than </w:t>
      </w:r>
      <w:r w:rsidR="007B42E2">
        <w:t xml:space="preserve">the </w:t>
      </w:r>
      <w:r w:rsidR="00314F75">
        <w:t xml:space="preserve">error rates for </w:t>
      </w:r>
      <w:r w:rsidR="00F40310">
        <w:t>projections generated using life tables.</w:t>
      </w:r>
    </w:p>
    <w:p w14:paraId="3AADA47E" w14:textId="76BA2172" w:rsidR="005D10D9" w:rsidRDefault="00905D71" w:rsidP="005D10D9">
      <w:pPr>
        <w:pStyle w:val="Heading2"/>
      </w:pPr>
      <w:bookmarkStart w:id="49" w:name="_Toc78364757"/>
      <w:r>
        <w:t>Data requirements</w:t>
      </w:r>
      <w:bookmarkEnd w:id="49"/>
    </w:p>
    <w:p w14:paraId="650DEF51" w14:textId="532769E3" w:rsidR="006B6733" w:rsidRDefault="00264152" w:rsidP="00853FA6">
      <w:pPr>
        <w:pStyle w:val="Text"/>
      </w:pPr>
      <w:r>
        <w:t xml:space="preserve">Each </w:t>
      </w:r>
      <w:r w:rsidR="005A5D91">
        <w:t>methodology</w:t>
      </w:r>
      <w:r>
        <w:t xml:space="preserve"> has </w:t>
      </w:r>
      <w:r w:rsidR="003555C1">
        <w:t xml:space="preserve">slightly </w:t>
      </w:r>
      <w:r w:rsidRPr="00B466BC">
        <w:t>different data requirements</w:t>
      </w:r>
      <w:r w:rsidR="005A5D91" w:rsidRPr="00B466BC">
        <w:t xml:space="preserve"> </w:t>
      </w:r>
      <w:r w:rsidR="00B338FA">
        <w:t>for</w:t>
      </w:r>
      <w:r w:rsidR="0064248B">
        <w:t xml:space="preserve"> </w:t>
      </w:r>
      <w:r w:rsidRPr="00B466BC">
        <w:t>model</w:t>
      </w:r>
      <w:r w:rsidR="005A5D91" w:rsidRPr="00B466BC">
        <w:t>ling</w:t>
      </w:r>
      <w:r w:rsidRPr="00B466BC">
        <w:t xml:space="preserve"> </w:t>
      </w:r>
      <w:r w:rsidR="008B6486">
        <w:t xml:space="preserve">the </w:t>
      </w:r>
      <w:r w:rsidRPr="00B466BC">
        <w:t>recent historical data trends to make a projection</w:t>
      </w:r>
      <w:r w:rsidR="006B6733">
        <w:t xml:space="preserve"> (for detail, refer to </w:t>
      </w:r>
      <w:r w:rsidR="0064248B">
        <w:t>a</w:t>
      </w:r>
      <w:r w:rsidRPr="00B466BC">
        <w:t>ppend</w:t>
      </w:r>
      <w:r w:rsidRPr="005A4F1E">
        <w:t>ix B</w:t>
      </w:r>
      <w:r w:rsidR="006B6733" w:rsidRPr="005A4F1E">
        <w:t>)</w:t>
      </w:r>
      <w:r w:rsidRPr="005A4F1E">
        <w:t>.</w:t>
      </w:r>
      <w:r w:rsidR="006B6733" w:rsidRPr="005A4F1E">
        <w:t xml:space="preserve"> All three methodologies require a five-year window of recent historical training activity. The life tables and Markov chains approaches require records of all training activity that occurred within the five-year reference period, whereas the machine learning approach requires the commencing records and contract outcomes of the cohort that commenced in the first year of the reference period, and the commencing records of the cohort that commenced in the final year of the reference period (the cohort for which the projection is being calculated).</w:t>
      </w:r>
    </w:p>
    <w:p w14:paraId="30A19591" w14:textId="2A160BD9" w:rsidR="00264152" w:rsidRPr="00B466BC" w:rsidRDefault="00264152" w:rsidP="00853FA6">
      <w:pPr>
        <w:pStyle w:val="Text"/>
      </w:pPr>
      <w:r w:rsidRPr="00B466BC">
        <w:lastRenderedPageBreak/>
        <w:t xml:space="preserve">To illustrate, we can consider the </w:t>
      </w:r>
      <w:r w:rsidR="00C00C44" w:rsidRPr="00B466BC">
        <w:t>projections that can be made based on the March 2021 collection (the latest available data)</w:t>
      </w:r>
      <w:r w:rsidRPr="00B466BC">
        <w:t>:</w:t>
      </w:r>
    </w:p>
    <w:p w14:paraId="28105DA2" w14:textId="3475F33D" w:rsidR="00264152" w:rsidRPr="005A4F1E" w:rsidRDefault="00CA086E" w:rsidP="00746DE5">
      <w:pPr>
        <w:pStyle w:val="Dotpoint1"/>
      </w:pPr>
      <w:r w:rsidRPr="005A4F1E">
        <w:t>Using Life tables, the latest cohort for which projected completion rates can be calculated</w:t>
      </w:r>
      <w:r w:rsidR="00264152" w:rsidRPr="005A4F1E">
        <w:t xml:space="preserve"> </w:t>
      </w:r>
      <w:r w:rsidRPr="005A4F1E">
        <w:t>is</w:t>
      </w:r>
      <w:r w:rsidR="00D9511A" w:rsidRPr="005A4F1E">
        <w:t xml:space="preserve"> the </w:t>
      </w:r>
      <w:r w:rsidRPr="005A4F1E">
        <w:t xml:space="preserve">cohort </w:t>
      </w:r>
      <w:r w:rsidR="00A55E16" w:rsidRPr="005A4F1E">
        <w:t>that commenced</w:t>
      </w:r>
      <w:r w:rsidRPr="005A4F1E">
        <w:t xml:space="preserve"> in the December quarter of </w:t>
      </w:r>
      <w:r w:rsidR="00D9511A" w:rsidRPr="005A4F1E">
        <w:t>2020</w:t>
      </w:r>
      <w:r w:rsidR="00724098" w:rsidRPr="005A4F1E">
        <w:t>:</w:t>
      </w:r>
    </w:p>
    <w:p w14:paraId="1FA90253" w14:textId="596C4C78" w:rsidR="00D9511A" w:rsidRPr="005A4F1E" w:rsidRDefault="00D9511A" w:rsidP="00746DE5">
      <w:pPr>
        <w:pStyle w:val="Dotpoint2"/>
      </w:pPr>
      <w:r w:rsidRPr="005A4F1E">
        <w:t xml:space="preserve">Data </w:t>
      </w:r>
      <w:r w:rsidR="00B40042" w:rsidRPr="005A4F1E">
        <w:t>are</w:t>
      </w:r>
      <w:r w:rsidRPr="005A4F1E">
        <w:t xml:space="preserve"> required on </w:t>
      </w:r>
      <w:r w:rsidR="00CA086E" w:rsidRPr="005A4F1E">
        <w:t>annual</w:t>
      </w:r>
      <w:r w:rsidRPr="005A4F1E">
        <w:t xml:space="preserve"> training activity from 201</w:t>
      </w:r>
      <w:r w:rsidR="00CA086E" w:rsidRPr="005A4F1E">
        <w:t>6</w:t>
      </w:r>
      <w:r w:rsidRPr="005A4F1E">
        <w:t xml:space="preserve"> </w:t>
      </w:r>
      <w:r w:rsidR="00CA086E" w:rsidRPr="005A4F1E">
        <w:t xml:space="preserve">to </w:t>
      </w:r>
      <w:r w:rsidRPr="005A4F1E">
        <w:t>2020</w:t>
      </w:r>
      <w:r w:rsidR="00B40042" w:rsidRPr="005A4F1E">
        <w:t>.</w:t>
      </w:r>
    </w:p>
    <w:p w14:paraId="64BB35EE" w14:textId="1199EDCC" w:rsidR="00264152" w:rsidRPr="005A4F1E" w:rsidRDefault="00264152" w:rsidP="00746DE5">
      <w:pPr>
        <w:pStyle w:val="Dotpoint2"/>
      </w:pPr>
      <w:r w:rsidRPr="005A4F1E">
        <w:t xml:space="preserve">The probabilities of contracts changing states </w:t>
      </w:r>
      <w:r w:rsidR="00F43BA3" w:rsidRPr="005A4F1E">
        <w:t>between</w:t>
      </w:r>
      <w:r w:rsidR="00E218EB" w:rsidRPr="005A4F1E">
        <w:t xml:space="preserve"> </w:t>
      </w:r>
      <w:r w:rsidR="00CA086E" w:rsidRPr="005A4F1E">
        <w:t xml:space="preserve">each </w:t>
      </w:r>
      <w:r w:rsidR="00E218EB" w:rsidRPr="005A4F1E">
        <w:t>quarter</w:t>
      </w:r>
      <w:r w:rsidRPr="005A4F1E">
        <w:t xml:space="preserve"> </w:t>
      </w:r>
      <w:r w:rsidR="00CA086E" w:rsidRPr="005A4F1E">
        <w:t xml:space="preserve">from the March quarter </w:t>
      </w:r>
      <w:r w:rsidRPr="005A4F1E">
        <w:t>201</w:t>
      </w:r>
      <w:r w:rsidR="00CA086E" w:rsidRPr="005A4F1E">
        <w:t>6</w:t>
      </w:r>
      <w:r w:rsidRPr="005A4F1E">
        <w:t xml:space="preserve"> </w:t>
      </w:r>
      <w:r w:rsidR="00CA086E" w:rsidRPr="005A4F1E">
        <w:t xml:space="preserve">to the </w:t>
      </w:r>
      <w:r w:rsidR="00E218EB" w:rsidRPr="005A4F1E">
        <w:t xml:space="preserve">December quarter </w:t>
      </w:r>
      <w:r w:rsidRPr="005A4F1E">
        <w:t xml:space="preserve">2020 are </w:t>
      </w:r>
      <w:r w:rsidR="00396D1D" w:rsidRPr="005A4F1E">
        <w:t>calculated</w:t>
      </w:r>
      <w:r w:rsidR="00BE7C2A" w:rsidRPr="005A4F1E">
        <w:t>.</w:t>
      </w:r>
    </w:p>
    <w:p w14:paraId="61CE15ED" w14:textId="59445C09" w:rsidR="00F43BA3" w:rsidRPr="005A4F1E" w:rsidRDefault="00264152" w:rsidP="00724098">
      <w:pPr>
        <w:pStyle w:val="Dotpoint2"/>
      </w:pPr>
      <w:r w:rsidRPr="005A4F1E">
        <w:t xml:space="preserve">These </w:t>
      </w:r>
      <w:r w:rsidR="00A55E16" w:rsidRPr="005A4F1E">
        <w:t xml:space="preserve">quarterly </w:t>
      </w:r>
      <w:r w:rsidRPr="005A4F1E">
        <w:t xml:space="preserve">transitional probabilities are applied to the trade and non-trade cohorts </w:t>
      </w:r>
      <w:r w:rsidR="00A55E16" w:rsidRPr="005A4F1E">
        <w:t xml:space="preserve">that commenced </w:t>
      </w:r>
      <w:r w:rsidRPr="005A4F1E">
        <w:t xml:space="preserve">in </w:t>
      </w:r>
      <w:r w:rsidR="00BD2E83" w:rsidRPr="005A4F1E">
        <w:t xml:space="preserve">the </w:t>
      </w:r>
      <w:r w:rsidR="00E218EB" w:rsidRPr="005A4F1E">
        <w:t xml:space="preserve">December quarter </w:t>
      </w:r>
      <w:r w:rsidRPr="005A4F1E">
        <w:t>2020 to project rates for these cohorts</w:t>
      </w:r>
      <w:r w:rsidR="00724098" w:rsidRPr="005A4F1E">
        <w:t>.</w:t>
      </w:r>
    </w:p>
    <w:p w14:paraId="03454565" w14:textId="40E77E5D" w:rsidR="00264152" w:rsidRPr="005A4F1E" w:rsidRDefault="00A55E16" w:rsidP="00746DE5">
      <w:pPr>
        <w:pStyle w:val="Dotpoint1"/>
      </w:pPr>
      <w:r w:rsidRPr="005A4F1E">
        <w:t xml:space="preserve">Using </w:t>
      </w:r>
      <w:r w:rsidR="00264152" w:rsidRPr="005A4F1E">
        <w:t>Markov chains</w:t>
      </w:r>
      <w:r w:rsidRPr="005A4F1E">
        <w:t>,</w:t>
      </w:r>
      <w:r w:rsidR="00264152" w:rsidRPr="005A4F1E">
        <w:t xml:space="preserve"> </w:t>
      </w:r>
      <w:r w:rsidRPr="005A4F1E">
        <w:t xml:space="preserve">the latest cohort for which projected completion rates can be calculated is the annual cohort that commenced in </w:t>
      </w:r>
      <w:r w:rsidR="00D9511A" w:rsidRPr="005A4F1E">
        <w:t>2019</w:t>
      </w:r>
      <w:r w:rsidR="00724098" w:rsidRPr="005A4F1E">
        <w:t>:</w:t>
      </w:r>
    </w:p>
    <w:p w14:paraId="13EFF0A8" w14:textId="3E6C1E4B" w:rsidR="00D9511A" w:rsidRPr="00B466BC" w:rsidRDefault="00D9511A" w:rsidP="00746DE5">
      <w:pPr>
        <w:pStyle w:val="Dotpoint2"/>
      </w:pPr>
      <w:r w:rsidRPr="00B466BC">
        <w:t xml:space="preserve">Data </w:t>
      </w:r>
      <w:r w:rsidR="00BE7C2A">
        <w:t>are</w:t>
      </w:r>
      <w:r w:rsidRPr="00B466BC">
        <w:t xml:space="preserve"> required on annual training activity from 2016</w:t>
      </w:r>
      <w:r w:rsidR="00BE7C2A">
        <w:t xml:space="preserve"> to </w:t>
      </w:r>
      <w:r w:rsidRPr="00B466BC">
        <w:t>2020</w:t>
      </w:r>
      <w:r w:rsidR="00BE7C2A">
        <w:t>.</w:t>
      </w:r>
    </w:p>
    <w:p w14:paraId="5CC251D5" w14:textId="36E8C2C6" w:rsidR="00264152" w:rsidRPr="005A4F1E" w:rsidRDefault="00264152" w:rsidP="00746DE5">
      <w:pPr>
        <w:pStyle w:val="Dotpoint2"/>
      </w:pPr>
      <w:r w:rsidRPr="005A4F1E">
        <w:t xml:space="preserve">The probabilities </w:t>
      </w:r>
      <w:r w:rsidR="00F43BA3" w:rsidRPr="005A4F1E">
        <w:t>of contracts changing states between each year from 201</w:t>
      </w:r>
      <w:r w:rsidR="00D9511A" w:rsidRPr="005A4F1E">
        <w:t>6</w:t>
      </w:r>
      <w:r w:rsidR="00F801E4" w:rsidRPr="005A4F1E">
        <w:t xml:space="preserve"> to </w:t>
      </w:r>
      <w:r w:rsidR="00F43BA3" w:rsidRPr="005A4F1E">
        <w:t>202</w:t>
      </w:r>
      <w:r w:rsidR="00D9511A" w:rsidRPr="005A4F1E">
        <w:t>0</w:t>
      </w:r>
      <w:r w:rsidR="00F43BA3" w:rsidRPr="005A4F1E">
        <w:t xml:space="preserve"> are modelled</w:t>
      </w:r>
      <w:r w:rsidR="00F801E4" w:rsidRPr="005A4F1E">
        <w:t>.</w:t>
      </w:r>
    </w:p>
    <w:p w14:paraId="33C56DB9" w14:textId="0BE79DA4" w:rsidR="00F43BA3" w:rsidRPr="005A4F1E" w:rsidRDefault="00F43BA3" w:rsidP="00746DE5">
      <w:pPr>
        <w:pStyle w:val="Dotpoint2"/>
      </w:pPr>
      <w:r w:rsidRPr="005A4F1E">
        <w:t xml:space="preserve">These </w:t>
      </w:r>
      <w:r w:rsidR="00A55E16" w:rsidRPr="005A4F1E">
        <w:t xml:space="preserve">annual </w:t>
      </w:r>
      <w:r w:rsidRPr="005A4F1E">
        <w:t xml:space="preserve">transitional probabilities are applied to </w:t>
      </w:r>
      <w:r w:rsidR="00B14B0D" w:rsidRPr="005A4F1E">
        <w:t xml:space="preserve">the </w:t>
      </w:r>
      <w:r w:rsidRPr="005A4F1E">
        <w:t xml:space="preserve">trade and non-trade cohorts </w:t>
      </w:r>
      <w:r w:rsidR="00A55E16" w:rsidRPr="005A4F1E">
        <w:t xml:space="preserve">that commenced </w:t>
      </w:r>
      <w:r w:rsidRPr="005A4F1E">
        <w:t>in 20</w:t>
      </w:r>
      <w:r w:rsidR="00D9511A" w:rsidRPr="005A4F1E">
        <w:t>19</w:t>
      </w:r>
      <w:r w:rsidRPr="005A4F1E">
        <w:t xml:space="preserve"> to project rates for these cohorts</w:t>
      </w:r>
      <w:r w:rsidR="00724098" w:rsidRPr="005A4F1E">
        <w:t>.</w:t>
      </w:r>
    </w:p>
    <w:p w14:paraId="3DF23097" w14:textId="1EA74267" w:rsidR="00F43BA3" w:rsidRPr="005A4F1E" w:rsidRDefault="00A55E16" w:rsidP="00746DE5">
      <w:pPr>
        <w:pStyle w:val="Dotpoint1"/>
      </w:pPr>
      <w:r w:rsidRPr="005A4F1E">
        <w:t xml:space="preserve">Using machine </w:t>
      </w:r>
      <w:r w:rsidR="00F43BA3" w:rsidRPr="005A4F1E">
        <w:t>learning</w:t>
      </w:r>
      <w:r w:rsidRPr="005A4F1E">
        <w:t xml:space="preserve">, the latest cohort for which projected completion rates can be calculated is the annual cohort that commenced in </w:t>
      </w:r>
      <w:r w:rsidR="00D9511A" w:rsidRPr="005A4F1E">
        <w:t>2020</w:t>
      </w:r>
      <w:r w:rsidR="00724098" w:rsidRPr="005A4F1E">
        <w:t>:</w:t>
      </w:r>
    </w:p>
    <w:p w14:paraId="747C280B" w14:textId="6ECE5438" w:rsidR="00D9511A" w:rsidRPr="00B466BC" w:rsidRDefault="00D9511A" w:rsidP="00746DE5">
      <w:pPr>
        <w:pStyle w:val="Dotpoint2"/>
      </w:pPr>
      <w:r w:rsidRPr="00B466BC">
        <w:t xml:space="preserve">Data </w:t>
      </w:r>
      <w:r w:rsidR="008C6AC0">
        <w:t>are</w:t>
      </w:r>
      <w:r w:rsidRPr="00B466BC">
        <w:t xml:space="preserve"> required on contract attributes and events (commencements, cancellations/withdrawals, and completions) for the cohort </w:t>
      </w:r>
      <w:r w:rsidR="008C6AC0">
        <w:t>who</w:t>
      </w:r>
      <w:r w:rsidRPr="00B466BC">
        <w:t xml:space="preserve"> commenced in 2016</w:t>
      </w:r>
      <w:r w:rsidR="008C6AC0">
        <w:t>.</w:t>
      </w:r>
    </w:p>
    <w:p w14:paraId="23600F24" w14:textId="7C81CA7F" w:rsidR="00F43BA3" w:rsidRPr="00B466BC" w:rsidRDefault="00F43BA3" w:rsidP="00746DE5">
      <w:pPr>
        <w:pStyle w:val="Dotpoint2"/>
      </w:pPr>
      <w:r w:rsidRPr="00B466BC">
        <w:t>The patterns of training activity associated with completions and cancellations/withdrawals for the cohort commencing in 2016 are modelled</w:t>
      </w:r>
      <w:r w:rsidR="008C6AC0">
        <w:t>.</w:t>
      </w:r>
    </w:p>
    <w:p w14:paraId="1C54E3AF" w14:textId="0FE62338" w:rsidR="00A55E16" w:rsidRDefault="00F43BA3" w:rsidP="00075F84">
      <w:pPr>
        <w:pStyle w:val="Dotpoint2"/>
      </w:pPr>
      <w:r w:rsidRPr="00B466BC">
        <w:t>These patter</w:t>
      </w:r>
      <w:r w:rsidR="008C6AC0">
        <w:t>n</w:t>
      </w:r>
      <w:r w:rsidRPr="00B466BC">
        <w:t xml:space="preserve">s of training activity are applied to the trade and non-trade contracts </w:t>
      </w:r>
      <w:r w:rsidR="00A55E16">
        <w:t>that commenced</w:t>
      </w:r>
      <w:r w:rsidR="00A55E16" w:rsidRPr="00B466BC">
        <w:t xml:space="preserve"> </w:t>
      </w:r>
      <w:r w:rsidRPr="00B466BC">
        <w:t>in 2020 to make predictions of the outcomes of each contract. The predicted outcomes are averaged across trade and non-trade contracts to derive projected completion rates for these cohorts</w:t>
      </w:r>
      <w:r w:rsidR="00724098" w:rsidRPr="00B466BC">
        <w:t>.</w:t>
      </w:r>
    </w:p>
    <w:p w14:paraId="573E19A5" w14:textId="77777777" w:rsidR="00C00C44" w:rsidRDefault="00C00C44" w:rsidP="00C00C44">
      <w:pPr>
        <w:pStyle w:val="Heading2"/>
      </w:pPr>
      <w:bookmarkStart w:id="50" w:name="_Toc78364758"/>
      <w:r>
        <w:t>Timeliness of projections</w:t>
      </w:r>
      <w:bookmarkEnd w:id="50"/>
    </w:p>
    <w:p w14:paraId="25D7C0AB" w14:textId="3FD2F2E4" w:rsidR="00DE0D3F" w:rsidRDefault="00C00C44" w:rsidP="00C00C44">
      <w:pPr>
        <w:pStyle w:val="Text"/>
      </w:pPr>
      <w:r>
        <w:t xml:space="preserve">The Markov chains methodology requires a delay of one year to make projections </w:t>
      </w:r>
      <w:r w:rsidR="007B1319">
        <w:t>by comparison</w:t>
      </w:r>
      <w:r>
        <w:t xml:space="preserve"> with </w:t>
      </w:r>
      <w:r w:rsidR="008934FE">
        <w:t xml:space="preserve">the </w:t>
      </w:r>
      <w:r>
        <w:t>life tables and machine learning</w:t>
      </w:r>
      <w:r w:rsidR="008934FE">
        <w:t xml:space="preserve"> approaches</w:t>
      </w:r>
      <w:r>
        <w:t xml:space="preserve">. Taking the 2020 commencing cohort as an example, a projection </w:t>
      </w:r>
      <w:r w:rsidR="00DE0D3F">
        <w:t>can be made for this cohort using:</w:t>
      </w:r>
    </w:p>
    <w:p w14:paraId="534DAB9B" w14:textId="77777777" w:rsidR="00DE0D3F" w:rsidRDefault="00DE0D3F" w:rsidP="004556EA">
      <w:pPr>
        <w:pStyle w:val="Dotpoint1"/>
      </w:pPr>
      <w:r>
        <w:t xml:space="preserve">the life tables or machine learning methodologies, based on </w:t>
      </w:r>
      <w:r w:rsidR="004B6100">
        <w:t>March 2021 estimates</w:t>
      </w:r>
    </w:p>
    <w:p w14:paraId="046AA5B6" w14:textId="154898B9" w:rsidR="00C00C44" w:rsidRPr="00E013E6" w:rsidRDefault="00A42092" w:rsidP="004556EA">
      <w:pPr>
        <w:pStyle w:val="Dotpoint1"/>
      </w:pPr>
      <w:r>
        <w:t xml:space="preserve">the </w:t>
      </w:r>
      <w:r w:rsidR="00DE0D3F">
        <w:t>Markov chains</w:t>
      </w:r>
      <w:r w:rsidR="00C00C44">
        <w:t xml:space="preserve"> </w:t>
      </w:r>
      <w:r>
        <w:t>methodolog</w:t>
      </w:r>
      <w:r w:rsidR="00DE0D3F">
        <w:t xml:space="preserve">y, </w:t>
      </w:r>
      <w:r w:rsidR="00C00C44">
        <w:t>based on March 2022 estimates.</w:t>
      </w:r>
    </w:p>
    <w:p w14:paraId="3358DA55" w14:textId="6F54C2D5" w:rsidR="00E218EB" w:rsidRDefault="00E218EB" w:rsidP="00E218EB">
      <w:pPr>
        <w:pStyle w:val="Heading2"/>
      </w:pPr>
      <w:bookmarkStart w:id="51" w:name="_Toc78364759"/>
      <w:r>
        <w:t>Representativeness of the reference data</w:t>
      </w:r>
      <w:bookmarkEnd w:id="51"/>
    </w:p>
    <w:p w14:paraId="287479AC" w14:textId="1F03333B" w:rsidR="006F592B" w:rsidRPr="005A4F1E" w:rsidRDefault="006F592B" w:rsidP="006F592B">
      <w:pPr>
        <w:pStyle w:val="Text"/>
      </w:pPr>
      <w:r w:rsidRPr="005A4F1E">
        <w:t xml:space="preserve">Under the life tables methodology, projections </w:t>
      </w:r>
      <w:r w:rsidR="00A55E16" w:rsidRPr="005A4F1E">
        <w:t>are made for December quarter commencing cohorts</w:t>
      </w:r>
      <w:r w:rsidR="00296F3E" w:rsidRPr="005A4F1E">
        <w:t>,</w:t>
      </w:r>
      <w:r w:rsidRPr="005A4F1E">
        <w:t xml:space="preserve"> which m</w:t>
      </w:r>
      <w:r w:rsidR="00A55E16" w:rsidRPr="005A4F1E">
        <w:t>ight not adequately represent annual completion rates</w:t>
      </w:r>
      <w:r w:rsidRPr="005A4F1E">
        <w:t>. This may lead to bias in the projections and misalignment with the actual annual completion rates for that cohort.</w:t>
      </w:r>
      <w:r w:rsidR="009F6110" w:rsidRPr="005A4F1E">
        <w:t xml:space="preserve"> This methodology </w:t>
      </w:r>
      <w:r w:rsidR="00E332D5" w:rsidRPr="005A4F1E">
        <w:t>assume</w:t>
      </w:r>
      <w:r w:rsidR="009F6110" w:rsidRPr="005A4F1E">
        <w:t>s</w:t>
      </w:r>
      <w:r w:rsidR="00E332D5" w:rsidRPr="005A4F1E">
        <w:t xml:space="preserve"> that</w:t>
      </w:r>
      <w:r w:rsidR="0012190E" w:rsidRPr="005A4F1E">
        <w:t xml:space="preserve"> patterns of </w:t>
      </w:r>
      <w:r w:rsidR="006B6733" w:rsidRPr="005A4F1E">
        <w:t>t</w:t>
      </w:r>
      <w:r w:rsidR="0012190E" w:rsidRPr="005A4F1E">
        <w:t>ransition</w:t>
      </w:r>
      <w:r w:rsidR="006B6733" w:rsidRPr="005A4F1E">
        <w:t>s</w:t>
      </w:r>
      <w:r w:rsidR="0012190E" w:rsidRPr="005A4F1E">
        <w:t xml:space="preserve"> between</w:t>
      </w:r>
      <w:r w:rsidR="006B6733" w:rsidRPr="005A4F1E">
        <w:t xml:space="preserve"> contract</w:t>
      </w:r>
      <w:r w:rsidR="0012190E" w:rsidRPr="005A4F1E">
        <w:t xml:space="preserve"> states over the past </w:t>
      </w:r>
      <w:r w:rsidR="009F6110" w:rsidRPr="005A4F1E">
        <w:t>five years</w:t>
      </w:r>
      <w:r w:rsidR="0012190E" w:rsidRPr="005A4F1E">
        <w:t xml:space="preserve"> will be representative of transitions</w:t>
      </w:r>
      <w:r w:rsidR="006B6733" w:rsidRPr="005A4F1E">
        <w:t xml:space="preserve"> between contract states</w:t>
      </w:r>
      <w:r w:rsidR="0012190E" w:rsidRPr="005A4F1E">
        <w:t xml:space="preserve"> for the projection cohort</w:t>
      </w:r>
      <w:r w:rsidR="009F6110" w:rsidRPr="005A4F1E">
        <w:t>.</w:t>
      </w:r>
    </w:p>
    <w:p w14:paraId="398FDB02" w14:textId="0CCFAFD7" w:rsidR="006F592B" w:rsidRPr="005A4F1E" w:rsidRDefault="006F592B" w:rsidP="006F592B">
      <w:pPr>
        <w:pStyle w:val="Text"/>
      </w:pPr>
      <w:r w:rsidRPr="005A4F1E">
        <w:lastRenderedPageBreak/>
        <w:t xml:space="preserve">The Markov chains methodology </w:t>
      </w:r>
      <w:r w:rsidR="009F6110" w:rsidRPr="005A4F1E">
        <w:t>calculates projected rates for annual commencing cohorts</w:t>
      </w:r>
      <w:r w:rsidRPr="005A4F1E">
        <w:t>. This method</w:t>
      </w:r>
      <w:r w:rsidR="00E218EB" w:rsidRPr="005A4F1E">
        <w:t xml:space="preserve"> </w:t>
      </w:r>
      <w:r w:rsidR="0012190E" w:rsidRPr="005A4F1E">
        <w:t xml:space="preserve">also </w:t>
      </w:r>
      <w:r w:rsidRPr="005A4F1E">
        <w:t xml:space="preserve">relies on the assumption that </w:t>
      </w:r>
      <w:r w:rsidR="003261BC" w:rsidRPr="005A4F1E">
        <w:t xml:space="preserve">the </w:t>
      </w:r>
      <w:r w:rsidRPr="005A4F1E">
        <w:t xml:space="preserve">patterns of training activity over </w:t>
      </w:r>
      <w:r w:rsidR="0012190E" w:rsidRPr="005A4F1E">
        <w:t xml:space="preserve">a recent </w:t>
      </w:r>
      <w:r w:rsidRPr="005A4F1E">
        <w:t xml:space="preserve">five-year </w:t>
      </w:r>
      <w:r w:rsidR="00E218EB" w:rsidRPr="005A4F1E">
        <w:t>period</w:t>
      </w:r>
      <w:r w:rsidRPr="005A4F1E">
        <w:t xml:space="preserve"> are representative of the patterns of training activity that will emerge for the </w:t>
      </w:r>
      <w:r w:rsidR="0012190E" w:rsidRPr="005A4F1E">
        <w:t xml:space="preserve">projection </w:t>
      </w:r>
      <w:r w:rsidRPr="005A4F1E">
        <w:t>cohort.</w:t>
      </w:r>
      <w:r w:rsidR="0012190E" w:rsidRPr="005A4F1E">
        <w:t xml:space="preserve"> However, the five-year reference period is offset by twelve months as compared with the life tables methodology, </w:t>
      </w:r>
      <w:r w:rsidR="006B6733" w:rsidRPr="005A4F1E">
        <w:t>resulting in a 12</w:t>
      </w:r>
      <w:r w:rsidR="00C27FC4" w:rsidRPr="005A4F1E">
        <w:t>-</w:t>
      </w:r>
      <w:r w:rsidR="006B6733" w:rsidRPr="005A4F1E">
        <w:t>month delay for calculating projections</w:t>
      </w:r>
      <w:r w:rsidR="0012190E" w:rsidRPr="005A4F1E">
        <w:t>.</w:t>
      </w:r>
    </w:p>
    <w:p w14:paraId="5ED1B87C" w14:textId="15A60090" w:rsidR="006F592B" w:rsidRPr="00B466BC" w:rsidRDefault="00E218EB" w:rsidP="006F592B">
      <w:pPr>
        <w:pStyle w:val="Text"/>
      </w:pPr>
      <w:r w:rsidRPr="005A4F1E">
        <w:t xml:space="preserve">The machine learning model </w:t>
      </w:r>
      <w:r w:rsidR="009F6110" w:rsidRPr="005A4F1E">
        <w:t xml:space="preserve">calculates completion rate projections for </w:t>
      </w:r>
      <w:r w:rsidRPr="005A4F1E">
        <w:t>annual</w:t>
      </w:r>
      <w:r w:rsidR="009F6110" w:rsidRPr="005A4F1E">
        <w:t xml:space="preserve"> commencing</w:t>
      </w:r>
      <w:r w:rsidRPr="005A4F1E">
        <w:t xml:space="preserve"> cohorts. </w:t>
      </w:r>
      <w:r w:rsidR="009F6110" w:rsidRPr="005A4F1E">
        <w:t>This methodology</w:t>
      </w:r>
      <w:r w:rsidR="006F592B" w:rsidRPr="005A4F1E">
        <w:t xml:space="preserve"> </w:t>
      </w:r>
      <w:r w:rsidR="009F6110" w:rsidRPr="005A4F1E">
        <w:t xml:space="preserve">has the </w:t>
      </w:r>
      <w:r w:rsidR="006F592B" w:rsidRPr="005A4F1E">
        <w:t>assum</w:t>
      </w:r>
      <w:r w:rsidR="009F6110" w:rsidRPr="005A4F1E">
        <w:t>ption</w:t>
      </w:r>
      <w:r w:rsidR="006F592B" w:rsidRPr="005A4F1E">
        <w:t xml:space="preserve"> that </w:t>
      </w:r>
      <w:r w:rsidRPr="005A4F1E">
        <w:t xml:space="preserve">the patterns in </w:t>
      </w:r>
      <w:r w:rsidR="006F592B" w:rsidRPr="005A4F1E">
        <w:t xml:space="preserve">contract behaviour </w:t>
      </w:r>
      <w:r w:rsidRPr="005A4F1E">
        <w:t xml:space="preserve">of </w:t>
      </w:r>
      <w:r w:rsidR="0012190E" w:rsidRPr="005A4F1E">
        <w:t xml:space="preserve">a </w:t>
      </w:r>
      <w:r w:rsidRPr="005A4F1E">
        <w:t xml:space="preserve">cohort </w:t>
      </w:r>
      <w:r w:rsidR="009F6110" w:rsidRPr="005A4F1E">
        <w:t xml:space="preserve">that commenced </w:t>
      </w:r>
      <w:r w:rsidRPr="005A4F1E">
        <w:t>four</w:t>
      </w:r>
      <w:r w:rsidR="006F592B" w:rsidRPr="005A4F1E">
        <w:t xml:space="preserve"> years earlier </w:t>
      </w:r>
      <w:r w:rsidRPr="005A4F1E">
        <w:t>are</w:t>
      </w:r>
      <w:r w:rsidR="006F592B" w:rsidRPr="005A4F1E">
        <w:t xml:space="preserve"> representative of contract behaviour for the annual cohort </w:t>
      </w:r>
      <w:r w:rsidR="00277587" w:rsidRPr="005A4F1E">
        <w:t>for which</w:t>
      </w:r>
      <w:r w:rsidR="006F592B" w:rsidRPr="005A4F1E">
        <w:t xml:space="preserve"> the projection is being made.</w:t>
      </w:r>
      <w:r w:rsidR="0012190E" w:rsidRPr="005A4F1E">
        <w:t xml:space="preserve"> This methodology uses a single annual commencing cohort as the reference, rather than all training activity within the reference window </w:t>
      </w:r>
      <w:r w:rsidR="003555C1" w:rsidRPr="005A4F1E">
        <w:t>(</w:t>
      </w:r>
      <w:r w:rsidR="0012190E" w:rsidRPr="005A4F1E">
        <w:t>as is the case for life tables and Markov chains</w:t>
      </w:r>
      <w:r w:rsidR="003555C1" w:rsidRPr="005A4F1E">
        <w:t>)</w:t>
      </w:r>
      <w:r w:rsidR="0012190E" w:rsidRPr="005A4F1E">
        <w:t>.</w:t>
      </w:r>
    </w:p>
    <w:p w14:paraId="6F7B26F9" w14:textId="75F29808" w:rsidR="00E2584C" w:rsidRPr="00B466BC" w:rsidRDefault="00E2584C" w:rsidP="00E2584C">
      <w:pPr>
        <w:pStyle w:val="Heading2"/>
      </w:pPr>
      <w:bookmarkStart w:id="52" w:name="_Toc78364760"/>
      <w:r w:rsidRPr="00B466BC">
        <w:t>Adding new slices of data</w:t>
      </w:r>
      <w:bookmarkEnd w:id="52"/>
    </w:p>
    <w:p w14:paraId="70456A3A" w14:textId="0E0B51EB" w:rsidR="00406A51" w:rsidRPr="00B466BC" w:rsidRDefault="00746DE5" w:rsidP="00406A51">
      <w:pPr>
        <w:pStyle w:val="Text"/>
      </w:pPr>
      <w:r w:rsidRPr="00B466BC">
        <w:t xml:space="preserve">In addition to comparing trade and non-trade occupations, </w:t>
      </w:r>
      <w:r w:rsidR="00075F84" w:rsidRPr="00B466BC">
        <w:t>projections</w:t>
      </w:r>
      <w:r w:rsidR="006B6733">
        <w:t xml:space="preserve"> can be calculated</w:t>
      </w:r>
      <w:r w:rsidR="00075F84" w:rsidRPr="00B466BC">
        <w:t xml:space="preserve"> </w:t>
      </w:r>
      <w:r w:rsidR="00314F75">
        <w:t>according to other characteristics of interest</w:t>
      </w:r>
      <w:r w:rsidR="00075F84" w:rsidRPr="00B466BC">
        <w:t>.</w:t>
      </w:r>
      <w:r w:rsidR="00B431A6">
        <w:t xml:space="preserve"> </w:t>
      </w:r>
      <w:r w:rsidR="00075F84" w:rsidRPr="00B466BC">
        <w:t xml:space="preserve">This is true for </w:t>
      </w:r>
      <w:r w:rsidR="00314F75">
        <w:t>the three</w:t>
      </w:r>
      <w:r w:rsidR="00075F84" w:rsidRPr="00B466BC">
        <w:t xml:space="preserve"> methodologies</w:t>
      </w:r>
      <w:r w:rsidR="00314F75">
        <w:t xml:space="preserve"> examined</w:t>
      </w:r>
      <w:r w:rsidR="00075F84" w:rsidRPr="00B466BC">
        <w:t xml:space="preserve">. However, the reliability of those projections </w:t>
      </w:r>
      <w:r w:rsidRPr="00B466BC">
        <w:t>has not been assessed in this report</w:t>
      </w:r>
      <w:r w:rsidR="00075F84" w:rsidRPr="00B466BC">
        <w:t>.</w:t>
      </w:r>
    </w:p>
    <w:p w14:paraId="5E3E33A3" w14:textId="35FDA4E1" w:rsidR="00406A51" w:rsidRDefault="00E20083" w:rsidP="00406A51">
      <w:pPr>
        <w:pStyle w:val="Text"/>
      </w:pPr>
      <w:r>
        <w:t>In addition</w:t>
      </w:r>
      <w:r w:rsidR="00EF3114" w:rsidRPr="00B466BC">
        <w:t>,</w:t>
      </w:r>
      <w:r w:rsidR="005E46D7" w:rsidRPr="00B466BC">
        <w:t xml:space="preserve"> the machine learning methodology works by making predictions for individual records. </w:t>
      </w:r>
      <w:r w:rsidR="00091D97">
        <w:t xml:space="preserve">In terms of </w:t>
      </w:r>
      <w:r w:rsidR="005E46D7" w:rsidRPr="00B466BC">
        <w:t xml:space="preserve">projecting completion rates, the individual predictions can then be aggregated to the cohort level. </w:t>
      </w:r>
      <w:r w:rsidR="00C7569E">
        <w:t>Furthermore</w:t>
      </w:r>
      <w:r w:rsidR="005E46D7" w:rsidRPr="00B466BC">
        <w:t xml:space="preserve">, </w:t>
      </w:r>
      <w:r w:rsidR="00091D97" w:rsidRPr="00406A51">
        <w:t>project</w:t>
      </w:r>
      <w:r w:rsidR="00091D97">
        <w:t>ing</w:t>
      </w:r>
      <w:r w:rsidR="00091D97" w:rsidRPr="00406A51">
        <w:t xml:space="preserve"> rates for subsets of the cohort</w:t>
      </w:r>
      <w:r w:rsidR="00091D97" w:rsidRPr="00B466BC">
        <w:t xml:space="preserve"> </w:t>
      </w:r>
      <w:r w:rsidR="005E46D7" w:rsidRPr="00B466BC">
        <w:t xml:space="preserve">is </w:t>
      </w:r>
      <w:r w:rsidR="00091D97">
        <w:t xml:space="preserve">a </w:t>
      </w:r>
      <w:r w:rsidR="005E46D7" w:rsidRPr="00B466BC">
        <w:t>straight</w:t>
      </w:r>
      <w:r w:rsidR="005E46D7" w:rsidRPr="00406A51">
        <w:t xml:space="preserve">forward </w:t>
      </w:r>
      <w:r w:rsidR="00091D97">
        <w:t>process</w:t>
      </w:r>
      <w:r w:rsidR="005E46D7" w:rsidRPr="00406A51">
        <w:t>. This contrasts with</w:t>
      </w:r>
      <w:r w:rsidR="00C56DD9">
        <w:t xml:space="preserve"> the</w:t>
      </w:r>
      <w:r w:rsidR="005E46D7" w:rsidRPr="00406A51">
        <w:t xml:space="preserve"> life tables and Markov chains </w:t>
      </w:r>
      <w:r w:rsidR="00C56DD9">
        <w:t xml:space="preserve">approaches, </w:t>
      </w:r>
      <w:r w:rsidR="005E46D7" w:rsidRPr="00406A51">
        <w:t>which calculate the projection at the aggregate level only and therefore need to be recalculated separately for any subset of interest.</w:t>
      </w:r>
    </w:p>
    <w:p w14:paraId="27EF02E2" w14:textId="7A670BD7" w:rsidR="00803A61" w:rsidRPr="00E2584C" w:rsidRDefault="00803A61" w:rsidP="00803A61">
      <w:pPr>
        <w:pStyle w:val="Heading2"/>
      </w:pPr>
      <w:bookmarkStart w:id="53" w:name="_Toc78364761"/>
      <w:r>
        <w:t>Refining the algorithm</w:t>
      </w:r>
      <w:r w:rsidR="005E46D7">
        <w:t>s</w:t>
      </w:r>
      <w:bookmarkEnd w:id="53"/>
    </w:p>
    <w:p w14:paraId="4E59C733" w14:textId="77777777" w:rsidR="006F592B" w:rsidRDefault="006F592B" w:rsidP="006F592B">
      <w:pPr>
        <w:pStyle w:val="Heading3"/>
      </w:pPr>
      <w:r>
        <w:t>Improving the accuracy of projections</w:t>
      </w:r>
    </w:p>
    <w:p w14:paraId="41DE522F" w14:textId="0E96452D" w:rsidR="005E46D7" w:rsidRDefault="002C5619" w:rsidP="005E46D7">
      <w:pPr>
        <w:pStyle w:val="Text"/>
      </w:pPr>
      <w:r>
        <w:t>T</w:t>
      </w:r>
      <w:r w:rsidRPr="00EE466F">
        <w:t xml:space="preserve">he </w:t>
      </w:r>
      <w:r>
        <w:t>l</w:t>
      </w:r>
      <w:r w:rsidRPr="00EE466F">
        <w:t xml:space="preserve">ife </w:t>
      </w:r>
      <w:r>
        <w:t>t</w:t>
      </w:r>
      <w:r w:rsidRPr="00EE466F">
        <w:t xml:space="preserve">ables </w:t>
      </w:r>
      <w:r>
        <w:t xml:space="preserve">and Markov chains </w:t>
      </w:r>
      <w:r w:rsidRPr="00EE466F">
        <w:t>methodolog</w:t>
      </w:r>
      <w:r>
        <w:t>ies are fairly</w:t>
      </w:r>
      <w:r w:rsidRPr="00EE466F">
        <w:t xml:space="preserve"> rigid algorithm</w:t>
      </w:r>
      <w:r>
        <w:t>s</w:t>
      </w:r>
      <w:r w:rsidR="00B165F8">
        <w:t xml:space="preserve">, with </w:t>
      </w:r>
      <w:r>
        <w:t>limited</w:t>
      </w:r>
      <w:r w:rsidRPr="00EE466F">
        <w:t xml:space="preserve"> opportunities for improvement.</w:t>
      </w:r>
      <w:r>
        <w:t xml:space="preserve"> This contrasts with the </w:t>
      </w:r>
      <w:r w:rsidR="00722663">
        <w:t>machine learning methodology</w:t>
      </w:r>
      <w:r>
        <w:t>, wh</w:t>
      </w:r>
      <w:r w:rsidR="009E46A9">
        <w:t xml:space="preserve">ich </w:t>
      </w:r>
      <w:r w:rsidR="00314F75">
        <w:t>allows for</w:t>
      </w:r>
      <w:r w:rsidR="009E46A9">
        <w:t xml:space="preserve"> </w:t>
      </w:r>
      <w:r w:rsidR="005D10D9" w:rsidRPr="00EE466F">
        <w:t xml:space="preserve">strategies that </w:t>
      </w:r>
      <w:r w:rsidR="00722663">
        <w:t xml:space="preserve">can be </w:t>
      </w:r>
      <w:r w:rsidR="0064794B">
        <w:t>adopted</w:t>
      </w:r>
      <w:r w:rsidR="005D10D9" w:rsidRPr="00EE466F">
        <w:t xml:space="preserve"> to improve model performance</w:t>
      </w:r>
      <w:r w:rsidR="00722663">
        <w:t>. For example, additional</w:t>
      </w:r>
      <w:r w:rsidR="005D10D9" w:rsidRPr="00EE466F">
        <w:t xml:space="preserve"> attributes</w:t>
      </w:r>
      <w:r w:rsidR="004D6B83">
        <w:t xml:space="preserve"> </w:t>
      </w:r>
      <w:r w:rsidR="00314F75">
        <w:t xml:space="preserve">that influence contract outcomes </w:t>
      </w:r>
      <w:r w:rsidR="00180B56">
        <w:t xml:space="preserve">can be </w:t>
      </w:r>
      <w:r w:rsidR="00314F75">
        <w:t xml:space="preserve">included </w:t>
      </w:r>
      <w:r w:rsidR="00180B56">
        <w:t>in the model</w:t>
      </w:r>
      <w:r w:rsidR="005D10D9" w:rsidRPr="00EE466F">
        <w:t>.</w:t>
      </w:r>
      <w:r>
        <w:t xml:space="preserve"> </w:t>
      </w:r>
      <w:r w:rsidR="005E46D7">
        <w:t xml:space="preserve">The </w:t>
      </w:r>
      <w:r>
        <w:t xml:space="preserve">machine learning </w:t>
      </w:r>
      <w:r w:rsidR="005E46D7">
        <w:t>work conducted</w:t>
      </w:r>
      <w:r w:rsidR="005E46D7" w:rsidRPr="00EE466F">
        <w:t xml:space="preserve"> so far was limited to the attributes available in</w:t>
      </w:r>
      <w:r w:rsidR="005E46D7">
        <w:t xml:space="preserve"> NCVER’s</w:t>
      </w:r>
      <w:r w:rsidR="005E46D7" w:rsidRPr="00EE466F">
        <w:t xml:space="preserve"> apprentice and trainee collection.</w:t>
      </w:r>
      <w:r>
        <w:t xml:space="preserve"> Additional data sources could be identified through future work.</w:t>
      </w:r>
    </w:p>
    <w:p w14:paraId="451E44FD" w14:textId="23904E6F" w:rsidR="006F592B" w:rsidRDefault="00E21583" w:rsidP="006F592B">
      <w:pPr>
        <w:pStyle w:val="Heading3"/>
      </w:pPr>
      <w:r>
        <w:t xml:space="preserve">Individual </w:t>
      </w:r>
      <w:r w:rsidR="006F592B">
        <w:t>completion rates</w:t>
      </w:r>
    </w:p>
    <w:p w14:paraId="483D5F3E" w14:textId="6E2B9A0F" w:rsidR="007049C1" w:rsidRDefault="005E46D7" w:rsidP="005E46D7">
      <w:pPr>
        <w:pStyle w:val="Text"/>
      </w:pPr>
      <w:r>
        <w:t xml:space="preserve">Contract completion rates </w:t>
      </w:r>
      <w:r w:rsidRPr="00EE466F">
        <w:t xml:space="preserve">do not account for students who change employers and </w:t>
      </w:r>
      <w:r w:rsidR="00180B56">
        <w:t xml:space="preserve">who </w:t>
      </w:r>
      <w:r w:rsidR="00547B56">
        <w:t xml:space="preserve">thus </w:t>
      </w:r>
      <w:r w:rsidRPr="00EE466F">
        <w:t xml:space="preserve">may need to start a new contract of training. </w:t>
      </w:r>
      <w:r>
        <w:t>A</w:t>
      </w:r>
      <w:r w:rsidRPr="00EE466F">
        <w:t xml:space="preserve"> student may be successful in completing their training</w:t>
      </w:r>
      <w:r>
        <w:t xml:space="preserve">, but </w:t>
      </w:r>
      <w:r w:rsidR="00941A3C">
        <w:t>dur</w:t>
      </w:r>
      <w:r w:rsidR="006E6A12">
        <w:t>i</w:t>
      </w:r>
      <w:r w:rsidR="00941A3C">
        <w:t>ng</w:t>
      </w:r>
      <w:r>
        <w:t xml:space="preserve"> their training may have multiple contracts. Individual completion rates provide a different indicator of movement through the apprenticeship system </w:t>
      </w:r>
      <w:r w:rsidR="00C95A4C">
        <w:t>from</w:t>
      </w:r>
      <w:r>
        <w:t xml:space="preserve"> contract completion rates.</w:t>
      </w:r>
    </w:p>
    <w:p w14:paraId="7D1868F8" w14:textId="4B04A705" w:rsidR="005E46D7" w:rsidRDefault="005E46D7" w:rsidP="005E46D7">
      <w:pPr>
        <w:pStyle w:val="Text"/>
      </w:pPr>
      <w:r>
        <w:t xml:space="preserve">NCVER currently publishes completion rates for individuals based on the outcomes of contracts of training </w:t>
      </w:r>
      <w:r w:rsidR="007049C1">
        <w:t>and an adjustment</w:t>
      </w:r>
      <w:r>
        <w:t xml:space="preserve"> for a recommencement factor (Karmel 2011). These individual completion rates are only calculated for cohorts where sufficient time has passed </w:t>
      </w:r>
      <w:r w:rsidR="00F63DA7">
        <w:t>for</w:t>
      </w:r>
      <w:r>
        <w:t xml:space="preserve"> the outcomes of the contracts of training</w:t>
      </w:r>
      <w:r w:rsidR="00F63DA7">
        <w:t xml:space="preserve"> to be known</w:t>
      </w:r>
      <w:r>
        <w:t>. In addition, the adjustment is based on the number of recommencements, which may not be reported consistently across jurisdictions. An alternative approach</w:t>
      </w:r>
      <w:r w:rsidR="000E5677">
        <w:t>,</w:t>
      </w:r>
      <w:r>
        <w:t xml:space="preserve"> based on tracking </w:t>
      </w:r>
      <w:r w:rsidR="007049C1">
        <w:t>client</w:t>
      </w:r>
      <w:r>
        <w:t xml:space="preserve"> activity over time using the U</w:t>
      </w:r>
      <w:r w:rsidR="002C5619">
        <w:t xml:space="preserve">nique </w:t>
      </w:r>
      <w:r>
        <w:t>S</w:t>
      </w:r>
      <w:r w:rsidR="002C5619">
        <w:t xml:space="preserve">tudent </w:t>
      </w:r>
      <w:r>
        <w:t>I</w:t>
      </w:r>
      <w:r w:rsidR="002C5619">
        <w:t>dentifier</w:t>
      </w:r>
      <w:r w:rsidR="00941A3C">
        <w:t xml:space="preserve"> (USI)</w:t>
      </w:r>
      <w:r>
        <w:t xml:space="preserve">, would not </w:t>
      </w:r>
      <w:r w:rsidR="00F91350">
        <w:t xml:space="preserve">have to </w:t>
      </w:r>
      <w:r w:rsidR="00D4544A">
        <w:t>deal with</w:t>
      </w:r>
      <w:r>
        <w:t xml:space="preserve"> this issue. In theory, it should also capture training activity </w:t>
      </w:r>
      <w:r w:rsidR="00F91350">
        <w:t xml:space="preserve">in </w:t>
      </w:r>
      <w:r w:rsidR="00996D66">
        <w:t xml:space="preserve">instances </w:t>
      </w:r>
      <w:r>
        <w:t>where students change jurisdictions during their training. However, data</w:t>
      </w:r>
      <w:r w:rsidR="00D4544A">
        <w:t>-</w:t>
      </w:r>
      <w:r>
        <w:t xml:space="preserve">quality issues with the USI </w:t>
      </w:r>
      <w:r w:rsidR="00941A3C">
        <w:t xml:space="preserve">first </w:t>
      </w:r>
      <w:r>
        <w:t>need to be explored.</w:t>
      </w:r>
    </w:p>
    <w:p w14:paraId="4AE0EC04" w14:textId="34E16D97" w:rsidR="006F592B" w:rsidRDefault="006F592B" w:rsidP="006F592B">
      <w:pPr>
        <w:pStyle w:val="Heading3"/>
      </w:pPr>
      <w:r>
        <w:lastRenderedPageBreak/>
        <w:t>Extensions to the methodology</w:t>
      </w:r>
    </w:p>
    <w:p w14:paraId="3AE86FD2" w14:textId="151F13E6" w:rsidR="006F592B" w:rsidRDefault="006F592B" w:rsidP="006F592B">
      <w:pPr>
        <w:pStyle w:val="Text"/>
      </w:pPr>
      <w:r>
        <w:t xml:space="preserve">In the longer term, </w:t>
      </w:r>
      <w:r w:rsidRPr="00EE466F">
        <w:t xml:space="preserve">opportunities </w:t>
      </w:r>
      <w:r w:rsidR="00F87B5E">
        <w:t>are available for</w:t>
      </w:r>
      <w:r w:rsidRPr="00EE466F">
        <w:t xml:space="preserve"> us</w:t>
      </w:r>
      <w:r w:rsidR="00F87B5E">
        <w:t>ing</w:t>
      </w:r>
      <w:r w:rsidRPr="00EE466F">
        <w:t xml:space="preserve"> </w:t>
      </w:r>
      <w:r>
        <w:t>the machine learning</w:t>
      </w:r>
      <w:r w:rsidRPr="00EE466F">
        <w:t xml:space="preserve"> modelling to not </w:t>
      </w:r>
      <w:r w:rsidR="00FC562A">
        <w:t>only</w:t>
      </w:r>
      <w:r w:rsidRPr="00EE466F">
        <w:t xml:space="preserve"> make projections of completion rates for new cohorts, but also to understand </w:t>
      </w:r>
      <w:r w:rsidR="00F87B5E">
        <w:t>the</w:t>
      </w:r>
      <w:r w:rsidRPr="00EE466F">
        <w:t xml:space="preserve"> factors driving completion and non-completion</w:t>
      </w:r>
      <w:r>
        <w:t>.</w:t>
      </w:r>
      <w:r w:rsidRPr="00EE466F">
        <w:t xml:space="preserve"> </w:t>
      </w:r>
      <w:r>
        <w:t>I</w:t>
      </w:r>
      <w:r w:rsidRPr="00EE466F">
        <w:t>dentifying risk factors for non-completion is one direction that could</w:t>
      </w:r>
      <w:r>
        <w:t xml:space="preserve"> be</w:t>
      </w:r>
      <w:r w:rsidRPr="00EE466F">
        <w:t xml:space="preserve"> pursue</w:t>
      </w:r>
      <w:r>
        <w:t>d</w:t>
      </w:r>
      <w:r w:rsidRPr="00EE466F">
        <w:t xml:space="preserve"> in future work.</w:t>
      </w:r>
    </w:p>
    <w:p w14:paraId="288CC182" w14:textId="217FC442" w:rsidR="006F592B" w:rsidRPr="00B466BC" w:rsidRDefault="006F592B" w:rsidP="006F592B">
      <w:pPr>
        <w:pStyle w:val="Text"/>
      </w:pPr>
      <w:r>
        <w:t xml:space="preserve">The supervised machine learning approach used in this work is powerful in detecting subtle and complex patterns in the underlying data. However, this sensitivity does come at a cost of interpretability of the model, where the </w:t>
      </w:r>
      <w:r w:rsidRPr="00B466BC">
        <w:t xml:space="preserve">factors affecting completion are not readily </w:t>
      </w:r>
      <w:r w:rsidR="00AC27F4">
        <w:t>explicable</w:t>
      </w:r>
      <w:r w:rsidRPr="00B466BC">
        <w:t xml:space="preserve">. </w:t>
      </w:r>
      <w:r w:rsidR="00D627B7">
        <w:t>That said</w:t>
      </w:r>
      <w:r w:rsidRPr="00B466BC">
        <w:t xml:space="preserve">, additional methods have been developed </w:t>
      </w:r>
      <w:r w:rsidR="00406EEA">
        <w:t>to enable</w:t>
      </w:r>
      <w:r w:rsidRPr="00B466BC">
        <w:t xml:space="preserve"> the drivers of outcomes</w:t>
      </w:r>
      <w:r w:rsidR="00E90D16">
        <w:t xml:space="preserve"> to be recognised</w:t>
      </w:r>
      <w:r w:rsidRPr="00B466BC">
        <w:t xml:space="preserve">, which can </w:t>
      </w:r>
      <w:r w:rsidR="007049C1" w:rsidRPr="00B466BC">
        <w:t xml:space="preserve">also </w:t>
      </w:r>
      <w:r w:rsidRPr="00B466BC">
        <w:t>be explored in future work.</w:t>
      </w:r>
    </w:p>
    <w:p w14:paraId="3B9EA7FE" w14:textId="08FA3B37" w:rsidR="0089616B" w:rsidRPr="00B466BC" w:rsidRDefault="0089616B" w:rsidP="0089616B">
      <w:pPr>
        <w:pStyle w:val="Heading2"/>
      </w:pPr>
      <w:bookmarkStart w:id="54" w:name="_Toc78364762"/>
      <w:r w:rsidRPr="00B466BC">
        <w:t>Limitations of the analysis</w:t>
      </w:r>
      <w:bookmarkEnd w:id="54"/>
    </w:p>
    <w:p w14:paraId="2310DEED" w14:textId="7349B9A3" w:rsidR="00406A51" w:rsidRPr="00B466BC" w:rsidRDefault="006F592B" w:rsidP="005E46D7">
      <w:pPr>
        <w:pStyle w:val="Text"/>
      </w:pPr>
      <w:r w:rsidRPr="00B466BC">
        <w:t>For this analysis, project</w:t>
      </w:r>
      <w:r w:rsidR="009F4557" w:rsidRPr="00B466BC">
        <w:t>ed completion rates were compared</w:t>
      </w:r>
      <w:r w:rsidRPr="00B466BC">
        <w:t xml:space="preserve"> for 2013, 2014 and 2015. Ideally, additional years would provide a more robust indication of the accuracy and reliability of the projections </w:t>
      </w:r>
      <w:r w:rsidR="00BF167B">
        <w:t>calculated</w:t>
      </w:r>
      <w:r w:rsidRPr="00B466BC">
        <w:t xml:space="preserve"> </w:t>
      </w:r>
      <w:r w:rsidR="00427B2D">
        <w:t>by</w:t>
      </w:r>
      <w:r w:rsidRPr="00B466BC">
        <w:t xml:space="preserve"> the </w:t>
      </w:r>
      <w:r w:rsidR="00E90D16">
        <w:t>various</w:t>
      </w:r>
      <w:r w:rsidRPr="00B466BC">
        <w:t xml:space="preserve"> method</w:t>
      </w:r>
      <w:r w:rsidR="005C7ED6">
        <w:t>ologies</w:t>
      </w:r>
      <w:r w:rsidRPr="00B466BC">
        <w:t>.</w:t>
      </w:r>
    </w:p>
    <w:p w14:paraId="7F281FE6" w14:textId="4FBD022F" w:rsidR="005E46D7" w:rsidRPr="00B466BC" w:rsidRDefault="005E46D7" w:rsidP="005E46D7">
      <w:pPr>
        <w:pStyle w:val="Text"/>
      </w:pPr>
      <w:r w:rsidRPr="00B466BC">
        <w:t xml:space="preserve">It is important to note that completion rates were </w:t>
      </w:r>
      <w:r w:rsidR="00795732">
        <w:t>analysed</w:t>
      </w:r>
      <w:r w:rsidRPr="00B466BC">
        <w:t xml:space="preserve"> to the broad level of aggregation of trade and non-trade contracts, but the methodologies were not </w:t>
      </w:r>
      <w:r w:rsidR="00E9518C">
        <w:t>investigated</w:t>
      </w:r>
      <w:r w:rsidRPr="00B466BC">
        <w:t xml:space="preserve"> to finer levels of aggregation (such as ANZSCO occupations).</w:t>
      </w:r>
    </w:p>
    <w:p w14:paraId="018F5F35" w14:textId="28E04642" w:rsidR="006D5629" w:rsidRPr="00B466BC" w:rsidRDefault="00FB4DBA" w:rsidP="00811365">
      <w:pPr>
        <w:pStyle w:val="Text"/>
      </w:pPr>
      <w:r w:rsidRPr="00B466BC">
        <w:t xml:space="preserve">The accuracy of </w:t>
      </w:r>
      <w:r w:rsidR="00206795">
        <w:t xml:space="preserve">the </w:t>
      </w:r>
      <w:r w:rsidRPr="00B466BC">
        <w:t xml:space="preserve">completion rate projections is evaluated against </w:t>
      </w:r>
      <w:r w:rsidR="002C437F" w:rsidRPr="00B466BC">
        <w:rPr>
          <w:i/>
          <w:iCs/>
        </w:rPr>
        <w:t>observed</w:t>
      </w:r>
      <w:r w:rsidR="002C437F" w:rsidRPr="00B466BC">
        <w:t xml:space="preserve"> </w:t>
      </w:r>
      <w:r w:rsidRPr="00B466BC">
        <w:rPr>
          <w:i/>
          <w:iCs/>
        </w:rPr>
        <w:t>actual</w:t>
      </w:r>
      <w:r w:rsidRPr="00B466BC">
        <w:t xml:space="preserve"> completion rates</w:t>
      </w:r>
      <w:r w:rsidR="006521A6">
        <w:t>,</w:t>
      </w:r>
      <w:r w:rsidRPr="00B466BC">
        <w:t xml:space="preserve"> as calculated from the data after sufficient time has passed to know the outcomes of contracts. However, some contracts never report a final status. </w:t>
      </w:r>
      <w:r w:rsidR="00614FB8" w:rsidRPr="00B466BC">
        <w:t xml:space="preserve">The </w:t>
      </w:r>
      <w:r w:rsidR="00406A51" w:rsidRPr="00B466BC">
        <w:t>true</w:t>
      </w:r>
      <w:r w:rsidR="00614FB8" w:rsidRPr="00B466BC">
        <w:t xml:space="preserve"> completion rate </w:t>
      </w:r>
      <w:r w:rsidR="00D9511A" w:rsidRPr="00B466BC">
        <w:t>may be higher</w:t>
      </w:r>
      <w:r w:rsidR="00406A51" w:rsidRPr="00B466BC">
        <w:t xml:space="preserve"> than the observed actual rate</w:t>
      </w:r>
      <w:r w:rsidR="00D9511A" w:rsidRPr="00B466BC">
        <w:t>, depending on the proportion of expired contracts</w:t>
      </w:r>
      <w:r w:rsidR="00314F75">
        <w:t xml:space="preserve"> </w:t>
      </w:r>
      <w:r w:rsidR="00314F75" w:rsidRPr="00B466BC">
        <w:t>(that</w:t>
      </w:r>
      <w:r w:rsidR="00314F75">
        <w:t xml:space="preserve"> is,</w:t>
      </w:r>
      <w:r w:rsidR="00314F75" w:rsidRPr="00B466BC">
        <w:t xml:space="preserve"> </w:t>
      </w:r>
      <w:r w:rsidR="00314F75">
        <w:t xml:space="preserve">those that </w:t>
      </w:r>
      <w:r w:rsidR="00314F75" w:rsidRPr="00B466BC">
        <w:t>have</w:t>
      </w:r>
      <w:r w:rsidR="00314F75">
        <w:t xml:space="preserve"> passed their expected completion date but have</w:t>
      </w:r>
      <w:r w:rsidR="00314F75" w:rsidRPr="00B466BC">
        <w:t xml:space="preserve"> not reported a final status, typically </w:t>
      </w:r>
      <w:r w:rsidR="00B5639C">
        <w:t>3</w:t>
      </w:r>
      <w:r w:rsidR="00314F75">
        <w:t>−</w:t>
      </w:r>
      <w:r w:rsidR="00314F75" w:rsidRPr="00B466BC">
        <w:t>5%)</w:t>
      </w:r>
      <w:r w:rsidR="00D9511A" w:rsidRPr="00B466BC">
        <w:t xml:space="preserve"> </w:t>
      </w:r>
      <w:r w:rsidR="00406A51" w:rsidRPr="00B466BC">
        <w:t xml:space="preserve">that </w:t>
      </w:r>
      <w:r w:rsidR="008C60A0">
        <w:t>represent</w:t>
      </w:r>
      <w:r w:rsidR="00D9511A" w:rsidRPr="00B466BC">
        <w:t xml:space="preserve"> completions</w:t>
      </w:r>
      <w:r w:rsidR="00406A51" w:rsidRPr="00B466BC">
        <w:t xml:space="preserve"> not reported to NCVER</w:t>
      </w:r>
      <w:r w:rsidR="00614FB8" w:rsidRPr="00B466BC">
        <w:t>.</w:t>
      </w:r>
    </w:p>
    <w:p w14:paraId="5EFD8E5C" w14:textId="13219349" w:rsidR="0089616B" w:rsidRDefault="006D5629" w:rsidP="00811365">
      <w:pPr>
        <w:pStyle w:val="Text"/>
      </w:pPr>
      <w:r w:rsidRPr="00B466BC">
        <w:t>For the reasons</w:t>
      </w:r>
      <w:r w:rsidR="00406A51" w:rsidRPr="00B466BC">
        <w:t xml:space="preserve"> </w:t>
      </w:r>
      <w:r w:rsidR="00193BF5">
        <w:t xml:space="preserve">given </w:t>
      </w:r>
      <w:r w:rsidR="00406A51" w:rsidRPr="00B466BC">
        <w:t>above</w:t>
      </w:r>
      <w:r w:rsidRPr="00B466BC">
        <w:t xml:space="preserve">, this paper is not intended to be a definitive evaluation of the three methodologies, but instead represents initial exploratory work </w:t>
      </w:r>
      <w:r w:rsidR="00193BF5">
        <w:t xml:space="preserve">intended </w:t>
      </w:r>
      <w:r w:rsidRPr="00B466BC">
        <w:t xml:space="preserve">to establish the relative strengths and weaknesses of </w:t>
      </w:r>
      <w:r w:rsidR="0012190E">
        <w:t>three</w:t>
      </w:r>
      <w:r w:rsidRPr="00B466BC">
        <w:t xml:space="preserve"> techniques for projecting completion rates for apprentices and trainees.</w:t>
      </w:r>
      <w:r w:rsidR="0089616B">
        <w:br w:type="page"/>
      </w:r>
    </w:p>
    <w:p w14:paraId="44DE2869" w14:textId="5966D5E9" w:rsidR="006D4157" w:rsidRDefault="002173AB" w:rsidP="006D4157">
      <w:pPr>
        <w:pStyle w:val="Heading1"/>
      </w:pPr>
      <w:bookmarkStart w:id="55" w:name="_Toc78364763"/>
      <w:r w:rsidRPr="00BE5DCB">
        <w:rPr>
          <w:noProof/>
          <w:lang w:eastAsia="en-AU"/>
        </w:rPr>
        <w:lastRenderedPageBreak/>
        <w:drawing>
          <wp:anchor distT="0" distB="0" distL="114300" distR="114300" simplePos="0" relativeHeight="252053504" behindDoc="1" locked="0" layoutInCell="1" allowOverlap="1" wp14:anchorId="59292170" wp14:editId="656572DE">
            <wp:simplePos x="0" y="0"/>
            <wp:positionH relativeFrom="column">
              <wp:posOffset>-1270</wp:posOffset>
            </wp:positionH>
            <wp:positionV relativeFrom="paragraph">
              <wp:posOffset>0</wp:posOffset>
            </wp:positionV>
            <wp:extent cx="419100" cy="419100"/>
            <wp:effectExtent l="0" t="0" r="0" b="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419100" cy="419100"/>
                    </a:xfrm>
                    <a:prstGeom prst="rect">
                      <a:avLst/>
                    </a:prstGeom>
                    <a:noFill/>
                    <a:ln>
                      <a:noFill/>
                    </a:ln>
                  </pic:spPr>
                </pic:pic>
              </a:graphicData>
            </a:graphic>
            <wp14:sizeRelH relativeFrom="page">
              <wp14:pctWidth>0</wp14:pctWidth>
            </wp14:sizeRelH>
            <wp14:sizeRelV relativeFrom="page">
              <wp14:pctHeight>0</wp14:pctHeight>
            </wp14:sizeRelV>
          </wp:anchor>
        </w:drawing>
      </w:r>
      <w:r w:rsidR="006D4157">
        <w:t>Other considerations</w:t>
      </w:r>
      <w:bookmarkEnd w:id="55"/>
    </w:p>
    <w:p w14:paraId="3D8924F2" w14:textId="55374851" w:rsidR="00646495" w:rsidRDefault="00646495" w:rsidP="00E7111C">
      <w:pPr>
        <w:pStyle w:val="Heading2"/>
      </w:pPr>
      <w:bookmarkStart w:id="56" w:name="_Toc78364764"/>
      <w:r>
        <w:t>The COVID-19 pandemic</w:t>
      </w:r>
      <w:bookmarkEnd w:id="56"/>
    </w:p>
    <w:p w14:paraId="698E188E" w14:textId="0B70AD0B" w:rsidR="008D3909" w:rsidRDefault="008D3909" w:rsidP="006B5094">
      <w:pPr>
        <w:pStyle w:val="Text"/>
      </w:pPr>
      <w:r>
        <w:t>Each of the projection methodologies explored in this technical paper draw</w:t>
      </w:r>
      <w:r w:rsidR="00B12E40">
        <w:t>s</w:t>
      </w:r>
      <w:r>
        <w:t xml:space="preserve"> upon recent historical data trends to </w:t>
      </w:r>
      <w:r w:rsidR="00C9100E">
        <w:t>make</w:t>
      </w:r>
      <w:r>
        <w:t xml:space="preserve"> inferences about current</w:t>
      </w:r>
      <w:r w:rsidR="00C9100E">
        <w:t xml:space="preserve"> or future</w:t>
      </w:r>
      <w:r>
        <w:t xml:space="preserve"> training patterns. In the case of the life tables and Markov chain</w:t>
      </w:r>
      <w:r w:rsidR="00C9100E">
        <w:t>s</w:t>
      </w:r>
      <w:r>
        <w:t xml:space="preserve"> methodologies, this </w:t>
      </w:r>
      <w:r w:rsidR="00591F46">
        <w:t xml:space="preserve">relies on </w:t>
      </w:r>
      <w:r>
        <w:t xml:space="preserve">the assumption that the transitional probabilities of recent cohorts are likely to be similar to the transitional probabilities of the current cohort (for which a projection is being made). In the case of machine learning, the assumption is that the factors affecting completion and non-completion, and the extent to which they affect them, are similar for the current cohort </w:t>
      </w:r>
      <w:r w:rsidR="00C9100E">
        <w:t xml:space="preserve">and the cohort </w:t>
      </w:r>
      <w:r w:rsidR="00E41AFD">
        <w:t>on which</w:t>
      </w:r>
      <w:r w:rsidR="00C9100E">
        <w:t xml:space="preserve"> </w:t>
      </w:r>
      <w:r>
        <w:t xml:space="preserve">the model was </w:t>
      </w:r>
      <w:r w:rsidR="00F50AEF">
        <w:t>‘</w:t>
      </w:r>
      <w:r>
        <w:t>trained</w:t>
      </w:r>
      <w:r w:rsidR="00F50AEF">
        <w:t>’</w:t>
      </w:r>
      <w:r>
        <w:t>.</w:t>
      </w:r>
    </w:p>
    <w:p w14:paraId="67B07401" w14:textId="7A091653" w:rsidR="008D3909" w:rsidRDefault="008D3909" w:rsidP="006B5094">
      <w:pPr>
        <w:pStyle w:val="Text"/>
      </w:pPr>
      <w:r>
        <w:t xml:space="preserve">In the </w:t>
      </w:r>
      <w:r w:rsidR="00A91DAA">
        <w:t>context</w:t>
      </w:r>
      <w:r>
        <w:t xml:space="preserve"> of the COVID-19 pandemic, it is not clear whether these assumptions are reasonable, because training behaviour </w:t>
      </w:r>
      <w:r w:rsidR="00C9100E">
        <w:t>is likely to have been</w:t>
      </w:r>
      <w:r>
        <w:t xml:space="preserve"> substantially disrupted. This </w:t>
      </w:r>
      <w:r w:rsidR="001725B2">
        <w:t>is</w:t>
      </w:r>
      <w:r>
        <w:t xml:space="preserve"> evident in the number of contract suspensions and </w:t>
      </w:r>
      <w:r w:rsidR="00E41AFD">
        <w:t xml:space="preserve">the </w:t>
      </w:r>
      <w:r>
        <w:t xml:space="preserve">stark changes in </w:t>
      </w:r>
      <w:r w:rsidR="00A91DAA">
        <w:t>commencement</w:t>
      </w:r>
      <w:r>
        <w:t xml:space="preserve"> and cancellation/withdrawal patterns (</w:t>
      </w:r>
      <w:r w:rsidR="00C9100E">
        <w:t xml:space="preserve">see, for example, </w:t>
      </w:r>
      <w:r w:rsidR="00A91DAA">
        <w:t xml:space="preserve">NCVER </w:t>
      </w:r>
      <w:r w:rsidR="00160BB0">
        <w:t>2020a</w:t>
      </w:r>
      <w:r w:rsidR="00310AF9">
        <w:t>). N</w:t>
      </w:r>
      <w:r w:rsidR="0000777B" w:rsidRPr="00EE466F">
        <w:t>ew factors with unknown</w:t>
      </w:r>
      <w:r w:rsidR="00A91DAA">
        <w:t xml:space="preserve"> and possibly transient</w:t>
      </w:r>
      <w:r w:rsidR="0000777B">
        <w:t xml:space="preserve"> </w:t>
      </w:r>
      <w:r w:rsidR="0000777B" w:rsidRPr="00EE466F">
        <w:t>impacts on apprentice and trainee activity</w:t>
      </w:r>
      <w:r w:rsidR="00E75808">
        <w:t>, which</w:t>
      </w:r>
      <w:r w:rsidR="00A91DAA">
        <w:t xml:space="preserve"> </w:t>
      </w:r>
      <w:r w:rsidR="0000777B" w:rsidRPr="00EE466F">
        <w:t>may not be captured in NCVER data</w:t>
      </w:r>
      <w:r w:rsidR="00AD0FB0">
        <w:t>,</w:t>
      </w:r>
      <w:r w:rsidR="00310AF9">
        <w:t xml:space="preserve"> are likely to emerge</w:t>
      </w:r>
      <w:r w:rsidR="0000777B" w:rsidRPr="00EE466F">
        <w:t xml:space="preserve"> (</w:t>
      </w:r>
      <w:r w:rsidR="00A91DAA">
        <w:t>for example,</w:t>
      </w:r>
      <w:r w:rsidR="0000777B" w:rsidRPr="00EE466F">
        <w:t xml:space="preserve"> eligibility for gov</w:t>
      </w:r>
      <w:r w:rsidR="00A91DAA">
        <w:t>ernment</w:t>
      </w:r>
      <w:r w:rsidR="0000777B" w:rsidRPr="00EE466F">
        <w:t xml:space="preserve"> support).</w:t>
      </w:r>
    </w:p>
    <w:p w14:paraId="3C60A67E" w14:textId="5C081D56" w:rsidR="00552458" w:rsidRPr="00EE466F" w:rsidRDefault="00552458" w:rsidP="00552458">
      <w:pPr>
        <w:pStyle w:val="Text"/>
      </w:pPr>
      <w:r w:rsidRPr="006B5094">
        <w:t>It is important to</w:t>
      </w:r>
      <w:r w:rsidR="00145D81">
        <w:t xml:space="preserve"> note</w:t>
      </w:r>
      <w:r w:rsidRPr="006B5094">
        <w:t xml:space="preserve"> that the </w:t>
      </w:r>
      <w:r w:rsidR="00A91DAA">
        <w:t>machine learning approach</w:t>
      </w:r>
      <w:r w:rsidRPr="006B5094">
        <w:t xml:space="preserve"> described in this technical paper is </w:t>
      </w:r>
      <w:r w:rsidR="00A91DAA">
        <w:t>experimental</w:t>
      </w:r>
      <w:r w:rsidRPr="006B5094">
        <w:t xml:space="preserve">, </w:t>
      </w:r>
      <w:r w:rsidR="00A91DAA">
        <w:t xml:space="preserve">and </w:t>
      </w:r>
      <w:r w:rsidRPr="006B5094">
        <w:t>it is not yet possible to evaluate whether it will generalise to training activity in the future</w:t>
      </w:r>
      <w:r w:rsidR="008C1AA7">
        <w:t>,</w:t>
      </w:r>
      <w:r w:rsidRPr="006B5094">
        <w:t xml:space="preserve"> once the disruptions of </w:t>
      </w:r>
      <w:r w:rsidR="00CE2A0E">
        <w:t>the pandemic</w:t>
      </w:r>
      <w:r w:rsidRPr="006B5094">
        <w:t xml:space="preserve"> no longer </w:t>
      </w:r>
      <w:r w:rsidR="008C1AA7">
        <w:t>apply</w:t>
      </w:r>
      <w:r w:rsidRPr="006B5094">
        <w:t>.</w:t>
      </w:r>
    </w:p>
    <w:p w14:paraId="5D1347B3" w14:textId="58D17567" w:rsidR="006D4157" w:rsidRDefault="00E3412F" w:rsidP="006D4157">
      <w:pPr>
        <w:pStyle w:val="Heading2"/>
      </w:pPr>
      <w:bookmarkStart w:id="57" w:name="_Toc78364765"/>
      <w:r>
        <w:t>E</w:t>
      </w:r>
      <w:r w:rsidR="006D4157">
        <w:t>xpired contracts</w:t>
      </w:r>
      <w:r>
        <w:t xml:space="preserve"> and attrition rates</w:t>
      </w:r>
      <w:bookmarkEnd w:id="57"/>
    </w:p>
    <w:p w14:paraId="4265A965" w14:textId="5401CF64" w:rsidR="00E3412F" w:rsidRDefault="00E3412F" w:rsidP="006B5094">
      <w:pPr>
        <w:pStyle w:val="Text"/>
      </w:pPr>
      <w:r>
        <w:t xml:space="preserve">This technical paper has </w:t>
      </w:r>
      <w:r w:rsidR="00347831">
        <w:t>focused on</w:t>
      </w:r>
      <w:r>
        <w:t xml:space="preserve"> completion rates. A complementary statistic is the attrition rate. However, a fundamental question </w:t>
      </w:r>
      <w:r w:rsidR="00310AF9">
        <w:t>relates to</w:t>
      </w:r>
      <w:r w:rsidR="00347831">
        <w:t xml:space="preserve"> the definition of attrition, particularly with regards to </w:t>
      </w:r>
      <w:r>
        <w:t>expired contracts.</w:t>
      </w:r>
    </w:p>
    <w:p w14:paraId="1289ADF9" w14:textId="2F181EAE" w:rsidR="00E3412F" w:rsidRDefault="00E3412F" w:rsidP="006B5094">
      <w:pPr>
        <w:pStyle w:val="Text"/>
      </w:pPr>
      <w:r w:rsidRPr="006B5094">
        <w:t>Expired contracts are those for which the expected completion dat</w:t>
      </w:r>
      <w:r w:rsidR="00F7325E">
        <w:t>e</w:t>
      </w:r>
      <w:r w:rsidRPr="006B5094">
        <w:t xml:space="preserve"> has passed but no completion or cancellation/withdrawal has been reported</w:t>
      </w:r>
      <w:r w:rsidR="00581039">
        <w:t>;</w:t>
      </w:r>
      <w:r w:rsidRPr="006B5094">
        <w:t xml:space="preserve"> hence</w:t>
      </w:r>
      <w:r w:rsidR="00581039">
        <w:t>,</w:t>
      </w:r>
      <w:r w:rsidRPr="006B5094">
        <w:t xml:space="preserve"> the status of these contracts is not known.</w:t>
      </w:r>
      <w:r>
        <w:t xml:space="preserve"> Past investigations have found that that some expired contracts have outcomes that could reasonably be treated as attrition, </w:t>
      </w:r>
      <w:r w:rsidR="00A6793A">
        <w:t>while</w:t>
      </w:r>
      <w:r>
        <w:t xml:space="preserve"> other expired contracts </w:t>
      </w:r>
      <w:r w:rsidR="00347831">
        <w:t>are</w:t>
      </w:r>
      <w:r>
        <w:t xml:space="preserve"> </w:t>
      </w:r>
      <w:r w:rsidR="00347831">
        <w:t>unreported c</w:t>
      </w:r>
      <w:r>
        <w:t xml:space="preserve">ompletions. </w:t>
      </w:r>
      <w:r w:rsidR="00E15550">
        <w:t>The current</w:t>
      </w:r>
      <w:r>
        <w:t xml:space="preserve"> mix of completions and attrition among expired contracts is not known.</w:t>
      </w:r>
    </w:p>
    <w:p w14:paraId="36486B73" w14:textId="134EF79E" w:rsidR="00E3412F" w:rsidRDefault="00E3412F" w:rsidP="006B5094">
      <w:pPr>
        <w:pStyle w:val="Text"/>
      </w:pPr>
      <w:r>
        <w:t xml:space="preserve">The life tables methodology does not include expired contracts as a form of attrition. </w:t>
      </w:r>
      <w:r w:rsidRPr="006B5094">
        <w:t xml:space="preserve">In other words, projected completion and attrition rates </w:t>
      </w:r>
      <w:r>
        <w:t xml:space="preserve">do not </w:t>
      </w:r>
      <w:r w:rsidRPr="006B5094">
        <w:t xml:space="preserve">sum to 100%, </w:t>
      </w:r>
      <w:r>
        <w:t xml:space="preserve">and rates of </w:t>
      </w:r>
      <w:r w:rsidRPr="006B5094">
        <w:t xml:space="preserve">expired contracts </w:t>
      </w:r>
      <w:r>
        <w:t>are considered separately</w:t>
      </w:r>
      <w:r w:rsidRPr="006B5094">
        <w:t>.</w:t>
      </w:r>
    </w:p>
    <w:p w14:paraId="7A1E8019" w14:textId="31C7BBFA" w:rsidR="00CC54E2" w:rsidRDefault="00E3412F" w:rsidP="00E3412F">
      <w:pPr>
        <w:pStyle w:val="Text"/>
      </w:pPr>
      <w:r>
        <w:t xml:space="preserve">By contrast, the Markov chains methodology </w:t>
      </w:r>
      <w:r w:rsidR="00CC54E2">
        <w:t>does treat</w:t>
      </w:r>
      <w:r>
        <w:t xml:space="preserve"> expired contracts as attrition</w:t>
      </w:r>
      <w:r w:rsidR="00CC54E2">
        <w:t xml:space="preserve">. This is due to </w:t>
      </w:r>
      <w:r w:rsidR="0019366F">
        <w:t>a</w:t>
      </w:r>
      <w:r w:rsidR="00CC54E2">
        <w:t xml:space="preserve"> practical constraint</w:t>
      </w:r>
      <w:r w:rsidR="0019366F">
        <w:t>; namely,</w:t>
      </w:r>
      <w:r>
        <w:t xml:space="preserve"> if not removed from the ‘unreported’ state, the projections for completion rates are too high. This </w:t>
      </w:r>
      <w:r w:rsidR="00347831">
        <w:t xml:space="preserve">is </w:t>
      </w:r>
      <w:r>
        <w:t xml:space="preserve">because expired contracts </w:t>
      </w:r>
      <w:r w:rsidR="00347831">
        <w:t xml:space="preserve">that </w:t>
      </w:r>
      <w:r>
        <w:t xml:space="preserve">never report a status do not belong in a transient state, </w:t>
      </w:r>
      <w:r w:rsidR="0019366F">
        <w:t>that is</w:t>
      </w:r>
      <w:r w:rsidR="00E40472">
        <w:t>,</w:t>
      </w:r>
      <w:r>
        <w:t xml:space="preserve"> the unreported state.</w:t>
      </w:r>
    </w:p>
    <w:p w14:paraId="64AAD1AD" w14:textId="77777777" w:rsidR="004556EA" w:rsidRDefault="00E15550" w:rsidP="00EE4434">
      <w:pPr>
        <w:pStyle w:val="Text"/>
      </w:pPr>
      <w:r>
        <w:t xml:space="preserve">The machine learning model was developed using data records where the final contract status was known, either as a completion or a cancellation/withdrawal. Expired contracts were excluded from the </w:t>
      </w:r>
      <w:r w:rsidR="00FB4DBA">
        <w:t xml:space="preserve">dataset when </w:t>
      </w:r>
      <w:r>
        <w:t>training</w:t>
      </w:r>
      <w:r w:rsidR="00FB4DBA">
        <w:t xml:space="preserve"> the model,</w:t>
      </w:r>
      <w:r>
        <w:t xml:space="preserve"> and </w:t>
      </w:r>
      <w:r w:rsidR="00E40472">
        <w:t>no investigation was conducted into</w:t>
      </w:r>
      <w:r>
        <w:t xml:space="preserve"> whether </w:t>
      </w:r>
      <w:r w:rsidRPr="006B5094">
        <w:t xml:space="preserve">expired contracts </w:t>
      </w:r>
      <w:r>
        <w:t>could</w:t>
      </w:r>
      <w:r w:rsidRPr="006B5094">
        <w:t xml:space="preserve"> be predicted </w:t>
      </w:r>
      <w:r w:rsidR="00E40472">
        <w:t>according to</w:t>
      </w:r>
      <w:r w:rsidRPr="006B5094">
        <w:t xml:space="preserve"> their attributes.</w:t>
      </w:r>
      <w:r>
        <w:t xml:space="preserve"> </w:t>
      </w:r>
      <w:r w:rsidR="00FB4DBA">
        <w:t xml:space="preserve">In practical terms, the machine learning methodology </w:t>
      </w:r>
    </w:p>
    <w:p w14:paraId="546FFA88" w14:textId="77777777" w:rsidR="004556EA" w:rsidRDefault="004556EA">
      <w:pPr>
        <w:spacing w:before="0" w:line="240" w:lineRule="auto"/>
      </w:pPr>
      <w:r>
        <w:br w:type="page"/>
      </w:r>
    </w:p>
    <w:p w14:paraId="56FBC841" w14:textId="083AD7A8" w:rsidR="000A5A49" w:rsidRPr="006B5094" w:rsidRDefault="00FB4DBA" w:rsidP="00EE4434">
      <w:pPr>
        <w:pStyle w:val="Text"/>
      </w:pPr>
      <w:r>
        <w:lastRenderedPageBreak/>
        <w:t>calculates cohort completion and cancellation/withdrawal rates by averaging across predictions for every contract in the commencing cohort. Although the machine learning model makes a prediction of either completion or cancellation/withdrawal for each contract, some contracts will never report either of these statuses, and will remain expired.</w:t>
      </w:r>
      <w:r w:rsidR="000A5A49" w:rsidRPr="006B5094">
        <w:br w:type="page"/>
      </w:r>
    </w:p>
    <w:p w14:paraId="60972258" w14:textId="7FF4954C" w:rsidR="00324917" w:rsidRDefault="002173AB" w:rsidP="00324917">
      <w:pPr>
        <w:pStyle w:val="Heading1"/>
      </w:pPr>
      <w:bookmarkStart w:id="58" w:name="_Toc456000800"/>
      <w:bookmarkStart w:id="59" w:name="_Toc457122465"/>
      <w:bookmarkStart w:id="60" w:name="_Toc188077643"/>
      <w:bookmarkStart w:id="61" w:name="_Toc275543018"/>
      <w:bookmarkStart w:id="62" w:name="_Toc78364766"/>
      <w:bookmarkEnd w:id="32"/>
      <w:r w:rsidRPr="00BE5DCB">
        <w:rPr>
          <w:noProof/>
          <w:lang w:eastAsia="en-AU"/>
        </w:rPr>
        <w:lastRenderedPageBreak/>
        <w:drawing>
          <wp:anchor distT="0" distB="0" distL="114300" distR="114300" simplePos="0" relativeHeight="252055552" behindDoc="1" locked="0" layoutInCell="1" allowOverlap="1" wp14:anchorId="65107EF7" wp14:editId="339CF3CE">
            <wp:simplePos x="0" y="0"/>
            <wp:positionH relativeFrom="column">
              <wp:posOffset>-46990</wp:posOffset>
            </wp:positionH>
            <wp:positionV relativeFrom="paragraph">
              <wp:posOffset>0</wp:posOffset>
            </wp:positionV>
            <wp:extent cx="419100" cy="419100"/>
            <wp:effectExtent l="0" t="0" r="0" b="0"/>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419100" cy="419100"/>
                    </a:xfrm>
                    <a:prstGeom prst="rect">
                      <a:avLst/>
                    </a:prstGeom>
                    <a:noFill/>
                    <a:ln>
                      <a:noFill/>
                    </a:ln>
                  </pic:spPr>
                </pic:pic>
              </a:graphicData>
            </a:graphic>
            <wp14:sizeRelH relativeFrom="page">
              <wp14:pctWidth>0</wp14:pctWidth>
            </wp14:sizeRelH>
            <wp14:sizeRelV relativeFrom="page">
              <wp14:pctHeight>0</wp14:pctHeight>
            </wp14:sizeRelV>
          </wp:anchor>
        </w:drawing>
      </w:r>
      <w:r w:rsidR="00324917">
        <w:t>References</w:t>
      </w:r>
      <w:bookmarkEnd w:id="58"/>
      <w:bookmarkEnd w:id="59"/>
      <w:bookmarkEnd w:id="60"/>
      <w:bookmarkEnd w:id="61"/>
      <w:bookmarkEnd w:id="62"/>
      <w:r w:rsidR="00324917">
        <w:t xml:space="preserve"> </w:t>
      </w:r>
    </w:p>
    <w:p w14:paraId="429CF3F8" w14:textId="468C7FBA" w:rsidR="00132874" w:rsidRDefault="009851FC" w:rsidP="005E14F5">
      <w:pPr>
        <w:pStyle w:val="References"/>
        <w:spacing w:before="160"/>
      </w:pPr>
      <w:bookmarkStart w:id="63" w:name="_Toc275543019"/>
      <w:r w:rsidRPr="00091CA7">
        <w:t>ABS (Australian Bureau of Statistics)</w:t>
      </w:r>
      <w:r w:rsidR="00DF156A">
        <w:t xml:space="preserve"> 2006, </w:t>
      </w:r>
      <w:r w:rsidR="00DF156A" w:rsidRPr="00DF156A">
        <w:rPr>
          <w:i/>
          <w:iCs/>
        </w:rPr>
        <w:t>Australian and New Zealand Standard Industrial Classification (ANZSIC)</w:t>
      </w:r>
      <w:r w:rsidR="00DF156A">
        <w:t xml:space="preserve">, </w:t>
      </w:r>
      <w:r w:rsidR="006E123F">
        <w:t xml:space="preserve">revision 2, </w:t>
      </w:r>
      <w:r w:rsidR="00DF156A">
        <w:t xml:space="preserve">ABS cat.no.1292.0, </w:t>
      </w:r>
      <w:r w:rsidR="006E123F">
        <w:t>ABS, Canberra.</w:t>
      </w:r>
    </w:p>
    <w:p w14:paraId="42F01FE1" w14:textId="4F3B79E5" w:rsidR="009851FC" w:rsidRDefault="00CA6FD7" w:rsidP="005E14F5">
      <w:pPr>
        <w:pStyle w:val="References"/>
        <w:spacing w:before="160"/>
      </w:pPr>
      <w:r w:rsidRPr="00091CA7">
        <w:t>——</w:t>
      </w:r>
      <w:r w:rsidR="009851FC" w:rsidRPr="00091CA7">
        <w:t>20</w:t>
      </w:r>
      <w:r w:rsidR="009851FC">
        <w:t>1</w:t>
      </w:r>
      <w:r w:rsidR="005E14F5">
        <w:t>7</w:t>
      </w:r>
      <w:r w:rsidR="009851FC">
        <w:t>—</w:t>
      </w:r>
      <w:r w:rsidR="005E14F5">
        <w:t>19</w:t>
      </w:r>
      <w:r w:rsidR="009851FC" w:rsidRPr="00091CA7">
        <w:t xml:space="preserve">, </w:t>
      </w:r>
      <w:r w:rsidR="005E14F5" w:rsidRPr="005E14F5">
        <w:rPr>
          <w:i/>
          <w:iCs/>
        </w:rPr>
        <w:t>Life tables methodology</w:t>
      </w:r>
      <w:r w:rsidR="009851FC" w:rsidRPr="00091CA7">
        <w:t>, ABS, Canberra, viewed J</w:t>
      </w:r>
      <w:r w:rsidR="005E14F5">
        <w:t>une</w:t>
      </w:r>
      <w:r w:rsidR="009851FC" w:rsidRPr="00091CA7">
        <w:t xml:space="preserve"> 2021, &lt;</w:t>
      </w:r>
      <w:hyperlink r:id="rId43" w:history="1">
        <w:r w:rsidR="005E14F5" w:rsidRPr="00FB3E99">
          <w:rPr>
            <w:rStyle w:val="Hyperlink"/>
            <w:sz w:val="18"/>
          </w:rPr>
          <w:t>https://www.abs.gov.au/methodologies/life-tables-methodology/2017-2019</w:t>
        </w:r>
      </w:hyperlink>
      <w:r w:rsidR="009851FC" w:rsidRPr="00091CA7">
        <w:t>&gt;.</w:t>
      </w:r>
    </w:p>
    <w:p w14:paraId="0D59B205" w14:textId="50256753" w:rsidR="00282709" w:rsidRDefault="00282709" w:rsidP="005E14F5">
      <w:pPr>
        <w:pStyle w:val="References"/>
        <w:spacing w:before="160"/>
      </w:pPr>
      <w:r w:rsidRPr="00091CA7">
        <w:t xml:space="preserve">——2013, ANZSCO — </w:t>
      </w:r>
      <w:r w:rsidRPr="009B6F1D">
        <w:rPr>
          <w:i/>
          <w:iCs/>
        </w:rPr>
        <w:t>Australian and New Zealand Standard Classification of Occupations,</w:t>
      </w:r>
      <w:r w:rsidRPr="00091CA7">
        <w:t xml:space="preserve"> </w:t>
      </w:r>
      <w:r>
        <w:t>v</w:t>
      </w:r>
      <w:r w:rsidRPr="00091CA7">
        <w:t>ersion 1.</w:t>
      </w:r>
      <w:r>
        <w:t>2</w:t>
      </w:r>
      <w:r w:rsidRPr="00091CA7">
        <w:t xml:space="preserve">, cat.no.1220.0, ABS, Canberra, viewed </w:t>
      </w:r>
      <w:r>
        <w:t>9 June</w:t>
      </w:r>
      <w:r w:rsidRPr="00091CA7">
        <w:t xml:space="preserve"> 2021, &lt;</w:t>
      </w:r>
      <w:r w:rsidRPr="00282709">
        <w:t>https://www.abs.gov.au/AUSSTATS/abs@.nsf/allprimarymainfeatures/4AF138F6DB4FFD4BCA2571E200096BAD?opendocument</w:t>
      </w:r>
      <w:r w:rsidRPr="00091CA7">
        <w:t>&gt;.</w:t>
      </w:r>
    </w:p>
    <w:p w14:paraId="45F9C83F" w14:textId="169F19A1" w:rsidR="00CA6FD7" w:rsidRDefault="00CA6FD7" w:rsidP="005E14F5">
      <w:pPr>
        <w:pStyle w:val="References"/>
        <w:spacing w:before="160"/>
      </w:pPr>
      <w:r w:rsidRPr="00091CA7">
        <w:t>——</w:t>
      </w:r>
      <w:r w:rsidRPr="00CA6FD7">
        <w:rPr>
          <w:i/>
          <w:iCs/>
        </w:rPr>
        <w:t>Australian statistical geography standard (ASGS) remoteness structure</w:t>
      </w:r>
      <w:r>
        <w:t>, viewed 25 July 2021, &lt;</w:t>
      </w:r>
      <w:r w:rsidRPr="00BE7592">
        <w:t>https://www.abs.gov.au/websitedbs/d3310114.nsf/home/remoteness+structure</w:t>
      </w:r>
      <w:r>
        <w:t>&gt;.</w:t>
      </w:r>
    </w:p>
    <w:p w14:paraId="5D64BE94" w14:textId="25B40E25" w:rsidR="001C1324" w:rsidRPr="00F013DF" w:rsidRDefault="001C1324" w:rsidP="0035726A">
      <w:pPr>
        <w:pStyle w:val="References"/>
      </w:pPr>
      <w:r>
        <w:t>LeCun, Y</w:t>
      </w:r>
      <w:r w:rsidR="00CA0CDD">
        <w:t>, Bengio, Y</w:t>
      </w:r>
      <w:r>
        <w:t xml:space="preserve"> &amp; Hinton, G 2015, </w:t>
      </w:r>
      <w:r w:rsidR="00F013DF">
        <w:t>‘</w:t>
      </w:r>
      <w:r w:rsidRPr="000F7294">
        <w:t>Deep learning</w:t>
      </w:r>
      <w:r w:rsidR="00F013DF">
        <w:t>’</w:t>
      </w:r>
      <w:r>
        <w:rPr>
          <w:i/>
          <w:iCs/>
        </w:rPr>
        <w:t xml:space="preserve">, </w:t>
      </w:r>
      <w:r w:rsidRPr="000F7294">
        <w:rPr>
          <w:i/>
          <w:iCs/>
        </w:rPr>
        <w:t>Nature</w:t>
      </w:r>
      <w:r w:rsidR="00F013DF">
        <w:rPr>
          <w:i/>
          <w:iCs/>
        </w:rPr>
        <w:t xml:space="preserve">, </w:t>
      </w:r>
      <w:r w:rsidR="00F013DF">
        <w:t>vol.521, no.7553, pp.436-444.</w:t>
      </w:r>
    </w:p>
    <w:p w14:paraId="7DC32EB1" w14:textId="54CD272D" w:rsidR="00645BA9" w:rsidRDefault="00645BA9" w:rsidP="0035726A">
      <w:pPr>
        <w:pStyle w:val="References"/>
      </w:pPr>
      <w:r>
        <w:t xml:space="preserve">Harvey, B 2010, </w:t>
      </w:r>
      <w:r w:rsidRPr="00645BA9">
        <w:rPr>
          <w:i/>
          <w:iCs/>
        </w:rPr>
        <w:t>Estimation of apprentice and trainee statistics</w:t>
      </w:r>
      <w:r>
        <w:t xml:space="preserve">, </w:t>
      </w:r>
      <w:r w:rsidRPr="0034004F">
        <w:t>NCVER, Adelaide,</w:t>
      </w:r>
      <w:r w:rsidRPr="0034004F">
        <w:rPr>
          <w:i/>
        </w:rPr>
        <w:t xml:space="preserve"> </w:t>
      </w:r>
      <w:r w:rsidRPr="0034004F">
        <w:t xml:space="preserve">viewed </w:t>
      </w:r>
      <w:r>
        <w:t>12</w:t>
      </w:r>
      <w:r w:rsidRPr="0034004F">
        <w:t xml:space="preserve"> A</w:t>
      </w:r>
      <w:r>
        <w:t>pril</w:t>
      </w:r>
      <w:r w:rsidRPr="0034004F">
        <w:t xml:space="preserve"> 20</w:t>
      </w:r>
      <w:r>
        <w:t>21</w:t>
      </w:r>
      <w:r w:rsidRPr="0034004F">
        <w:t>, &lt;</w:t>
      </w:r>
      <w:r w:rsidRPr="00645BA9">
        <w:t>https://www.ncver.edu.au/research-and-statistics/publications/all-publications/estimation-of-apprentice-and-trainee-statistics</w:t>
      </w:r>
      <w:hyperlink r:id="rId44" w:history="1"/>
      <w:r w:rsidRPr="0034004F">
        <w:t>&gt;</w:t>
      </w:r>
      <w:r w:rsidR="00531805">
        <w:t>.</w:t>
      </w:r>
    </w:p>
    <w:p w14:paraId="5CE3BEFF" w14:textId="7EC63F70" w:rsidR="00462D58" w:rsidRDefault="00462D58" w:rsidP="0035726A">
      <w:pPr>
        <w:pStyle w:val="References"/>
      </w:pPr>
      <w:r w:rsidRPr="00462D58">
        <w:t>Isaacson, DL &amp; Madsen</w:t>
      </w:r>
      <w:r w:rsidR="00287E28">
        <w:t>,</w:t>
      </w:r>
      <w:r w:rsidRPr="00462D58">
        <w:t xml:space="preserve"> RW 1976, </w:t>
      </w:r>
      <w:r w:rsidRPr="00462D58">
        <w:rPr>
          <w:i/>
          <w:iCs/>
        </w:rPr>
        <w:t>Markov chains: Theory and applications</w:t>
      </w:r>
      <w:r w:rsidRPr="00462D58">
        <w:t>, John Wiley &amp; Sons, New York.</w:t>
      </w:r>
    </w:p>
    <w:p w14:paraId="37D3B5F9" w14:textId="77777777" w:rsidR="00540C74" w:rsidRDefault="00540C74" w:rsidP="00540C74">
      <w:pPr>
        <w:pStyle w:val="References"/>
      </w:pPr>
      <w:r w:rsidRPr="0034004F">
        <w:t>Karmel, T 201</w:t>
      </w:r>
      <w:r>
        <w:t>1</w:t>
      </w:r>
      <w:r w:rsidRPr="0034004F">
        <w:t xml:space="preserve">, </w:t>
      </w:r>
      <w:r w:rsidRPr="001429FF">
        <w:rPr>
          <w:i/>
        </w:rPr>
        <w:t>Individual-based completion rates for apprentices</w:t>
      </w:r>
      <w:r w:rsidRPr="0034004F">
        <w:rPr>
          <w:i/>
        </w:rPr>
        <w:t xml:space="preserve">, </w:t>
      </w:r>
      <w:r w:rsidRPr="0034004F">
        <w:t>NCVER, Adelaide,</w:t>
      </w:r>
      <w:r w:rsidRPr="0034004F">
        <w:rPr>
          <w:i/>
        </w:rPr>
        <w:t xml:space="preserve"> </w:t>
      </w:r>
      <w:r w:rsidRPr="0034004F">
        <w:t xml:space="preserve">viewed </w:t>
      </w:r>
      <w:r>
        <w:t>12</w:t>
      </w:r>
      <w:r w:rsidRPr="0034004F">
        <w:t xml:space="preserve"> A</w:t>
      </w:r>
      <w:r>
        <w:t>pril</w:t>
      </w:r>
      <w:r w:rsidRPr="0034004F">
        <w:t xml:space="preserve"> 20</w:t>
      </w:r>
      <w:r>
        <w:t>21</w:t>
      </w:r>
      <w:r w:rsidRPr="0034004F">
        <w:t>, &lt;</w:t>
      </w:r>
      <w:hyperlink r:id="rId45" w:history="1">
        <w:r w:rsidRPr="00262E93">
          <w:rPr>
            <w:rStyle w:val="Hyperlink"/>
            <w:sz w:val="18"/>
          </w:rPr>
          <w:t>https://www.ncver.edu.au/research-and-statistics/publications/all-publications/individual-based-completion-rates-for-apprentices</w:t>
        </w:r>
      </w:hyperlink>
      <w:r w:rsidRPr="0034004F">
        <w:t>&gt;.</w:t>
      </w:r>
    </w:p>
    <w:p w14:paraId="4E6635D6" w14:textId="15BB71EC" w:rsidR="0035726A" w:rsidRDefault="0035726A" w:rsidP="0035726A">
      <w:pPr>
        <w:pStyle w:val="References"/>
      </w:pPr>
      <w:r w:rsidRPr="0034004F">
        <w:t>Karmel, T</w:t>
      </w:r>
      <w:r w:rsidRPr="001429FF">
        <w:t xml:space="preserve"> </w:t>
      </w:r>
      <w:r>
        <w:t xml:space="preserve">&amp; </w:t>
      </w:r>
      <w:r w:rsidRPr="001429FF">
        <w:t>Mlotkowski,</w:t>
      </w:r>
      <w:r>
        <w:t xml:space="preserve"> P</w:t>
      </w:r>
      <w:r w:rsidRPr="001429FF">
        <w:t xml:space="preserve"> </w:t>
      </w:r>
      <w:r w:rsidRPr="0034004F">
        <w:t>201</w:t>
      </w:r>
      <w:r>
        <w:t>0</w:t>
      </w:r>
      <w:r w:rsidRPr="0034004F">
        <w:t xml:space="preserve">, </w:t>
      </w:r>
      <w:r w:rsidRPr="001429FF">
        <w:rPr>
          <w:i/>
        </w:rPr>
        <w:t>Estimating apprentice and trainee completion and attrition rates using a 'life tables' approach</w:t>
      </w:r>
      <w:r w:rsidRPr="0034004F">
        <w:rPr>
          <w:i/>
        </w:rPr>
        <w:t xml:space="preserve">, </w:t>
      </w:r>
      <w:r w:rsidRPr="0034004F">
        <w:t>NCVER, Adelaide,</w:t>
      </w:r>
      <w:r w:rsidRPr="0034004F">
        <w:rPr>
          <w:i/>
        </w:rPr>
        <w:t xml:space="preserve"> </w:t>
      </w:r>
      <w:r w:rsidRPr="0034004F">
        <w:t xml:space="preserve">viewed </w:t>
      </w:r>
      <w:r>
        <w:t>12</w:t>
      </w:r>
      <w:r w:rsidRPr="0034004F">
        <w:t xml:space="preserve"> A</w:t>
      </w:r>
      <w:r>
        <w:t>pril</w:t>
      </w:r>
      <w:r w:rsidRPr="0034004F">
        <w:t xml:space="preserve"> 20</w:t>
      </w:r>
      <w:r>
        <w:t>21</w:t>
      </w:r>
      <w:r w:rsidRPr="0034004F">
        <w:t>, &lt;</w:t>
      </w:r>
      <w:r w:rsidRPr="00540C74">
        <w:t>https://www.ncver.edu.au/research-and-statistics/publications/all-publications/estimating-apprentice-and-trainee-completion-and-attrition-rates-using-a-life-tables-approach</w:t>
      </w:r>
      <w:hyperlink r:id="rId46" w:history="1"/>
      <w:r w:rsidRPr="0034004F">
        <w:t>&gt;</w:t>
      </w:r>
      <w:r w:rsidR="00540C74">
        <w:t>.</w:t>
      </w:r>
    </w:p>
    <w:p w14:paraId="04B39D69" w14:textId="79AA6D87" w:rsidR="00540C74" w:rsidRDefault="00540C74" w:rsidP="00540C74">
      <w:pPr>
        <w:pStyle w:val="References"/>
      </w:pPr>
      <w:r>
        <w:t xml:space="preserve">McDonald, B 2018, </w:t>
      </w:r>
      <w:r w:rsidRPr="003670AB">
        <w:rPr>
          <w:i/>
          <w:iCs/>
        </w:rPr>
        <w:t>Total VET program completion rates</w:t>
      </w:r>
      <w:r>
        <w:t>, NCVER, Adelaide, viewed 19 April 2021, &lt;</w:t>
      </w:r>
      <w:r w:rsidRPr="003670AB">
        <w:t>https://www.ncver.edu.au/research-and-statistics/publications/all-publications/total-</w:t>
      </w:r>
      <w:hyperlink r:id="rId47" w:history="1">
        <w:r w:rsidRPr="003670AB">
          <w:rPr>
            <w:rStyle w:val="Hyperlink"/>
            <w:sz w:val="18"/>
          </w:rPr>
          <w:t>vet</w:t>
        </w:r>
      </w:hyperlink>
      <w:r w:rsidRPr="003670AB">
        <w:t>-</w:t>
      </w:r>
      <w:hyperlink r:id="rId48" w:history="1">
        <w:r w:rsidRPr="003670AB">
          <w:rPr>
            <w:rStyle w:val="Hyperlink"/>
            <w:sz w:val="18"/>
          </w:rPr>
          <w:t>program</w:t>
        </w:r>
      </w:hyperlink>
      <w:r w:rsidRPr="003670AB">
        <w:t>-completion-rates</w:t>
      </w:r>
      <w:r>
        <w:t>&gt;.</w:t>
      </w:r>
    </w:p>
    <w:p w14:paraId="0C09B91E" w14:textId="7B68B06B" w:rsidR="001C1324" w:rsidRPr="001C1324" w:rsidRDefault="00E331CB" w:rsidP="00E331CB">
      <w:pPr>
        <w:pStyle w:val="References"/>
      </w:pPr>
      <w:r>
        <w:t xml:space="preserve">Mark, K &amp; </w:t>
      </w:r>
      <w:r w:rsidRPr="0034004F">
        <w:t>Karmel, T 201</w:t>
      </w:r>
      <w:r>
        <w:t>0</w:t>
      </w:r>
      <w:r w:rsidRPr="0034004F">
        <w:t xml:space="preserve">, </w:t>
      </w:r>
      <w:r w:rsidRPr="00E331CB">
        <w:rPr>
          <w:i/>
        </w:rPr>
        <w:t xml:space="preserve">The likelihood of completing a VET qualification: </w:t>
      </w:r>
      <w:r w:rsidR="00540C74">
        <w:rPr>
          <w:i/>
        </w:rPr>
        <w:t>A</w:t>
      </w:r>
      <w:r w:rsidRPr="00E331CB">
        <w:rPr>
          <w:i/>
        </w:rPr>
        <w:t xml:space="preserve"> model-based approach</w:t>
      </w:r>
      <w:r w:rsidRPr="0034004F">
        <w:rPr>
          <w:i/>
        </w:rPr>
        <w:t xml:space="preserve">, </w:t>
      </w:r>
      <w:r w:rsidRPr="0034004F">
        <w:t>NCVER, Adelaide,</w:t>
      </w:r>
      <w:r w:rsidRPr="0034004F">
        <w:rPr>
          <w:i/>
        </w:rPr>
        <w:t xml:space="preserve"> </w:t>
      </w:r>
      <w:r w:rsidRPr="0034004F">
        <w:t xml:space="preserve">viewed </w:t>
      </w:r>
      <w:r>
        <w:t>12</w:t>
      </w:r>
      <w:r w:rsidRPr="0034004F">
        <w:t xml:space="preserve"> A</w:t>
      </w:r>
      <w:r>
        <w:t>pril</w:t>
      </w:r>
      <w:r w:rsidRPr="0034004F">
        <w:t xml:space="preserve"> 20</w:t>
      </w:r>
      <w:r>
        <w:t>21</w:t>
      </w:r>
      <w:r w:rsidRPr="0034004F">
        <w:t>, &lt;</w:t>
      </w:r>
      <w:hyperlink r:id="rId49" w:history="1">
        <w:r w:rsidRPr="00962CD5">
          <w:rPr>
            <w:rStyle w:val="Hyperlink"/>
            <w:sz w:val="18"/>
          </w:rPr>
          <w:t>https://www.ncver.edu.au/research-and-statistics/publications/all-publications/the-likelihood-of-completing-a-vet-qualification-a-model-based-approach</w:t>
        </w:r>
      </w:hyperlink>
      <w:hyperlink r:id="rId50" w:history="1"/>
      <w:r w:rsidRPr="0034004F">
        <w:t>&gt;.</w:t>
      </w:r>
    </w:p>
    <w:p w14:paraId="18AC54DD" w14:textId="6A5C9863" w:rsidR="005D218B" w:rsidRDefault="0035726A" w:rsidP="0035726A">
      <w:pPr>
        <w:pStyle w:val="References"/>
        <w:ind w:left="0" w:firstLine="0"/>
      </w:pPr>
      <w:r>
        <w:t xml:space="preserve">Murphy, KP 2012, </w:t>
      </w:r>
      <w:r w:rsidRPr="0035726A">
        <w:rPr>
          <w:i/>
          <w:iCs/>
        </w:rPr>
        <w:t>Machine learning: A probabilistic perspective</w:t>
      </w:r>
      <w:r>
        <w:t>, MIT Press, Cambridge, MA.</w:t>
      </w:r>
    </w:p>
    <w:p w14:paraId="2BAECA1F" w14:textId="4678B8D2" w:rsidR="009851FC" w:rsidRDefault="009851FC" w:rsidP="009851FC">
      <w:pPr>
        <w:pStyle w:val="References"/>
      </w:pPr>
      <w:r>
        <w:t>NCVER (National Centre for Vocational Education Research) 201</w:t>
      </w:r>
      <w:r w:rsidR="00F355F0">
        <w:t>9</w:t>
      </w:r>
      <w:r>
        <w:t xml:space="preserve">, </w:t>
      </w:r>
      <w:r w:rsidRPr="0061502E">
        <w:rPr>
          <w:i/>
          <w:iCs/>
        </w:rPr>
        <w:t>Completion and attrition rates for apprentices and trainees</w:t>
      </w:r>
      <w:r w:rsidR="00F355F0">
        <w:rPr>
          <w:i/>
          <w:iCs/>
        </w:rPr>
        <w:t xml:space="preserve"> 2018</w:t>
      </w:r>
      <w:r>
        <w:t xml:space="preserve">, NCVER, Adelaide, </w:t>
      </w:r>
      <w:r w:rsidR="00A07A20">
        <w:t xml:space="preserve">viewed 25 July </w:t>
      </w:r>
      <w:r w:rsidR="000C1AE3">
        <w:t xml:space="preserve">2021, </w:t>
      </w:r>
      <w:r>
        <w:t>&lt;</w:t>
      </w:r>
      <w:r w:rsidRPr="009851FC">
        <w:t>http://hdl.voced.edu.au/10707/513891</w:t>
      </w:r>
      <w:r>
        <w:t>&gt;.</w:t>
      </w:r>
    </w:p>
    <w:p w14:paraId="2908CED1" w14:textId="382909FC" w:rsidR="00FF12EB" w:rsidRDefault="00FF12EB" w:rsidP="00FF12EB">
      <w:pPr>
        <w:pStyle w:val="References"/>
        <w:spacing w:before="160"/>
      </w:pPr>
      <w:r w:rsidRPr="00091CA7">
        <w:t>——20</w:t>
      </w:r>
      <w:r>
        <w:t>20</w:t>
      </w:r>
      <w:r w:rsidR="000C1AE3">
        <w:t>a</w:t>
      </w:r>
      <w:r w:rsidRPr="00091CA7">
        <w:t xml:space="preserve">, </w:t>
      </w:r>
      <w:r w:rsidRPr="00692092">
        <w:rPr>
          <w:i/>
          <w:iCs/>
        </w:rPr>
        <w:t>Apprentices and trainees 2020: June quarter: Australia</w:t>
      </w:r>
      <w:r>
        <w:t>, NCVER, Adelaide, viewed 9 June 2021 &lt;</w:t>
      </w:r>
      <w:r w:rsidRPr="00692092">
        <w:t>http://hdl.voced.edu.au/10707/562147</w:t>
      </w:r>
      <w:r>
        <w:t>&gt;.</w:t>
      </w:r>
    </w:p>
    <w:p w14:paraId="49ECA00F" w14:textId="1634400D" w:rsidR="006A1C37" w:rsidRDefault="006A1C37" w:rsidP="006A1C37">
      <w:pPr>
        <w:pStyle w:val="References"/>
        <w:spacing w:before="160"/>
      </w:pPr>
      <w:r w:rsidRPr="00091CA7">
        <w:t>——20</w:t>
      </w:r>
      <w:r w:rsidR="00F355F0">
        <w:t>20</w:t>
      </w:r>
      <w:r w:rsidR="000C1AE3">
        <w:t>b</w:t>
      </w:r>
      <w:r w:rsidRPr="00091CA7">
        <w:t xml:space="preserve">, </w:t>
      </w:r>
      <w:r w:rsidRPr="0061502E">
        <w:rPr>
          <w:i/>
          <w:iCs/>
        </w:rPr>
        <w:t>Completion and attrition rates for apprentices and trainees</w:t>
      </w:r>
      <w:r w:rsidR="00F355F0">
        <w:rPr>
          <w:i/>
          <w:iCs/>
        </w:rPr>
        <w:t xml:space="preserve"> 2019</w:t>
      </w:r>
      <w:r>
        <w:t xml:space="preserve">, NCVER, Adelaide, </w:t>
      </w:r>
      <w:r w:rsidR="007A5BF6">
        <w:t xml:space="preserve">viewed 25 July 2021, </w:t>
      </w:r>
      <w:r>
        <w:t>&lt;</w:t>
      </w:r>
      <w:r w:rsidR="00611091" w:rsidRPr="00611091">
        <w:t>http://hdl.voced.edu.au/10707/545628</w:t>
      </w:r>
      <w:r>
        <w:t>&gt;.</w:t>
      </w:r>
    </w:p>
    <w:p w14:paraId="6F24463F" w14:textId="5F008653" w:rsidR="006A1C37" w:rsidRDefault="006A1C37" w:rsidP="006A1C37">
      <w:pPr>
        <w:pStyle w:val="References"/>
        <w:spacing w:before="160"/>
      </w:pPr>
      <w:r w:rsidRPr="00091CA7">
        <w:t>——20</w:t>
      </w:r>
      <w:r>
        <w:t>2</w:t>
      </w:r>
      <w:r w:rsidR="00F355F0">
        <w:t>1</w:t>
      </w:r>
      <w:r w:rsidRPr="00091CA7">
        <w:t xml:space="preserve">, </w:t>
      </w:r>
      <w:r w:rsidRPr="0061502E">
        <w:rPr>
          <w:i/>
          <w:iCs/>
        </w:rPr>
        <w:t>Completion and attrition rates for apprentices and trainees</w:t>
      </w:r>
      <w:r w:rsidR="00F355F0">
        <w:rPr>
          <w:i/>
          <w:iCs/>
        </w:rPr>
        <w:t xml:space="preserve"> 2020</w:t>
      </w:r>
      <w:r>
        <w:t>, NCVER, Adelaide,</w:t>
      </w:r>
      <w:r w:rsidR="00817A08">
        <w:t xml:space="preserve"> viewed 25 July 2021,</w:t>
      </w:r>
      <w:r>
        <w:t xml:space="preserve"> &lt;</w:t>
      </w:r>
      <w:r w:rsidR="00611091" w:rsidRPr="00611091">
        <w:t>https://www.ncver.edu.au/research-and-statistics/publications/all-publications/completion-and-attrition-rates-for-apprentices-and-trainees-2020</w:t>
      </w:r>
      <w:r>
        <w:t>&gt;.</w:t>
      </w:r>
    </w:p>
    <w:p w14:paraId="728B7B4E" w14:textId="47CECE05" w:rsidR="00EA7965" w:rsidRDefault="00EA7965" w:rsidP="006A1C37">
      <w:pPr>
        <w:pStyle w:val="References"/>
        <w:spacing w:before="160"/>
      </w:pPr>
      <w:r>
        <w:t xml:space="preserve">Watt, J, Borhani, R &amp; Katsaggelos, AK 2020, </w:t>
      </w:r>
      <w:r w:rsidRPr="005D218B">
        <w:rPr>
          <w:i/>
          <w:iCs/>
        </w:rPr>
        <w:t>Machine learning refined: Foundations, algorithms, and applications</w:t>
      </w:r>
      <w:r>
        <w:t>, Cambridge University Press, Cambridge, UK.</w:t>
      </w:r>
    </w:p>
    <w:p w14:paraId="2AD64863" w14:textId="6D9E272A" w:rsidR="0007783F" w:rsidRDefault="0007783F" w:rsidP="0007783F">
      <w:pPr>
        <w:pStyle w:val="References"/>
        <w:spacing w:before="160"/>
      </w:pPr>
    </w:p>
    <w:p w14:paraId="66AAA68A" w14:textId="0F1081F0" w:rsidR="00EF5F04" w:rsidRDefault="00324917" w:rsidP="006A1C37">
      <w:pPr>
        <w:pStyle w:val="References"/>
        <w:spacing w:before="160"/>
      </w:pPr>
      <w:r>
        <w:br w:type="page"/>
      </w:r>
      <w:bookmarkEnd w:id="63"/>
    </w:p>
    <w:p w14:paraId="6FA15F68" w14:textId="27420200" w:rsidR="0089616B" w:rsidRDefault="002173AB" w:rsidP="00EF5F04">
      <w:pPr>
        <w:pStyle w:val="Heading1"/>
      </w:pPr>
      <w:bookmarkStart w:id="64" w:name="_Toc78364767"/>
      <w:r w:rsidRPr="00BE5DCB">
        <w:rPr>
          <w:noProof/>
          <w:lang w:eastAsia="en-AU"/>
        </w:rPr>
        <w:lastRenderedPageBreak/>
        <w:drawing>
          <wp:anchor distT="0" distB="0" distL="114300" distR="114300" simplePos="0" relativeHeight="252057600" behindDoc="1" locked="0" layoutInCell="1" allowOverlap="1" wp14:anchorId="2A537D83" wp14:editId="2C247D84">
            <wp:simplePos x="0" y="0"/>
            <wp:positionH relativeFrom="column">
              <wp:posOffset>-77470</wp:posOffset>
            </wp:positionH>
            <wp:positionV relativeFrom="paragraph">
              <wp:posOffset>30480</wp:posOffset>
            </wp:positionV>
            <wp:extent cx="419100" cy="419100"/>
            <wp:effectExtent l="0" t="0" r="0" b="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419100" cy="419100"/>
                    </a:xfrm>
                    <a:prstGeom prst="rect">
                      <a:avLst/>
                    </a:prstGeom>
                    <a:noFill/>
                    <a:ln>
                      <a:noFill/>
                    </a:ln>
                  </pic:spPr>
                </pic:pic>
              </a:graphicData>
            </a:graphic>
            <wp14:sizeRelH relativeFrom="page">
              <wp14:pctWidth>0</wp14:pctWidth>
            </wp14:sizeRelH>
            <wp14:sizeRelV relativeFrom="page">
              <wp14:pctHeight>0</wp14:pctHeight>
            </wp14:sizeRelV>
          </wp:anchor>
        </w:drawing>
      </w:r>
      <w:r w:rsidR="00EF5F04" w:rsidRPr="00EF5F04">
        <w:t>Appendix</w:t>
      </w:r>
      <w:r w:rsidR="00892800">
        <w:t xml:space="preserve"> </w:t>
      </w:r>
      <w:r w:rsidR="008E4651">
        <w:t>A</w:t>
      </w:r>
      <w:r w:rsidR="000911E1">
        <w:t xml:space="preserve"> – Methodological detail of machine learning </w:t>
      </w:r>
      <w:r w:rsidR="00D57A64">
        <w:t>modelling</w:t>
      </w:r>
      <w:bookmarkEnd w:id="64"/>
    </w:p>
    <w:p w14:paraId="17982073" w14:textId="6CA91520" w:rsidR="00051747" w:rsidRDefault="00051747" w:rsidP="00E6627B">
      <w:pPr>
        <w:pStyle w:val="Text"/>
      </w:pPr>
      <w:r>
        <w:t xml:space="preserve">In the context of projecting completion rates for apprentices and trainees, the </w:t>
      </w:r>
      <w:r w:rsidR="00C973BA">
        <w:t>goal of the</w:t>
      </w:r>
      <w:r>
        <w:t xml:space="preserve"> machine learning </w:t>
      </w:r>
      <w:r w:rsidR="00C973BA">
        <w:t xml:space="preserve">model </w:t>
      </w:r>
      <w:r>
        <w:t xml:space="preserve">is to </w:t>
      </w:r>
      <w:r w:rsidR="00C973BA">
        <w:t xml:space="preserve">predict the final status (completed, </w:t>
      </w:r>
      <w:r w:rsidR="00314C89">
        <w:t>cancelled/withdrawn</w:t>
      </w:r>
      <w:r w:rsidR="00C973BA">
        <w:t>) of apprentice and trainee contracts of training, based on the attributes of the contracts when they commenced.</w:t>
      </w:r>
      <w:r w:rsidR="00314C89">
        <w:t xml:space="preserve"> In other words, the model is used to categorise new contracts according to whether they are more likely to complete or more likely to cancel/withdraw.</w:t>
      </w:r>
      <w:r w:rsidR="00C973BA">
        <w:t xml:space="preserve"> </w:t>
      </w:r>
      <w:r w:rsidR="000A5CAC">
        <w:t>M</w:t>
      </w:r>
      <w:r>
        <w:t xml:space="preserve">any different machine learning approaches </w:t>
      </w:r>
      <w:r w:rsidR="00CC2C52">
        <w:t>are available for</w:t>
      </w:r>
      <w:r>
        <w:t xml:space="preserve"> solv</w:t>
      </w:r>
      <w:r w:rsidR="00CC2C52">
        <w:t>ing</w:t>
      </w:r>
      <w:r>
        <w:t xml:space="preserve"> this </w:t>
      </w:r>
      <w:r w:rsidR="00C973BA">
        <w:t xml:space="preserve">categorisation </w:t>
      </w:r>
      <w:r>
        <w:t>problem. One of the considerations in choosing which approach to use is the complexity of the data and the complexity of the patterns that might separate the categories of interest.</w:t>
      </w:r>
    </w:p>
    <w:p w14:paraId="118B9AC4" w14:textId="09346BA7" w:rsidR="004D0D32" w:rsidRDefault="004D0D32" w:rsidP="004D0D32">
      <w:pPr>
        <w:pStyle w:val="Text"/>
      </w:pPr>
      <w:r>
        <w:t xml:space="preserve">Figure </w:t>
      </w:r>
      <w:r w:rsidR="008E4651">
        <w:t>A1</w:t>
      </w:r>
      <w:r>
        <w:t xml:space="preserve"> shows examples of two </w:t>
      </w:r>
      <w:r w:rsidR="008E4651">
        <w:t xml:space="preserve">hypothetical data </w:t>
      </w:r>
      <w:r>
        <w:t>categories (blue and red data points)</w:t>
      </w:r>
      <w:r w:rsidR="00E82274">
        <w:t>,</w:t>
      </w:r>
      <w:r>
        <w:t xml:space="preserve"> which are separated according to two features (feature 1 on the x axis and feature 2 on the y axis). In the example on the left, the separation between the two categories (dashed line) is straightforward, whereas in the example on the right the separation is more complex. </w:t>
      </w:r>
      <w:r w:rsidR="008E4651">
        <w:t xml:space="preserve">The </w:t>
      </w:r>
      <w:r w:rsidR="00C973BA">
        <w:t xml:space="preserve">complexity of the </w:t>
      </w:r>
      <w:r w:rsidR="008E4651">
        <w:t>separation between categories can</w:t>
      </w:r>
      <w:r w:rsidR="00051747">
        <w:t xml:space="preserve"> </w:t>
      </w:r>
      <w:r w:rsidR="00C973BA">
        <w:t>increase very quickly</w:t>
      </w:r>
      <w:r w:rsidR="008E4651">
        <w:t xml:space="preserve"> when more features are included in the model.</w:t>
      </w:r>
    </w:p>
    <w:p w14:paraId="33BD1803" w14:textId="5400BDE0" w:rsidR="004D0D32" w:rsidRDefault="004D0D32" w:rsidP="004D0D32">
      <w:pPr>
        <w:pStyle w:val="Figuretitle"/>
      </w:pPr>
      <w:bookmarkStart w:id="65" w:name="_Toc75437725"/>
      <w:bookmarkStart w:id="66" w:name="_Toc68602320"/>
      <w:r>
        <w:t xml:space="preserve">Figure </w:t>
      </w:r>
      <w:r w:rsidR="008E4651">
        <w:t>A1</w:t>
      </w:r>
      <w:r>
        <w:tab/>
        <w:t>Examples of simple and complex separation of data categories</w:t>
      </w:r>
      <w:bookmarkEnd w:id="65"/>
      <w:r w:rsidRPr="00B63F87">
        <w:rPr>
          <w:noProof/>
        </w:rPr>
        <w:t xml:space="preserve"> </w:t>
      </w:r>
    </w:p>
    <w:bookmarkEnd w:id="66"/>
    <w:p w14:paraId="784EF783" w14:textId="77777777" w:rsidR="004D0D32" w:rsidRDefault="004D0D32" w:rsidP="004D0D32">
      <w:pPr>
        <w:pStyle w:val="Source"/>
        <w:ind w:left="0" w:firstLine="0"/>
      </w:pPr>
      <w:r>
        <w:rPr>
          <w:noProof/>
        </w:rPr>
        <w:drawing>
          <wp:inline distT="0" distB="0" distL="0" distR="0" wp14:anchorId="5AD91763" wp14:editId="55630FD3">
            <wp:extent cx="5745480" cy="2019300"/>
            <wp:effectExtent l="0" t="0" r="762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745480" cy="2019300"/>
                    </a:xfrm>
                    <a:prstGeom prst="rect">
                      <a:avLst/>
                    </a:prstGeom>
                    <a:noFill/>
                    <a:ln>
                      <a:noFill/>
                    </a:ln>
                  </pic:spPr>
                </pic:pic>
              </a:graphicData>
            </a:graphic>
          </wp:inline>
        </w:drawing>
      </w:r>
    </w:p>
    <w:p w14:paraId="087A6749" w14:textId="0E6D9210" w:rsidR="004D0D32" w:rsidRPr="006B5094" w:rsidRDefault="004D0D32" w:rsidP="004D0D32">
      <w:pPr>
        <w:pStyle w:val="Source"/>
        <w:ind w:left="0" w:firstLine="0"/>
      </w:pPr>
      <w:r>
        <w:t xml:space="preserve">Source: Adapted from Watt, Borhani &amp; Katsaggelos </w:t>
      </w:r>
      <w:r w:rsidR="00193FE5">
        <w:t>(</w:t>
      </w:r>
      <w:r>
        <w:t>2020</w:t>
      </w:r>
      <w:r w:rsidR="00193FE5">
        <w:t>).</w:t>
      </w:r>
    </w:p>
    <w:p w14:paraId="03D34831" w14:textId="22BE4BD5" w:rsidR="00591F46" w:rsidRDefault="00591F46" w:rsidP="00C942C2">
      <w:pPr>
        <w:pStyle w:val="Text"/>
      </w:pPr>
      <w:r>
        <w:t xml:space="preserve">For projecting contract completion rates for apprentices and trainees, many attributes are available to </w:t>
      </w:r>
      <w:r w:rsidRPr="005A4F1E">
        <w:t xml:space="preserve">be included in the model and the patterns driving training outcomes likely to be complex. For these reasons, </w:t>
      </w:r>
      <w:r w:rsidR="001C1324" w:rsidRPr="005A4F1E">
        <w:rPr>
          <w:i/>
          <w:iCs/>
        </w:rPr>
        <w:t xml:space="preserve">deep learning </w:t>
      </w:r>
      <w:r w:rsidR="001C1324" w:rsidRPr="005A4F1E">
        <w:t>approaches</w:t>
      </w:r>
      <w:r w:rsidRPr="005A4F1E">
        <w:t xml:space="preserve"> </w:t>
      </w:r>
      <w:r w:rsidR="001C1324" w:rsidRPr="005A4F1E">
        <w:t xml:space="preserve">were </w:t>
      </w:r>
      <w:r w:rsidR="00FA1B02" w:rsidRPr="005A4F1E">
        <w:t xml:space="preserve">considered appropriate </w:t>
      </w:r>
      <w:r w:rsidRPr="005A4F1E">
        <w:t>for this task.</w:t>
      </w:r>
    </w:p>
    <w:p w14:paraId="43EEB342" w14:textId="3C1B7138" w:rsidR="00C942C2" w:rsidRDefault="00051747" w:rsidP="00C942C2">
      <w:pPr>
        <w:pStyle w:val="Text"/>
      </w:pPr>
      <w:r>
        <w:t xml:space="preserve">Table A1 </w:t>
      </w:r>
      <w:r w:rsidR="000A00F0">
        <w:t>show</w:t>
      </w:r>
      <w:r>
        <w:t xml:space="preserve">s the </w:t>
      </w:r>
      <w:r w:rsidR="00EB4644">
        <w:t xml:space="preserve">training contract </w:t>
      </w:r>
      <w:r>
        <w:t xml:space="preserve">attributes </w:t>
      </w:r>
      <w:r w:rsidR="00EB4644">
        <w:t>that were included in the machine learning model</w:t>
      </w:r>
      <w:r w:rsidR="00C942C2">
        <w:t>s for trade and non-trade cohorts. Several attributes included in the non-trade model were not included in the trade model</w:t>
      </w:r>
      <w:r w:rsidR="00591F46">
        <w:t>. These were identified</w:t>
      </w:r>
      <w:r w:rsidR="00C942C2">
        <w:t xml:space="preserve"> </w:t>
      </w:r>
      <w:r w:rsidR="00591F46">
        <w:t>through</w:t>
      </w:r>
      <w:r w:rsidR="00C942C2">
        <w:t xml:space="preserve"> experiments that revealed that excluding the</w:t>
      </w:r>
      <w:r w:rsidR="00591F46">
        <w:t xml:space="preserve">m </w:t>
      </w:r>
      <w:r w:rsidR="00C942C2">
        <w:t xml:space="preserve">did not affect the model performance. These variables are identified in </w:t>
      </w:r>
      <w:r w:rsidR="000F59F1">
        <w:t>t</w:t>
      </w:r>
      <w:r w:rsidR="00C942C2">
        <w:t>able A1.</w:t>
      </w:r>
    </w:p>
    <w:p w14:paraId="590EDB32" w14:textId="1A918DFF" w:rsidR="00C942C2" w:rsidRDefault="007824D8" w:rsidP="00C942C2">
      <w:pPr>
        <w:pStyle w:val="Text"/>
      </w:pPr>
      <w:r>
        <w:t>Records with missing values for key variables such as contract status at completion and trade status (based on ANZSCO) were excluded from the analysis. This means that unreported contracts were not considered in the development of the machine learning model.</w:t>
      </w:r>
    </w:p>
    <w:p w14:paraId="5D0137CB" w14:textId="12C63D84" w:rsidR="00591F46" w:rsidRDefault="00591F46" w:rsidP="00C942C2">
      <w:pPr>
        <w:pStyle w:val="Text"/>
      </w:pPr>
    </w:p>
    <w:p w14:paraId="5A32B177" w14:textId="1628E508" w:rsidR="00591F46" w:rsidRDefault="00591F46" w:rsidP="00C942C2">
      <w:pPr>
        <w:pStyle w:val="Text"/>
      </w:pPr>
    </w:p>
    <w:p w14:paraId="39E730B5" w14:textId="77777777" w:rsidR="00591F46" w:rsidRDefault="00591F46" w:rsidP="00C942C2">
      <w:pPr>
        <w:pStyle w:val="Text"/>
      </w:pPr>
    </w:p>
    <w:p w14:paraId="768E7AA8" w14:textId="7A3C075D" w:rsidR="000A00F0" w:rsidRPr="00D47F93" w:rsidRDefault="000A00F0" w:rsidP="000A00F0">
      <w:pPr>
        <w:pStyle w:val="Tabletitle"/>
      </w:pPr>
      <w:bookmarkStart w:id="67" w:name="_Toc68602322"/>
      <w:bookmarkStart w:id="68" w:name="_Toc75437731"/>
      <w:r w:rsidRPr="00D47F93">
        <w:lastRenderedPageBreak/>
        <w:t xml:space="preserve">Table </w:t>
      </w:r>
      <w:r>
        <w:t>A1</w:t>
      </w:r>
      <w:r w:rsidRPr="00D47F93">
        <w:tab/>
      </w:r>
      <w:bookmarkEnd w:id="67"/>
      <w:r>
        <w:t>Attributes of</w:t>
      </w:r>
      <w:r w:rsidRPr="0014275F">
        <w:t xml:space="preserve"> commencing </w:t>
      </w:r>
      <w:r>
        <w:t xml:space="preserve">apprentice and trainee </w:t>
      </w:r>
      <w:r w:rsidRPr="0014275F">
        <w:t>co</w:t>
      </w:r>
      <w:r>
        <w:t>ntracts included in machine learning modelling</w:t>
      </w:r>
      <w:bookmarkEnd w:id="68"/>
    </w:p>
    <w:tbl>
      <w:tblPr>
        <w:tblW w:w="0" w:type="auto"/>
        <w:jc w:val="center"/>
        <w:tblBorders>
          <w:top w:val="single" w:sz="4" w:space="0" w:color="auto"/>
          <w:bottom w:val="single" w:sz="4" w:space="0" w:color="auto"/>
        </w:tblBorders>
        <w:tblLook w:val="0000" w:firstRow="0" w:lastRow="0" w:firstColumn="0" w:lastColumn="0" w:noHBand="0" w:noVBand="0"/>
      </w:tblPr>
      <w:tblGrid>
        <w:gridCol w:w="426"/>
        <w:gridCol w:w="6917"/>
        <w:gridCol w:w="1416"/>
      </w:tblGrid>
      <w:tr w:rsidR="00C942C2" w:rsidRPr="00D47F93" w14:paraId="249289EE" w14:textId="77777777" w:rsidTr="00883E38">
        <w:trPr>
          <w:cantSplit/>
          <w:trHeight w:val="272"/>
          <w:jc w:val="center"/>
        </w:trPr>
        <w:tc>
          <w:tcPr>
            <w:tcW w:w="426" w:type="dxa"/>
            <w:tcBorders>
              <w:top w:val="single" w:sz="4" w:space="0" w:color="auto"/>
              <w:bottom w:val="single" w:sz="4" w:space="0" w:color="auto"/>
              <w:right w:val="nil"/>
            </w:tcBorders>
          </w:tcPr>
          <w:p w14:paraId="6A1C3D94" w14:textId="77777777" w:rsidR="00C942C2" w:rsidRDefault="00C942C2" w:rsidP="00A335C7">
            <w:pPr>
              <w:pStyle w:val="Tabletext"/>
              <w:jc w:val="both"/>
            </w:pPr>
          </w:p>
        </w:tc>
        <w:tc>
          <w:tcPr>
            <w:tcW w:w="6917" w:type="dxa"/>
            <w:tcBorders>
              <w:top w:val="single" w:sz="4" w:space="0" w:color="auto"/>
              <w:left w:val="nil"/>
              <w:bottom w:val="single" w:sz="4" w:space="0" w:color="auto"/>
              <w:right w:val="nil"/>
            </w:tcBorders>
          </w:tcPr>
          <w:p w14:paraId="5873438F" w14:textId="303A0398" w:rsidR="00C942C2" w:rsidRPr="00DC1124" w:rsidRDefault="00C942C2" w:rsidP="00A335C7">
            <w:pPr>
              <w:pStyle w:val="Tabletext"/>
              <w:tabs>
                <w:tab w:val="decimal" w:pos="559"/>
              </w:tabs>
              <w:rPr>
                <w:b/>
                <w:bCs/>
              </w:rPr>
            </w:pPr>
            <w:r>
              <w:rPr>
                <w:b/>
                <w:bCs/>
              </w:rPr>
              <w:t>Variable/attribute</w:t>
            </w:r>
          </w:p>
        </w:tc>
        <w:tc>
          <w:tcPr>
            <w:tcW w:w="1416" w:type="dxa"/>
            <w:tcBorders>
              <w:top w:val="single" w:sz="4" w:space="0" w:color="auto"/>
              <w:left w:val="nil"/>
              <w:bottom w:val="single" w:sz="4" w:space="0" w:color="auto"/>
              <w:right w:val="nil"/>
            </w:tcBorders>
          </w:tcPr>
          <w:p w14:paraId="58F3BB43" w14:textId="6B067F0B" w:rsidR="00C942C2" w:rsidRDefault="00C942C2" w:rsidP="00A335C7">
            <w:pPr>
              <w:pStyle w:val="Tabletext"/>
              <w:tabs>
                <w:tab w:val="decimal" w:pos="559"/>
              </w:tabs>
              <w:rPr>
                <w:b/>
                <w:bCs/>
              </w:rPr>
            </w:pPr>
            <w:r>
              <w:rPr>
                <w:b/>
                <w:bCs/>
              </w:rPr>
              <w:t>Variable included in trade model?</w:t>
            </w:r>
          </w:p>
        </w:tc>
      </w:tr>
      <w:tr w:rsidR="00C942C2" w:rsidRPr="00D47F93" w14:paraId="63EAB2A8" w14:textId="77777777" w:rsidTr="00C942C2">
        <w:trPr>
          <w:cantSplit/>
          <w:trHeight w:val="272"/>
          <w:jc w:val="center"/>
        </w:trPr>
        <w:tc>
          <w:tcPr>
            <w:tcW w:w="0" w:type="auto"/>
            <w:gridSpan w:val="3"/>
            <w:tcBorders>
              <w:top w:val="single" w:sz="4" w:space="0" w:color="auto"/>
              <w:bottom w:val="nil"/>
              <w:right w:val="nil"/>
            </w:tcBorders>
          </w:tcPr>
          <w:p w14:paraId="0B1A6359" w14:textId="75B0D174" w:rsidR="00C942C2" w:rsidRPr="00DC1124" w:rsidRDefault="00C942C2" w:rsidP="00A335C7">
            <w:pPr>
              <w:pStyle w:val="Tabletext"/>
              <w:tabs>
                <w:tab w:val="decimal" w:pos="559"/>
              </w:tabs>
              <w:rPr>
                <w:b/>
                <w:bCs/>
              </w:rPr>
            </w:pPr>
            <w:r w:rsidRPr="00A335C7">
              <w:rPr>
                <w:b/>
                <w:bCs/>
              </w:rPr>
              <w:t>Client attributes</w:t>
            </w:r>
          </w:p>
        </w:tc>
      </w:tr>
      <w:tr w:rsidR="00C942C2" w:rsidRPr="00D47F93" w14:paraId="11DDF6B2" w14:textId="0BA00255" w:rsidTr="00883E38">
        <w:trPr>
          <w:cantSplit/>
          <w:trHeight w:val="272"/>
          <w:jc w:val="center"/>
        </w:trPr>
        <w:tc>
          <w:tcPr>
            <w:tcW w:w="426" w:type="dxa"/>
            <w:tcBorders>
              <w:top w:val="nil"/>
              <w:bottom w:val="nil"/>
              <w:right w:val="nil"/>
            </w:tcBorders>
          </w:tcPr>
          <w:p w14:paraId="6981C074" w14:textId="28CDB06B" w:rsidR="00C942C2" w:rsidRPr="00D47F93" w:rsidRDefault="00C942C2" w:rsidP="00A335C7">
            <w:pPr>
              <w:pStyle w:val="Tabletext"/>
              <w:jc w:val="both"/>
            </w:pPr>
          </w:p>
        </w:tc>
        <w:tc>
          <w:tcPr>
            <w:tcW w:w="6917" w:type="dxa"/>
            <w:tcBorders>
              <w:top w:val="nil"/>
              <w:left w:val="nil"/>
              <w:bottom w:val="nil"/>
              <w:right w:val="nil"/>
            </w:tcBorders>
          </w:tcPr>
          <w:p w14:paraId="31C11C33" w14:textId="01314F4E" w:rsidR="00C942C2" w:rsidRPr="00C942C2" w:rsidRDefault="00C942C2" w:rsidP="00A335C7">
            <w:pPr>
              <w:pStyle w:val="Tabletext"/>
              <w:tabs>
                <w:tab w:val="decimal" w:pos="559"/>
              </w:tabs>
            </w:pPr>
            <w:r w:rsidRPr="00C942C2">
              <w:t>Age at commencement</w:t>
            </w:r>
          </w:p>
        </w:tc>
        <w:tc>
          <w:tcPr>
            <w:tcW w:w="1416" w:type="dxa"/>
            <w:tcBorders>
              <w:top w:val="nil"/>
              <w:left w:val="nil"/>
              <w:bottom w:val="nil"/>
              <w:right w:val="nil"/>
            </w:tcBorders>
          </w:tcPr>
          <w:p w14:paraId="184244E9" w14:textId="3B20F590" w:rsidR="00C942C2" w:rsidRPr="00DC1124" w:rsidRDefault="00C942C2" w:rsidP="00C942C2">
            <w:pPr>
              <w:pStyle w:val="Tabletext"/>
              <w:tabs>
                <w:tab w:val="decimal" w:pos="559"/>
              </w:tabs>
              <w:jc w:val="right"/>
              <w:rPr>
                <w:b/>
                <w:bCs/>
              </w:rPr>
            </w:pPr>
            <w:r>
              <w:t>Yes</w:t>
            </w:r>
          </w:p>
        </w:tc>
      </w:tr>
      <w:tr w:rsidR="00C942C2" w:rsidRPr="00D47F93" w14:paraId="6CD63098" w14:textId="7B1C2AD4" w:rsidTr="00883E38">
        <w:trPr>
          <w:cantSplit/>
          <w:trHeight w:val="272"/>
          <w:jc w:val="center"/>
        </w:trPr>
        <w:tc>
          <w:tcPr>
            <w:tcW w:w="426" w:type="dxa"/>
            <w:tcBorders>
              <w:top w:val="nil"/>
              <w:bottom w:val="nil"/>
              <w:right w:val="nil"/>
            </w:tcBorders>
          </w:tcPr>
          <w:p w14:paraId="0B4DC44A" w14:textId="734BB65F" w:rsidR="00C942C2" w:rsidRPr="00D47F93" w:rsidRDefault="00C942C2" w:rsidP="00A335C7">
            <w:pPr>
              <w:pStyle w:val="Tabletext"/>
              <w:jc w:val="both"/>
            </w:pPr>
          </w:p>
        </w:tc>
        <w:tc>
          <w:tcPr>
            <w:tcW w:w="6917" w:type="dxa"/>
            <w:tcBorders>
              <w:top w:val="nil"/>
              <w:left w:val="nil"/>
              <w:bottom w:val="nil"/>
              <w:right w:val="nil"/>
            </w:tcBorders>
          </w:tcPr>
          <w:p w14:paraId="41700926" w14:textId="6D4AA675" w:rsidR="00C942C2" w:rsidRPr="00C942C2" w:rsidRDefault="00C942C2" w:rsidP="00A335C7">
            <w:pPr>
              <w:pStyle w:val="Tabletext"/>
              <w:tabs>
                <w:tab w:val="decimal" w:pos="559"/>
              </w:tabs>
            </w:pPr>
            <w:r w:rsidRPr="00C942C2">
              <w:t>Gender</w:t>
            </w:r>
          </w:p>
        </w:tc>
        <w:tc>
          <w:tcPr>
            <w:tcW w:w="1416" w:type="dxa"/>
            <w:tcBorders>
              <w:top w:val="nil"/>
              <w:left w:val="nil"/>
              <w:bottom w:val="nil"/>
              <w:right w:val="nil"/>
            </w:tcBorders>
          </w:tcPr>
          <w:p w14:paraId="416C1CAB" w14:textId="2CE62D5D" w:rsidR="00C942C2" w:rsidRPr="002F6BE1" w:rsidRDefault="00C942C2" w:rsidP="00C942C2">
            <w:pPr>
              <w:pStyle w:val="Tabletext"/>
              <w:tabs>
                <w:tab w:val="decimal" w:pos="559"/>
              </w:tabs>
              <w:jc w:val="right"/>
              <w:rPr>
                <w:b/>
                <w:bCs/>
              </w:rPr>
            </w:pPr>
            <w:r>
              <w:t>Yes</w:t>
            </w:r>
          </w:p>
        </w:tc>
      </w:tr>
      <w:tr w:rsidR="00C942C2" w:rsidRPr="00D47F93" w14:paraId="6E784DED" w14:textId="6A50FA1B" w:rsidTr="00883E38">
        <w:trPr>
          <w:cantSplit/>
          <w:trHeight w:val="272"/>
          <w:jc w:val="center"/>
        </w:trPr>
        <w:tc>
          <w:tcPr>
            <w:tcW w:w="426" w:type="dxa"/>
            <w:tcBorders>
              <w:top w:val="nil"/>
              <w:bottom w:val="nil"/>
              <w:right w:val="nil"/>
            </w:tcBorders>
          </w:tcPr>
          <w:p w14:paraId="3A788F5A" w14:textId="77777777" w:rsidR="00C942C2" w:rsidRPr="00D47F93" w:rsidRDefault="00C942C2" w:rsidP="00A335C7">
            <w:pPr>
              <w:pStyle w:val="Tabletext"/>
              <w:jc w:val="both"/>
            </w:pPr>
          </w:p>
        </w:tc>
        <w:tc>
          <w:tcPr>
            <w:tcW w:w="6917" w:type="dxa"/>
            <w:tcBorders>
              <w:top w:val="nil"/>
              <w:left w:val="nil"/>
              <w:bottom w:val="nil"/>
              <w:right w:val="nil"/>
            </w:tcBorders>
          </w:tcPr>
          <w:p w14:paraId="3E2033F5" w14:textId="21AEFC2B" w:rsidR="00C942C2" w:rsidRPr="00C942C2" w:rsidRDefault="00C942C2" w:rsidP="00A335C7">
            <w:pPr>
              <w:pStyle w:val="Tabletext"/>
              <w:tabs>
                <w:tab w:val="decimal" w:pos="559"/>
              </w:tabs>
            </w:pPr>
            <w:r w:rsidRPr="00C942C2">
              <w:t>Country of birth</w:t>
            </w:r>
          </w:p>
        </w:tc>
        <w:tc>
          <w:tcPr>
            <w:tcW w:w="1416" w:type="dxa"/>
            <w:tcBorders>
              <w:top w:val="nil"/>
              <w:left w:val="nil"/>
              <w:bottom w:val="nil"/>
              <w:right w:val="nil"/>
            </w:tcBorders>
          </w:tcPr>
          <w:p w14:paraId="3D7C64E6" w14:textId="4E0A7EB6" w:rsidR="00C942C2" w:rsidRPr="00C942C2" w:rsidRDefault="00C942C2" w:rsidP="00C942C2">
            <w:pPr>
              <w:pStyle w:val="Tabletext"/>
              <w:tabs>
                <w:tab w:val="decimal" w:pos="559"/>
              </w:tabs>
              <w:jc w:val="right"/>
            </w:pPr>
            <w:r w:rsidRPr="00C942C2">
              <w:t>No</w:t>
            </w:r>
          </w:p>
        </w:tc>
      </w:tr>
      <w:tr w:rsidR="00C942C2" w:rsidRPr="00D47F93" w14:paraId="6C638EB6" w14:textId="3C8C8B8A" w:rsidTr="00883E38">
        <w:trPr>
          <w:cantSplit/>
          <w:trHeight w:val="272"/>
          <w:jc w:val="center"/>
        </w:trPr>
        <w:tc>
          <w:tcPr>
            <w:tcW w:w="426" w:type="dxa"/>
            <w:tcBorders>
              <w:top w:val="nil"/>
              <w:bottom w:val="nil"/>
              <w:right w:val="nil"/>
            </w:tcBorders>
          </w:tcPr>
          <w:p w14:paraId="5321143C" w14:textId="77777777" w:rsidR="00C942C2" w:rsidRPr="00D47F93" w:rsidRDefault="00C942C2" w:rsidP="00A335C7">
            <w:pPr>
              <w:pStyle w:val="Tabletext"/>
              <w:jc w:val="both"/>
            </w:pPr>
          </w:p>
        </w:tc>
        <w:tc>
          <w:tcPr>
            <w:tcW w:w="6917" w:type="dxa"/>
            <w:tcBorders>
              <w:top w:val="nil"/>
              <w:left w:val="nil"/>
              <w:bottom w:val="nil"/>
              <w:right w:val="nil"/>
            </w:tcBorders>
          </w:tcPr>
          <w:p w14:paraId="37121A5D" w14:textId="279CF402" w:rsidR="00C942C2" w:rsidRPr="00C942C2" w:rsidRDefault="00BE7592" w:rsidP="00A335C7">
            <w:pPr>
              <w:pStyle w:val="Tabletext"/>
              <w:tabs>
                <w:tab w:val="decimal" w:pos="559"/>
              </w:tabs>
            </w:pPr>
            <w:r>
              <w:t>Main l</w:t>
            </w:r>
            <w:r w:rsidR="00C942C2" w:rsidRPr="00C942C2">
              <w:t>anguage spoken at home</w:t>
            </w:r>
          </w:p>
        </w:tc>
        <w:tc>
          <w:tcPr>
            <w:tcW w:w="1416" w:type="dxa"/>
            <w:tcBorders>
              <w:top w:val="nil"/>
              <w:left w:val="nil"/>
              <w:bottom w:val="nil"/>
              <w:right w:val="nil"/>
            </w:tcBorders>
          </w:tcPr>
          <w:p w14:paraId="378C3F7D" w14:textId="7DA1369E" w:rsidR="00C942C2" w:rsidRPr="00DC1124" w:rsidRDefault="00C942C2" w:rsidP="00C942C2">
            <w:pPr>
              <w:pStyle w:val="Tabletext"/>
              <w:tabs>
                <w:tab w:val="decimal" w:pos="559"/>
              </w:tabs>
              <w:jc w:val="right"/>
              <w:rPr>
                <w:b/>
                <w:bCs/>
              </w:rPr>
            </w:pPr>
            <w:r w:rsidRPr="00C942C2">
              <w:t>No</w:t>
            </w:r>
          </w:p>
        </w:tc>
      </w:tr>
      <w:tr w:rsidR="00C942C2" w:rsidRPr="00D47F93" w14:paraId="787862CA" w14:textId="6F37B499" w:rsidTr="00883E38">
        <w:trPr>
          <w:cantSplit/>
          <w:trHeight w:val="272"/>
          <w:jc w:val="center"/>
        </w:trPr>
        <w:tc>
          <w:tcPr>
            <w:tcW w:w="426" w:type="dxa"/>
            <w:tcBorders>
              <w:top w:val="nil"/>
              <w:bottom w:val="nil"/>
              <w:right w:val="nil"/>
            </w:tcBorders>
          </w:tcPr>
          <w:p w14:paraId="44A0D294" w14:textId="77777777" w:rsidR="00C942C2" w:rsidRPr="00D47F93" w:rsidRDefault="00C942C2" w:rsidP="00A335C7">
            <w:pPr>
              <w:pStyle w:val="Tabletext"/>
              <w:jc w:val="both"/>
            </w:pPr>
          </w:p>
        </w:tc>
        <w:tc>
          <w:tcPr>
            <w:tcW w:w="6917" w:type="dxa"/>
            <w:tcBorders>
              <w:top w:val="nil"/>
              <w:left w:val="nil"/>
              <w:bottom w:val="nil"/>
              <w:right w:val="nil"/>
            </w:tcBorders>
          </w:tcPr>
          <w:p w14:paraId="68BB5307" w14:textId="680FB4B7" w:rsidR="00C942C2" w:rsidRPr="00C942C2" w:rsidRDefault="00C942C2" w:rsidP="00A335C7">
            <w:pPr>
              <w:pStyle w:val="Tabletext"/>
              <w:tabs>
                <w:tab w:val="decimal" w:pos="559"/>
              </w:tabs>
            </w:pPr>
            <w:r w:rsidRPr="00C942C2">
              <w:t>Indigenous status</w:t>
            </w:r>
          </w:p>
        </w:tc>
        <w:tc>
          <w:tcPr>
            <w:tcW w:w="1416" w:type="dxa"/>
            <w:tcBorders>
              <w:top w:val="nil"/>
              <w:left w:val="nil"/>
              <w:bottom w:val="nil"/>
              <w:right w:val="nil"/>
            </w:tcBorders>
          </w:tcPr>
          <w:p w14:paraId="4C82159D" w14:textId="15670B06" w:rsidR="00C942C2" w:rsidRPr="002F6BE1" w:rsidRDefault="00C942C2" w:rsidP="00C942C2">
            <w:pPr>
              <w:pStyle w:val="Tabletext"/>
              <w:tabs>
                <w:tab w:val="decimal" w:pos="559"/>
              </w:tabs>
              <w:jc w:val="right"/>
              <w:rPr>
                <w:b/>
                <w:bCs/>
              </w:rPr>
            </w:pPr>
            <w:r>
              <w:t>Yes</w:t>
            </w:r>
          </w:p>
        </w:tc>
      </w:tr>
      <w:tr w:rsidR="00C942C2" w:rsidRPr="00D47F93" w14:paraId="5C0403AE" w14:textId="06E48D5D" w:rsidTr="00883E38">
        <w:trPr>
          <w:cantSplit/>
          <w:trHeight w:val="272"/>
          <w:jc w:val="center"/>
        </w:trPr>
        <w:tc>
          <w:tcPr>
            <w:tcW w:w="426" w:type="dxa"/>
            <w:tcBorders>
              <w:top w:val="nil"/>
              <w:bottom w:val="nil"/>
              <w:right w:val="nil"/>
            </w:tcBorders>
          </w:tcPr>
          <w:p w14:paraId="68B229D6" w14:textId="77777777" w:rsidR="00C942C2" w:rsidRPr="00D47F93" w:rsidRDefault="00C942C2" w:rsidP="00A335C7">
            <w:pPr>
              <w:pStyle w:val="Tabletext"/>
              <w:jc w:val="both"/>
            </w:pPr>
          </w:p>
        </w:tc>
        <w:tc>
          <w:tcPr>
            <w:tcW w:w="6917" w:type="dxa"/>
            <w:tcBorders>
              <w:top w:val="nil"/>
              <w:left w:val="nil"/>
              <w:bottom w:val="nil"/>
              <w:right w:val="nil"/>
            </w:tcBorders>
          </w:tcPr>
          <w:p w14:paraId="15FBE078" w14:textId="5EFF84FA" w:rsidR="00C942C2" w:rsidRPr="00C942C2" w:rsidRDefault="00C942C2" w:rsidP="00A335C7">
            <w:pPr>
              <w:pStyle w:val="Tabletext"/>
              <w:tabs>
                <w:tab w:val="decimal" w:pos="559"/>
              </w:tabs>
            </w:pPr>
            <w:r w:rsidRPr="00C942C2">
              <w:t>Disability status</w:t>
            </w:r>
          </w:p>
        </w:tc>
        <w:tc>
          <w:tcPr>
            <w:tcW w:w="1416" w:type="dxa"/>
            <w:tcBorders>
              <w:top w:val="nil"/>
              <w:left w:val="nil"/>
              <w:bottom w:val="nil"/>
              <w:right w:val="nil"/>
            </w:tcBorders>
          </w:tcPr>
          <w:p w14:paraId="254B7469" w14:textId="2D1EAE89" w:rsidR="00C942C2" w:rsidRPr="002F6BE1" w:rsidRDefault="00C942C2" w:rsidP="00C942C2">
            <w:pPr>
              <w:pStyle w:val="Tabletext"/>
              <w:tabs>
                <w:tab w:val="decimal" w:pos="559"/>
              </w:tabs>
              <w:jc w:val="right"/>
              <w:rPr>
                <w:b/>
                <w:bCs/>
              </w:rPr>
            </w:pPr>
            <w:r>
              <w:t>Yes</w:t>
            </w:r>
          </w:p>
        </w:tc>
      </w:tr>
      <w:tr w:rsidR="00C942C2" w:rsidRPr="00D47F93" w14:paraId="2E2F9A3E" w14:textId="3EC9FBCD" w:rsidTr="00883E38">
        <w:trPr>
          <w:cantSplit/>
          <w:trHeight w:val="272"/>
          <w:jc w:val="center"/>
        </w:trPr>
        <w:tc>
          <w:tcPr>
            <w:tcW w:w="426" w:type="dxa"/>
            <w:tcBorders>
              <w:top w:val="nil"/>
              <w:bottom w:val="nil"/>
              <w:right w:val="nil"/>
            </w:tcBorders>
          </w:tcPr>
          <w:p w14:paraId="74C7E7BE" w14:textId="77777777" w:rsidR="00C942C2" w:rsidRPr="00D47F93" w:rsidRDefault="00C942C2" w:rsidP="00A335C7">
            <w:pPr>
              <w:pStyle w:val="Tabletext"/>
              <w:jc w:val="both"/>
            </w:pPr>
          </w:p>
        </w:tc>
        <w:tc>
          <w:tcPr>
            <w:tcW w:w="6917" w:type="dxa"/>
            <w:tcBorders>
              <w:top w:val="nil"/>
              <w:left w:val="nil"/>
              <w:bottom w:val="nil"/>
              <w:right w:val="nil"/>
            </w:tcBorders>
          </w:tcPr>
          <w:p w14:paraId="34124FB2" w14:textId="516EB3C2" w:rsidR="00C942C2" w:rsidRPr="00C942C2" w:rsidRDefault="00C942C2" w:rsidP="00A335C7">
            <w:pPr>
              <w:pStyle w:val="Tabletext"/>
              <w:tabs>
                <w:tab w:val="decimal" w:pos="559"/>
              </w:tabs>
            </w:pPr>
            <w:r w:rsidRPr="00C942C2">
              <w:t>State of residence</w:t>
            </w:r>
          </w:p>
        </w:tc>
        <w:tc>
          <w:tcPr>
            <w:tcW w:w="1416" w:type="dxa"/>
            <w:tcBorders>
              <w:top w:val="nil"/>
              <w:left w:val="nil"/>
              <w:bottom w:val="nil"/>
              <w:right w:val="nil"/>
            </w:tcBorders>
          </w:tcPr>
          <w:p w14:paraId="37AC773A" w14:textId="7E302F99" w:rsidR="00C942C2" w:rsidRPr="002F6BE1" w:rsidRDefault="00C942C2" w:rsidP="00C942C2">
            <w:pPr>
              <w:pStyle w:val="Tabletext"/>
              <w:tabs>
                <w:tab w:val="decimal" w:pos="559"/>
              </w:tabs>
              <w:jc w:val="right"/>
              <w:rPr>
                <w:b/>
                <w:bCs/>
              </w:rPr>
            </w:pPr>
            <w:r>
              <w:t>Yes</w:t>
            </w:r>
          </w:p>
        </w:tc>
      </w:tr>
      <w:tr w:rsidR="00C942C2" w:rsidRPr="00D47F93" w14:paraId="0B84430E" w14:textId="1E2DF1E3" w:rsidTr="00883E38">
        <w:trPr>
          <w:cantSplit/>
          <w:trHeight w:val="272"/>
          <w:jc w:val="center"/>
        </w:trPr>
        <w:tc>
          <w:tcPr>
            <w:tcW w:w="426" w:type="dxa"/>
            <w:tcBorders>
              <w:top w:val="nil"/>
              <w:bottom w:val="nil"/>
              <w:right w:val="nil"/>
            </w:tcBorders>
          </w:tcPr>
          <w:p w14:paraId="09664A3D" w14:textId="77777777" w:rsidR="00C942C2" w:rsidRPr="00D47F93" w:rsidRDefault="00C942C2" w:rsidP="00A335C7">
            <w:pPr>
              <w:pStyle w:val="Tabletext"/>
              <w:jc w:val="both"/>
            </w:pPr>
          </w:p>
        </w:tc>
        <w:tc>
          <w:tcPr>
            <w:tcW w:w="6917" w:type="dxa"/>
            <w:tcBorders>
              <w:top w:val="nil"/>
              <w:left w:val="nil"/>
              <w:bottom w:val="nil"/>
              <w:right w:val="nil"/>
            </w:tcBorders>
          </w:tcPr>
          <w:p w14:paraId="343ACB52" w14:textId="16BC34CF" w:rsidR="00C942C2" w:rsidRPr="00C942C2" w:rsidRDefault="00C942C2" w:rsidP="00A335C7">
            <w:pPr>
              <w:pStyle w:val="Tabletext"/>
              <w:tabs>
                <w:tab w:val="decimal" w:pos="559"/>
              </w:tabs>
            </w:pPr>
            <w:r w:rsidRPr="00C942C2">
              <w:t>Postcode of residence</w:t>
            </w:r>
          </w:p>
        </w:tc>
        <w:tc>
          <w:tcPr>
            <w:tcW w:w="1416" w:type="dxa"/>
            <w:tcBorders>
              <w:top w:val="nil"/>
              <w:left w:val="nil"/>
              <w:bottom w:val="nil"/>
              <w:right w:val="nil"/>
            </w:tcBorders>
          </w:tcPr>
          <w:p w14:paraId="7425B6F5" w14:textId="2CB9514C" w:rsidR="00C942C2" w:rsidRPr="002F6BE1" w:rsidRDefault="00C942C2" w:rsidP="00C942C2">
            <w:pPr>
              <w:pStyle w:val="Tabletext"/>
              <w:tabs>
                <w:tab w:val="decimal" w:pos="559"/>
              </w:tabs>
              <w:jc w:val="right"/>
              <w:rPr>
                <w:b/>
                <w:bCs/>
              </w:rPr>
            </w:pPr>
            <w:r w:rsidRPr="00C942C2">
              <w:t>No</w:t>
            </w:r>
          </w:p>
        </w:tc>
      </w:tr>
      <w:tr w:rsidR="00C942C2" w:rsidRPr="00D47F93" w14:paraId="473F6306" w14:textId="5A381658" w:rsidTr="00883E38">
        <w:trPr>
          <w:cantSplit/>
          <w:trHeight w:val="272"/>
          <w:jc w:val="center"/>
        </w:trPr>
        <w:tc>
          <w:tcPr>
            <w:tcW w:w="426" w:type="dxa"/>
            <w:tcBorders>
              <w:top w:val="nil"/>
              <w:bottom w:val="nil"/>
              <w:right w:val="nil"/>
            </w:tcBorders>
          </w:tcPr>
          <w:p w14:paraId="091AEC7F" w14:textId="77777777" w:rsidR="00C942C2" w:rsidRPr="00D47F93" w:rsidRDefault="00C942C2" w:rsidP="00A335C7">
            <w:pPr>
              <w:pStyle w:val="Tabletext"/>
              <w:jc w:val="both"/>
            </w:pPr>
          </w:p>
        </w:tc>
        <w:tc>
          <w:tcPr>
            <w:tcW w:w="6917" w:type="dxa"/>
            <w:tcBorders>
              <w:top w:val="nil"/>
              <w:left w:val="nil"/>
              <w:bottom w:val="nil"/>
              <w:right w:val="nil"/>
            </w:tcBorders>
          </w:tcPr>
          <w:p w14:paraId="68EF8147" w14:textId="37228CAB" w:rsidR="00C942C2" w:rsidRPr="00C942C2" w:rsidRDefault="00C942C2" w:rsidP="00A335C7">
            <w:pPr>
              <w:pStyle w:val="Tabletext"/>
              <w:tabs>
                <w:tab w:val="decimal" w:pos="559"/>
              </w:tabs>
            </w:pPr>
            <w:r w:rsidRPr="00C942C2">
              <w:t xml:space="preserve">Postcode </w:t>
            </w:r>
            <w:r w:rsidR="00BE7592">
              <w:t xml:space="preserve">of residence </w:t>
            </w:r>
            <w:r w:rsidRPr="00C942C2">
              <w:t>region</w:t>
            </w:r>
            <w:r w:rsidR="00BE7592">
              <w:t xml:space="preserve"> – whether client’s residence in within state of the data submitter</w:t>
            </w:r>
          </w:p>
        </w:tc>
        <w:tc>
          <w:tcPr>
            <w:tcW w:w="1416" w:type="dxa"/>
            <w:tcBorders>
              <w:top w:val="nil"/>
              <w:left w:val="nil"/>
              <w:bottom w:val="nil"/>
              <w:right w:val="nil"/>
            </w:tcBorders>
          </w:tcPr>
          <w:p w14:paraId="2DDB3FF0" w14:textId="148CF218" w:rsidR="00C942C2" w:rsidRPr="00DC1124" w:rsidRDefault="00C942C2" w:rsidP="00C942C2">
            <w:pPr>
              <w:pStyle w:val="Tabletext"/>
              <w:tabs>
                <w:tab w:val="decimal" w:pos="559"/>
              </w:tabs>
              <w:jc w:val="right"/>
              <w:rPr>
                <w:b/>
                <w:bCs/>
              </w:rPr>
            </w:pPr>
            <w:r>
              <w:t>Yes</w:t>
            </w:r>
          </w:p>
        </w:tc>
      </w:tr>
      <w:tr w:rsidR="00C942C2" w:rsidRPr="00D47F93" w14:paraId="426B1A94" w14:textId="7D5792AA" w:rsidTr="00883E38">
        <w:trPr>
          <w:cantSplit/>
          <w:trHeight w:val="272"/>
          <w:jc w:val="center"/>
        </w:trPr>
        <w:tc>
          <w:tcPr>
            <w:tcW w:w="426" w:type="dxa"/>
            <w:tcBorders>
              <w:top w:val="nil"/>
              <w:bottom w:val="nil"/>
              <w:right w:val="nil"/>
            </w:tcBorders>
          </w:tcPr>
          <w:p w14:paraId="7621A779" w14:textId="77777777" w:rsidR="00C942C2" w:rsidRPr="00D47F93" w:rsidRDefault="00C942C2" w:rsidP="00A335C7">
            <w:pPr>
              <w:pStyle w:val="Tabletext"/>
              <w:jc w:val="both"/>
            </w:pPr>
          </w:p>
        </w:tc>
        <w:tc>
          <w:tcPr>
            <w:tcW w:w="6917" w:type="dxa"/>
            <w:tcBorders>
              <w:top w:val="nil"/>
              <w:left w:val="nil"/>
              <w:bottom w:val="nil"/>
              <w:right w:val="nil"/>
            </w:tcBorders>
          </w:tcPr>
          <w:p w14:paraId="0422B44A" w14:textId="5DE7D05A" w:rsidR="00C942C2" w:rsidRPr="00C942C2" w:rsidRDefault="00C942C2" w:rsidP="00A335C7">
            <w:pPr>
              <w:pStyle w:val="Tabletext"/>
              <w:tabs>
                <w:tab w:val="decimal" w:pos="559"/>
              </w:tabs>
            </w:pPr>
            <w:r w:rsidRPr="00C942C2">
              <w:t>Residence remoteness</w:t>
            </w:r>
            <w:r w:rsidR="00BE7592">
              <w:t xml:space="preserve"> </w:t>
            </w:r>
            <w:r w:rsidR="00F53BD1">
              <w:t xml:space="preserve">– </w:t>
            </w:r>
            <w:r w:rsidR="00BE7592" w:rsidRPr="00BE7592">
              <w:t>Accessibility and Remoteness Index of Australia (ARIA+)</w:t>
            </w:r>
            <w:r w:rsidR="00BE7592">
              <w:rPr>
                <w:rStyle w:val="FootnoteReference"/>
              </w:rPr>
              <w:footnoteReference w:id="6"/>
            </w:r>
          </w:p>
        </w:tc>
        <w:tc>
          <w:tcPr>
            <w:tcW w:w="1416" w:type="dxa"/>
            <w:tcBorders>
              <w:top w:val="nil"/>
              <w:left w:val="nil"/>
              <w:bottom w:val="nil"/>
              <w:right w:val="nil"/>
            </w:tcBorders>
          </w:tcPr>
          <w:p w14:paraId="16DC8BBB" w14:textId="199EF938" w:rsidR="00C942C2" w:rsidRPr="00DC1124" w:rsidRDefault="00C942C2" w:rsidP="00C942C2">
            <w:pPr>
              <w:pStyle w:val="Tabletext"/>
              <w:tabs>
                <w:tab w:val="decimal" w:pos="559"/>
              </w:tabs>
              <w:jc w:val="right"/>
              <w:rPr>
                <w:b/>
                <w:bCs/>
              </w:rPr>
            </w:pPr>
            <w:r>
              <w:t>Yes</w:t>
            </w:r>
          </w:p>
        </w:tc>
      </w:tr>
      <w:tr w:rsidR="00C942C2" w:rsidRPr="00D47F93" w14:paraId="45B470F3" w14:textId="2B6874CE" w:rsidTr="00883E38">
        <w:trPr>
          <w:cantSplit/>
          <w:trHeight w:val="272"/>
          <w:jc w:val="center"/>
        </w:trPr>
        <w:tc>
          <w:tcPr>
            <w:tcW w:w="426" w:type="dxa"/>
            <w:tcBorders>
              <w:top w:val="nil"/>
              <w:bottom w:val="nil"/>
              <w:right w:val="nil"/>
            </w:tcBorders>
          </w:tcPr>
          <w:p w14:paraId="7D9E4DDD" w14:textId="77777777" w:rsidR="00C942C2" w:rsidRPr="00D47F93" w:rsidRDefault="00C942C2" w:rsidP="00A335C7">
            <w:pPr>
              <w:pStyle w:val="Tabletext"/>
              <w:jc w:val="both"/>
            </w:pPr>
          </w:p>
        </w:tc>
        <w:tc>
          <w:tcPr>
            <w:tcW w:w="6917" w:type="dxa"/>
            <w:tcBorders>
              <w:top w:val="nil"/>
              <w:left w:val="nil"/>
              <w:bottom w:val="nil"/>
              <w:right w:val="nil"/>
            </w:tcBorders>
          </w:tcPr>
          <w:p w14:paraId="3D1E1265" w14:textId="011A4F0D" w:rsidR="00C942C2" w:rsidRPr="00C942C2" w:rsidRDefault="00C942C2" w:rsidP="00A335C7">
            <w:pPr>
              <w:pStyle w:val="Tabletext"/>
              <w:tabs>
                <w:tab w:val="decimal" w:pos="559"/>
              </w:tabs>
            </w:pPr>
            <w:r w:rsidRPr="00C942C2">
              <w:t>Prior education</w:t>
            </w:r>
            <w:r w:rsidR="003E55EF">
              <w:t>al</w:t>
            </w:r>
            <w:r w:rsidRPr="00C942C2">
              <w:t xml:space="preserve"> achievement flag</w:t>
            </w:r>
          </w:p>
        </w:tc>
        <w:tc>
          <w:tcPr>
            <w:tcW w:w="1416" w:type="dxa"/>
            <w:tcBorders>
              <w:top w:val="nil"/>
              <w:left w:val="nil"/>
              <w:bottom w:val="nil"/>
              <w:right w:val="nil"/>
            </w:tcBorders>
          </w:tcPr>
          <w:p w14:paraId="01DAA6A7" w14:textId="0D1A90F2" w:rsidR="00C942C2" w:rsidRPr="002F6BE1" w:rsidRDefault="00C942C2" w:rsidP="00C942C2">
            <w:pPr>
              <w:pStyle w:val="Tabletext"/>
              <w:tabs>
                <w:tab w:val="decimal" w:pos="559"/>
              </w:tabs>
              <w:jc w:val="right"/>
              <w:rPr>
                <w:b/>
                <w:bCs/>
              </w:rPr>
            </w:pPr>
            <w:r>
              <w:t>Yes</w:t>
            </w:r>
          </w:p>
        </w:tc>
      </w:tr>
      <w:tr w:rsidR="00C942C2" w:rsidRPr="00D47F93" w14:paraId="4B91533E" w14:textId="33116C46" w:rsidTr="00883E38">
        <w:trPr>
          <w:cantSplit/>
          <w:trHeight w:val="272"/>
          <w:jc w:val="center"/>
        </w:trPr>
        <w:tc>
          <w:tcPr>
            <w:tcW w:w="426" w:type="dxa"/>
            <w:tcBorders>
              <w:top w:val="nil"/>
              <w:bottom w:val="nil"/>
              <w:right w:val="nil"/>
            </w:tcBorders>
          </w:tcPr>
          <w:p w14:paraId="6DB2C805" w14:textId="77777777" w:rsidR="00C942C2" w:rsidRPr="00D47F93" w:rsidRDefault="00C942C2" w:rsidP="00A335C7">
            <w:pPr>
              <w:pStyle w:val="Tabletext"/>
              <w:jc w:val="both"/>
            </w:pPr>
          </w:p>
        </w:tc>
        <w:tc>
          <w:tcPr>
            <w:tcW w:w="6917" w:type="dxa"/>
            <w:tcBorders>
              <w:top w:val="nil"/>
              <w:left w:val="nil"/>
              <w:bottom w:val="nil"/>
              <w:right w:val="nil"/>
            </w:tcBorders>
          </w:tcPr>
          <w:p w14:paraId="7EB04699" w14:textId="7496EF3C" w:rsidR="00C942C2" w:rsidRPr="00C942C2" w:rsidRDefault="00C942C2" w:rsidP="00A335C7">
            <w:pPr>
              <w:pStyle w:val="Tabletext"/>
              <w:tabs>
                <w:tab w:val="decimal" w:pos="559"/>
              </w:tabs>
            </w:pPr>
            <w:r w:rsidRPr="00C942C2">
              <w:t>Prior educational achievement count</w:t>
            </w:r>
          </w:p>
        </w:tc>
        <w:tc>
          <w:tcPr>
            <w:tcW w:w="1416" w:type="dxa"/>
            <w:tcBorders>
              <w:top w:val="nil"/>
              <w:left w:val="nil"/>
              <w:bottom w:val="nil"/>
              <w:right w:val="nil"/>
            </w:tcBorders>
          </w:tcPr>
          <w:p w14:paraId="4D2FDE85" w14:textId="4586D491" w:rsidR="00C942C2" w:rsidRDefault="00C942C2" w:rsidP="00C942C2">
            <w:pPr>
              <w:pStyle w:val="Tabletext"/>
              <w:tabs>
                <w:tab w:val="decimal" w:pos="559"/>
              </w:tabs>
              <w:jc w:val="right"/>
              <w:rPr>
                <w:b/>
                <w:bCs/>
              </w:rPr>
            </w:pPr>
            <w:r>
              <w:t>Yes</w:t>
            </w:r>
          </w:p>
        </w:tc>
      </w:tr>
      <w:tr w:rsidR="00C942C2" w:rsidRPr="00D47F93" w14:paraId="7DAD1BDA" w14:textId="730AEE0E" w:rsidTr="00883E38">
        <w:trPr>
          <w:cantSplit/>
          <w:trHeight w:val="272"/>
          <w:jc w:val="center"/>
        </w:trPr>
        <w:tc>
          <w:tcPr>
            <w:tcW w:w="426" w:type="dxa"/>
            <w:tcBorders>
              <w:top w:val="nil"/>
              <w:bottom w:val="nil"/>
              <w:right w:val="nil"/>
            </w:tcBorders>
          </w:tcPr>
          <w:p w14:paraId="480BE1DC" w14:textId="77777777" w:rsidR="00C942C2" w:rsidRPr="00D47F93" w:rsidRDefault="00C942C2" w:rsidP="00A335C7">
            <w:pPr>
              <w:pStyle w:val="Tabletext"/>
              <w:jc w:val="both"/>
            </w:pPr>
          </w:p>
        </w:tc>
        <w:tc>
          <w:tcPr>
            <w:tcW w:w="6917" w:type="dxa"/>
            <w:tcBorders>
              <w:top w:val="nil"/>
              <w:left w:val="nil"/>
              <w:bottom w:val="nil"/>
              <w:right w:val="nil"/>
            </w:tcBorders>
          </w:tcPr>
          <w:p w14:paraId="0AE49176" w14:textId="7BD16559" w:rsidR="00C942C2" w:rsidRPr="00C942C2" w:rsidRDefault="00C942C2" w:rsidP="00A335C7">
            <w:pPr>
              <w:pStyle w:val="Tabletext"/>
              <w:tabs>
                <w:tab w:val="decimal" w:pos="559"/>
              </w:tabs>
            </w:pPr>
            <w:r w:rsidRPr="00C942C2">
              <w:t>Highest school completed</w:t>
            </w:r>
          </w:p>
        </w:tc>
        <w:tc>
          <w:tcPr>
            <w:tcW w:w="1416" w:type="dxa"/>
            <w:tcBorders>
              <w:top w:val="nil"/>
              <w:left w:val="nil"/>
              <w:bottom w:val="nil"/>
              <w:right w:val="nil"/>
            </w:tcBorders>
          </w:tcPr>
          <w:p w14:paraId="67C7BEF5" w14:textId="7A797B83" w:rsidR="00C942C2" w:rsidRPr="002F6BE1" w:rsidRDefault="00C942C2" w:rsidP="00C942C2">
            <w:pPr>
              <w:pStyle w:val="Tabletext"/>
              <w:tabs>
                <w:tab w:val="decimal" w:pos="559"/>
              </w:tabs>
              <w:jc w:val="right"/>
              <w:rPr>
                <w:b/>
                <w:bCs/>
              </w:rPr>
            </w:pPr>
            <w:r>
              <w:t>Yes</w:t>
            </w:r>
          </w:p>
        </w:tc>
      </w:tr>
      <w:tr w:rsidR="00C942C2" w:rsidRPr="00D47F93" w14:paraId="45371D00" w14:textId="223C16BC" w:rsidTr="00883E38">
        <w:trPr>
          <w:cantSplit/>
          <w:trHeight w:val="272"/>
          <w:jc w:val="center"/>
        </w:trPr>
        <w:tc>
          <w:tcPr>
            <w:tcW w:w="426" w:type="dxa"/>
            <w:tcBorders>
              <w:top w:val="nil"/>
              <w:bottom w:val="nil"/>
              <w:right w:val="nil"/>
            </w:tcBorders>
          </w:tcPr>
          <w:p w14:paraId="1808EFE6" w14:textId="77777777" w:rsidR="00C942C2" w:rsidRPr="00D47F93" w:rsidRDefault="00C942C2" w:rsidP="00A335C7">
            <w:pPr>
              <w:pStyle w:val="Tabletext"/>
              <w:jc w:val="both"/>
            </w:pPr>
          </w:p>
        </w:tc>
        <w:tc>
          <w:tcPr>
            <w:tcW w:w="6917" w:type="dxa"/>
            <w:tcBorders>
              <w:top w:val="nil"/>
              <w:left w:val="nil"/>
              <w:bottom w:val="nil"/>
              <w:right w:val="nil"/>
            </w:tcBorders>
          </w:tcPr>
          <w:p w14:paraId="29E805E6" w14:textId="782ACBE1" w:rsidR="00C942C2" w:rsidRPr="00C942C2" w:rsidRDefault="00C942C2" w:rsidP="00A335C7">
            <w:pPr>
              <w:pStyle w:val="Tabletext"/>
              <w:tabs>
                <w:tab w:val="decimal" w:pos="559"/>
              </w:tabs>
            </w:pPr>
            <w:r w:rsidRPr="00C942C2">
              <w:t xml:space="preserve">Highest </w:t>
            </w:r>
            <w:r w:rsidR="003E55EF">
              <w:t xml:space="preserve">prior </w:t>
            </w:r>
            <w:r w:rsidRPr="00C942C2">
              <w:t>educational achievement</w:t>
            </w:r>
          </w:p>
        </w:tc>
        <w:tc>
          <w:tcPr>
            <w:tcW w:w="1416" w:type="dxa"/>
            <w:tcBorders>
              <w:top w:val="nil"/>
              <w:left w:val="nil"/>
              <w:bottom w:val="nil"/>
              <w:right w:val="nil"/>
            </w:tcBorders>
          </w:tcPr>
          <w:p w14:paraId="12402DBD" w14:textId="4F3738DA" w:rsidR="00C942C2" w:rsidRPr="002F6BE1" w:rsidRDefault="00C942C2" w:rsidP="00C942C2">
            <w:pPr>
              <w:pStyle w:val="Tabletext"/>
              <w:tabs>
                <w:tab w:val="decimal" w:pos="559"/>
              </w:tabs>
              <w:jc w:val="right"/>
              <w:rPr>
                <w:b/>
                <w:bCs/>
              </w:rPr>
            </w:pPr>
            <w:r>
              <w:t>Yes</w:t>
            </w:r>
          </w:p>
        </w:tc>
      </w:tr>
      <w:tr w:rsidR="00C942C2" w:rsidRPr="00D47F93" w14:paraId="0B886BD5" w14:textId="36263173" w:rsidTr="00883E38">
        <w:trPr>
          <w:cantSplit/>
          <w:trHeight w:val="272"/>
          <w:jc w:val="center"/>
        </w:trPr>
        <w:tc>
          <w:tcPr>
            <w:tcW w:w="426" w:type="dxa"/>
            <w:tcBorders>
              <w:top w:val="nil"/>
              <w:bottom w:val="nil"/>
              <w:right w:val="nil"/>
            </w:tcBorders>
          </w:tcPr>
          <w:p w14:paraId="10C7001C" w14:textId="77777777" w:rsidR="00C942C2" w:rsidRPr="00D47F93" w:rsidRDefault="00C942C2" w:rsidP="00A335C7">
            <w:pPr>
              <w:pStyle w:val="Tabletext"/>
              <w:jc w:val="both"/>
            </w:pPr>
          </w:p>
        </w:tc>
        <w:tc>
          <w:tcPr>
            <w:tcW w:w="6917" w:type="dxa"/>
            <w:tcBorders>
              <w:top w:val="nil"/>
              <w:left w:val="nil"/>
              <w:bottom w:val="nil"/>
              <w:right w:val="nil"/>
            </w:tcBorders>
          </w:tcPr>
          <w:p w14:paraId="3D5BF30F" w14:textId="0DD40C5E" w:rsidR="00C942C2" w:rsidRPr="00C942C2" w:rsidRDefault="003E55EF" w:rsidP="00A335C7">
            <w:pPr>
              <w:pStyle w:val="Tabletext"/>
              <w:tabs>
                <w:tab w:val="decimal" w:pos="559"/>
              </w:tabs>
            </w:pPr>
            <w:r>
              <w:t>Whether currently at school</w:t>
            </w:r>
          </w:p>
        </w:tc>
        <w:tc>
          <w:tcPr>
            <w:tcW w:w="1416" w:type="dxa"/>
            <w:tcBorders>
              <w:top w:val="nil"/>
              <w:left w:val="nil"/>
              <w:bottom w:val="nil"/>
              <w:right w:val="nil"/>
            </w:tcBorders>
          </w:tcPr>
          <w:p w14:paraId="5B4DF2CC" w14:textId="433890F0" w:rsidR="00C942C2" w:rsidRPr="00DC1124" w:rsidRDefault="00C942C2" w:rsidP="00C942C2">
            <w:pPr>
              <w:pStyle w:val="Tabletext"/>
              <w:tabs>
                <w:tab w:val="decimal" w:pos="559"/>
              </w:tabs>
              <w:jc w:val="right"/>
              <w:rPr>
                <w:b/>
                <w:bCs/>
              </w:rPr>
            </w:pPr>
            <w:r>
              <w:t>Yes</w:t>
            </w:r>
          </w:p>
        </w:tc>
      </w:tr>
      <w:tr w:rsidR="00C942C2" w:rsidRPr="00D47F93" w14:paraId="7B23B12D" w14:textId="306DE3AD" w:rsidTr="00883E38">
        <w:trPr>
          <w:cantSplit/>
          <w:trHeight w:val="272"/>
          <w:jc w:val="center"/>
        </w:trPr>
        <w:tc>
          <w:tcPr>
            <w:tcW w:w="426" w:type="dxa"/>
            <w:tcBorders>
              <w:top w:val="nil"/>
              <w:bottom w:val="nil"/>
              <w:right w:val="nil"/>
            </w:tcBorders>
          </w:tcPr>
          <w:p w14:paraId="6BF72C45" w14:textId="77777777" w:rsidR="00C942C2" w:rsidRPr="00D47F93" w:rsidRDefault="00C942C2" w:rsidP="00A335C7">
            <w:pPr>
              <w:pStyle w:val="Tabletext"/>
              <w:jc w:val="both"/>
            </w:pPr>
          </w:p>
        </w:tc>
        <w:tc>
          <w:tcPr>
            <w:tcW w:w="6917" w:type="dxa"/>
            <w:tcBorders>
              <w:top w:val="nil"/>
              <w:left w:val="nil"/>
              <w:bottom w:val="nil"/>
              <w:right w:val="nil"/>
            </w:tcBorders>
          </w:tcPr>
          <w:p w14:paraId="046A3FF1" w14:textId="2E4F4354" w:rsidR="00C942C2" w:rsidRPr="00C942C2" w:rsidRDefault="003E55EF" w:rsidP="00A335C7">
            <w:pPr>
              <w:pStyle w:val="Tabletext"/>
              <w:tabs>
                <w:tab w:val="decimal" w:pos="559"/>
              </w:tabs>
            </w:pPr>
            <w:r>
              <w:t>Whether an e</w:t>
            </w:r>
            <w:r w:rsidR="00C942C2" w:rsidRPr="00C942C2">
              <w:t>xisting worker</w:t>
            </w:r>
            <w:r w:rsidR="0001670C">
              <w:t xml:space="preserve"> with the employer under the training contract</w:t>
            </w:r>
          </w:p>
        </w:tc>
        <w:tc>
          <w:tcPr>
            <w:tcW w:w="1416" w:type="dxa"/>
            <w:tcBorders>
              <w:top w:val="nil"/>
              <w:left w:val="nil"/>
              <w:bottom w:val="nil"/>
              <w:right w:val="nil"/>
            </w:tcBorders>
          </w:tcPr>
          <w:p w14:paraId="353D6262" w14:textId="58758879" w:rsidR="00C942C2" w:rsidRPr="00DC1124" w:rsidRDefault="00C942C2" w:rsidP="00C942C2">
            <w:pPr>
              <w:pStyle w:val="Tabletext"/>
              <w:tabs>
                <w:tab w:val="decimal" w:pos="559"/>
              </w:tabs>
              <w:jc w:val="right"/>
              <w:rPr>
                <w:b/>
                <w:bCs/>
              </w:rPr>
            </w:pPr>
            <w:r>
              <w:t>Yes</w:t>
            </w:r>
          </w:p>
        </w:tc>
      </w:tr>
      <w:tr w:rsidR="00C942C2" w:rsidRPr="00D47F93" w14:paraId="50C67FDC" w14:textId="77777777" w:rsidTr="00153104">
        <w:trPr>
          <w:cantSplit/>
          <w:trHeight w:val="272"/>
          <w:jc w:val="center"/>
        </w:trPr>
        <w:tc>
          <w:tcPr>
            <w:tcW w:w="0" w:type="auto"/>
            <w:gridSpan w:val="3"/>
            <w:tcBorders>
              <w:top w:val="nil"/>
              <w:bottom w:val="nil"/>
              <w:right w:val="nil"/>
            </w:tcBorders>
          </w:tcPr>
          <w:p w14:paraId="1D819F59" w14:textId="3C7A9E96" w:rsidR="00C942C2" w:rsidRPr="00C942C2" w:rsidRDefault="00C942C2" w:rsidP="00C942C2">
            <w:pPr>
              <w:pStyle w:val="Tabletext"/>
              <w:tabs>
                <w:tab w:val="decimal" w:pos="559"/>
              </w:tabs>
              <w:rPr>
                <w:b/>
                <w:bCs/>
              </w:rPr>
            </w:pPr>
            <w:r w:rsidRPr="00C942C2">
              <w:rPr>
                <w:b/>
                <w:bCs/>
              </w:rPr>
              <w:t>Contract attributes</w:t>
            </w:r>
          </w:p>
        </w:tc>
      </w:tr>
      <w:tr w:rsidR="00C942C2" w:rsidRPr="00D47F93" w14:paraId="4F2960FC" w14:textId="754371F3" w:rsidTr="00883E38">
        <w:trPr>
          <w:cantSplit/>
          <w:trHeight w:val="272"/>
          <w:jc w:val="center"/>
        </w:trPr>
        <w:tc>
          <w:tcPr>
            <w:tcW w:w="426" w:type="dxa"/>
            <w:tcBorders>
              <w:top w:val="nil"/>
              <w:bottom w:val="nil"/>
              <w:right w:val="nil"/>
            </w:tcBorders>
          </w:tcPr>
          <w:p w14:paraId="5E4E571E" w14:textId="2B071AD7" w:rsidR="00C942C2" w:rsidRPr="00D47F93" w:rsidRDefault="00C942C2" w:rsidP="00A335C7">
            <w:pPr>
              <w:pStyle w:val="Tabletext"/>
              <w:jc w:val="both"/>
            </w:pPr>
          </w:p>
        </w:tc>
        <w:tc>
          <w:tcPr>
            <w:tcW w:w="6917" w:type="dxa"/>
            <w:tcBorders>
              <w:top w:val="nil"/>
              <w:left w:val="nil"/>
              <w:bottom w:val="nil"/>
              <w:right w:val="nil"/>
            </w:tcBorders>
          </w:tcPr>
          <w:p w14:paraId="7E70F9BA" w14:textId="706C5F04" w:rsidR="00C942C2" w:rsidRPr="00A335C7" w:rsidRDefault="00C942C2" w:rsidP="00A335C7">
            <w:pPr>
              <w:pStyle w:val="Tabletext"/>
              <w:tabs>
                <w:tab w:val="decimal" w:pos="559"/>
              </w:tabs>
            </w:pPr>
            <w:r w:rsidRPr="00A335C7">
              <w:t>State administering the contract</w:t>
            </w:r>
          </w:p>
        </w:tc>
        <w:tc>
          <w:tcPr>
            <w:tcW w:w="1416" w:type="dxa"/>
            <w:tcBorders>
              <w:top w:val="nil"/>
              <w:left w:val="nil"/>
              <w:bottom w:val="nil"/>
              <w:right w:val="nil"/>
            </w:tcBorders>
          </w:tcPr>
          <w:p w14:paraId="127500E7" w14:textId="7BA169AA" w:rsidR="00C942C2" w:rsidRPr="00A335C7" w:rsidRDefault="00C942C2" w:rsidP="00C942C2">
            <w:pPr>
              <w:pStyle w:val="Tabletext"/>
              <w:tabs>
                <w:tab w:val="decimal" w:pos="559"/>
              </w:tabs>
              <w:jc w:val="right"/>
            </w:pPr>
            <w:r>
              <w:t>Yes</w:t>
            </w:r>
          </w:p>
        </w:tc>
      </w:tr>
      <w:tr w:rsidR="0001670C" w:rsidRPr="00D47F93" w14:paraId="219F6012" w14:textId="77777777" w:rsidTr="00883E38">
        <w:trPr>
          <w:cantSplit/>
          <w:trHeight w:val="272"/>
          <w:jc w:val="center"/>
        </w:trPr>
        <w:tc>
          <w:tcPr>
            <w:tcW w:w="426" w:type="dxa"/>
            <w:tcBorders>
              <w:top w:val="nil"/>
              <w:bottom w:val="nil"/>
              <w:right w:val="nil"/>
            </w:tcBorders>
          </w:tcPr>
          <w:p w14:paraId="581EA34A" w14:textId="77777777" w:rsidR="0001670C" w:rsidRPr="00D47F93" w:rsidRDefault="0001670C" w:rsidP="0001670C">
            <w:pPr>
              <w:pStyle w:val="Tabletext"/>
              <w:jc w:val="both"/>
            </w:pPr>
          </w:p>
        </w:tc>
        <w:tc>
          <w:tcPr>
            <w:tcW w:w="6917" w:type="dxa"/>
            <w:tcBorders>
              <w:top w:val="nil"/>
              <w:left w:val="nil"/>
              <w:bottom w:val="nil"/>
              <w:right w:val="nil"/>
            </w:tcBorders>
          </w:tcPr>
          <w:p w14:paraId="2A6B2E9E" w14:textId="4DA4CBEB" w:rsidR="0001670C" w:rsidRPr="00A335C7" w:rsidRDefault="0001670C" w:rsidP="0001670C">
            <w:pPr>
              <w:pStyle w:val="Tabletext"/>
              <w:tabs>
                <w:tab w:val="decimal" w:pos="559"/>
              </w:tabs>
            </w:pPr>
            <w:r w:rsidRPr="00C942C2">
              <w:t>Full-time status</w:t>
            </w:r>
            <w:r>
              <w:t xml:space="preserve"> of the training contract</w:t>
            </w:r>
          </w:p>
        </w:tc>
        <w:tc>
          <w:tcPr>
            <w:tcW w:w="1416" w:type="dxa"/>
            <w:tcBorders>
              <w:top w:val="nil"/>
              <w:left w:val="nil"/>
              <w:bottom w:val="nil"/>
              <w:right w:val="nil"/>
            </w:tcBorders>
          </w:tcPr>
          <w:p w14:paraId="6CE829FA" w14:textId="4E6B7165" w:rsidR="0001670C" w:rsidRDefault="0001670C" w:rsidP="0001670C">
            <w:pPr>
              <w:pStyle w:val="Tabletext"/>
              <w:tabs>
                <w:tab w:val="decimal" w:pos="559"/>
              </w:tabs>
              <w:jc w:val="right"/>
            </w:pPr>
            <w:r>
              <w:t>Yes</w:t>
            </w:r>
          </w:p>
        </w:tc>
      </w:tr>
      <w:tr w:rsidR="0001670C" w:rsidRPr="00D47F93" w14:paraId="0D8AED04" w14:textId="7CDC1F41" w:rsidTr="00883E38">
        <w:trPr>
          <w:cantSplit/>
          <w:trHeight w:val="272"/>
          <w:jc w:val="center"/>
        </w:trPr>
        <w:tc>
          <w:tcPr>
            <w:tcW w:w="426" w:type="dxa"/>
            <w:tcBorders>
              <w:top w:val="nil"/>
              <w:bottom w:val="nil"/>
              <w:right w:val="nil"/>
            </w:tcBorders>
          </w:tcPr>
          <w:p w14:paraId="498C784D" w14:textId="77777777" w:rsidR="0001670C" w:rsidRPr="00D47F93" w:rsidRDefault="0001670C" w:rsidP="0001670C">
            <w:pPr>
              <w:pStyle w:val="Tabletext"/>
              <w:jc w:val="both"/>
            </w:pPr>
          </w:p>
        </w:tc>
        <w:tc>
          <w:tcPr>
            <w:tcW w:w="6917" w:type="dxa"/>
            <w:tcBorders>
              <w:top w:val="nil"/>
              <w:left w:val="nil"/>
              <w:bottom w:val="nil"/>
              <w:right w:val="nil"/>
            </w:tcBorders>
          </w:tcPr>
          <w:p w14:paraId="2CEFFB5D" w14:textId="5E52BC9F" w:rsidR="0001670C" w:rsidRPr="00A335C7" w:rsidRDefault="0001670C" w:rsidP="0001670C">
            <w:pPr>
              <w:pStyle w:val="Tabletext"/>
              <w:tabs>
                <w:tab w:val="decimal" w:pos="559"/>
              </w:tabs>
            </w:pPr>
            <w:r w:rsidRPr="00A335C7">
              <w:t>Contract status at commencement – commencement or recommencement</w:t>
            </w:r>
          </w:p>
        </w:tc>
        <w:tc>
          <w:tcPr>
            <w:tcW w:w="1416" w:type="dxa"/>
            <w:tcBorders>
              <w:top w:val="nil"/>
              <w:left w:val="nil"/>
              <w:bottom w:val="nil"/>
              <w:right w:val="nil"/>
            </w:tcBorders>
          </w:tcPr>
          <w:p w14:paraId="60F2D891" w14:textId="75C7AF0E" w:rsidR="0001670C" w:rsidRPr="00A335C7" w:rsidRDefault="0001670C" w:rsidP="0001670C">
            <w:pPr>
              <w:pStyle w:val="Tabletext"/>
              <w:tabs>
                <w:tab w:val="decimal" w:pos="559"/>
              </w:tabs>
              <w:jc w:val="right"/>
            </w:pPr>
            <w:r>
              <w:t>Yes</w:t>
            </w:r>
          </w:p>
        </w:tc>
      </w:tr>
      <w:tr w:rsidR="0001670C" w:rsidRPr="00D47F93" w14:paraId="184F6825" w14:textId="1986D443" w:rsidTr="00883E38">
        <w:trPr>
          <w:cantSplit/>
          <w:trHeight w:val="272"/>
          <w:jc w:val="center"/>
        </w:trPr>
        <w:tc>
          <w:tcPr>
            <w:tcW w:w="426" w:type="dxa"/>
            <w:tcBorders>
              <w:top w:val="nil"/>
              <w:bottom w:val="nil"/>
              <w:right w:val="nil"/>
            </w:tcBorders>
          </w:tcPr>
          <w:p w14:paraId="577F059E" w14:textId="77777777" w:rsidR="0001670C" w:rsidRDefault="0001670C" w:rsidP="0001670C">
            <w:pPr>
              <w:pStyle w:val="Tabletext"/>
              <w:jc w:val="both"/>
            </w:pPr>
          </w:p>
        </w:tc>
        <w:tc>
          <w:tcPr>
            <w:tcW w:w="6917" w:type="dxa"/>
            <w:tcBorders>
              <w:top w:val="nil"/>
              <w:left w:val="nil"/>
              <w:bottom w:val="nil"/>
              <w:right w:val="nil"/>
            </w:tcBorders>
          </w:tcPr>
          <w:p w14:paraId="3F075B89" w14:textId="649B8767" w:rsidR="0001670C" w:rsidRPr="00A335C7" w:rsidRDefault="0001670C" w:rsidP="0001670C">
            <w:pPr>
              <w:pStyle w:val="Tabletext"/>
              <w:tabs>
                <w:tab w:val="decimal" w:pos="559"/>
              </w:tabs>
            </w:pPr>
            <w:r w:rsidRPr="00A335C7">
              <w:t xml:space="preserve">Calendar </w:t>
            </w:r>
            <w:r>
              <w:t>quarter</w:t>
            </w:r>
            <w:r w:rsidRPr="00A335C7">
              <w:t xml:space="preserve"> of commencement</w:t>
            </w:r>
          </w:p>
        </w:tc>
        <w:tc>
          <w:tcPr>
            <w:tcW w:w="1416" w:type="dxa"/>
            <w:tcBorders>
              <w:top w:val="nil"/>
              <w:left w:val="nil"/>
              <w:bottom w:val="nil"/>
              <w:right w:val="nil"/>
            </w:tcBorders>
          </w:tcPr>
          <w:p w14:paraId="582D4125" w14:textId="20C1AD30" w:rsidR="0001670C" w:rsidRPr="00A335C7" w:rsidRDefault="0001670C" w:rsidP="0001670C">
            <w:pPr>
              <w:pStyle w:val="Tabletext"/>
              <w:tabs>
                <w:tab w:val="decimal" w:pos="559"/>
              </w:tabs>
              <w:jc w:val="right"/>
            </w:pPr>
            <w:r>
              <w:t>Yes</w:t>
            </w:r>
          </w:p>
        </w:tc>
      </w:tr>
      <w:tr w:rsidR="0001670C" w:rsidRPr="00D47F93" w14:paraId="07FBA262" w14:textId="14503B6D" w:rsidTr="00883E38">
        <w:trPr>
          <w:cantSplit/>
          <w:trHeight w:val="272"/>
          <w:jc w:val="center"/>
        </w:trPr>
        <w:tc>
          <w:tcPr>
            <w:tcW w:w="426" w:type="dxa"/>
            <w:tcBorders>
              <w:top w:val="nil"/>
              <w:bottom w:val="nil"/>
              <w:right w:val="nil"/>
            </w:tcBorders>
          </w:tcPr>
          <w:p w14:paraId="782EAD7C" w14:textId="77777777" w:rsidR="0001670C" w:rsidRDefault="0001670C" w:rsidP="0001670C">
            <w:pPr>
              <w:pStyle w:val="Tabletext"/>
              <w:jc w:val="both"/>
            </w:pPr>
          </w:p>
        </w:tc>
        <w:tc>
          <w:tcPr>
            <w:tcW w:w="6917" w:type="dxa"/>
            <w:tcBorders>
              <w:top w:val="nil"/>
              <w:left w:val="nil"/>
              <w:bottom w:val="nil"/>
              <w:right w:val="nil"/>
            </w:tcBorders>
          </w:tcPr>
          <w:p w14:paraId="31C259CC" w14:textId="621A85A6" w:rsidR="0001670C" w:rsidRPr="00C942C2" w:rsidRDefault="0001670C" w:rsidP="0001670C">
            <w:pPr>
              <w:pStyle w:val="Tabletext"/>
              <w:tabs>
                <w:tab w:val="decimal" w:pos="559"/>
              </w:tabs>
            </w:pPr>
            <w:r w:rsidRPr="00C942C2">
              <w:t>Training package identifier</w:t>
            </w:r>
          </w:p>
        </w:tc>
        <w:tc>
          <w:tcPr>
            <w:tcW w:w="1416" w:type="dxa"/>
            <w:tcBorders>
              <w:top w:val="nil"/>
              <w:left w:val="nil"/>
              <w:bottom w:val="nil"/>
              <w:right w:val="nil"/>
            </w:tcBorders>
          </w:tcPr>
          <w:p w14:paraId="5234B434" w14:textId="31781E86" w:rsidR="0001670C" w:rsidRPr="00DC1124" w:rsidRDefault="0001670C" w:rsidP="0001670C">
            <w:pPr>
              <w:pStyle w:val="Tabletext"/>
              <w:tabs>
                <w:tab w:val="decimal" w:pos="559"/>
              </w:tabs>
              <w:jc w:val="right"/>
              <w:rPr>
                <w:b/>
                <w:bCs/>
              </w:rPr>
            </w:pPr>
            <w:r>
              <w:t>Yes</w:t>
            </w:r>
          </w:p>
        </w:tc>
      </w:tr>
      <w:tr w:rsidR="0001670C" w:rsidRPr="00D47F93" w14:paraId="04EC139C" w14:textId="7B78D4CA" w:rsidTr="00883E38">
        <w:trPr>
          <w:cantSplit/>
          <w:trHeight w:val="272"/>
          <w:jc w:val="center"/>
        </w:trPr>
        <w:tc>
          <w:tcPr>
            <w:tcW w:w="426" w:type="dxa"/>
            <w:tcBorders>
              <w:top w:val="nil"/>
              <w:bottom w:val="nil"/>
              <w:right w:val="nil"/>
            </w:tcBorders>
          </w:tcPr>
          <w:p w14:paraId="023573FE" w14:textId="77777777" w:rsidR="0001670C" w:rsidRDefault="0001670C" w:rsidP="0001670C">
            <w:pPr>
              <w:pStyle w:val="Tabletext"/>
              <w:jc w:val="both"/>
            </w:pPr>
          </w:p>
        </w:tc>
        <w:tc>
          <w:tcPr>
            <w:tcW w:w="6917" w:type="dxa"/>
            <w:tcBorders>
              <w:top w:val="nil"/>
              <w:left w:val="nil"/>
              <w:bottom w:val="nil"/>
              <w:right w:val="nil"/>
            </w:tcBorders>
          </w:tcPr>
          <w:p w14:paraId="57AF8E1F" w14:textId="2E8615E6" w:rsidR="0001670C" w:rsidRPr="00C942C2" w:rsidRDefault="0001670C" w:rsidP="0001670C">
            <w:pPr>
              <w:pStyle w:val="Tabletext"/>
              <w:tabs>
                <w:tab w:val="decimal" w:pos="559"/>
              </w:tabs>
            </w:pPr>
            <w:r w:rsidRPr="00C942C2">
              <w:t>Australian Qualification Framework level</w:t>
            </w:r>
          </w:p>
        </w:tc>
        <w:tc>
          <w:tcPr>
            <w:tcW w:w="1416" w:type="dxa"/>
            <w:tcBorders>
              <w:top w:val="nil"/>
              <w:left w:val="nil"/>
              <w:bottom w:val="nil"/>
              <w:right w:val="nil"/>
            </w:tcBorders>
          </w:tcPr>
          <w:p w14:paraId="429BFBBA" w14:textId="6C1D0C92" w:rsidR="0001670C" w:rsidRPr="00DC1124" w:rsidRDefault="0001670C" w:rsidP="0001670C">
            <w:pPr>
              <w:pStyle w:val="Tabletext"/>
              <w:tabs>
                <w:tab w:val="decimal" w:pos="559"/>
              </w:tabs>
              <w:jc w:val="right"/>
              <w:rPr>
                <w:b/>
                <w:bCs/>
              </w:rPr>
            </w:pPr>
            <w:r>
              <w:t>Yes</w:t>
            </w:r>
          </w:p>
        </w:tc>
      </w:tr>
      <w:tr w:rsidR="0001670C" w:rsidRPr="00D47F93" w14:paraId="25AF4B2B" w14:textId="384253D4" w:rsidTr="00883E38">
        <w:trPr>
          <w:cantSplit/>
          <w:trHeight w:val="272"/>
          <w:jc w:val="center"/>
        </w:trPr>
        <w:tc>
          <w:tcPr>
            <w:tcW w:w="426" w:type="dxa"/>
            <w:tcBorders>
              <w:top w:val="nil"/>
              <w:bottom w:val="nil"/>
              <w:right w:val="nil"/>
            </w:tcBorders>
          </w:tcPr>
          <w:p w14:paraId="2B6EEC64" w14:textId="77777777" w:rsidR="0001670C" w:rsidRDefault="0001670C" w:rsidP="0001670C">
            <w:pPr>
              <w:pStyle w:val="Tabletext"/>
              <w:jc w:val="both"/>
            </w:pPr>
          </w:p>
        </w:tc>
        <w:tc>
          <w:tcPr>
            <w:tcW w:w="6917" w:type="dxa"/>
            <w:tcBorders>
              <w:top w:val="nil"/>
              <w:left w:val="nil"/>
              <w:bottom w:val="nil"/>
              <w:right w:val="nil"/>
            </w:tcBorders>
          </w:tcPr>
          <w:p w14:paraId="596F80DC" w14:textId="2BAEA1D8" w:rsidR="0001670C" w:rsidRPr="00C942C2" w:rsidRDefault="0001670C" w:rsidP="0001670C">
            <w:pPr>
              <w:pStyle w:val="Tabletext"/>
              <w:tabs>
                <w:tab w:val="decimal" w:pos="559"/>
              </w:tabs>
            </w:pPr>
            <w:r>
              <w:t>Whether contract commenced as an approved s</w:t>
            </w:r>
            <w:r w:rsidRPr="00C942C2">
              <w:t>chool-based</w:t>
            </w:r>
            <w:r>
              <w:t xml:space="preserve"> apprenticeship</w:t>
            </w:r>
          </w:p>
        </w:tc>
        <w:tc>
          <w:tcPr>
            <w:tcW w:w="1416" w:type="dxa"/>
            <w:tcBorders>
              <w:top w:val="nil"/>
              <w:left w:val="nil"/>
              <w:bottom w:val="nil"/>
              <w:right w:val="nil"/>
            </w:tcBorders>
          </w:tcPr>
          <w:p w14:paraId="3CCBE556" w14:textId="02CB9DE8" w:rsidR="0001670C" w:rsidRPr="00DC1124" w:rsidRDefault="0001670C" w:rsidP="0001670C">
            <w:pPr>
              <w:pStyle w:val="Tabletext"/>
              <w:tabs>
                <w:tab w:val="decimal" w:pos="559"/>
              </w:tabs>
              <w:jc w:val="right"/>
              <w:rPr>
                <w:b/>
                <w:bCs/>
              </w:rPr>
            </w:pPr>
            <w:r>
              <w:t>Yes</w:t>
            </w:r>
          </w:p>
        </w:tc>
      </w:tr>
      <w:tr w:rsidR="0001670C" w:rsidRPr="00D47F93" w14:paraId="33E469D7" w14:textId="2646015E" w:rsidTr="00883E38">
        <w:trPr>
          <w:cantSplit/>
          <w:trHeight w:val="272"/>
          <w:jc w:val="center"/>
        </w:trPr>
        <w:tc>
          <w:tcPr>
            <w:tcW w:w="426" w:type="dxa"/>
            <w:tcBorders>
              <w:top w:val="nil"/>
              <w:bottom w:val="nil"/>
              <w:right w:val="nil"/>
            </w:tcBorders>
          </w:tcPr>
          <w:p w14:paraId="0DAC96D6" w14:textId="77777777" w:rsidR="0001670C" w:rsidRDefault="0001670C" w:rsidP="0001670C">
            <w:pPr>
              <w:pStyle w:val="Tabletext"/>
              <w:jc w:val="both"/>
            </w:pPr>
          </w:p>
        </w:tc>
        <w:tc>
          <w:tcPr>
            <w:tcW w:w="6917" w:type="dxa"/>
            <w:tcBorders>
              <w:top w:val="nil"/>
              <w:left w:val="nil"/>
              <w:bottom w:val="nil"/>
              <w:right w:val="nil"/>
            </w:tcBorders>
          </w:tcPr>
          <w:p w14:paraId="3123579A" w14:textId="1F3D9FFE" w:rsidR="0001670C" w:rsidRPr="00C942C2" w:rsidRDefault="0001670C" w:rsidP="0001670C">
            <w:pPr>
              <w:pStyle w:val="Tabletext"/>
              <w:tabs>
                <w:tab w:val="decimal" w:pos="559"/>
              </w:tabs>
            </w:pPr>
            <w:r>
              <w:t>ANZSCO</w:t>
            </w:r>
            <w:r w:rsidR="00CB34E3">
              <w:t xml:space="preserve"> – </w:t>
            </w:r>
            <w:r>
              <w:t>Most likely</w:t>
            </w:r>
            <w:r w:rsidRPr="00C942C2">
              <w:t xml:space="preserve"> occupational outcome of training</w:t>
            </w:r>
          </w:p>
        </w:tc>
        <w:tc>
          <w:tcPr>
            <w:tcW w:w="1416" w:type="dxa"/>
            <w:tcBorders>
              <w:top w:val="nil"/>
              <w:left w:val="nil"/>
              <w:bottom w:val="nil"/>
              <w:right w:val="nil"/>
            </w:tcBorders>
          </w:tcPr>
          <w:p w14:paraId="63F2F50F" w14:textId="5C709ADD" w:rsidR="0001670C" w:rsidRPr="00DC1124" w:rsidRDefault="0001670C" w:rsidP="0001670C">
            <w:pPr>
              <w:pStyle w:val="Tabletext"/>
              <w:tabs>
                <w:tab w:val="decimal" w:pos="559"/>
              </w:tabs>
              <w:jc w:val="right"/>
              <w:rPr>
                <w:b/>
                <w:bCs/>
              </w:rPr>
            </w:pPr>
            <w:r w:rsidRPr="00C942C2">
              <w:t>No</w:t>
            </w:r>
          </w:p>
        </w:tc>
      </w:tr>
      <w:tr w:rsidR="0001670C" w:rsidRPr="00D47F93" w14:paraId="389D12D9" w14:textId="6B29DA1C" w:rsidTr="00883E38">
        <w:trPr>
          <w:cantSplit/>
          <w:trHeight w:val="272"/>
          <w:jc w:val="center"/>
        </w:trPr>
        <w:tc>
          <w:tcPr>
            <w:tcW w:w="426" w:type="dxa"/>
            <w:tcBorders>
              <w:top w:val="nil"/>
              <w:bottom w:val="nil"/>
              <w:right w:val="nil"/>
            </w:tcBorders>
          </w:tcPr>
          <w:p w14:paraId="312F0CCC" w14:textId="77777777" w:rsidR="0001670C" w:rsidRDefault="0001670C" w:rsidP="0001670C">
            <w:pPr>
              <w:pStyle w:val="Tabletext"/>
              <w:jc w:val="both"/>
            </w:pPr>
          </w:p>
        </w:tc>
        <w:tc>
          <w:tcPr>
            <w:tcW w:w="6917" w:type="dxa"/>
            <w:tcBorders>
              <w:top w:val="nil"/>
              <w:left w:val="nil"/>
              <w:bottom w:val="nil"/>
              <w:right w:val="nil"/>
            </w:tcBorders>
          </w:tcPr>
          <w:p w14:paraId="750AC10D" w14:textId="191C482B" w:rsidR="0001670C" w:rsidRPr="00C942C2" w:rsidRDefault="0001670C" w:rsidP="0001670C">
            <w:pPr>
              <w:pStyle w:val="Tabletext"/>
              <w:tabs>
                <w:tab w:val="decimal" w:pos="559"/>
              </w:tabs>
            </w:pPr>
            <w:r w:rsidRPr="00C942C2">
              <w:t xml:space="preserve">Expected </w:t>
            </w:r>
            <w:r>
              <w:t xml:space="preserve">contract </w:t>
            </w:r>
            <w:r w:rsidRPr="00C942C2">
              <w:t xml:space="preserve">duration in </w:t>
            </w:r>
            <w:r>
              <w:t>days</w:t>
            </w:r>
          </w:p>
        </w:tc>
        <w:tc>
          <w:tcPr>
            <w:tcW w:w="1416" w:type="dxa"/>
            <w:tcBorders>
              <w:top w:val="nil"/>
              <w:left w:val="nil"/>
              <w:bottom w:val="nil"/>
              <w:right w:val="nil"/>
            </w:tcBorders>
          </w:tcPr>
          <w:p w14:paraId="53713D96" w14:textId="6095A33A" w:rsidR="0001670C" w:rsidRDefault="0001670C" w:rsidP="0001670C">
            <w:pPr>
              <w:pStyle w:val="Tabletext"/>
              <w:tabs>
                <w:tab w:val="decimal" w:pos="559"/>
              </w:tabs>
              <w:jc w:val="right"/>
              <w:rPr>
                <w:b/>
                <w:bCs/>
              </w:rPr>
            </w:pPr>
            <w:r>
              <w:t>Yes</w:t>
            </w:r>
          </w:p>
        </w:tc>
      </w:tr>
      <w:tr w:rsidR="0001670C" w:rsidRPr="00D47F93" w14:paraId="501077CB" w14:textId="77777777" w:rsidTr="00153104">
        <w:trPr>
          <w:cantSplit/>
          <w:trHeight w:val="272"/>
          <w:jc w:val="center"/>
        </w:trPr>
        <w:tc>
          <w:tcPr>
            <w:tcW w:w="0" w:type="auto"/>
            <w:gridSpan w:val="3"/>
            <w:tcBorders>
              <w:top w:val="nil"/>
              <w:bottom w:val="nil"/>
              <w:right w:val="nil"/>
            </w:tcBorders>
          </w:tcPr>
          <w:p w14:paraId="7BEBAD1A" w14:textId="6D894FAF" w:rsidR="0001670C" w:rsidRPr="00C942C2" w:rsidRDefault="0001670C" w:rsidP="0001670C">
            <w:pPr>
              <w:pStyle w:val="Tabletext"/>
              <w:tabs>
                <w:tab w:val="decimal" w:pos="559"/>
              </w:tabs>
              <w:rPr>
                <w:b/>
                <w:bCs/>
              </w:rPr>
            </w:pPr>
            <w:r w:rsidRPr="00C942C2">
              <w:rPr>
                <w:b/>
                <w:bCs/>
              </w:rPr>
              <w:t>On-the-job attributes</w:t>
            </w:r>
          </w:p>
        </w:tc>
      </w:tr>
      <w:tr w:rsidR="0001670C" w:rsidRPr="00D47F93" w14:paraId="3C71FE81" w14:textId="2BAEBE8E" w:rsidTr="00883E38">
        <w:trPr>
          <w:cantSplit/>
          <w:trHeight w:val="272"/>
          <w:jc w:val="center"/>
        </w:trPr>
        <w:tc>
          <w:tcPr>
            <w:tcW w:w="426" w:type="dxa"/>
            <w:tcBorders>
              <w:top w:val="nil"/>
              <w:bottom w:val="nil"/>
              <w:right w:val="nil"/>
            </w:tcBorders>
          </w:tcPr>
          <w:p w14:paraId="18CC874D" w14:textId="6F1E41C2" w:rsidR="0001670C" w:rsidRPr="00D47F93" w:rsidRDefault="0001670C" w:rsidP="0001670C">
            <w:pPr>
              <w:pStyle w:val="Tabletext"/>
              <w:jc w:val="both"/>
            </w:pPr>
          </w:p>
        </w:tc>
        <w:tc>
          <w:tcPr>
            <w:tcW w:w="6917" w:type="dxa"/>
            <w:tcBorders>
              <w:top w:val="nil"/>
              <w:left w:val="nil"/>
              <w:bottom w:val="nil"/>
              <w:right w:val="nil"/>
            </w:tcBorders>
          </w:tcPr>
          <w:p w14:paraId="796F4333" w14:textId="0EE47E34" w:rsidR="0001670C" w:rsidRPr="00C942C2" w:rsidRDefault="0001670C" w:rsidP="0001670C">
            <w:pPr>
              <w:pStyle w:val="Tabletext"/>
              <w:tabs>
                <w:tab w:val="decimal" w:pos="559"/>
              </w:tabs>
            </w:pPr>
            <w:r w:rsidRPr="00C942C2">
              <w:t>Employer type</w:t>
            </w:r>
          </w:p>
        </w:tc>
        <w:tc>
          <w:tcPr>
            <w:tcW w:w="1416" w:type="dxa"/>
            <w:tcBorders>
              <w:top w:val="nil"/>
              <w:left w:val="nil"/>
              <w:bottom w:val="nil"/>
              <w:right w:val="nil"/>
            </w:tcBorders>
          </w:tcPr>
          <w:p w14:paraId="55F17C35" w14:textId="6837BA4B" w:rsidR="0001670C" w:rsidRPr="00DC1124" w:rsidRDefault="0001670C" w:rsidP="0001670C">
            <w:pPr>
              <w:pStyle w:val="Tabletext"/>
              <w:tabs>
                <w:tab w:val="decimal" w:pos="559"/>
              </w:tabs>
              <w:jc w:val="right"/>
              <w:rPr>
                <w:b/>
                <w:bCs/>
              </w:rPr>
            </w:pPr>
            <w:r>
              <w:t>Yes</w:t>
            </w:r>
          </w:p>
        </w:tc>
      </w:tr>
      <w:tr w:rsidR="0001670C" w:rsidRPr="00D47F93" w14:paraId="3CCFBCB3" w14:textId="150B12FE" w:rsidTr="00883E38">
        <w:trPr>
          <w:cantSplit/>
          <w:trHeight w:val="272"/>
          <w:jc w:val="center"/>
        </w:trPr>
        <w:tc>
          <w:tcPr>
            <w:tcW w:w="426" w:type="dxa"/>
            <w:tcBorders>
              <w:top w:val="nil"/>
              <w:bottom w:val="nil"/>
              <w:right w:val="nil"/>
            </w:tcBorders>
          </w:tcPr>
          <w:p w14:paraId="55E81C08" w14:textId="77777777" w:rsidR="0001670C" w:rsidRDefault="0001670C" w:rsidP="0001670C">
            <w:pPr>
              <w:pStyle w:val="Tabletext"/>
              <w:jc w:val="both"/>
            </w:pPr>
          </w:p>
        </w:tc>
        <w:tc>
          <w:tcPr>
            <w:tcW w:w="6917" w:type="dxa"/>
            <w:tcBorders>
              <w:top w:val="nil"/>
              <w:left w:val="nil"/>
              <w:bottom w:val="nil"/>
              <w:right w:val="nil"/>
            </w:tcBorders>
          </w:tcPr>
          <w:p w14:paraId="44885272" w14:textId="7F1BFCF4" w:rsidR="0001670C" w:rsidRPr="00C942C2" w:rsidRDefault="0001670C" w:rsidP="0001670C">
            <w:pPr>
              <w:pStyle w:val="Tabletext"/>
              <w:tabs>
                <w:tab w:val="decimal" w:pos="559"/>
              </w:tabs>
            </w:pPr>
            <w:r>
              <w:t>I</w:t>
            </w:r>
            <w:r w:rsidRPr="00C942C2">
              <w:t>ndustry of employer</w:t>
            </w:r>
            <w:r>
              <w:rPr>
                <w:rStyle w:val="FootnoteReference"/>
              </w:rPr>
              <w:footnoteReference w:id="7"/>
            </w:r>
          </w:p>
        </w:tc>
        <w:tc>
          <w:tcPr>
            <w:tcW w:w="1416" w:type="dxa"/>
            <w:tcBorders>
              <w:top w:val="nil"/>
              <w:left w:val="nil"/>
              <w:bottom w:val="nil"/>
              <w:right w:val="nil"/>
            </w:tcBorders>
          </w:tcPr>
          <w:p w14:paraId="4E11CEF6" w14:textId="66F1EA59" w:rsidR="0001670C" w:rsidRDefault="0001670C" w:rsidP="0001670C">
            <w:pPr>
              <w:pStyle w:val="Tabletext"/>
              <w:tabs>
                <w:tab w:val="decimal" w:pos="559"/>
              </w:tabs>
              <w:jc w:val="right"/>
              <w:rPr>
                <w:b/>
                <w:bCs/>
              </w:rPr>
            </w:pPr>
            <w:r w:rsidRPr="00C942C2">
              <w:t>No</w:t>
            </w:r>
          </w:p>
        </w:tc>
      </w:tr>
      <w:tr w:rsidR="0001670C" w:rsidRPr="00D47F93" w14:paraId="51C5719E" w14:textId="267BE56E" w:rsidTr="00883E38">
        <w:trPr>
          <w:cantSplit/>
          <w:trHeight w:val="272"/>
          <w:jc w:val="center"/>
        </w:trPr>
        <w:tc>
          <w:tcPr>
            <w:tcW w:w="426" w:type="dxa"/>
            <w:tcBorders>
              <w:top w:val="nil"/>
              <w:bottom w:val="nil"/>
              <w:right w:val="nil"/>
            </w:tcBorders>
          </w:tcPr>
          <w:p w14:paraId="1277B9CC" w14:textId="77777777" w:rsidR="0001670C" w:rsidRPr="00D47F93" w:rsidRDefault="0001670C" w:rsidP="0001670C">
            <w:pPr>
              <w:pStyle w:val="Tabletext"/>
              <w:jc w:val="both"/>
            </w:pPr>
          </w:p>
        </w:tc>
        <w:tc>
          <w:tcPr>
            <w:tcW w:w="6917" w:type="dxa"/>
            <w:tcBorders>
              <w:top w:val="nil"/>
              <w:left w:val="nil"/>
              <w:bottom w:val="nil"/>
              <w:right w:val="nil"/>
            </w:tcBorders>
          </w:tcPr>
          <w:p w14:paraId="161F81DB" w14:textId="22EF09B9" w:rsidR="0001670C" w:rsidRPr="00C942C2" w:rsidRDefault="0001670C" w:rsidP="0001670C">
            <w:pPr>
              <w:pStyle w:val="Tabletext"/>
              <w:tabs>
                <w:tab w:val="decimal" w:pos="559"/>
              </w:tabs>
            </w:pPr>
            <w:r w:rsidRPr="00C942C2">
              <w:t>Workplace remoteness</w:t>
            </w:r>
            <w:r w:rsidR="001E0CC4">
              <w:t xml:space="preserve"> </w:t>
            </w:r>
            <w:r w:rsidR="001E0CC4">
              <w:rPr>
                <w:rFonts w:cs="Arial"/>
              </w:rPr>
              <w:t>−</w:t>
            </w:r>
            <w:r w:rsidRPr="00BE7592">
              <w:t xml:space="preserve"> Accessibility and Remoteness Index of Australia (ARIA+)</w:t>
            </w:r>
          </w:p>
        </w:tc>
        <w:tc>
          <w:tcPr>
            <w:tcW w:w="1416" w:type="dxa"/>
            <w:tcBorders>
              <w:top w:val="nil"/>
              <w:left w:val="nil"/>
              <w:bottom w:val="nil"/>
              <w:right w:val="nil"/>
            </w:tcBorders>
          </w:tcPr>
          <w:p w14:paraId="00030012" w14:textId="3CF2B141" w:rsidR="0001670C" w:rsidRPr="00DC1124" w:rsidRDefault="0001670C" w:rsidP="0001670C">
            <w:pPr>
              <w:pStyle w:val="Tabletext"/>
              <w:tabs>
                <w:tab w:val="decimal" w:pos="559"/>
              </w:tabs>
              <w:jc w:val="right"/>
              <w:rPr>
                <w:b/>
                <w:bCs/>
              </w:rPr>
            </w:pPr>
            <w:r>
              <w:t>Yes</w:t>
            </w:r>
          </w:p>
        </w:tc>
      </w:tr>
      <w:tr w:rsidR="0001670C" w:rsidRPr="00D47F93" w14:paraId="434AAFE0" w14:textId="58F76196" w:rsidTr="00883E38">
        <w:trPr>
          <w:cantSplit/>
          <w:trHeight w:val="272"/>
          <w:jc w:val="center"/>
        </w:trPr>
        <w:tc>
          <w:tcPr>
            <w:tcW w:w="426" w:type="dxa"/>
            <w:tcBorders>
              <w:top w:val="nil"/>
              <w:bottom w:val="nil"/>
              <w:right w:val="nil"/>
            </w:tcBorders>
          </w:tcPr>
          <w:p w14:paraId="0B0B57F4" w14:textId="77777777" w:rsidR="0001670C" w:rsidRPr="00D47F93" w:rsidRDefault="0001670C" w:rsidP="0001670C">
            <w:pPr>
              <w:pStyle w:val="Tabletext"/>
              <w:jc w:val="both"/>
            </w:pPr>
          </w:p>
        </w:tc>
        <w:tc>
          <w:tcPr>
            <w:tcW w:w="6917" w:type="dxa"/>
            <w:tcBorders>
              <w:top w:val="nil"/>
              <w:left w:val="nil"/>
              <w:bottom w:val="nil"/>
              <w:right w:val="nil"/>
            </w:tcBorders>
          </w:tcPr>
          <w:p w14:paraId="4D39F3CC" w14:textId="658C86E3" w:rsidR="0001670C" w:rsidRPr="00C942C2" w:rsidRDefault="0001670C" w:rsidP="0001670C">
            <w:pPr>
              <w:pStyle w:val="Tabletext"/>
              <w:tabs>
                <w:tab w:val="decimal" w:pos="559"/>
              </w:tabs>
            </w:pPr>
            <w:r w:rsidRPr="00C942C2">
              <w:t>Workplace postcode</w:t>
            </w:r>
          </w:p>
        </w:tc>
        <w:tc>
          <w:tcPr>
            <w:tcW w:w="1416" w:type="dxa"/>
            <w:tcBorders>
              <w:top w:val="nil"/>
              <w:left w:val="nil"/>
              <w:bottom w:val="nil"/>
              <w:right w:val="nil"/>
            </w:tcBorders>
          </w:tcPr>
          <w:p w14:paraId="6ED75F25" w14:textId="69B83EE8" w:rsidR="0001670C" w:rsidRPr="00DC1124" w:rsidRDefault="0001670C" w:rsidP="0001670C">
            <w:pPr>
              <w:pStyle w:val="Tabletext"/>
              <w:tabs>
                <w:tab w:val="decimal" w:pos="559"/>
              </w:tabs>
              <w:jc w:val="right"/>
              <w:rPr>
                <w:b/>
                <w:bCs/>
              </w:rPr>
            </w:pPr>
            <w:r w:rsidRPr="00C942C2">
              <w:t>No</w:t>
            </w:r>
          </w:p>
        </w:tc>
      </w:tr>
      <w:tr w:rsidR="0001670C" w:rsidRPr="00D47F93" w14:paraId="6D778D68" w14:textId="77777777" w:rsidTr="00C942C2">
        <w:trPr>
          <w:cantSplit/>
          <w:trHeight w:val="272"/>
          <w:jc w:val="center"/>
        </w:trPr>
        <w:tc>
          <w:tcPr>
            <w:tcW w:w="0" w:type="auto"/>
            <w:gridSpan w:val="3"/>
            <w:tcBorders>
              <w:top w:val="nil"/>
              <w:bottom w:val="nil"/>
              <w:right w:val="nil"/>
            </w:tcBorders>
          </w:tcPr>
          <w:p w14:paraId="41BA3357" w14:textId="6F0D0299" w:rsidR="0001670C" w:rsidRPr="00C942C2" w:rsidRDefault="0001670C" w:rsidP="0001670C">
            <w:pPr>
              <w:pStyle w:val="Tabletext"/>
              <w:tabs>
                <w:tab w:val="decimal" w:pos="559"/>
              </w:tabs>
              <w:rPr>
                <w:b/>
                <w:bCs/>
              </w:rPr>
            </w:pPr>
            <w:r w:rsidRPr="00C942C2">
              <w:rPr>
                <w:b/>
                <w:bCs/>
              </w:rPr>
              <w:t>Off-the-job attributes</w:t>
            </w:r>
          </w:p>
        </w:tc>
      </w:tr>
      <w:tr w:rsidR="0001670C" w:rsidRPr="00D47F93" w14:paraId="236A3F30" w14:textId="104806AD" w:rsidTr="00883E38">
        <w:trPr>
          <w:cantSplit/>
          <w:trHeight w:val="272"/>
          <w:jc w:val="center"/>
        </w:trPr>
        <w:tc>
          <w:tcPr>
            <w:tcW w:w="426" w:type="dxa"/>
            <w:tcBorders>
              <w:top w:val="nil"/>
              <w:bottom w:val="single" w:sz="4" w:space="0" w:color="auto"/>
              <w:right w:val="nil"/>
            </w:tcBorders>
          </w:tcPr>
          <w:p w14:paraId="4B0B1918" w14:textId="4D85FC9A" w:rsidR="0001670C" w:rsidRPr="00D47F93" w:rsidRDefault="0001670C" w:rsidP="0001670C">
            <w:pPr>
              <w:pStyle w:val="Tabletext"/>
              <w:jc w:val="both"/>
            </w:pPr>
          </w:p>
        </w:tc>
        <w:tc>
          <w:tcPr>
            <w:tcW w:w="6917" w:type="dxa"/>
            <w:tcBorders>
              <w:top w:val="nil"/>
              <w:left w:val="nil"/>
              <w:bottom w:val="single" w:sz="4" w:space="0" w:color="auto"/>
              <w:right w:val="nil"/>
            </w:tcBorders>
          </w:tcPr>
          <w:p w14:paraId="03CE7BA6" w14:textId="24F4DD6F" w:rsidR="0001670C" w:rsidRPr="00C942C2" w:rsidRDefault="0001670C" w:rsidP="0001670C">
            <w:pPr>
              <w:pStyle w:val="Tabletext"/>
              <w:tabs>
                <w:tab w:val="decimal" w:pos="559"/>
              </w:tabs>
            </w:pPr>
            <w:r w:rsidRPr="00C942C2">
              <w:t>Registered training organisation (RTO) identifier for off-the-job training delivery</w:t>
            </w:r>
          </w:p>
        </w:tc>
        <w:tc>
          <w:tcPr>
            <w:tcW w:w="1416" w:type="dxa"/>
            <w:tcBorders>
              <w:top w:val="nil"/>
              <w:left w:val="nil"/>
              <w:bottom w:val="single" w:sz="4" w:space="0" w:color="auto"/>
              <w:right w:val="nil"/>
            </w:tcBorders>
          </w:tcPr>
          <w:p w14:paraId="1A5A963F" w14:textId="5C523DAB" w:rsidR="0001670C" w:rsidRPr="00DC1124" w:rsidRDefault="0001670C" w:rsidP="0001670C">
            <w:pPr>
              <w:pStyle w:val="Tabletext"/>
              <w:tabs>
                <w:tab w:val="decimal" w:pos="559"/>
              </w:tabs>
              <w:jc w:val="right"/>
              <w:rPr>
                <w:b/>
                <w:bCs/>
              </w:rPr>
            </w:pPr>
            <w:r w:rsidRPr="00C942C2">
              <w:t>No</w:t>
            </w:r>
          </w:p>
        </w:tc>
      </w:tr>
    </w:tbl>
    <w:p w14:paraId="2066928E" w14:textId="77777777" w:rsidR="000A00F0" w:rsidRPr="00D47F93" w:rsidRDefault="000A00F0" w:rsidP="000A00F0">
      <w:pPr>
        <w:pStyle w:val="Source"/>
      </w:pPr>
    </w:p>
    <w:p w14:paraId="456FBC2C" w14:textId="132DC1EE" w:rsidR="005F2872" w:rsidRPr="00D4406B" w:rsidRDefault="005F2872" w:rsidP="00D4406B">
      <w:pPr>
        <w:pStyle w:val="Dotpoint2"/>
      </w:pPr>
      <w:r w:rsidRPr="00D4406B">
        <w:br w:type="page"/>
      </w:r>
    </w:p>
    <w:p w14:paraId="29ED3188" w14:textId="5AE442FF" w:rsidR="005F2872" w:rsidRDefault="002173AB" w:rsidP="005F2872">
      <w:pPr>
        <w:pStyle w:val="Heading1"/>
      </w:pPr>
      <w:bookmarkStart w:id="69" w:name="_Toc78364768"/>
      <w:r w:rsidRPr="00BE5DCB">
        <w:rPr>
          <w:noProof/>
          <w:lang w:eastAsia="en-AU"/>
        </w:rPr>
        <w:lastRenderedPageBreak/>
        <w:drawing>
          <wp:anchor distT="0" distB="0" distL="114300" distR="114300" simplePos="0" relativeHeight="252059648" behindDoc="1" locked="0" layoutInCell="1" allowOverlap="1" wp14:anchorId="01EB25C1" wp14:editId="2BC49413">
            <wp:simplePos x="0" y="0"/>
            <wp:positionH relativeFrom="column">
              <wp:posOffset>-39370</wp:posOffset>
            </wp:positionH>
            <wp:positionV relativeFrom="paragraph">
              <wp:posOffset>53340</wp:posOffset>
            </wp:positionV>
            <wp:extent cx="419100" cy="419100"/>
            <wp:effectExtent l="0" t="0" r="0" b="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419100" cy="419100"/>
                    </a:xfrm>
                    <a:prstGeom prst="rect">
                      <a:avLst/>
                    </a:prstGeom>
                    <a:noFill/>
                    <a:ln>
                      <a:noFill/>
                    </a:ln>
                  </pic:spPr>
                </pic:pic>
              </a:graphicData>
            </a:graphic>
            <wp14:sizeRelH relativeFrom="page">
              <wp14:pctWidth>0</wp14:pctWidth>
            </wp14:sizeRelH>
            <wp14:sizeRelV relativeFrom="page">
              <wp14:pctHeight>0</wp14:pctHeight>
            </wp14:sizeRelV>
          </wp:anchor>
        </w:drawing>
      </w:r>
      <w:r w:rsidR="005F2872" w:rsidRPr="00EF5F04">
        <w:t>Appendix</w:t>
      </w:r>
      <w:r w:rsidR="00892800">
        <w:t xml:space="preserve"> </w:t>
      </w:r>
      <w:r w:rsidR="00051747">
        <w:t>B</w:t>
      </w:r>
      <w:r w:rsidR="000911E1">
        <w:t xml:space="preserve"> – Data requirements for calculating projections</w:t>
      </w:r>
      <w:bookmarkEnd w:id="69"/>
    </w:p>
    <w:p w14:paraId="3E988432" w14:textId="2E970F23" w:rsidR="00977426" w:rsidRDefault="00977426" w:rsidP="00977426">
      <w:pPr>
        <w:pStyle w:val="Text"/>
      </w:pPr>
      <w:r w:rsidRPr="00977426">
        <w:t xml:space="preserve">The exploratory analysis </w:t>
      </w:r>
      <w:r>
        <w:t xml:space="preserve">described in this technical paper </w:t>
      </w:r>
      <w:r w:rsidRPr="00977426">
        <w:t>compares projected completion rates for cohorts commencing in 2013, 2014 and 2015</w:t>
      </w:r>
      <w:r>
        <w:t>, separately for trade and non-trade contracts</w:t>
      </w:r>
      <w:r w:rsidRPr="00977426">
        <w:t>.</w:t>
      </w:r>
      <w:r>
        <w:t xml:space="preserve"> The three methodologies being compared are life tables, Markov chains and machine learning. Each of these methodologi</w:t>
      </w:r>
      <w:r w:rsidR="00314C89">
        <w:t>es</w:t>
      </w:r>
      <w:r>
        <w:t xml:space="preserve"> has different data requirements </w:t>
      </w:r>
      <w:r w:rsidR="00CA6FD7">
        <w:t>for</w:t>
      </w:r>
      <w:r>
        <w:t xml:space="preserve"> calculat</w:t>
      </w:r>
      <w:r w:rsidR="00CA6FD7">
        <w:t>ing</w:t>
      </w:r>
      <w:r>
        <w:t xml:space="preserve"> a projected completion rate for a given cohort</w:t>
      </w:r>
      <w:r w:rsidR="00DD03A3">
        <w:t>.</w:t>
      </w:r>
      <w:r w:rsidR="001A374C">
        <w:t xml:space="preserve"> For the purposes of the exploratory analysis described in this paper, the data requirements for making projections are the same for trade and non-trade cohorts.</w:t>
      </w:r>
    </w:p>
    <w:p w14:paraId="53A25E83" w14:textId="4ED0E2C5" w:rsidR="00892800" w:rsidRDefault="00892800" w:rsidP="00892800">
      <w:pPr>
        <w:pStyle w:val="Heading2"/>
      </w:pPr>
      <w:bookmarkStart w:id="70" w:name="_Toc78364769"/>
      <w:r>
        <w:t>Data requirements for life tables</w:t>
      </w:r>
      <w:bookmarkEnd w:id="70"/>
    </w:p>
    <w:p w14:paraId="75443CAA" w14:textId="54E10BA4" w:rsidR="00892800" w:rsidRPr="005A4F1E" w:rsidRDefault="00892800" w:rsidP="00892800">
      <w:pPr>
        <w:pStyle w:val="Text"/>
      </w:pPr>
      <w:r>
        <w:t>To calculate projected completion rates for the 201</w:t>
      </w:r>
      <w:r w:rsidR="00977426">
        <w:t xml:space="preserve">3 </w:t>
      </w:r>
      <w:r>
        <w:t xml:space="preserve">commencing cohorts (trade and non-trade), the life </w:t>
      </w:r>
      <w:r w:rsidRPr="005A4F1E">
        <w:t>tables approach uses</w:t>
      </w:r>
      <w:r w:rsidR="00B7317A" w:rsidRPr="005A4F1E">
        <w:t xml:space="preserve"> quarterly</w:t>
      </w:r>
      <w:r w:rsidRPr="005A4F1E">
        <w:t xml:space="preserve"> transitional probabilities</w:t>
      </w:r>
      <w:r w:rsidR="00CA6FD7" w:rsidRPr="005A4F1E">
        <w:t>,</w:t>
      </w:r>
      <w:r w:rsidRPr="005A4F1E">
        <w:t xml:space="preserve"> as calculated from the projection year (2013) and the preceding </w:t>
      </w:r>
      <w:r w:rsidR="00B7317A" w:rsidRPr="005A4F1E">
        <w:t xml:space="preserve">four </w:t>
      </w:r>
      <w:r w:rsidRPr="005A4F1E">
        <w:t>year</w:t>
      </w:r>
      <w:r w:rsidR="00B7317A" w:rsidRPr="005A4F1E">
        <w:t>s</w:t>
      </w:r>
      <w:r w:rsidRPr="005A4F1E">
        <w:t xml:space="preserve"> (</w:t>
      </w:r>
      <w:r w:rsidR="00B7317A" w:rsidRPr="005A4F1E">
        <w:t>2009-</w:t>
      </w:r>
      <w:r w:rsidRPr="005A4F1E">
        <w:t>2012).</w:t>
      </w:r>
      <w:r w:rsidR="00E013E6" w:rsidRPr="005A4F1E">
        <w:t xml:space="preserve"> However, </w:t>
      </w:r>
      <w:r w:rsidR="00B7317A" w:rsidRPr="005A4F1E">
        <w:t xml:space="preserve">projected completion rates are calculated for the </w:t>
      </w:r>
      <w:r w:rsidR="00E013E6" w:rsidRPr="005A4F1E">
        <w:t xml:space="preserve">December quarter </w:t>
      </w:r>
      <w:r w:rsidR="00B7317A" w:rsidRPr="005A4F1E">
        <w:t>commencing cohorts, which are taken as prox</w:t>
      </w:r>
      <w:r w:rsidR="0040384B" w:rsidRPr="005A4F1E">
        <w:t>y rates</w:t>
      </w:r>
      <w:r w:rsidR="00B7317A" w:rsidRPr="005A4F1E">
        <w:t xml:space="preserve"> for the annual commencing cohorts</w:t>
      </w:r>
      <w:r w:rsidR="00E013E6" w:rsidRPr="005A4F1E">
        <w:t>.</w:t>
      </w:r>
    </w:p>
    <w:p w14:paraId="68B43305" w14:textId="16B88877" w:rsidR="001A374C" w:rsidRDefault="008F62F5" w:rsidP="00892800">
      <w:pPr>
        <w:pStyle w:val="Text"/>
      </w:pPr>
      <w:r w:rsidRPr="005A4F1E">
        <w:t>The data sources used</w:t>
      </w:r>
      <w:r>
        <w:t xml:space="preserve"> to calculate </w:t>
      </w:r>
      <w:r w:rsidR="008E461F">
        <w:t xml:space="preserve">the </w:t>
      </w:r>
      <w:r>
        <w:t>projected completion rates for annual cohorts commencing in 2013, 2014 and 2015</w:t>
      </w:r>
      <w:r w:rsidR="002A5640">
        <w:t xml:space="preserve"> using the life tables methodology</w:t>
      </w:r>
      <w:r>
        <w:t xml:space="preserve"> are provided in table B1.</w:t>
      </w:r>
    </w:p>
    <w:p w14:paraId="5FDA6883" w14:textId="3111DAFD" w:rsidR="00752A08" w:rsidRPr="00D47F93" w:rsidRDefault="00752A08" w:rsidP="00752A08">
      <w:pPr>
        <w:pStyle w:val="Tabletitle"/>
      </w:pPr>
      <w:bookmarkStart w:id="71" w:name="_Toc75437732"/>
      <w:r w:rsidRPr="00D47F93">
        <w:t xml:space="preserve">Table </w:t>
      </w:r>
      <w:r>
        <w:t>B1</w:t>
      </w:r>
      <w:r w:rsidRPr="00D47F93">
        <w:tab/>
      </w:r>
      <w:r>
        <w:t>Data sources</w:t>
      </w:r>
      <w:r w:rsidR="002A5640">
        <w:t>:</w:t>
      </w:r>
      <w:r>
        <w:t xml:space="preserve"> </w:t>
      </w:r>
      <w:r w:rsidR="008E461F">
        <w:t>l</w:t>
      </w:r>
      <w:r>
        <w:t>ife tables</w:t>
      </w:r>
      <w:bookmarkEnd w:id="71"/>
    </w:p>
    <w:tbl>
      <w:tblPr>
        <w:tblW w:w="9072" w:type="dxa"/>
        <w:tblBorders>
          <w:top w:val="single" w:sz="4" w:space="0" w:color="auto"/>
          <w:bottom w:val="single" w:sz="4" w:space="0" w:color="auto"/>
        </w:tblBorders>
        <w:tblLook w:val="0000" w:firstRow="0" w:lastRow="0" w:firstColumn="0" w:lastColumn="0" w:noHBand="0" w:noVBand="0"/>
      </w:tblPr>
      <w:tblGrid>
        <w:gridCol w:w="1560"/>
        <w:gridCol w:w="3118"/>
        <w:gridCol w:w="4394"/>
      </w:tblGrid>
      <w:tr w:rsidR="009174CD" w:rsidRPr="00D47F93" w14:paraId="18DF7D8B" w14:textId="43860425" w:rsidTr="006F5A58">
        <w:trPr>
          <w:cantSplit/>
          <w:trHeight w:val="272"/>
        </w:trPr>
        <w:tc>
          <w:tcPr>
            <w:tcW w:w="1560" w:type="dxa"/>
            <w:tcBorders>
              <w:top w:val="single" w:sz="4" w:space="0" w:color="auto"/>
              <w:bottom w:val="single" w:sz="4" w:space="0" w:color="auto"/>
              <w:right w:val="nil"/>
            </w:tcBorders>
          </w:tcPr>
          <w:p w14:paraId="58E846A6" w14:textId="77777777" w:rsidR="009174CD" w:rsidRDefault="009174CD" w:rsidP="009174CD">
            <w:pPr>
              <w:pStyle w:val="Tabletext"/>
            </w:pPr>
            <w:r>
              <w:rPr>
                <w:b/>
                <w:bCs/>
              </w:rPr>
              <w:t>Projection cohort</w:t>
            </w:r>
          </w:p>
        </w:tc>
        <w:tc>
          <w:tcPr>
            <w:tcW w:w="3118" w:type="dxa"/>
            <w:tcBorders>
              <w:top w:val="single" w:sz="4" w:space="0" w:color="auto"/>
              <w:left w:val="nil"/>
              <w:bottom w:val="single" w:sz="4" w:space="0" w:color="auto"/>
              <w:right w:val="nil"/>
            </w:tcBorders>
          </w:tcPr>
          <w:p w14:paraId="61EB3F12" w14:textId="77777777" w:rsidR="009174CD" w:rsidRPr="00DC1124" w:rsidRDefault="009174CD" w:rsidP="009174CD">
            <w:pPr>
              <w:pStyle w:val="Tabletext"/>
              <w:tabs>
                <w:tab w:val="decimal" w:pos="559"/>
              </w:tabs>
              <w:rPr>
                <w:b/>
                <w:bCs/>
              </w:rPr>
            </w:pPr>
            <w:r>
              <w:rPr>
                <w:b/>
                <w:bCs/>
              </w:rPr>
              <w:t>Source collection</w:t>
            </w:r>
          </w:p>
        </w:tc>
        <w:tc>
          <w:tcPr>
            <w:tcW w:w="4394" w:type="dxa"/>
            <w:tcBorders>
              <w:top w:val="single" w:sz="4" w:space="0" w:color="auto"/>
              <w:left w:val="nil"/>
              <w:bottom w:val="single" w:sz="4" w:space="0" w:color="auto"/>
              <w:right w:val="nil"/>
            </w:tcBorders>
          </w:tcPr>
          <w:p w14:paraId="0759CCEC" w14:textId="774C51E5" w:rsidR="009174CD" w:rsidRDefault="009174CD" w:rsidP="009174CD">
            <w:pPr>
              <w:pStyle w:val="Tabletext"/>
              <w:tabs>
                <w:tab w:val="decimal" w:pos="559"/>
              </w:tabs>
              <w:rPr>
                <w:b/>
                <w:bCs/>
              </w:rPr>
            </w:pPr>
            <w:r>
              <w:rPr>
                <w:b/>
                <w:bCs/>
              </w:rPr>
              <w:t>Reference cohort/s</w:t>
            </w:r>
          </w:p>
        </w:tc>
      </w:tr>
      <w:tr w:rsidR="009174CD" w:rsidRPr="00D47F93" w14:paraId="29D866D2" w14:textId="1B17262B" w:rsidTr="006F5A58">
        <w:trPr>
          <w:cantSplit/>
          <w:trHeight w:val="272"/>
        </w:trPr>
        <w:tc>
          <w:tcPr>
            <w:tcW w:w="1560" w:type="dxa"/>
            <w:tcBorders>
              <w:top w:val="nil"/>
              <w:bottom w:val="nil"/>
              <w:right w:val="nil"/>
            </w:tcBorders>
          </w:tcPr>
          <w:p w14:paraId="50DFF578" w14:textId="77777777" w:rsidR="009174CD" w:rsidRPr="00D47F93" w:rsidRDefault="009174CD" w:rsidP="00FB52EF">
            <w:pPr>
              <w:pStyle w:val="Tabletext"/>
              <w:jc w:val="both"/>
            </w:pPr>
            <w:r>
              <w:t>2013</w:t>
            </w:r>
          </w:p>
        </w:tc>
        <w:tc>
          <w:tcPr>
            <w:tcW w:w="3118" w:type="dxa"/>
            <w:tcBorders>
              <w:top w:val="nil"/>
              <w:left w:val="nil"/>
              <w:bottom w:val="nil"/>
              <w:right w:val="nil"/>
            </w:tcBorders>
          </w:tcPr>
          <w:p w14:paraId="3AD8CA5F" w14:textId="069F363D" w:rsidR="009174CD" w:rsidRPr="00C942C2" w:rsidRDefault="009174CD" w:rsidP="00FB52EF">
            <w:pPr>
              <w:pStyle w:val="Tabletext"/>
              <w:tabs>
                <w:tab w:val="decimal" w:pos="559"/>
              </w:tabs>
            </w:pPr>
            <w:r>
              <w:t>Collection 79 (March 2014 estimates)</w:t>
            </w:r>
          </w:p>
        </w:tc>
        <w:tc>
          <w:tcPr>
            <w:tcW w:w="4394" w:type="dxa"/>
            <w:tcBorders>
              <w:top w:val="nil"/>
              <w:left w:val="nil"/>
              <w:bottom w:val="nil"/>
              <w:right w:val="nil"/>
            </w:tcBorders>
          </w:tcPr>
          <w:p w14:paraId="62200E72" w14:textId="5D54E2C9" w:rsidR="009174CD" w:rsidRPr="005A4F1E" w:rsidRDefault="009174CD" w:rsidP="009174CD">
            <w:pPr>
              <w:pStyle w:val="Tabletext"/>
              <w:tabs>
                <w:tab w:val="decimal" w:pos="559"/>
              </w:tabs>
            </w:pPr>
            <w:r w:rsidRPr="005A4F1E">
              <w:t xml:space="preserve">Contracts in-training </w:t>
            </w:r>
            <w:r w:rsidR="00B7317A" w:rsidRPr="005A4F1E">
              <w:t xml:space="preserve">at any point between 2009 and </w:t>
            </w:r>
            <w:r w:rsidRPr="005A4F1E">
              <w:t>2013</w:t>
            </w:r>
          </w:p>
        </w:tc>
      </w:tr>
      <w:tr w:rsidR="009174CD" w:rsidRPr="00D47F93" w14:paraId="2BDA95FD" w14:textId="02D7088E" w:rsidTr="006F5A58">
        <w:trPr>
          <w:cantSplit/>
          <w:trHeight w:val="272"/>
        </w:trPr>
        <w:tc>
          <w:tcPr>
            <w:tcW w:w="1560" w:type="dxa"/>
            <w:tcBorders>
              <w:top w:val="nil"/>
              <w:bottom w:val="nil"/>
              <w:right w:val="nil"/>
            </w:tcBorders>
          </w:tcPr>
          <w:p w14:paraId="6DED44A0" w14:textId="77777777" w:rsidR="009174CD" w:rsidRDefault="009174CD" w:rsidP="009174CD">
            <w:pPr>
              <w:pStyle w:val="Tabletext"/>
              <w:jc w:val="both"/>
            </w:pPr>
            <w:r>
              <w:t>2014</w:t>
            </w:r>
          </w:p>
        </w:tc>
        <w:tc>
          <w:tcPr>
            <w:tcW w:w="3118" w:type="dxa"/>
            <w:tcBorders>
              <w:top w:val="nil"/>
              <w:left w:val="nil"/>
              <w:bottom w:val="nil"/>
              <w:right w:val="nil"/>
            </w:tcBorders>
          </w:tcPr>
          <w:p w14:paraId="426EB31F" w14:textId="24F0818D" w:rsidR="009174CD" w:rsidRPr="00C942C2" w:rsidRDefault="009174CD" w:rsidP="009174CD">
            <w:pPr>
              <w:pStyle w:val="Tabletext"/>
              <w:tabs>
                <w:tab w:val="decimal" w:pos="559"/>
              </w:tabs>
            </w:pPr>
            <w:r>
              <w:t>Collection 83 (March 2015 estimates)</w:t>
            </w:r>
          </w:p>
        </w:tc>
        <w:tc>
          <w:tcPr>
            <w:tcW w:w="4394" w:type="dxa"/>
            <w:tcBorders>
              <w:top w:val="nil"/>
              <w:left w:val="nil"/>
              <w:bottom w:val="nil"/>
              <w:right w:val="nil"/>
            </w:tcBorders>
          </w:tcPr>
          <w:p w14:paraId="0E6FDA99" w14:textId="1C8D2D3C" w:rsidR="009174CD" w:rsidRPr="005A4F1E" w:rsidRDefault="009174CD" w:rsidP="009174CD">
            <w:pPr>
              <w:pStyle w:val="Tabletext"/>
              <w:tabs>
                <w:tab w:val="decimal" w:pos="559"/>
              </w:tabs>
            </w:pPr>
            <w:r w:rsidRPr="005A4F1E">
              <w:t xml:space="preserve">Contracts in-training </w:t>
            </w:r>
            <w:r w:rsidR="00B7317A" w:rsidRPr="005A4F1E">
              <w:t>at any point between 2010 and 2014</w:t>
            </w:r>
          </w:p>
        </w:tc>
      </w:tr>
      <w:tr w:rsidR="009174CD" w:rsidRPr="00D47F93" w14:paraId="64D6952B" w14:textId="7421DD19" w:rsidTr="006F5A58">
        <w:trPr>
          <w:cantSplit/>
          <w:trHeight w:val="272"/>
        </w:trPr>
        <w:tc>
          <w:tcPr>
            <w:tcW w:w="1560" w:type="dxa"/>
            <w:tcBorders>
              <w:top w:val="nil"/>
              <w:bottom w:val="single" w:sz="4" w:space="0" w:color="auto"/>
              <w:right w:val="nil"/>
            </w:tcBorders>
          </w:tcPr>
          <w:p w14:paraId="7BB8C9B2" w14:textId="77777777" w:rsidR="009174CD" w:rsidRPr="00D47F93" w:rsidRDefault="009174CD" w:rsidP="009174CD">
            <w:pPr>
              <w:pStyle w:val="Tabletext"/>
              <w:jc w:val="both"/>
            </w:pPr>
            <w:r>
              <w:t>2015</w:t>
            </w:r>
          </w:p>
        </w:tc>
        <w:tc>
          <w:tcPr>
            <w:tcW w:w="3118" w:type="dxa"/>
            <w:tcBorders>
              <w:top w:val="nil"/>
              <w:left w:val="nil"/>
              <w:bottom w:val="single" w:sz="4" w:space="0" w:color="auto"/>
              <w:right w:val="nil"/>
            </w:tcBorders>
          </w:tcPr>
          <w:p w14:paraId="7B1EBA1B" w14:textId="39A6CB53" w:rsidR="009174CD" w:rsidRPr="00C942C2" w:rsidRDefault="009174CD" w:rsidP="009174CD">
            <w:pPr>
              <w:pStyle w:val="Tabletext"/>
              <w:tabs>
                <w:tab w:val="decimal" w:pos="559"/>
              </w:tabs>
            </w:pPr>
            <w:r>
              <w:t>Collection 87 (March 2016 estimates)</w:t>
            </w:r>
          </w:p>
        </w:tc>
        <w:tc>
          <w:tcPr>
            <w:tcW w:w="4394" w:type="dxa"/>
            <w:tcBorders>
              <w:top w:val="nil"/>
              <w:left w:val="nil"/>
              <w:bottom w:val="single" w:sz="4" w:space="0" w:color="auto"/>
              <w:right w:val="nil"/>
            </w:tcBorders>
          </w:tcPr>
          <w:p w14:paraId="522BFDCB" w14:textId="667A611F" w:rsidR="009174CD" w:rsidRPr="005A4F1E" w:rsidRDefault="009174CD" w:rsidP="009174CD">
            <w:pPr>
              <w:pStyle w:val="Tabletext"/>
              <w:tabs>
                <w:tab w:val="decimal" w:pos="559"/>
              </w:tabs>
            </w:pPr>
            <w:r w:rsidRPr="005A4F1E">
              <w:t xml:space="preserve">Contracts in-training </w:t>
            </w:r>
            <w:r w:rsidR="00B7317A" w:rsidRPr="005A4F1E">
              <w:t>at any point between 2011 and</w:t>
            </w:r>
            <w:r w:rsidRPr="005A4F1E">
              <w:t xml:space="preserve"> 201</w:t>
            </w:r>
            <w:r w:rsidR="00B7317A" w:rsidRPr="005A4F1E">
              <w:t>5</w:t>
            </w:r>
          </w:p>
        </w:tc>
      </w:tr>
    </w:tbl>
    <w:p w14:paraId="0F97F036" w14:textId="77777777" w:rsidR="00892800" w:rsidRDefault="00892800" w:rsidP="00892800">
      <w:pPr>
        <w:pStyle w:val="Heading2"/>
      </w:pPr>
      <w:bookmarkStart w:id="72" w:name="_Toc78364770"/>
      <w:r>
        <w:t>Data requirements for Markov chains</w:t>
      </w:r>
      <w:bookmarkEnd w:id="72"/>
    </w:p>
    <w:p w14:paraId="52E6F373" w14:textId="654B7C99" w:rsidR="00892800" w:rsidRDefault="00892800" w:rsidP="00892800">
      <w:pPr>
        <w:pStyle w:val="Text"/>
      </w:pPr>
      <w:r>
        <w:t>To calculate the projected completion rate for the 2013 commencing cohort, the Markov chains approach uses transitional probabilities</w:t>
      </w:r>
      <w:r w:rsidR="00DA7795">
        <w:t>,</w:t>
      </w:r>
      <w:r>
        <w:t xml:space="preserve"> as calculated from the projection year (2013), the following year (2014), and the preceding </w:t>
      </w:r>
      <w:r w:rsidR="00DA7795">
        <w:t>three</w:t>
      </w:r>
      <w:r>
        <w:t xml:space="preserve"> years (2010, 2011 and 2012). This methodology </w:t>
      </w:r>
      <w:r w:rsidRPr="005A4F1E">
        <w:t xml:space="preserve">uses a </w:t>
      </w:r>
      <w:r w:rsidR="003555C1" w:rsidRPr="005A4F1E">
        <w:t>five-year window of recent historical data</w:t>
      </w:r>
      <w:r w:rsidRPr="005A4F1E">
        <w:t xml:space="preserve"> to calculate transitional probabilities. There is a 12-month delay before a projection can be made for any given projection year </w:t>
      </w:r>
      <w:r w:rsidR="00DA7795" w:rsidRPr="005A4F1E">
        <w:t>by comparison</w:t>
      </w:r>
      <w:r w:rsidRPr="005A4F1E">
        <w:t xml:space="preserve"> with </w:t>
      </w:r>
      <w:r w:rsidR="00DA7795" w:rsidRPr="005A4F1E">
        <w:t xml:space="preserve">the </w:t>
      </w:r>
      <w:r w:rsidRPr="005A4F1E">
        <w:t>life tables</w:t>
      </w:r>
      <w:r w:rsidR="003555C1" w:rsidRPr="005A4F1E">
        <w:t xml:space="preserve"> and machine learning</w:t>
      </w:r>
      <w:r w:rsidR="00DA7795" w:rsidRPr="005A4F1E">
        <w:t xml:space="preserve"> approach</w:t>
      </w:r>
      <w:r w:rsidR="003555C1" w:rsidRPr="005A4F1E">
        <w:t>es</w:t>
      </w:r>
      <w:r w:rsidRPr="005A4F1E">
        <w:t xml:space="preserve">, because data from the following year </w:t>
      </w:r>
      <w:r w:rsidR="00157ACA" w:rsidRPr="005A4F1E">
        <w:t>are</w:t>
      </w:r>
      <w:r w:rsidRPr="005A4F1E">
        <w:t xml:space="preserve"> required for the calculations.</w:t>
      </w:r>
    </w:p>
    <w:p w14:paraId="276464F0" w14:textId="11F7540D" w:rsidR="00116E27" w:rsidRDefault="002A5640" w:rsidP="00892800">
      <w:pPr>
        <w:pStyle w:val="Text"/>
      </w:pPr>
      <w:r>
        <w:t>The data sources used to calculate</w:t>
      </w:r>
      <w:r w:rsidR="006F02B8">
        <w:t xml:space="preserve"> </w:t>
      </w:r>
      <w:r w:rsidR="00DA7795">
        <w:t xml:space="preserve">the </w:t>
      </w:r>
      <w:r>
        <w:t>projected completion rates for annual cohorts commencing in 2013, 2014 and 2015 using the Markov chains methodology are provided in table B2.</w:t>
      </w:r>
    </w:p>
    <w:p w14:paraId="5A498BA7" w14:textId="58CDAA39" w:rsidR="00752A08" w:rsidRPr="00D47F93" w:rsidRDefault="00752A08" w:rsidP="00752A08">
      <w:pPr>
        <w:pStyle w:val="Tabletitle"/>
      </w:pPr>
      <w:bookmarkStart w:id="73" w:name="_Toc75437733"/>
      <w:r w:rsidRPr="00D47F93">
        <w:t xml:space="preserve">Table </w:t>
      </w:r>
      <w:r>
        <w:t>B2</w:t>
      </w:r>
      <w:r w:rsidRPr="00D47F93">
        <w:tab/>
      </w:r>
      <w:r>
        <w:t>Data sources</w:t>
      </w:r>
      <w:r w:rsidR="002A5640">
        <w:t xml:space="preserve">: </w:t>
      </w:r>
      <w:r>
        <w:t>Markov chains</w:t>
      </w:r>
      <w:bookmarkEnd w:id="73"/>
    </w:p>
    <w:tbl>
      <w:tblPr>
        <w:tblW w:w="9101" w:type="dxa"/>
        <w:tblBorders>
          <w:top w:val="single" w:sz="4" w:space="0" w:color="auto"/>
          <w:bottom w:val="single" w:sz="4" w:space="0" w:color="auto"/>
        </w:tblBorders>
        <w:tblLook w:val="0000" w:firstRow="0" w:lastRow="0" w:firstColumn="0" w:lastColumn="0" w:noHBand="0" w:noVBand="0"/>
      </w:tblPr>
      <w:tblGrid>
        <w:gridCol w:w="1560"/>
        <w:gridCol w:w="3118"/>
        <w:gridCol w:w="4423"/>
      </w:tblGrid>
      <w:tr w:rsidR="009174CD" w:rsidRPr="00D47F93" w14:paraId="4B6611A3" w14:textId="03E9105C" w:rsidTr="006F5A58">
        <w:trPr>
          <w:cantSplit/>
          <w:trHeight w:val="272"/>
        </w:trPr>
        <w:tc>
          <w:tcPr>
            <w:tcW w:w="1560" w:type="dxa"/>
            <w:tcBorders>
              <w:top w:val="single" w:sz="4" w:space="0" w:color="auto"/>
              <w:bottom w:val="single" w:sz="4" w:space="0" w:color="auto"/>
              <w:right w:val="nil"/>
            </w:tcBorders>
          </w:tcPr>
          <w:p w14:paraId="527F5CBC" w14:textId="1D6E28B4" w:rsidR="009174CD" w:rsidRDefault="009174CD" w:rsidP="00FB52EF">
            <w:pPr>
              <w:pStyle w:val="Tabletext"/>
              <w:jc w:val="both"/>
            </w:pPr>
            <w:r>
              <w:rPr>
                <w:b/>
                <w:bCs/>
              </w:rPr>
              <w:t>Projection cohort</w:t>
            </w:r>
          </w:p>
        </w:tc>
        <w:tc>
          <w:tcPr>
            <w:tcW w:w="3118" w:type="dxa"/>
            <w:tcBorders>
              <w:top w:val="single" w:sz="4" w:space="0" w:color="auto"/>
              <w:left w:val="nil"/>
              <w:bottom w:val="single" w:sz="4" w:space="0" w:color="auto"/>
              <w:right w:val="nil"/>
            </w:tcBorders>
          </w:tcPr>
          <w:p w14:paraId="7B1574AE" w14:textId="0B84FAF6" w:rsidR="009174CD" w:rsidRPr="00DC1124" w:rsidRDefault="009174CD" w:rsidP="00FB52EF">
            <w:pPr>
              <w:pStyle w:val="Tabletext"/>
              <w:tabs>
                <w:tab w:val="decimal" w:pos="559"/>
              </w:tabs>
              <w:rPr>
                <w:b/>
                <w:bCs/>
              </w:rPr>
            </w:pPr>
            <w:r>
              <w:rPr>
                <w:b/>
                <w:bCs/>
              </w:rPr>
              <w:t>Source collection</w:t>
            </w:r>
          </w:p>
        </w:tc>
        <w:tc>
          <w:tcPr>
            <w:tcW w:w="4423" w:type="dxa"/>
            <w:tcBorders>
              <w:top w:val="single" w:sz="4" w:space="0" w:color="auto"/>
              <w:left w:val="nil"/>
              <w:bottom w:val="single" w:sz="4" w:space="0" w:color="auto"/>
              <w:right w:val="nil"/>
            </w:tcBorders>
          </w:tcPr>
          <w:p w14:paraId="1F254615" w14:textId="6FD2168E" w:rsidR="009174CD" w:rsidRDefault="009174CD" w:rsidP="00FB52EF">
            <w:pPr>
              <w:pStyle w:val="Tabletext"/>
              <w:tabs>
                <w:tab w:val="decimal" w:pos="559"/>
              </w:tabs>
              <w:rPr>
                <w:b/>
                <w:bCs/>
              </w:rPr>
            </w:pPr>
            <w:r>
              <w:rPr>
                <w:b/>
                <w:bCs/>
              </w:rPr>
              <w:t>Reference cohort/s</w:t>
            </w:r>
          </w:p>
        </w:tc>
      </w:tr>
      <w:tr w:rsidR="009174CD" w:rsidRPr="00D47F93" w14:paraId="0C775106" w14:textId="73FE50FE" w:rsidTr="006F5A58">
        <w:trPr>
          <w:cantSplit/>
          <w:trHeight w:val="272"/>
        </w:trPr>
        <w:tc>
          <w:tcPr>
            <w:tcW w:w="1560" w:type="dxa"/>
            <w:tcBorders>
              <w:top w:val="nil"/>
              <w:bottom w:val="nil"/>
              <w:right w:val="nil"/>
            </w:tcBorders>
          </w:tcPr>
          <w:p w14:paraId="261F0271" w14:textId="4BFBDCF2" w:rsidR="009174CD" w:rsidRPr="00D47F93" w:rsidRDefault="009174CD" w:rsidP="00FB52EF">
            <w:pPr>
              <w:pStyle w:val="Tabletext"/>
              <w:jc w:val="both"/>
            </w:pPr>
            <w:r>
              <w:t>2013</w:t>
            </w:r>
          </w:p>
        </w:tc>
        <w:tc>
          <w:tcPr>
            <w:tcW w:w="3118" w:type="dxa"/>
            <w:tcBorders>
              <w:top w:val="nil"/>
              <w:left w:val="nil"/>
              <w:bottom w:val="nil"/>
              <w:right w:val="nil"/>
            </w:tcBorders>
          </w:tcPr>
          <w:p w14:paraId="0EAD6C31" w14:textId="23DF3E51" w:rsidR="009174CD" w:rsidRPr="00C942C2" w:rsidRDefault="009174CD" w:rsidP="00FB52EF">
            <w:pPr>
              <w:pStyle w:val="Tabletext"/>
              <w:tabs>
                <w:tab w:val="decimal" w:pos="559"/>
              </w:tabs>
            </w:pPr>
            <w:r>
              <w:t>Collection 84 (June 2015 estimates)</w:t>
            </w:r>
          </w:p>
        </w:tc>
        <w:tc>
          <w:tcPr>
            <w:tcW w:w="4423" w:type="dxa"/>
            <w:tcBorders>
              <w:top w:val="nil"/>
              <w:left w:val="nil"/>
              <w:bottom w:val="nil"/>
              <w:right w:val="nil"/>
            </w:tcBorders>
          </w:tcPr>
          <w:p w14:paraId="7E761768" w14:textId="7C5EA8B8" w:rsidR="009174CD" w:rsidRDefault="009174CD" w:rsidP="00FB52EF">
            <w:pPr>
              <w:pStyle w:val="Tabletext"/>
              <w:tabs>
                <w:tab w:val="decimal" w:pos="559"/>
              </w:tabs>
            </w:pPr>
            <w:r>
              <w:t>Contracts in-training at any point between 2010 and 2014</w:t>
            </w:r>
          </w:p>
        </w:tc>
      </w:tr>
      <w:tr w:rsidR="009174CD" w:rsidRPr="00D47F93" w14:paraId="6891949F" w14:textId="136CE9CB" w:rsidTr="006F5A58">
        <w:trPr>
          <w:cantSplit/>
          <w:trHeight w:val="272"/>
        </w:trPr>
        <w:tc>
          <w:tcPr>
            <w:tcW w:w="1560" w:type="dxa"/>
            <w:tcBorders>
              <w:top w:val="nil"/>
              <w:bottom w:val="nil"/>
              <w:right w:val="nil"/>
            </w:tcBorders>
          </w:tcPr>
          <w:p w14:paraId="2948A156" w14:textId="3B940AE8" w:rsidR="009174CD" w:rsidRDefault="009174CD" w:rsidP="00FB52EF">
            <w:pPr>
              <w:pStyle w:val="Tabletext"/>
              <w:jc w:val="both"/>
            </w:pPr>
            <w:r>
              <w:t>2014</w:t>
            </w:r>
          </w:p>
        </w:tc>
        <w:tc>
          <w:tcPr>
            <w:tcW w:w="3118" w:type="dxa"/>
            <w:tcBorders>
              <w:top w:val="nil"/>
              <w:left w:val="nil"/>
              <w:bottom w:val="nil"/>
              <w:right w:val="nil"/>
            </w:tcBorders>
          </w:tcPr>
          <w:p w14:paraId="62622D91" w14:textId="46668031" w:rsidR="009174CD" w:rsidRPr="00C942C2" w:rsidRDefault="009174CD" w:rsidP="00FB52EF">
            <w:pPr>
              <w:pStyle w:val="Tabletext"/>
              <w:tabs>
                <w:tab w:val="decimal" w:pos="559"/>
              </w:tabs>
            </w:pPr>
            <w:r>
              <w:t>Collection 87 (March 2016 estimates)</w:t>
            </w:r>
          </w:p>
        </w:tc>
        <w:tc>
          <w:tcPr>
            <w:tcW w:w="4423" w:type="dxa"/>
            <w:tcBorders>
              <w:top w:val="nil"/>
              <w:left w:val="nil"/>
              <w:bottom w:val="nil"/>
              <w:right w:val="nil"/>
            </w:tcBorders>
          </w:tcPr>
          <w:p w14:paraId="5451D1B5" w14:textId="3F2342CC" w:rsidR="009174CD" w:rsidRDefault="009174CD" w:rsidP="00FB52EF">
            <w:pPr>
              <w:pStyle w:val="Tabletext"/>
              <w:tabs>
                <w:tab w:val="decimal" w:pos="559"/>
              </w:tabs>
            </w:pPr>
            <w:r>
              <w:t>Contracts in-training at any point between 2011 and 2015</w:t>
            </w:r>
          </w:p>
        </w:tc>
      </w:tr>
      <w:tr w:rsidR="009174CD" w:rsidRPr="00D47F93" w14:paraId="56EA7912" w14:textId="61E6F919" w:rsidTr="006F5A58">
        <w:trPr>
          <w:cantSplit/>
          <w:trHeight w:val="272"/>
        </w:trPr>
        <w:tc>
          <w:tcPr>
            <w:tcW w:w="1560" w:type="dxa"/>
            <w:tcBorders>
              <w:top w:val="nil"/>
              <w:bottom w:val="single" w:sz="4" w:space="0" w:color="auto"/>
              <w:right w:val="nil"/>
            </w:tcBorders>
          </w:tcPr>
          <w:p w14:paraId="0A0C616F" w14:textId="1752A136" w:rsidR="009174CD" w:rsidRPr="00D47F93" w:rsidRDefault="009174CD" w:rsidP="00FB52EF">
            <w:pPr>
              <w:pStyle w:val="Tabletext"/>
              <w:jc w:val="both"/>
            </w:pPr>
            <w:r>
              <w:t>2015</w:t>
            </w:r>
          </w:p>
        </w:tc>
        <w:tc>
          <w:tcPr>
            <w:tcW w:w="3118" w:type="dxa"/>
            <w:tcBorders>
              <w:top w:val="nil"/>
              <w:left w:val="nil"/>
              <w:bottom w:val="single" w:sz="4" w:space="0" w:color="auto"/>
              <w:right w:val="nil"/>
            </w:tcBorders>
          </w:tcPr>
          <w:p w14:paraId="1802A1B7" w14:textId="6550BEAD" w:rsidR="009174CD" w:rsidRPr="00C942C2" w:rsidRDefault="009174CD" w:rsidP="00FB52EF">
            <w:pPr>
              <w:pStyle w:val="Tabletext"/>
              <w:tabs>
                <w:tab w:val="decimal" w:pos="559"/>
              </w:tabs>
            </w:pPr>
            <w:r>
              <w:t>Collection 91 (March 2017 estimates)</w:t>
            </w:r>
          </w:p>
        </w:tc>
        <w:tc>
          <w:tcPr>
            <w:tcW w:w="4423" w:type="dxa"/>
            <w:tcBorders>
              <w:top w:val="nil"/>
              <w:left w:val="nil"/>
              <w:bottom w:val="single" w:sz="4" w:space="0" w:color="auto"/>
              <w:right w:val="nil"/>
            </w:tcBorders>
          </w:tcPr>
          <w:p w14:paraId="74EF26F2" w14:textId="09F5B26B" w:rsidR="009174CD" w:rsidRDefault="009174CD" w:rsidP="00FB52EF">
            <w:pPr>
              <w:pStyle w:val="Tabletext"/>
              <w:tabs>
                <w:tab w:val="decimal" w:pos="559"/>
              </w:tabs>
            </w:pPr>
            <w:r>
              <w:t>Contracts in-training at any point between 2012 and 201</w:t>
            </w:r>
            <w:r w:rsidR="003A41C6">
              <w:t>6</w:t>
            </w:r>
          </w:p>
        </w:tc>
      </w:tr>
    </w:tbl>
    <w:p w14:paraId="152FACBB" w14:textId="699875EE" w:rsidR="002A5640" w:rsidRDefault="002A5640" w:rsidP="002A5640">
      <w:pPr>
        <w:pStyle w:val="Source"/>
        <w:ind w:left="0" w:firstLine="0"/>
      </w:pPr>
      <w:r>
        <w:t>Note: Collection 84 (June 2015 estimates) was used as the data source for</w:t>
      </w:r>
      <w:r w:rsidRPr="002A5640">
        <w:t xml:space="preserve"> the projection</w:t>
      </w:r>
      <w:r>
        <w:t>s</w:t>
      </w:r>
      <w:r w:rsidRPr="002A5640">
        <w:t xml:space="preserve"> for 2013</w:t>
      </w:r>
      <w:r>
        <w:t xml:space="preserve"> instead of Collection 83 (March 2015 estimates) </w:t>
      </w:r>
      <w:r w:rsidRPr="002A5640">
        <w:t>due to data availability</w:t>
      </w:r>
      <w:r>
        <w:t>.</w:t>
      </w:r>
    </w:p>
    <w:p w14:paraId="536A39DE" w14:textId="20EBE7FE" w:rsidR="00892800" w:rsidRDefault="00892800" w:rsidP="00892800">
      <w:pPr>
        <w:pStyle w:val="Heading2"/>
      </w:pPr>
      <w:bookmarkStart w:id="74" w:name="_Toc78364771"/>
      <w:r>
        <w:lastRenderedPageBreak/>
        <w:t>Data requirements for machine learning</w:t>
      </w:r>
      <w:bookmarkEnd w:id="74"/>
    </w:p>
    <w:p w14:paraId="7230A226" w14:textId="4F632DE2" w:rsidR="00AA4317" w:rsidRDefault="00892800" w:rsidP="0011193D">
      <w:pPr>
        <w:pStyle w:val="Text"/>
      </w:pPr>
      <w:r>
        <w:t>To calculate the projected completion rate for the 2013 commencing cohort, the machine learning methodology uses data from an annual cohort where the commencing and terminating information is known</w:t>
      </w:r>
      <w:r w:rsidRPr="005A4F1E">
        <w:t xml:space="preserve">. </w:t>
      </w:r>
      <w:r w:rsidR="003555C1" w:rsidRPr="005A4F1E">
        <w:t xml:space="preserve">Ideally, the machine learning model would be based on a reference cohort that commenced four years earlier and would be retrained for each annual commencing cohort. </w:t>
      </w:r>
      <w:r w:rsidR="00AA4317" w:rsidRPr="005A4F1E">
        <w:t xml:space="preserve">For this exploration, </w:t>
      </w:r>
      <w:r w:rsidR="003555C1" w:rsidRPr="005A4F1E">
        <w:t xml:space="preserve">however, </w:t>
      </w:r>
      <w:r w:rsidR="00AA4317" w:rsidRPr="005A4F1E">
        <w:t xml:space="preserve">the </w:t>
      </w:r>
      <w:r w:rsidR="003555C1" w:rsidRPr="005A4F1E">
        <w:t xml:space="preserve">trade and non-trade </w:t>
      </w:r>
      <w:r w:rsidR="00AA4317" w:rsidRPr="005A4F1E">
        <w:t>model</w:t>
      </w:r>
      <w:r w:rsidR="003555C1" w:rsidRPr="005A4F1E">
        <w:t>s</w:t>
      </w:r>
      <w:r w:rsidR="00AA4317" w:rsidRPr="005A4F1E">
        <w:t xml:space="preserve"> w</w:t>
      </w:r>
      <w:r w:rsidR="003555C1" w:rsidRPr="005A4F1E">
        <w:t>ere</w:t>
      </w:r>
      <w:r w:rsidR="00AA4317" w:rsidRPr="005A4F1E">
        <w:t xml:space="preserve"> developed based on training records for the 2012 commencing cohort</w:t>
      </w:r>
      <w:r w:rsidR="003555C1" w:rsidRPr="005A4F1E">
        <w:t xml:space="preserve"> only</w:t>
      </w:r>
      <w:r w:rsidR="00AA4317" w:rsidRPr="005A4F1E">
        <w:t>. Th</w:t>
      </w:r>
      <w:r w:rsidR="003555C1" w:rsidRPr="005A4F1E">
        <w:t>ese</w:t>
      </w:r>
      <w:r w:rsidR="00AA4317" w:rsidRPr="005A4F1E">
        <w:t xml:space="preserve"> model</w:t>
      </w:r>
      <w:r w:rsidR="003555C1" w:rsidRPr="005A4F1E">
        <w:t>s</w:t>
      </w:r>
      <w:r w:rsidR="00AA4317" w:rsidRPr="005A4F1E">
        <w:t xml:space="preserve"> w</w:t>
      </w:r>
      <w:r w:rsidR="003555C1" w:rsidRPr="005A4F1E">
        <w:t>ere</w:t>
      </w:r>
      <w:r w:rsidR="00AA4317" w:rsidRPr="005A4F1E">
        <w:t xml:space="preserve"> then applied to the commencing records for the trade and non-trade cohorts commencing in 2013</w:t>
      </w:r>
      <w:r w:rsidR="003555C1" w:rsidRPr="005A4F1E">
        <w:t xml:space="preserve">, </w:t>
      </w:r>
      <w:r w:rsidR="00AA4317" w:rsidRPr="005A4F1E">
        <w:t>2014 and 2015.</w:t>
      </w:r>
      <w:r w:rsidR="003555C1" w:rsidRPr="005A4F1E">
        <w:t xml:space="preserve"> The projection developed for the 2015 commencing cohort, based on the 2012 reference cohort, gives a preliminary indication of the robustness of historical data in predicting contract completions.</w:t>
      </w:r>
    </w:p>
    <w:p w14:paraId="57FE581F" w14:textId="3CB0C99F" w:rsidR="002A5640" w:rsidRDefault="002A5640" w:rsidP="002A5640">
      <w:pPr>
        <w:pStyle w:val="Text"/>
      </w:pPr>
      <w:r>
        <w:t>The data sources used to calculate projected completion rates for annual cohorts commencing in 2013, 2014 and 2015 using the machine learning methodology are provided in table B3.</w:t>
      </w:r>
    </w:p>
    <w:p w14:paraId="51EAE96D" w14:textId="0A57BB21" w:rsidR="002A5640" w:rsidRPr="00D47F93" w:rsidRDefault="002A5640" w:rsidP="002A5640">
      <w:pPr>
        <w:pStyle w:val="Tabletitle"/>
      </w:pPr>
      <w:bookmarkStart w:id="75" w:name="_Toc75437734"/>
      <w:r w:rsidRPr="00D47F93">
        <w:t xml:space="preserve">Table </w:t>
      </w:r>
      <w:r>
        <w:t>B3</w:t>
      </w:r>
      <w:r w:rsidRPr="00D47F93">
        <w:tab/>
      </w:r>
      <w:r>
        <w:t xml:space="preserve">Data sources: </w:t>
      </w:r>
      <w:r w:rsidR="00BD765D">
        <w:t>m</w:t>
      </w:r>
      <w:r>
        <w:t>achine learning</w:t>
      </w:r>
      <w:bookmarkEnd w:id="75"/>
    </w:p>
    <w:tbl>
      <w:tblPr>
        <w:tblW w:w="9072" w:type="dxa"/>
        <w:tblBorders>
          <w:top w:val="single" w:sz="4" w:space="0" w:color="auto"/>
          <w:bottom w:val="single" w:sz="4" w:space="0" w:color="auto"/>
        </w:tblBorders>
        <w:tblLook w:val="0000" w:firstRow="0" w:lastRow="0" w:firstColumn="0" w:lastColumn="0" w:noHBand="0" w:noVBand="0"/>
      </w:tblPr>
      <w:tblGrid>
        <w:gridCol w:w="1560"/>
        <w:gridCol w:w="3118"/>
        <w:gridCol w:w="4394"/>
      </w:tblGrid>
      <w:tr w:rsidR="006F5A58" w:rsidRPr="00D47F93" w14:paraId="45B815A3" w14:textId="2138CF4C" w:rsidTr="006F5A58">
        <w:trPr>
          <w:cantSplit/>
          <w:trHeight w:val="272"/>
        </w:trPr>
        <w:tc>
          <w:tcPr>
            <w:tcW w:w="1560" w:type="dxa"/>
            <w:tcBorders>
              <w:top w:val="single" w:sz="4" w:space="0" w:color="auto"/>
              <w:bottom w:val="single" w:sz="4" w:space="0" w:color="auto"/>
              <w:right w:val="nil"/>
            </w:tcBorders>
          </w:tcPr>
          <w:p w14:paraId="3C09CD05" w14:textId="77777777" w:rsidR="006F5A58" w:rsidRDefault="006F5A58" w:rsidP="00FB52EF">
            <w:pPr>
              <w:pStyle w:val="Tabletext"/>
              <w:jc w:val="both"/>
            </w:pPr>
            <w:r>
              <w:rPr>
                <w:b/>
                <w:bCs/>
              </w:rPr>
              <w:t>Projection cohort</w:t>
            </w:r>
          </w:p>
        </w:tc>
        <w:tc>
          <w:tcPr>
            <w:tcW w:w="3118" w:type="dxa"/>
            <w:tcBorders>
              <w:top w:val="single" w:sz="4" w:space="0" w:color="auto"/>
              <w:left w:val="nil"/>
              <w:bottom w:val="single" w:sz="4" w:space="0" w:color="auto"/>
              <w:right w:val="nil"/>
            </w:tcBorders>
          </w:tcPr>
          <w:p w14:paraId="5F0B0B29" w14:textId="77777777" w:rsidR="006F5A58" w:rsidRPr="00DC1124" w:rsidRDefault="006F5A58" w:rsidP="00FB52EF">
            <w:pPr>
              <w:pStyle w:val="Tabletext"/>
              <w:tabs>
                <w:tab w:val="decimal" w:pos="559"/>
              </w:tabs>
              <w:rPr>
                <w:b/>
                <w:bCs/>
              </w:rPr>
            </w:pPr>
            <w:r>
              <w:rPr>
                <w:b/>
                <w:bCs/>
              </w:rPr>
              <w:t>Source collection</w:t>
            </w:r>
          </w:p>
        </w:tc>
        <w:tc>
          <w:tcPr>
            <w:tcW w:w="4394" w:type="dxa"/>
            <w:tcBorders>
              <w:top w:val="single" w:sz="4" w:space="0" w:color="auto"/>
              <w:left w:val="nil"/>
              <w:bottom w:val="single" w:sz="4" w:space="0" w:color="auto"/>
              <w:right w:val="nil"/>
            </w:tcBorders>
          </w:tcPr>
          <w:p w14:paraId="5290146D" w14:textId="4E9CD4C2" w:rsidR="006F5A58" w:rsidRDefault="006F5A58" w:rsidP="00FB52EF">
            <w:pPr>
              <w:pStyle w:val="Tabletext"/>
              <w:tabs>
                <w:tab w:val="decimal" w:pos="559"/>
              </w:tabs>
              <w:rPr>
                <w:b/>
                <w:bCs/>
              </w:rPr>
            </w:pPr>
            <w:r>
              <w:rPr>
                <w:b/>
                <w:bCs/>
              </w:rPr>
              <w:t>Reference cohort</w:t>
            </w:r>
          </w:p>
        </w:tc>
      </w:tr>
      <w:tr w:rsidR="006F5A58" w:rsidRPr="00D47F93" w14:paraId="7F0C00F3" w14:textId="026AC8D5" w:rsidTr="006F5A58">
        <w:trPr>
          <w:cantSplit/>
          <w:trHeight w:val="272"/>
        </w:trPr>
        <w:tc>
          <w:tcPr>
            <w:tcW w:w="1560" w:type="dxa"/>
            <w:tcBorders>
              <w:top w:val="nil"/>
              <w:bottom w:val="nil"/>
              <w:right w:val="nil"/>
            </w:tcBorders>
          </w:tcPr>
          <w:p w14:paraId="4222DDB7" w14:textId="77777777" w:rsidR="006F5A58" w:rsidRPr="00D47F93" w:rsidRDefault="006F5A58" w:rsidP="00FB52EF">
            <w:pPr>
              <w:pStyle w:val="Tabletext"/>
              <w:jc w:val="both"/>
            </w:pPr>
            <w:r>
              <w:t>2013</w:t>
            </w:r>
          </w:p>
        </w:tc>
        <w:tc>
          <w:tcPr>
            <w:tcW w:w="3118" w:type="dxa"/>
            <w:tcBorders>
              <w:top w:val="nil"/>
              <w:left w:val="nil"/>
              <w:bottom w:val="nil"/>
              <w:right w:val="nil"/>
            </w:tcBorders>
          </w:tcPr>
          <w:p w14:paraId="4EA0849B" w14:textId="26D5203E" w:rsidR="006F5A58" w:rsidRPr="00C942C2" w:rsidRDefault="006F5A58" w:rsidP="00FB52EF">
            <w:pPr>
              <w:pStyle w:val="Tabletext"/>
              <w:tabs>
                <w:tab w:val="decimal" w:pos="559"/>
              </w:tabs>
            </w:pPr>
            <w:r>
              <w:t>Collection 95 (March 2018 estimates)</w:t>
            </w:r>
          </w:p>
        </w:tc>
        <w:tc>
          <w:tcPr>
            <w:tcW w:w="4394" w:type="dxa"/>
            <w:tcBorders>
              <w:top w:val="nil"/>
              <w:left w:val="nil"/>
              <w:bottom w:val="nil"/>
              <w:right w:val="nil"/>
            </w:tcBorders>
          </w:tcPr>
          <w:p w14:paraId="6B04F9C9" w14:textId="1E764D67" w:rsidR="006F5A58" w:rsidRDefault="006F5A58" w:rsidP="00FB52EF">
            <w:pPr>
              <w:pStyle w:val="Tabletext"/>
              <w:tabs>
                <w:tab w:val="decimal" w:pos="559"/>
              </w:tabs>
            </w:pPr>
            <w:r>
              <w:t>Contracts that commenced in 2012</w:t>
            </w:r>
          </w:p>
        </w:tc>
      </w:tr>
      <w:tr w:rsidR="006F5A58" w:rsidRPr="00D47F93" w14:paraId="7A80C09D" w14:textId="0FDFB402" w:rsidTr="006F5A58">
        <w:trPr>
          <w:cantSplit/>
          <w:trHeight w:val="272"/>
        </w:trPr>
        <w:tc>
          <w:tcPr>
            <w:tcW w:w="1560" w:type="dxa"/>
            <w:tcBorders>
              <w:top w:val="nil"/>
              <w:bottom w:val="nil"/>
              <w:right w:val="nil"/>
            </w:tcBorders>
          </w:tcPr>
          <w:p w14:paraId="0A8D77E5" w14:textId="77777777" w:rsidR="006F5A58" w:rsidRDefault="006F5A58" w:rsidP="00FB52EF">
            <w:pPr>
              <w:pStyle w:val="Tabletext"/>
              <w:jc w:val="both"/>
            </w:pPr>
            <w:r>
              <w:t>2014</w:t>
            </w:r>
          </w:p>
        </w:tc>
        <w:tc>
          <w:tcPr>
            <w:tcW w:w="3118" w:type="dxa"/>
            <w:tcBorders>
              <w:top w:val="nil"/>
              <w:left w:val="nil"/>
              <w:bottom w:val="nil"/>
              <w:right w:val="nil"/>
            </w:tcBorders>
          </w:tcPr>
          <w:p w14:paraId="703D4B5A" w14:textId="6F578DC5" w:rsidR="006F5A58" w:rsidRPr="00C942C2" w:rsidRDefault="006F5A58" w:rsidP="00FB52EF">
            <w:pPr>
              <w:pStyle w:val="Tabletext"/>
              <w:tabs>
                <w:tab w:val="decimal" w:pos="559"/>
              </w:tabs>
            </w:pPr>
            <w:r>
              <w:t>Collection 95 (March 2018 estimates)</w:t>
            </w:r>
          </w:p>
        </w:tc>
        <w:tc>
          <w:tcPr>
            <w:tcW w:w="4394" w:type="dxa"/>
            <w:tcBorders>
              <w:top w:val="nil"/>
              <w:left w:val="nil"/>
              <w:bottom w:val="nil"/>
              <w:right w:val="nil"/>
            </w:tcBorders>
          </w:tcPr>
          <w:p w14:paraId="5502DAE8" w14:textId="023D486E" w:rsidR="006F5A58" w:rsidRDefault="006F5A58" w:rsidP="00FB52EF">
            <w:pPr>
              <w:pStyle w:val="Tabletext"/>
              <w:tabs>
                <w:tab w:val="decimal" w:pos="559"/>
              </w:tabs>
            </w:pPr>
            <w:r>
              <w:t>Contracts that commenced in 2012</w:t>
            </w:r>
          </w:p>
        </w:tc>
      </w:tr>
      <w:tr w:rsidR="006F5A58" w:rsidRPr="00D47F93" w14:paraId="20660785" w14:textId="491EFC00" w:rsidTr="006F5A58">
        <w:trPr>
          <w:cantSplit/>
          <w:trHeight w:val="272"/>
        </w:trPr>
        <w:tc>
          <w:tcPr>
            <w:tcW w:w="1560" w:type="dxa"/>
            <w:tcBorders>
              <w:top w:val="nil"/>
              <w:bottom w:val="single" w:sz="4" w:space="0" w:color="auto"/>
              <w:right w:val="nil"/>
            </w:tcBorders>
          </w:tcPr>
          <w:p w14:paraId="386A503B" w14:textId="77777777" w:rsidR="006F5A58" w:rsidRPr="00D47F93" w:rsidRDefault="006F5A58" w:rsidP="00FB52EF">
            <w:pPr>
              <w:pStyle w:val="Tabletext"/>
              <w:jc w:val="both"/>
            </w:pPr>
            <w:r>
              <w:t>2015</w:t>
            </w:r>
          </w:p>
        </w:tc>
        <w:tc>
          <w:tcPr>
            <w:tcW w:w="3118" w:type="dxa"/>
            <w:tcBorders>
              <w:top w:val="nil"/>
              <w:left w:val="nil"/>
              <w:bottom w:val="single" w:sz="4" w:space="0" w:color="auto"/>
              <w:right w:val="nil"/>
            </w:tcBorders>
          </w:tcPr>
          <w:p w14:paraId="6194B163" w14:textId="067FD360" w:rsidR="006F5A58" w:rsidRPr="00C942C2" w:rsidRDefault="006F5A58" w:rsidP="00FB52EF">
            <w:pPr>
              <w:pStyle w:val="Tabletext"/>
              <w:tabs>
                <w:tab w:val="decimal" w:pos="559"/>
              </w:tabs>
            </w:pPr>
            <w:r>
              <w:t>Collection 95 (March 2018 estimates)</w:t>
            </w:r>
          </w:p>
        </w:tc>
        <w:tc>
          <w:tcPr>
            <w:tcW w:w="4394" w:type="dxa"/>
            <w:tcBorders>
              <w:top w:val="nil"/>
              <w:left w:val="nil"/>
              <w:bottom w:val="single" w:sz="4" w:space="0" w:color="auto"/>
              <w:right w:val="nil"/>
            </w:tcBorders>
          </w:tcPr>
          <w:p w14:paraId="112B76F5" w14:textId="14737B0C" w:rsidR="006F5A58" w:rsidRDefault="006F5A58" w:rsidP="00FB52EF">
            <w:pPr>
              <w:pStyle w:val="Tabletext"/>
              <w:tabs>
                <w:tab w:val="decimal" w:pos="559"/>
              </w:tabs>
            </w:pPr>
            <w:r>
              <w:t>Contracts that commenced in 2012</w:t>
            </w:r>
          </w:p>
        </w:tc>
      </w:tr>
    </w:tbl>
    <w:p w14:paraId="053B4A05" w14:textId="719AEB4B" w:rsidR="002A5640" w:rsidRDefault="002A5640" w:rsidP="002A5640">
      <w:pPr>
        <w:pStyle w:val="Source"/>
        <w:ind w:left="0" w:firstLine="0"/>
      </w:pPr>
      <w:r>
        <w:t xml:space="preserve">Note: The data source used for the machine learning modelling </w:t>
      </w:r>
      <w:r w:rsidR="006D5629">
        <w:t>is a single</w:t>
      </w:r>
      <w:r w:rsidR="0053494A">
        <w:t>, later</w:t>
      </w:r>
      <w:r w:rsidR="006D5629">
        <w:t xml:space="preserve"> collection</w:t>
      </w:r>
      <w:r w:rsidR="00D7104F">
        <w:t xml:space="preserve"> </w:t>
      </w:r>
      <w:r w:rsidR="006D5629">
        <w:t>than those used for the life tables and Markov chains approaches</w:t>
      </w:r>
      <w:r>
        <w:t>.</w:t>
      </w:r>
      <w:r w:rsidR="006D5629">
        <w:t xml:space="preserve"> However, only data on contracts that commenced in 2012 (including contract outcomes) were used from the March 2018 estimates to develop the machine learning model.</w:t>
      </w:r>
    </w:p>
    <w:p w14:paraId="2F1B7EBA" w14:textId="0221A2CB" w:rsidR="00133F01" w:rsidRPr="00133F01" w:rsidRDefault="00133F01" w:rsidP="00133F01">
      <w:pPr>
        <w:pStyle w:val="Text"/>
        <w:sectPr w:rsidR="00133F01" w:rsidRPr="00133F01" w:rsidSect="00377627">
          <w:headerReference w:type="default" r:id="rId52"/>
          <w:pgSz w:w="11907" w:h="16840" w:code="9"/>
          <w:pgMar w:top="1276" w:right="1418" w:bottom="992" w:left="1418" w:header="709" w:footer="556" w:gutter="0"/>
          <w:cols w:space="708"/>
          <w:docGrid w:linePitch="360"/>
        </w:sectPr>
      </w:pPr>
    </w:p>
    <w:p w14:paraId="3BC3F345" w14:textId="1DBF0DC8" w:rsidR="00606061" w:rsidRPr="009F3844" w:rsidRDefault="00BE721F" w:rsidP="00A93A9F">
      <w:pPr>
        <w:spacing w:before="0" w:line="240" w:lineRule="auto"/>
        <w:rPr>
          <w:noProof/>
        </w:rPr>
      </w:pPr>
      <w:r w:rsidRPr="009F3844">
        <w:rPr>
          <w:noProof/>
          <w:lang w:eastAsia="en-AU"/>
        </w:rPr>
        <w:lastRenderedPageBreak/>
        <w:drawing>
          <wp:anchor distT="0" distB="0" distL="114300" distR="114300" simplePos="0" relativeHeight="251897856" behindDoc="0" locked="0" layoutInCell="1" allowOverlap="1" wp14:anchorId="629A5718" wp14:editId="4AC5CE6C">
            <wp:simplePos x="0" y="0"/>
            <wp:positionH relativeFrom="column">
              <wp:posOffset>-291465</wp:posOffset>
            </wp:positionH>
            <wp:positionV relativeFrom="paragraph">
              <wp:posOffset>7042785</wp:posOffset>
            </wp:positionV>
            <wp:extent cx="2276475" cy="486410"/>
            <wp:effectExtent l="0" t="0" r="9525" b="8890"/>
            <wp:wrapNone/>
            <wp:docPr id="55" name="Picture 55" descr="P:\PublicationComponents\logos\NCVER LOGOS\WMF - word\No lines\NCVER_Floating_Blue.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PublicationComponents\logos\NCVER LOGOS\WMF - word\No lines\NCVER_Floating_Blue.wmf"/>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276475" cy="4864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AU"/>
        </w:rPr>
        <mc:AlternateContent>
          <mc:Choice Requires="wpg">
            <w:drawing>
              <wp:anchor distT="0" distB="0" distL="114300" distR="114300" simplePos="0" relativeHeight="251905024" behindDoc="0" locked="0" layoutInCell="1" allowOverlap="1" wp14:anchorId="09479A42" wp14:editId="28511CAD">
                <wp:simplePos x="0" y="0"/>
                <wp:positionH relativeFrom="column">
                  <wp:posOffset>-392430</wp:posOffset>
                </wp:positionH>
                <wp:positionV relativeFrom="paragraph">
                  <wp:posOffset>7743190</wp:posOffset>
                </wp:positionV>
                <wp:extent cx="5143500" cy="1638300"/>
                <wp:effectExtent l="0" t="0" r="0" b="0"/>
                <wp:wrapNone/>
                <wp:docPr id="6" name="Group 6"/>
                <wp:cNvGraphicFramePr/>
                <a:graphic xmlns:a="http://schemas.openxmlformats.org/drawingml/2006/main">
                  <a:graphicData uri="http://schemas.microsoft.com/office/word/2010/wordprocessingGroup">
                    <wpg:wgp>
                      <wpg:cNvGrpSpPr/>
                      <wpg:grpSpPr>
                        <a:xfrm>
                          <a:off x="0" y="0"/>
                          <a:ext cx="5143500" cy="1638300"/>
                          <a:chOff x="0" y="0"/>
                          <a:chExt cx="5143500" cy="1638300"/>
                        </a:xfrm>
                      </wpg:grpSpPr>
                      <wps:wsp>
                        <wps:cNvPr id="21" name="Text Box 21"/>
                        <wps:cNvSpPr txBox="1"/>
                        <wps:spPr>
                          <a:xfrm>
                            <a:off x="0" y="0"/>
                            <a:ext cx="5143500" cy="1638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B2189F4" w14:textId="77777777" w:rsidR="00FB52EF" w:rsidRPr="006E0B9E" w:rsidRDefault="00FB52EF" w:rsidP="00AB14A9">
                              <w:pPr>
                                <w:rPr>
                                  <w:rFonts w:ascii="Arial" w:hAnsi="Arial" w:cs="Arial"/>
                                  <w:b/>
                                </w:rPr>
                              </w:pPr>
                              <w:r w:rsidRPr="006E0B9E">
                                <w:rPr>
                                  <w:rFonts w:ascii="Arial" w:hAnsi="Arial" w:cs="Arial"/>
                                  <w:b/>
                                </w:rPr>
                                <w:t>National Centre for Vocational Education Research</w:t>
                              </w:r>
                            </w:p>
                            <w:p w14:paraId="50B6504C" w14:textId="77777777" w:rsidR="00FB52EF" w:rsidRPr="006E0B9E" w:rsidRDefault="00FB52EF" w:rsidP="00AB14A9">
                              <w:pPr>
                                <w:pStyle w:val="Imprint"/>
                                <w:spacing w:before="80"/>
                                <w:rPr>
                                  <w:rFonts w:ascii="Arial" w:hAnsi="Arial" w:cs="Arial"/>
                                  <w:color w:val="000000"/>
                                </w:rPr>
                              </w:pPr>
                              <w:r w:rsidRPr="006E0B9E">
                                <w:rPr>
                                  <w:rFonts w:ascii="Arial" w:hAnsi="Arial" w:cs="Arial"/>
                                  <w:color w:val="000000"/>
                                </w:rPr>
                                <w:t xml:space="preserve">Level </w:t>
                              </w:r>
                              <w:r>
                                <w:rPr>
                                  <w:rFonts w:ascii="Arial" w:hAnsi="Arial" w:cs="Arial"/>
                                  <w:color w:val="000000"/>
                                </w:rPr>
                                <w:t>5, 60 Light Square</w:t>
                              </w:r>
                              <w:r w:rsidRPr="006E0B9E">
                                <w:rPr>
                                  <w:rFonts w:ascii="Arial" w:hAnsi="Arial" w:cs="Arial"/>
                                  <w:color w:val="000000"/>
                                </w:rPr>
                                <w:t>, Adelaide, SA 5000</w:t>
                              </w:r>
                              <w:r w:rsidRPr="006E0B9E">
                                <w:rPr>
                                  <w:rFonts w:ascii="Arial" w:hAnsi="Arial" w:cs="Arial"/>
                                  <w:color w:val="000000"/>
                                </w:rPr>
                                <w:br/>
                                <w:t>PO Box 8288 Station Arcade, Adelaide SA 5000, Australia</w:t>
                              </w:r>
                            </w:p>
                            <w:p w14:paraId="7D335AC8" w14:textId="77777777" w:rsidR="00FB52EF" w:rsidRPr="006E0B9E" w:rsidRDefault="00FB52EF" w:rsidP="00AB14A9">
                              <w:pPr>
                                <w:pStyle w:val="Imprint"/>
                                <w:tabs>
                                  <w:tab w:val="left" w:pos="3402"/>
                                </w:tabs>
                                <w:rPr>
                                  <w:rFonts w:ascii="Arial" w:hAnsi="Arial" w:cs="Arial"/>
                                </w:rPr>
                              </w:pPr>
                              <w:r w:rsidRPr="006E0B9E">
                                <w:rPr>
                                  <w:rFonts w:ascii="Arial" w:hAnsi="Arial" w:cs="Arial"/>
                                  <w:b/>
                                </w:rPr>
                                <w:t>Phone</w:t>
                              </w:r>
                              <w:r w:rsidRPr="006E0B9E">
                                <w:rPr>
                                  <w:rFonts w:ascii="Arial" w:hAnsi="Arial" w:cs="Arial"/>
                                </w:rPr>
                                <w:t xml:space="preserve"> +61 8 8230 8400  </w:t>
                              </w:r>
                              <w:r w:rsidRPr="006E0B9E">
                                <w:rPr>
                                  <w:rFonts w:ascii="Arial" w:hAnsi="Arial" w:cs="Arial"/>
                                  <w:b/>
                                </w:rPr>
                                <w:t>Email</w:t>
                              </w:r>
                              <w:r w:rsidRPr="006E0B9E">
                                <w:rPr>
                                  <w:rFonts w:ascii="Arial" w:hAnsi="Arial" w:cs="Arial"/>
                                </w:rPr>
                                <w:t xml:space="preserve"> </w:t>
                              </w:r>
                              <w:hyperlink r:id="rId54" w:history="1">
                                <w:r w:rsidRPr="006C271D">
                                  <w:rPr>
                                    <w:rStyle w:val="Hyperlink"/>
                                    <w:rFonts w:ascii="Arial" w:hAnsi="Arial" w:cs="Arial"/>
                                    <w:sz w:val="16"/>
                                    <w:szCs w:val="16"/>
                                  </w:rPr>
                                  <w:t>ncver@ncver.edu.au</w:t>
                                </w:r>
                              </w:hyperlink>
                              <w:r w:rsidRPr="006C271D">
                                <w:rPr>
                                  <w:rFonts w:ascii="Arial" w:hAnsi="Arial" w:cs="Arial"/>
                                  <w:szCs w:val="16"/>
                                </w:rPr>
                                <w:t xml:space="preserve">  </w:t>
                              </w:r>
                              <w:r>
                                <w:rPr>
                                  <w:rFonts w:ascii="Arial" w:hAnsi="Arial" w:cs="Arial"/>
                                  <w:szCs w:val="16"/>
                                </w:rPr>
                                <w:br/>
                              </w:r>
                              <w:r w:rsidRPr="006C271D">
                                <w:rPr>
                                  <w:rFonts w:ascii="Arial" w:hAnsi="Arial" w:cs="Arial"/>
                                  <w:b/>
                                  <w:szCs w:val="16"/>
                                </w:rPr>
                                <w:t>Web</w:t>
                              </w:r>
                              <w:r w:rsidRPr="006C271D">
                                <w:rPr>
                                  <w:rFonts w:ascii="Arial" w:hAnsi="Arial" w:cs="Arial"/>
                                  <w:szCs w:val="16"/>
                                </w:rPr>
                                <w:t xml:space="preserve"> &lt;http</w:t>
                              </w:r>
                              <w:r>
                                <w:rPr>
                                  <w:rFonts w:ascii="Arial" w:hAnsi="Arial" w:cs="Arial"/>
                                  <w:szCs w:val="16"/>
                                </w:rPr>
                                <w:t>s</w:t>
                              </w:r>
                              <w:r w:rsidRPr="006C271D">
                                <w:rPr>
                                  <w:rFonts w:ascii="Arial" w:hAnsi="Arial" w:cs="Arial"/>
                                  <w:szCs w:val="16"/>
                                </w:rPr>
                                <w:t>://www.ncver.edu.au&gt;  &lt;</w:t>
                              </w:r>
                              <w:hyperlink r:id="rId55" w:history="1">
                                <w:r w:rsidRPr="006300D6">
                                  <w:rPr>
                                    <w:rStyle w:val="Hyperlink"/>
                                    <w:rFonts w:ascii="Arial" w:hAnsi="Arial" w:cs="Arial"/>
                                    <w:sz w:val="16"/>
                                    <w:szCs w:val="16"/>
                                  </w:rPr>
                                  <w:t>https://www.lsay.edu.au</w:t>
                                </w:r>
                              </w:hyperlink>
                              <w:r w:rsidRPr="006C271D">
                                <w:rPr>
                                  <w:rFonts w:ascii="Arial" w:hAnsi="Arial" w:cs="Arial"/>
                                  <w:szCs w:val="16"/>
                                </w:rPr>
                                <w:t>&gt;</w:t>
                              </w:r>
                            </w:p>
                            <w:p w14:paraId="362EAF6E" w14:textId="77777777" w:rsidR="00FB52EF" w:rsidRPr="006E0B9E" w:rsidRDefault="00FB52EF" w:rsidP="00AB14A9">
                              <w:pPr>
                                <w:pStyle w:val="Imprint"/>
                                <w:tabs>
                                  <w:tab w:val="left" w:pos="993"/>
                                  <w:tab w:val="left" w:pos="3686"/>
                                </w:tabs>
                                <w:spacing w:before="0"/>
                                <w:rPr>
                                  <w:rFonts w:ascii="Arial" w:hAnsi="Arial" w:cs="Arial"/>
                                </w:rPr>
                              </w:pPr>
                              <w:r w:rsidRPr="006E0B9E">
                                <w:rPr>
                                  <w:rFonts w:ascii="Arial" w:hAnsi="Arial" w:cs="Arial"/>
                                  <w:b/>
                                </w:rPr>
                                <w:t>Follow us:</w:t>
                              </w:r>
                              <w:r w:rsidRPr="006E0B9E">
                                <w:rPr>
                                  <w:rFonts w:ascii="Arial" w:hAnsi="Arial" w:cs="Arial"/>
                                </w:rPr>
                                <w:t xml:space="preserve"> </w:t>
                              </w:r>
                              <w:r>
                                <w:rPr>
                                  <w:rFonts w:ascii="Arial" w:hAnsi="Arial" w:cs="Arial"/>
                                </w:rPr>
                                <w:t xml:space="preserve">      </w:t>
                              </w:r>
                              <w:r w:rsidRPr="006E0B9E">
                                <w:rPr>
                                  <w:rFonts w:ascii="Arial" w:hAnsi="Arial" w:cs="Arial"/>
                                </w:rPr>
                                <w:t xml:space="preserve"> </w:t>
                              </w:r>
                              <w:r w:rsidRPr="006C271D">
                                <w:rPr>
                                  <w:rFonts w:ascii="Arial" w:hAnsi="Arial" w:cs="Arial"/>
                                  <w:szCs w:val="16"/>
                                </w:rPr>
                                <w:t>&lt;</w:t>
                              </w:r>
                              <w:hyperlink r:id="rId56" w:history="1">
                                <w:r w:rsidRPr="00642958">
                                  <w:rPr>
                                    <w:rStyle w:val="Hyperlink"/>
                                    <w:rFonts w:ascii="Arial" w:hAnsi="Arial" w:cs="Arial"/>
                                    <w:sz w:val="16"/>
                                    <w:szCs w:val="16"/>
                                  </w:rPr>
                                  <w:t>https://twitter.com/ncver</w:t>
                                </w:r>
                              </w:hyperlink>
                              <w:r w:rsidRPr="006C271D">
                                <w:rPr>
                                  <w:rFonts w:ascii="Arial" w:hAnsi="Arial" w:cs="Arial"/>
                                  <w:szCs w:val="16"/>
                                </w:rPr>
                                <w:t xml:space="preserve">&gt;         </w:t>
                              </w:r>
                              <w:r w:rsidRPr="006E0B9E">
                                <w:rPr>
                                  <w:rFonts w:ascii="Arial" w:hAnsi="Arial" w:cs="Arial"/>
                                </w:rPr>
                                <w:t>&lt;http</w:t>
                              </w:r>
                              <w:r>
                                <w:rPr>
                                  <w:rFonts w:ascii="Arial" w:hAnsi="Arial" w:cs="Arial"/>
                                </w:rPr>
                                <w:t>s</w:t>
                              </w:r>
                              <w:r w:rsidRPr="006E0B9E">
                                <w:rPr>
                                  <w:rFonts w:ascii="Arial" w:hAnsi="Arial" w:cs="Arial"/>
                                </w:rPr>
                                <w:t>://www.linkedin.com/company/ncver&gt;</w:t>
                              </w:r>
                            </w:p>
                            <w:p w14:paraId="380CE3B5" w14:textId="77777777" w:rsidR="00FB52EF" w:rsidRPr="009F3844" w:rsidRDefault="00FB52EF" w:rsidP="009F3844">
                              <w:pPr>
                                <w:rPr>
                                  <w:rFonts w:ascii="Arial" w:hAnsi="Arial" w:cs="Arial"/>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59" name="Picture 1" descr="P:\PublicationComponents\logos\Social Media\Twitter_blackbox.png"/>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647700" y="1155700"/>
                            <a:ext cx="141605" cy="152400"/>
                          </a:xfrm>
                          <a:prstGeom prst="rect">
                            <a:avLst/>
                          </a:prstGeom>
                          <a:noFill/>
                          <a:ln w="9525">
                            <a:noFill/>
                            <a:miter lim="800000"/>
                            <a:headEnd/>
                            <a:tailEnd/>
                          </a:ln>
                        </pic:spPr>
                      </pic:pic>
                      <pic:pic xmlns:pic="http://schemas.openxmlformats.org/drawingml/2006/picture">
                        <pic:nvPicPr>
                          <pic:cNvPr id="60" name="Picture 60" descr="P:\PublicationComponents\logos\Social Media\InBug-16px_0.png"/>
                          <pic:cNvPicPr>
                            <a:picLocks noChangeAspect="1"/>
                          </pic:cNvPicPr>
                        </pic:nvPicPr>
                        <pic:blipFill>
                          <a:blip r:embed="rId14" cstate="print">
                            <a:biLevel thresh="50000"/>
                            <a:extLst>
                              <a:ext uri="{28A0092B-C50C-407E-A947-70E740481C1C}">
                                <a14:useLocalDpi xmlns:a14="http://schemas.microsoft.com/office/drawing/2010/main" val="0"/>
                              </a:ext>
                            </a:extLst>
                          </a:blip>
                          <a:srcRect/>
                          <a:stretch>
                            <a:fillRect/>
                          </a:stretch>
                        </pic:blipFill>
                        <pic:spPr bwMode="auto">
                          <a:xfrm>
                            <a:off x="2089150" y="1155700"/>
                            <a:ext cx="139065" cy="152400"/>
                          </a:xfrm>
                          <a:prstGeom prst="rect">
                            <a:avLst/>
                          </a:prstGeom>
                          <a:noFill/>
                          <a:ln w="9525">
                            <a:noFill/>
                            <a:miter lim="800000"/>
                            <a:headEnd/>
                            <a:tailEnd/>
                          </a:ln>
                        </pic:spPr>
                      </pic:pic>
                    </wpg:wgp>
                  </a:graphicData>
                </a:graphic>
              </wp:anchor>
            </w:drawing>
          </mc:Choice>
          <mc:Fallback>
            <w:pict>
              <v:group w14:anchorId="09479A42" id="Group 6" o:spid="_x0000_s1029" style="position:absolute;margin-left:-30.9pt;margin-top:609.7pt;width:405pt;height:129pt;z-index:251905024" coordsize="51435,163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">
                <v:shape id="Text Box 21" o:spid="_x0000_s1030" type="#_x0000_t202" style="position:absolute;width:51435;height:16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" filled="f" stroked="f" strokeweight=".5pt">
                  <v:textbox>
                    <w:txbxContent>
                      <w:p w14:paraId="7B2189F4" w14:textId="77777777" w:rsidR="00FB52EF" w:rsidRPr="006E0B9E" w:rsidRDefault="00FB52EF" w:rsidP="00AB14A9">
                        <w:pPr>
                          <w:rPr>
                            <w:rFonts w:ascii="Arial" w:hAnsi="Arial" w:cs="Arial"/>
                            <w:b/>
                          </w:rPr>
                        </w:pPr>
                        <w:r w:rsidRPr="006E0B9E">
                          <w:rPr>
                            <w:rFonts w:ascii="Arial" w:hAnsi="Arial" w:cs="Arial"/>
                            <w:b/>
                          </w:rPr>
                          <w:t>National Centre for Vocational Education Research</w:t>
                        </w:r>
                      </w:p>
                      <w:p w14:paraId="50B6504C" w14:textId="77777777" w:rsidR="00FB52EF" w:rsidRPr="006E0B9E" w:rsidRDefault="00FB52EF" w:rsidP="00AB14A9">
                        <w:pPr>
                          <w:pStyle w:val="Imprint"/>
                          <w:spacing w:before="80"/>
                          <w:rPr>
                            <w:rFonts w:ascii="Arial" w:hAnsi="Arial" w:cs="Arial"/>
                            <w:color w:val="000000"/>
                          </w:rPr>
                        </w:pPr>
                        <w:r w:rsidRPr="006E0B9E">
                          <w:rPr>
                            <w:rFonts w:ascii="Arial" w:hAnsi="Arial" w:cs="Arial"/>
                            <w:color w:val="000000"/>
                          </w:rPr>
                          <w:t xml:space="preserve">Level </w:t>
                        </w:r>
                        <w:r>
                          <w:rPr>
                            <w:rFonts w:ascii="Arial" w:hAnsi="Arial" w:cs="Arial"/>
                            <w:color w:val="000000"/>
                          </w:rPr>
                          <w:t>5, 60 Light Square</w:t>
                        </w:r>
                        <w:r w:rsidRPr="006E0B9E">
                          <w:rPr>
                            <w:rFonts w:ascii="Arial" w:hAnsi="Arial" w:cs="Arial"/>
                            <w:color w:val="000000"/>
                          </w:rPr>
                          <w:t>, Adelaide, SA 5000</w:t>
                        </w:r>
                        <w:r w:rsidRPr="006E0B9E">
                          <w:rPr>
                            <w:rFonts w:ascii="Arial" w:hAnsi="Arial" w:cs="Arial"/>
                            <w:color w:val="000000"/>
                          </w:rPr>
                          <w:br/>
                          <w:t>PO Box 8288 Station Arcade, Adelaide SA 5000, Australia</w:t>
                        </w:r>
                      </w:p>
                      <w:p w14:paraId="7D335AC8" w14:textId="77777777" w:rsidR="00FB52EF" w:rsidRPr="006E0B9E" w:rsidRDefault="00FB52EF" w:rsidP="00AB14A9">
                        <w:pPr>
                          <w:pStyle w:val="Imprint"/>
                          <w:tabs>
                            <w:tab w:val="left" w:pos="3402"/>
                          </w:tabs>
                          <w:rPr>
                            <w:rFonts w:ascii="Arial" w:hAnsi="Arial" w:cs="Arial"/>
                          </w:rPr>
                        </w:pPr>
                        <w:r w:rsidRPr="006E0B9E">
                          <w:rPr>
                            <w:rFonts w:ascii="Arial" w:hAnsi="Arial" w:cs="Arial"/>
                            <w:b/>
                          </w:rPr>
                          <w:t>Phone</w:t>
                        </w:r>
                        <w:r w:rsidRPr="006E0B9E">
                          <w:rPr>
                            <w:rFonts w:ascii="Arial" w:hAnsi="Arial" w:cs="Arial"/>
                          </w:rPr>
                          <w:t xml:space="preserve"> +61 8 8230 8400  </w:t>
                        </w:r>
                        <w:r w:rsidRPr="006E0B9E">
                          <w:rPr>
                            <w:rFonts w:ascii="Arial" w:hAnsi="Arial" w:cs="Arial"/>
                            <w:b/>
                          </w:rPr>
                          <w:t>Email</w:t>
                        </w:r>
                        <w:r w:rsidRPr="006E0B9E">
                          <w:rPr>
                            <w:rFonts w:ascii="Arial" w:hAnsi="Arial" w:cs="Arial"/>
                          </w:rPr>
                          <w:t xml:space="preserve"> </w:t>
                        </w:r>
                        <w:hyperlink r:id="rId57" w:history="1">
                          <w:r w:rsidRPr="006C271D">
                            <w:rPr>
                              <w:rStyle w:val="Hyperlink"/>
                              <w:rFonts w:ascii="Arial" w:hAnsi="Arial" w:cs="Arial"/>
                              <w:sz w:val="16"/>
                              <w:szCs w:val="16"/>
                            </w:rPr>
                            <w:t>ncver@ncver.edu.au</w:t>
                          </w:r>
                        </w:hyperlink>
                        <w:r w:rsidRPr="006C271D">
                          <w:rPr>
                            <w:rFonts w:ascii="Arial" w:hAnsi="Arial" w:cs="Arial"/>
                            <w:szCs w:val="16"/>
                          </w:rPr>
                          <w:t xml:space="preserve">  </w:t>
                        </w:r>
                        <w:r>
                          <w:rPr>
                            <w:rFonts w:ascii="Arial" w:hAnsi="Arial" w:cs="Arial"/>
                            <w:szCs w:val="16"/>
                          </w:rPr>
                          <w:br/>
                        </w:r>
                        <w:r w:rsidRPr="006C271D">
                          <w:rPr>
                            <w:rFonts w:ascii="Arial" w:hAnsi="Arial" w:cs="Arial"/>
                            <w:b/>
                            <w:szCs w:val="16"/>
                          </w:rPr>
                          <w:t>Web</w:t>
                        </w:r>
                        <w:r w:rsidRPr="006C271D">
                          <w:rPr>
                            <w:rFonts w:ascii="Arial" w:hAnsi="Arial" w:cs="Arial"/>
                            <w:szCs w:val="16"/>
                          </w:rPr>
                          <w:t xml:space="preserve"> &lt;http</w:t>
                        </w:r>
                        <w:r>
                          <w:rPr>
                            <w:rFonts w:ascii="Arial" w:hAnsi="Arial" w:cs="Arial"/>
                            <w:szCs w:val="16"/>
                          </w:rPr>
                          <w:t>s</w:t>
                        </w:r>
                        <w:r w:rsidRPr="006C271D">
                          <w:rPr>
                            <w:rFonts w:ascii="Arial" w:hAnsi="Arial" w:cs="Arial"/>
                            <w:szCs w:val="16"/>
                          </w:rPr>
                          <w:t>://www.ncver.edu.au&gt;  &lt;</w:t>
                        </w:r>
                        <w:hyperlink r:id="rId58" w:history="1">
                          <w:r w:rsidRPr="006300D6">
                            <w:rPr>
                              <w:rStyle w:val="Hyperlink"/>
                              <w:rFonts w:ascii="Arial" w:hAnsi="Arial" w:cs="Arial"/>
                              <w:sz w:val="16"/>
                              <w:szCs w:val="16"/>
                            </w:rPr>
                            <w:t>https://www.lsay.edu.au</w:t>
                          </w:r>
                        </w:hyperlink>
                        <w:r w:rsidRPr="006C271D">
                          <w:rPr>
                            <w:rFonts w:ascii="Arial" w:hAnsi="Arial" w:cs="Arial"/>
                            <w:szCs w:val="16"/>
                          </w:rPr>
                          <w:t>&gt;</w:t>
                        </w:r>
                      </w:p>
                      <w:p w14:paraId="362EAF6E" w14:textId="77777777" w:rsidR="00FB52EF" w:rsidRPr="006E0B9E" w:rsidRDefault="00FB52EF" w:rsidP="00AB14A9">
                        <w:pPr>
                          <w:pStyle w:val="Imprint"/>
                          <w:tabs>
                            <w:tab w:val="left" w:pos="993"/>
                            <w:tab w:val="left" w:pos="3686"/>
                          </w:tabs>
                          <w:spacing w:before="0"/>
                          <w:rPr>
                            <w:rFonts w:ascii="Arial" w:hAnsi="Arial" w:cs="Arial"/>
                          </w:rPr>
                        </w:pPr>
                        <w:r w:rsidRPr="006E0B9E">
                          <w:rPr>
                            <w:rFonts w:ascii="Arial" w:hAnsi="Arial" w:cs="Arial"/>
                            <w:b/>
                          </w:rPr>
                          <w:t>Follow us:</w:t>
                        </w:r>
                        <w:r w:rsidRPr="006E0B9E">
                          <w:rPr>
                            <w:rFonts w:ascii="Arial" w:hAnsi="Arial" w:cs="Arial"/>
                          </w:rPr>
                          <w:t xml:space="preserve"> </w:t>
                        </w:r>
                        <w:r>
                          <w:rPr>
                            <w:rFonts w:ascii="Arial" w:hAnsi="Arial" w:cs="Arial"/>
                          </w:rPr>
                          <w:t xml:space="preserve">      </w:t>
                        </w:r>
                        <w:r w:rsidRPr="006E0B9E">
                          <w:rPr>
                            <w:rFonts w:ascii="Arial" w:hAnsi="Arial" w:cs="Arial"/>
                          </w:rPr>
                          <w:t xml:space="preserve"> </w:t>
                        </w:r>
                        <w:r w:rsidRPr="006C271D">
                          <w:rPr>
                            <w:rFonts w:ascii="Arial" w:hAnsi="Arial" w:cs="Arial"/>
                            <w:szCs w:val="16"/>
                          </w:rPr>
                          <w:t>&lt;</w:t>
                        </w:r>
                        <w:hyperlink r:id="rId59" w:history="1">
                          <w:r w:rsidRPr="00642958">
                            <w:rPr>
                              <w:rStyle w:val="Hyperlink"/>
                              <w:rFonts w:ascii="Arial" w:hAnsi="Arial" w:cs="Arial"/>
                              <w:sz w:val="16"/>
                              <w:szCs w:val="16"/>
                            </w:rPr>
                            <w:t>https://twitter.com/ncver</w:t>
                          </w:r>
                        </w:hyperlink>
                        <w:r w:rsidRPr="006C271D">
                          <w:rPr>
                            <w:rFonts w:ascii="Arial" w:hAnsi="Arial" w:cs="Arial"/>
                            <w:szCs w:val="16"/>
                          </w:rPr>
                          <w:t xml:space="preserve">&gt;         </w:t>
                        </w:r>
                        <w:r w:rsidRPr="006E0B9E">
                          <w:rPr>
                            <w:rFonts w:ascii="Arial" w:hAnsi="Arial" w:cs="Arial"/>
                          </w:rPr>
                          <w:t>&lt;http</w:t>
                        </w:r>
                        <w:r>
                          <w:rPr>
                            <w:rFonts w:ascii="Arial" w:hAnsi="Arial" w:cs="Arial"/>
                          </w:rPr>
                          <w:t>s</w:t>
                        </w:r>
                        <w:r w:rsidRPr="006E0B9E">
                          <w:rPr>
                            <w:rFonts w:ascii="Arial" w:hAnsi="Arial" w:cs="Arial"/>
                          </w:rPr>
                          <w:t>://www.linkedin.com/company/ncver&gt;</w:t>
                        </w:r>
                      </w:p>
                      <w:p w14:paraId="380CE3B5" w14:textId="77777777" w:rsidR="00FB52EF" w:rsidRPr="009F3844" w:rsidRDefault="00FB52EF" w:rsidP="009F3844">
                        <w:pPr>
                          <w:rPr>
                            <w:rFonts w:ascii="Arial" w:hAnsi="Arial" w:cs="Arial"/>
                            <w:sz w:val="16"/>
                            <w:szCs w:val="16"/>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31" type="#_x0000_t75" style="position:absolute;left:6477;top:11557;width:1416;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">
                  <v:imagedata r:id="rId60" o:title="Twitter_blackbox"/>
                </v:shape>
                <v:shape id="Picture 60" o:spid="_x0000_s1032" type="#_x0000_t75" style="position:absolute;left:20891;top:11557;width:1391;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">
                  <v:imagedata r:id="rId61" o:title="InBug-16px_0" grayscale="t" bilevel="t"/>
                </v:shape>
              </v:group>
            </w:pict>
          </mc:Fallback>
        </mc:AlternateContent>
      </w:r>
      <w:r w:rsidRPr="009F3844">
        <w:rPr>
          <w:noProof/>
          <w:lang w:eastAsia="en-AU"/>
        </w:rPr>
        <w:drawing>
          <wp:anchor distT="0" distB="0" distL="114300" distR="114300" simplePos="0" relativeHeight="251898880" behindDoc="0" locked="0" layoutInCell="1" allowOverlap="1" wp14:anchorId="2C170315" wp14:editId="7758E4DE">
            <wp:simplePos x="0" y="0"/>
            <wp:positionH relativeFrom="column">
              <wp:posOffset>-713436</wp:posOffset>
            </wp:positionH>
            <wp:positionV relativeFrom="paragraph">
              <wp:posOffset>9240520</wp:posOffset>
            </wp:positionV>
            <wp:extent cx="7542530" cy="561975"/>
            <wp:effectExtent l="0" t="0" r="1270" b="9525"/>
            <wp:wrapNone/>
            <wp:docPr id="20" name="Picture 20" descr="P:\PublicationDesigns\Rebranding2014\Final files\NCV2717_A4_Brochure_Cover\ColourBar_Corporate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PublicationDesigns\Rebranding2014\Final files\NCV2717_A4_Brochure_Cover\ColourBar_CorporateBlue.jpg"/>
                    <pic:cNvPicPr>
                      <a:picLocks noChangeAspect="1" noChangeArrowheads="1"/>
                    </pic:cNvPicPr>
                  </pic:nvPicPr>
                  <pic:blipFill rotWithShape="1">
                    <a:blip r:embed="rId62" cstate="print">
                      <a:extLst>
                        <a:ext uri="{28A0092B-C50C-407E-A947-70E740481C1C}">
                          <a14:useLocalDpi xmlns:a14="http://schemas.microsoft.com/office/drawing/2010/main" val="0"/>
                        </a:ext>
                      </a:extLst>
                    </a:blip>
                    <a:srcRect b="22369"/>
                    <a:stretch/>
                  </pic:blipFill>
                  <pic:spPr bwMode="auto">
                    <a:xfrm>
                      <a:off x="0" y="0"/>
                      <a:ext cx="7542530" cy="5619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606061" w:rsidRPr="009F3844" w:rsidSect="00E10CD4">
      <w:footerReference w:type="even" r:id="rId63"/>
      <w:footerReference w:type="default" r:id="rId64"/>
      <w:pgSz w:w="11907" w:h="16840" w:code="9"/>
      <w:pgMar w:top="1276" w:right="2835" w:bottom="992" w:left="1134" w:header="709" w:footer="55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C4EEAC" w14:textId="77777777" w:rsidR="0026581C" w:rsidRDefault="0026581C">
      <w:r>
        <w:separator/>
      </w:r>
    </w:p>
    <w:p w14:paraId="0604E806" w14:textId="77777777" w:rsidR="0026581C" w:rsidRDefault="0026581C"/>
  </w:endnote>
  <w:endnote w:type="continuationSeparator" w:id="0">
    <w:p w14:paraId="623FBA9C" w14:textId="77777777" w:rsidR="0026581C" w:rsidRDefault="0026581C">
      <w:r>
        <w:continuationSeparator/>
      </w:r>
    </w:p>
    <w:p w14:paraId="41E6E5E9" w14:textId="77777777" w:rsidR="0026581C" w:rsidRDefault="0026581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rebuchet MS">
    <w:altName w:val="Trebuchet MS"/>
    <w:panose1 w:val="020B0603020202020204"/>
    <w:charset w:val="00"/>
    <w:family w:val="swiss"/>
    <w:pitch w:val="variable"/>
    <w:sig w:usb0="000006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Bold">
    <w:panose1 w:val="020B0704020202020204"/>
    <w:charset w:val="00"/>
    <w:family w:val="auto"/>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Avant Garde">
    <w:altName w:val="Century Gothic"/>
    <w:panose1 w:val="00000000000000000000"/>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86CF59" w14:textId="77777777" w:rsidR="00FB52EF" w:rsidRPr="00C83D73" w:rsidRDefault="00FB52EF" w:rsidP="00AD4D89">
    <w:pPr>
      <w:pStyle w:val="Footer"/>
      <w:framePr w:wrap="aroun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211D2E" w14:textId="77777777" w:rsidR="00FB52EF" w:rsidRPr="00C83D73" w:rsidRDefault="00FB52EF" w:rsidP="00AD4D89">
    <w:pPr>
      <w:pStyle w:val="Footer"/>
      <w:framePr w:wrap="around"/>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75F45C" w14:textId="5881525B" w:rsidR="00FB52EF" w:rsidRPr="00410B53" w:rsidRDefault="00FB52EF" w:rsidP="001D4714">
    <w:pPr>
      <w:pStyle w:val="Footer"/>
      <w:framePr w:wrap="around" w:hAnchor="page" w:x="1411" w:y="-308"/>
    </w:pPr>
    <w:r w:rsidRPr="007F2BDA">
      <w:t>Methodological approaches for projecting completion rates for apprentices and trainees</w:t>
    </w:r>
    <w:r w:rsidRPr="00410B53">
      <w:tab/>
      <w:t xml:space="preserve">NCVER | </w:t>
    </w:r>
    <w:r w:rsidRPr="00410B53">
      <w:rPr>
        <w:rStyle w:val="PageNumber"/>
        <w:rFonts w:ascii="Arial Bold" w:hAnsi="Arial Bold"/>
        <w:sz w:val="17"/>
      </w:rPr>
      <w:fldChar w:fldCharType="begin"/>
    </w:r>
    <w:r w:rsidRPr="00410B53">
      <w:rPr>
        <w:rStyle w:val="PageNumber"/>
        <w:rFonts w:ascii="Arial Bold" w:hAnsi="Arial Bold"/>
        <w:sz w:val="17"/>
      </w:rPr>
      <w:instrText xml:space="preserve"> PAGE </w:instrText>
    </w:r>
    <w:r w:rsidRPr="00410B53">
      <w:rPr>
        <w:rStyle w:val="PageNumber"/>
        <w:rFonts w:ascii="Arial Bold" w:hAnsi="Arial Bold"/>
        <w:sz w:val="17"/>
      </w:rPr>
      <w:fldChar w:fldCharType="separate"/>
    </w:r>
    <w:r w:rsidRPr="00410B53">
      <w:rPr>
        <w:rStyle w:val="PageNumber"/>
        <w:rFonts w:ascii="Arial Bold" w:hAnsi="Arial Bold"/>
        <w:sz w:val="17"/>
      </w:rPr>
      <w:t>6</w:t>
    </w:r>
    <w:r w:rsidRPr="00410B53">
      <w:rPr>
        <w:rStyle w:val="PageNumber"/>
        <w:rFonts w:ascii="Arial Bold" w:hAnsi="Arial Bold"/>
        <w:sz w:val="17"/>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59275C" w14:textId="14676C2E" w:rsidR="00FB52EF" w:rsidRPr="00CB0887" w:rsidRDefault="00FB52EF" w:rsidP="001D4714">
    <w:pPr>
      <w:pStyle w:val="Footer"/>
      <w:framePr w:wrap="around" w:hAnchor="page" w:x="1396" w:y="-308"/>
      <w:ind w:right="-1986"/>
      <w:rPr>
        <w:color w:val="000000" w:themeColor="text1"/>
      </w:rPr>
    </w:pPr>
    <w:r w:rsidRPr="007F2BDA">
      <w:rPr>
        <w:color w:val="000000" w:themeColor="text1"/>
      </w:rPr>
      <w:t>Methodological approaches for projecting completion rates for apprentices and trainees</w:t>
    </w:r>
    <w:r>
      <w:rPr>
        <w:color w:val="000000" w:themeColor="text1"/>
      </w:rPr>
      <w:tab/>
      <w:t xml:space="preserve">NCVER | </w:t>
    </w:r>
    <w:r w:rsidRPr="00513938">
      <w:rPr>
        <w:rStyle w:val="PageNumber"/>
        <w:rFonts w:ascii="Arial" w:hAnsi="Arial"/>
        <w:b w:val="0"/>
        <w:color w:val="000000" w:themeColor="text1"/>
        <w:sz w:val="17"/>
      </w:rPr>
      <w:fldChar w:fldCharType="begin"/>
    </w:r>
    <w:r w:rsidRPr="00513938">
      <w:rPr>
        <w:rStyle w:val="PageNumber"/>
        <w:rFonts w:ascii="Arial" w:hAnsi="Arial"/>
        <w:color w:val="000000" w:themeColor="text1"/>
        <w:sz w:val="17"/>
      </w:rPr>
      <w:instrText xml:space="preserve"> PAGE </w:instrText>
    </w:r>
    <w:r w:rsidRPr="00513938">
      <w:rPr>
        <w:rStyle w:val="PageNumber"/>
        <w:rFonts w:ascii="Arial" w:hAnsi="Arial"/>
        <w:b w:val="0"/>
        <w:color w:val="000000" w:themeColor="text1"/>
        <w:sz w:val="17"/>
      </w:rPr>
      <w:fldChar w:fldCharType="separate"/>
    </w:r>
    <w:r>
      <w:rPr>
        <w:rStyle w:val="PageNumber"/>
        <w:rFonts w:ascii="Arial" w:hAnsi="Arial"/>
        <w:b w:val="0"/>
        <w:color w:val="000000" w:themeColor="text1"/>
        <w:sz w:val="17"/>
      </w:rPr>
      <w:t>6</w:t>
    </w:r>
    <w:r w:rsidRPr="00513938">
      <w:rPr>
        <w:rStyle w:val="PageNumber"/>
        <w:rFonts w:ascii="Arial" w:hAnsi="Arial"/>
        <w:b w:val="0"/>
        <w:color w:val="000000" w:themeColor="text1"/>
        <w:sz w:val="17"/>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DA90D9" w14:textId="77777777" w:rsidR="00FB52EF" w:rsidRPr="009F3844" w:rsidRDefault="00FB52EF" w:rsidP="009F3844">
    <w:pPr>
      <w:pStyle w:val="Footer"/>
      <w:framePr w:wrap="around"/>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A06CBB" w14:textId="77777777" w:rsidR="00FB52EF" w:rsidRPr="009F3844" w:rsidRDefault="00FB52EF" w:rsidP="009F3844">
    <w:pPr>
      <w:pStyle w:val="Footer"/>
      <w:framePr w:wrap="aroun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C01AE5" w14:textId="77777777" w:rsidR="0026581C" w:rsidRDefault="0026581C">
      <w:r>
        <w:separator/>
      </w:r>
    </w:p>
    <w:p w14:paraId="2BD4B9F4" w14:textId="77777777" w:rsidR="0026581C" w:rsidRDefault="0026581C"/>
  </w:footnote>
  <w:footnote w:type="continuationSeparator" w:id="0">
    <w:p w14:paraId="4ED949D2" w14:textId="77777777" w:rsidR="0026581C" w:rsidRDefault="0026581C">
      <w:r>
        <w:continuationSeparator/>
      </w:r>
    </w:p>
    <w:p w14:paraId="00F1E4EB" w14:textId="77777777" w:rsidR="0026581C" w:rsidRDefault="0026581C"/>
  </w:footnote>
  <w:footnote w:id="1">
    <w:p w14:paraId="533F0AA0" w14:textId="4C680BEC" w:rsidR="00FB52EF" w:rsidRDefault="00FB52EF">
      <w:pPr>
        <w:pStyle w:val="FootnoteText"/>
      </w:pPr>
      <w:r w:rsidRPr="00234BEA">
        <w:rPr>
          <w:rStyle w:val="FootnoteReference"/>
          <w:vertAlign w:val="baseline"/>
        </w:rPr>
        <w:footnoteRef/>
      </w:r>
      <w:r w:rsidRPr="00234BEA">
        <w:t xml:space="preserve"> </w:t>
      </w:r>
      <w:r w:rsidR="00234BEA">
        <w:rPr>
          <w:lang w:val="en-US"/>
        </w:rPr>
        <w:tab/>
      </w:r>
      <w:r>
        <w:rPr>
          <w:lang w:val="en-US"/>
        </w:rPr>
        <w:t>Trade occupations are those</w:t>
      </w:r>
      <w:r>
        <w:t xml:space="preserve"> classified as technicians and trade workers, whereas non-trade occupations are those not classified as technicians and trades workers. Occupations are classified using the Australian and New Zealand Standard Classification of Occupations (ANZSCO), </w:t>
      </w:r>
      <w:r w:rsidR="00DA4289">
        <w:t>f</w:t>
      </w:r>
      <w:r>
        <w:t xml:space="preserve">irst edition, </w:t>
      </w:r>
      <w:r w:rsidR="00DA4289">
        <w:t>r</w:t>
      </w:r>
      <w:r>
        <w:t>evision 2</w:t>
      </w:r>
      <w:r w:rsidR="00222F66">
        <w:t xml:space="preserve"> (</w:t>
      </w:r>
      <w:r w:rsidR="00DA4289" w:rsidRPr="00222F66">
        <w:t>ABS</w:t>
      </w:r>
      <w:r w:rsidR="00222F66">
        <w:t xml:space="preserve"> 2013).</w:t>
      </w:r>
    </w:p>
    <w:p w14:paraId="4E9E317A" w14:textId="77777777" w:rsidR="00234BEA" w:rsidRPr="00DC1124" w:rsidRDefault="00234BEA">
      <w:pPr>
        <w:pStyle w:val="FootnoteText"/>
        <w:rPr>
          <w:lang w:val="en-US"/>
        </w:rPr>
      </w:pPr>
    </w:p>
  </w:footnote>
  <w:footnote w:id="2">
    <w:p w14:paraId="0DE44218" w14:textId="7C271EB0" w:rsidR="00B5639C" w:rsidRPr="00B5639C" w:rsidRDefault="00B5639C">
      <w:pPr>
        <w:pStyle w:val="FootnoteText"/>
        <w:rPr>
          <w:lang w:val="en-US"/>
        </w:rPr>
      </w:pPr>
      <w:r w:rsidRPr="00E168B5">
        <w:rPr>
          <w:rStyle w:val="FootnoteReference"/>
          <w:vertAlign w:val="baseline"/>
        </w:rPr>
        <w:footnoteRef/>
      </w:r>
      <w:r>
        <w:t xml:space="preserve"> </w:t>
      </w:r>
      <w:r w:rsidR="00E168B5">
        <w:tab/>
        <w:t>&lt;</w:t>
      </w:r>
      <w:r w:rsidRPr="00B5639C">
        <w:t>https://www.ncver.edu.au/research-and-statistics/collections/apprentices-and-trainees-collection</w:t>
      </w:r>
      <w:r w:rsidR="00E168B5">
        <w:t>&gt;.</w:t>
      </w:r>
    </w:p>
  </w:footnote>
  <w:footnote w:id="3">
    <w:p w14:paraId="5D3215DE" w14:textId="195D9C29" w:rsidR="00FB52EF" w:rsidRDefault="00FB52EF">
      <w:pPr>
        <w:pStyle w:val="FootnoteText"/>
      </w:pPr>
      <w:r w:rsidRPr="00BE74C0">
        <w:rPr>
          <w:rStyle w:val="FootnoteReference"/>
          <w:vertAlign w:val="baseline"/>
        </w:rPr>
        <w:footnoteRef/>
      </w:r>
      <w:r>
        <w:t xml:space="preserve"> </w:t>
      </w:r>
      <w:r w:rsidR="00BE74C0">
        <w:tab/>
      </w:r>
      <w:r w:rsidRPr="00567AD2">
        <w:t>&lt;http://www.abs.gov.au/websitedbs/a3121120.nsf/home/statistical+language+-+estimate+and+projection</w:t>
      </w:r>
      <w:r w:rsidR="00E54D82">
        <w:t>&gt;.</w:t>
      </w:r>
    </w:p>
    <w:p w14:paraId="373C86B2" w14:textId="77777777" w:rsidR="00BE74C0" w:rsidRPr="00A43D52" w:rsidRDefault="00BE74C0">
      <w:pPr>
        <w:pStyle w:val="FootnoteText"/>
        <w:rPr>
          <w:lang w:val="en-US"/>
        </w:rPr>
      </w:pPr>
    </w:p>
  </w:footnote>
  <w:footnote w:id="4">
    <w:p w14:paraId="3B05B2CB" w14:textId="5B5689E2" w:rsidR="00FB52EF" w:rsidRDefault="00FB52EF">
      <w:pPr>
        <w:pStyle w:val="FootnoteText"/>
      </w:pPr>
      <w:r w:rsidRPr="00BE74C0">
        <w:rPr>
          <w:rStyle w:val="FootnoteReference"/>
          <w:vertAlign w:val="baseline"/>
        </w:rPr>
        <w:footnoteRef/>
      </w:r>
      <w:r>
        <w:t xml:space="preserve"> </w:t>
      </w:r>
      <w:r w:rsidR="00BE74C0">
        <w:tab/>
      </w:r>
      <w:r>
        <w:t xml:space="preserve">The actual completion rates for these cohorts can be calculated directly from the data because enough time has passed </w:t>
      </w:r>
      <w:r w:rsidR="00CA3EFD">
        <w:t>for</w:t>
      </w:r>
      <w:r>
        <w:t xml:space="preserve"> the unreported rates </w:t>
      </w:r>
      <w:r w:rsidR="00CA3EFD">
        <w:t xml:space="preserve">to </w:t>
      </w:r>
      <w:r>
        <w:t xml:space="preserve">have fallen and reached a stable level. However, it is important to note that the actual completion rate is only an approximation of the true completion rate for the cohort because some contracts never report a final status. The true completion rate may therefore be higher than the actual completion rate calculated from the data </w:t>
      </w:r>
      <w:r w:rsidR="00CA3EFD">
        <w:t>in instances where</w:t>
      </w:r>
      <w:r>
        <w:t xml:space="preserve"> some of the unreported contracts are completions that have not been reported as such.</w:t>
      </w:r>
    </w:p>
    <w:p w14:paraId="21F4876F" w14:textId="77777777" w:rsidR="00BE74C0" w:rsidRPr="006366AC" w:rsidRDefault="00BE74C0">
      <w:pPr>
        <w:pStyle w:val="FootnoteText"/>
        <w:rPr>
          <w:lang w:val="en-US"/>
        </w:rPr>
      </w:pPr>
    </w:p>
  </w:footnote>
  <w:footnote w:id="5">
    <w:p w14:paraId="75B88A8B" w14:textId="322E1A16" w:rsidR="00FB52EF" w:rsidRDefault="00FB52EF">
      <w:pPr>
        <w:pStyle w:val="FootnoteText"/>
      </w:pPr>
      <w:r w:rsidRPr="004556EA">
        <w:rPr>
          <w:rStyle w:val="FootnoteReference"/>
          <w:vertAlign w:val="baseline"/>
        </w:rPr>
        <w:footnoteRef/>
      </w:r>
      <w:r>
        <w:t xml:space="preserve"> </w:t>
      </w:r>
      <w:r w:rsidR="004556EA">
        <w:tab/>
      </w:r>
      <w:r>
        <w:t>Actual completion rates f</w:t>
      </w:r>
      <w:r w:rsidRPr="0061502E">
        <w:t>or 2013</w:t>
      </w:r>
      <w:r>
        <w:t xml:space="preserve"> cohorts</w:t>
      </w:r>
      <w:r w:rsidRPr="0061502E">
        <w:t xml:space="preserve"> </w:t>
      </w:r>
      <w:r>
        <w:t>are</w:t>
      </w:r>
      <w:r w:rsidRPr="0061502E">
        <w:t xml:space="preserve"> </w:t>
      </w:r>
      <w:r>
        <w:t>drawn from</w:t>
      </w:r>
      <w:r w:rsidRPr="0061502E">
        <w:t xml:space="preserve"> the</w:t>
      </w:r>
      <w:r>
        <w:t xml:space="preserve"> NCVER</w:t>
      </w:r>
      <w:r w:rsidRPr="0061502E">
        <w:t xml:space="preserve"> publication </w:t>
      </w:r>
      <w:r w:rsidRPr="0061502E">
        <w:rPr>
          <w:i/>
          <w:iCs/>
        </w:rPr>
        <w:t>Completion and attrition rates for apprentices and trainees 2018</w:t>
      </w:r>
      <w:r>
        <w:rPr>
          <w:i/>
          <w:iCs/>
        </w:rPr>
        <w:t xml:space="preserve"> </w:t>
      </w:r>
      <w:r w:rsidRPr="0045171A">
        <w:t xml:space="preserve">based on </w:t>
      </w:r>
      <w:r>
        <w:t>March 2019 estimates</w:t>
      </w:r>
      <w:r w:rsidR="00236602">
        <w:t xml:space="preserve"> (NCVER 2019)</w:t>
      </w:r>
      <w:r w:rsidRPr="0061502E">
        <w:t xml:space="preserve">; </w:t>
      </w:r>
      <w:r>
        <w:t xml:space="preserve">actual rates </w:t>
      </w:r>
      <w:r w:rsidRPr="0061502E">
        <w:t>for 2014</w:t>
      </w:r>
      <w:r>
        <w:t xml:space="preserve"> cohorts</w:t>
      </w:r>
      <w:r w:rsidRPr="0061502E">
        <w:t xml:space="preserve"> </w:t>
      </w:r>
      <w:r>
        <w:t>are</w:t>
      </w:r>
      <w:r w:rsidRPr="0061502E">
        <w:t xml:space="preserve"> </w:t>
      </w:r>
      <w:r>
        <w:t>drawn</w:t>
      </w:r>
      <w:r w:rsidRPr="0061502E">
        <w:t xml:space="preserve"> </w:t>
      </w:r>
      <w:r>
        <w:t>from</w:t>
      </w:r>
      <w:r w:rsidRPr="0061502E">
        <w:t xml:space="preserve"> </w:t>
      </w:r>
      <w:r w:rsidRPr="0061502E">
        <w:rPr>
          <w:i/>
          <w:iCs/>
        </w:rPr>
        <w:t>Completion and attrition rates for apprentices and trainees 201</w:t>
      </w:r>
      <w:r>
        <w:rPr>
          <w:i/>
          <w:iCs/>
        </w:rPr>
        <w:t>9</w:t>
      </w:r>
      <w:r w:rsidRPr="0045171A">
        <w:t xml:space="preserve"> based on </w:t>
      </w:r>
      <w:r>
        <w:t>March 2020 estimates</w:t>
      </w:r>
      <w:r w:rsidR="00513427">
        <w:t xml:space="preserve"> (NCVER 2020b)</w:t>
      </w:r>
      <w:r w:rsidRPr="0061502E">
        <w:t xml:space="preserve">; </w:t>
      </w:r>
      <w:r>
        <w:t>actual rates fo</w:t>
      </w:r>
      <w:r w:rsidRPr="0061502E">
        <w:t>r 2015</w:t>
      </w:r>
      <w:r>
        <w:t xml:space="preserve"> cohorts</w:t>
      </w:r>
      <w:r w:rsidRPr="0061502E">
        <w:t xml:space="preserve"> </w:t>
      </w:r>
      <w:r>
        <w:t>are</w:t>
      </w:r>
      <w:r w:rsidRPr="0061502E">
        <w:t xml:space="preserve"> </w:t>
      </w:r>
      <w:r>
        <w:t>drawn from</w:t>
      </w:r>
      <w:r w:rsidRPr="0061502E">
        <w:t xml:space="preserve"> </w:t>
      </w:r>
      <w:r w:rsidRPr="0061502E">
        <w:rPr>
          <w:i/>
          <w:iCs/>
        </w:rPr>
        <w:t>Completion and attrition rates for apprentices and trainees 20</w:t>
      </w:r>
      <w:r>
        <w:rPr>
          <w:i/>
          <w:iCs/>
        </w:rPr>
        <w:t>20</w:t>
      </w:r>
      <w:r w:rsidRPr="0045171A">
        <w:t xml:space="preserve"> based on </w:t>
      </w:r>
      <w:r>
        <w:t>March 2021 estimates</w:t>
      </w:r>
      <w:r w:rsidR="006B7B63">
        <w:t xml:space="preserve"> (NCVER 2021)</w:t>
      </w:r>
      <w:r>
        <w:t>.</w:t>
      </w:r>
    </w:p>
    <w:p w14:paraId="7EE0249C" w14:textId="77777777" w:rsidR="004556EA" w:rsidRPr="0061502E" w:rsidRDefault="004556EA">
      <w:pPr>
        <w:pStyle w:val="FootnoteText"/>
        <w:rPr>
          <w:lang w:val="en-US"/>
        </w:rPr>
      </w:pPr>
    </w:p>
  </w:footnote>
  <w:footnote w:id="6">
    <w:p w14:paraId="36DA51EC" w14:textId="66EB1D94" w:rsidR="00FB52EF" w:rsidRPr="00BE7592" w:rsidRDefault="00FB52EF">
      <w:pPr>
        <w:pStyle w:val="FootnoteText"/>
        <w:rPr>
          <w:lang w:val="en-US"/>
        </w:rPr>
      </w:pPr>
      <w:r w:rsidRPr="004556EA">
        <w:rPr>
          <w:rStyle w:val="FootnoteReference"/>
          <w:vertAlign w:val="baseline"/>
        </w:rPr>
        <w:footnoteRef/>
      </w:r>
      <w:r>
        <w:t xml:space="preserve"> </w:t>
      </w:r>
      <w:r w:rsidR="004556EA">
        <w:tab/>
      </w:r>
      <w:r>
        <w:t xml:space="preserve">Based on </w:t>
      </w:r>
      <w:r w:rsidRPr="00BE7592">
        <w:t xml:space="preserve">the </w:t>
      </w:r>
      <w:r>
        <w:t>A</w:t>
      </w:r>
      <w:r w:rsidRPr="00BE7592">
        <w:t>ustralian statistical geography standard (</w:t>
      </w:r>
      <w:r>
        <w:t>ASGS</w:t>
      </w:r>
      <w:r w:rsidRPr="00BE7592">
        <w:t>) remoteness structure</w:t>
      </w:r>
      <w:r w:rsidR="00CA6FD7">
        <w:t xml:space="preserve"> (</w:t>
      </w:r>
      <w:r>
        <w:t>ABS</w:t>
      </w:r>
      <w:r w:rsidR="00CA6FD7">
        <w:t xml:space="preserve"> 2016).</w:t>
      </w:r>
    </w:p>
  </w:footnote>
  <w:footnote w:id="7">
    <w:p w14:paraId="6FC41C64" w14:textId="3220A281" w:rsidR="00FB52EF" w:rsidRDefault="00FB52EF">
      <w:pPr>
        <w:pStyle w:val="FootnoteText"/>
      </w:pPr>
      <w:r w:rsidRPr="004556EA">
        <w:rPr>
          <w:rStyle w:val="FootnoteReference"/>
          <w:vertAlign w:val="baseline"/>
        </w:rPr>
        <w:footnoteRef/>
      </w:r>
      <w:r w:rsidRPr="004556EA">
        <w:t xml:space="preserve"> </w:t>
      </w:r>
      <w:r w:rsidR="004556EA">
        <w:tab/>
      </w:r>
      <w:r>
        <w:t xml:space="preserve">Based on the Australian and New Zealand Standard Industrial Classification (ANZSIC) </w:t>
      </w:r>
      <w:r w:rsidR="006E123F">
        <w:t>(ABS 2006).</w:t>
      </w:r>
    </w:p>
    <w:p w14:paraId="29070209" w14:textId="77777777" w:rsidR="004556EA" w:rsidRPr="00B96D50" w:rsidRDefault="004556EA">
      <w:pPr>
        <w:pStyle w:val="FootnoteText"/>
        <w:rPr>
          <w:lang w:val="en-US"/>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D8331B" w14:textId="25D61734" w:rsidR="00FB52EF" w:rsidRPr="00D66D9A" w:rsidRDefault="00061F86" w:rsidP="00061F86">
    <w:pPr>
      <w:tabs>
        <w:tab w:val="left" w:pos="5972"/>
      </w:tabs>
    </w:pPr>
    <w:r w:rsidRPr="00214ED0">
      <w:rPr>
        <w:noProof/>
        <w:lang w:eastAsia="en-AU"/>
      </w:rPr>
      <w:drawing>
        <wp:anchor distT="0" distB="0" distL="114300" distR="114300" simplePos="0" relativeHeight="251657216" behindDoc="1" locked="0" layoutInCell="1" allowOverlap="1" wp14:anchorId="6C5A691E" wp14:editId="637FA765">
          <wp:simplePos x="0" y="0"/>
          <wp:positionH relativeFrom="column">
            <wp:posOffset>34925</wp:posOffset>
          </wp:positionH>
          <wp:positionV relativeFrom="paragraph">
            <wp:posOffset>8621</wp:posOffset>
          </wp:positionV>
          <wp:extent cx="5930153" cy="101167"/>
          <wp:effectExtent l="0" t="0" r="0" b="0"/>
          <wp:wrapNone/>
          <wp:docPr id="39" name="Picture 39" descr="G:\marketing_services\CorporateBranding\NCVER_CMYK_Colour_Bar.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G:\marketing_services\CorporateBranding\NCVER_CMYK_Colour_Bar.wmf"/>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930153" cy="101167"/>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D79EFC" w14:textId="602946C0" w:rsidR="00061F86" w:rsidRPr="00061F86" w:rsidRDefault="00061F86" w:rsidP="00061F8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3982A36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66BA7D1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5C40562E"/>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328EE9E6"/>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09984ABA"/>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A685F1A"/>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98AB9B0"/>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F20C14C"/>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0EE5C10"/>
    <w:lvl w:ilvl="0">
      <w:start w:val="1"/>
      <w:numFmt w:val="decimal"/>
      <w:pStyle w:val="ListNumber"/>
      <w:lvlText w:val="%1."/>
      <w:lvlJc w:val="left"/>
      <w:pPr>
        <w:tabs>
          <w:tab w:val="num" w:pos="360"/>
        </w:tabs>
        <w:ind w:left="360" w:hanging="360"/>
      </w:pPr>
    </w:lvl>
  </w:abstractNum>
  <w:abstractNum w:abstractNumId="9" w15:restartNumberingAfterBreak="0">
    <w:nsid w:val="01F410EF"/>
    <w:multiLevelType w:val="hybridMultilevel"/>
    <w:tmpl w:val="4244934A"/>
    <w:lvl w:ilvl="0" w:tplc="24BA3DD4">
      <w:start w:val="1"/>
      <w:numFmt w:val="decimal"/>
      <w:lvlText w:val="%1"/>
      <w:lvlJc w:val="left"/>
      <w:pPr>
        <w:tabs>
          <w:tab w:val="num" w:pos="284"/>
        </w:tabs>
        <w:ind w:left="0" w:firstLine="0"/>
      </w:pPr>
      <w:rPr>
        <w:rFonts w:hint="default"/>
      </w:rPr>
    </w:lvl>
    <w:lvl w:ilvl="1" w:tplc="0C090019">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0" w15:restartNumberingAfterBreak="0">
    <w:nsid w:val="10FE1FBE"/>
    <w:multiLevelType w:val="hybridMultilevel"/>
    <w:tmpl w:val="9DDECE76"/>
    <w:lvl w:ilvl="0" w:tplc="A4AAAABC">
      <w:numFmt w:val="bullet"/>
      <w:lvlText w:val="-"/>
      <w:lvlJc w:val="left"/>
      <w:pPr>
        <w:ind w:left="720" w:hanging="360"/>
      </w:pPr>
      <w:rPr>
        <w:rFonts w:ascii="Trebuchet MS" w:eastAsia="Times New Roman" w:hAnsi="Trebuchet MS"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87F083E"/>
    <w:multiLevelType w:val="hybridMultilevel"/>
    <w:tmpl w:val="C4A0BF16"/>
    <w:lvl w:ilvl="0" w:tplc="0C090005">
      <w:start w:val="1"/>
      <w:numFmt w:val="bullet"/>
      <w:lvlText w:val=""/>
      <w:lvlJc w:val="left"/>
      <w:pPr>
        <w:tabs>
          <w:tab w:val="num" w:pos="720"/>
        </w:tabs>
        <w:ind w:left="720" w:hanging="360"/>
      </w:pPr>
      <w:rPr>
        <w:rFonts w:ascii="Wingdings" w:hAnsi="Wingdings" w:hint="default"/>
      </w:rPr>
    </w:lvl>
    <w:lvl w:ilvl="1" w:tplc="391067CA">
      <w:start w:val="1"/>
      <w:numFmt w:val="bullet"/>
      <w:lvlText w:val=""/>
      <w:lvlJc w:val="left"/>
      <w:pPr>
        <w:tabs>
          <w:tab w:val="num" w:pos="1477"/>
        </w:tabs>
        <w:ind w:left="1477" w:hanging="397"/>
      </w:pPr>
      <w:rPr>
        <w:rFonts w:ascii="Symbol" w:hAnsi="Symbo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8493F41"/>
    <w:multiLevelType w:val="hybridMultilevel"/>
    <w:tmpl w:val="B510D256"/>
    <w:lvl w:ilvl="0" w:tplc="1C94E0EA">
      <w:numFmt w:val="bullet"/>
      <w:lvlText w:val="-"/>
      <w:lvlJc w:val="left"/>
      <w:pPr>
        <w:ind w:left="720" w:hanging="360"/>
      </w:pPr>
      <w:rPr>
        <w:rFonts w:ascii="Trebuchet MS" w:eastAsia="Times New Roman" w:hAnsi="Trebuchet MS"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2261B66"/>
    <w:multiLevelType w:val="hybridMultilevel"/>
    <w:tmpl w:val="C638F0E8"/>
    <w:lvl w:ilvl="0" w:tplc="E3303A30">
      <w:start w:val="1"/>
      <w:numFmt w:val="decimal"/>
      <w:pStyle w:val="NumberedList"/>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4" w15:restartNumberingAfterBreak="0">
    <w:nsid w:val="35FF2B55"/>
    <w:multiLevelType w:val="hybridMultilevel"/>
    <w:tmpl w:val="17684298"/>
    <w:lvl w:ilvl="0" w:tplc="1C94E0EA">
      <w:numFmt w:val="bullet"/>
      <w:lvlText w:val="-"/>
      <w:lvlJc w:val="left"/>
      <w:pPr>
        <w:ind w:left="720" w:hanging="360"/>
      </w:pPr>
      <w:rPr>
        <w:rFonts w:ascii="Trebuchet MS" w:eastAsia="Times New Roman" w:hAnsi="Trebuchet MS"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68247CE"/>
    <w:multiLevelType w:val="hybridMultilevel"/>
    <w:tmpl w:val="2A988218"/>
    <w:lvl w:ilvl="0" w:tplc="316452FE">
      <w:start w:val="1"/>
      <w:numFmt w:val="bullet"/>
      <w:pStyle w:val="BulletList"/>
      <w:lvlText w:val=""/>
      <w:lvlJc w:val="left"/>
      <w:pPr>
        <w:tabs>
          <w:tab w:val="num" w:pos="757"/>
        </w:tabs>
        <w:ind w:left="757" w:hanging="397"/>
      </w:pPr>
      <w:rPr>
        <w:rFonts w:ascii="Symbol" w:hAnsi="Symbol" w:hint="default"/>
        <w:sz w:val="18"/>
      </w:rPr>
    </w:lvl>
    <w:lvl w:ilvl="1" w:tplc="0E40F548">
      <w:start w:val="1"/>
      <w:numFmt w:val="bullet"/>
      <w:lvlText w:val=""/>
      <w:lvlJc w:val="left"/>
      <w:pPr>
        <w:tabs>
          <w:tab w:val="num" w:pos="1477"/>
        </w:tabs>
        <w:ind w:left="1477" w:hanging="397"/>
      </w:pPr>
      <w:rPr>
        <w:rFonts w:ascii="Symbol" w:hAnsi="Symbol" w:hint="default"/>
        <w:sz w:val="18"/>
      </w:rPr>
    </w:lvl>
    <w:lvl w:ilvl="2" w:tplc="7BAC00C4">
      <w:start w:val="1"/>
      <w:numFmt w:val="decimal"/>
      <w:lvlText w:val="%3."/>
      <w:lvlJc w:val="left"/>
      <w:pPr>
        <w:tabs>
          <w:tab w:val="num" w:pos="2160"/>
        </w:tabs>
        <w:ind w:left="2160" w:hanging="360"/>
      </w:pPr>
      <w:rPr>
        <w:rFonts w:hint="default"/>
        <w:sz w:val="18"/>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A1C0D12"/>
    <w:multiLevelType w:val="hybridMultilevel"/>
    <w:tmpl w:val="24F2A6A6"/>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459A6134"/>
    <w:multiLevelType w:val="hybridMultilevel"/>
    <w:tmpl w:val="5BEAB45E"/>
    <w:lvl w:ilvl="0" w:tplc="2F96EF6A">
      <w:numFmt w:val="bullet"/>
      <w:lvlText w:val="-"/>
      <w:lvlJc w:val="left"/>
      <w:pPr>
        <w:ind w:left="720" w:hanging="360"/>
      </w:pPr>
      <w:rPr>
        <w:rFonts w:ascii="Trebuchet MS" w:eastAsia="Times New Roman" w:hAnsi="Trebuchet MS"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8EE0EEB"/>
    <w:multiLevelType w:val="hybridMultilevel"/>
    <w:tmpl w:val="02DC2D20"/>
    <w:lvl w:ilvl="0" w:tplc="0C090001">
      <w:start w:val="1"/>
      <w:numFmt w:val="bullet"/>
      <w:lvlText w:val=""/>
      <w:lvlJc w:val="left"/>
      <w:pPr>
        <w:ind w:left="360" w:hanging="360"/>
      </w:pPr>
      <w:rPr>
        <w:rFonts w:ascii="Symbol" w:hAnsi="Symbol"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9" w15:restartNumberingAfterBreak="0">
    <w:nsid w:val="588D6842"/>
    <w:multiLevelType w:val="hybridMultilevel"/>
    <w:tmpl w:val="DAE40626"/>
    <w:lvl w:ilvl="0" w:tplc="4B02EA6C">
      <w:start w:val="1"/>
      <w:numFmt w:val="decimal"/>
      <w:pStyle w:val="NumberedListContinuing"/>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0" w15:restartNumberingAfterBreak="0">
    <w:nsid w:val="5CEC054A"/>
    <w:multiLevelType w:val="multilevel"/>
    <w:tmpl w:val="62D05A8A"/>
    <w:lvl w:ilvl="0">
      <w:start w:val="1"/>
      <w:numFmt w:val="decimal"/>
      <w:isLgl/>
      <w:suff w:val="space"/>
      <w:lvlText w:val="Item %1"/>
      <w:lvlJc w:val="left"/>
      <w:pPr>
        <w:ind w:left="680" w:hanging="680"/>
      </w:pPr>
      <w:rPr>
        <w:rFonts w:ascii="Arial" w:hAnsi="Arial" w:hint="default"/>
        <w:b w:val="0"/>
        <w:bCs/>
        <w:i w:val="0"/>
        <w:caps w:val="0"/>
        <w:sz w:val="32"/>
        <w:szCs w:val="32"/>
      </w:rPr>
    </w:lvl>
    <w:lvl w:ilvl="1">
      <w:start w:val="1"/>
      <w:numFmt w:val="decimal"/>
      <w:lvlText w:val="%1.%2"/>
      <w:lvlJc w:val="left"/>
      <w:pPr>
        <w:tabs>
          <w:tab w:val="num" w:pos="680"/>
        </w:tabs>
        <w:ind w:left="680" w:hanging="680"/>
      </w:pPr>
      <w:rPr>
        <w:rFonts w:hint="default"/>
      </w:rPr>
    </w:lvl>
    <w:lvl w:ilvl="2">
      <w:start w:val="1"/>
      <w:numFmt w:val="lowerLetter"/>
      <w:lvlText w:val="(%3)"/>
      <w:lvlJc w:val="left"/>
      <w:pPr>
        <w:tabs>
          <w:tab w:val="num" w:pos="680"/>
        </w:tabs>
        <w:ind w:left="680" w:hanging="680"/>
      </w:pPr>
      <w:rPr>
        <w:rFonts w:hint="default"/>
      </w:rPr>
    </w:lvl>
    <w:lvl w:ilvl="3">
      <w:start w:val="1"/>
      <w:numFmt w:val="lowerRoman"/>
      <w:lvlText w:val="(%4)"/>
      <w:lvlJc w:val="left"/>
      <w:pPr>
        <w:tabs>
          <w:tab w:val="num" w:pos="1400"/>
        </w:tabs>
        <w:ind w:left="1361" w:hanging="681"/>
      </w:pPr>
      <w:rPr>
        <w:rFonts w:hint="default"/>
      </w:rPr>
    </w:lvl>
    <w:lvl w:ilvl="4">
      <w:start w:val="1"/>
      <w:numFmt w:val="none"/>
      <w:lvlText w:val=""/>
      <w:lvlJc w:val="left"/>
      <w:pPr>
        <w:tabs>
          <w:tab w:val="num" w:pos="3402"/>
        </w:tabs>
        <w:ind w:left="3402" w:hanging="850"/>
      </w:pPr>
      <w:rPr>
        <w:rFonts w:hint="default"/>
      </w:rPr>
    </w:lvl>
    <w:lvl w:ilvl="5">
      <w:start w:val="1"/>
      <w:numFmt w:val="none"/>
      <w:lvlText w:val=""/>
      <w:lvlJc w:val="left"/>
      <w:pPr>
        <w:tabs>
          <w:tab w:val="num" w:pos="4253"/>
        </w:tabs>
        <w:ind w:left="4253" w:hanging="851"/>
      </w:pPr>
      <w:rPr>
        <w:rFonts w:hint="default"/>
      </w:rPr>
    </w:lvl>
    <w:lvl w:ilvl="6">
      <w:start w:val="1"/>
      <w:numFmt w:val="none"/>
      <w:lvlText w:val=""/>
      <w:lvlJc w:val="left"/>
      <w:pPr>
        <w:tabs>
          <w:tab w:val="num" w:pos="5103"/>
        </w:tabs>
        <w:ind w:left="5103" w:hanging="850"/>
      </w:pPr>
      <w:rPr>
        <w:rFonts w:hint="default"/>
      </w:rPr>
    </w:lvl>
    <w:lvl w:ilvl="7">
      <w:start w:val="1"/>
      <w:numFmt w:val="none"/>
      <w:suff w:val="nothing"/>
      <w:lvlText w:val="%8"/>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21" w15:restartNumberingAfterBreak="0">
    <w:nsid w:val="610A02C5"/>
    <w:multiLevelType w:val="hybridMultilevel"/>
    <w:tmpl w:val="B84CC4F0"/>
    <w:lvl w:ilvl="0" w:tplc="A0D0ED80">
      <w:start w:val="1"/>
      <w:numFmt w:val="bullet"/>
      <w:pStyle w:val="Dotpoint2"/>
      <w:lvlText w:val="-"/>
      <w:lvlJc w:val="left"/>
      <w:pPr>
        <w:ind w:left="1800" w:hanging="360"/>
      </w:pPr>
      <w:rPr>
        <w:rFonts w:ascii="Courier New" w:hAnsi="Courier New" w:hint="default"/>
      </w:rPr>
    </w:lvl>
    <w:lvl w:ilvl="1" w:tplc="0C090003">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22" w15:restartNumberingAfterBreak="0">
    <w:nsid w:val="61287A92"/>
    <w:multiLevelType w:val="hybridMultilevel"/>
    <w:tmpl w:val="87485D52"/>
    <w:lvl w:ilvl="0" w:tplc="B344A4F6">
      <w:start w:val="1"/>
      <w:numFmt w:val="bullet"/>
      <w:lvlText w:val=""/>
      <w:lvlJc w:val="left"/>
      <w:pPr>
        <w:tabs>
          <w:tab w:val="num" w:pos="720"/>
        </w:tabs>
        <w:ind w:left="720" w:hanging="360"/>
      </w:pPr>
      <w:rPr>
        <w:rFonts w:ascii="Wingdings" w:hAnsi="Wingdings" w:hint="default"/>
      </w:rPr>
    </w:lvl>
    <w:lvl w:ilvl="1" w:tplc="B5168840">
      <w:start w:val="1"/>
      <w:numFmt w:val="bullet"/>
      <w:lvlText w:val=""/>
      <w:lvlJc w:val="left"/>
      <w:pPr>
        <w:tabs>
          <w:tab w:val="num" w:pos="1440"/>
        </w:tabs>
        <w:ind w:left="1440" w:hanging="360"/>
      </w:pPr>
      <w:rPr>
        <w:rFonts w:ascii="Wingdings 2" w:hAnsi="Wingdings 2" w:hint="default"/>
        <w:color w:val="auto"/>
      </w:rPr>
    </w:lvl>
    <w:lvl w:ilvl="2" w:tplc="0C090005" w:tentative="1">
      <w:start w:val="1"/>
      <w:numFmt w:val="bullet"/>
      <w:lvlText w:val=""/>
      <w:lvlJc w:val="left"/>
      <w:pPr>
        <w:tabs>
          <w:tab w:val="num" w:pos="2160"/>
        </w:tabs>
        <w:ind w:left="2160" w:hanging="360"/>
      </w:pPr>
      <w:rPr>
        <w:rFonts w:ascii="Wingdings" w:hAnsi="Wingdings" w:hint="default"/>
      </w:rPr>
    </w:lvl>
    <w:lvl w:ilvl="3" w:tplc="0C09000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644E6124"/>
    <w:multiLevelType w:val="multilevel"/>
    <w:tmpl w:val="B8088798"/>
    <w:lvl w:ilvl="0">
      <w:start w:val="1"/>
      <w:numFmt w:val="decimal"/>
      <w:lvlText w:val="%1."/>
      <w:lvlJc w:val="left"/>
      <w:pPr>
        <w:tabs>
          <w:tab w:val="num" w:pos="822"/>
        </w:tabs>
        <w:ind w:left="822" w:hanging="680"/>
      </w:pPr>
      <w:rPr>
        <w:rFonts w:ascii="Arial Narrow" w:hAnsi="Arial Narrow" w:hint="default"/>
        <w:b w:val="0"/>
        <w:bCs w:val="0"/>
        <w:sz w:val="32"/>
        <w:szCs w:val="32"/>
      </w:rPr>
    </w:lvl>
    <w:lvl w:ilvl="1">
      <w:start w:val="1"/>
      <w:numFmt w:val="decimal"/>
      <w:lvlText w:val="%1.%2"/>
      <w:lvlJc w:val="left"/>
      <w:pPr>
        <w:tabs>
          <w:tab w:val="num" w:pos="822"/>
        </w:tabs>
        <w:ind w:left="822" w:hanging="680"/>
      </w:pPr>
      <w:rPr>
        <w:rFonts w:hint="default"/>
      </w:rPr>
    </w:lvl>
    <w:lvl w:ilvl="2">
      <w:start w:val="1"/>
      <w:numFmt w:val="lowerLetter"/>
      <w:lvlText w:val="(%3)"/>
      <w:lvlJc w:val="left"/>
      <w:pPr>
        <w:tabs>
          <w:tab w:val="num" w:pos="1503"/>
        </w:tabs>
        <w:ind w:left="1503" w:hanging="681"/>
      </w:pPr>
      <w:rPr>
        <w:rFonts w:hint="default"/>
      </w:rPr>
    </w:lvl>
    <w:lvl w:ilvl="3">
      <w:start w:val="1"/>
      <w:numFmt w:val="lowerRoman"/>
      <w:lvlText w:val="(%4)"/>
      <w:lvlJc w:val="left"/>
      <w:pPr>
        <w:tabs>
          <w:tab w:val="num" w:pos="2183"/>
        </w:tabs>
        <w:ind w:left="2183" w:hanging="680"/>
      </w:pPr>
      <w:rPr>
        <w:rFonts w:hint="default"/>
      </w:rPr>
    </w:lvl>
    <w:lvl w:ilvl="4">
      <w:start w:val="1"/>
      <w:numFmt w:val="upperLetter"/>
      <w:lvlText w:val="(%5)"/>
      <w:lvlJc w:val="left"/>
      <w:pPr>
        <w:tabs>
          <w:tab w:val="num" w:pos="2864"/>
        </w:tabs>
        <w:ind w:left="2864" w:hanging="681"/>
      </w:pPr>
      <w:rPr>
        <w:rFonts w:hint="default"/>
      </w:rPr>
    </w:lvl>
    <w:lvl w:ilvl="5">
      <w:start w:val="1"/>
      <w:numFmt w:val="none"/>
      <w:lvlText w:val=""/>
      <w:lvlJc w:val="left"/>
      <w:pPr>
        <w:tabs>
          <w:tab w:val="num" w:pos="142"/>
        </w:tabs>
        <w:ind w:left="142" w:firstLine="0"/>
      </w:pPr>
      <w:rPr>
        <w:rFonts w:hint="default"/>
      </w:rPr>
    </w:lvl>
    <w:lvl w:ilvl="6">
      <w:start w:val="1"/>
      <w:numFmt w:val="none"/>
      <w:lvlText w:val="%7"/>
      <w:lvlJc w:val="left"/>
      <w:pPr>
        <w:tabs>
          <w:tab w:val="num" w:pos="142"/>
        </w:tabs>
        <w:ind w:left="142" w:firstLine="0"/>
      </w:pPr>
      <w:rPr>
        <w:rFonts w:hint="default"/>
      </w:rPr>
    </w:lvl>
    <w:lvl w:ilvl="7">
      <w:start w:val="1"/>
      <w:numFmt w:val="none"/>
      <w:suff w:val="nothing"/>
      <w:lvlText w:val="%8"/>
      <w:lvlJc w:val="left"/>
      <w:pPr>
        <w:ind w:left="142" w:firstLine="0"/>
      </w:pPr>
      <w:rPr>
        <w:rFonts w:hint="default"/>
      </w:rPr>
    </w:lvl>
    <w:lvl w:ilvl="8">
      <w:start w:val="1"/>
      <w:numFmt w:val="none"/>
      <w:suff w:val="nothing"/>
      <w:lvlText w:val="%9"/>
      <w:lvlJc w:val="left"/>
      <w:pPr>
        <w:ind w:left="142" w:firstLine="0"/>
      </w:pPr>
      <w:rPr>
        <w:rFonts w:hint="default"/>
      </w:rPr>
    </w:lvl>
  </w:abstractNum>
  <w:abstractNum w:abstractNumId="24" w15:restartNumberingAfterBreak="0">
    <w:nsid w:val="664529F5"/>
    <w:multiLevelType w:val="hybridMultilevel"/>
    <w:tmpl w:val="EB5CE36E"/>
    <w:lvl w:ilvl="0" w:tplc="7C903392">
      <w:numFmt w:val="bullet"/>
      <w:lvlText w:val="-"/>
      <w:lvlJc w:val="left"/>
      <w:pPr>
        <w:ind w:left="720" w:hanging="360"/>
      </w:pPr>
      <w:rPr>
        <w:rFonts w:ascii="Trebuchet MS" w:eastAsia="Times New Roman" w:hAnsi="Trebuchet MS"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C223593"/>
    <w:multiLevelType w:val="hybridMultilevel"/>
    <w:tmpl w:val="0F7684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C501855"/>
    <w:multiLevelType w:val="hybridMultilevel"/>
    <w:tmpl w:val="4FEA46D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6DD129F8"/>
    <w:multiLevelType w:val="hybridMultilevel"/>
    <w:tmpl w:val="D4A2D112"/>
    <w:lvl w:ilvl="0" w:tplc="A23A1592">
      <w:start w:val="1"/>
      <w:numFmt w:val="bullet"/>
      <w:pStyle w:val="KeyPoints"/>
      <w:lvlText w:val=""/>
      <w:lvlJc w:val="left"/>
      <w:pPr>
        <w:ind w:left="298" w:hanging="360"/>
      </w:pPr>
      <w:rPr>
        <w:rFonts w:ascii="Wingdings" w:hAnsi="Wingdings" w:hint="default"/>
      </w:rPr>
    </w:lvl>
    <w:lvl w:ilvl="1" w:tplc="0C090003" w:tentative="1">
      <w:start w:val="1"/>
      <w:numFmt w:val="bullet"/>
      <w:lvlText w:val="o"/>
      <w:lvlJc w:val="left"/>
      <w:pPr>
        <w:ind w:left="1015" w:hanging="360"/>
      </w:pPr>
      <w:rPr>
        <w:rFonts w:ascii="Courier New" w:hAnsi="Courier New" w:cs="Courier New" w:hint="default"/>
      </w:rPr>
    </w:lvl>
    <w:lvl w:ilvl="2" w:tplc="0C090005" w:tentative="1">
      <w:start w:val="1"/>
      <w:numFmt w:val="bullet"/>
      <w:lvlText w:val=""/>
      <w:lvlJc w:val="left"/>
      <w:pPr>
        <w:ind w:left="1735" w:hanging="360"/>
      </w:pPr>
      <w:rPr>
        <w:rFonts w:ascii="Wingdings" w:hAnsi="Wingdings" w:hint="default"/>
      </w:rPr>
    </w:lvl>
    <w:lvl w:ilvl="3" w:tplc="0C090001" w:tentative="1">
      <w:start w:val="1"/>
      <w:numFmt w:val="bullet"/>
      <w:lvlText w:val=""/>
      <w:lvlJc w:val="left"/>
      <w:pPr>
        <w:ind w:left="2455" w:hanging="360"/>
      </w:pPr>
      <w:rPr>
        <w:rFonts w:ascii="Symbol" w:hAnsi="Symbol" w:hint="default"/>
      </w:rPr>
    </w:lvl>
    <w:lvl w:ilvl="4" w:tplc="0C090003" w:tentative="1">
      <w:start w:val="1"/>
      <w:numFmt w:val="bullet"/>
      <w:lvlText w:val="o"/>
      <w:lvlJc w:val="left"/>
      <w:pPr>
        <w:ind w:left="3175" w:hanging="360"/>
      </w:pPr>
      <w:rPr>
        <w:rFonts w:ascii="Courier New" w:hAnsi="Courier New" w:cs="Courier New" w:hint="default"/>
      </w:rPr>
    </w:lvl>
    <w:lvl w:ilvl="5" w:tplc="0C090005" w:tentative="1">
      <w:start w:val="1"/>
      <w:numFmt w:val="bullet"/>
      <w:lvlText w:val=""/>
      <w:lvlJc w:val="left"/>
      <w:pPr>
        <w:ind w:left="3895" w:hanging="360"/>
      </w:pPr>
      <w:rPr>
        <w:rFonts w:ascii="Wingdings" w:hAnsi="Wingdings" w:hint="default"/>
      </w:rPr>
    </w:lvl>
    <w:lvl w:ilvl="6" w:tplc="0C090001" w:tentative="1">
      <w:start w:val="1"/>
      <w:numFmt w:val="bullet"/>
      <w:lvlText w:val=""/>
      <w:lvlJc w:val="left"/>
      <w:pPr>
        <w:ind w:left="4615" w:hanging="360"/>
      </w:pPr>
      <w:rPr>
        <w:rFonts w:ascii="Symbol" w:hAnsi="Symbol" w:hint="default"/>
      </w:rPr>
    </w:lvl>
    <w:lvl w:ilvl="7" w:tplc="0C090003" w:tentative="1">
      <w:start w:val="1"/>
      <w:numFmt w:val="bullet"/>
      <w:lvlText w:val="o"/>
      <w:lvlJc w:val="left"/>
      <w:pPr>
        <w:ind w:left="5335" w:hanging="360"/>
      </w:pPr>
      <w:rPr>
        <w:rFonts w:ascii="Courier New" w:hAnsi="Courier New" w:cs="Courier New" w:hint="default"/>
      </w:rPr>
    </w:lvl>
    <w:lvl w:ilvl="8" w:tplc="0C090005" w:tentative="1">
      <w:start w:val="1"/>
      <w:numFmt w:val="bullet"/>
      <w:lvlText w:val=""/>
      <w:lvlJc w:val="left"/>
      <w:pPr>
        <w:ind w:left="6055" w:hanging="360"/>
      </w:pPr>
      <w:rPr>
        <w:rFonts w:ascii="Wingdings" w:hAnsi="Wingdings" w:hint="default"/>
      </w:rPr>
    </w:lvl>
  </w:abstractNum>
  <w:abstractNum w:abstractNumId="28" w15:restartNumberingAfterBreak="0">
    <w:nsid w:val="6E6568BB"/>
    <w:multiLevelType w:val="hybridMultilevel"/>
    <w:tmpl w:val="93E07882"/>
    <w:lvl w:ilvl="0" w:tplc="FB20ABCA">
      <w:start w:val="1"/>
      <w:numFmt w:val="bullet"/>
      <w:pStyle w:val="Dotpoint1"/>
      <w:lvlText w:val=""/>
      <w:lvlJc w:val="left"/>
      <w:pPr>
        <w:ind w:left="360" w:hanging="360"/>
      </w:pPr>
      <w:rPr>
        <w:rFonts w:ascii="Wingdings" w:hAnsi="Wingdings" w:hint="default"/>
      </w:rPr>
    </w:lvl>
    <w:lvl w:ilvl="1" w:tplc="4410AFD6">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EC42FB1"/>
    <w:multiLevelType w:val="hybridMultilevel"/>
    <w:tmpl w:val="5B64732C"/>
    <w:lvl w:ilvl="0" w:tplc="CA188448">
      <w:start w:val="1"/>
      <w:numFmt w:val="bullet"/>
      <w:lvlText w:val=""/>
      <w:lvlJc w:val="left"/>
      <w:pPr>
        <w:tabs>
          <w:tab w:val="num" w:pos="454"/>
        </w:tabs>
        <w:ind w:left="454" w:hanging="397"/>
      </w:pPr>
      <w:rPr>
        <w:rFonts w:ascii="Symbol" w:hAnsi="Symbol" w:hint="default"/>
        <w:color w:val="333399"/>
        <w:sz w:val="18"/>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A975075"/>
    <w:multiLevelType w:val="hybridMultilevel"/>
    <w:tmpl w:val="BCDA98DA"/>
    <w:lvl w:ilvl="0" w:tplc="0C090001">
      <w:start w:val="1"/>
      <w:numFmt w:val="bullet"/>
      <w:lvlText w:val=""/>
      <w:lvlJc w:val="left"/>
      <w:pPr>
        <w:ind w:left="295" w:hanging="360"/>
      </w:pPr>
      <w:rPr>
        <w:rFonts w:ascii="Symbol" w:hAnsi="Symbol" w:hint="default"/>
      </w:rPr>
    </w:lvl>
    <w:lvl w:ilvl="1" w:tplc="0C090003" w:tentative="1">
      <w:start w:val="1"/>
      <w:numFmt w:val="bullet"/>
      <w:lvlText w:val="o"/>
      <w:lvlJc w:val="left"/>
      <w:pPr>
        <w:ind w:left="1015" w:hanging="360"/>
      </w:pPr>
      <w:rPr>
        <w:rFonts w:ascii="Courier New" w:hAnsi="Courier New" w:cs="Courier New" w:hint="default"/>
      </w:rPr>
    </w:lvl>
    <w:lvl w:ilvl="2" w:tplc="0C090005" w:tentative="1">
      <w:start w:val="1"/>
      <w:numFmt w:val="bullet"/>
      <w:lvlText w:val=""/>
      <w:lvlJc w:val="left"/>
      <w:pPr>
        <w:ind w:left="1735" w:hanging="360"/>
      </w:pPr>
      <w:rPr>
        <w:rFonts w:ascii="Wingdings" w:hAnsi="Wingdings" w:hint="default"/>
      </w:rPr>
    </w:lvl>
    <w:lvl w:ilvl="3" w:tplc="0C090001" w:tentative="1">
      <w:start w:val="1"/>
      <w:numFmt w:val="bullet"/>
      <w:lvlText w:val=""/>
      <w:lvlJc w:val="left"/>
      <w:pPr>
        <w:ind w:left="2455" w:hanging="360"/>
      </w:pPr>
      <w:rPr>
        <w:rFonts w:ascii="Symbol" w:hAnsi="Symbol" w:hint="default"/>
      </w:rPr>
    </w:lvl>
    <w:lvl w:ilvl="4" w:tplc="0C090003" w:tentative="1">
      <w:start w:val="1"/>
      <w:numFmt w:val="bullet"/>
      <w:lvlText w:val="o"/>
      <w:lvlJc w:val="left"/>
      <w:pPr>
        <w:ind w:left="3175" w:hanging="360"/>
      </w:pPr>
      <w:rPr>
        <w:rFonts w:ascii="Courier New" w:hAnsi="Courier New" w:cs="Courier New" w:hint="default"/>
      </w:rPr>
    </w:lvl>
    <w:lvl w:ilvl="5" w:tplc="0C090005" w:tentative="1">
      <w:start w:val="1"/>
      <w:numFmt w:val="bullet"/>
      <w:lvlText w:val=""/>
      <w:lvlJc w:val="left"/>
      <w:pPr>
        <w:ind w:left="3895" w:hanging="360"/>
      </w:pPr>
      <w:rPr>
        <w:rFonts w:ascii="Wingdings" w:hAnsi="Wingdings" w:hint="default"/>
      </w:rPr>
    </w:lvl>
    <w:lvl w:ilvl="6" w:tplc="0C090001" w:tentative="1">
      <w:start w:val="1"/>
      <w:numFmt w:val="bullet"/>
      <w:lvlText w:val=""/>
      <w:lvlJc w:val="left"/>
      <w:pPr>
        <w:ind w:left="4615" w:hanging="360"/>
      </w:pPr>
      <w:rPr>
        <w:rFonts w:ascii="Symbol" w:hAnsi="Symbol" w:hint="default"/>
      </w:rPr>
    </w:lvl>
    <w:lvl w:ilvl="7" w:tplc="0C090003" w:tentative="1">
      <w:start w:val="1"/>
      <w:numFmt w:val="bullet"/>
      <w:lvlText w:val="o"/>
      <w:lvlJc w:val="left"/>
      <w:pPr>
        <w:ind w:left="5335" w:hanging="360"/>
      </w:pPr>
      <w:rPr>
        <w:rFonts w:ascii="Courier New" w:hAnsi="Courier New" w:cs="Courier New" w:hint="default"/>
      </w:rPr>
    </w:lvl>
    <w:lvl w:ilvl="8" w:tplc="0C090005" w:tentative="1">
      <w:start w:val="1"/>
      <w:numFmt w:val="bullet"/>
      <w:lvlText w:val=""/>
      <w:lvlJc w:val="left"/>
      <w:pPr>
        <w:ind w:left="6055" w:hanging="360"/>
      </w:pPr>
      <w:rPr>
        <w:rFonts w:ascii="Wingdings" w:hAnsi="Wingdings" w:hint="default"/>
      </w:rPr>
    </w:lvl>
  </w:abstractNum>
  <w:num w:numId="1">
    <w:abstractNumId w:val="9"/>
  </w:num>
  <w:num w:numId="2">
    <w:abstractNumId w:val="28"/>
  </w:num>
  <w:num w:numId="3">
    <w:abstractNumId w:val="21"/>
  </w:num>
  <w:num w:numId="4">
    <w:abstractNumId w:val="22"/>
  </w:num>
  <w:num w:numId="5">
    <w:abstractNumId w:val="11"/>
  </w:num>
  <w:num w:numId="6">
    <w:abstractNumId w:val="29"/>
  </w:num>
  <w:num w:numId="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3"/>
  </w:num>
  <w:num w:numId="9">
    <w:abstractNumId w:val="15"/>
  </w:num>
  <w:num w:numId="10">
    <w:abstractNumId w:val="19"/>
  </w:num>
  <w:num w:numId="11">
    <w:abstractNumId w:val="7"/>
  </w:num>
  <w:num w:numId="12">
    <w:abstractNumId w:val="6"/>
  </w:num>
  <w:num w:numId="13">
    <w:abstractNumId w:val="5"/>
  </w:num>
  <w:num w:numId="14">
    <w:abstractNumId w:val="4"/>
  </w:num>
  <w:num w:numId="15">
    <w:abstractNumId w:val="8"/>
  </w:num>
  <w:num w:numId="16">
    <w:abstractNumId w:val="3"/>
  </w:num>
  <w:num w:numId="17">
    <w:abstractNumId w:val="2"/>
  </w:num>
  <w:num w:numId="18">
    <w:abstractNumId w:val="1"/>
  </w:num>
  <w:num w:numId="19">
    <w:abstractNumId w:val="0"/>
  </w:num>
  <w:num w:numId="20">
    <w:abstractNumId w:val="13"/>
  </w:num>
  <w:num w:numId="21">
    <w:abstractNumId w:val="30"/>
  </w:num>
  <w:num w:numId="22">
    <w:abstractNumId w:val="27"/>
  </w:num>
  <w:num w:numId="23">
    <w:abstractNumId w:val="14"/>
  </w:num>
  <w:num w:numId="24">
    <w:abstractNumId w:val="12"/>
  </w:num>
  <w:num w:numId="25">
    <w:abstractNumId w:val="24"/>
  </w:num>
  <w:num w:numId="26">
    <w:abstractNumId w:val="28"/>
  </w:num>
  <w:num w:numId="27">
    <w:abstractNumId w:val="28"/>
  </w:num>
  <w:num w:numId="28">
    <w:abstractNumId w:val="28"/>
  </w:num>
  <w:num w:numId="29">
    <w:abstractNumId w:val="17"/>
  </w:num>
  <w:num w:numId="30">
    <w:abstractNumId w:val="16"/>
  </w:num>
  <w:num w:numId="31">
    <w:abstractNumId w:val="25"/>
  </w:num>
  <w:num w:numId="32">
    <w:abstractNumId w:val="10"/>
  </w:num>
  <w:num w:numId="33">
    <w:abstractNumId w:val="26"/>
  </w:num>
  <w:num w:numId="34">
    <w:abstractNumId w:val="18"/>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mirrorMargins/>
  <w:activeWritingStyle w:appName="MSWord" w:lang="en-US" w:vendorID="8" w:dllVersion="513" w:checkStyle="1"/>
  <w:activeWritingStyle w:appName="MSWord" w:lang="en-AU" w:vendorID="8" w:dllVersion="513" w:checkStyle="1"/>
  <w:activeWritingStyle w:appName="MSWord" w:lang="en-GB" w:vendorID="8" w:dllVersion="513" w:checkStyle="1"/>
  <w:stylePaneFormatFilter w:val="9808" w:allStyles="0" w:customStyles="0" w:latentStyles="0" w:stylesInUse="1" w:headingStyles="0" w:numberingStyles="0" w:tableStyles="0" w:directFormattingOnRuns="0" w:directFormattingOnParagraphs="0" w:directFormattingOnNumbering="0" w:directFormattingOnTables="1" w:clearFormatting="1" w:top3HeadingStyles="0" w:visibleStyles="0" w:alternateStyleNames="1"/>
  <w:stylePaneSortMethod w:val="0000"/>
  <w:defaultTabStop w:val="720"/>
  <w:doNotHyphenateCaps/>
  <w:evenAndOddHeaders/>
  <w:displayHorizontalDrawingGridEvery w:val="0"/>
  <w:displayVerticalDrawingGridEvery w:val="0"/>
  <w:doNotUseMarginsForDrawingGridOrigin/>
  <w:noPunctuationKerning/>
  <w:characterSpacingControl w:val="doNotCompress"/>
  <w:hdrShapeDefaults>
    <o:shapedefaults v:ext="edit" spidmax="45057">
      <o:colormru v:ext="edit" colors="#ffc425"/>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tjA0MTU1sDA1tjC2sDRW0lEKTi0uzszPAykwqgUAO+CdNCwAAAA="/>
  </w:docVars>
  <w:rsids>
    <w:rsidRoot w:val="003D4DFA"/>
    <w:rsid w:val="00003E73"/>
    <w:rsid w:val="0000777B"/>
    <w:rsid w:val="00007CC3"/>
    <w:rsid w:val="00010451"/>
    <w:rsid w:val="000108B2"/>
    <w:rsid w:val="00011F2E"/>
    <w:rsid w:val="000138F5"/>
    <w:rsid w:val="00015F47"/>
    <w:rsid w:val="0001670C"/>
    <w:rsid w:val="000219CF"/>
    <w:rsid w:val="00022290"/>
    <w:rsid w:val="0002340E"/>
    <w:rsid w:val="00023527"/>
    <w:rsid w:val="00023E79"/>
    <w:rsid w:val="00024BAE"/>
    <w:rsid w:val="000262B9"/>
    <w:rsid w:val="0003003E"/>
    <w:rsid w:val="00034458"/>
    <w:rsid w:val="00040345"/>
    <w:rsid w:val="00041339"/>
    <w:rsid w:val="000435A6"/>
    <w:rsid w:val="00043F33"/>
    <w:rsid w:val="00045E77"/>
    <w:rsid w:val="0004657F"/>
    <w:rsid w:val="000471D6"/>
    <w:rsid w:val="0005005C"/>
    <w:rsid w:val="00051747"/>
    <w:rsid w:val="000533F9"/>
    <w:rsid w:val="00054BE0"/>
    <w:rsid w:val="00054FD1"/>
    <w:rsid w:val="00056022"/>
    <w:rsid w:val="000574E2"/>
    <w:rsid w:val="0006125F"/>
    <w:rsid w:val="00061F86"/>
    <w:rsid w:val="000653D1"/>
    <w:rsid w:val="000656A6"/>
    <w:rsid w:val="0006756D"/>
    <w:rsid w:val="00074BD4"/>
    <w:rsid w:val="00075F84"/>
    <w:rsid w:val="0007783F"/>
    <w:rsid w:val="000807DD"/>
    <w:rsid w:val="00083C29"/>
    <w:rsid w:val="00090C1B"/>
    <w:rsid w:val="000911E1"/>
    <w:rsid w:val="00091D97"/>
    <w:rsid w:val="000934CC"/>
    <w:rsid w:val="000939E6"/>
    <w:rsid w:val="000971C0"/>
    <w:rsid w:val="00097613"/>
    <w:rsid w:val="000A00F0"/>
    <w:rsid w:val="000A1A90"/>
    <w:rsid w:val="000A4472"/>
    <w:rsid w:val="000A5A49"/>
    <w:rsid w:val="000A5CAC"/>
    <w:rsid w:val="000A6A74"/>
    <w:rsid w:val="000B059D"/>
    <w:rsid w:val="000B06AD"/>
    <w:rsid w:val="000B4ECC"/>
    <w:rsid w:val="000B540A"/>
    <w:rsid w:val="000C1AE3"/>
    <w:rsid w:val="000D1083"/>
    <w:rsid w:val="000D1255"/>
    <w:rsid w:val="000D3131"/>
    <w:rsid w:val="000D439B"/>
    <w:rsid w:val="000D50FF"/>
    <w:rsid w:val="000D675B"/>
    <w:rsid w:val="000D75D6"/>
    <w:rsid w:val="000D79C7"/>
    <w:rsid w:val="000D7EF9"/>
    <w:rsid w:val="000E097E"/>
    <w:rsid w:val="000E4BC2"/>
    <w:rsid w:val="000E4C7B"/>
    <w:rsid w:val="000E4D97"/>
    <w:rsid w:val="000E5677"/>
    <w:rsid w:val="000E7FB6"/>
    <w:rsid w:val="000F258C"/>
    <w:rsid w:val="000F59F1"/>
    <w:rsid w:val="000F5C33"/>
    <w:rsid w:val="000F66F6"/>
    <w:rsid w:val="000F7294"/>
    <w:rsid w:val="00103328"/>
    <w:rsid w:val="0010427A"/>
    <w:rsid w:val="00105705"/>
    <w:rsid w:val="00106DB1"/>
    <w:rsid w:val="00106FF4"/>
    <w:rsid w:val="0010761A"/>
    <w:rsid w:val="0011193D"/>
    <w:rsid w:val="00113805"/>
    <w:rsid w:val="00116ABD"/>
    <w:rsid w:val="00116E27"/>
    <w:rsid w:val="001209BE"/>
    <w:rsid w:val="0012190E"/>
    <w:rsid w:val="00123B5C"/>
    <w:rsid w:val="00124E32"/>
    <w:rsid w:val="0013152F"/>
    <w:rsid w:val="00131C09"/>
    <w:rsid w:val="00132874"/>
    <w:rsid w:val="00133F01"/>
    <w:rsid w:val="00134DF5"/>
    <w:rsid w:val="00135C75"/>
    <w:rsid w:val="001367FE"/>
    <w:rsid w:val="001403D5"/>
    <w:rsid w:val="00140C33"/>
    <w:rsid w:val="00140EDC"/>
    <w:rsid w:val="0014275F"/>
    <w:rsid w:val="001429FF"/>
    <w:rsid w:val="001450E8"/>
    <w:rsid w:val="00145D81"/>
    <w:rsid w:val="001467E4"/>
    <w:rsid w:val="00146B86"/>
    <w:rsid w:val="001473AF"/>
    <w:rsid w:val="00150874"/>
    <w:rsid w:val="001509F3"/>
    <w:rsid w:val="00151ED1"/>
    <w:rsid w:val="0015225C"/>
    <w:rsid w:val="00152F23"/>
    <w:rsid w:val="00153104"/>
    <w:rsid w:val="00156177"/>
    <w:rsid w:val="001564F3"/>
    <w:rsid w:val="00156875"/>
    <w:rsid w:val="00157ACA"/>
    <w:rsid w:val="00160BB0"/>
    <w:rsid w:val="001647B6"/>
    <w:rsid w:val="00164E5A"/>
    <w:rsid w:val="001668D1"/>
    <w:rsid w:val="001719EF"/>
    <w:rsid w:val="001725B2"/>
    <w:rsid w:val="001728A6"/>
    <w:rsid w:val="00174828"/>
    <w:rsid w:val="001754B1"/>
    <w:rsid w:val="00180B56"/>
    <w:rsid w:val="0018632B"/>
    <w:rsid w:val="001869EC"/>
    <w:rsid w:val="00187BF6"/>
    <w:rsid w:val="001934C2"/>
    <w:rsid w:val="0019366F"/>
    <w:rsid w:val="00193BF5"/>
    <w:rsid w:val="00193FE5"/>
    <w:rsid w:val="00196226"/>
    <w:rsid w:val="001A2DFE"/>
    <w:rsid w:val="001A3613"/>
    <w:rsid w:val="001A374C"/>
    <w:rsid w:val="001A405D"/>
    <w:rsid w:val="001A5D34"/>
    <w:rsid w:val="001B27A7"/>
    <w:rsid w:val="001B3ABF"/>
    <w:rsid w:val="001B43CF"/>
    <w:rsid w:val="001C004A"/>
    <w:rsid w:val="001C1324"/>
    <w:rsid w:val="001C3DA4"/>
    <w:rsid w:val="001C52BA"/>
    <w:rsid w:val="001C6F67"/>
    <w:rsid w:val="001D17A9"/>
    <w:rsid w:val="001D321A"/>
    <w:rsid w:val="001D4714"/>
    <w:rsid w:val="001E065B"/>
    <w:rsid w:val="001E0CC4"/>
    <w:rsid w:val="001E237A"/>
    <w:rsid w:val="001E2943"/>
    <w:rsid w:val="001E7E4A"/>
    <w:rsid w:val="001F316C"/>
    <w:rsid w:val="001F3740"/>
    <w:rsid w:val="001F48BD"/>
    <w:rsid w:val="001F7D84"/>
    <w:rsid w:val="002029E9"/>
    <w:rsid w:val="00203635"/>
    <w:rsid w:val="002037D7"/>
    <w:rsid w:val="0020576A"/>
    <w:rsid w:val="00205F94"/>
    <w:rsid w:val="00206795"/>
    <w:rsid w:val="00211950"/>
    <w:rsid w:val="00214ED0"/>
    <w:rsid w:val="00215140"/>
    <w:rsid w:val="00215B6F"/>
    <w:rsid w:val="00216A97"/>
    <w:rsid w:val="002173AB"/>
    <w:rsid w:val="00220294"/>
    <w:rsid w:val="00220A0A"/>
    <w:rsid w:val="00222F66"/>
    <w:rsid w:val="00226498"/>
    <w:rsid w:val="00227053"/>
    <w:rsid w:val="002277A9"/>
    <w:rsid w:val="00230197"/>
    <w:rsid w:val="00230E42"/>
    <w:rsid w:val="00232591"/>
    <w:rsid w:val="00233BFA"/>
    <w:rsid w:val="00234BEA"/>
    <w:rsid w:val="00235491"/>
    <w:rsid w:val="00235FB9"/>
    <w:rsid w:val="00236602"/>
    <w:rsid w:val="00237A02"/>
    <w:rsid w:val="0024319E"/>
    <w:rsid w:val="0024349D"/>
    <w:rsid w:val="0024570D"/>
    <w:rsid w:val="0024659B"/>
    <w:rsid w:val="00246A26"/>
    <w:rsid w:val="00251024"/>
    <w:rsid w:val="002512D2"/>
    <w:rsid w:val="002515CF"/>
    <w:rsid w:val="002517DD"/>
    <w:rsid w:val="00253F3C"/>
    <w:rsid w:val="00254952"/>
    <w:rsid w:val="002551BF"/>
    <w:rsid w:val="00256AE8"/>
    <w:rsid w:val="00261651"/>
    <w:rsid w:val="00262B49"/>
    <w:rsid w:val="00264152"/>
    <w:rsid w:val="0026581C"/>
    <w:rsid w:val="00267FE2"/>
    <w:rsid w:val="00271267"/>
    <w:rsid w:val="00274600"/>
    <w:rsid w:val="0027506A"/>
    <w:rsid w:val="00275CFE"/>
    <w:rsid w:val="00277587"/>
    <w:rsid w:val="00281974"/>
    <w:rsid w:val="00282709"/>
    <w:rsid w:val="0028464B"/>
    <w:rsid w:val="00284FCB"/>
    <w:rsid w:val="00286562"/>
    <w:rsid w:val="00287E28"/>
    <w:rsid w:val="00290470"/>
    <w:rsid w:val="002936E4"/>
    <w:rsid w:val="002947D3"/>
    <w:rsid w:val="0029501F"/>
    <w:rsid w:val="00295EF2"/>
    <w:rsid w:val="00296727"/>
    <w:rsid w:val="00296F3E"/>
    <w:rsid w:val="002A1517"/>
    <w:rsid w:val="002A29FA"/>
    <w:rsid w:val="002A5640"/>
    <w:rsid w:val="002B2FCB"/>
    <w:rsid w:val="002B405B"/>
    <w:rsid w:val="002B4BA7"/>
    <w:rsid w:val="002C2B4D"/>
    <w:rsid w:val="002C3377"/>
    <w:rsid w:val="002C437F"/>
    <w:rsid w:val="002C5619"/>
    <w:rsid w:val="002C61C4"/>
    <w:rsid w:val="002C630F"/>
    <w:rsid w:val="002C6BB2"/>
    <w:rsid w:val="002C766F"/>
    <w:rsid w:val="002D28ED"/>
    <w:rsid w:val="002D3984"/>
    <w:rsid w:val="002D4655"/>
    <w:rsid w:val="002D61F7"/>
    <w:rsid w:val="002D678A"/>
    <w:rsid w:val="002E196B"/>
    <w:rsid w:val="002E37D3"/>
    <w:rsid w:val="002E61A4"/>
    <w:rsid w:val="002E7E18"/>
    <w:rsid w:val="002F1CF1"/>
    <w:rsid w:val="002F2792"/>
    <w:rsid w:val="002F38A3"/>
    <w:rsid w:val="002F4CC4"/>
    <w:rsid w:val="002F6BE1"/>
    <w:rsid w:val="0030157A"/>
    <w:rsid w:val="003028F7"/>
    <w:rsid w:val="00306A0D"/>
    <w:rsid w:val="0031045F"/>
    <w:rsid w:val="00310AF9"/>
    <w:rsid w:val="00311902"/>
    <w:rsid w:val="00314B55"/>
    <w:rsid w:val="00314C89"/>
    <w:rsid w:val="00314F75"/>
    <w:rsid w:val="00323C21"/>
    <w:rsid w:val="003244E7"/>
    <w:rsid w:val="00324917"/>
    <w:rsid w:val="003261BC"/>
    <w:rsid w:val="0032623F"/>
    <w:rsid w:val="0033376E"/>
    <w:rsid w:val="003356D7"/>
    <w:rsid w:val="003364D3"/>
    <w:rsid w:val="0033676A"/>
    <w:rsid w:val="0034004F"/>
    <w:rsid w:val="003409D6"/>
    <w:rsid w:val="00341F78"/>
    <w:rsid w:val="00343A0F"/>
    <w:rsid w:val="00346034"/>
    <w:rsid w:val="00347831"/>
    <w:rsid w:val="00355383"/>
    <w:rsid w:val="003555C1"/>
    <w:rsid w:val="0035726A"/>
    <w:rsid w:val="00360FAD"/>
    <w:rsid w:val="0036101C"/>
    <w:rsid w:val="0036400E"/>
    <w:rsid w:val="003651F7"/>
    <w:rsid w:val="00366001"/>
    <w:rsid w:val="003660DB"/>
    <w:rsid w:val="00366255"/>
    <w:rsid w:val="0036639C"/>
    <w:rsid w:val="00366E4E"/>
    <w:rsid w:val="003670AB"/>
    <w:rsid w:val="00372CD8"/>
    <w:rsid w:val="00377627"/>
    <w:rsid w:val="003813E4"/>
    <w:rsid w:val="00382E17"/>
    <w:rsid w:val="003907A5"/>
    <w:rsid w:val="00391D8C"/>
    <w:rsid w:val="0039236C"/>
    <w:rsid w:val="0039263D"/>
    <w:rsid w:val="0039283E"/>
    <w:rsid w:val="00395440"/>
    <w:rsid w:val="00395447"/>
    <w:rsid w:val="00395918"/>
    <w:rsid w:val="00396D1D"/>
    <w:rsid w:val="003975B8"/>
    <w:rsid w:val="003A23B9"/>
    <w:rsid w:val="003A41C6"/>
    <w:rsid w:val="003A45C8"/>
    <w:rsid w:val="003A704F"/>
    <w:rsid w:val="003B0363"/>
    <w:rsid w:val="003B16DA"/>
    <w:rsid w:val="003B483E"/>
    <w:rsid w:val="003C15ED"/>
    <w:rsid w:val="003C1908"/>
    <w:rsid w:val="003C2A58"/>
    <w:rsid w:val="003C30F2"/>
    <w:rsid w:val="003C5C56"/>
    <w:rsid w:val="003D14BA"/>
    <w:rsid w:val="003D30E0"/>
    <w:rsid w:val="003D3125"/>
    <w:rsid w:val="003D330F"/>
    <w:rsid w:val="003D4B3E"/>
    <w:rsid w:val="003D4DFA"/>
    <w:rsid w:val="003D7479"/>
    <w:rsid w:val="003D76C5"/>
    <w:rsid w:val="003D7ABE"/>
    <w:rsid w:val="003E0938"/>
    <w:rsid w:val="003E1700"/>
    <w:rsid w:val="003E17D1"/>
    <w:rsid w:val="003E4574"/>
    <w:rsid w:val="003E5350"/>
    <w:rsid w:val="003E55EF"/>
    <w:rsid w:val="003E6280"/>
    <w:rsid w:val="003E659D"/>
    <w:rsid w:val="003E67CB"/>
    <w:rsid w:val="003F0321"/>
    <w:rsid w:val="003F04C8"/>
    <w:rsid w:val="003F06C6"/>
    <w:rsid w:val="003F5B20"/>
    <w:rsid w:val="003F6A2A"/>
    <w:rsid w:val="003F7DCA"/>
    <w:rsid w:val="0040384B"/>
    <w:rsid w:val="00405FFF"/>
    <w:rsid w:val="00406A51"/>
    <w:rsid w:val="00406BB7"/>
    <w:rsid w:val="00406EEA"/>
    <w:rsid w:val="004070C3"/>
    <w:rsid w:val="00410B53"/>
    <w:rsid w:val="0041147B"/>
    <w:rsid w:val="00411676"/>
    <w:rsid w:val="00417994"/>
    <w:rsid w:val="00421A36"/>
    <w:rsid w:val="00422631"/>
    <w:rsid w:val="00422E47"/>
    <w:rsid w:val="00424885"/>
    <w:rsid w:val="004275DC"/>
    <w:rsid w:val="00427B2D"/>
    <w:rsid w:val="00430471"/>
    <w:rsid w:val="00430892"/>
    <w:rsid w:val="00432394"/>
    <w:rsid w:val="00432473"/>
    <w:rsid w:val="00432F30"/>
    <w:rsid w:val="00435248"/>
    <w:rsid w:val="00437714"/>
    <w:rsid w:val="00444E95"/>
    <w:rsid w:val="0044543B"/>
    <w:rsid w:val="00446BEA"/>
    <w:rsid w:val="00450AD2"/>
    <w:rsid w:val="00451104"/>
    <w:rsid w:val="0045171A"/>
    <w:rsid w:val="00452372"/>
    <w:rsid w:val="00453924"/>
    <w:rsid w:val="004556EA"/>
    <w:rsid w:val="00456222"/>
    <w:rsid w:val="00462D58"/>
    <w:rsid w:val="00463C3D"/>
    <w:rsid w:val="00464215"/>
    <w:rsid w:val="00467A11"/>
    <w:rsid w:val="00467E08"/>
    <w:rsid w:val="0047164E"/>
    <w:rsid w:val="0047224C"/>
    <w:rsid w:val="00474B80"/>
    <w:rsid w:val="0047640F"/>
    <w:rsid w:val="00482A6C"/>
    <w:rsid w:val="0049204C"/>
    <w:rsid w:val="00496623"/>
    <w:rsid w:val="004A2372"/>
    <w:rsid w:val="004A2720"/>
    <w:rsid w:val="004A4427"/>
    <w:rsid w:val="004A5B10"/>
    <w:rsid w:val="004B031A"/>
    <w:rsid w:val="004B190D"/>
    <w:rsid w:val="004B24BB"/>
    <w:rsid w:val="004B4A75"/>
    <w:rsid w:val="004B5C89"/>
    <w:rsid w:val="004B5E86"/>
    <w:rsid w:val="004B6100"/>
    <w:rsid w:val="004B6C20"/>
    <w:rsid w:val="004C0088"/>
    <w:rsid w:val="004C049F"/>
    <w:rsid w:val="004C0992"/>
    <w:rsid w:val="004C184A"/>
    <w:rsid w:val="004C630C"/>
    <w:rsid w:val="004C7C28"/>
    <w:rsid w:val="004D0D32"/>
    <w:rsid w:val="004D14AD"/>
    <w:rsid w:val="004D558D"/>
    <w:rsid w:val="004D6B83"/>
    <w:rsid w:val="004E1A1B"/>
    <w:rsid w:val="004E2CAE"/>
    <w:rsid w:val="004E5AC1"/>
    <w:rsid w:val="004E6BBD"/>
    <w:rsid w:val="004E7227"/>
    <w:rsid w:val="004F063C"/>
    <w:rsid w:val="004F0B76"/>
    <w:rsid w:val="004F14FF"/>
    <w:rsid w:val="004F1984"/>
    <w:rsid w:val="004F1AB4"/>
    <w:rsid w:val="004F66CE"/>
    <w:rsid w:val="00513427"/>
    <w:rsid w:val="00513938"/>
    <w:rsid w:val="00515314"/>
    <w:rsid w:val="0052276C"/>
    <w:rsid w:val="00523D23"/>
    <w:rsid w:val="00524BA9"/>
    <w:rsid w:val="00526187"/>
    <w:rsid w:val="005263DA"/>
    <w:rsid w:val="005274D6"/>
    <w:rsid w:val="00530397"/>
    <w:rsid w:val="00530AFB"/>
    <w:rsid w:val="00531805"/>
    <w:rsid w:val="00532024"/>
    <w:rsid w:val="00532198"/>
    <w:rsid w:val="00533F4E"/>
    <w:rsid w:val="0053494A"/>
    <w:rsid w:val="00534A6A"/>
    <w:rsid w:val="005378DA"/>
    <w:rsid w:val="00540C74"/>
    <w:rsid w:val="00541EA4"/>
    <w:rsid w:val="005420E3"/>
    <w:rsid w:val="00542AEC"/>
    <w:rsid w:val="00543123"/>
    <w:rsid w:val="00543BFF"/>
    <w:rsid w:val="00543F66"/>
    <w:rsid w:val="00547B56"/>
    <w:rsid w:val="005506CD"/>
    <w:rsid w:val="00552149"/>
    <w:rsid w:val="00552458"/>
    <w:rsid w:val="00556CDB"/>
    <w:rsid w:val="005631D4"/>
    <w:rsid w:val="00564AE8"/>
    <w:rsid w:val="005665A8"/>
    <w:rsid w:val="005674AD"/>
    <w:rsid w:val="005675CB"/>
    <w:rsid w:val="00567AD2"/>
    <w:rsid w:val="00570758"/>
    <w:rsid w:val="00581039"/>
    <w:rsid w:val="0058128E"/>
    <w:rsid w:val="00581F49"/>
    <w:rsid w:val="00585562"/>
    <w:rsid w:val="00590B22"/>
    <w:rsid w:val="00591D38"/>
    <w:rsid w:val="00591E2A"/>
    <w:rsid w:val="00591F46"/>
    <w:rsid w:val="005935DF"/>
    <w:rsid w:val="0059366A"/>
    <w:rsid w:val="00594C7C"/>
    <w:rsid w:val="005955B2"/>
    <w:rsid w:val="005A20B2"/>
    <w:rsid w:val="005A2E92"/>
    <w:rsid w:val="005A4F1E"/>
    <w:rsid w:val="005A5D91"/>
    <w:rsid w:val="005B05A6"/>
    <w:rsid w:val="005B0748"/>
    <w:rsid w:val="005B1B25"/>
    <w:rsid w:val="005B4751"/>
    <w:rsid w:val="005B4E87"/>
    <w:rsid w:val="005B5647"/>
    <w:rsid w:val="005C277E"/>
    <w:rsid w:val="005C2A62"/>
    <w:rsid w:val="005C30CF"/>
    <w:rsid w:val="005C50F8"/>
    <w:rsid w:val="005C7ED6"/>
    <w:rsid w:val="005D10D9"/>
    <w:rsid w:val="005D11A2"/>
    <w:rsid w:val="005D218B"/>
    <w:rsid w:val="005D245B"/>
    <w:rsid w:val="005D3CBB"/>
    <w:rsid w:val="005D491C"/>
    <w:rsid w:val="005D51DD"/>
    <w:rsid w:val="005D63CE"/>
    <w:rsid w:val="005D7708"/>
    <w:rsid w:val="005E034D"/>
    <w:rsid w:val="005E14F5"/>
    <w:rsid w:val="005E2C90"/>
    <w:rsid w:val="005E3EB3"/>
    <w:rsid w:val="005E46D7"/>
    <w:rsid w:val="005E46E9"/>
    <w:rsid w:val="005E4764"/>
    <w:rsid w:val="005E60F4"/>
    <w:rsid w:val="005E6695"/>
    <w:rsid w:val="005F067B"/>
    <w:rsid w:val="005F2872"/>
    <w:rsid w:val="005F303F"/>
    <w:rsid w:val="005F7ACB"/>
    <w:rsid w:val="005F7BFD"/>
    <w:rsid w:val="005F7E27"/>
    <w:rsid w:val="00606061"/>
    <w:rsid w:val="00606763"/>
    <w:rsid w:val="00610B4F"/>
    <w:rsid w:val="00611091"/>
    <w:rsid w:val="00611E69"/>
    <w:rsid w:val="00614630"/>
    <w:rsid w:val="00614FB8"/>
    <w:rsid w:val="0061502E"/>
    <w:rsid w:val="006203DE"/>
    <w:rsid w:val="00620E38"/>
    <w:rsid w:val="00621429"/>
    <w:rsid w:val="00621BE5"/>
    <w:rsid w:val="00621FAA"/>
    <w:rsid w:val="00624B6C"/>
    <w:rsid w:val="00624F96"/>
    <w:rsid w:val="00626B30"/>
    <w:rsid w:val="0062780A"/>
    <w:rsid w:val="00631015"/>
    <w:rsid w:val="006366AC"/>
    <w:rsid w:val="00637BE0"/>
    <w:rsid w:val="0064248B"/>
    <w:rsid w:val="00643E4C"/>
    <w:rsid w:val="006447AB"/>
    <w:rsid w:val="00644BD0"/>
    <w:rsid w:val="00645BA9"/>
    <w:rsid w:val="00646495"/>
    <w:rsid w:val="006475E3"/>
    <w:rsid w:val="0064794B"/>
    <w:rsid w:val="00647BA0"/>
    <w:rsid w:val="00650BE1"/>
    <w:rsid w:val="006521A6"/>
    <w:rsid w:val="00652973"/>
    <w:rsid w:val="0065361F"/>
    <w:rsid w:val="006539FB"/>
    <w:rsid w:val="006564B7"/>
    <w:rsid w:val="0065668B"/>
    <w:rsid w:val="00662513"/>
    <w:rsid w:val="00666879"/>
    <w:rsid w:val="006668CE"/>
    <w:rsid w:val="00671B54"/>
    <w:rsid w:val="0067712D"/>
    <w:rsid w:val="00680C77"/>
    <w:rsid w:val="00687845"/>
    <w:rsid w:val="00692092"/>
    <w:rsid w:val="00696A48"/>
    <w:rsid w:val="00696AEA"/>
    <w:rsid w:val="006A1C37"/>
    <w:rsid w:val="006A1C8A"/>
    <w:rsid w:val="006A3D24"/>
    <w:rsid w:val="006A4D29"/>
    <w:rsid w:val="006A5855"/>
    <w:rsid w:val="006A679B"/>
    <w:rsid w:val="006A68AE"/>
    <w:rsid w:val="006A6EEA"/>
    <w:rsid w:val="006B057D"/>
    <w:rsid w:val="006B0B10"/>
    <w:rsid w:val="006B282D"/>
    <w:rsid w:val="006B4E65"/>
    <w:rsid w:val="006B5094"/>
    <w:rsid w:val="006B5DC6"/>
    <w:rsid w:val="006B6733"/>
    <w:rsid w:val="006B7B63"/>
    <w:rsid w:val="006C215B"/>
    <w:rsid w:val="006C21FE"/>
    <w:rsid w:val="006C271D"/>
    <w:rsid w:val="006C3104"/>
    <w:rsid w:val="006C5DA9"/>
    <w:rsid w:val="006D0FBA"/>
    <w:rsid w:val="006D2EFC"/>
    <w:rsid w:val="006D4157"/>
    <w:rsid w:val="006D421E"/>
    <w:rsid w:val="006D546E"/>
    <w:rsid w:val="006D5629"/>
    <w:rsid w:val="006E0516"/>
    <w:rsid w:val="006E0926"/>
    <w:rsid w:val="006E123F"/>
    <w:rsid w:val="006E2975"/>
    <w:rsid w:val="006E6A12"/>
    <w:rsid w:val="006F02B8"/>
    <w:rsid w:val="006F1BE3"/>
    <w:rsid w:val="006F592B"/>
    <w:rsid w:val="006F5A58"/>
    <w:rsid w:val="006F7837"/>
    <w:rsid w:val="007015E8"/>
    <w:rsid w:val="00702326"/>
    <w:rsid w:val="00702446"/>
    <w:rsid w:val="00702C20"/>
    <w:rsid w:val="007037A4"/>
    <w:rsid w:val="007037BE"/>
    <w:rsid w:val="007045C2"/>
    <w:rsid w:val="007049C1"/>
    <w:rsid w:val="00704F86"/>
    <w:rsid w:val="00705F62"/>
    <w:rsid w:val="0071247D"/>
    <w:rsid w:val="00722663"/>
    <w:rsid w:val="00723354"/>
    <w:rsid w:val="007236D8"/>
    <w:rsid w:val="00723C08"/>
    <w:rsid w:val="00724098"/>
    <w:rsid w:val="00726C9A"/>
    <w:rsid w:val="00730CB8"/>
    <w:rsid w:val="00731EC8"/>
    <w:rsid w:val="00735431"/>
    <w:rsid w:val="007412E2"/>
    <w:rsid w:val="00741E26"/>
    <w:rsid w:val="007438A5"/>
    <w:rsid w:val="00743C0F"/>
    <w:rsid w:val="00745092"/>
    <w:rsid w:val="00746DE5"/>
    <w:rsid w:val="00746FF7"/>
    <w:rsid w:val="00747CAE"/>
    <w:rsid w:val="00752A08"/>
    <w:rsid w:val="00753894"/>
    <w:rsid w:val="00753998"/>
    <w:rsid w:val="00753FB6"/>
    <w:rsid w:val="00757149"/>
    <w:rsid w:val="00760B97"/>
    <w:rsid w:val="00760BFC"/>
    <w:rsid w:val="00762855"/>
    <w:rsid w:val="00765706"/>
    <w:rsid w:val="0076735C"/>
    <w:rsid w:val="007711DA"/>
    <w:rsid w:val="0077379D"/>
    <w:rsid w:val="00773B45"/>
    <w:rsid w:val="007740C3"/>
    <w:rsid w:val="00774214"/>
    <w:rsid w:val="00775991"/>
    <w:rsid w:val="00775BBD"/>
    <w:rsid w:val="00777A9F"/>
    <w:rsid w:val="00777B15"/>
    <w:rsid w:val="007824D8"/>
    <w:rsid w:val="007835BD"/>
    <w:rsid w:val="0078371C"/>
    <w:rsid w:val="007839B4"/>
    <w:rsid w:val="00783F44"/>
    <w:rsid w:val="00784ADF"/>
    <w:rsid w:val="00784F86"/>
    <w:rsid w:val="0078707C"/>
    <w:rsid w:val="007903BF"/>
    <w:rsid w:val="0079289C"/>
    <w:rsid w:val="00793626"/>
    <w:rsid w:val="00795732"/>
    <w:rsid w:val="00796E62"/>
    <w:rsid w:val="007A5BF6"/>
    <w:rsid w:val="007B1319"/>
    <w:rsid w:val="007B243A"/>
    <w:rsid w:val="007B2663"/>
    <w:rsid w:val="007B42E2"/>
    <w:rsid w:val="007B54CB"/>
    <w:rsid w:val="007B65C2"/>
    <w:rsid w:val="007B6A13"/>
    <w:rsid w:val="007C2B88"/>
    <w:rsid w:val="007C338A"/>
    <w:rsid w:val="007C4507"/>
    <w:rsid w:val="007C4F7A"/>
    <w:rsid w:val="007C50A7"/>
    <w:rsid w:val="007C65A8"/>
    <w:rsid w:val="007C667B"/>
    <w:rsid w:val="007C7223"/>
    <w:rsid w:val="007D67EE"/>
    <w:rsid w:val="007D6F2D"/>
    <w:rsid w:val="007E32F5"/>
    <w:rsid w:val="007F2BDA"/>
    <w:rsid w:val="007F4A1D"/>
    <w:rsid w:val="00803A61"/>
    <w:rsid w:val="008048B3"/>
    <w:rsid w:val="0080561F"/>
    <w:rsid w:val="00806C1C"/>
    <w:rsid w:val="00807360"/>
    <w:rsid w:val="00807698"/>
    <w:rsid w:val="00807913"/>
    <w:rsid w:val="00810822"/>
    <w:rsid w:val="00811365"/>
    <w:rsid w:val="008127BD"/>
    <w:rsid w:val="00814689"/>
    <w:rsid w:val="008167C1"/>
    <w:rsid w:val="00817A08"/>
    <w:rsid w:val="00826757"/>
    <w:rsid w:val="0084119E"/>
    <w:rsid w:val="00842CD5"/>
    <w:rsid w:val="00843C1C"/>
    <w:rsid w:val="008442AF"/>
    <w:rsid w:val="00850E83"/>
    <w:rsid w:val="00852C0A"/>
    <w:rsid w:val="00853FA6"/>
    <w:rsid w:val="008559C7"/>
    <w:rsid w:val="0086073D"/>
    <w:rsid w:val="00862088"/>
    <w:rsid w:val="00863DB8"/>
    <w:rsid w:val="00864642"/>
    <w:rsid w:val="00866255"/>
    <w:rsid w:val="00866502"/>
    <w:rsid w:val="00867B77"/>
    <w:rsid w:val="008714DC"/>
    <w:rsid w:val="008756F4"/>
    <w:rsid w:val="0087573C"/>
    <w:rsid w:val="00877ACC"/>
    <w:rsid w:val="00880CFB"/>
    <w:rsid w:val="00881614"/>
    <w:rsid w:val="0088361A"/>
    <w:rsid w:val="00883E38"/>
    <w:rsid w:val="008906D7"/>
    <w:rsid w:val="00891A70"/>
    <w:rsid w:val="00892800"/>
    <w:rsid w:val="008934FE"/>
    <w:rsid w:val="0089616B"/>
    <w:rsid w:val="0089778F"/>
    <w:rsid w:val="008A35C7"/>
    <w:rsid w:val="008A433F"/>
    <w:rsid w:val="008A5FBA"/>
    <w:rsid w:val="008A7371"/>
    <w:rsid w:val="008B3151"/>
    <w:rsid w:val="008B6486"/>
    <w:rsid w:val="008B66BB"/>
    <w:rsid w:val="008C002D"/>
    <w:rsid w:val="008C0A74"/>
    <w:rsid w:val="008C1607"/>
    <w:rsid w:val="008C170D"/>
    <w:rsid w:val="008C1AA7"/>
    <w:rsid w:val="008C21E9"/>
    <w:rsid w:val="008C28CA"/>
    <w:rsid w:val="008C3142"/>
    <w:rsid w:val="008C3889"/>
    <w:rsid w:val="008C404E"/>
    <w:rsid w:val="008C60A0"/>
    <w:rsid w:val="008C6AC0"/>
    <w:rsid w:val="008D0834"/>
    <w:rsid w:val="008D3909"/>
    <w:rsid w:val="008D467C"/>
    <w:rsid w:val="008E03EF"/>
    <w:rsid w:val="008E10EE"/>
    <w:rsid w:val="008E1402"/>
    <w:rsid w:val="008E34D0"/>
    <w:rsid w:val="008E461F"/>
    <w:rsid w:val="008E4651"/>
    <w:rsid w:val="008F20BA"/>
    <w:rsid w:val="008F35CD"/>
    <w:rsid w:val="008F5023"/>
    <w:rsid w:val="008F62F5"/>
    <w:rsid w:val="008F6B7E"/>
    <w:rsid w:val="00901D16"/>
    <w:rsid w:val="0090328D"/>
    <w:rsid w:val="00904EF2"/>
    <w:rsid w:val="00905024"/>
    <w:rsid w:val="00905057"/>
    <w:rsid w:val="009058B5"/>
    <w:rsid w:val="00905D71"/>
    <w:rsid w:val="00906F99"/>
    <w:rsid w:val="0091065D"/>
    <w:rsid w:val="00914715"/>
    <w:rsid w:val="00914912"/>
    <w:rsid w:val="009174CD"/>
    <w:rsid w:val="0092276D"/>
    <w:rsid w:val="00923241"/>
    <w:rsid w:val="009272DF"/>
    <w:rsid w:val="00930671"/>
    <w:rsid w:val="00932BC9"/>
    <w:rsid w:val="00933317"/>
    <w:rsid w:val="00933957"/>
    <w:rsid w:val="009346F4"/>
    <w:rsid w:val="00936EE6"/>
    <w:rsid w:val="00937A12"/>
    <w:rsid w:val="00940924"/>
    <w:rsid w:val="00941A3C"/>
    <w:rsid w:val="009442E9"/>
    <w:rsid w:val="00945245"/>
    <w:rsid w:val="00952F16"/>
    <w:rsid w:val="009538E6"/>
    <w:rsid w:val="0095734A"/>
    <w:rsid w:val="00957BAC"/>
    <w:rsid w:val="00960673"/>
    <w:rsid w:val="00962CD5"/>
    <w:rsid w:val="00965C48"/>
    <w:rsid w:val="00966E30"/>
    <w:rsid w:val="00967388"/>
    <w:rsid w:val="009704E4"/>
    <w:rsid w:val="00970694"/>
    <w:rsid w:val="009707F1"/>
    <w:rsid w:val="009716AA"/>
    <w:rsid w:val="00976A18"/>
    <w:rsid w:val="00977032"/>
    <w:rsid w:val="00977426"/>
    <w:rsid w:val="009775C7"/>
    <w:rsid w:val="00983D9E"/>
    <w:rsid w:val="009851FC"/>
    <w:rsid w:val="00985D65"/>
    <w:rsid w:val="0099311F"/>
    <w:rsid w:val="00993C8C"/>
    <w:rsid w:val="00993DBC"/>
    <w:rsid w:val="00995935"/>
    <w:rsid w:val="009963E6"/>
    <w:rsid w:val="0099670F"/>
    <w:rsid w:val="00996D66"/>
    <w:rsid w:val="009A0289"/>
    <w:rsid w:val="009A5E17"/>
    <w:rsid w:val="009A7ACA"/>
    <w:rsid w:val="009B6FBA"/>
    <w:rsid w:val="009C0397"/>
    <w:rsid w:val="009C22BE"/>
    <w:rsid w:val="009C3172"/>
    <w:rsid w:val="009C388D"/>
    <w:rsid w:val="009C5986"/>
    <w:rsid w:val="009C5E57"/>
    <w:rsid w:val="009D23A9"/>
    <w:rsid w:val="009D28A7"/>
    <w:rsid w:val="009D2F63"/>
    <w:rsid w:val="009E040C"/>
    <w:rsid w:val="009E231A"/>
    <w:rsid w:val="009E2F64"/>
    <w:rsid w:val="009E46A9"/>
    <w:rsid w:val="009F04E1"/>
    <w:rsid w:val="009F3844"/>
    <w:rsid w:val="009F4557"/>
    <w:rsid w:val="009F6110"/>
    <w:rsid w:val="009F7244"/>
    <w:rsid w:val="009F761F"/>
    <w:rsid w:val="00A0109A"/>
    <w:rsid w:val="00A04C48"/>
    <w:rsid w:val="00A06F2C"/>
    <w:rsid w:val="00A071F8"/>
    <w:rsid w:val="00A07A20"/>
    <w:rsid w:val="00A10E2B"/>
    <w:rsid w:val="00A12F4E"/>
    <w:rsid w:val="00A13173"/>
    <w:rsid w:val="00A13525"/>
    <w:rsid w:val="00A14D4F"/>
    <w:rsid w:val="00A16557"/>
    <w:rsid w:val="00A17B12"/>
    <w:rsid w:val="00A25511"/>
    <w:rsid w:val="00A2676C"/>
    <w:rsid w:val="00A27D6A"/>
    <w:rsid w:val="00A27F10"/>
    <w:rsid w:val="00A30084"/>
    <w:rsid w:val="00A31028"/>
    <w:rsid w:val="00A335C7"/>
    <w:rsid w:val="00A35232"/>
    <w:rsid w:val="00A3551B"/>
    <w:rsid w:val="00A35B1F"/>
    <w:rsid w:val="00A41B4A"/>
    <w:rsid w:val="00A42092"/>
    <w:rsid w:val="00A43D52"/>
    <w:rsid w:val="00A50895"/>
    <w:rsid w:val="00A52A83"/>
    <w:rsid w:val="00A54804"/>
    <w:rsid w:val="00A55E16"/>
    <w:rsid w:val="00A6793A"/>
    <w:rsid w:val="00A67D06"/>
    <w:rsid w:val="00A717C9"/>
    <w:rsid w:val="00A73318"/>
    <w:rsid w:val="00A7560E"/>
    <w:rsid w:val="00A83136"/>
    <w:rsid w:val="00A83E40"/>
    <w:rsid w:val="00A8540B"/>
    <w:rsid w:val="00A90E6A"/>
    <w:rsid w:val="00A91DAA"/>
    <w:rsid w:val="00A93A9F"/>
    <w:rsid w:val="00A9584E"/>
    <w:rsid w:val="00A966EB"/>
    <w:rsid w:val="00A975E0"/>
    <w:rsid w:val="00AA34F7"/>
    <w:rsid w:val="00AA4189"/>
    <w:rsid w:val="00AA4317"/>
    <w:rsid w:val="00AA44D4"/>
    <w:rsid w:val="00AA5949"/>
    <w:rsid w:val="00AA6B58"/>
    <w:rsid w:val="00AA7D3E"/>
    <w:rsid w:val="00AB14A9"/>
    <w:rsid w:val="00AB21B2"/>
    <w:rsid w:val="00AB4F23"/>
    <w:rsid w:val="00AB75DF"/>
    <w:rsid w:val="00AC142C"/>
    <w:rsid w:val="00AC27F4"/>
    <w:rsid w:val="00AC2A23"/>
    <w:rsid w:val="00AC38DC"/>
    <w:rsid w:val="00AC4AC7"/>
    <w:rsid w:val="00AC5497"/>
    <w:rsid w:val="00AC6E16"/>
    <w:rsid w:val="00AC79A9"/>
    <w:rsid w:val="00AD0FB0"/>
    <w:rsid w:val="00AD1238"/>
    <w:rsid w:val="00AD17F8"/>
    <w:rsid w:val="00AD4D89"/>
    <w:rsid w:val="00AE1D85"/>
    <w:rsid w:val="00AE1F7A"/>
    <w:rsid w:val="00AF0209"/>
    <w:rsid w:val="00AF0D3F"/>
    <w:rsid w:val="00AF1005"/>
    <w:rsid w:val="00AF1824"/>
    <w:rsid w:val="00AF40FB"/>
    <w:rsid w:val="00AF5CBC"/>
    <w:rsid w:val="00AF6116"/>
    <w:rsid w:val="00B01470"/>
    <w:rsid w:val="00B12850"/>
    <w:rsid w:val="00B12E40"/>
    <w:rsid w:val="00B144C8"/>
    <w:rsid w:val="00B14B0D"/>
    <w:rsid w:val="00B165F8"/>
    <w:rsid w:val="00B17E8F"/>
    <w:rsid w:val="00B22AEE"/>
    <w:rsid w:val="00B26537"/>
    <w:rsid w:val="00B2677B"/>
    <w:rsid w:val="00B26CA0"/>
    <w:rsid w:val="00B27020"/>
    <w:rsid w:val="00B30624"/>
    <w:rsid w:val="00B32CD1"/>
    <w:rsid w:val="00B338FA"/>
    <w:rsid w:val="00B33C76"/>
    <w:rsid w:val="00B346B2"/>
    <w:rsid w:val="00B40042"/>
    <w:rsid w:val="00B41272"/>
    <w:rsid w:val="00B42FE9"/>
    <w:rsid w:val="00B431A6"/>
    <w:rsid w:val="00B44CDA"/>
    <w:rsid w:val="00B466BC"/>
    <w:rsid w:val="00B53781"/>
    <w:rsid w:val="00B5639C"/>
    <w:rsid w:val="00B60C9C"/>
    <w:rsid w:val="00B64888"/>
    <w:rsid w:val="00B676F8"/>
    <w:rsid w:val="00B71237"/>
    <w:rsid w:val="00B71261"/>
    <w:rsid w:val="00B71EA4"/>
    <w:rsid w:val="00B72DC9"/>
    <w:rsid w:val="00B7317A"/>
    <w:rsid w:val="00B75928"/>
    <w:rsid w:val="00B826C7"/>
    <w:rsid w:val="00B84D44"/>
    <w:rsid w:val="00B85CAC"/>
    <w:rsid w:val="00B86B27"/>
    <w:rsid w:val="00B86D06"/>
    <w:rsid w:val="00B90179"/>
    <w:rsid w:val="00B92DB5"/>
    <w:rsid w:val="00B92F26"/>
    <w:rsid w:val="00B96D50"/>
    <w:rsid w:val="00BA179B"/>
    <w:rsid w:val="00BA5E07"/>
    <w:rsid w:val="00BA6F9E"/>
    <w:rsid w:val="00BB097F"/>
    <w:rsid w:val="00BB264F"/>
    <w:rsid w:val="00BB2AED"/>
    <w:rsid w:val="00BB328B"/>
    <w:rsid w:val="00BB4BCC"/>
    <w:rsid w:val="00BB5088"/>
    <w:rsid w:val="00BB6B2D"/>
    <w:rsid w:val="00BB738F"/>
    <w:rsid w:val="00BC2BDA"/>
    <w:rsid w:val="00BC2D13"/>
    <w:rsid w:val="00BC604C"/>
    <w:rsid w:val="00BD1A75"/>
    <w:rsid w:val="00BD2E83"/>
    <w:rsid w:val="00BD4C1C"/>
    <w:rsid w:val="00BD7320"/>
    <w:rsid w:val="00BD765D"/>
    <w:rsid w:val="00BE1C4E"/>
    <w:rsid w:val="00BE3528"/>
    <w:rsid w:val="00BE3728"/>
    <w:rsid w:val="00BE5A71"/>
    <w:rsid w:val="00BE5DCB"/>
    <w:rsid w:val="00BE721F"/>
    <w:rsid w:val="00BE74C0"/>
    <w:rsid w:val="00BE7592"/>
    <w:rsid w:val="00BE7C28"/>
    <w:rsid w:val="00BE7C2A"/>
    <w:rsid w:val="00BF12B1"/>
    <w:rsid w:val="00BF167B"/>
    <w:rsid w:val="00BF5DE6"/>
    <w:rsid w:val="00BF66AF"/>
    <w:rsid w:val="00BF690E"/>
    <w:rsid w:val="00C00C44"/>
    <w:rsid w:val="00C0392B"/>
    <w:rsid w:val="00C042EB"/>
    <w:rsid w:val="00C053D5"/>
    <w:rsid w:val="00C12BB8"/>
    <w:rsid w:val="00C16AE6"/>
    <w:rsid w:val="00C171D5"/>
    <w:rsid w:val="00C2481F"/>
    <w:rsid w:val="00C248C0"/>
    <w:rsid w:val="00C2532D"/>
    <w:rsid w:val="00C26E8A"/>
    <w:rsid w:val="00C27FC4"/>
    <w:rsid w:val="00C320C1"/>
    <w:rsid w:val="00C37482"/>
    <w:rsid w:val="00C40215"/>
    <w:rsid w:val="00C406D8"/>
    <w:rsid w:val="00C44B0C"/>
    <w:rsid w:val="00C45556"/>
    <w:rsid w:val="00C46A15"/>
    <w:rsid w:val="00C46DA0"/>
    <w:rsid w:val="00C5107C"/>
    <w:rsid w:val="00C5220C"/>
    <w:rsid w:val="00C5324D"/>
    <w:rsid w:val="00C54125"/>
    <w:rsid w:val="00C56620"/>
    <w:rsid w:val="00C56DD9"/>
    <w:rsid w:val="00C57E6B"/>
    <w:rsid w:val="00C6197E"/>
    <w:rsid w:val="00C63294"/>
    <w:rsid w:val="00C668CB"/>
    <w:rsid w:val="00C676DC"/>
    <w:rsid w:val="00C67FB1"/>
    <w:rsid w:val="00C70219"/>
    <w:rsid w:val="00C7323B"/>
    <w:rsid w:val="00C7569E"/>
    <w:rsid w:val="00C75DF0"/>
    <w:rsid w:val="00C77DC6"/>
    <w:rsid w:val="00C80913"/>
    <w:rsid w:val="00C82CE3"/>
    <w:rsid w:val="00C83D73"/>
    <w:rsid w:val="00C84A9D"/>
    <w:rsid w:val="00C9056B"/>
    <w:rsid w:val="00C9100E"/>
    <w:rsid w:val="00C91150"/>
    <w:rsid w:val="00C926F0"/>
    <w:rsid w:val="00C93C19"/>
    <w:rsid w:val="00C93D98"/>
    <w:rsid w:val="00C942C2"/>
    <w:rsid w:val="00C94893"/>
    <w:rsid w:val="00C94AEC"/>
    <w:rsid w:val="00C95A4C"/>
    <w:rsid w:val="00C973BA"/>
    <w:rsid w:val="00C9777B"/>
    <w:rsid w:val="00CA086E"/>
    <w:rsid w:val="00CA0CDD"/>
    <w:rsid w:val="00CA0E75"/>
    <w:rsid w:val="00CA3EFD"/>
    <w:rsid w:val="00CA655D"/>
    <w:rsid w:val="00CA69B8"/>
    <w:rsid w:val="00CA6A33"/>
    <w:rsid w:val="00CA6FD7"/>
    <w:rsid w:val="00CA7497"/>
    <w:rsid w:val="00CB0887"/>
    <w:rsid w:val="00CB1B79"/>
    <w:rsid w:val="00CB271D"/>
    <w:rsid w:val="00CB2DFE"/>
    <w:rsid w:val="00CB34E3"/>
    <w:rsid w:val="00CB3780"/>
    <w:rsid w:val="00CB6129"/>
    <w:rsid w:val="00CB6671"/>
    <w:rsid w:val="00CC2C52"/>
    <w:rsid w:val="00CC377B"/>
    <w:rsid w:val="00CC54E2"/>
    <w:rsid w:val="00CC59C8"/>
    <w:rsid w:val="00CC674D"/>
    <w:rsid w:val="00CD27C8"/>
    <w:rsid w:val="00CD5F32"/>
    <w:rsid w:val="00CD73D9"/>
    <w:rsid w:val="00CE248F"/>
    <w:rsid w:val="00CE2A0E"/>
    <w:rsid w:val="00CE4291"/>
    <w:rsid w:val="00CE67B4"/>
    <w:rsid w:val="00CF1CF1"/>
    <w:rsid w:val="00CF4409"/>
    <w:rsid w:val="00CF6073"/>
    <w:rsid w:val="00D01944"/>
    <w:rsid w:val="00D0268E"/>
    <w:rsid w:val="00D026AC"/>
    <w:rsid w:val="00D0368E"/>
    <w:rsid w:val="00D056F3"/>
    <w:rsid w:val="00D060F6"/>
    <w:rsid w:val="00D107AE"/>
    <w:rsid w:val="00D1265C"/>
    <w:rsid w:val="00D13471"/>
    <w:rsid w:val="00D145E3"/>
    <w:rsid w:val="00D14687"/>
    <w:rsid w:val="00D17F02"/>
    <w:rsid w:val="00D20C0B"/>
    <w:rsid w:val="00D214B8"/>
    <w:rsid w:val="00D306D5"/>
    <w:rsid w:val="00D31921"/>
    <w:rsid w:val="00D3298E"/>
    <w:rsid w:val="00D3553F"/>
    <w:rsid w:val="00D366BC"/>
    <w:rsid w:val="00D3765B"/>
    <w:rsid w:val="00D37F97"/>
    <w:rsid w:val="00D430ED"/>
    <w:rsid w:val="00D4406B"/>
    <w:rsid w:val="00D44F06"/>
    <w:rsid w:val="00D4544A"/>
    <w:rsid w:val="00D461A8"/>
    <w:rsid w:val="00D46C3D"/>
    <w:rsid w:val="00D503F4"/>
    <w:rsid w:val="00D52AB3"/>
    <w:rsid w:val="00D54880"/>
    <w:rsid w:val="00D55EDF"/>
    <w:rsid w:val="00D5690B"/>
    <w:rsid w:val="00D57A64"/>
    <w:rsid w:val="00D60127"/>
    <w:rsid w:val="00D605D8"/>
    <w:rsid w:val="00D607E7"/>
    <w:rsid w:val="00D627B7"/>
    <w:rsid w:val="00D65608"/>
    <w:rsid w:val="00D66D9A"/>
    <w:rsid w:val="00D67BD6"/>
    <w:rsid w:val="00D7104F"/>
    <w:rsid w:val="00D7208B"/>
    <w:rsid w:val="00D7317C"/>
    <w:rsid w:val="00D739C2"/>
    <w:rsid w:val="00D74E4D"/>
    <w:rsid w:val="00D7518D"/>
    <w:rsid w:val="00D837F3"/>
    <w:rsid w:val="00D85EFA"/>
    <w:rsid w:val="00D869B0"/>
    <w:rsid w:val="00D8716A"/>
    <w:rsid w:val="00D87924"/>
    <w:rsid w:val="00D908F2"/>
    <w:rsid w:val="00D9511A"/>
    <w:rsid w:val="00D96BA9"/>
    <w:rsid w:val="00D96E35"/>
    <w:rsid w:val="00DA0664"/>
    <w:rsid w:val="00DA252E"/>
    <w:rsid w:val="00DA4289"/>
    <w:rsid w:val="00DA56E7"/>
    <w:rsid w:val="00DA7192"/>
    <w:rsid w:val="00DA7709"/>
    <w:rsid w:val="00DA7795"/>
    <w:rsid w:val="00DB0D48"/>
    <w:rsid w:val="00DB1ABE"/>
    <w:rsid w:val="00DB1F1E"/>
    <w:rsid w:val="00DB33A8"/>
    <w:rsid w:val="00DB4662"/>
    <w:rsid w:val="00DB4A49"/>
    <w:rsid w:val="00DB4BEE"/>
    <w:rsid w:val="00DB5261"/>
    <w:rsid w:val="00DB54C5"/>
    <w:rsid w:val="00DB599C"/>
    <w:rsid w:val="00DB6660"/>
    <w:rsid w:val="00DB6B66"/>
    <w:rsid w:val="00DC0A26"/>
    <w:rsid w:val="00DC1124"/>
    <w:rsid w:val="00DC2C18"/>
    <w:rsid w:val="00DC362B"/>
    <w:rsid w:val="00DC4C03"/>
    <w:rsid w:val="00DC5F5C"/>
    <w:rsid w:val="00DD03A3"/>
    <w:rsid w:val="00DD1414"/>
    <w:rsid w:val="00DD69EE"/>
    <w:rsid w:val="00DD6B28"/>
    <w:rsid w:val="00DE0844"/>
    <w:rsid w:val="00DE0D3F"/>
    <w:rsid w:val="00DE1969"/>
    <w:rsid w:val="00DE1CCE"/>
    <w:rsid w:val="00DE3468"/>
    <w:rsid w:val="00DE3858"/>
    <w:rsid w:val="00DF0ED3"/>
    <w:rsid w:val="00DF156A"/>
    <w:rsid w:val="00DF26C1"/>
    <w:rsid w:val="00DF2B88"/>
    <w:rsid w:val="00DF30D1"/>
    <w:rsid w:val="00DF31B5"/>
    <w:rsid w:val="00DF5A8E"/>
    <w:rsid w:val="00E005F3"/>
    <w:rsid w:val="00E013E6"/>
    <w:rsid w:val="00E06593"/>
    <w:rsid w:val="00E06B95"/>
    <w:rsid w:val="00E070EC"/>
    <w:rsid w:val="00E07810"/>
    <w:rsid w:val="00E10021"/>
    <w:rsid w:val="00E10CD4"/>
    <w:rsid w:val="00E10F09"/>
    <w:rsid w:val="00E123CB"/>
    <w:rsid w:val="00E14F21"/>
    <w:rsid w:val="00E15550"/>
    <w:rsid w:val="00E168B5"/>
    <w:rsid w:val="00E16B3E"/>
    <w:rsid w:val="00E20083"/>
    <w:rsid w:val="00E21583"/>
    <w:rsid w:val="00E218EB"/>
    <w:rsid w:val="00E23035"/>
    <w:rsid w:val="00E2334E"/>
    <w:rsid w:val="00E23B8D"/>
    <w:rsid w:val="00E25229"/>
    <w:rsid w:val="00E2584C"/>
    <w:rsid w:val="00E277C8"/>
    <w:rsid w:val="00E3162F"/>
    <w:rsid w:val="00E32577"/>
    <w:rsid w:val="00E331CB"/>
    <w:rsid w:val="00E332D5"/>
    <w:rsid w:val="00E333AC"/>
    <w:rsid w:val="00E3412F"/>
    <w:rsid w:val="00E36563"/>
    <w:rsid w:val="00E365F8"/>
    <w:rsid w:val="00E40472"/>
    <w:rsid w:val="00E40501"/>
    <w:rsid w:val="00E41AFD"/>
    <w:rsid w:val="00E41DB5"/>
    <w:rsid w:val="00E43FCB"/>
    <w:rsid w:val="00E44A23"/>
    <w:rsid w:val="00E45482"/>
    <w:rsid w:val="00E45672"/>
    <w:rsid w:val="00E4621D"/>
    <w:rsid w:val="00E46C70"/>
    <w:rsid w:val="00E5160E"/>
    <w:rsid w:val="00E51AE1"/>
    <w:rsid w:val="00E51EDB"/>
    <w:rsid w:val="00E52313"/>
    <w:rsid w:val="00E54D82"/>
    <w:rsid w:val="00E55837"/>
    <w:rsid w:val="00E56BA8"/>
    <w:rsid w:val="00E56EC1"/>
    <w:rsid w:val="00E57675"/>
    <w:rsid w:val="00E6294E"/>
    <w:rsid w:val="00E6627B"/>
    <w:rsid w:val="00E70019"/>
    <w:rsid w:val="00E7111C"/>
    <w:rsid w:val="00E714EB"/>
    <w:rsid w:val="00E7301E"/>
    <w:rsid w:val="00E73280"/>
    <w:rsid w:val="00E7412B"/>
    <w:rsid w:val="00E74E4D"/>
    <w:rsid w:val="00E75808"/>
    <w:rsid w:val="00E75A95"/>
    <w:rsid w:val="00E80325"/>
    <w:rsid w:val="00E81162"/>
    <w:rsid w:val="00E811C3"/>
    <w:rsid w:val="00E81A91"/>
    <w:rsid w:val="00E82274"/>
    <w:rsid w:val="00E851B0"/>
    <w:rsid w:val="00E90584"/>
    <w:rsid w:val="00E906C7"/>
    <w:rsid w:val="00E90AD6"/>
    <w:rsid w:val="00E90D16"/>
    <w:rsid w:val="00E9290B"/>
    <w:rsid w:val="00E93C4E"/>
    <w:rsid w:val="00E9518C"/>
    <w:rsid w:val="00E95948"/>
    <w:rsid w:val="00E9596A"/>
    <w:rsid w:val="00E973C7"/>
    <w:rsid w:val="00EA000F"/>
    <w:rsid w:val="00EA1C5D"/>
    <w:rsid w:val="00EA2ED8"/>
    <w:rsid w:val="00EA7965"/>
    <w:rsid w:val="00EB0AD7"/>
    <w:rsid w:val="00EB3190"/>
    <w:rsid w:val="00EB4644"/>
    <w:rsid w:val="00EB4DCE"/>
    <w:rsid w:val="00EC0542"/>
    <w:rsid w:val="00EC4763"/>
    <w:rsid w:val="00EC4FB3"/>
    <w:rsid w:val="00ED01AC"/>
    <w:rsid w:val="00ED0C08"/>
    <w:rsid w:val="00ED1C6D"/>
    <w:rsid w:val="00ED7964"/>
    <w:rsid w:val="00EE1BB6"/>
    <w:rsid w:val="00EE1F46"/>
    <w:rsid w:val="00EE3B69"/>
    <w:rsid w:val="00EE42D9"/>
    <w:rsid w:val="00EE4434"/>
    <w:rsid w:val="00EE7096"/>
    <w:rsid w:val="00EF0789"/>
    <w:rsid w:val="00EF22E9"/>
    <w:rsid w:val="00EF3114"/>
    <w:rsid w:val="00EF5F04"/>
    <w:rsid w:val="00F00AAA"/>
    <w:rsid w:val="00F010FB"/>
    <w:rsid w:val="00F01194"/>
    <w:rsid w:val="00F013DF"/>
    <w:rsid w:val="00F0565E"/>
    <w:rsid w:val="00F05F22"/>
    <w:rsid w:val="00F060DF"/>
    <w:rsid w:val="00F11836"/>
    <w:rsid w:val="00F128C3"/>
    <w:rsid w:val="00F12DFE"/>
    <w:rsid w:val="00F16613"/>
    <w:rsid w:val="00F22156"/>
    <w:rsid w:val="00F329E7"/>
    <w:rsid w:val="00F33784"/>
    <w:rsid w:val="00F33BB9"/>
    <w:rsid w:val="00F35083"/>
    <w:rsid w:val="00F355F0"/>
    <w:rsid w:val="00F37C75"/>
    <w:rsid w:val="00F40310"/>
    <w:rsid w:val="00F40F14"/>
    <w:rsid w:val="00F41745"/>
    <w:rsid w:val="00F430AF"/>
    <w:rsid w:val="00F43BA3"/>
    <w:rsid w:val="00F45ABC"/>
    <w:rsid w:val="00F50AEF"/>
    <w:rsid w:val="00F53279"/>
    <w:rsid w:val="00F53BD1"/>
    <w:rsid w:val="00F544C8"/>
    <w:rsid w:val="00F5551A"/>
    <w:rsid w:val="00F56646"/>
    <w:rsid w:val="00F61959"/>
    <w:rsid w:val="00F62331"/>
    <w:rsid w:val="00F63DA7"/>
    <w:rsid w:val="00F65420"/>
    <w:rsid w:val="00F6742E"/>
    <w:rsid w:val="00F7325E"/>
    <w:rsid w:val="00F7424D"/>
    <w:rsid w:val="00F757A4"/>
    <w:rsid w:val="00F76718"/>
    <w:rsid w:val="00F801E4"/>
    <w:rsid w:val="00F80D2D"/>
    <w:rsid w:val="00F8531D"/>
    <w:rsid w:val="00F87ABF"/>
    <w:rsid w:val="00F87B5E"/>
    <w:rsid w:val="00F91350"/>
    <w:rsid w:val="00F9382E"/>
    <w:rsid w:val="00F94A89"/>
    <w:rsid w:val="00F9748B"/>
    <w:rsid w:val="00FA1B02"/>
    <w:rsid w:val="00FA34C9"/>
    <w:rsid w:val="00FA37FC"/>
    <w:rsid w:val="00FA6517"/>
    <w:rsid w:val="00FA79F7"/>
    <w:rsid w:val="00FB4DBA"/>
    <w:rsid w:val="00FB52EF"/>
    <w:rsid w:val="00FB5304"/>
    <w:rsid w:val="00FB5BA4"/>
    <w:rsid w:val="00FB68B6"/>
    <w:rsid w:val="00FC5243"/>
    <w:rsid w:val="00FC562A"/>
    <w:rsid w:val="00FC644C"/>
    <w:rsid w:val="00FD3ECC"/>
    <w:rsid w:val="00FD542B"/>
    <w:rsid w:val="00FD69DC"/>
    <w:rsid w:val="00FE0624"/>
    <w:rsid w:val="00FE1F05"/>
    <w:rsid w:val="00FE3D55"/>
    <w:rsid w:val="00FE3F74"/>
    <w:rsid w:val="00FE4A2D"/>
    <w:rsid w:val="00FE52D0"/>
    <w:rsid w:val="00FE792E"/>
    <w:rsid w:val="00FE7FA7"/>
    <w:rsid w:val="00FF12EB"/>
    <w:rsid w:val="00FF1409"/>
    <w:rsid w:val="00FF5931"/>
  </w:rsids>
  <m:mathPr>
    <m:mathFont m:val="Cambria Math"/>
    <m:brkBin m:val="before"/>
    <m:brkBinSub m:val="--"/>
    <m:smallFrac m:val="0"/>
    <m:dispDef m:val="0"/>
    <m:lMargin m:val="0"/>
    <m:rMargin m:val="0"/>
    <m:defJc m:val="centerGroup"/>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5057">
      <o:colormru v:ext="edit" colors="#ffc425"/>
    </o:shapedefaults>
    <o:shapelayout v:ext="edit">
      <o:idmap v:ext="edit" data="1"/>
    </o:shapelayout>
  </w:shapeDefaults>
  <w:decimalSymbol w:val="."/>
  <w:listSeparator w:val=","/>
  <w14:docId w14:val="3F3A49C3"/>
  <w15:docId w15:val="{061819C9-414E-4BC2-BA76-5888302585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1" w:qFormat="1"/>
    <w:lsdException w:name="heading 1" w:uiPriority="0" w:qFormat="1"/>
    <w:lsdException w:name="heading 2" w:uiPriority="0" w:qFormat="1"/>
    <w:lsdException w:name="heading 3" w:uiPriority="0" w:unhideWhenUsed="1" w:qFormat="1"/>
    <w:lsdException w:name="heading 4" w:uiPriority="0" w:unhideWhenUsed="1" w:qFormat="1"/>
    <w:lsdException w:name="heading 5" w:uiPriority="0" w:unhideWhenUsed="1" w:qFormat="1"/>
    <w:lsdException w:name="heading 6" w:uiPriority="0" w:unhideWhenUsed="1" w:qFormat="1"/>
    <w:lsdException w:name="heading 7" w:uiPriority="0" w:unhideWhenUsed="1" w:qFormat="1"/>
    <w:lsdException w:name="heading 8" w:uiPriority="0"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lsdException w:name="toa heading" w:semiHidden="1" w:unhideWhenUsed="1"/>
    <w:lsdException w:name="List" w:semiHidden="1" w:unhideWhenUsed="1"/>
    <w:lsdException w:name="List Bullet" w:semiHidden="1" w:uiPriority="0"/>
    <w:lsdException w:name="List Number" w:semiHidden="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lsdException w:name="List Continue 4" w:semiHidden="1"/>
    <w:lsdException w:name="List Continue 5" w:semiHidden="1"/>
    <w:lsdException w:name="Message Header" w:semiHidden="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semiHidden/>
    <w:qFormat/>
    <w:rsid w:val="00AC6E16"/>
    <w:pPr>
      <w:spacing w:before="160" w:line="260" w:lineRule="exact"/>
    </w:pPr>
    <w:rPr>
      <w:rFonts w:ascii="Trebuchet MS" w:hAnsi="Trebuchet MS"/>
      <w:sz w:val="19"/>
      <w:lang w:val="en-AU"/>
    </w:rPr>
  </w:style>
  <w:style w:type="paragraph" w:styleId="Heading1">
    <w:name w:val="heading 1"/>
    <w:next w:val="Text"/>
    <w:link w:val="Heading1Char"/>
    <w:qFormat/>
    <w:rsid w:val="004F0B76"/>
    <w:pPr>
      <w:keepNext/>
      <w:spacing w:after="360"/>
      <w:outlineLvl w:val="0"/>
    </w:pPr>
    <w:rPr>
      <w:rFonts w:ascii="Arial" w:hAnsi="Arial" w:cs="Tahoma"/>
      <w:color w:val="000000"/>
      <w:kern w:val="28"/>
      <w:sz w:val="48"/>
      <w:szCs w:val="56"/>
      <w:lang w:val="en-AU"/>
    </w:rPr>
  </w:style>
  <w:style w:type="paragraph" w:styleId="Heading2">
    <w:name w:val="heading 2"/>
    <w:next w:val="Text"/>
    <w:qFormat/>
    <w:rsid w:val="005378DA"/>
    <w:pPr>
      <w:keepNext/>
      <w:spacing w:before="360"/>
      <w:ind w:right="-1"/>
      <w:outlineLvl w:val="1"/>
    </w:pPr>
    <w:rPr>
      <w:rFonts w:ascii="Arial" w:hAnsi="Arial" w:cs="Tahoma"/>
      <w:sz w:val="28"/>
      <w:lang w:val="en-AU"/>
    </w:rPr>
  </w:style>
  <w:style w:type="paragraph" w:styleId="Heading3">
    <w:name w:val="heading 3"/>
    <w:next w:val="Text"/>
    <w:link w:val="Heading3Char"/>
    <w:qFormat/>
    <w:rsid w:val="004F0B76"/>
    <w:pPr>
      <w:spacing w:before="280"/>
      <w:outlineLvl w:val="2"/>
    </w:pPr>
    <w:rPr>
      <w:rFonts w:ascii="Arial" w:hAnsi="Arial" w:cs="Tahoma"/>
      <w:color w:val="000000"/>
      <w:sz w:val="24"/>
      <w:lang w:val="en-AU"/>
    </w:rPr>
  </w:style>
  <w:style w:type="paragraph" w:styleId="Heading4">
    <w:name w:val="heading 4"/>
    <w:next w:val="Text"/>
    <w:link w:val="Heading4Char"/>
    <w:qFormat/>
    <w:rsid w:val="00E93C4E"/>
    <w:pPr>
      <w:spacing w:before="280"/>
      <w:outlineLvl w:val="3"/>
    </w:pPr>
    <w:rPr>
      <w:rFonts w:ascii="Arial" w:hAnsi="Arial"/>
      <w:i/>
      <w:sz w:val="22"/>
      <w:lang w:val="en-AU"/>
    </w:rPr>
  </w:style>
  <w:style w:type="paragraph" w:styleId="Heading5">
    <w:name w:val="heading 5"/>
    <w:basedOn w:val="Normal"/>
    <w:next w:val="Normal"/>
    <w:qFormat/>
    <w:rsid w:val="006D546E"/>
    <w:pPr>
      <w:keepNext/>
      <w:outlineLvl w:val="4"/>
    </w:pPr>
    <w:rPr>
      <w:rFonts w:ascii="Tahoma" w:hAnsi="Tahoma"/>
      <w:b/>
    </w:rPr>
  </w:style>
  <w:style w:type="paragraph" w:styleId="Heading6">
    <w:name w:val="heading 6"/>
    <w:basedOn w:val="Normal"/>
    <w:next w:val="Normal"/>
    <w:qFormat/>
    <w:rsid w:val="006D546E"/>
    <w:pPr>
      <w:keepNext/>
      <w:ind w:left="2977"/>
      <w:outlineLvl w:val="5"/>
    </w:pPr>
    <w:rPr>
      <w:rFonts w:ascii="Tahoma" w:hAnsi="Tahoma"/>
      <w:sz w:val="20"/>
    </w:rPr>
  </w:style>
  <w:style w:type="paragraph" w:styleId="Heading7">
    <w:name w:val="heading 7"/>
    <w:basedOn w:val="Normal"/>
    <w:next w:val="Normal"/>
    <w:qFormat/>
    <w:rsid w:val="006D546E"/>
    <w:pPr>
      <w:keepNext/>
      <w:jc w:val="center"/>
      <w:outlineLvl w:val="6"/>
    </w:pPr>
    <w:rPr>
      <w:rFonts w:ascii="Tahoma" w:hAnsi="Tahoma"/>
      <w:spacing w:val="20"/>
      <w:sz w:val="20"/>
    </w:rPr>
  </w:style>
  <w:style w:type="paragraph" w:styleId="Heading8">
    <w:name w:val="heading 8"/>
    <w:basedOn w:val="Normal"/>
    <w:next w:val="Normal"/>
    <w:qFormat/>
    <w:rsid w:val="006D546E"/>
    <w:pPr>
      <w:keepNext/>
      <w:jc w:val="center"/>
      <w:outlineLvl w:val="7"/>
    </w:pPr>
    <w:rPr>
      <w:rFonts w:ascii="Tahoma" w:hAnsi="Tahoma"/>
      <w:color w:val="C0C0C0"/>
      <w:spacing w:val="60"/>
      <w:sz w:val="20"/>
    </w:rPr>
  </w:style>
  <w:style w:type="paragraph" w:styleId="Heading9">
    <w:name w:val="heading 9"/>
    <w:basedOn w:val="Normal"/>
    <w:next w:val="Normal"/>
    <w:link w:val="Heading9Char"/>
    <w:uiPriority w:val="9"/>
    <w:semiHidden/>
    <w:rsid w:val="00A83136"/>
    <w:pPr>
      <w:keepNext/>
      <w:keepLines/>
      <w:spacing w:before="200"/>
      <w:outlineLvl w:val="8"/>
    </w:pPr>
    <w:rPr>
      <w:rFonts w:asciiTheme="majorHAnsi" w:eastAsiaTheme="majorEastAsia" w:hAnsiTheme="majorHAnsi" w:cstheme="majorBidi"/>
      <w:i/>
      <w:iCs/>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
    <w:name w:val="Text"/>
    <w:link w:val="TextChar"/>
    <w:uiPriority w:val="99"/>
    <w:qFormat/>
    <w:rsid w:val="005955B2"/>
    <w:pPr>
      <w:spacing w:before="160" w:line="300" w:lineRule="exact"/>
    </w:pPr>
    <w:rPr>
      <w:rFonts w:ascii="Trebuchet MS" w:hAnsi="Trebuchet MS"/>
      <w:sz w:val="19"/>
      <w:lang w:val="en-AU"/>
    </w:rPr>
  </w:style>
  <w:style w:type="character" w:customStyle="1" w:styleId="TextChar">
    <w:name w:val="Text Char"/>
    <w:basedOn w:val="DefaultParagraphFont"/>
    <w:link w:val="Text"/>
    <w:uiPriority w:val="99"/>
    <w:rsid w:val="005955B2"/>
    <w:rPr>
      <w:rFonts w:ascii="Trebuchet MS" w:hAnsi="Trebuchet MS"/>
      <w:sz w:val="19"/>
      <w:lang w:val="en-AU"/>
    </w:rPr>
  </w:style>
  <w:style w:type="character" w:customStyle="1" w:styleId="Heading3Char">
    <w:name w:val="Heading 3 Char"/>
    <w:basedOn w:val="DefaultParagraphFont"/>
    <w:link w:val="Heading3"/>
    <w:uiPriority w:val="9"/>
    <w:rsid w:val="004F0B76"/>
    <w:rPr>
      <w:rFonts w:ascii="Arial" w:hAnsi="Arial" w:cs="Tahoma"/>
      <w:color w:val="000000"/>
      <w:sz w:val="24"/>
      <w:lang w:val="en-AU"/>
    </w:rPr>
  </w:style>
  <w:style w:type="character" w:customStyle="1" w:styleId="Heading4Char">
    <w:name w:val="Heading 4 Char"/>
    <w:basedOn w:val="DefaultParagraphFont"/>
    <w:link w:val="Heading4"/>
    <w:rsid w:val="00E93C4E"/>
    <w:rPr>
      <w:rFonts w:ascii="Arial" w:hAnsi="Arial"/>
      <w:i/>
      <w:sz w:val="22"/>
      <w:lang w:val="en-AU"/>
    </w:rPr>
  </w:style>
  <w:style w:type="character" w:styleId="PageNumber">
    <w:name w:val="page number"/>
    <w:basedOn w:val="DefaultParagraphFont"/>
    <w:rsid w:val="007037A4"/>
    <w:rPr>
      <w:rFonts w:ascii="Tahoma" w:hAnsi="Tahoma"/>
      <w:sz w:val="18"/>
    </w:rPr>
  </w:style>
  <w:style w:type="paragraph" w:styleId="Footer">
    <w:name w:val="footer"/>
    <w:basedOn w:val="Normal"/>
    <w:link w:val="FooterChar"/>
    <w:rsid w:val="00410B53"/>
    <w:pPr>
      <w:framePr w:wrap="around" w:vAnchor="text" w:hAnchor="text" w:y="1"/>
      <w:tabs>
        <w:tab w:val="right" w:pos="9072"/>
      </w:tabs>
      <w:spacing w:before="0"/>
      <w:ind w:right="-1"/>
    </w:pPr>
    <w:rPr>
      <w:rFonts w:ascii="Arial Bold" w:hAnsi="Arial Bold" w:cs="Arial"/>
      <w:b/>
      <w:sz w:val="17"/>
      <w:szCs w:val="17"/>
    </w:rPr>
  </w:style>
  <w:style w:type="character" w:customStyle="1" w:styleId="FooterChar">
    <w:name w:val="Footer Char"/>
    <w:link w:val="Footer"/>
    <w:rsid w:val="00410B53"/>
    <w:rPr>
      <w:rFonts w:ascii="Arial Bold" w:hAnsi="Arial Bold" w:cs="Arial"/>
      <w:b/>
      <w:sz w:val="17"/>
      <w:szCs w:val="17"/>
      <w:lang w:val="en-AU"/>
    </w:rPr>
  </w:style>
  <w:style w:type="paragraph" w:styleId="TOC1">
    <w:name w:val="toc 1"/>
    <w:uiPriority w:val="39"/>
    <w:rsid w:val="00C053D5"/>
    <w:pPr>
      <w:tabs>
        <w:tab w:val="right" w:pos="6804"/>
      </w:tabs>
      <w:spacing w:before="120" w:line="300" w:lineRule="exact"/>
      <w:ind w:right="1984"/>
    </w:pPr>
    <w:rPr>
      <w:rFonts w:ascii="Trebuchet MS" w:hAnsi="Trebuchet MS"/>
      <w:noProof/>
      <w:color w:val="000000"/>
      <w:sz w:val="19"/>
      <w:szCs w:val="19"/>
      <w:lang w:val="en-AU"/>
    </w:rPr>
  </w:style>
  <w:style w:type="paragraph" w:styleId="TOC2">
    <w:name w:val="toc 2"/>
    <w:basedOn w:val="Normal"/>
    <w:next w:val="Normal"/>
    <w:uiPriority w:val="39"/>
    <w:rsid w:val="004E7227"/>
    <w:pPr>
      <w:tabs>
        <w:tab w:val="right" w:pos="6804"/>
      </w:tabs>
      <w:spacing w:before="20" w:after="20" w:line="300" w:lineRule="exact"/>
      <w:ind w:left="284"/>
    </w:pPr>
    <w:rPr>
      <w:noProof/>
      <w:color w:val="000000"/>
      <w:sz w:val="18"/>
      <w:szCs w:val="18"/>
    </w:rPr>
  </w:style>
  <w:style w:type="paragraph" w:styleId="Header">
    <w:name w:val="header"/>
    <w:basedOn w:val="Normal"/>
    <w:link w:val="HeaderChar"/>
    <w:uiPriority w:val="99"/>
    <w:unhideWhenUsed/>
    <w:rsid w:val="003813E4"/>
    <w:pPr>
      <w:tabs>
        <w:tab w:val="center" w:pos="4513"/>
        <w:tab w:val="right" w:pos="9026"/>
      </w:tabs>
      <w:spacing w:before="0" w:line="240" w:lineRule="auto"/>
    </w:pPr>
  </w:style>
  <w:style w:type="paragraph" w:customStyle="1" w:styleId="Tabletext">
    <w:name w:val="Table text"/>
    <w:next w:val="Text"/>
    <w:rsid w:val="00C45556"/>
    <w:pPr>
      <w:spacing w:before="40" w:after="40"/>
    </w:pPr>
    <w:rPr>
      <w:rFonts w:ascii="Arial" w:hAnsi="Arial"/>
      <w:sz w:val="16"/>
      <w:lang w:val="en-AU"/>
    </w:rPr>
  </w:style>
  <w:style w:type="paragraph" w:customStyle="1" w:styleId="Tablehead1">
    <w:name w:val="Tablehead1"/>
    <w:rsid w:val="005C2FCF"/>
    <w:pPr>
      <w:spacing w:before="80" w:after="80"/>
    </w:pPr>
    <w:rPr>
      <w:rFonts w:ascii="Arial" w:hAnsi="Arial"/>
      <w:b/>
      <w:sz w:val="17"/>
      <w:lang w:val="en-AU"/>
    </w:rPr>
  </w:style>
  <w:style w:type="paragraph" w:styleId="Quote">
    <w:name w:val="Quote"/>
    <w:basedOn w:val="Text"/>
    <w:qFormat/>
    <w:rsid w:val="006D546E"/>
    <w:pPr>
      <w:tabs>
        <w:tab w:val="right" w:pos="7853"/>
      </w:tabs>
      <w:spacing w:before="80"/>
      <w:ind w:left="567" w:right="652"/>
    </w:pPr>
    <w:rPr>
      <w:sz w:val="17"/>
    </w:rPr>
  </w:style>
  <w:style w:type="paragraph" w:customStyle="1" w:styleId="References">
    <w:name w:val="References"/>
    <w:rsid w:val="00123B5C"/>
    <w:pPr>
      <w:spacing w:before="80"/>
      <w:ind w:left="284" w:right="-369" w:hanging="284"/>
    </w:pPr>
    <w:rPr>
      <w:rFonts w:ascii="Trebuchet MS" w:hAnsi="Trebuchet MS"/>
      <w:sz w:val="18"/>
      <w:lang w:val="en-AU"/>
    </w:rPr>
  </w:style>
  <w:style w:type="paragraph" w:customStyle="1" w:styleId="Tablehead2">
    <w:name w:val="Tablehead2"/>
    <w:basedOn w:val="Tablehead1"/>
    <w:rsid w:val="00C45556"/>
    <w:pPr>
      <w:tabs>
        <w:tab w:val="left" w:pos="992"/>
      </w:tabs>
      <w:spacing w:before="20" w:after="20"/>
    </w:pPr>
    <w:rPr>
      <w:b w:val="0"/>
    </w:rPr>
  </w:style>
  <w:style w:type="paragraph" w:customStyle="1" w:styleId="Tablehead3">
    <w:name w:val="Tablehead3"/>
    <w:basedOn w:val="Tablehead2"/>
    <w:rsid w:val="005C2FCF"/>
    <w:rPr>
      <w:i/>
    </w:rPr>
  </w:style>
  <w:style w:type="paragraph" w:styleId="TableofFigures">
    <w:name w:val="table of figures"/>
    <w:basedOn w:val="TOC1"/>
    <w:next w:val="Normal"/>
    <w:uiPriority w:val="99"/>
    <w:rsid w:val="004E7227"/>
    <w:pPr>
      <w:tabs>
        <w:tab w:val="left" w:pos="284"/>
      </w:tabs>
      <w:spacing w:before="80"/>
    </w:pPr>
  </w:style>
  <w:style w:type="paragraph" w:customStyle="1" w:styleId="Imprint">
    <w:name w:val="Imprint"/>
    <w:basedOn w:val="Normal"/>
    <w:rsid w:val="009E231A"/>
    <w:pPr>
      <w:spacing w:line="260" w:lineRule="atLeast"/>
    </w:pPr>
    <w:rPr>
      <w:sz w:val="16"/>
    </w:rPr>
  </w:style>
  <w:style w:type="paragraph" w:customStyle="1" w:styleId="Figuretitle">
    <w:name w:val="Figuretitle"/>
    <w:basedOn w:val="Normal"/>
    <w:rsid w:val="007C7223"/>
    <w:pPr>
      <w:spacing w:before="360" w:after="80" w:line="240" w:lineRule="auto"/>
      <w:ind w:left="851" w:hanging="851"/>
    </w:pPr>
    <w:rPr>
      <w:rFonts w:ascii="Arial" w:hAnsi="Arial"/>
      <w:b/>
      <w:sz w:val="17"/>
    </w:rPr>
  </w:style>
  <w:style w:type="paragraph" w:customStyle="1" w:styleId="Dotpoint1">
    <w:name w:val="Dotpoint1"/>
    <w:rsid w:val="005C277E"/>
    <w:pPr>
      <w:numPr>
        <w:numId w:val="2"/>
      </w:numPr>
      <w:tabs>
        <w:tab w:val="left" w:pos="284"/>
      </w:tabs>
      <w:spacing w:before="120" w:line="300" w:lineRule="exact"/>
    </w:pPr>
    <w:rPr>
      <w:rFonts w:ascii="Trebuchet MS" w:hAnsi="Trebuchet MS"/>
      <w:color w:val="000000"/>
      <w:sz w:val="19"/>
      <w:lang w:val="en-AU"/>
    </w:rPr>
  </w:style>
  <w:style w:type="paragraph" w:customStyle="1" w:styleId="Dotpoint2">
    <w:name w:val="Dotpoint2"/>
    <w:basedOn w:val="Dotpoint1"/>
    <w:rsid w:val="005C277E"/>
    <w:pPr>
      <w:numPr>
        <w:numId w:val="3"/>
      </w:numPr>
      <w:tabs>
        <w:tab w:val="clear" w:pos="284"/>
        <w:tab w:val="left" w:pos="567"/>
      </w:tabs>
      <w:ind w:left="568" w:hanging="284"/>
    </w:pPr>
  </w:style>
  <w:style w:type="paragraph" w:customStyle="1" w:styleId="NumberedListContinuing">
    <w:name w:val="NumberedListContinuing"/>
    <w:basedOn w:val="Dotpoint1"/>
    <w:rsid w:val="00CE4291"/>
    <w:pPr>
      <w:numPr>
        <w:numId w:val="10"/>
      </w:numPr>
      <w:tabs>
        <w:tab w:val="clear" w:pos="284"/>
      </w:tabs>
    </w:pPr>
    <w:rPr>
      <w:lang w:eastAsia="en-AU"/>
    </w:rPr>
  </w:style>
  <w:style w:type="paragraph" w:customStyle="1" w:styleId="Source">
    <w:name w:val="Source"/>
    <w:rsid w:val="00113805"/>
    <w:pPr>
      <w:spacing w:before="40"/>
      <w:ind w:left="567" w:hanging="567"/>
    </w:pPr>
    <w:rPr>
      <w:rFonts w:ascii="Arial" w:hAnsi="Arial"/>
      <w:sz w:val="15"/>
      <w:lang w:val="en-AU"/>
    </w:rPr>
  </w:style>
  <w:style w:type="paragraph" w:styleId="FootnoteText">
    <w:name w:val="footnote text"/>
    <w:basedOn w:val="Text"/>
    <w:link w:val="FootnoteTextChar"/>
    <w:rsid w:val="00995935"/>
    <w:pPr>
      <w:tabs>
        <w:tab w:val="left" w:pos="1418"/>
      </w:tabs>
      <w:spacing w:before="0" w:line="220" w:lineRule="exact"/>
      <w:ind w:left="284" w:hanging="284"/>
    </w:pPr>
    <w:rPr>
      <w:sz w:val="16"/>
    </w:rPr>
  </w:style>
  <w:style w:type="character" w:customStyle="1" w:styleId="FootnoteTextChar">
    <w:name w:val="Footnote Text Char"/>
    <w:basedOn w:val="DefaultParagraphFont"/>
    <w:link w:val="FootnoteText"/>
    <w:rsid w:val="00995935"/>
    <w:rPr>
      <w:rFonts w:ascii="Trebuchet MS" w:hAnsi="Trebuchet MS"/>
      <w:sz w:val="16"/>
      <w:lang w:val="en-AU"/>
    </w:rPr>
  </w:style>
  <w:style w:type="paragraph" w:styleId="NormalWeb">
    <w:name w:val="Normal (Web)"/>
    <w:basedOn w:val="Normal"/>
    <w:uiPriority w:val="99"/>
    <w:rsid w:val="009058B5"/>
    <w:pPr>
      <w:spacing w:before="100" w:beforeAutospacing="1" w:after="240"/>
    </w:pPr>
    <w:rPr>
      <w:sz w:val="18"/>
      <w:szCs w:val="18"/>
    </w:rPr>
  </w:style>
  <w:style w:type="paragraph" w:customStyle="1" w:styleId="Titlepage">
    <w:name w:val="Title page"/>
    <w:basedOn w:val="Heading1"/>
    <w:qFormat/>
    <w:rsid w:val="00621FAA"/>
    <w:pPr>
      <w:ind w:left="567"/>
    </w:pPr>
    <w:rPr>
      <w:rFonts w:cs="Arial"/>
      <w:sz w:val="55"/>
      <w:szCs w:val="55"/>
    </w:rPr>
  </w:style>
  <w:style w:type="paragraph" w:styleId="TOC3">
    <w:name w:val="toc 3"/>
    <w:basedOn w:val="TOC2"/>
    <w:next w:val="Normal"/>
    <w:autoRedefine/>
    <w:semiHidden/>
    <w:unhideWhenUsed/>
    <w:rsid w:val="00FA79F7"/>
    <w:pPr>
      <w:ind w:left="440"/>
    </w:pPr>
  </w:style>
  <w:style w:type="paragraph" w:styleId="TOC4">
    <w:name w:val="toc 4"/>
    <w:basedOn w:val="TOC3"/>
    <w:next w:val="Normal"/>
    <w:autoRedefine/>
    <w:semiHidden/>
    <w:unhideWhenUsed/>
    <w:rsid w:val="005C2FCF"/>
    <w:pPr>
      <w:ind w:left="660"/>
    </w:pPr>
  </w:style>
  <w:style w:type="paragraph" w:styleId="BalloonText">
    <w:name w:val="Balloon Text"/>
    <w:basedOn w:val="Normal"/>
    <w:link w:val="BalloonTextChar"/>
    <w:uiPriority w:val="99"/>
    <w:semiHidden/>
    <w:rsid w:val="00A73318"/>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37A4"/>
    <w:rPr>
      <w:rFonts w:ascii="Tahoma" w:hAnsi="Tahoma" w:cs="Tahoma"/>
      <w:sz w:val="16"/>
      <w:szCs w:val="16"/>
      <w:lang w:val="en-AU"/>
    </w:rPr>
  </w:style>
  <w:style w:type="table" w:styleId="TableGrid">
    <w:name w:val="Table Grid"/>
    <w:basedOn w:val="TableNormal"/>
    <w:uiPriority w:val="59"/>
    <w:rsid w:val="00150874"/>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erChar">
    <w:name w:val="Header Char"/>
    <w:basedOn w:val="DefaultParagraphFont"/>
    <w:link w:val="Header"/>
    <w:uiPriority w:val="99"/>
    <w:rsid w:val="003813E4"/>
    <w:rPr>
      <w:rFonts w:ascii="Trebuchet MS" w:hAnsi="Trebuchet MS"/>
      <w:sz w:val="19"/>
      <w:lang w:val="en-AU"/>
    </w:rPr>
  </w:style>
  <w:style w:type="character" w:styleId="Hyperlink">
    <w:name w:val="Hyperlink"/>
    <w:basedOn w:val="DefaultParagraphFont"/>
    <w:unhideWhenUsed/>
    <w:rsid w:val="007037A4"/>
    <w:rPr>
      <w:rFonts w:ascii="Trebuchet MS" w:hAnsi="Trebuchet MS"/>
      <w:color w:val="auto"/>
      <w:sz w:val="19"/>
      <w:u w:val="none"/>
    </w:rPr>
  </w:style>
  <w:style w:type="character" w:styleId="PlaceholderText">
    <w:name w:val="Placeholder Text"/>
    <w:basedOn w:val="DefaultParagraphFont"/>
    <w:uiPriority w:val="99"/>
    <w:semiHidden/>
    <w:rsid w:val="00C5220C"/>
    <w:rPr>
      <w:color w:val="808080"/>
    </w:rPr>
  </w:style>
  <w:style w:type="paragraph" w:customStyle="1" w:styleId="Tabletitle">
    <w:name w:val="Tabletitle"/>
    <w:next w:val="Text"/>
    <w:rsid w:val="00C45556"/>
    <w:pPr>
      <w:spacing w:before="360" w:after="80"/>
      <w:ind w:left="851" w:hanging="851"/>
    </w:pPr>
    <w:rPr>
      <w:rFonts w:ascii="Arial" w:hAnsi="Arial"/>
      <w:b/>
      <w:sz w:val="17"/>
      <w:lang w:val="en-AU"/>
    </w:rPr>
  </w:style>
  <w:style w:type="paragraph" w:customStyle="1" w:styleId="PublicationTitle">
    <w:name w:val="Publication Title"/>
    <w:qFormat/>
    <w:rsid w:val="006D546E"/>
    <w:pPr>
      <w:spacing w:before="3200" w:after="840"/>
      <w:ind w:left="1701"/>
    </w:pPr>
    <w:rPr>
      <w:rFonts w:ascii="Tahoma" w:hAnsi="Tahoma" w:cs="Tahoma"/>
      <w:color w:val="000000"/>
      <w:kern w:val="28"/>
      <w:sz w:val="56"/>
      <w:szCs w:val="56"/>
      <w:lang w:val="en-AU"/>
    </w:rPr>
  </w:style>
  <w:style w:type="paragraph" w:customStyle="1" w:styleId="Contents">
    <w:name w:val="Contents"/>
    <w:qFormat/>
    <w:rsid w:val="003813E4"/>
    <w:pPr>
      <w:spacing w:after="1200"/>
    </w:pPr>
    <w:rPr>
      <w:rFonts w:ascii="Arial" w:hAnsi="Arial" w:cs="Arial"/>
      <w:color w:val="000000"/>
      <w:kern w:val="28"/>
      <w:sz w:val="48"/>
      <w:szCs w:val="48"/>
      <w:lang w:val="en-AU"/>
    </w:rPr>
  </w:style>
  <w:style w:type="paragraph" w:customStyle="1" w:styleId="Abouttheresearchpubtitle">
    <w:name w:val="About the research pub title"/>
    <w:qFormat/>
    <w:rsid w:val="00E93C4E"/>
    <w:pPr>
      <w:spacing w:before="360"/>
    </w:pPr>
    <w:rPr>
      <w:rFonts w:ascii="Arial" w:hAnsi="Arial" w:cs="Tahoma"/>
      <w:i/>
      <w:sz w:val="28"/>
      <w:lang w:val="en-AU"/>
    </w:rPr>
  </w:style>
  <w:style w:type="paragraph" w:customStyle="1" w:styleId="Keymessages">
    <w:name w:val="Key messages"/>
    <w:uiPriority w:val="1"/>
    <w:qFormat/>
    <w:rsid w:val="00E93C4E"/>
    <w:pPr>
      <w:spacing w:before="360"/>
    </w:pPr>
    <w:rPr>
      <w:rFonts w:ascii="Arial" w:hAnsi="Arial" w:cs="Tahoma"/>
      <w:sz w:val="28"/>
      <w:lang w:val="en-AU"/>
    </w:rPr>
  </w:style>
  <w:style w:type="paragraph" w:customStyle="1" w:styleId="Organisation">
    <w:name w:val="Organisation"/>
    <w:basedOn w:val="Normal"/>
    <w:uiPriority w:val="1"/>
    <w:qFormat/>
    <w:rsid w:val="00E3162F"/>
    <w:pPr>
      <w:spacing w:before="120" w:line="240" w:lineRule="auto"/>
      <w:ind w:left="1701"/>
    </w:pPr>
    <w:rPr>
      <w:rFonts w:ascii="Tahoma" w:hAnsi="Tahoma" w:cs="Tahoma"/>
      <w:sz w:val="24"/>
    </w:rPr>
  </w:style>
  <w:style w:type="paragraph" w:customStyle="1" w:styleId="Heading20">
    <w:name w:val="Heading2"/>
    <w:basedOn w:val="Heading3"/>
    <w:rsid w:val="00251024"/>
    <w:pPr>
      <w:keepNext/>
      <w:spacing w:before="120" w:after="240"/>
    </w:pPr>
    <w:rPr>
      <w:rFonts w:ascii="Garamond" w:hAnsi="Garamond" w:cs="Times New Roman"/>
      <w:color w:val="auto"/>
      <w:sz w:val="32"/>
      <w:szCs w:val="32"/>
      <w:lang w:eastAsia="en-AU"/>
    </w:rPr>
  </w:style>
  <w:style w:type="paragraph" w:styleId="CommentText">
    <w:name w:val="annotation text"/>
    <w:basedOn w:val="Normal"/>
    <w:link w:val="CommentTextChar"/>
    <w:uiPriority w:val="99"/>
    <w:semiHidden/>
    <w:rsid w:val="00251024"/>
    <w:pPr>
      <w:spacing w:before="0" w:line="240" w:lineRule="auto"/>
    </w:pPr>
    <w:rPr>
      <w:rFonts w:ascii="Times New Roman" w:hAnsi="Times New Roman"/>
      <w:sz w:val="20"/>
      <w:lang w:eastAsia="en-AU"/>
    </w:rPr>
  </w:style>
  <w:style w:type="character" w:customStyle="1" w:styleId="CommentTextChar">
    <w:name w:val="Comment Text Char"/>
    <w:basedOn w:val="DefaultParagraphFont"/>
    <w:link w:val="CommentText"/>
    <w:uiPriority w:val="99"/>
    <w:semiHidden/>
    <w:rsid w:val="00251024"/>
    <w:rPr>
      <w:lang w:val="en-AU" w:eastAsia="en-AU"/>
    </w:rPr>
  </w:style>
  <w:style w:type="paragraph" w:styleId="CommentSubject">
    <w:name w:val="annotation subject"/>
    <w:basedOn w:val="CommentText"/>
    <w:next w:val="CommentText"/>
    <w:link w:val="CommentSubjectChar"/>
    <w:uiPriority w:val="99"/>
    <w:semiHidden/>
    <w:rsid w:val="00251024"/>
    <w:rPr>
      <w:b/>
      <w:bCs/>
    </w:rPr>
  </w:style>
  <w:style w:type="character" w:customStyle="1" w:styleId="CommentSubjectChar">
    <w:name w:val="Comment Subject Char"/>
    <w:basedOn w:val="CommentTextChar"/>
    <w:link w:val="CommentSubject"/>
    <w:uiPriority w:val="99"/>
    <w:semiHidden/>
    <w:rsid w:val="00251024"/>
    <w:rPr>
      <w:b/>
      <w:bCs/>
      <w:lang w:val="en-AU" w:eastAsia="en-AU"/>
    </w:rPr>
  </w:style>
  <w:style w:type="character" w:styleId="FollowedHyperlink">
    <w:name w:val="FollowedHyperlink"/>
    <w:uiPriority w:val="99"/>
    <w:rsid w:val="00251024"/>
    <w:rPr>
      <w:color w:val="800080"/>
      <w:u w:val="single"/>
    </w:rPr>
  </w:style>
  <w:style w:type="character" w:styleId="Strong">
    <w:name w:val="Strong"/>
    <w:uiPriority w:val="22"/>
    <w:qFormat/>
    <w:rsid w:val="00251024"/>
    <w:rPr>
      <w:b/>
      <w:bCs/>
    </w:rPr>
  </w:style>
  <w:style w:type="paragraph" w:styleId="Title">
    <w:name w:val="Title"/>
    <w:basedOn w:val="Normal"/>
    <w:link w:val="TitleChar"/>
    <w:uiPriority w:val="10"/>
    <w:semiHidden/>
    <w:qFormat/>
    <w:rsid w:val="00251024"/>
    <w:pPr>
      <w:pBdr>
        <w:bottom w:val="single" w:sz="8" w:space="4" w:color="4F81BD" w:themeColor="accent1"/>
      </w:pBdr>
      <w:spacing w:before="0"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semiHidden/>
    <w:rsid w:val="00251024"/>
    <w:rPr>
      <w:rFonts w:asciiTheme="majorHAnsi" w:eastAsiaTheme="majorEastAsia" w:hAnsiTheme="majorHAnsi" w:cstheme="majorBidi"/>
      <w:color w:val="17365D" w:themeColor="text2" w:themeShade="BF"/>
      <w:spacing w:val="5"/>
      <w:kern w:val="28"/>
      <w:sz w:val="52"/>
      <w:szCs w:val="52"/>
      <w:lang w:val="en-AU"/>
    </w:rPr>
  </w:style>
  <w:style w:type="paragraph" w:styleId="Revision">
    <w:name w:val="Revision"/>
    <w:hidden/>
    <w:uiPriority w:val="99"/>
    <w:rsid w:val="00251024"/>
    <w:rPr>
      <w:sz w:val="22"/>
      <w:lang w:val="en-AU" w:eastAsia="en-AU"/>
    </w:rPr>
  </w:style>
  <w:style w:type="paragraph" w:customStyle="1" w:styleId="TableFont">
    <w:name w:val="TableFont"/>
    <w:basedOn w:val="Normal"/>
    <w:link w:val="TableFontChar"/>
    <w:uiPriority w:val="99"/>
    <w:rsid w:val="00251024"/>
    <w:pPr>
      <w:spacing w:before="40" w:after="40" w:line="240" w:lineRule="auto"/>
    </w:pPr>
    <w:rPr>
      <w:rFonts w:ascii="Arial" w:hAnsi="Arial" w:cs="Arial"/>
      <w:color w:val="000000"/>
      <w:sz w:val="18"/>
      <w:lang w:val="en-GB"/>
    </w:rPr>
  </w:style>
  <w:style w:type="character" w:customStyle="1" w:styleId="TableFontChar">
    <w:name w:val="TableFont Char"/>
    <w:basedOn w:val="DefaultParagraphFont"/>
    <w:link w:val="TableFont"/>
    <w:uiPriority w:val="99"/>
    <w:rsid w:val="00251024"/>
    <w:rPr>
      <w:rFonts w:ascii="Arial" w:hAnsi="Arial" w:cs="Arial"/>
      <w:color w:val="000000"/>
      <w:sz w:val="18"/>
      <w:lang w:val="en-GB"/>
    </w:rPr>
  </w:style>
  <w:style w:type="paragraph" w:customStyle="1" w:styleId="BulletList">
    <w:name w:val="BulletList"/>
    <w:basedOn w:val="Normal"/>
    <w:rsid w:val="00251024"/>
    <w:pPr>
      <w:numPr>
        <w:numId w:val="9"/>
      </w:numPr>
      <w:spacing w:before="0" w:line="240" w:lineRule="auto"/>
    </w:pPr>
    <w:rPr>
      <w:rFonts w:ascii="Times New Roman" w:hAnsi="Times New Roman"/>
      <w:sz w:val="24"/>
      <w:szCs w:val="24"/>
      <w:lang w:eastAsia="en-AU"/>
    </w:rPr>
  </w:style>
  <w:style w:type="paragraph" w:customStyle="1" w:styleId="BulletList1">
    <w:name w:val="Bullet List 1"/>
    <w:basedOn w:val="BulletList"/>
    <w:rsid w:val="00251024"/>
    <w:rPr>
      <w:rFonts w:ascii="Verdana" w:hAnsi="Verdana"/>
      <w:sz w:val="19"/>
      <w:szCs w:val="19"/>
    </w:rPr>
  </w:style>
  <w:style w:type="paragraph" w:customStyle="1" w:styleId="NumericalList">
    <w:name w:val="Numerical List"/>
    <w:basedOn w:val="Text"/>
    <w:rsid w:val="00251024"/>
    <w:pPr>
      <w:tabs>
        <w:tab w:val="left" w:pos="404"/>
      </w:tabs>
      <w:spacing w:before="0" w:line="240" w:lineRule="auto"/>
      <w:ind w:left="389" w:hanging="389"/>
    </w:pPr>
    <w:rPr>
      <w:rFonts w:ascii="Verdana" w:hAnsi="Verdana" w:cs="Arial"/>
      <w:lang w:eastAsia="en-AU"/>
    </w:rPr>
  </w:style>
  <w:style w:type="paragraph" w:customStyle="1" w:styleId="Default">
    <w:name w:val="Default"/>
    <w:rsid w:val="00251024"/>
    <w:pPr>
      <w:autoSpaceDE w:val="0"/>
      <w:autoSpaceDN w:val="0"/>
      <w:adjustRightInd w:val="0"/>
    </w:pPr>
    <w:rPr>
      <w:rFonts w:ascii="Garamond" w:eastAsia="Calibri" w:hAnsi="Garamond" w:cs="Garamond"/>
      <w:color w:val="000000"/>
      <w:sz w:val="24"/>
      <w:szCs w:val="24"/>
      <w:lang w:val="en-AU"/>
    </w:rPr>
  </w:style>
  <w:style w:type="character" w:styleId="Emphasis">
    <w:name w:val="Emphasis"/>
    <w:basedOn w:val="DefaultParagraphFont"/>
    <w:uiPriority w:val="20"/>
    <w:semiHidden/>
    <w:qFormat/>
    <w:rsid w:val="00251024"/>
    <w:rPr>
      <w:i/>
      <w:iCs/>
    </w:rPr>
  </w:style>
  <w:style w:type="paragraph" w:customStyle="1" w:styleId="Reference">
    <w:name w:val="Reference"/>
    <w:basedOn w:val="Text"/>
    <w:rsid w:val="00251024"/>
    <w:pPr>
      <w:spacing w:before="0" w:after="120" w:line="240" w:lineRule="auto"/>
    </w:pPr>
    <w:rPr>
      <w:rFonts w:ascii="Verdana" w:hAnsi="Verdana"/>
      <w:spacing w:val="8"/>
      <w:sz w:val="18"/>
      <w:szCs w:val="18"/>
      <w:lang w:eastAsia="en-AU"/>
    </w:rPr>
  </w:style>
  <w:style w:type="paragraph" w:customStyle="1" w:styleId="KeyPoints">
    <w:name w:val="KeyPoints"/>
    <w:basedOn w:val="Normal"/>
    <w:uiPriority w:val="1"/>
    <w:qFormat/>
    <w:rsid w:val="001728A6"/>
    <w:pPr>
      <w:numPr>
        <w:numId w:val="22"/>
      </w:numPr>
      <w:pBdr>
        <w:left w:val="single" w:sz="8" w:space="4" w:color="auto"/>
      </w:pBdr>
      <w:spacing w:before="0" w:line="300" w:lineRule="exact"/>
    </w:pPr>
    <w:rPr>
      <w:rFonts w:cs="Arial"/>
      <w:szCs w:val="17"/>
    </w:rPr>
  </w:style>
  <w:style w:type="paragraph" w:customStyle="1" w:styleId="NumberedAlphaLevel2">
    <w:name w:val="NumberedAlphaLevel2"/>
    <w:basedOn w:val="NumberedListContinuing"/>
    <w:uiPriority w:val="1"/>
    <w:qFormat/>
    <w:rsid w:val="00606061"/>
    <w:pPr>
      <w:numPr>
        <w:numId w:val="0"/>
      </w:numPr>
      <w:tabs>
        <w:tab w:val="num" w:pos="567"/>
      </w:tabs>
      <w:spacing w:before="80"/>
      <w:ind w:left="567" w:hanging="283"/>
    </w:pPr>
    <w:rPr>
      <w:color w:val="auto"/>
    </w:rPr>
  </w:style>
  <w:style w:type="character" w:styleId="CommentReference">
    <w:name w:val="annotation reference"/>
    <w:basedOn w:val="DefaultParagraphFont"/>
    <w:uiPriority w:val="99"/>
    <w:semiHidden/>
    <w:rsid w:val="00606061"/>
    <w:rPr>
      <w:sz w:val="18"/>
      <w:szCs w:val="18"/>
    </w:rPr>
  </w:style>
  <w:style w:type="paragraph" w:styleId="Bibliography">
    <w:name w:val="Bibliography"/>
    <w:basedOn w:val="Normal"/>
    <w:next w:val="Normal"/>
    <w:uiPriority w:val="37"/>
    <w:semiHidden/>
    <w:rsid w:val="00A83136"/>
  </w:style>
  <w:style w:type="paragraph" w:styleId="BlockText">
    <w:name w:val="Block Text"/>
    <w:basedOn w:val="Normal"/>
    <w:uiPriority w:val="99"/>
    <w:semiHidden/>
    <w:rsid w:val="00A83136"/>
    <w:pPr>
      <w:pBdr>
        <w:top w:val="single" w:sz="2" w:space="10" w:color="4F81BD" w:themeColor="accent1" w:shadow="1" w:frame="1"/>
        <w:left w:val="single" w:sz="2" w:space="10" w:color="4F81BD" w:themeColor="accent1" w:shadow="1" w:frame="1"/>
        <w:bottom w:val="single" w:sz="2" w:space="10" w:color="4F81BD" w:themeColor="accent1" w:shadow="1" w:frame="1"/>
        <w:right w:val="single" w:sz="2" w:space="10" w:color="4F81BD" w:themeColor="accent1" w:shadow="1" w:frame="1"/>
      </w:pBdr>
      <w:ind w:left="1152" w:right="1152"/>
    </w:pPr>
    <w:rPr>
      <w:rFonts w:asciiTheme="minorHAnsi" w:eastAsiaTheme="minorEastAsia" w:hAnsiTheme="minorHAnsi" w:cstheme="minorBidi"/>
      <w:i/>
      <w:iCs/>
      <w:color w:val="4F81BD" w:themeColor="accent1"/>
    </w:rPr>
  </w:style>
  <w:style w:type="paragraph" w:styleId="BodyText3">
    <w:name w:val="Body Text 3"/>
    <w:basedOn w:val="Normal"/>
    <w:link w:val="BodyText3Char"/>
    <w:uiPriority w:val="99"/>
    <w:semiHidden/>
    <w:rsid w:val="00A83136"/>
    <w:pPr>
      <w:spacing w:after="120"/>
    </w:pPr>
    <w:rPr>
      <w:sz w:val="16"/>
      <w:szCs w:val="16"/>
    </w:rPr>
  </w:style>
  <w:style w:type="character" w:customStyle="1" w:styleId="BodyText3Char">
    <w:name w:val="Body Text 3 Char"/>
    <w:basedOn w:val="DefaultParagraphFont"/>
    <w:link w:val="BodyText3"/>
    <w:uiPriority w:val="99"/>
    <w:semiHidden/>
    <w:rsid w:val="00A83136"/>
    <w:rPr>
      <w:rFonts w:ascii="Trebuchet MS" w:hAnsi="Trebuchet MS"/>
      <w:sz w:val="16"/>
      <w:szCs w:val="16"/>
      <w:lang w:val="en-AU"/>
    </w:rPr>
  </w:style>
  <w:style w:type="paragraph" w:styleId="BodyTextFirstIndent">
    <w:name w:val="Body Text First Indent"/>
    <w:basedOn w:val="Normal"/>
    <w:link w:val="BodyTextFirstIndentChar"/>
    <w:uiPriority w:val="99"/>
    <w:semiHidden/>
    <w:rsid w:val="00AC6E16"/>
    <w:pPr>
      <w:ind w:firstLine="360"/>
    </w:pPr>
    <w:rPr>
      <w:b/>
    </w:rPr>
  </w:style>
  <w:style w:type="character" w:customStyle="1" w:styleId="BodyTextFirstIndentChar">
    <w:name w:val="Body Text First Indent Char"/>
    <w:basedOn w:val="DefaultParagraphFont"/>
    <w:link w:val="BodyTextFirstIndent"/>
    <w:uiPriority w:val="99"/>
    <w:semiHidden/>
    <w:rsid w:val="00AC6E16"/>
    <w:rPr>
      <w:rFonts w:ascii="Trebuchet MS" w:hAnsi="Trebuchet MS"/>
      <w:b/>
      <w:sz w:val="19"/>
      <w:lang w:val="en-AU" w:eastAsia="ko-KR"/>
    </w:rPr>
  </w:style>
  <w:style w:type="paragraph" w:styleId="BodyTextFirstIndent2">
    <w:name w:val="Body Text First Indent 2"/>
    <w:basedOn w:val="Normal"/>
    <w:link w:val="BodyTextFirstIndent2Char"/>
    <w:uiPriority w:val="99"/>
    <w:semiHidden/>
    <w:rsid w:val="00AC6E16"/>
    <w:pPr>
      <w:ind w:left="360" w:firstLine="360"/>
    </w:pPr>
  </w:style>
  <w:style w:type="character" w:customStyle="1" w:styleId="BodyTextFirstIndent2Char">
    <w:name w:val="Body Text First Indent 2 Char"/>
    <w:basedOn w:val="DefaultParagraphFont"/>
    <w:link w:val="BodyTextFirstIndent2"/>
    <w:uiPriority w:val="99"/>
    <w:semiHidden/>
    <w:rsid w:val="00AC6E16"/>
    <w:rPr>
      <w:rFonts w:ascii="Trebuchet MS" w:hAnsi="Trebuchet MS"/>
      <w:sz w:val="19"/>
      <w:lang w:val="en-AU" w:eastAsia="en-AU"/>
    </w:rPr>
  </w:style>
  <w:style w:type="paragraph" w:styleId="BodyTextIndent2">
    <w:name w:val="Body Text Indent 2"/>
    <w:basedOn w:val="Normal"/>
    <w:link w:val="BodyTextIndent2Char"/>
    <w:uiPriority w:val="99"/>
    <w:semiHidden/>
    <w:rsid w:val="00A83136"/>
    <w:pPr>
      <w:spacing w:after="120" w:line="480" w:lineRule="auto"/>
      <w:ind w:left="283"/>
    </w:pPr>
  </w:style>
  <w:style w:type="character" w:customStyle="1" w:styleId="BodyTextIndent2Char">
    <w:name w:val="Body Text Indent 2 Char"/>
    <w:basedOn w:val="DefaultParagraphFont"/>
    <w:link w:val="BodyTextIndent2"/>
    <w:uiPriority w:val="99"/>
    <w:semiHidden/>
    <w:rsid w:val="00A83136"/>
    <w:rPr>
      <w:rFonts w:ascii="Trebuchet MS" w:hAnsi="Trebuchet MS"/>
      <w:sz w:val="19"/>
      <w:lang w:val="en-AU"/>
    </w:rPr>
  </w:style>
  <w:style w:type="paragraph" w:styleId="BodyTextIndent3">
    <w:name w:val="Body Text Indent 3"/>
    <w:basedOn w:val="Normal"/>
    <w:link w:val="BodyTextIndent3Char"/>
    <w:uiPriority w:val="99"/>
    <w:semiHidden/>
    <w:rsid w:val="00A83136"/>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A83136"/>
    <w:rPr>
      <w:rFonts w:ascii="Trebuchet MS" w:hAnsi="Trebuchet MS"/>
      <w:sz w:val="16"/>
      <w:szCs w:val="16"/>
      <w:lang w:val="en-AU"/>
    </w:rPr>
  </w:style>
  <w:style w:type="paragraph" w:styleId="Closing">
    <w:name w:val="Closing"/>
    <w:basedOn w:val="Normal"/>
    <w:link w:val="ClosingChar"/>
    <w:uiPriority w:val="99"/>
    <w:semiHidden/>
    <w:rsid w:val="00A83136"/>
    <w:pPr>
      <w:spacing w:before="0" w:line="240" w:lineRule="auto"/>
      <w:ind w:left="4252"/>
    </w:pPr>
  </w:style>
  <w:style w:type="character" w:customStyle="1" w:styleId="ClosingChar">
    <w:name w:val="Closing Char"/>
    <w:basedOn w:val="DefaultParagraphFont"/>
    <w:link w:val="Closing"/>
    <w:uiPriority w:val="99"/>
    <w:semiHidden/>
    <w:rsid w:val="00A83136"/>
    <w:rPr>
      <w:rFonts w:ascii="Trebuchet MS" w:hAnsi="Trebuchet MS"/>
      <w:sz w:val="19"/>
      <w:lang w:val="en-AU"/>
    </w:rPr>
  </w:style>
  <w:style w:type="paragraph" w:styleId="Date">
    <w:name w:val="Date"/>
    <w:basedOn w:val="Normal"/>
    <w:next w:val="Normal"/>
    <w:link w:val="DateChar"/>
    <w:uiPriority w:val="99"/>
    <w:semiHidden/>
    <w:rsid w:val="00A83136"/>
  </w:style>
  <w:style w:type="character" w:customStyle="1" w:styleId="DateChar">
    <w:name w:val="Date Char"/>
    <w:basedOn w:val="DefaultParagraphFont"/>
    <w:link w:val="Date"/>
    <w:uiPriority w:val="99"/>
    <w:semiHidden/>
    <w:rsid w:val="00A83136"/>
    <w:rPr>
      <w:rFonts w:ascii="Trebuchet MS" w:hAnsi="Trebuchet MS"/>
      <w:sz w:val="19"/>
      <w:lang w:val="en-AU"/>
    </w:rPr>
  </w:style>
  <w:style w:type="paragraph" w:styleId="DocumentMap">
    <w:name w:val="Document Map"/>
    <w:basedOn w:val="Normal"/>
    <w:link w:val="DocumentMapChar"/>
    <w:uiPriority w:val="99"/>
    <w:semiHidden/>
    <w:rsid w:val="00A83136"/>
    <w:pPr>
      <w:spacing w:before="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A83136"/>
    <w:rPr>
      <w:rFonts w:ascii="Tahoma" w:hAnsi="Tahoma" w:cs="Tahoma"/>
      <w:sz w:val="16"/>
      <w:szCs w:val="16"/>
      <w:lang w:val="en-AU"/>
    </w:rPr>
  </w:style>
  <w:style w:type="paragraph" w:styleId="E-mailSignature">
    <w:name w:val="E-mail Signature"/>
    <w:basedOn w:val="Normal"/>
    <w:link w:val="E-mailSignatureChar"/>
    <w:uiPriority w:val="99"/>
    <w:semiHidden/>
    <w:rsid w:val="00A83136"/>
    <w:pPr>
      <w:spacing w:before="0" w:line="240" w:lineRule="auto"/>
    </w:pPr>
  </w:style>
  <w:style w:type="character" w:customStyle="1" w:styleId="E-mailSignatureChar">
    <w:name w:val="E-mail Signature Char"/>
    <w:basedOn w:val="DefaultParagraphFont"/>
    <w:link w:val="E-mailSignature"/>
    <w:uiPriority w:val="99"/>
    <w:semiHidden/>
    <w:rsid w:val="00A83136"/>
    <w:rPr>
      <w:rFonts w:ascii="Trebuchet MS" w:hAnsi="Trebuchet MS"/>
      <w:sz w:val="19"/>
      <w:lang w:val="en-AU"/>
    </w:rPr>
  </w:style>
  <w:style w:type="paragraph" w:styleId="EndnoteText">
    <w:name w:val="endnote text"/>
    <w:basedOn w:val="Normal"/>
    <w:link w:val="EndnoteTextChar"/>
    <w:uiPriority w:val="99"/>
    <w:semiHidden/>
    <w:rsid w:val="00A83136"/>
    <w:pPr>
      <w:spacing w:before="0" w:line="240" w:lineRule="auto"/>
    </w:pPr>
    <w:rPr>
      <w:sz w:val="20"/>
    </w:rPr>
  </w:style>
  <w:style w:type="character" w:customStyle="1" w:styleId="EndnoteTextChar">
    <w:name w:val="Endnote Text Char"/>
    <w:basedOn w:val="DefaultParagraphFont"/>
    <w:link w:val="EndnoteText"/>
    <w:uiPriority w:val="99"/>
    <w:semiHidden/>
    <w:rsid w:val="00A83136"/>
    <w:rPr>
      <w:rFonts w:ascii="Trebuchet MS" w:hAnsi="Trebuchet MS"/>
      <w:lang w:val="en-AU"/>
    </w:rPr>
  </w:style>
  <w:style w:type="paragraph" w:styleId="EnvelopeAddress">
    <w:name w:val="envelope address"/>
    <w:basedOn w:val="Normal"/>
    <w:uiPriority w:val="99"/>
    <w:semiHidden/>
    <w:rsid w:val="00A83136"/>
    <w:pPr>
      <w:framePr w:w="7920" w:h="1980" w:hRule="exact" w:hSpace="180" w:wrap="auto" w:hAnchor="page" w:xAlign="center" w:yAlign="bottom"/>
      <w:spacing w:before="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rsid w:val="00A83136"/>
    <w:pPr>
      <w:spacing w:before="0" w:line="240" w:lineRule="auto"/>
    </w:pPr>
    <w:rPr>
      <w:rFonts w:asciiTheme="majorHAnsi" w:eastAsiaTheme="majorEastAsia" w:hAnsiTheme="majorHAnsi" w:cstheme="majorBidi"/>
      <w:sz w:val="20"/>
    </w:rPr>
  </w:style>
  <w:style w:type="character" w:customStyle="1" w:styleId="Heading9Char">
    <w:name w:val="Heading 9 Char"/>
    <w:basedOn w:val="DefaultParagraphFont"/>
    <w:link w:val="Heading9"/>
    <w:uiPriority w:val="9"/>
    <w:semiHidden/>
    <w:rsid w:val="00A83136"/>
    <w:rPr>
      <w:rFonts w:asciiTheme="majorHAnsi" w:eastAsiaTheme="majorEastAsia" w:hAnsiTheme="majorHAnsi" w:cstheme="majorBidi"/>
      <w:i/>
      <w:iCs/>
      <w:color w:val="404040" w:themeColor="text1" w:themeTint="BF"/>
      <w:lang w:val="en-AU"/>
    </w:rPr>
  </w:style>
  <w:style w:type="paragraph" w:styleId="HTMLAddress">
    <w:name w:val="HTML Address"/>
    <w:basedOn w:val="Normal"/>
    <w:link w:val="HTMLAddressChar"/>
    <w:uiPriority w:val="99"/>
    <w:semiHidden/>
    <w:rsid w:val="00A83136"/>
    <w:pPr>
      <w:spacing w:before="0" w:line="240" w:lineRule="auto"/>
    </w:pPr>
    <w:rPr>
      <w:i/>
      <w:iCs/>
    </w:rPr>
  </w:style>
  <w:style w:type="character" w:customStyle="1" w:styleId="HTMLAddressChar">
    <w:name w:val="HTML Address Char"/>
    <w:basedOn w:val="DefaultParagraphFont"/>
    <w:link w:val="HTMLAddress"/>
    <w:uiPriority w:val="99"/>
    <w:semiHidden/>
    <w:rsid w:val="00A83136"/>
    <w:rPr>
      <w:rFonts w:ascii="Trebuchet MS" w:hAnsi="Trebuchet MS"/>
      <w:i/>
      <w:iCs/>
      <w:sz w:val="19"/>
      <w:lang w:val="en-AU"/>
    </w:rPr>
  </w:style>
  <w:style w:type="paragraph" w:styleId="HTMLPreformatted">
    <w:name w:val="HTML Preformatted"/>
    <w:basedOn w:val="Normal"/>
    <w:link w:val="HTMLPreformattedChar"/>
    <w:uiPriority w:val="99"/>
    <w:semiHidden/>
    <w:rsid w:val="00A83136"/>
    <w:pPr>
      <w:spacing w:before="0" w:line="240" w:lineRule="auto"/>
    </w:pPr>
    <w:rPr>
      <w:rFonts w:ascii="Consolas" w:hAnsi="Consolas" w:cs="Consolas"/>
      <w:sz w:val="20"/>
    </w:rPr>
  </w:style>
  <w:style w:type="character" w:customStyle="1" w:styleId="HTMLPreformattedChar">
    <w:name w:val="HTML Preformatted Char"/>
    <w:basedOn w:val="DefaultParagraphFont"/>
    <w:link w:val="HTMLPreformatted"/>
    <w:uiPriority w:val="99"/>
    <w:semiHidden/>
    <w:rsid w:val="00A83136"/>
    <w:rPr>
      <w:rFonts w:ascii="Consolas" w:hAnsi="Consolas" w:cs="Consolas"/>
      <w:lang w:val="en-AU"/>
    </w:rPr>
  </w:style>
  <w:style w:type="paragraph" w:styleId="Index1">
    <w:name w:val="index 1"/>
    <w:basedOn w:val="Normal"/>
    <w:next w:val="Normal"/>
    <w:autoRedefine/>
    <w:uiPriority w:val="99"/>
    <w:semiHidden/>
    <w:rsid w:val="00A83136"/>
    <w:pPr>
      <w:spacing w:before="0" w:line="240" w:lineRule="auto"/>
      <w:ind w:left="190" w:hanging="190"/>
    </w:pPr>
  </w:style>
  <w:style w:type="paragraph" w:styleId="Index2">
    <w:name w:val="index 2"/>
    <w:basedOn w:val="Normal"/>
    <w:next w:val="Normal"/>
    <w:autoRedefine/>
    <w:uiPriority w:val="99"/>
    <w:semiHidden/>
    <w:rsid w:val="00A83136"/>
    <w:pPr>
      <w:spacing w:before="0" w:line="240" w:lineRule="auto"/>
      <w:ind w:left="380" w:hanging="190"/>
    </w:pPr>
  </w:style>
  <w:style w:type="paragraph" w:styleId="Index3">
    <w:name w:val="index 3"/>
    <w:basedOn w:val="Normal"/>
    <w:next w:val="Normal"/>
    <w:autoRedefine/>
    <w:uiPriority w:val="99"/>
    <w:semiHidden/>
    <w:rsid w:val="00A83136"/>
    <w:pPr>
      <w:spacing w:before="0" w:line="240" w:lineRule="auto"/>
      <w:ind w:left="570" w:hanging="190"/>
    </w:pPr>
  </w:style>
  <w:style w:type="paragraph" w:styleId="Index4">
    <w:name w:val="index 4"/>
    <w:basedOn w:val="Normal"/>
    <w:next w:val="Normal"/>
    <w:autoRedefine/>
    <w:uiPriority w:val="99"/>
    <w:semiHidden/>
    <w:rsid w:val="00A83136"/>
    <w:pPr>
      <w:spacing w:before="0" w:line="240" w:lineRule="auto"/>
      <w:ind w:left="760" w:hanging="190"/>
    </w:pPr>
  </w:style>
  <w:style w:type="paragraph" w:styleId="Index5">
    <w:name w:val="index 5"/>
    <w:basedOn w:val="Normal"/>
    <w:next w:val="Normal"/>
    <w:autoRedefine/>
    <w:uiPriority w:val="99"/>
    <w:semiHidden/>
    <w:rsid w:val="00A83136"/>
    <w:pPr>
      <w:spacing w:before="0" w:line="240" w:lineRule="auto"/>
      <w:ind w:left="950" w:hanging="190"/>
    </w:pPr>
  </w:style>
  <w:style w:type="paragraph" w:styleId="Index6">
    <w:name w:val="index 6"/>
    <w:basedOn w:val="Normal"/>
    <w:next w:val="Normal"/>
    <w:autoRedefine/>
    <w:uiPriority w:val="99"/>
    <w:semiHidden/>
    <w:rsid w:val="00A83136"/>
    <w:pPr>
      <w:spacing w:before="0" w:line="240" w:lineRule="auto"/>
      <w:ind w:left="1140" w:hanging="190"/>
    </w:pPr>
  </w:style>
  <w:style w:type="paragraph" w:styleId="Index7">
    <w:name w:val="index 7"/>
    <w:basedOn w:val="Normal"/>
    <w:next w:val="Normal"/>
    <w:autoRedefine/>
    <w:uiPriority w:val="99"/>
    <w:semiHidden/>
    <w:rsid w:val="00A83136"/>
    <w:pPr>
      <w:spacing w:before="0" w:line="240" w:lineRule="auto"/>
      <w:ind w:left="1330" w:hanging="190"/>
    </w:pPr>
  </w:style>
  <w:style w:type="paragraph" w:styleId="Index8">
    <w:name w:val="index 8"/>
    <w:basedOn w:val="Normal"/>
    <w:next w:val="Normal"/>
    <w:autoRedefine/>
    <w:uiPriority w:val="99"/>
    <w:semiHidden/>
    <w:rsid w:val="00A83136"/>
    <w:pPr>
      <w:spacing w:before="0" w:line="240" w:lineRule="auto"/>
      <w:ind w:left="1520" w:hanging="190"/>
    </w:pPr>
  </w:style>
  <w:style w:type="paragraph" w:styleId="Index9">
    <w:name w:val="index 9"/>
    <w:basedOn w:val="Normal"/>
    <w:next w:val="Normal"/>
    <w:autoRedefine/>
    <w:uiPriority w:val="99"/>
    <w:semiHidden/>
    <w:rsid w:val="00A83136"/>
    <w:pPr>
      <w:spacing w:before="0" w:line="240" w:lineRule="auto"/>
      <w:ind w:left="1710" w:hanging="190"/>
    </w:pPr>
  </w:style>
  <w:style w:type="paragraph" w:styleId="IndexHeading">
    <w:name w:val="index heading"/>
    <w:basedOn w:val="Normal"/>
    <w:next w:val="Index1"/>
    <w:uiPriority w:val="99"/>
    <w:semiHidden/>
    <w:rsid w:val="00A83136"/>
    <w:rPr>
      <w:rFonts w:asciiTheme="majorHAnsi" w:eastAsiaTheme="majorEastAsia" w:hAnsiTheme="majorHAnsi" w:cstheme="majorBidi"/>
      <w:b/>
      <w:bCs/>
    </w:rPr>
  </w:style>
  <w:style w:type="paragraph" w:styleId="IntenseQuote">
    <w:name w:val="Intense Quote"/>
    <w:basedOn w:val="Normal"/>
    <w:next w:val="Normal"/>
    <w:link w:val="IntenseQuoteChar"/>
    <w:uiPriority w:val="30"/>
    <w:semiHidden/>
    <w:qFormat/>
    <w:rsid w:val="00A83136"/>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semiHidden/>
    <w:rsid w:val="00A83136"/>
    <w:rPr>
      <w:rFonts w:ascii="Trebuchet MS" w:hAnsi="Trebuchet MS"/>
      <w:b/>
      <w:bCs/>
      <w:i/>
      <w:iCs/>
      <w:color w:val="4F81BD" w:themeColor="accent1"/>
      <w:sz w:val="19"/>
      <w:lang w:val="en-AU"/>
    </w:rPr>
  </w:style>
  <w:style w:type="paragraph" w:styleId="List">
    <w:name w:val="List"/>
    <w:basedOn w:val="Normal"/>
    <w:uiPriority w:val="99"/>
    <w:semiHidden/>
    <w:rsid w:val="00A83136"/>
    <w:pPr>
      <w:ind w:left="283" w:hanging="283"/>
      <w:contextualSpacing/>
    </w:pPr>
  </w:style>
  <w:style w:type="paragraph" w:styleId="List2">
    <w:name w:val="List 2"/>
    <w:basedOn w:val="Normal"/>
    <w:uiPriority w:val="99"/>
    <w:semiHidden/>
    <w:rsid w:val="00A83136"/>
    <w:pPr>
      <w:ind w:left="566" w:hanging="283"/>
      <w:contextualSpacing/>
    </w:pPr>
  </w:style>
  <w:style w:type="paragraph" w:styleId="List3">
    <w:name w:val="List 3"/>
    <w:basedOn w:val="Normal"/>
    <w:uiPriority w:val="99"/>
    <w:semiHidden/>
    <w:rsid w:val="00A83136"/>
    <w:pPr>
      <w:ind w:left="849" w:hanging="283"/>
      <w:contextualSpacing/>
    </w:pPr>
  </w:style>
  <w:style w:type="paragraph" w:styleId="List4">
    <w:name w:val="List 4"/>
    <w:basedOn w:val="Normal"/>
    <w:uiPriority w:val="99"/>
    <w:semiHidden/>
    <w:rsid w:val="00A83136"/>
    <w:pPr>
      <w:ind w:left="1132" w:hanging="283"/>
      <w:contextualSpacing/>
    </w:pPr>
  </w:style>
  <w:style w:type="paragraph" w:styleId="List5">
    <w:name w:val="List 5"/>
    <w:basedOn w:val="Normal"/>
    <w:uiPriority w:val="99"/>
    <w:semiHidden/>
    <w:rsid w:val="00A83136"/>
    <w:pPr>
      <w:ind w:left="1415" w:hanging="283"/>
      <w:contextualSpacing/>
    </w:pPr>
  </w:style>
  <w:style w:type="paragraph" w:styleId="ListBullet2">
    <w:name w:val="List Bullet 2"/>
    <w:basedOn w:val="Normal"/>
    <w:uiPriority w:val="99"/>
    <w:semiHidden/>
    <w:rsid w:val="00A83136"/>
    <w:pPr>
      <w:numPr>
        <w:numId w:val="11"/>
      </w:numPr>
      <w:contextualSpacing/>
    </w:pPr>
  </w:style>
  <w:style w:type="paragraph" w:styleId="ListBullet3">
    <w:name w:val="List Bullet 3"/>
    <w:basedOn w:val="Normal"/>
    <w:uiPriority w:val="99"/>
    <w:semiHidden/>
    <w:rsid w:val="00A83136"/>
    <w:pPr>
      <w:numPr>
        <w:numId w:val="12"/>
      </w:numPr>
      <w:contextualSpacing/>
    </w:pPr>
  </w:style>
  <w:style w:type="paragraph" w:styleId="ListBullet4">
    <w:name w:val="List Bullet 4"/>
    <w:basedOn w:val="Normal"/>
    <w:uiPriority w:val="99"/>
    <w:semiHidden/>
    <w:rsid w:val="00A83136"/>
    <w:pPr>
      <w:numPr>
        <w:numId w:val="13"/>
      </w:numPr>
      <w:contextualSpacing/>
    </w:pPr>
  </w:style>
  <w:style w:type="paragraph" w:styleId="ListBullet5">
    <w:name w:val="List Bullet 5"/>
    <w:basedOn w:val="Normal"/>
    <w:uiPriority w:val="99"/>
    <w:semiHidden/>
    <w:rsid w:val="00A83136"/>
    <w:pPr>
      <w:numPr>
        <w:numId w:val="14"/>
      </w:numPr>
      <w:contextualSpacing/>
    </w:pPr>
  </w:style>
  <w:style w:type="paragraph" w:styleId="ListContinue">
    <w:name w:val="List Continue"/>
    <w:basedOn w:val="Normal"/>
    <w:uiPriority w:val="99"/>
    <w:semiHidden/>
    <w:rsid w:val="00A83136"/>
    <w:pPr>
      <w:spacing w:after="120"/>
      <w:ind w:left="283"/>
      <w:contextualSpacing/>
    </w:pPr>
  </w:style>
  <w:style w:type="paragraph" w:styleId="ListContinue2">
    <w:name w:val="List Continue 2"/>
    <w:basedOn w:val="Normal"/>
    <w:uiPriority w:val="99"/>
    <w:semiHidden/>
    <w:rsid w:val="00A83136"/>
    <w:pPr>
      <w:spacing w:after="120"/>
      <w:ind w:left="566"/>
      <w:contextualSpacing/>
    </w:pPr>
  </w:style>
  <w:style w:type="paragraph" w:styleId="ListContinue3">
    <w:name w:val="List Continue 3"/>
    <w:basedOn w:val="Normal"/>
    <w:uiPriority w:val="99"/>
    <w:semiHidden/>
    <w:rsid w:val="00A83136"/>
    <w:pPr>
      <w:spacing w:after="120"/>
      <w:ind w:left="849"/>
      <w:contextualSpacing/>
    </w:pPr>
  </w:style>
  <w:style w:type="paragraph" w:styleId="ListContinue4">
    <w:name w:val="List Continue 4"/>
    <w:basedOn w:val="Normal"/>
    <w:uiPriority w:val="99"/>
    <w:semiHidden/>
    <w:rsid w:val="00A83136"/>
    <w:pPr>
      <w:spacing w:after="120"/>
      <w:ind w:left="1132"/>
      <w:contextualSpacing/>
    </w:pPr>
  </w:style>
  <w:style w:type="paragraph" w:styleId="ListContinue5">
    <w:name w:val="List Continue 5"/>
    <w:basedOn w:val="Normal"/>
    <w:uiPriority w:val="99"/>
    <w:semiHidden/>
    <w:rsid w:val="00A83136"/>
    <w:pPr>
      <w:spacing w:after="120"/>
      <w:ind w:left="1415"/>
      <w:contextualSpacing/>
    </w:pPr>
  </w:style>
  <w:style w:type="paragraph" w:styleId="ListNumber">
    <w:name w:val="List Number"/>
    <w:basedOn w:val="Normal"/>
    <w:uiPriority w:val="99"/>
    <w:semiHidden/>
    <w:rsid w:val="00A83136"/>
    <w:pPr>
      <w:numPr>
        <w:numId w:val="15"/>
      </w:numPr>
      <w:contextualSpacing/>
    </w:pPr>
  </w:style>
  <w:style w:type="paragraph" w:styleId="ListNumber2">
    <w:name w:val="List Number 2"/>
    <w:basedOn w:val="Normal"/>
    <w:uiPriority w:val="99"/>
    <w:semiHidden/>
    <w:rsid w:val="00A83136"/>
    <w:pPr>
      <w:numPr>
        <w:numId w:val="16"/>
      </w:numPr>
      <w:contextualSpacing/>
    </w:pPr>
  </w:style>
  <w:style w:type="paragraph" w:styleId="ListNumber3">
    <w:name w:val="List Number 3"/>
    <w:basedOn w:val="Normal"/>
    <w:uiPriority w:val="99"/>
    <w:semiHidden/>
    <w:rsid w:val="00A83136"/>
    <w:pPr>
      <w:numPr>
        <w:numId w:val="17"/>
      </w:numPr>
      <w:contextualSpacing/>
    </w:pPr>
  </w:style>
  <w:style w:type="paragraph" w:styleId="ListNumber4">
    <w:name w:val="List Number 4"/>
    <w:basedOn w:val="Normal"/>
    <w:uiPriority w:val="99"/>
    <w:semiHidden/>
    <w:rsid w:val="00A83136"/>
    <w:pPr>
      <w:numPr>
        <w:numId w:val="18"/>
      </w:numPr>
      <w:contextualSpacing/>
    </w:pPr>
  </w:style>
  <w:style w:type="paragraph" w:styleId="ListNumber5">
    <w:name w:val="List Number 5"/>
    <w:basedOn w:val="Normal"/>
    <w:uiPriority w:val="99"/>
    <w:semiHidden/>
    <w:rsid w:val="00A83136"/>
    <w:pPr>
      <w:numPr>
        <w:numId w:val="19"/>
      </w:numPr>
      <w:contextualSpacing/>
    </w:pPr>
  </w:style>
  <w:style w:type="paragraph" w:styleId="MacroText">
    <w:name w:val="macro"/>
    <w:link w:val="MacroTextChar"/>
    <w:uiPriority w:val="99"/>
    <w:semiHidden/>
    <w:rsid w:val="00A83136"/>
    <w:pPr>
      <w:tabs>
        <w:tab w:val="left" w:pos="480"/>
        <w:tab w:val="left" w:pos="960"/>
        <w:tab w:val="left" w:pos="1440"/>
        <w:tab w:val="left" w:pos="1920"/>
        <w:tab w:val="left" w:pos="2400"/>
        <w:tab w:val="left" w:pos="2880"/>
        <w:tab w:val="left" w:pos="3360"/>
        <w:tab w:val="left" w:pos="3840"/>
        <w:tab w:val="left" w:pos="4320"/>
      </w:tabs>
      <w:spacing w:before="160" w:line="260" w:lineRule="exact"/>
    </w:pPr>
    <w:rPr>
      <w:rFonts w:ascii="Consolas" w:hAnsi="Consolas" w:cs="Consolas"/>
      <w:lang w:val="en-AU"/>
    </w:rPr>
  </w:style>
  <w:style w:type="character" w:customStyle="1" w:styleId="MacroTextChar">
    <w:name w:val="Macro Text Char"/>
    <w:basedOn w:val="DefaultParagraphFont"/>
    <w:link w:val="MacroText"/>
    <w:uiPriority w:val="99"/>
    <w:semiHidden/>
    <w:rsid w:val="00A83136"/>
    <w:rPr>
      <w:rFonts w:ascii="Consolas" w:hAnsi="Consolas" w:cs="Consolas"/>
      <w:lang w:val="en-AU"/>
    </w:rPr>
  </w:style>
  <w:style w:type="paragraph" w:styleId="MessageHeader">
    <w:name w:val="Message Header"/>
    <w:basedOn w:val="Normal"/>
    <w:link w:val="MessageHeaderChar"/>
    <w:uiPriority w:val="99"/>
    <w:semiHidden/>
    <w:rsid w:val="00A83136"/>
    <w:pPr>
      <w:pBdr>
        <w:top w:val="single" w:sz="6" w:space="1" w:color="auto"/>
        <w:left w:val="single" w:sz="6" w:space="1" w:color="auto"/>
        <w:bottom w:val="single" w:sz="6" w:space="1" w:color="auto"/>
        <w:right w:val="single" w:sz="6" w:space="1" w:color="auto"/>
      </w:pBdr>
      <w:shd w:val="pct20" w:color="auto" w:fill="auto"/>
      <w:spacing w:before="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A83136"/>
    <w:rPr>
      <w:rFonts w:asciiTheme="majorHAnsi" w:eastAsiaTheme="majorEastAsia" w:hAnsiTheme="majorHAnsi" w:cstheme="majorBidi"/>
      <w:sz w:val="24"/>
      <w:szCs w:val="24"/>
      <w:shd w:val="pct20" w:color="auto" w:fill="auto"/>
      <w:lang w:val="en-AU"/>
    </w:rPr>
  </w:style>
  <w:style w:type="paragraph" w:styleId="NoSpacing">
    <w:name w:val="No Spacing"/>
    <w:uiPriority w:val="1"/>
    <w:semiHidden/>
    <w:qFormat/>
    <w:rsid w:val="00A83136"/>
    <w:rPr>
      <w:rFonts w:ascii="Trebuchet MS" w:hAnsi="Trebuchet MS"/>
      <w:sz w:val="19"/>
      <w:lang w:val="en-AU"/>
    </w:rPr>
  </w:style>
  <w:style w:type="paragraph" w:styleId="NormalIndent">
    <w:name w:val="Normal Indent"/>
    <w:basedOn w:val="Normal"/>
    <w:uiPriority w:val="99"/>
    <w:semiHidden/>
    <w:rsid w:val="00A83136"/>
    <w:pPr>
      <w:ind w:left="720"/>
    </w:pPr>
  </w:style>
  <w:style w:type="paragraph" w:styleId="NoteHeading">
    <w:name w:val="Note Heading"/>
    <w:basedOn w:val="Normal"/>
    <w:next w:val="Normal"/>
    <w:link w:val="NoteHeadingChar"/>
    <w:uiPriority w:val="99"/>
    <w:semiHidden/>
    <w:rsid w:val="00A83136"/>
    <w:pPr>
      <w:spacing w:before="0" w:line="240" w:lineRule="auto"/>
    </w:pPr>
  </w:style>
  <w:style w:type="character" w:customStyle="1" w:styleId="NoteHeadingChar">
    <w:name w:val="Note Heading Char"/>
    <w:basedOn w:val="DefaultParagraphFont"/>
    <w:link w:val="NoteHeading"/>
    <w:uiPriority w:val="99"/>
    <w:semiHidden/>
    <w:rsid w:val="00A83136"/>
    <w:rPr>
      <w:rFonts w:ascii="Trebuchet MS" w:hAnsi="Trebuchet MS"/>
      <w:sz w:val="19"/>
      <w:lang w:val="en-AU"/>
    </w:rPr>
  </w:style>
  <w:style w:type="paragraph" w:styleId="Salutation">
    <w:name w:val="Salutation"/>
    <w:basedOn w:val="Normal"/>
    <w:next w:val="Normal"/>
    <w:link w:val="SalutationChar"/>
    <w:uiPriority w:val="99"/>
    <w:semiHidden/>
    <w:rsid w:val="00A83136"/>
  </w:style>
  <w:style w:type="character" w:customStyle="1" w:styleId="SalutationChar">
    <w:name w:val="Salutation Char"/>
    <w:basedOn w:val="DefaultParagraphFont"/>
    <w:link w:val="Salutation"/>
    <w:uiPriority w:val="99"/>
    <w:semiHidden/>
    <w:rsid w:val="00A83136"/>
    <w:rPr>
      <w:rFonts w:ascii="Trebuchet MS" w:hAnsi="Trebuchet MS"/>
      <w:sz w:val="19"/>
      <w:lang w:val="en-AU"/>
    </w:rPr>
  </w:style>
  <w:style w:type="paragraph" w:styleId="Signature">
    <w:name w:val="Signature"/>
    <w:basedOn w:val="Normal"/>
    <w:link w:val="SignatureChar"/>
    <w:uiPriority w:val="99"/>
    <w:semiHidden/>
    <w:rsid w:val="00A83136"/>
    <w:pPr>
      <w:spacing w:before="0" w:line="240" w:lineRule="auto"/>
      <w:ind w:left="4252"/>
    </w:pPr>
  </w:style>
  <w:style w:type="character" w:customStyle="1" w:styleId="SignatureChar">
    <w:name w:val="Signature Char"/>
    <w:basedOn w:val="DefaultParagraphFont"/>
    <w:link w:val="Signature"/>
    <w:uiPriority w:val="99"/>
    <w:semiHidden/>
    <w:rsid w:val="00A83136"/>
    <w:rPr>
      <w:rFonts w:ascii="Trebuchet MS" w:hAnsi="Trebuchet MS"/>
      <w:sz w:val="19"/>
      <w:lang w:val="en-AU"/>
    </w:rPr>
  </w:style>
  <w:style w:type="paragraph" w:styleId="Subtitle">
    <w:name w:val="Subtitle"/>
    <w:basedOn w:val="Normal"/>
    <w:next w:val="Normal"/>
    <w:link w:val="SubtitleChar"/>
    <w:uiPriority w:val="11"/>
    <w:semiHidden/>
    <w:qFormat/>
    <w:rsid w:val="00A8313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semiHidden/>
    <w:rsid w:val="00A83136"/>
    <w:rPr>
      <w:rFonts w:asciiTheme="majorHAnsi" w:eastAsiaTheme="majorEastAsia" w:hAnsiTheme="majorHAnsi" w:cstheme="majorBidi"/>
      <w:i/>
      <w:iCs/>
      <w:color w:val="4F81BD" w:themeColor="accent1"/>
      <w:spacing w:val="15"/>
      <w:sz w:val="24"/>
      <w:szCs w:val="24"/>
      <w:lang w:val="en-AU"/>
    </w:rPr>
  </w:style>
  <w:style w:type="paragraph" w:styleId="TableofAuthorities">
    <w:name w:val="table of authorities"/>
    <w:basedOn w:val="Normal"/>
    <w:next w:val="Normal"/>
    <w:uiPriority w:val="99"/>
    <w:semiHidden/>
    <w:rsid w:val="00A83136"/>
    <w:pPr>
      <w:ind w:left="190" w:hanging="190"/>
    </w:pPr>
  </w:style>
  <w:style w:type="paragraph" w:styleId="TOAHeading">
    <w:name w:val="toa heading"/>
    <w:basedOn w:val="Normal"/>
    <w:next w:val="Normal"/>
    <w:uiPriority w:val="99"/>
    <w:semiHidden/>
    <w:rsid w:val="00A83136"/>
    <w:pPr>
      <w:spacing w:before="120"/>
    </w:pPr>
    <w:rPr>
      <w:rFonts w:asciiTheme="majorHAnsi" w:eastAsiaTheme="majorEastAsia" w:hAnsiTheme="majorHAnsi" w:cstheme="majorBidi"/>
      <w:b/>
      <w:bCs/>
      <w:sz w:val="24"/>
      <w:szCs w:val="24"/>
    </w:rPr>
  </w:style>
  <w:style w:type="paragraph" w:styleId="TOC5">
    <w:name w:val="toc 5"/>
    <w:basedOn w:val="Normal"/>
    <w:next w:val="Normal"/>
    <w:autoRedefine/>
    <w:uiPriority w:val="39"/>
    <w:semiHidden/>
    <w:unhideWhenUsed/>
    <w:rsid w:val="00A83136"/>
    <w:pPr>
      <w:spacing w:after="100"/>
      <w:ind w:left="760"/>
    </w:pPr>
  </w:style>
  <w:style w:type="paragraph" w:styleId="TOC6">
    <w:name w:val="toc 6"/>
    <w:basedOn w:val="Normal"/>
    <w:next w:val="Normal"/>
    <w:autoRedefine/>
    <w:uiPriority w:val="39"/>
    <w:semiHidden/>
    <w:unhideWhenUsed/>
    <w:rsid w:val="00A83136"/>
    <w:pPr>
      <w:spacing w:after="100"/>
      <w:ind w:left="950"/>
    </w:pPr>
  </w:style>
  <w:style w:type="paragraph" w:styleId="TOC7">
    <w:name w:val="toc 7"/>
    <w:basedOn w:val="Normal"/>
    <w:next w:val="Normal"/>
    <w:autoRedefine/>
    <w:uiPriority w:val="39"/>
    <w:semiHidden/>
    <w:unhideWhenUsed/>
    <w:rsid w:val="00A83136"/>
    <w:pPr>
      <w:spacing w:after="100"/>
      <w:ind w:left="1140"/>
    </w:pPr>
  </w:style>
  <w:style w:type="paragraph" w:styleId="TOC8">
    <w:name w:val="toc 8"/>
    <w:basedOn w:val="Normal"/>
    <w:next w:val="Normal"/>
    <w:autoRedefine/>
    <w:uiPriority w:val="39"/>
    <w:semiHidden/>
    <w:unhideWhenUsed/>
    <w:rsid w:val="00A83136"/>
    <w:pPr>
      <w:spacing w:after="100"/>
      <w:ind w:left="1330"/>
    </w:pPr>
  </w:style>
  <w:style w:type="paragraph" w:styleId="TOC9">
    <w:name w:val="toc 9"/>
    <w:basedOn w:val="Normal"/>
    <w:next w:val="Normal"/>
    <w:autoRedefine/>
    <w:uiPriority w:val="39"/>
    <w:semiHidden/>
    <w:unhideWhenUsed/>
    <w:rsid w:val="00A83136"/>
    <w:pPr>
      <w:spacing w:after="100"/>
      <w:ind w:left="1520"/>
    </w:pPr>
  </w:style>
  <w:style w:type="paragraph" w:styleId="TOCHeading">
    <w:name w:val="TOC Heading"/>
    <w:basedOn w:val="Heading1"/>
    <w:next w:val="Normal"/>
    <w:uiPriority w:val="39"/>
    <w:semiHidden/>
    <w:unhideWhenUsed/>
    <w:qFormat/>
    <w:rsid w:val="00A83136"/>
    <w:pPr>
      <w:keepLines/>
      <w:spacing w:before="480" w:after="0" w:line="260" w:lineRule="exact"/>
      <w:outlineLvl w:val="9"/>
    </w:pPr>
    <w:rPr>
      <w:rFonts w:asciiTheme="majorHAnsi" w:eastAsiaTheme="majorEastAsia" w:hAnsiTheme="majorHAnsi" w:cstheme="majorBidi"/>
      <w:b/>
      <w:bCs/>
      <w:color w:val="365F91" w:themeColor="accent1" w:themeShade="BF"/>
      <w:kern w:val="0"/>
      <w:sz w:val="28"/>
      <w:szCs w:val="28"/>
    </w:rPr>
  </w:style>
  <w:style w:type="paragraph" w:customStyle="1" w:styleId="NumberedList">
    <w:name w:val="NumberedList"/>
    <w:uiPriority w:val="1"/>
    <w:qFormat/>
    <w:rsid w:val="00ED0C08"/>
    <w:pPr>
      <w:numPr>
        <w:numId w:val="20"/>
      </w:numPr>
      <w:spacing w:before="80" w:line="300" w:lineRule="exact"/>
    </w:pPr>
    <w:rPr>
      <w:rFonts w:ascii="Trebuchet MS" w:hAnsi="Trebuchet MS"/>
      <w:sz w:val="19"/>
      <w:lang w:val="en-AU" w:eastAsia="en-AU"/>
    </w:rPr>
  </w:style>
  <w:style w:type="character" w:styleId="UnresolvedMention">
    <w:name w:val="Unresolved Mention"/>
    <w:basedOn w:val="DefaultParagraphFont"/>
    <w:uiPriority w:val="99"/>
    <w:semiHidden/>
    <w:unhideWhenUsed/>
    <w:rsid w:val="00F01194"/>
    <w:rPr>
      <w:color w:val="808080"/>
      <w:shd w:val="clear" w:color="auto" w:fill="E6E6E6"/>
    </w:rPr>
  </w:style>
  <w:style w:type="character" w:styleId="FootnoteReference">
    <w:name w:val="footnote reference"/>
    <w:basedOn w:val="DefaultParagraphFont"/>
    <w:uiPriority w:val="99"/>
    <w:semiHidden/>
    <w:unhideWhenUsed/>
    <w:rsid w:val="00E7111C"/>
    <w:rPr>
      <w:vertAlign w:val="superscript"/>
    </w:rPr>
  </w:style>
  <w:style w:type="paragraph" w:styleId="ListParagraph">
    <w:name w:val="List Paragraph"/>
    <w:basedOn w:val="Normal"/>
    <w:uiPriority w:val="34"/>
    <w:qFormat/>
    <w:rsid w:val="000653D1"/>
    <w:pPr>
      <w:ind w:left="720"/>
      <w:contextualSpacing/>
    </w:pPr>
  </w:style>
  <w:style w:type="character" w:customStyle="1" w:styleId="Heading1Char">
    <w:name w:val="Heading 1 Char"/>
    <w:basedOn w:val="DefaultParagraphFont"/>
    <w:link w:val="Heading1"/>
    <w:rsid w:val="00F013DF"/>
    <w:rPr>
      <w:rFonts w:ascii="Arial" w:hAnsi="Arial" w:cs="Tahoma"/>
      <w:color w:val="000000"/>
      <w:kern w:val="28"/>
      <w:sz w:val="48"/>
      <w:szCs w:val="56"/>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7264286">
      <w:bodyDiv w:val="1"/>
      <w:marLeft w:val="0"/>
      <w:marRight w:val="0"/>
      <w:marTop w:val="0"/>
      <w:marBottom w:val="0"/>
      <w:divBdr>
        <w:top w:val="none" w:sz="0" w:space="0" w:color="auto"/>
        <w:left w:val="none" w:sz="0" w:space="0" w:color="auto"/>
        <w:bottom w:val="none" w:sz="0" w:space="0" w:color="auto"/>
        <w:right w:val="none" w:sz="0" w:space="0" w:color="auto"/>
      </w:divBdr>
    </w:div>
    <w:div w:id="230501190">
      <w:bodyDiv w:val="1"/>
      <w:marLeft w:val="0"/>
      <w:marRight w:val="0"/>
      <w:marTop w:val="0"/>
      <w:marBottom w:val="0"/>
      <w:divBdr>
        <w:top w:val="none" w:sz="0" w:space="0" w:color="auto"/>
        <w:left w:val="none" w:sz="0" w:space="0" w:color="auto"/>
        <w:bottom w:val="none" w:sz="0" w:space="0" w:color="auto"/>
        <w:right w:val="none" w:sz="0" w:space="0" w:color="auto"/>
      </w:divBdr>
    </w:div>
    <w:div w:id="295571771">
      <w:bodyDiv w:val="1"/>
      <w:marLeft w:val="0"/>
      <w:marRight w:val="0"/>
      <w:marTop w:val="0"/>
      <w:marBottom w:val="0"/>
      <w:divBdr>
        <w:top w:val="none" w:sz="0" w:space="0" w:color="auto"/>
        <w:left w:val="none" w:sz="0" w:space="0" w:color="auto"/>
        <w:bottom w:val="none" w:sz="0" w:space="0" w:color="auto"/>
        <w:right w:val="none" w:sz="0" w:space="0" w:color="auto"/>
      </w:divBdr>
    </w:div>
    <w:div w:id="380328006">
      <w:bodyDiv w:val="1"/>
      <w:marLeft w:val="0"/>
      <w:marRight w:val="0"/>
      <w:marTop w:val="0"/>
      <w:marBottom w:val="0"/>
      <w:divBdr>
        <w:top w:val="none" w:sz="0" w:space="0" w:color="auto"/>
        <w:left w:val="none" w:sz="0" w:space="0" w:color="auto"/>
        <w:bottom w:val="none" w:sz="0" w:space="0" w:color="auto"/>
        <w:right w:val="none" w:sz="0" w:space="0" w:color="auto"/>
      </w:divBdr>
    </w:div>
    <w:div w:id="403571349">
      <w:bodyDiv w:val="1"/>
      <w:marLeft w:val="0"/>
      <w:marRight w:val="0"/>
      <w:marTop w:val="0"/>
      <w:marBottom w:val="0"/>
      <w:divBdr>
        <w:top w:val="none" w:sz="0" w:space="0" w:color="auto"/>
        <w:left w:val="none" w:sz="0" w:space="0" w:color="auto"/>
        <w:bottom w:val="none" w:sz="0" w:space="0" w:color="auto"/>
        <w:right w:val="none" w:sz="0" w:space="0" w:color="auto"/>
      </w:divBdr>
    </w:div>
    <w:div w:id="425081522">
      <w:bodyDiv w:val="1"/>
      <w:marLeft w:val="0"/>
      <w:marRight w:val="0"/>
      <w:marTop w:val="0"/>
      <w:marBottom w:val="0"/>
      <w:divBdr>
        <w:top w:val="none" w:sz="0" w:space="0" w:color="auto"/>
        <w:left w:val="none" w:sz="0" w:space="0" w:color="auto"/>
        <w:bottom w:val="none" w:sz="0" w:space="0" w:color="auto"/>
        <w:right w:val="none" w:sz="0" w:space="0" w:color="auto"/>
      </w:divBdr>
    </w:div>
    <w:div w:id="436411833">
      <w:bodyDiv w:val="1"/>
      <w:marLeft w:val="0"/>
      <w:marRight w:val="0"/>
      <w:marTop w:val="0"/>
      <w:marBottom w:val="0"/>
      <w:divBdr>
        <w:top w:val="none" w:sz="0" w:space="0" w:color="auto"/>
        <w:left w:val="none" w:sz="0" w:space="0" w:color="auto"/>
        <w:bottom w:val="none" w:sz="0" w:space="0" w:color="auto"/>
        <w:right w:val="none" w:sz="0" w:space="0" w:color="auto"/>
      </w:divBdr>
    </w:div>
    <w:div w:id="510215869">
      <w:bodyDiv w:val="1"/>
      <w:marLeft w:val="0"/>
      <w:marRight w:val="0"/>
      <w:marTop w:val="0"/>
      <w:marBottom w:val="0"/>
      <w:divBdr>
        <w:top w:val="none" w:sz="0" w:space="0" w:color="auto"/>
        <w:left w:val="none" w:sz="0" w:space="0" w:color="auto"/>
        <w:bottom w:val="none" w:sz="0" w:space="0" w:color="auto"/>
        <w:right w:val="none" w:sz="0" w:space="0" w:color="auto"/>
      </w:divBdr>
    </w:div>
    <w:div w:id="839077975">
      <w:bodyDiv w:val="1"/>
      <w:marLeft w:val="0"/>
      <w:marRight w:val="0"/>
      <w:marTop w:val="0"/>
      <w:marBottom w:val="0"/>
      <w:divBdr>
        <w:top w:val="none" w:sz="0" w:space="0" w:color="auto"/>
        <w:left w:val="none" w:sz="0" w:space="0" w:color="auto"/>
        <w:bottom w:val="none" w:sz="0" w:space="0" w:color="auto"/>
        <w:right w:val="none" w:sz="0" w:space="0" w:color="auto"/>
      </w:divBdr>
    </w:div>
    <w:div w:id="889464981">
      <w:bodyDiv w:val="1"/>
      <w:marLeft w:val="0"/>
      <w:marRight w:val="0"/>
      <w:marTop w:val="0"/>
      <w:marBottom w:val="0"/>
      <w:divBdr>
        <w:top w:val="none" w:sz="0" w:space="0" w:color="auto"/>
        <w:left w:val="none" w:sz="0" w:space="0" w:color="auto"/>
        <w:bottom w:val="none" w:sz="0" w:space="0" w:color="auto"/>
        <w:right w:val="none" w:sz="0" w:space="0" w:color="auto"/>
      </w:divBdr>
    </w:div>
    <w:div w:id="908076094">
      <w:bodyDiv w:val="1"/>
      <w:marLeft w:val="0"/>
      <w:marRight w:val="0"/>
      <w:marTop w:val="0"/>
      <w:marBottom w:val="0"/>
      <w:divBdr>
        <w:top w:val="none" w:sz="0" w:space="0" w:color="auto"/>
        <w:left w:val="none" w:sz="0" w:space="0" w:color="auto"/>
        <w:bottom w:val="none" w:sz="0" w:space="0" w:color="auto"/>
        <w:right w:val="none" w:sz="0" w:space="0" w:color="auto"/>
      </w:divBdr>
    </w:div>
    <w:div w:id="1047071525">
      <w:bodyDiv w:val="1"/>
      <w:marLeft w:val="0"/>
      <w:marRight w:val="0"/>
      <w:marTop w:val="0"/>
      <w:marBottom w:val="0"/>
      <w:divBdr>
        <w:top w:val="none" w:sz="0" w:space="0" w:color="auto"/>
        <w:left w:val="none" w:sz="0" w:space="0" w:color="auto"/>
        <w:bottom w:val="none" w:sz="0" w:space="0" w:color="auto"/>
        <w:right w:val="none" w:sz="0" w:space="0" w:color="auto"/>
      </w:divBdr>
    </w:div>
    <w:div w:id="1099526840">
      <w:bodyDiv w:val="1"/>
      <w:marLeft w:val="0"/>
      <w:marRight w:val="0"/>
      <w:marTop w:val="0"/>
      <w:marBottom w:val="0"/>
      <w:divBdr>
        <w:top w:val="none" w:sz="0" w:space="0" w:color="auto"/>
        <w:left w:val="none" w:sz="0" w:space="0" w:color="auto"/>
        <w:bottom w:val="none" w:sz="0" w:space="0" w:color="auto"/>
        <w:right w:val="none" w:sz="0" w:space="0" w:color="auto"/>
      </w:divBdr>
    </w:div>
    <w:div w:id="1387219593">
      <w:bodyDiv w:val="1"/>
      <w:marLeft w:val="0"/>
      <w:marRight w:val="0"/>
      <w:marTop w:val="0"/>
      <w:marBottom w:val="0"/>
      <w:divBdr>
        <w:top w:val="none" w:sz="0" w:space="0" w:color="auto"/>
        <w:left w:val="none" w:sz="0" w:space="0" w:color="auto"/>
        <w:bottom w:val="none" w:sz="0" w:space="0" w:color="auto"/>
        <w:right w:val="none" w:sz="0" w:space="0" w:color="auto"/>
      </w:divBdr>
    </w:div>
    <w:div w:id="1728607659">
      <w:bodyDiv w:val="1"/>
      <w:marLeft w:val="0"/>
      <w:marRight w:val="0"/>
      <w:marTop w:val="0"/>
      <w:marBottom w:val="0"/>
      <w:divBdr>
        <w:top w:val="none" w:sz="0" w:space="0" w:color="auto"/>
        <w:left w:val="none" w:sz="0" w:space="0" w:color="auto"/>
        <w:bottom w:val="none" w:sz="0" w:space="0" w:color="auto"/>
        <w:right w:val="none" w:sz="0" w:space="0" w:color="auto"/>
      </w:divBdr>
    </w:div>
    <w:div w:id="1795253598">
      <w:bodyDiv w:val="1"/>
      <w:marLeft w:val="0"/>
      <w:marRight w:val="0"/>
      <w:marTop w:val="0"/>
      <w:marBottom w:val="0"/>
      <w:divBdr>
        <w:top w:val="none" w:sz="0" w:space="0" w:color="auto"/>
        <w:left w:val="none" w:sz="0" w:space="0" w:color="auto"/>
        <w:bottom w:val="none" w:sz="0" w:space="0" w:color="auto"/>
        <w:right w:val="none" w:sz="0" w:space="0" w:color="auto"/>
      </w:divBdr>
    </w:div>
    <w:div w:id="1805196369">
      <w:bodyDiv w:val="1"/>
      <w:marLeft w:val="0"/>
      <w:marRight w:val="0"/>
      <w:marTop w:val="0"/>
      <w:marBottom w:val="0"/>
      <w:divBdr>
        <w:top w:val="none" w:sz="0" w:space="0" w:color="auto"/>
        <w:left w:val="none" w:sz="0" w:space="0" w:color="auto"/>
        <w:bottom w:val="none" w:sz="0" w:space="0" w:color="auto"/>
        <w:right w:val="none" w:sz="0" w:space="0" w:color="auto"/>
      </w:divBdr>
    </w:div>
    <w:div w:id="1837453621">
      <w:bodyDiv w:val="1"/>
      <w:marLeft w:val="0"/>
      <w:marRight w:val="0"/>
      <w:marTop w:val="0"/>
      <w:marBottom w:val="0"/>
      <w:divBdr>
        <w:top w:val="none" w:sz="0" w:space="0" w:color="auto"/>
        <w:left w:val="none" w:sz="0" w:space="0" w:color="auto"/>
        <w:bottom w:val="none" w:sz="0" w:space="0" w:color="auto"/>
        <w:right w:val="none" w:sz="0" w:space="0" w:color="auto"/>
      </w:divBdr>
    </w:div>
    <w:div w:id="1999380859">
      <w:bodyDiv w:val="1"/>
      <w:marLeft w:val="0"/>
      <w:marRight w:val="0"/>
      <w:marTop w:val="0"/>
      <w:marBottom w:val="0"/>
      <w:divBdr>
        <w:top w:val="none" w:sz="0" w:space="0" w:color="auto"/>
        <w:left w:val="none" w:sz="0" w:space="0" w:color="auto"/>
        <w:bottom w:val="none" w:sz="0" w:space="0" w:color="auto"/>
        <w:right w:val="none" w:sz="0" w:space="0" w:color="auto"/>
      </w:divBdr>
    </w:div>
    <w:div w:id="2062944874">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120"/>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s://www.lsay.edu.au" TargetMode="External"/><Relationship Id="rId26" Type="http://schemas.openxmlformats.org/officeDocument/2006/relationships/image" Target="media/image10.png"/><Relationship Id="rId39" Type="http://schemas.openxmlformats.org/officeDocument/2006/relationships/chart" Target="charts/chart5.xml"/><Relationship Id="rId21" Type="http://schemas.openxmlformats.org/officeDocument/2006/relationships/header" Target="header1.xml"/><Relationship Id="rId34" Type="http://schemas.openxmlformats.org/officeDocument/2006/relationships/image" Target="media/image16.png"/><Relationship Id="rId42" Type="http://schemas.openxmlformats.org/officeDocument/2006/relationships/image" Target="media/image20.png"/><Relationship Id="rId47" Type="http://schemas.openxmlformats.org/officeDocument/2006/relationships/hyperlink" Target="https://www.ncver.edu.au/research-and-statistics/publications/all-publications/total-vet-program-completion-rates" TargetMode="External"/><Relationship Id="rId50" Type="http://schemas.openxmlformats.org/officeDocument/2006/relationships/hyperlink" Target="https://www.ncver.edu.au/research-and-statistics/publications/all-publications/individual-based-completion-rates-for-apprentices" TargetMode="External"/><Relationship Id="rId55" Type="http://schemas.openxmlformats.org/officeDocument/2006/relationships/hyperlink" Target="https://www.lsay.edu.au" TargetMode="External"/><Relationship Id="rId63" Type="http://schemas.openxmlformats.org/officeDocument/2006/relationships/footer" Target="footer5.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wmf"/><Relationship Id="rId20" Type="http://schemas.openxmlformats.org/officeDocument/2006/relationships/hyperlink" Target="https://www.lsay.edu.au" TargetMode="External"/><Relationship Id="rId29" Type="http://schemas.openxmlformats.org/officeDocument/2006/relationships/image" Target="media/image13.png"/><Relationship Id="rId41" Type="http://schemas.openxmlformats.org/officeDocument/2006/relationships/image" Target="media/image19.png"/><Relationship Id="rId54" Type="http://schemas.openxmlformats.org/officeDocument/2006/relationships/hyperlink" Target="mailto:ncver@ncver.edu.au" TargetMode="External"/><Relationship Id="rId62" Type="http://schemas.openxmlformats.org/officeDocument/2006/relationships/image" Target="media/image2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voced.edu.au/" TargetMode="External"/><Relationship Id="rId24" Type="http://schemas.openxmlformats.org/officeDocument/2006/relationships/image" Target="media/image8.emf"/><Relationship Id="rId32" Type="http://schemas.openxmlformats.org/officeDocument/2006/relationships/chart" Target="charts/chart2.xml"/><Relationship Id="rId37" Type="http://schemas.openxmlformats.org/officeDocument/2006/relationships/image" Target="media/image17.png"/><Relationship Id="rId40" Type="http://schemas.openxmlformats.org/officeDocument/2006/relationships/chart" Target="charts/chart6.xml"/><Relationship Id="rId45" Type="http://schemas.openxmlformats.org/officeDocument/2006/relationships/hyperlink" Target="https://www.ncver.edu.au/research-and-statistics/publications/all-publications/individual-based-completion-rates-for-apprentices" TargetMode="External"/><Relationship Id="rId53" Type="http://schemas.openxmlformats.org/officeDocument/2006/relationships/image" Target="media/image22.wmf"/><Relationship Id="rId58" Type="http://schemas.openxmlformats.org/officeDocument/2006/relationships/hyperlink" Target="https://www.lsay.edu.au" TargetMode="External"/><Relationship Id="rId66"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oter" Target="footer4.xml"/><Relationship Id="rId28" Type="http://schemas.openxmlformats.org/officeDocument/2006/relationships/image" Target="media/image12.png"/><Relationship Id="rId36" Type="http://schemas.openxmlformats.org/officeDocument/2006/relationships/chart" Target="charts/chart4.xml"/><Relationship Id="rId49" Type="http://schemas.openxmlformats.org/officeDocument/2006/relationships/hyperlink" Target="https://www.ncver.edu.au/research-and-statistics/publications/all-publications/the-likelihood-of-completing-a-vet-qualification-a-model-based-approach" TargetMode="External"/><Relationship Id="rId57" Type="http://schemas.openxmlformats.org/officeDocument/2006/relationships/hyperlink" Target="mailto:ncver@ncver.edu.au" TargetMode="External"/><Relationship Id="rId61" Type="http://schemas.openxmlformats.org/officeDocument/2006/relationships/image" Target="media/image24.png"/><Relationship Id="rId10" Type="http://schemas.openxmlformats.org/officeDocument/2006/relationships/image" Target="media/image3.jpeg"/><Relationship Id="rId19" Type="http://schemas.openxmlformats.org/officeDocument/2006/relationships/hyperlink" Target="mailto:ncver@ncver.edu.au" TargetMode="External"/><Relationship Id="rId31" Type="http://schemas.openxmlformats.org/officeDocument/2006/relationships/chart" Target="charts/chart1.xml"/><Relationship Id="rId44" Type="http://schemas.openxmlformats.org/officeDocument/2006/relationships/hyperlink" Target="https://www.ncver.edu.au/research-and-statistics/publications/all-publications/individual-based-completion-rates-for-apprentices" TargetMode="External"/><Relationship Id="rId52" Type="http://schemas.openxmlformats.org/officeDocument/2006/relationships/header" Target="header2.xml"/><Relationship Id="rId60" Type="http://schemas.openxmlformats.org/officeDocument/2006/relationships/image" Target="media/image23.png"/><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png"/><Relationship Id="rId22" Type="http://schemas.openxmlformats.org/officeDocument/2006/relationships/footer" Target="footer3.xml"/><Relationship Id="rId27" Type="http://schemas.openxmlformats.org/officeDocument/2006/relationships/image" Target="media/image11.png"/><Relationship Id="rId30" Type="http://schemas.openxmlformats.org/officeDocument/2006/relationships/image" Target="media/image14.emf"/><Relationship Id="rId35" Type="http://schemas.openxmlformats.org/officeDocument/2006/relationships/chart" Target="charts/chart3.xml"/><Relationship Id="rId43" Type="http://schemas.openxmlformats.org/officeDocument/2006/relationships/hyperlink" Target="https://www.abs.gov.au/methodologies/life-tables-methodology/2017-2019" TargetMode="External"/><Relationship Id="rId48" Type="http://schemas.openxmlformats.org/officeDocument/2006/relationships/hyperlink" Target="https://www.ncver.edu.au/research-and-statistics/publications/all-publications/total-vet-program-completion-rates" TargetMode="External"/><Relationship Id="rId56" Type="http://schemas.openxmlformats.org/officeDocument/2006/relationships/hyperlink" Target="https://twitter.com/ncver" TargetMode="External"/><Relationship Id="rId64" Type="http://schemas.openxmlformats.org/officeDocument/2006/relationships/footer" Target="footer6.xml"/><Relationship Id="rId8" Type="http://schemas.openxmlformats.org/officeDocument/2006/relationships/image" Target="media/image1.jpg"/><Relationship Id="rId51" Type="http://schemas.openxmlformats.org/officeDocument/2006/relationships/image" Target="media/image21.pn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mailto:ncver@ncver.edu.au" TargetMode="External"/><Relationship Id="rId25" Type="http://schemas.openxmlformats.org/officeDocument/2006/relationships/image" Target="media/image9.emf"/><Relationship Id="rId33" Type="http://schemas.openxmlformats.org/officeDocument/2006/relationships/image" Target="media/image15.png"/><Relationship Id="rId38" Type="http://schemas.openxmlformats.org/officeDocument/2006/relationships/image" Target="media/image18.png"/><Relationship Id="rId46" Type="http://schemas.openxmlformats.org/officeDocument/2006/relationships/hyperlink" Target="https://www.ncver.edu.au/research-and-statistics/publications/all-publications/individual-based-completion-rates-for-apprentices" TargetMode="External"/><Relationship Id="rId59" Type="http://schemas.openxmlformats.org/officeDocument/2006/relationships/hyperlink" Target="https://twitter.com/ncve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wmf"/></Relationships>
</file>

<file path=word/charts/_rels/chart1.xml.rels><?xml version="1.0" encoding="UTF-8" standalone="yes"?>
<Relationships xmlns="http://schemas.openxmlformats.org/package/2006/relationships"><Relationship Id="rId2" Type="http://schemas.openxmlformats.org/officeDocument/2006/relationships/oleObject" Target="file:///C:\Users\michellehall\AppData\Roaming\OpenText\DM\Temp\NCVER_DMS-%23217106-v2C-DataExtract_TechnicalPaper_A&amp;Tcompletions.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C:\Users\michellehall\AppData\Roaming\OpenText\DM\Temp\NCVER_DMS-%23217106-v2C-DataExtract_TechnicalPaper_A&amp;Tcompletions.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C:\Users\michellehall\AppData\Roaming\OpenText\DM\Temp\NCVER_DMS-%23217106-v2B-DataExtract_TechnicalPaper_A&amp;Tcompletions.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file:///C:\Users\michellehall\AppData\Roaming\OpenText\DM\Temp\NCVER_DMS-%23217106-v2B-DataExtract_TechnicalPaper_A&amp;Tcompletions.XLSX"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file:///C:\Users\michellehall\AppData\Roaming\OpenText\DM\Temp\NCVER_DMS-%23217106-v2B-DataExtract_TechnicalPaper_A&amp;Tcompletions.XLSX" TargetMode="External"/><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oleObject" Target="file:///C:\Users\michellehall\AppData\Roaming\OpenText\DM\Temp\NCVER_DMS-%23217106-v2B-DataExtract_TechnicalPaper_A&amp;Tcompletions.XLSX" TargetMode="External"/><Relationship Id="rId1" Type="http://schemas.openxmlformats.org/officeDocument/2006/relationships/themeOverride" Target="../theme/themeOverrid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AU"/>
              <a:t>Trade cohorts</a:t>
            </a:r>
          </a:p>
        </c:rich>
      </c:tx>
      <c:overlay val="0"/>
    </c:title>
    <c:autoTitleDeleted val="0"/>
    <c:plotArea>
      <c:layout>
        <c:manualLayout>
          <c:layoutTarget val="inner"/>
          <c:xMode val="edge"/>
          <c:yMode val="edge"/>
          <c:x val="0.14598225394836026"/>
          <c:y val="0.1335914981641349"/>
          <c:w val="0.83018572505426425"/>
          <c:h val="0.71624372333023367"/>
        </c:manualLayout>
      </c:layout>
      <c:lineChart>
        <c:grouping val="standard"/>
        <c:varyColors val="0"/>
        <c:ser>
          <c:idx val="0"/>
          <c:order val="0"/>
          <c:tx>
            <c:v>Unreported</c:v>
          </c:tx>
          <c:spPr>
            <a:ln w="19050">
              <a:solidFill>
                <a:srgbClr val="002060"/>
              </a:solidFill>
            </a:ln>
          </c:spPr>
          <c:marker>
            <c:symbol val="none"/>
          </c:marker>
          <c:cat>
            <c:numRef>
              <c:f>'Fig 1 unreported &amp; expired'!$A$8:$A$15</c:f>
              <c:numCache>
                <c:formatCode>General</c:formatCode>
                <c:ptCount val="8"/>
                <c:pt idx="0">
                  <c:v>2013</c:v>
                </c:pt>
                <c:pt idx="1">
                  <c:v>2014</c:v>
                </c:pt>
                <c:pt idx="2">
                  <c:v>2015</c:v>
                </c:pt>
                <c:pt idx="3">
                  <c:v>2016</c:v>
                </c:pt>
                <c:pt idx="4">
                  <c:v>2017</c:v>
                </c:pt>
                <c:pt idx="5">
                  <c:v>2018</c:v>
                </c:pt>
                <c:pt idx="6">
                  <c:v>2019</c:v>
                </c:pt>
                <c:pt idx="7">
                  <c:v>2020</c:v>
                </c:pt>
              </c:numCache>
            </c:numRef>
          </c:cat>
          <c:val>
            <c:numRef>
              <c:f>'Fig 1 unreported &amp; expired'!$D$8:$D$15</c:f>
              <c:numCache>
                <c:formatCode>0.0%</c:formatCode>
                <c:ptCount val="8"/>
                <c:pt idx="0">
                  <c:v>3.9335979790689278E-2</c:v>
                </c:pt>
                <c:pt idx="1">
                  <c:v>4.336704460158812E-2</c:v>
                </c:pt>
                <c:pt idx="2">
                  <c:v>4.2254494476310828E-2</c:v>
                </c:pt>
                <c:pt idx="3">
                  <c:v>5.6422478404814028E-2</c:v>
                </c:pt>
                <c:pt idx="4">
                  <c:v>0.18608612845201566</c:v>
                </c:pt>
                <c:pt idx="5">
                  <c:v>0.37289551739984123</c:v>
                </c:pt>
                <c:pt idx="6">
                  <c:v>0.55546960613678842</c:v>
                </c:pt>
                <c:pt idx="7">
                  <c:v>0.83352943047031514</c:v>
                </c:pt>
              </c:numCache>
            </c:numRef>
          </c:val>
          <c:smooth val="0"/>
          <c:extLst>
            <c:ext xmlns:c16="http://schemas.microsoft.com/office/drawing/2014/chart" uri="{C3380CC4-5D6E-409C-BE32-E72D297353CC}">
              <c16:uniqueId val="{00000000-0541-43AE-A3B4-4E9466A119D9}"/>
            </c:ext>
          </c:extLst>
        </c:ser>
        <c:ser>
          <c:idx val="1"/>
          <c:order val="1"/>
          <c:tx>
            <c:v>Expired</c:v>
          </c:tx>
          <c:spPr>
            <a:ln w="19050">
              <a:solidFill>
                <a:srgbClr val="002060"/>
              </a:solidFill>
              <a:prstDash val="sysDot"/>
            </a:ln>
          </c:spPr>
          <c:marker>
            <c:symbol val="none"/>
          </c:marker>
          <c:cat>
            <c:numRef>
              <c:f>'Fig 1 unreported &amp; expired'!$A$8:$A$15</c:f>
              <c:numCache>
                <c:formatCode>General</c:formatCode>
                <c:ptCount val="8"/>
                <c:pt idx="0">
                  <c:v>2013</c:v>
                </c:pt>
                <c:pt idx="1">
                  <c:v>2014</c:v>
                </c:pt>
                <c:pt idx="2">
                  <c:v>2015</c:v>
                </c:pt>
                <c:pt idx="3">
                  <c:v>2016</c:v>
                </c:pt>
                <c:pt idx="4">
                  <c:v>2017</c:v>
                </c:pt>
                <c:pt idx="5">
                  <c:v>2018</c:v>
                </c:pt>
                <c:pt idx="6">
                  <c:v>2019</c:v>
                </c:pt>
                <c:pt idx="7">
                  <c:v>2020</c:v>
                </c:pt>
              </c:numCache>
            </c:numRef>
          </c:cat>
          <c:val>
            <c:numRef>
              <c:f>'Fig 1 unreported &amp; expired'!$B$8:$B$15</c:f>
              <c:numCache>
                <c:formatCode>0.0%</c:formatCode>
                <c:ptCount val="8"/>
                <c:pt idx="0">
                  <c:v>3.9168128372764427E-2</c:v>
                </c:pt>
                <c:pt idx="1">
                  <c:v>4.2695452929324855E-2</c:v>
                </c:pt>
                <c:pt idx="2">
                  <c:v>3.8769485936559024E-2</c:v>
                </c:pt>
                <c:pt idx="3">
                  <c:v>4.0289445588758639E-2</c:v>
                </c:pt>
                <c:pt idx="4">
                  <c:v>2.0262406094593163E-2</c:v>
                </c:pt>
                <c:pt idx="5">
                  <c:v>1.1854033504616284E-2</c:v>
                </c:pt>
                <c:pt idx="6">
                  <c:v>6.7255420185220998E-3</c:v>
                </c:pt>
                <c:pt idx="7">
                  <c:v>1.4203792624627681E-3</c:v>
                </c:pt>
              </c:numCache>
            </c:numRef>
          </c:val>
          <c:smooth val="0"/>
          <c:extLst>
            <c:ext xmlns:c16="http://schemas.microsoft.com/office/drawing/2014/chart" uri="{C3380CC4-5D6E-409C-BE32-E72D297353CC}">
              <c16:uniqueId val="{00000001-0541-43AE-A3B4-4E9466A119D9}"/>
            </c:ext>
          </c:extLst>
        </c:ser>
        <c:dLbls>
          <c:showLegendKey val="0"/>
          <c:showVal val="0"/>
          <c:showCatName val="0"/>
          <c:showSerName val="0"/>
          <c:showPercent val="0"/>
          <c:showBubbleSize val="0"/>
        </c:dLbls>
        <c:smooth val="0"/>
        <c:axId val="208068992"/>
        <c:axId val="202089600"/>
      </c:lineChart>
      <c:catAx>
        <c:axId val="208068992"/>
        <c:scaling>
          <c:orientation val="minMax"/>
        </c:scaling>
        <c:delete val="0"/>
        <c:axPos val="b"/>
        <c:numFmt formatCode="General" sourceLinked="1"/>
        <c:majorTickMark val="out"/>
        <c:minorTickMark val="none"/>
        <c:tickLblPos val="nextTo"/>
        <c:spPr>
          <a:ln w="19050" cap="sq">
            <a:solidFill>
              <a:sysClr val="windowText" lastClr="000000">
                <a:alpha val="25000"/>
              </a:sysClr>
            </a:solidFill>
          </a:ln>
        </c:spPr>
        <c:txPr>
          <a:bodyPr/>
          <a:lstStyle/>
          <a:p>
            <a:pPr>
              <a:defRPr sz="800">
                <a:noFill/>
                <a:latin typeface="Arial" panose="020B0604020202020204" pitchFamily="34" charset="0"/>
                <a:cs typeface="Arial" panose="020B0604020202020204" pitchFamily="34" charset="0"/>
              </a:defRPr>
            </a:pPr>
            <a:endParaRPr lang="en-US"/>
          </a:p>
        </c:txPr>
        <c:crossAx val="202089600"/>
        <c:crosses val="autoZero"/>
        <c:auto val="1"/>
        <c:lblAlgn val="ctr"/>
        <c:lblOffset val="100"/>
        <c:noMultiLvlLbl val="0"/>
      </c:catAx>
      <c:valAx>
        <c:axId val="202089600"/>
        <c:scaling>
          <c:orientation val="minMax"/>
          <c:max val="1"/>
          <c:min val="0"/>
        </c:scaling>
        <c:delete val="0"/>
        <c:axPos val="l"/>
        <c:majorGridlines>
          <c:spPr>
            <a:ln>
              <a:noFill/>
            </a:ln>
          </c:spPr>
        </c:majorGridlines>
        <c:title>
          <c:tx>
            <c:rich>
              <a:bodyPr rot="-5400000" vert="horz"/>
              <a:lstStyle/>
              <a:p>
                <a:pPr>
                  <a:defRPr/>
                </a:pPr>
                <a:r>
                  <a:rPr lang="en-AU" baseline="0"/>
                  <a:t>Contracts in</a:t>
                </a:r>
                <a:br>
                  <a:rPr lang="en-AU" baseline="0"/>
                </a:br>
                <a:r>
                  <a:rPr lang="en-AU" baseline="0"/>
                  <a:t>commencing cohort</a:t>
                </a:r>
                <a:endParaRPr lang="en-AU"/>
              </a:p>
            </c:rich>
          </c:tx>
          <c:layout>
            <c:manualLayout>
              <c:xMode val="edge"/>
              <c:yMode val="edge"/>
              <c:x val="1.74608796737778E-2"/>
              <c:y val="0.11358499999999998"/>
            </c:manualLayout>
          </c:layout>
          <c:overlay val="0"/>
        </c:title>
        <c:numFmt formatCode="0%" sourceLinked="0"/>
        <c:majorTickMark val="out"/>
        <c:minorTickMark val="none"/>
        <c:tickLblPos val="nextTo"/>
        <c:spPr>
          <a:ln w="19050" cap="sq">
            <a:solidFill>
              <a:srgbClr val="000000">
                <a:alpha val="25000"/>
              </a:srgbClr>
            </a:solidFill>
          </a:ln>
        </c:spPr>
        <c:txPr>
          <a:bodyPr/>
          <a:lstStyle/>
          <a:p>
            <a:pPr>
              <a:defRPr sz="800">
                <a:latin typeface="Arial" panose="020B0604020202020204" pitchFamily="34" charset="0"/>
                <a:cs typeface="Arial" panose="020B0604020202020204" pitchFamily="34" charset="0"/>
              </a:defRPr>
            </a:pPr>
            <a:endParaRPr lang="en-US"/>
          </a:p>
        </c:txPr>
        <c:crossAx val="208068992"/>
        <c:crosses val="autoZero"/>
        <c:crossBetween val="between"/>
      </c:valAx>
    </c:plotArea>
    <c:legend>
      <c:legendPos val="r"/>
      <c:layout>
        <c:manualLayout>
          <c:xMode val="edge"/>
          <c:yMode val="edge"/>
          <c:x val="0.16064481559182264"/>
          <c:y val="0.13412166666666669"/>
          <c:w val="0.21851292809852052"/>
          <c:h val="0.25473833333333334"/>
        </c:manualLayout>
      </c:layout>
      <c:overlay val="0"/>
    </c:legend>
    <c:plotVisOnly val="1"/>
    <c:dispBlanksAs val="gap"/>
    <c:showDLblsOverMax val="0"/>
  </c:chart>
  <c:spPr>
    <a:ln>
      <a:noFill/>
    </a:ln>
  </c:spPr>
  <c:txPr>
    <a:bodyPr/>
    <a:lstStyle/>
    <a:p>
      <a:pPr>
        <a:defRPr sz="1000"/>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AU"/>
              <a:t>Non-trade cohorts</a:t>
            </a:r>
          </a:p>
        </c:rich>
      </c:tx>
      <c:layout>
        <c:manualLayout>
          <c:xMode val="edge"/>
          <c:yMode val="edge"/>
          <c:x val="0.38782006920415224"/>
          <c:y val="0"/>
        </c:manualLayout>
      </c:layout>
      <c:overlay val="0"/>
    </c:title>
    <c:autoTitleDeleted val="0"/>
    <c:plotArea>
      <c:layout>
        <c:manualLayout>
          <c:layoutTarget val="inner"/>
          <c:xMode val="edge"/>
          <c:yMode val="edge"/>
          <c:x val="0.14598225394836026"/>
          <c:y val="0.1022361111111111"/>
          <c:w val="0.83018572505426425"/>
          <c:h val="0.71232152855651187"/>
        </c:manualLayout>
      </c:layout>
      <c:lineChart>
        <c:grouping val="standard"/>
        <c:varyColors val="0"/>
        <c:ser>
          <c:idx val="0"/>
          <c:order val="0"/>
          <c:tx>
            <c:v>Unreported</c:v>
          </c:tx>
          <c:spPr>
            <a:ln w="19050">
              <a:solidFill>
                <a:srgbClr val="002060"/>
              </a:solidFill>
            </a:ln>
          </c:spPr>
          <c:marker>
            <c:symbol val="none"/>
          </c:marker>
          <c:cat>
            <c:numRef>
              <c:f>'Fig 1 unreported &amp; expired'!$A$20:$A$27</c:f>
              <c:numCache>
                <c:formatCode>General</c:formatCode>
                <c:ptCount val="8"/>
                <c:pt idx="0">
                  <c:v>2013</c:v>
                </c:pt>
                <c:pt idx="1">
                  <c:v>2014</c:v>
                </c:pt>
                <c:pt idx="2">
                  <c:v>2015</c:v>
                </c:pt>
                <c:pt idx="3">
                  <c:v>2016</c:v>
                </c:pt>
                <c:pt idx="4">
                  <c:v>2017</c:v>
                </c:pt>
                <c:pt idx="5">
                  <c:v>2018</c:v>
                </c:pt>
                <c:pt idx="6">
                  <c:v>2019</c:v>
                </c:pt>
                <c:pt idx="7">
                  <c:v>2020</c:v>
                </c:pt>
              </c:numCache>
            </c:numRef>
          </c:cat>
          <c:val>
            <c:numRef>
              <c:f>'Fig 1 unreported &amp; expired'!$D$20:$D$27</c:f>
              <c:numCache>
                <c:formatCode>0.0%</c:formatCode>
                <c:ptCount val="8"/>
                <c:pt idx="0">
                  <c:v>5.3280902132816922E-2</c:v>
                </c:pt>
                <c:pt idx="1">
                  <c:v>3.8941345535013709E-2</c:v>
                </c:pt>
                <c:pt idx="2">
                  <c:v>3.6914582865213617E-2</c:v>
                </c:pt>
                <c:pt idx="3">
                  <c:v>4.2034391775088706E-2</c:v>
                </c:pt>
                <c:pt idx="4">
                  <c:v>5.0553139382679559E-2</c:v>
                </c:pt>
                <c:pt idx="5">
                  <c:v>7.9711290832693266E-2</c:v>
                </c:pt>
                <c:pt idx="6">
                  <c:v>0.24882239495061656</c:v>
                </c:pt>
                <c:pt idx="7">
                  <c:v>0.75975645850069773</c:v>
                </c:pt>
              </c:numCache>
            </c:numRef>
          </c:val>
          <c:smooth val="0"/>
          <c:extLst>
            <c:ext xmlns:c16="http://schemas.microsoft.com/office/drawing/2014/chart" uri="{C3380CC4-5D6E-409C-BE32-E72D297353CC}">
              <c16:uniqueId val="{00000000-77AB-4C01-959C-3457B305F4AA}"/>
            </c:ext>
          </c:extLst>
        </c:ser>
        <c:ser>
          <c:idx val="1"/>
          <c:order val="1"/>
          <c:tx>
            <c:v>Expired</c:v>
          </c:tx>
          <c:spPr>
            <a:ln w="19050">
              <a:solidFill>
                <a:srgbClr val="002060"/>
              </a:solidFill>
              <a:prstDash val="sysDot"/>
            </a:ln>
          </c:spPr>
          <c:marker>
            <c:symbol val="none"/>
          </c:marker>
          <c:cat>
            <c:numRef>
              <c:f>'Fig 1 unreported &amp; expired'!$A$20:$A$27</c:f>
              <c:numCache>
                <c:formatCode>General</c:formatCode>
                <c:ptCount val="8"/>
                <c:pt idx="0">
                  <c:v>2013</c:v>
                </c:pt>
                <c:pt idx="1">
                  <c:v>2014</c:v>
                </c:pt>
                <c:pt idx="2">
                  <c:v>2015</c:v>
                </c:pt>
                <c:pt idx="3">
                  <c:v>2016</c:v>
                </c:pt>
                <c:pt idx="4">
                  <c:v>2017</c:v>
                </c:pt>
                <c:pt idx="5">
                  <c:v>2018</c:v>
                </c:pt>
                <c:pt idx="6">
                  <c:v>2019</c:v>
                </c:pt>
                <c:pt idx="7">
                  <c:v>2020</c:v>
                </c:pt>
              </c:numCache>
            </c:numRef>
          </c:cat>
          <c:val>
            <c:numRef>
              <c:f>'Fig 1 unreported &amp; expired'!$B$20:$B$27</c:f>
              <c:numCache>
                <c:formatCode>0.0%</c:formatCode>
                <c:ptCount val="8"/>
                <c:pt idx="0">
                  <c:v>5.297132092373763E-2</c:v>
                </c:pt>
                <c:pt idx="1">
                  <c:v>3.8518165868796674E-2</c:v>
                </c:pt>
                <c:pt idx="2">
                  <c:v>3.5544998341518738E-2</c:v>
                </c:pt>
                <c:pt idx="3">
                  <c:v>3.9476743598297594E-2</c:v>
                </c:pt>
                <c:pt idx="4">
                  <c:v>4.0672634379090487E-2</c:v>
                </c:pt>
                <c:pt idx="5">
                  <c:v>3.2327294085754306E-2</c:v>
                </c:pt>
                <c:pt idx="6">
                  <c:v>1.7146864590029804E-2</c:v>
                </c:pt>
                <c:pt idx="7">
                  <c:v>1.8709568305779883E-3</c:v>
                </c:pt>
              </c:numCache>
            </c:numRef>
          </c:val>
          <c:smooth val="0"/>
          <c:extLst>
            <c:ext xmlns:c16="http://schemas.microsoft.com/office/drawing/2014/chart" uri="{C3380CC4-5D6E-409C-BE32-E72D297353CC}">
              <c16:uniqueId val="{00000001-77AB-4C01-959C-3457B305F4AA}"/>
            </c:ext>
          </c:extLst>
        </c:ser>
        <c:dLbls>
          <c:showLegendKey val="0"/>
          <c:showVal val="0"/>
          <c:showCatName val="0"/>
          <c:showSerName val="0"/>
          <c:showPercent val="0"/>
          <c:showBubbleSize val="0"/>
        </c:dLbls>
        <c:smooth val="0"/>
        <c:axId val="208068992"/>
        <c:axId val="202089600"/>
      </c:lineChart>
      <c:catAx>
        <c:axId val="208068992"/>
        <c:scaling>
          <c:orientation val="minMax"/>
        </c:scaling>
        <c:delete val="0"/>
        <c:axPos val="b"/>
        <c:title>
          <c:tx>
            <c:rich>
              <a:bodyPr/>
              <a:lstStyle/>
              <a:p>
                <a:pPr>
                  <a:defRPr/>
                </a:pPr>
                <a:r>
                  <a:rPr lang="en-AU"/>
                  <a:t>Commencing cohort</a:t>
                </a:r>
              </a:p>
            </c:rich>
          </c:tx>
          <c:overlay val="0"/>
        </c:title>
        <c:numFmt formatCode="General" sourceLinked="1"/>
        <c:majorTickMark val="out"/>
        <c:minorTickMark val="none"/>
        <c:tickLblPos val="nextTo"/>
        <c:spPr>
          <a:ln w="19050" cap="sq">
            <a:solidFill>
              <a:sysClr val="windowText" lastClr="000000">
                <a:alpha val="25000"/>
              </a:sysClr>
            </a:solidFill>
          </a:ln>
        </c:spPr>
        <c:txPr>
          <a:bodyPr/>
          <a:lstStyle/>
          <a:p>
            <a:pPr>
              <a:defRPr sz="800">
                <a:latin typeface="Arial" panose="020B0604020202020204" pitchFamily="34" charset="0"/>
                <a:cs typeface="Arial" panose="020B0604020202020204" pitchFamily="34" charset="0"/>
              </a:defRPr>
            </a:pPr>
            <a:endParaRPr lang="en-US"/>
          </a:p>
        </c:txPr>
        <c:crossAx val="202089600"/>
        <c:crosses val="autoZero"/>
        <c:auto val="1"/>
        <c:lblAlgn val="ctr"/>
        <c:lblOffset val="100"/>
        <c:noMultiLvlLbl val="0"/>
      </c:catAx>
      <c:valAx>
        <c:axId val="202089600"/>
        <c:scaling>
          <c:orientation val="minMax"/>
          <c:max val="1"/>
          <c:min val="0"/>
        </c:scaling>
        <c:delete val="0"/>
        <c:axPos val="l"/>
        <c:majorGridlines>
          <c:spPr>
            <a:ln>
              <a:noFill/>
            </a:ln>
          </c:spPr>
        </c:majorGridlines>
        <c:title>
          <c:tx>
            <c:rich>
              <a:bodyPr rot="-5400000" vert="horz"/>
              <a:lstStyle/>
              <a:p>
                <a:pPr>
                  <a:defRPr/>
                </a:pPr>
                <a:r>
                  <a:rPr lang="en-AU" baseline="0"/>
                  <a:t>Contracts in</a:t>
                </a:r>
                <a:br>
                  <a:rPr lang="en-AU" baseline="0"/>
                </a:br>
                <a:r>
                  <a:rPr lang="en-AU" baseline="0"/>
                  <a:t>commencing cohort</a:t>
                </a:r>
                <a:endParaRPr lang="en-AU"/>
              </a:p>
            </c:rich>
          </c:tx>
          <c:layout>
            <c:manualLayout>
              <c:xMode val="edge"/>
              <c:yMode val="edge"/>
              <c:x val="1.5154074598806636E-2"/>
              <c:y val="0.11358499999999998"/>
            </c:manualLayout>
          </c:layout>
          <c:overlay val="0"/>
        </c:title>
        <c:numFmt formatCode="0%" sourceLinked="0"/>
        <c:majorTickMark val="out"/>
        <c:minorTickMark val="none"/>
        <c:tickLblPos val="nextTo"/>
        <c:spPr>
          <a:ln w="19050" cap="sq">
            <a:solidFill>
              <a:srgbClr val="000000">
                <a:alpha val="25000"/>
              </a:srgbClr>
            </a:solidFill>
          </a:ln>
        </c:spPr>
        <c:txPr>
          <a:bodyPr/>
          <a:lstStyle/>
          <a:p>
            <a:pPr>
              <a:defRPr sz="800">
                <a:latin typeface="Arial" panose="020B0604020202020204" pitchFamily="34" charset="0"/>
                <a:cs typeface="Arial" panose="020B0604020202020204" pitchFamily="34" charset="0"/>
              </a:defRPr>
            </a:pPr>
            <a:endParaRPr lang="en-US"/>
          </a:p>
        </c:txPr>
        <c:crossAx val="208068992"/>
        <c:crosses val="autoZero"/>
        <c:crossBetween val="between"/>
      </c:valAx>
    </c:plotArea>
    <c:plotVisOnly val="1"/>
    <c:dispBlanksAs val="gap"/>
    <c:showDLblsOverMax val="0"/>
  </c:chart>
  <c:spPr>
    <a:ln>
      <a:noFill/>
    </a:ln>
  </c:spPr>
  <c:txPr>
    <a:bodyPr/>
    <a:lstStyle/>
    <a:p>
      <a:pPr>
        <a:defRPr sz="1000"/>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2.7225506647734606E-2"/>
          <c:y val="3.9458795922045008E-2"/>
          <c:w val="0.93930084069559305"/>
          <c:h val="0.8093159113873224"/>
        </c:manualLayout>
      </c:layout>
      <c:lineChart>
        <c:grouping val="standard"/>
        <c:varyColors val="0"/>
        <c:ser>
          <c:idx val="0"/>
          <c:order val="0"/>
          <c:tx>
            <c:strRef>
              <c:f>'Fig 2 &amp; 3 comparisons'!$B$14</c:f>
              <c:strCache>
                <c:ptCount val="1"/>
                <c:pt idx="0">
                  <c:v>Life tables</c:v>
                </c:pt>
              </c:strCache>
            </c:strRef>
          </c:tx>
          <c:spPr>
            <a:ln w="19050">
              <a:solidFill>
                <a:srgbClr val="439539"/>
              </a:solidFill>
              <a:prstDash val="lgDashDotDot"/>
            </a:ln>
          </c:spPr>
          <c:marker>
            <c:symbol val="none"/>
          </c:marker>
          <c:cat>
            <c:numRef>
              <c:f>'Fig 2 &amp; 3 comparisons'!$A$15:$A$17</c:f>
              <c:numCache>
                <c:formatCode>General</c:formatCode>
                <c:ptCount val="3"/>
                <c:pt idx="0">
                  <c:v>2013</c:v>
                </c:pt>
                <c:pt idx="1">
                  <c:v>2014</c:v>
                </c:pt>
                <c:pt idx="2">
                  <c:v>2015</c:v>
                </c:pt>
              </c:numCache>
            </c:numRef>
          </c:cat>
          <c:val>
            <c:numRef>
              <c:f>'Fig 2 &amp; 3 comparisons'!$B$15:$B$17</c:f>
              <c:numCache>
                <c:formatCode>0.0%</c:formatCode>
                <c:ptCount val="3"/>
                <c:pt idx="0">
                  <c:v>0.60799999999999998</c:v>
                </c:pt>
                <c:pt idx="1">
                  <c:v>0.57499999999999996</c:v>
                </c:pt>
                <c:pt idx="2">
                  <c:v>0.55400000000000005</c:v>
                </c:pt>
              </c:numCache>
            </c:numRef>
          </c:val>
          <c:smooth val="0"/>
          <c:extLst>
            <c:ext xmlns:c16="http://schemas.microsoft.com/office/drawing/2014/chart" uri="{C3380CC4-5D6E-409C-BE32-E72D297353CC}">
              <c16:uniqueId val="{00000000-8330-4173-944E-3DB11D89ADA6}"/>
            </c:ext>
          </c:extLst>
        </c:ser>
        <c:ser>
          <c:idx val="2"/>
          <c:order val="1"/>
          <c:tx>
            <c:strRef>
              <c:f>'Fig 2 &amp; 3 comparisons'!$C$14</c:f>
              <c:strCache>
                <c:ptCount val="1"/>
                <c:pt idx="0">
                  <c:v>Markov chains</c:v>
                </c:pt>
              </c:strCache>
            </c:strRef>
          </c:tx>
          <c:spPr>
            <a:ln w="19050">
              <a:solidFill>
                <a:srgbClr val="002060"/>
              </a:solidFill>
              <a:prstDash val="sysDot"/>
            </a:ln>
          </c:spPr>
          <c:marker>
            <c:symbol val="none"/>
          </c:marker>
          <c:cat>
            <c:numRef>
              <c:f>'Fig 2 &amp; 3 comparisons'!$A$15:$A$17</c:f>
              <c:numCache>
                <c:formatCode>General</c:formatCode>
                <c:ptCount val="3"/>
                <c:pt idx="0">
                  <c:v>2013</c:v>
                </c:pt>
                <c:pt idx="1">
                  <c:v>2014</c:v>
                </c:pt>
                <c:pt idx="2">
                  <c:v>2015</c:v>
                </c:pt>
              </c:numCache>
            </c:numRef>
          </c:cat>
          <c:val>
            <c:numRef>
              <c:f>'Fig 2 &amp; 3 comparisons'!$C$15:$C$17</c:f>
              <c:numCache>
                <c:formatCode>0.0%</c:formatCode>
                <c:ptCount val="3"/>
                <c:pt idx="0">
                  <c:v>0.56799999999999995</c:v>
                </c:pt>
                <c:pt idx="1">
                  <c:v>0.53300000000000003</c:v>
                </c:pt>
                <c:pt idx="2">
                  <c:v>0.53800000000000003</c:v>
                </c:pt>
              </c:numCache>
            </c:numRef>
          </c:val>
          <c:smooth val="0"/>
          <c:extLst>
            <c:ext xmlns:c16="http://schemas.microsoft.com/office/drawing/2014/chart" uri="{C3380CC4-5D6E-409C-BE32-E72D297353CC}">
              <c16:uniqueId val="{00000001-8330-4173-944E-3DB11D89ADA6}"/>
            </c:ext>
          </c:extLst>
        </c:ser>
        <c:ser>
          <c:idx val="1"/>
          <c:order val="2"/>
          <c:tx>
            <c:strRef>
              <c:f>'Fig 2 &amp; 3 comparisons'!$D$14</c:f>
              <c:strCache>
                <c:ptCount val="1"/>
                <c:pt idx="0">
                  <c:v>Machine learning</c:v>
                </c:pt>
              </c:strCache>
            </c:strRef>
          </c:tx>
          <c:spPr>
            <a:ln w="19050">
              <a:solidFill>
                <a:srgbClr val="78278B"/>
              </a:solidFill>
              <a:prstDash val="dash"/>
            </a:ln>
          </c:spPr>
          <c:marker>
            <c:symbol val="none"/>
          </c:marker>
          <c:cat>
            <c:numRef>
              <c:f>'Fig 2 &amp; 3 comparisons'!$A$15:$A$17</c:f>
              <c:numCache>
                <c:formatCode>General</c:formatCode>
                <c:ptCount val="3"/>
                <c:pt idx="0">
                  <c:v>2013</c:v>
                </c:pt>
                <c:pt idx="1">
                  <c:v>2014</c:v>
                </c:pt>
                <c:pt idx="2">
                  <c:v>2015</c:v>
                </c:pt>
              </c:numCache>
            </c:numRef>
          </c:cat>
          <c:val>
            <c:numRef>
              <c:f>'Fig 2 &amp; 3 comparisons'!$D$15:$D$17</c:f>
              <c:numCache>
                <c:formatCode>0.0%</c:formatCode>
                <c:ptCount val="3"/>
                <c:pt idx="0">
                  <c:v>0.56999999999999995</c:v>
                </c:pt>
                <c:pt idx="1">
                  <c:v>0.54200000000000004</c:v>
                </c:pt>
                <c:pt idx="2">
                  <c:v>0.54300000000000004</c:v>
                </c:pt>
              </c:numCache>
            </c:numRef>
          </c:val>
          <c:smooth val="0"/>
          <c:extLst>
            <c:ext xmlns:c16="http://schemas.microsoft.com/office/drawing/2014/chart" uri="{C3380CC4-5D6E-409C-BE32-E72D297353CC}">
              <c16:uniqueId val="{00000002-8330-4173-944E-3DB11D89ADA6}"/>
            </c:ext>
          </c:extLst>
        </c:ser>
        <c:ser>
          <c:idx val="3"/>
          <c:order val="3"/>
          <c:tx>
            <c:strRef>
              <c:f>'Fig 2 &amp; 3 comparisons'!$E$14</c:f>
              <c:strCache>
                <c:ptCount val="1"/>
                <c:pt idx="0">
                  <c:v>Actual rate</c:v>
                </c:pt>
              </c:strCache>
            </c:strRef>
          </c:tx>
          <c:spPr>
            <a:ln w="19050">
              <a:solidFill>
                <a:srgbClr val="000000"/>
              </a:solidFill>
              <a:prstDash val="solid"/>
            </a:ln>
          </c:spPr>
          <c:marker>
            <c:symbol val="none"/>
          </c:marker>
          <c:cat>
            <c:numRef>
              <c:f>'Fig 2 &amp; 3 comparisons'!$A$15:$A$17</c:f>
              <c:numCache>
                <c:formatCode>General</c:formatCode>
                <c:ptCount val="3"/>
                <c:pt idx="0">
                  <c:v>2013</c:v>
                </c:pt>
                <c:pt idx="1">
                  <c:v>2014</c:v>
                </c:pt>
                <c:pt idx="2">
                  <c:v>2015</c:v>
                </c:pt>
              </c:numCache>
            </c:numRef>
          </c:cat>
          <c:val>
            <c:numRef>
              <c:f>'Fig 2 &amp; 3 comparisons'!$E$15:$E$17</c:f>
              <c:numCache>
                <c:formatCode>0.0%</c:formatCode>
                <c:ptCount val="3"/>
                <c:pt idx="0">
                  <c:v>0.57199999999999995</c:v>
                </c:pt>
                <c:pt idx="1">
                  <c:v>0.55100000000000005</c:v>
                </c:pt>
                <c:pt idx="2">
                  <c:v>0.54900000000000004</c:v>
                </c:pt>
              </c:numCache>
            </c:numRef>
          </c:val>
          <c:smooth val="0"/>
          <c:extLst>
            <c:ext xmlns:c16="http://schemas.microsoft.com/office/drawing/2014/chart" uri="{C3380CC4-5D6E-409C-BE32-E72D297353CC}">
              <c16:uniqueId val="{00000003-8330-4173-944E-3DB11D89ADA6}"/>
            </c:ext>
          </c:extLst>
        </c:ser>
        <c:dLbls>
          <c:showLegendKey val="0"/>
          <c:showVal val="0"/>
          <c:showCatName val="0"/>
          <c:showSerName val="0"/>
          <c:showPercent val="0"/>
          <c:showBubbleSize val="0"/>
        </c:dLbls>
        <c:smooth val="0"/>
        <c:axId val="208068992"/>
        <c:axId val="202089600"/>
      </c:lineChart>
      <c:catAx>
        <c:axId val="208068992"/>
        <c:scaling>
          <c:orientation val="minMax"/>
        </c:scaling>
        <c:delete val="0"/>
        <c:axPos val="b"/>
        <c:title>
          <c:tx>
            <c:rich>
              <a:bodyPr/>
              <a:lstStyle/>
              <a:p>
                <a:pPr>
                  <a:defRPr/>
                </a:pPr>
                <a:r>
                  <a:rPr lang="en-AU"/>
                  <a:t>Non-trade contracts</a:t>
                </a:r>
              </a:p>
            </c:rich>
          </c:tx>
          <c:overlay val="0"/>
        </c:title>
        <c:numFmt formatCode="General" sourceLinked="1"/>
        <c:majorTickMark val="out"/>
        <c:minorTickMark val="none"/>
        <c:tickLblPos val="nextTo"/>
        <c:spPr>
          <a:ln w="19050" cap="sq">
            <a:solidFill>
              <a:sysClr val="windowText" lastClr="000000">
                <a:alpha val="25000"/>
              </a:sysClr>
            </a:solidFill>
          </a:ln>
        </c:spPr>
        <c:txPr>
          <a:bodyPr/>
          <a:lstStyle/>
          <a:p>
            <a:pPr>
              <a:defRPr sz="800">
                <a:latin typeface="Arial" panose="020B0604020202020204" pitchFamily="34" charset="0"/>
                <a:cs typeface="Arial" panose="020B0604020202020204" pitchFamily="34" charset="0"/>
              </a:defRPr>
            </a:pPr>
            <a:endParaRPr lang="en-US"/>
          </a:p>
        </c:txPr>
        <c:crossAx val="202089600"/>
        <c:crosses val="autoZero"/>
        <c:auto val="1"/>
        <c:lblAlgn val="ctr"/>
        <c:lblOffset val="100"/>
        <c:noMultiLvlLbl val="0"/>
      </c:catAx>
      <c:valAx>
        <c:axId val="202089600"/>
        <c:scaling>
          <c:orientation val="minMax"/>
          <c:max val="0.65000000000000013"/>
          <c:min val="0.35000000000000003"/>
        </c:scaling>
        <c:delete val="1"/>
        <c:axPos val="r"/>
        <c:majorGridlines>
          <c:spPr>
            <a:ln>
              <a:noFill/>
            </a:ln>
          </c:spPr>
        </c:majorGridlines>
        <c:numFmt formatCode="0%" sourceLinked="0"/>
        <c:majorTickMark val="out"/>
        <c:minorTickMark val="none"/>
        <c:tickLblPos val="nextTo"/>
        <c:crossAx val="208068992"/>
        <c:crosses val="max"/>
        <c:crossBetween val="between"/>
      </c:valAx>
    </c:plotArea>
    <c:legend>
      <c:legendPos val="t"/>
      <c:layout>
        <c:manualLayout>
          <c:xMode val="edge"/>
          <c:yMode val="edge"/>
          <c:x val="0.31470930537073322"/>
          <c:y val="0.58497728476611"/>
          <c:w val="0.67903318621872466"/>
          <c:h val="0.22491332527419905"/>
        </c:manualLayout>
      </c:layout>
      <c:overlay val="0"/>
      <c:txPr>
        <a:bodyPr/>
        <a:lstStyle/>
        <a:p>
          <a:pPr>
            <a:defRPr sz="800">
              <a:latin typeface="Arial" panose="020B0604020202020204" pitchFamily="34" charset="0"/>
              <a:cs typeface="Arial" panose="020B0604020202020204" pitchFamily="34" charset="0"/>
            </a:defRPr>
          </a:pPr>
          <a:endParaRPr lang="en-US"/>
        </a:p>
      </c:txPr>
    </c:legend>
    <c:plotVisOnly val="1"/>
    <c:dispBlanksAs val="gap"/>
    <c:showDLblsOverMax val="0"/>
  </c:chart>
  <c:spPr>
    <a:solidFill>
      <a:sysClr val="window" lastClr="FFFFFF"/>
    </a:solidFill>
    <a:ln>
      <a:noFill/>
    </a:ln>
  </c:spPr>
  <c:txPr>
    <a:bodyPr/>
    <a:lstStyle/>
    <a:p>
      <a:pPr>
        <a:defRPr sz="1000"/>
      </a:pPr>
      <a:endParaRPr lang="en-U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5209522637795273"/>
          <c:y val="3.9458795922045008E-2"/>
          <c:w val="0.72407277624328381"/>
          <c:h val="0.81037649730940731"/>
        </c:manualLayout>
      </c:layout>
      <c:lineChart>
        <c:grouping val="standard"/>
        <c:varyColors val="0"/>
        <c:ser>
          <c:idx val="0"/>
          <c:order val="0"/>
          <c:tx>
            <c:strRef>
              <c:f>'Fig 2 &amp; 3 comparisons'!$B$8</c:f>
              <c:strCache>
                <c:ptCount val="1"/>
                <c:pt idx="0">
                  <c:v>Life tables</c:v>
                </c:pt>
              </c:strCache>
            </c:strRef>
          </c:tx>
          <c:spPr>
            <a:ln w="19050">
              <a:solidFill>
                <a:srgbClr val="439539"/>
              </a:solidFill>
              <a:prstDash val="lgDashDotDot"/>
            </a:ln>
          </c:spPr>
          <c:marker>
            <c:symbol val="none"/>
          </c:marker>
          <c:cat>
            <c:numRef>
              <c:f>'Fig 2 &amp; 3 comparisons'!$A$9:$A$11</c:f>
              <c:numCache>
                <c:formatCode>General</c:formatCode>
                <c:ptCount val="3"/>
                <c:pt idx="0">
                  <c:v>2013</c:v>
                </c:pt>
                <c:pt idx="1">
                  <c:v>2014</c:v>
                </c:pt>
                <c:pt idx="2">
                  <c:v>2015</c:v>
                </c:pt>
              </c:numCache>
            </c:numRef>
          </c:cat>
          <c:val>
            <c:numRef>
              <c:f>'Fig 2 &amp; 3 comparisons'!$B$9:$B$11</c:f>
              <c:numCache>
                <c:formatCode>0.0%</c:formatCode>
                <c:ptCount val="3"/>
                <c:pt idx="0">
                  <c:v>0.51100000000000001</c:v>
                </c:pt>
                <c:pt idx="1">
                  <c:v>0.41399999999999998</c:v>
                </c:pt>
                <c:pt idx="2">
                  <c:v>0.438</c:v>
                </c:pt>
              </c:numCache>
            </c:numRef>
          </c:val>
          <c:smooth val="0"/>
          <c:extLst>
            <c:ext xmlns:c16="http://schemas.microsoft.com/office/drawing/2014/chart" uri="{C3380CC4-5D6E-409C-BE32-E72D297353CC}">
              <c16:uniqueId val="{00000000-DD5B-4F1D-B94D-777EFA1099B7}"/>
            </c:ext>
          </c:extLst>
        </c:ser>
        <c:ser>
          <c:idx val="2"/>
          <c:order val="1"/>
          <c:tx>
            <c:strRef>
              <c:f>'Fig 2 &amp; 3 comparisons'!$C$8</c:f>
              <c:strCache>
                <c:ptCount val="1"/>
                <c:pt idx="0">
                  <c:v>Markov chains</c:v>
                </c:pt>
              </c:strCache>
            </c:strRef>
          </c:tx>
          <c:spPr>
            <a:ln w="19050">
              <a:solidFill>
                <a:srgbClr val="002060"/>
              </a:solidFill>
              <a:prstDash val="sysDot"/>
            </a:ln>
          </c:spPr>
          <c:marker>
            <c:symbol val="none"/>
          </c:marker>
          <c:cat>
            <c:numRef>
              <c:f>'Fig 2 &amp; 3 comparisons'!$A$9:$A$11</c:f>
              <c:numCache>
                <c:formatCode>General</c:formatCode>
                <c:ptCount val="3"/>
                <c:pt idx="0">
                  <c:v>2013</c:v>
                </c:pt>
                <c:pt idx="1">
                  <c:v>2014</c:v>
                </c:pt>
                <c:pt idx="2">
                  <c:v>2015</c:v>
                </c:pt>
              </c:numCache>
            </c:numRef>
          </c:cat>
          <c:val>
            <c:numRef>
              <c:f>'Fig 2 &amp; 3 comparisons'!$C$9:$C$11</c:f>
              <c:numCache>
                <c:formatCode>0.0%</c:formatCode>
                <c:ptCount val="3"/>
                <c:pt idx="0">
                  <c:v>0.50800000000000001</c:v>
                </c:pt>
                <c:pt idx="1">
                  <c:v>0.45200000000000001</c:v>
                </c:pt>
                <c:pt idx="2">
                  <c:v>0.46400000000000002</c:v>
                </c:pt>
              </c:numCache>
            </c:numRef>
          </c:val>
          <c:smooth val="0"/>
          <c:extLst>
            <c:ext xmlns:c16="http://schemas.microsoft.com/office/drawing/2014/chart" uri="{C3380CC4-5D6E-409C-BE32-E72D297353CC}">
              <c16:uniqueId val="{00000001-DD5B-4F1D-B94D-777EFA1099B7}"/>
            </c:ext>
          </c:extLst>
        </c:ser>
        <c:ser>
          <c:idx val="1"/>
          <c:order val="2"/>
          <c:tx>
            <c:strRef>
              <c:f>'Fig 2 &amp; 3 comparisons'!$D$8</c:f>
              <c:strCache>
                <c:ptCount val="1"/>
                <c:pt idx="0">
                  <c:v>Machine learning</c:v>
                </c:pt>
              </c:strCache>
            </c:strRef>
          </c:tx>
          <c:spPr>
            <a:ln w="19050">
              <a:solidFill>
                <a:srgbClr val="78278B"/>
              </a:solidFill>
              <a:prstDash val="dash"/>
            </a:ln>
          </c:spPr>
          <c:marker>
            <c:symbol val="none"/>
          </c:marker>
          <c:cat>
            <c:numRef>
              <c:f>'Fig 2 &amp; 3 comparisons'!$A$9:$A$11</c:f>
              <c:numCache>
                <c:formatCode>General</c:formatCode>
                <c:ptCount val="3"/>
                <c:pt idx="0">
                  <c:v>2013</c:v>
                </c:pt>
                <c:pt idx="1">
                  <c:v>2014</c:v>
                </c:pt>
                <c:pt idx="2">
                  <c:v>2015</c:v>
                </c:pt>
              </c:numCache>
            </c:numRef>
          </c:cat>
          <c:val>
            <c:numRef>
              <c:f>'Fig 2 &amp; 3 comparisons'!$D$9:$D$11</c:f>
              <c:numCache>
                <c:formatCode>0.0%</c:formatCode>
                <c:ptCount val="3"/>
                <c:pt idx="0">
                  <c:v>0.52100000000000002</c:v>
                </c:pt>
                <c:pt idx="1">
                  <c:v>0.46600000000000003</c:v>
                </c:pt>
                <c:pt idx="2">
                  <c:v>0.46800000000000003</c:v>
                </c:pt>
              </c:numCache>
            </c:numRef>
          </c:val>
          <c:smooth val="0"/>
          <c:extLst>
            <c:ext xmlns:c16="http://schemas.microsoft.com/office/drawing/2014/chart" uri="{C3380CC4-5D6E-409C-BE32-E72D297353CC}">
              <c16:uniqueId val="{00000002-DD5B-4F1D-B94D-777EFA1099B7}"/>
            </c:ext>
          </c:extLst>
        </c:ser>
        <c:ser>
          <c:idx val="3"/>
          <c:order val="3"/>
          <c:tx>
            <c:strRef>
              <c:f>'Fig 2 &amp; 3 comparisons'!$E$8</c:f>
              <c:strCache>
                <c:ptCount val="1"/>
                <c:pt idx="0">
                  <c:v>Actual rate</c:v>
                </c:pt>
              </c:strCache>
            </c:strRef>
          </c:tx>
          <c:spPr>
            <a:ln w="19050">
              <a:solidFill>
                <a:srgbClr val="000000"/>
              </a:solidFill>
              <a:prstDash val="solid"/>
            </a:ln>
          </c:spPr>
          <c:marker>
            <c:symbol val="none"/>
          </c:marker>
          <c:cat>
            <c:numRef>
              <c:f>'Fig 2 &amp; 3 comparisons'!$A$9:$A$11</c:f>
              <c:numCache>
                <c:formatCode>General</c:formatCode>
                <c:ptCount val="3"/>
                <c:pt idx="0">
                  <c:v>2013</c:v>
                </c:pt>
                <c:pt idx="1">
                  <c:v>2014</c:v>
                </c:pt>
                <c:pt idx="2">
                  <c:v>2015</c:v>
                </c:pt>
              </c:numCache>
            </c:numRef>
          </c:cat>
          <c:val>
            <c:numRef>
              <c:f>'Fig 2 &amp; 3 comparisons'!$E$9:$E$11</c:f>
              <c:numCache>
                <c:formatCode>0.0%</c:formatCode>
                <c:ptCount val="3"/>
                <c:pt idx="0">
                  <c:v>0.47599999999999998</c:v>
                </c:pt>
                <c:pt idx="1">
                  <c:v>0.44</c:v>
                </c:pt>
                <c:pt idx="2">
                  <c:v>0.44800000000000001</c:v>
                </c:pt>
              </c:numCache>
            </c:numRef>
          </c:val>
          <c:smooth val="0"/>
          <c:extLst>
            <c:ext xmlns:c16="http://schemas.microsoft.com/office/drawing/2014/chart" uri="{C3380CC4-5D6E-409C-BE32-E72D297353CC}">
              <c16:uniqueId val="{00000003-DD5B-4F1D-B94D-777EFA1099B7}"/>
            </c:ext>
          </c:extLst>
        </c:ser>
        <c:dLbls>
          <c:showLegendKey val="0"/>
          <c:showVal val="0"/>
          <c:showCatName val="0"/>
          <c:showSerName val="0"/>
          <c:showPercent val="0"/>
          <c:showBubbleSize val="0"/>
        </c:dLbls>
        <c:smooth val="0"/>
        <c:axId val="208068992"/>
        <c:axId val="202089600"/>
      </c:lineChart>
      <c:catAx>
        <c:axId val="208068992"/>
        <c:scaling>
          <c:orientation val="minMax"/>
        </c:scaling>
        <c:delete val="0"/>
        <c:axPos val="b"/>
        <c:title>
          <c:tx>
            <c:rich>
              <a:bodyPr/>
              <a:lstStyle/>
              <a:p>
                <a:pPr>
                  <a:defRPr/>
                </a:pPr>
                <a:r>
                  <a:rPr lang="en-AU"/>
                  <a:t>Trade contracts</a:t>
                </a:r>
              </a:p>
            </c:rich>
          </c:tx>
          <c:overlay val="0"/>
        </c:title>
        <c:numFmt formatCode="General" sourceLinked="1"/>
        <c:majorTickMark val="out"/>
        <c:minorTickMark val="none"/>
        <c:tickLblPos val="nextTo"/>
        <c:spPr>
          <a:ln w="19050" cap="sq">
            <a:solidFill>
              <a:sysClr val="windowText" lastClr="000000">
                <a:alpha val="25000"/>
              </a:sysClr>
            </a:solidFill>
          </a:ln>
        </c:spPr>
        <c:txPr>
          <a:bodyPr/>
          <a:lstStyle/>
          <a:p>
            <a:pPr>
              <a:defRPr sz="800">
                <a:latin typeface="Arial" panose="020B0604020202020204" pitchFamily="34" charset="0"/>
                <a:cs typeface="Arial" panose="020B0604020202020204" pitchFamily="34" charset="0"/>
              </a:defRPr>
            </a:pPr>
            <a:endParaRPr lang="en-US"/>
          </a:p>
        </c:txPr>
        <c:crossAx val="202089600"/>
        <c:crosses val="autoZero"/>
        <c:auto val="1"/>
        <c:lblAlgn val="ctr"/>
        <c:lblOffset val="100"/>
        <c:noMultiLvlLbl val="0"/>
      </c:catAx>
      <c:valAx>
        <c:axId val="202089600"/>
        <c:scaling>
          <c:orientation val="minMax"/>
          <c:max val="0.65000000000000013"/>
          <c:min val="0.35000000000000003"/>
        </c:scaling>
        <c:delete val="0"/>
        <c:axPos val="l"/>
        <c:majorGridlines>
          <c:spPr>
            <a:ln>
              <a:noFill/>
            </a:ln>
          </c:spPr>
        </c:majorGridlines>
        <c:title>
          <c:tx>
            <c:rich>
              <a:bodyPr rot="-5400000" vert="horz"/>
              <a:lstStyle/>
              <a:p>
                <a:pPr>
                  <a:defRPr/>
                </a:pPr>
                <a:r>
                  <a:rPr lang="en-AU"/>
                  <a:t>Completion rate</a:t>
                </a:r>
              </a:p>
            </c:rich>
          </c:tx>
          <c:layout>
            <c:manualLayout>
              <c:xMode val="edge"/>
              <c:yMode val="edge"/>
              <c:x val="4.2835667176790049E-2"/>
              <c:y val="0.26262861787724023"/>
            </c:manualLayout>
          </c:layout>
          <c:overlay val="0"/>
        </c:title>
        <c:numFmt formatCode="0%" sourceLinked="0"/>
        <c:majorTickMark val="out"/>
        <c:minorTickMark val="none"/>
        <c:tickLblPos val="nextTo"/>
        <c:spPr>
          <a:ln w="19050" cap="sq">
            <a:solidFill>
              <a:srgbClr val="000000">
                <a:alpha val="30000"/>
              </a:srgbClr>
            </a:solidFill>
          </a:ln>
        </c:spPr>
        <c:txPr>
          <a:bodyPr/>
          <a:lstStyle/>
          <a:p>
            <a:pPr>
              <a:defRPr sz="800">
                <a:latin typeface="Arial" panose="020B0604020202020204" pitchFamily="34" charset="0"/>
                <a:cs typeface="Arial" panose="020B0604020202020204" pitchFamily="34" charset="0"/>
              </a:defRPr>
            </a:pPr>
            <a:endParaRPr lang="en-US"/>
          </a:p>
        </c:txPr>
        <c:crossAx val="208068992"/>
        <c:crosses val="autoZero"/>
        <c:crossBetween val="between"/>
      </c:valAx>
    </c:plotArea>
    <c:plotVisOnly val="1"/>
    <c:dispBlanksAs val="gap"/>
    <c:showDLblsOverMax val="0"/>
  </c:chart>
  <c:spPr>
    <a:ln>
      <a:noFill/>
    </a:ln>
  </c:spPr>
  <c:txPr>
    <a:bodyPr/>
    <a:lstStyle/>
    <a:p>
      <a:pPr>
        <a:defRPr sz="1000"/>
      </a:pPr>
      <a:endParaRPr lang="en-US"/>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5209522637795273"/>
          <c:y val="3.9458795922045008E-2"/>
          <c:w val="0.72407277624328381"/>
          <c:h val="0.80263619128379504"/>
        </c:manualLayout>
      </c:layout>
      <c:lineChart>
        <c:grouping val="standard"/>
        <c:varyColors val="0"/>
        <c:ser>
          <c:idx val="0"/>
          <c:order val="0"/>
          <c:tx>
            <c:strRef>
              <c:f>'Fig 2 &amp; 3 comparisons'!$B$42</c:f>
              <c:strCache>
                <c:ptCount val="1"/>
                <c:pt idx="0">
                  <c:v>Life tables</c:v>
                </c:pt>
              </c:strCache>
            </c:strRef>
          </c:tx>
          <c:spPr>
            <a:ln w="19050">
              <a:solidFill>
                <a:srgbClr val="439539"/>
              </a:solidFill>
              <a:prstDash val="lgDashDotDot"/>
            </a:ln>
          </c:spPr>
          <c:marker>
            <c:symbol val="none"/>
          </c:marker>
          <c:cat>
            <c:numRef>
              <c:f>'Fig 2 &amp; 3 comparisons'!$A$9:$A$11</c:f>
              <c:numCache>
                <c:formatCode>General</c:formatCode>
                <c:ptCount val="3"/>
                <c:pt idx="0">
                  <c:v>2013</c:v>
                </c:pt>
                <c:pt idx="1">
                  <c:v>2014</c:v>
                </c:pt>
                <c:pt idx="2">
                  <c:v>2015</c:v>
                </c:pt>
              </c:numCache>
            </c:numRef>
          </c:cat>
          <c:val>
            <c:numRef>
              <c:f>'Fig 2 &amp; 3 comparisons'!$B$43:$B$45</c:f>
              <c:numCache>
                <c:formatCode>0.0%</c:formatCode>
                <c:ptCount val="3"/>
                <c:pt idx="0">
                  <c:v>-3.5000000000000031E-2</c:v>
                </c:pt>
                <c:pt idx="1">
                  <c:v>2.6000000000000023E-2</c:v>
                </c:pt>
                <c:pt idx="2">
                  <c:v>1.0000000000000009E-2</c:v>
                </c:pt>
              </c:numCache>
            </c:numRef>
          </c:val>
          <c:smooth val="0"/>
          <c:extLst>
            <c:ext xmlns:c16="http://schemas.microsoft.com/office/drawing/2014/chart" uri="{C3380CC4-5D6E-409C-BE32-E72D297353CC}">
              <c16:uniqueId val="{00000000-F15A-4FA7-8485-0D9AAE743384}"/>
            </c:ext>
          </c:extLst>
        </c:ser>
        <c:ser>
          <c:idx val="2"/>
          <c:order val="1"/>
          <c:tx>
            <c:strRef>
              <c:f>'Fig 2 &amp; 3 comparisons'!$C$42</c:f>
              <c:strCache>
                <c:ptCount val="1"/>
                <c:pt idx="0">
                  <c:v>Markov chains</c:v>
                </c:pt>
              </c:strCache>
            </c:strRef>
          </c:tx>
          <c:spPr>
            <a:ln w="19050">
              <a:solidFill>
                <a:srgbClr val="002060"/>
              </a:solidFill>
              <a:prstDash val="sysDot"/>
            </a:ln>
          </c:spPr>
          <c:marker>
            <c:symbol val="none"/>
          </c:marker>
          <c:cat>
            <c:numRef>
              <c:f>'Fig 2 &amp; 3 comparisons'!$A$9:$A$11</c:f>
              <c:numCache>
                <c:formatCode>General</c:formatCode>
                <c:ptCount val="3"/>
                <c:pt idx="0">
                  <c:v>2013</c:v>
                </c:pt>
                <c:pt idx="1">
                  <c:v>2014</c:v>
                </c:pt>
                <c:pt idx="2">
                  <c:v>2015</c:v>
                </c:pt>
              </c:numCache>
            </c:numRef>
          </c:cat>
          <c:val>
            <c:numRef>
              <c:f>'Fig 2 &amp; 3 comparisons'!$C$43:$C$45</c:f>
              <c:numCache>
                <c:formatCode>0.0%</c:formatCode>
                <c:ptCount val="3"/>
                <c:pt idx="0">
                  <c:v>-3.2000000000000028E-2</c:v>
                </c:pt>
                <c:pt idx="1">
                  <c:v>-1.2000000000000011E-2</c:v>
                </c:pt>
                <c:pt idx="2">
                  <c:v>-1.6000000000000014E-2</c:v>
                </c:pt>
              </c:numCache>
            </c:numRef>
          </c:val>
          <c:smooth val="0"/>
          <c:extLst>
            <c:ext xmlns:c16="http://schemas.microsoft.com/office/drawing/2014/chart" uri="{C3380CC4-5D6E-409C-BE32-E72D297353CC}">
              <c16:uniqueId val="{00000001-F15A-4FA7-8485-0D9AAE743384}"/>
            </c:ext>
          </c:extLst>
        </c:ser>
        <c:ser>
          <c:idx val="1"/>
          <c:order val="2"/>
          <c:tx>
            <c:strRef>
              <c:f>'Fig 2 &amp; 3 comparisons'!$D$42</c:f>
              <c:strCache>
                <c:ptCount val="1"/>
                <c:pt idx="0">
                  <c:v>Machine learning</c:v>
                </c:pt>
              </c:strCache>
            </c:strRef>
          </c:tx>
          <c:spPr>
            <a:ln w="19050">
              <a:solidFill>
                <a:srgbClr val="78278B"/>
              </a:solidFill>
              <a:prstDash val="dash"/>
            </a:ln>
          </c:spPr>
          <c:marker>
            <c:symbol val="none"/>
          </c:marker>
          <c:cat>
            <c:numRef>
              <c:f>'Fig 2 &amp; 3 comparisons'!$A$9:$A$11</c:f>
              <c:numCache>
                <c:formatCode>General</c:formatCode>
                <c:ptCount val="3"/>
                <c:pt idx="0">
                  <c:v>2013</c:v>
                </c:pt>
                <c:pt idx="1">
                  <c:v>2014</c:v>
                </c:pt>
                <c:pt idx="2">
                  <c:v>2015</c:v>
                </c:pt>
              </c:numCache>
            </c:numRef>
          </c:cat>
          <c:val>
            <c:numRef>
              <c:f>'Fig 2 &amp; 3 comparisons'!$D$43:$D$45</c:f>
              <c:numCache>
                <c:formatCode>0.0%</c:formatCode>
                <c:ptCount val="3"/>
                <c:pt idx="0">
                  <c:v>-4.500000000000004E-2</c:v>
                </c:pt>
                <c:pt idx="1">
                  <c:v>-2.6000000000000023E-2</c:v>
                </c:pt>
                <c:pt idx="2">
                  <c:v>-2.0000000000000018E-2</c:v>
                </c:pt>
              </c:numCache>
            </c:numRef>
          </c:val>
          <c:smooth val="0"/>
          <c:extLst>
            <c:ext xmlns:c16="http://schemas.microsoft.com/office/drawing/2014/chart" uri="{C3380CC4-5D6E-409C-BE32-E72D297353CC}">
              <c16:uniqueId val="{00000002-F15A-4FA7-8485-0D9AAE743384}"/>
            </c:ext>
          </c:extLst>
        </c:ser>
        <c:dLbls>
          <c:showLegendKey val="0"/>
          <c:showVal val="0"/>
          <c:showCatName val="0"/>
          <c:showSerName val="0"/>
          <c:showPercent val="0"/>
          <c:showBubbleSize val="0"/>
        </c:dLbls>
        <c:smooth val="0"/>
        <c:axId val="208068992"/>
        <c:axId val="202089600"/>
      </c:lineChart>
      <c:catAx>
        <c:axId val="208068992"/>
        <c:scaling>
          <c:orientation val="minMax"/>
        </c:scaling>
        <c:delete val="0"/>
        <c:axPos val="b"/>
        <c:title>
          <c:tx>
            <c:rich>
              <a:bodyPr/>
              <a:lstStyle/>
              <a:p>
                <a:pPr>
                  <a:defRPr/>
                </a:pPr>
                <a:r>
                  <a:rPr lang="en-AU"/>
                  <a:t>Trade contracts</a:t>
                </a:r>
              </a:p>
            </c:rich>
          </c:tx>
          <c:overlay val="0"/>
        </c:title>
        <c:numFmt formatCode="General" sourceLinked="1"/>
        <c:majorTickMark val="none"/>
        <c:minorTickMark val="none"/>
        <c:tickLblPos val="low"/>
        <c:spPr>
          <a:ln w="19050" cap="sq">
            <a:solidFill>
              <a:sysClr val="windowText" lastClr="000000">
                <a:alpha val="25000"/>
              </a:sysClr>
            </a:solidFill>
          </a:ln>
        </c:spPr>
        <c:txPr>
          <a:bodyPr/>
          <a:lstStyle/>
          <a:p>
            <a:pPr>
              <a:defRPr sz="800">
                <a:latin typeface="Arial" panose="020B0604020202020204" pitchFamily="34" charset="0"/>
                <a:cs typeface="Arial" panose="020B0604020202020204" pitchFamily="34" charset="0"/>
              </a:defRPr>
            </a:pPr>
            <a:endParaRPr lang="en-US"/>
          </a:p>
        </c:txPr>
        <c:crossAx val="202089600"/>
        <c:crosses val="autoZero"/>
        <c:auto val="1"/>
        <c:lblAlgn val="ctr"/>
        <c:lblOffset val="100"/>
        <c:noMultiLvlLbl val="0"/>
      </c:catAx>
      <c:valAx>
        <c:axId val="202089600"/>
        <c:scaling>
          <c:orientation val="minMax"/>
          <c:max val="8.0000000000000016E-2"/>
          <c:min val="-8.0000000000000016E-2"/>
        </c:scaling>
        <c:delete val="0"/>
        <c:axPos val="l"/>
        <c:majorGridlines>
          <c:spPr>
            <a:ln>
              <a:noFill/>
            </a:ln>
          </c:spPr>
        </c:majorGridlines>
        <c:title>
          <c:tx>
            <c:rich>
              <a:bodyPr rot="-5400000" vert="horz"/>
              <a:lstStyle/>
              <a:p>
                <a:pPr>
                  <a:defRPr/>
                </a:pPr>
                <a:r>
                  <a:rPr lang="en-AU"/>
                  <a:t>Error rate</a:t>
                </a:r>
              </a:p>
            </c:rich>
          </c:tx>
          <c:layout>
            <c:manualLayout>
              <c:xMode val="edge"/>
              <c:yMode val="edge"/>
              <c:x val="3.3028824607153562E-2"/>
              <c:y val="0.32483333968702049"/>
            </c:manualLayout>
          </c:layout>
          <c:overlay val="0"/>
        </c:title>
        <c:numFmt formatCode="0%" sourceLinked="0"/>
        <c:majorTickMark val="out"/>
        <c:minorTickMark val="none"/>
        <c:tickLblPos val="nextTo"/>
        <c:spPr>
          <a:ln w="19050" cap="sq">
            <a:solidFill>
              <a:srgbClr val="000000">
                <a:alpha val="25000"/>
              </a:srgbClr>
            </a:solidFill>
          </a:ln>
        </c:spPr>
        <c:txPr>
          <a:bodyPr/>
          <a:lstStyle/>
          <a:p>
            <a:pPr>
              <a:defRPr sz="800">
                <a:latin typeface="Arial" panose="020B0604020202020204" pitchFamily="34" charset="0"/>
                <a:cs typeface="Arial" panose="020B0604020202020204" pitchFamily="34" charset="0"/>
              </a:defRPr>
            </a:pPr>
            <a:endParaRPr lang="en-US"/>
          </a:p>
        </c:txPr>
        <c:crossAx val="208068992"/>
        <c:crosses val="autoZero"/>
        <c:crossBetween val="between"/>
      </c:valAx>
      <c:spPr>
        <a:ln>
          <a:noFill/>
        </a:ln>
      </c:spPr>
    </c:plotArea>
    <c:plotVisOnly val="1"/>
    <c:dispBlanksAs val="gap"/>
    <c:showDLblsOverMax val="0"/>
  </c:chart>
  <c:spPr>
    <a:solidFill>
      <a:sysClr val="window" lastClr="FFFFFF"/>
    </a:solidFill>
    <a:ln>
      <a:noFill/>
    </a:ln>
  </c:spPr>
  <c:txPr>
    <a:bodyPr/>
    <a:lstStyle/>
    <a:p>
      <a:pPr>
        <a:defRPr sz="1000"/>
      </a:pPr>
      <a:endParaRPr lang="en-US"/>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2.7225506647734606E-2"/>
          <c:y val="3.9458795922045008E-2"/>
          <c:w val="0.95630786659051703"/>
          <c:h val="0.79769413580246917"/>
        </c:manualLayout>
      </c:layout>
      <c:lineChart>
        <c:grouping val="standard"/>
        <c:varyColors val="0"/>
        <c:ser>
          <c:idx val="0"/>
          <c:order val="0"/>
          <c:tx>
            <c:strRef>
              <c:f>'Fig 2 &amp; 3 comparisons'!$B$49</c:f>
              <c:strCache>
                <c:ptCount val="1"/>
                <c:pt idx="0">
                  <c:v>Life tables</c:v>
                </c:pt>
              </c:strCache>
            </c:strRef>
          </c:tx>
          <c:spPr>
            <a:ln w="19050">
              <a:solidFill>
                <a:srgbClr val="439539"/>
              </a:solidFill>
              <a:prstDash val="lgDashDotDot"/>
            </a:ln>
          </c:spPr>
          <c:marker>
            <c:symbol val="none"/>
          </c:marker>
          <c:cat>
            <c:numRef>
              <c:f>'Fig 2 &amp; 3 comparisons'!$A$15:$A$17</c:f>
              <c:numCache>
                <c:formatCode>General</c:formatCode>
                <c:ptCount val="3"/>
                <c:pt idx="0">
                  <c:v>2013</c:v>
                </c:pt>
                <c:pt idx="1">
                  <c:v>2014</c:v>
                </c:pt>
                <c:pt idx="2">
                  <c:v>2015</c:v>
                </c:pt>
              </c:numCache>
            </c:numRef>
          </c:cat>
          <c:val>
            <c:numRef>
              <c:f>'Fig 2 &amp; 3 comparisons'!$B$50:$B$52</c:f>
              <c:numCache>
                <c:formatCode>0.0%</c:formatCode>
                <c:ptCount val="3"/>
                <c:pt idx="0">
                  <c:v>-3.6000000000000032E-2</c:v>
                </c:pt>
                <c:pt idx="1">
                  <c:v>-2.399999999999991E-2</c:v>
                </c:pt>
                <c:pt idx="2">
                  <c:v>-5.0000000000000044E-3</c:v>
                </c:pt>
              </c:numCache>
            </c:numRef>
          </c:val>
          <c:smooth val="0"/>
          <c:extLst>
            <c:ext xmlns:c16="http://schemas.microsoft.com/office/drawing/2014/chart" uri="{C3380CC4-5D6E-409C-BE32-E72D297353CC}">
              <c16:uniqueId val="{00000000-9C82-4B58-809A-7BCF32A9F196}"/>
            </c:ext>
          </c:extLst>
        </c:ser>
        <c:ser>
          <c:idx val="2"/>
          <c:order val="1"/>
          <c:tx>
            <c:strRef>
              <c:f>'Fig 2 &amp; 3 comparisons'!$C$49</c:f>
              <c:strCache>
                <c:ptCount val="1"/>
                <c:pt idx="0">
                  <c:v>Markov chains</c:v>
                </c:pt>
              </c:strCache>
            </c:strRef>
          </c:tx>
          <c:spPr>
            <a:ln w="19050">
              <a:solidFill>
                <a:srgbClr val="002060"/>
              </a:solidFill>
              <a:prstDash val="sysDot"/>
            </a:ln>
          </c:spPr>
          <c:marker>
            <c:symbol val="none"/>
          </c:marker>
          <c:cat>
            <c:numRef>
              <c:f>'Fig 2 &amp; 3 comparisons'!$A$15:$A$17</c:f>
              <c:numCache>
                <c:formatCode>General</c:formatCode>
                <c:ptCount val="3"/>
                <c:pt idx="0">
                  <c:v>2013</c:v>
                </c:pt>
                <c:pt idx="1">
                  <c:v>2014</c:v>
                </c:pt>
                <c:pt idx="2">
                  <c:v>2015</c:v>
                </c:pt>
              </c:numCache>
            </c:numRef>
          </c:cat>
          <c:val>
            <c:numRef>
              <c:f>'Fig 2 &amp; 3 comparisons'!$C$50:$C$52</c:f>
              <c:numCache>
                <c:formatCode>0.0%</c:formatCode>
                <c:ptCount val="3"/>
                <c:pt idx="0">
                  <c:v>4.0000000000000036E-3</c:v>
                </c:pt>
                <c:pt idx="1">
                  <c:v>1.8000000000000016E-2</c:v>
                </c:pt>
                <c:pt idx="2">
                  <c:v>1.100000000000001E-2</c:v>
                </c:pt>
              </c:numCache>
            </c:numRef>
          </c:val>
          <c:smooth val="0"/>
          <c:extLst>
            <c:ext xmlns:c16="http://schemas.microsoft.com/office/drawing/2014/chart" uri="{C3380CC4-5D6E-409C-BE32-E72D297353CC}">
              <c16:uniqueId val="{00000001-9C82-4B58-809A-7BCF32A9F196}"/>
            </c:ext>
          </c:extLst>
        </c:ser>
        <c:ser>
          <c:idx val="1"/>
          <c:order val="2"/>
          <c:tx>
            <c:strRef>
              <c:f>'Fig 2 &amp; 3 comparisons'!$D$49</c:f>
              <c:strCache>
                <c:ptCount val="1"/>
                <c:pt idx="0">
                  <c:v>Machine learning</c:v>
                </c:pt>
              </c:strCache>
            </c:strRef>
          </c:tx>
          <c:spPr>
            <a:ln w="19050">
              <a:solidFill>
                <a:srgbClr val="78278B"/>
              </a:solidFill>
              <a:prstDash val="dash"/>
            </a:ln>
          </c:spPr>
          <c:marker>
            <c:symbol val="none"/>
          </c:marker>
          <c:cat>
            <c:numRef>
              <c:f>'Fig 2 &amp; 3 comparisons'!$A$15:$A$17</c:f>
              <c:numCache>
                <c:formatCode>General</c:formatCode>
                <c:ptCount val="3"/>
                <c:pt idx="0">
                  <c:v>2013</c:v>
                </c:pt>
                <c:pt idx="1">
                  <c:v>2014</c:v>
                </c:pt>
                <c:pt idx="2">
                  <c:v>2015</c:v>
                </c:pt>
              </c:numCache>
            </c:numRef>
          </c:cat>
          <c:val>
            <c:numRef>
              <c:f>'Fig 2 &amp; 3 comparisons'!$D$50:$D$52</c:f>
              <c:numCache>
                <c:formatCode>0.0%</c:formatCode>
                <c:ptCount val="3"/>
                <c:pt idx="0">
                  <c:v>2.0000000000000018E-3</c:v>
                </c:pt>
                <c:pt idx="1">
                  <c:v>9.000000000000008E-3</c:v>
                </c:pt>
                <c:pt idx="2">
                  <c:v>6.0000000000000053E-3</c:v>
                </c:pt>
              </c:numCache>
            </c:numRef>
          </c:val>
          <c:smooth val="0"/>
          <c:extLst>
            <c:ext xmlns:c16="http://schemas.microsoft.com/office/drawing/2014/chart" uri="{C3380CC4-5D6E-409C-BE32-E72D297353CC}">
              <c16:uniqueId val="{00000002-9C82-4B58-809A-7BCF32A9F196}"/>
            </c:ext>
          </c:extLst>
        </c:ser>
        <c:dLbls>
          <c:showLegendKey val="0"/>
          <c:showVal val="0"/>
          <c:showCatName val="0"/>
          <c:showSerName val="0"/>
          <c:showPercent val="0"/>
          <c:showBubbleSize val="0"/>
        </c:dLbls>
        <c:smooth val="0"/>
        <c:axId val="208068992"/>
        <c:axId val="202089600"/>
      </c:lineChart>
      <c:catAx>
        <c:axId val="208068992"/>
        <c:scaling>
          <c:orientation val="minMax"/>
        </c:scaling>
        <c:delete val="0"/>
        <c:axPos val="b"/>
        <c:title>
          <c:tx>
            <c:rich>
              <a:bodyPr/>
              <a:lstStyle/>
              <a:p>
                <a:pPr>
                  <a:defRPr/>
                </a:pPr>
                <a:r>
                  <a:rPr lang="en-AU"/>
                  <a:t>Non-trade contracts</a:t>
                </a:r>
              </a:p>
            </c:rich>
          </c:tx>
          <c:overlay val="0"/>
        </c:title>
        <c:numFmt formatCode="General" sourceLinked="1"/>
        <c:majorTickMark val="none"/>
        <c:minorTickMark val="none"/>
        <c:tickLblPos val="low"/>
        <c:spPr>
          <a:ln w="19050" cap="sq">
            <a:solidFill>
              <a:sysClr val="windowText" lastClr="000000">
                <a:alpha val="25000"/>
              </a:sysClr>
            </a:solidFill>
          </a:ln>
        </c:spPr>
        <c:txPr>
          <a:bodyPr/>
          <a:lstStyle/>
          <a:p>
            <a:pPr>
              <a:defRPr sz="800">
                <a:latin typeface="Arial" panose="020B0604020202020204" pitchFamily="34" charset="0"/>
                <a:cs typeface="Arial" panose="020B0604020202020204" pitchFamily="34" charset="0"/>
              </a:defRPr>
            </a:pPr>
            <a:endParaRPr lang="en-US"/>
          </a:p>
        </c:txPr>
        <c:crossAx val="202089600"/>
        <c:crosses val="autoZero"/>
        <c:auto val="1"/>
        <c:lblAlgn val="ctr"/>
        <c:lblOffset val="100"/>
        <c:noMultiLvlLbl val="0"/>
      </c:catAx>
      <c:valAx>
        <c:axId val="202089600"/>
        <c:scaling>
          <c:orientation val="minMax"/>
          <c:max val="8.0000000000000016E-2"/>
          <c:min val="-8.0000000000000016E-2"/>
        </c:scaling>
        <c:delete val="1"/>
        <c:axPos val="r"/>
        <c:majorGridlines>
          <c:spPr>
            <a:ln>
              <a:noFill/>
            </a:ln>
          </c:spPr>
        </c:majorGridlines>
        <c:numFmt formatCode="0%" sourceLinked="0"/>
        <c:majorTickMark val="out"/>
        <c:minorTickMark val="none"/>
        <c:tickLblPos val="nextTo"/>
        <c:crossAx val="208068992"/>
        <c:crosses val="max"/>
        <c:crossBetween val="between"/>
      </c:valAx>
      <c:spPr>
        <a:ln>
          <a:noFill/>
        </a:ln>
      </c:spPr>
    </c:plotArea>
    <c:legend>
      <c:legendPos val="t"/>
      <c:layout>
        <c:manualLayout>
          <c:xMode val="edge"/>
          <c:yMode val="edge"/>
          <c:x val="0.40043831295361487"/>
          <c:y val="3.5029187911032292E-3"/>
          <c:w val="0.59051300038054366"/>
          <c:h val="0.1801936008276066"/>
        </c:manualLayout>
      </c:layout>
      <c:overlay val="0"/>
      <c:txPr>
        <a:bodyPr/>
        <a:lstStyle/>
        <a:p>
          <a:pPr>
            <a:defRPr sz="800">
              <a:latin typeface="Arial" panose="020B0604020202020204" pitchFamily="34" charset="0"/>
              <a:cs typeface="Arial" panose="020B0604020202020204" pitchFamily="34" charset="0"/>
            </a:defRPr>
          </a:pPr>
          <a:endParaRPr lang="en-US"/>
        </a:p>
      </c:txPr>
    </c:legend>
    <c:plotVisOnly val="1"/>
    <c:dispBlanksAs val="gap"/>
    <c:showDLblsOverMax val="0"/>
  </c:chart>
  <c:spPr>
    <a:solidFill>
      <a:sysClr val="window" lastClr="FFFFFF"/>
    </a:solidFill>
    <a:ln>
      <a:noFill/>
    </a:ln>
  </c:spPr>
  <c:txPr>
    <a:bodyPr/>
    <a:lstStyle/>
    <a:p>
      <a:pPr>
        <a:defRPr sz="1000"/>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txDef>
      <a:spPr>
        <a:solidFill>
          <a:schemeClr val="lt1"/>
        </a:solidFill>
        <a:ln w="6350">
          <a:solidFill>
            <a:prstClr val="black"/>
          </a:solidFill>
        </a:ln>
        <a:effectLst/>
      </a:spPr>
      <a:bodyPr wrap="square" rtlCol="0"/>
      <a:lstStyle/>
      <a:style>
        <a:lnRef idx="0">
          <a:schemeClr val="accent1"/>
        </a:lnRef>
        <a:fillRef idx="0">
          <a:schemeClr val="accent1"/>
        </a:fillRef>
        <a:effectRef idx="0">
          <a:schemeClr val="accent1"/>
        </a:effectRef>
        <a:fontRef idx="minor">
          <a:schemeClr val="dk1"/>
        </a:fontRef>
      </a:style>
    </a:txDef>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87626F-F1AB-47B4-A845-7455E84C14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NCVERNormal.dotm</Template>
  <TotalTime>1</TotalTime>
  <Pages>29</Pages>
  <Words>8595</Words>
  <Characters>48996</Characters>
  <Application>Microsoft Office Word</Application>
  <DocSecurity>0</DocSecurity>
  <Lines>408</Lines>
  <Paragraphs>114</Paragraphs>
  <ScaleCrop>false</ScaleCrop>
  <HeadingPairs>
    <vt:vector size="2" baseType="variant">
      <vt:variant>
        <vt:lpstr>Title</vt:lpstr>
      </vt:variant>
      <vt:variant>
        <vt:i4>1</vt:i4>
      </vt:variant>
    </vt:vector>
  </HeadingPairs>
  <TitlesOfParts>
    <vt:vector size="1" baseType="lpstr">
      <vt:lpstr/>
    </vt:vector>
  </TitlesOfParts>
  <Company>UQ</Company>
  <LinksUpToDate>false</LinksUpToDate>
  <CharactersWithSpaces>57477</CharactersWithSpaces>
  <SharedDoc>false</SharedDoc>
  <HLinks>
    <vt:vector size="156" baseType="variant">
      <vt:variant>
        <vt:i4>1769533</vt:i4>
      </vt:variant>
      <vt:variant>
        <vt:i4>150</vt:i4>
      </vt:variant>
      <vt:variant>
        <vt:i4>0</vt:i4>
      </vt:variant>
      <vt:variant>
        <vt:i4>5</vt:i4>
      </vt:variant>
      <vt:variant>
        <vt:lpwstr>http://www.dius.gov.uk/research</vt:lpwstr>
      </vt:variant>
      <vt:variant>
        <vt:lpwstr/>
      </vt:variant>
      <vt:variant>
        <vt:i4>7667763</vt:i4>
      </vt:variant>
      <vt:variant>
        <vt:i4>147</vt:i4>
      </vt:variant>
      <vt:variant>
        <vt:i4>0</vt:i4>
      </vt:variant>
      <vt:variant>
        <vt:i4>5</vt:i4>
      </vt:variant>
      <vt:variant>
        <vt:lpwstr>http://www.skope.ac.uk/PressReseaseDetails.asp?ReleaseID=5</vt:lpwstr>
      </vt:variant>
      <vt:variant>
        <vt:lpwstr/>
      </vt:variant>
      <vt:variant>
        <vt:i4>3932169</vt:i4>
      </vt:variant>
      <vt:variant>
        <vt:i4>144</vt:i4>
      </vt:variant>
      <vt:variant>
        <vt:i4>0</vt:i4>
      </vt:variant>
      <vt:variant>
        <vt:i4>5</vt:i4>
      </vt:variant>
      <vt:variant>
        <vt:lpwstr>http://www.trainingvillage.gr/etv/Projects_Networks/Skillsnet/Work/w_view.asp</vt:lpwstr>
      </vt:variant>
      <vt:variant>
        <vt:lpwstr/>
      </vt:variant>
      <vt:variant>
        <vt:i4>1769594</vt:i4>
      </vt:variant>
      <vt:variant>
        <vt:i4>141</vt:i4>
      </vt:variant>
      <vt:variant>
        <vt:i4>0</vt:i4>
      </vt:variant>
      <vt:variant>
        <vt:i4>5</vt:i4>
      </vt:variant>
      <vt:variant>
        <vt:lpwstr>http://www.hlst.heacademy.ac.uk/projects/r4 sheehan summary</vt:lpwstr>
      </vt:variant>
      <vt:variant>
        <vt:lpwstr/>
      </vt:variant>
      <vt:variant>
        <vt:i4>2162778</vt:i4>
      </vt:variant>
      <vt:variant>
        <vt:i4>138</vt:i4>
      </vt:variant>
      <vt:variant>
        <vt:i4>0</vt:i4>
      </vt:variant>
      <vt:variant>
        <vt:i4>5</vt:i4>
      </vt:variant>
      <vt:variant>
        <vt:lpwstr>http://heerd.open.ac.uk/1653/</vt:lpwstr>
      </vt:variant>
      <vt:variant>
        <vt:lpwstr/>
      </vt:variant>
      <vt:variant>
        <vt:i4>852014</vt:i4>
      </vt:variant>
      <vt:variant>
        <vt:i4>135</vt:i4>
      </vt:variant>
      <vt:variant>
        <vt:i4>0</vt:i4>
      </vt:variant>
      <vt:variant>
        <vt:i4>5</vt:i4>
      </vt:variant>
      <vt:variant>
        <vt:lpwstr>http://www.trainingvillage.gr/erv/Projects_Network/ResearchLab</vt:lpwstr>
      </vt:variant>
      <vt:variant>
        <vt:lpwstr/>
      </vt:variant>
      <vt:variant>
        <vt:i4>2162711</vt:i4>
      </vt:variant>
      <vt:variant>
        <vt:i4>132</vt:i4>
      </vt:variant>
      <vt:variant>
        <vt:i4>0</vt:i4>
      </vt:variant>
      <vt:variant>
        <vt:i4>5</vt:i4>
      </vt:variant>
      <vt:variant>
        <vt:lpwstr>http://www.innovative-apprenticeship.net/</vt:lpwstr>
      </vt:variant>
      <vt:variant>
        <vt:lpwstr/>
      </vt:variant>
      <vt:variant>
        <vt:i4>1900580</vt:i4>
      </vt:variant>
      <vt:variant>
        <vt:i4>129</vt:i4>
      </vt:variant>
      <vt:variant>
        <vt:i4>0</vt:i4>
      </vt:variant>
      <vt:variant>
        <vt:i4>5</vt:i4>
      </vt:variant>
      <vt:variant>
        <vt:lpwstr>http://ec.europa.eu/growthandjobs/pdf/illustrated-version_en.pdf</vt:lpwstr>
      </vt:variant>
      <vt:variant>
        <vt:lpwstr/>
      </vt:variant>
      <vt:variant>
        <vt:i4>2162711</vt:i4>
      </vt:variant>
      <vt:variant>
        <vt:i4>126</vt:i4>
      </vt:variant>
      <vt:variant>
        <vt:i4>0</vt:i4>
      </vt:variant>
      <vt:variant>
        <vt:i4>5</vt:i4>
      </vt:variant>
      <vt:variant>
        <vt:lpwstr>http://www.innovative-apprenticeship.net/</vt:lpwstr>
      </vt:variant>
      <vt:variant>
        <vt:lpwstr/>
      </vt:variant>
      <vt:variant>
        <vt:i4>7667818</vt:i4>
      </vt:variant>
      <vt:variant>
        <vt:i4>123</vt:i4>
      </vt:variant>
      <vt:variant>
        <vt:i4>0</vt:i4>
      </vt:variant>
      <vt:variant>
        <vt:i4>5</vt:i4>
      </vt:variant>
      <vt:variant>
        <vt:lpwstr>http://www.trainingvillage.gr/etc/Upload/Information_resources/Bookshop/489C18E</vt:lpwstr>
      </vt:variant>
      <vt:variant>
        <vt:lpwstr/>
      </vt:variant>
      <vt:variant>
        <vt:i4>6815769</vt:i4>
      </vt:variant>
      <vt:variant>
        <vt:i4>120</vt:i4>
      </vt:variant>
      <vt:variant>
        <vt:i4>0</vt:i4>
      </vt:variant>
      <vt:variant>
        <vt:i4>5</vt:i4>
      </vt:variant>
      <vt:variant>
        <vt:lpwstr>http://www.excellence.qia.org.uk/</vt:lpwstr>
      </vt:variant>
      <vt:variant>
        <vt:lpwstr/>
      </vt:variant>
      <vt:variant>
        <vt:i4>4456465</vt:i4>
      </vt:variant>
      <vt:variant>
        <vt:i4>117</vt:i4>
      </vt:variant>
      <vt:variant>
        <vt:i4>0</vt:i4>
      </vt:variant>
      <vt:variant>
        <vt:i4>5</vt:i4>
      </vt:variant>
      <vt:variant>
        <vt:lpwstr>http://www.surrey.ac.uk/sceptre/ResourcesandlinkstosupportPT.htm</vt:lpwstr>
      </vt:variant>
      <vt:variant>
        <vt:lpwstr/>
      </vt:variant>
      <vt:variant>
        <vt:i4>2031671</vt:i4>
      </vt:variant>
      <vt:variant>
        <vt:i4>114</vt:i4>
      </vt:variant>
      <vt:variant>
        <vt:i4>0</vt:i4>
      </vt:variant>
      <vt:variant>
        <vt:i4>5</vt:i4>
      </vt:variant>
      <vt:variant>
        <vt:lpwstr>http://www.lifelonglearning.org.uk/</vt:lpwstr>
      </vt:variant>
      <vt:variant>
        <vt:lpwstr/>
      </vt:variant>
      <vt:variant>
        <vt:i4>196633</vt:i4>
      </vt:variant>
      <vt:variant>
        <vt:i4>111</vt:i4>
      </vt:variant>
      <vt:variant>
        <vt:i4>0</vt:i4>
      </vt:variant>
      <vt:variant>
        <vt:i4>5</vt:i4>
      </vt:variant>
      <vt:variant>
        <vt:lpwstr>http://www.ccrc.tc.columbia.edu/</vt:lpwstr>
      </vt:variant>
      <vt:variant>
        <vt:lpwstr/>
      </vt:variant>
      <vt:variant>
        <vt:i4>7274497</vt:i4>
      </vt:variant>
      <vt:variant>
        <vt:i4>108</vt:i4>
      </vt:variant>
      <vt:variant>
        <vt:i4>0</vt:i4>
      </vt:variant>
      <vt:variant>
        <vt:i4>5</vt:i4>
      </vt:variant>
      <vt:variant>
        <vt:lpwstr>http://www.icvet.edu.au/resources/vet_pedagogy.htm</vt:lpwstr>
      </vt:variant>
      <vt:variant>
        <vt:lpwstr/>
      </vt:variant>
      <vt:variant>
        <vt:i4>3866698</vt:i4>
      </vt:variant>
      <vt:variant>
        <vt:i4>105</vt:i4>
      </vt:variant>
      <vt:variant>
        <vt:i4>0</vt:i4>
      </vt:variant>
      <vt:variant>
        <vt:i4>5</vt:i4>
      </vt:variant>
      <vt:variant>
        <vt:lpwstr>http://www.skillsdevelopment.org/</vt:lpwstr>
      </vt:variant>
      <vt:variant>
        <vt:lpwstr/>
      </vt:variant>
      <vt:variant>
        <vt:i4>5242960</vt:i4>
      </vt:variant>
      <vt:variant>
        <vt:i4>102</vt:i4>
      </vt:variant>
      <vt:variant>
        <vt:i4>0</vt:i4>
      </vt:variant>
      <vt:variant>
        <vt:i4>5</vt:i4>
      </vt:variant>
      <vt:variant>
        <vt:lpwstr>http://www.vts.intute.ac.uk/</vt:lpwstr>
      </vt:variant>
      <vt:variant>
        <vt:lpwstr/>
      </vt:variant>
      <vt:variant>
        <vt:i4>786471</vt:i4>
      </vt:variant>
      <vt:variant>
        <vt:i4>99</vt:i4>
      </vt:variant>
      <vt:variant>
        <vt:i4>0</vt:i4>
      </vt:variant>
      <vt:variant>
        <vt:i4>5</vt:i4>
      </vt:variant>
      <vt:variant>
        <vt:lpwstr>http://www.diploma-support.com/</vt:lpwstr>
      </vt:variant>
      <vt:variant>
        <vt:lpwstr/>
      </vt:variant>
      <vt:variant>
        <vt:i4>2949164</vt:i4>
      </vt:variant>
      <vt:variant>
        <vt:i4>96</vt:i4>
      </vt:variant>
      <vt:variant>
        <vt:i4>0</vt:i4>
      </vt:variant>
      <vt:variant>
        <vt:i4>5</vt:i4>
      </vt:variant>
      <vt:variant>
        <vt:lpwstr>http://excellence.qia.org.uk/vlsp0</vt:lpwstr>
      </vt:variant>
      <vt:variant>
        <vt:lpwstr/>
      </vt:variant>
      <vt:variant>
        <vt:i4>3080193</vt:i4>
      </vt:variant>
      <vt:variant>
        <vt:i4>93</vt:i4>
      </vt:variant>
      <vt:variant>
        <vt:i4>0</vt:i4>
      </vt:variant>
      <vt:variant>
        <vt:i4>5</vt:i4>
      </vt:variant>
      <vt:variant>
        <vt:lpwstr>http://www.nationalconstructioncollege.co.uk/</vt:lpwstr>
      </vt:variant>
      <vt:variant>
        <vt:lpwstr/>
      </vt:variant>
      <vt:variant>
        <vt:i4>2818063</vt:i4>
      </vt:variant>
      <vt:variant>
        <vt:i4>90</vt:i4>
      </vt:variant>
      <vt:variant>
        <vt:i4>0</vt:i4>
      </vt:variant>
      <vt:variant>
        <vt:i4>5</vt:i4>
      </vt:variant>
      <vt:variant>
        <vt:lpwstr>http://www.nln.ac.uk/</vt:lpwstr>
      </vt:variant>
      <vt:variant>
        <vt:lpwstr/>
      </vt:variant>
      <vt:variant>
        <vt:i4>1376273</vt:i4>
      </vt:variant>
      <vt:variant>
        <vt:i4>87</vt:i4>
      </vt:variant>
      <vt:variant>
        <vt:i4>0</vt:i4>
      </vt:variant>
      <vt:variant>
        <vt:i4>5</vt:i4>
      </vt:variant>
      <vt:variant>
        <vt:lpwstr>&lt;http://www.knewledge.at</vt:lpwstr>
      </vt:variant>
      <vt:variant>
        <vt:lpwstr/>
      </vt:variant>
      <vt:variant>
        <vt:i4>7929868</vt:i4>
      </vt:variant>
      <vt:variant>
        <vt:i4>84</vt:i4>
      </vt:variant>
      <vt:variant>
        <vt:i4>0</vt:i4>
      </vt:variant>
      <vt:variant>
        <vt:i4>5</vt:i4>
      </vt:variant>
      <vt:variant>
        <vt:lpwstr>&lt;http://www.skillnets.com</vt:lpwstr>
      </vt:variant>
      <vt:variant>
        <vt:lpwstr/>
      </vt:variant>
      <vt:variant>
        <vt:i4>3014696</vt:i4>
      </vt:variant>
      <vt:variant>
        <vt:i4>81</vt:i4>
      </vt:variant>
      <vt:variant>
        <vt:i4>0</vt:i4>
      </vt:variant>
      <vt:variant>
        <vt:i4>5</vt:i4>
      </vt:variant>
      <vt:variant>
        <vt:lpwstr>http://www.tektra.com/</vt:lpwstr>
      </vt:variant>
      <vt:variant>
        <vt:lpwstr/>
      </vt:variant>
      <vt:variant>
        <vt:i4>4915204</vt:i4>
      </vt:variant>
      <vt:variant>
        <vt:i4>0</vt:i4>
      </vt:variant>
      <vt:variant>
        <vt:i4>0</vt:i4>
      </vt:variant>
      <vt:variant>
        <vt:i4>5</vt:i4>
      </vt:variant>
      <vt:variant>
        <vt:lpwstr>http://www.voced.edu.au/</vt:lpwstr>
      </vt:variant>
      <vt:variant>
        <vt:lpwstr/>
      </vt:variant>
      <vt:variant>
        <vt:i4>1966137</vt:i4>
      </vt:variant>
      <vt:variant>
        <vt:i4>-1</vt:i4>
      </vt:variant>
      <vt:variant>
        <vt:i4>1033</vt:i4>
      </vt:variant>
      <vt:variant>
        <vt:i4>1</vt:i4>
      </vt:variant>
      <vt:variant>
        <vt:lpwstr>ncver right tab_mono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Shafq Rahman</dc:creator>
  <cp:lastModifiedBy>Katrina Matheos</cp:lastModifiedBy>
  <cp:revision>2</cp:revision>
  <cp:lastPrinted>2021-07-27T02:17:00Z</cp:lastPrinted>
  <dcterms:created xsi:type="dcterms:W3CDTF">2021-09-06T02:46:00Z</dcterms:created>
  <dcterms:modified xsi:type="dcterms:W3CDTF">2021-09-06T02:46:00Z</dcterms:modified>
</cp:coreProperties>
</file>